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F7D7" w14:textId="77777777" w:rsidR="0041087B" w:rsidRPr="008C2DE9" w:rsidRDefault="0041087B" w:rsidP="0041087B">
      <w:pPr>
        <w:pStyle w:val="Heading1"/>
        <w:spacing w:before="0" w:line="240" w:lineRule="atLeast"/>
      </w:pPr>
      <w:bookmarkStart w:id="0" w:name="_Toc244580362"/>
      <w:bookmarkStart w:id="1" w:name="_Toc244587038"/>
      <w:bookmarkStart w:id="2" w:name="_Toc244857272"/>
      <w:bookmarkStart w:id="3" w:name="_Toc244912537"/>
      <w:bookmarkStart w:id="4" w:name="_Toc244916994"/>
      <w:bookmarkStart w:id="5" w:name="_Toc362368102"/>
      <w:bookmarkStart w:id="6" w:name="_Toc362940592"/>
      <w:bookmarkStart w:id="7" w:name="_Toc363047100"/>
      <w:bookmarkStart w:id="8" w:name="_Toc111173195"/>
      <w:bookmarkStart w:id="9" w:name="_Toc112306482"/>
      <w:bookmarkStart w:id="10" w:name="_Toc114287559"/>
      <w:bookmarkStart w:id="11" w:name="_Toc115188196"/>
      <w:bookmarkStart w:id="12" w:name="_Toc118514380"/>
      <w:bookmarkStart w:id="13" w:name="_Toc110071692"/>
      <w:bookmarkStart w:id="14" w:name="_Toc110072564"/>
      <w:bookmarkStart w:id="15" w:name="_Toc138735614"/>
      <w:bookmarkStart w:id="16" w:name="_Toc139335927"/>
      <w:bookmarkStart w:id="17" w:name="_Toc362526401"/>
      <w:r w:rsidRPr="00244F20">
        <w:t>Stage</w:t>
      </w:r>
      <w:r>
        <w:t xml:space="preserve"> 2 Cost Recovery</w:t>
      </w:r>
      <w:r w:rsidRPr="008C2DE9">
        <w:t xml:space="preserve"> Impact Statement</w:t>
      </w:r>
      <w:bookmarkEnd w:id="0"/>
      <w:bookmarkEnd w:id="1"/>
      <w:bookmarkEnd w:id="2"/>
      <w:bookmarkEnd w:id="3"/>
      <w:bookmarkEnd w:id="4"/>
      <w:bookmarkEnd w:id="5"/>
      <w:bookmarkEnd w:id="6"/>
      <w:bookmarkEnd w:id="7"/>
      <w:r w:rsidR="005C3335">
        <w:t>: Approval to Amend the Radiation Safety Regulations</w:t>
      </w:r>
      <w:r w:rsidR="000A4F1F">
        <w:t xml:space="preserve"> 2016</w:t>
      </w:r>
    </w:p>
    <w:p w14:paraId="70D6DDF3" w14:textId="77777777" w:rsidR="0041087B" w:rsidRPr="00A864A5" w:rsidRDefault="0041087B" w:rsidP="0041087B">
      <w:pPr>
        <w:pStyle w:val="spacer"/>
        <w:rPr>
          <w:lang w:val="en-NZ"/>
        </w:rPr>
      </w:pPr>
    </w:p>
    <w:tbl>
      <w:tblPr>
        <w:tblW w:w="4885" w:type="pct"/>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600" w:firstRow="0" w:lastRow="0" w:firstColumn="0" w:lastColumn="0" w:noHBand="1" w:noVBand="1"/>
      </w:tblPr>
      <w:tblGrid>
        <w:gridCol w:w="110"/>
        <w:gridCol w:w="2187"/>
        <w:gridCol w:w="53"/>
        <w:gridCol w:w="6397"/>
        <w:gridCol w:w="106"/>
      </w:tblGrid>
      <w:tr w:rsidR="0041087B" w:rsidRPr="00A864A5" w14:paraId="6EC80622" w14:textId="77777777" w:rsidTr="00794D22">
        <w:tc>
          <w:tcPr>
            <w:tcW w:w="5000" w:type="pct"/>
            <w:gridSpan w:val="5"/>
            <w:tcBorders>
              <w:bottom w:val="single" w:sz="4" w:space="0" w:color="DDDDDD"/>
            </w:tcBorders>
            <w:shd w:val="clear" w:color="auto" w:fill="99CDDD"/>
            <w:hideMark/>
          </w:tcPr>
          <w:p w14:paraId="7E0DB43A" w14:textId="77777777" w:rsidR="0041087B" w:rsidRPr="00A864A5" w:rsidRDefault="0041087B" w:rsidP="00794D22">
            <w:pPr>
              <w:pStyle w:val="TableHeadings"/>
              <w:rPr>
                <w:color w:val="002060"/>
                <w:szCs w:val="22"/>
                <w:lang w:val="en-NZ"/>
              </w:rPr>
            </w:pPr>
            <w:bookmarkStart w:id="18" w:name="_Hlk47357107"/>
            <w:r w:rsidRPr="00A864A5">
              <w:rPr>
                <w:szCs w:val="22"/>
                <w:lang w:val="en-NZ"/>
              </w:rPr>
              <w:t>Purpose</w:t>
            </w:r>
            <w:r>
              <w:rPr>
                <w:szCs w:val="22"/>
                <w:lang w:val="en-NZ"/>
              </w:rPr>
              <w:t xml:space="preserve"> of Document</w:t>
            </w:r>
          </w:p>
        </w:tc>
      </w:tr>
      <w:tr w:rsidR="0041087B" w:rsidRPr="00A864A5" w14:paraId="757856C4" w14:textId="77777777" w:rsidTr="00794D22">
        <w:trPr>
          <w:trHeight w:val="414"/>
        </w:trPr>
        <w:tc>
          <w:tcPr>
            <w:tcW w:w="1297" w:type="pct"/>
            <w:gridSpan w:val="2"/>
            <w:tcBorders>
              <w:top w:val="nil"/>
            </w:tcBorders>
            <w:shd w:val="clear" w:color="auto" w:fill="EBF5F8"/>
          </w:tcPr>
          <w:p w14:paraId="0AA04A4E" w14:textId="77777777" w:rsidR="0041087B" w:rsidRPr="00A864A5" w:rsidRDefault="0041087B" w:rsidP="00794D22">
            <w:pPr>
              <w:spacing w:after="180"/>
              <w:rPr>
                <w:rFonts w:cs="Arial"/>
                <w:iCs/>
                <w:color w:val="000000"/>
              </w:rPr>
            </w:pPr>
            <w:r w:rsidRPr="00A864A5">
              <w:rPr>
                <w:rFonts w:cs="Arial"/>
                <w:iCs/>
                <w:color w:val="000000"/>
              </w:rPr>
              <w:t xml:space="preserve">Decision </w:t>
            </w:r>
            <w:r>
              <w:rPr>
                <w:rFonts w:cs="Arial"/>
                <w:iCs/>
                <w:color w:val="000000"/>
              </w:rPr>
              <w:t>s</w:t>
            </w:r>
            <w:r w:rsidRPr="00A864A5">
              <w:rPr>
                <w:rFonts w:cs="Arial"/>
                <w:iCs/>
                <w:color w:val="000000"/>
              </w:rPr>
              <w:t>ought:</w:t>
            </w:r>
          </w:p>
        </w:tc>
        <w:tc>
          <w:tcPr>
            <w:tcW w:w="3703" w:type="pct"/>
            <w:gridSpan w:val="3"/>
            <w:tcBorders>
              <w:top w:val="nil"/>
            </w:tcBorders>
            <w:shd w:val="clear" w:color="auto" w:fill="auto"/>
          </w:tcPr>
          <w:p w14:paraId="424F40DE" w14:textId="77777777" w:rsidR="0041087B" w:rsidRPr="008064C0" w:rsidRDefault="00757148" w:rsidP="00794D22">
            <w:pPr>
              <w:spacing w:after="180"/>
              <w:rPr>
                <w:rFonts w:cs="Arial"/>
                <w:i/>
                <w:color w:val="000000"/>
              </w:rPr>
            </w:pPr>
            <w:r w:rsidRPr="006D33DA">
              <w:rPr>
                <w:rFonts w:cs="Arial"/>
                <w:iCs/>
                <w:color w:val="000000"/>
              </w:rPr>
              <w:t>Approval to Amend the Radiation Safety Regulations 2016</w:t>
            </w:r>
          </w:p>
        </w:tc>
      </w:tr>
      <w:tr w:rsidR="0041087B" w:rsidRPr="00A864A5" w14:paraId="14AE5708" w14:textId="77777777" w:rsidTr="00794D22">
        <w:trPr>
          <w:trHeight w:val="506"/>
        </w:trPr>
        <w:tc>
          <w:tcPr>
            <w:tcW w:w="1297" w:type="pct"/>
            <w:gridSpan w:val="2"/>
            <w:tcBorders>
              <w:top w:val="nil"/>
            </w:tcBorders>
            <w:shd w:val="clear" w:color="auto" w:fill="EBF5F8"/>
          </w:tcPr>
          <w:p w14:paraId="24A5A068" w14:textId="77777777" w:rsidR="0041087B" w:rsidRPr="00A864A5" w:rsidRDefault="0041087B" w:rsidP="00794D22">
            <w:pPr>
              <w:spacing w:after="180"/>
              <w:rPr>
                <w:rFonts w:cs="Arial"/>
                <w:iCs/>
                <w:color w:val="000000"/>
              </w:rPr>
            </w:pPr>
            <w:r>
              <w:rPr>
                <w:rFonts w:cs="Arial"/>
                <w:iCs/>
                <w:color w:val="000000"/>
              </w:rPr>
              <w:t>Advising agencies:</w:t>
            </w:r>
          </w:p>
        </w:tc>
        <w:tc>
          <w:tcPr>
            <w:tcW w:w="3703" w:type="pct"/>
            <w:gridSpan w:val="3"/>
            <w:tcBorders>
              <w:top w:val="nil"/>
            </w:tcBorders>
            <w:shd w:val="clear" w:color="auto" w:fill="auto"/>
          </w:tcPr>
          <w:p w14:paraId="01076B5C" w14:textId="77777777" w:rsidR="0041087B" w:rsidRPr="008064C0" w:rsidRDefault="00757148" w:rsidP="00794D22">
            <w:pPr>
              <w:spacing w:after="180"/>
              <w:rPr>
                <w:rFonts w:cs="Arial"/>
                <w:i/>
                <w:color w:val="000000"/>
              </w:rPr>
            </w:pPr>
            <w:r w:rsidRPr="006D33DA">
              <w:rPr>
                <w:rFonts w:cs="Arial"/>
                <w:iCs/>
                <w:color w:val="000000"/>
              </w:rPr>
              <w:t>Ministry of Health</w:t>
            </w:r>
          </w:p>
        </w:tc>
      </w:tr>
      <w:tr w:rsidR="0041087B" w:rsidRPr="00A864A5" w14:paraId="274B961A" w14:textId="77777777" w:rsidTr="00794D22">
        <w:trPr>
          <w:trHeight w:val="317"/>
        </w:trPr>
        <w:tc>
          <w:tcPr>
            <w:tcW w:w="1297" w:type="pct"/>
            <w:gridSpan w:val="2"/>
            <w:tcBorders>
              <w:top w:val="nil"/>
            </w:tcBorders>
            <w:shd w:val="clear" w:color="auto" w:fill="EBF5F8"/>
          </w:tcPr>
          <w:p w14:paraId="7F4D80A1" w14:textId="77777777" w:rsidR="0041087B" w:rsidRPr="00A864A5" w:rsidRDefault="0041087B" w:rsidP="00794D22">
            <w:pPr>
              <w:spacing w:after="180"/>
              <w:rPr>
                <w:rFonts w:cs="Arial"/>
                <w:iCs/>
                <w:color w:val="000000"/>
              </w:rPr>
            </w:pPr>
            <w:r w:rsidRPr="00A864A5">
              <w:rPr>
                <w:rFonts w:cs="Arial"/>
                <w:iCs/>
                <w:color w:val="000000"/>
              </w:rPr>
              <w:t>Proposing Minister</w:t>
            </w:r>
            <w:r>
              <w:rPr>
                <w:rFonts w:cs="Arial"/>
                <w:iCs/>
                <w:color w:val="000000"/>
              </w:rPr>
              <w:t>s:</w:t>
            </w:r>
          </w:p>
        </w:tc>
        <w:tc>
          <w:tcPr>
            <w:tcW w:w="3703" w:type="pct"/>
            <w:gridSpan w:val="3"/>
            <w:tcBorders>
              <w:top w:val="nil"/>
            </w:tcBorders>
            <w:shd w:val="clear" w:color="auto" w:fill="auto"/>
          </w:tcPr>
          <w:p w14:paraId="5B4CAB11" w14:textId="77777777" w:rsidR="0041087B" w:rsidRPr="008064C0" w:rsidRDefault="00757148" w:rsidP="00794D22">
            <w:pPr>
              <w:spacing w:after="180"/>
              <w:rPr>
                <w:rFonts w:cs="Arial"/>
                <w:i/>
                <w:color w:val="000000"/>
              </w:rPr>
            </w:pPr>
            <w:r>
              <w:rPr>
                <w:rFonts w:cs="Arial"/>
                <w:iCs/>
                <w:color w:val="000000"/>
              </w:rPr>
              <w:t xml:space="preserve">Hon Andrew Little, </w:t>
            </w:r>
            <w:r w:rsidRPr="006D33DA">
              <w:rPr>
                <w:rFonts w:cs="Arial"/>
                <w:iCs/>
                <w:color w:val="000000"/>
              </w:rPr>
              <w:t>Minister of Health</w:t>
            </w:r>
          </w:p>
        </w:tc>
      </w:tr>
      <w:tr w:rsidR="0041087B" w:rsidRPr="00A864A5" w14:paraId="5CD562E8" w14:textId="77777777" w:rsidTr="00794D22">
        <w:trPr>
          <w:trHeight w:val="202"/>
        </w:trPr>
        <w:tc>
          <w:tcPr>
            <w:tcW w:w="1297" w:type="pct"/>
            <w:gridSpan w:val="2"/>
            <w:tcBorders>
              <w:top w:val="nil"/>
            </w:tcBorders>
            <w:shd w:val="clear" w:color="auto" w:fill="EBF5F8"/>
          </w:tcPr>
          <w:p w14:paraId="19CA1EA4" w14:textId="77777777" w:rsidR="0041087B" w:rsidRPr="00A864A5" w:rsidRDefault="0041087B" w:rsidP="00794D22">
            <w:pPr>
              <w:spacing w:after="180"/>
              <w:rPr>
                <w:rFonts w:cs="Arial"/>
                <w:iCs/>
                <w:color w:val="000000"/>
              </w:rPr>
            </w:pPr>
            <w:r w:rsidRPr="00A864A5">
              <w:rPr>
                <w:rFonts w:cs="Arial"/>
                <w:iCs/>
                <w:color w:val="000000"/>
              </w:rPr>
              <w:t>Date</w:t>
            </w:r>
            <w:r>
              <w:rPr>
                <w:rFonts w:cs="Arial"/>
                <w:iCs/>
                <w:color w:val="000000"/>
              </w:rPr>
              <w:t xml:space="preserve"> finalised</w:t>
            </w:r>
            <w:r w:rsidRPr="00A864A5">
              <w:rPr>
                <w:rFonts w:cs="Arial"/>
                <w:iCs/>
                <w:color w:val="000000"/>
              </w:rPr>
              <w:t>:</w:t>
            </w:r>
          </w:p>
        </w:tc>
        <w:tc>
          <w:tcPr>
            <w:tcW w:w="3703" w:type="pct"/>
            <w:gridSpan w:val="3"/>
            <w:tcBorders>
              <w:top w:val="nil"/>
            </w:tcBorders>
            <w:shd w:val="clear" w:color="auto" w:fill="auto"/>
          </w:tcPr>
          <w:p w14:paraId="7A064015" w14:textId="77777777" w:rsidR="0041087B" w:rsidRPr="00757148" w:rsidRDefault="00757148" w:rsidP="00794D22">
            <w:pPr>
              <w:spacing w:after="180"/>
              <w:rPr>
                <w:rFonts w:cs="Arial"/>
                <w:iCs/>
                <w:color w:val="000000"/>
              </w:rPr>
            </w:pPr>
            <w:r w:rsidRPr="00582A5F">
              <w:rPr>
                <w:rFonts w:cs="Arial"/>
                <w:iCs/>
              </w:rPr>
              <w:t>19 September 2022</w:t>
            </w:r>
          </w:p>
        </w:tc>
      </w:tr>
      <w:tr w:rsidR="0041087B" w:rsidRPr="00A864A5" w14:paraId="1BC0A061" w14:textId="77777777" w:rsidTr="00794D22">
        <w:tc>
          <w:tcPr>
            <w:tcW w:w="5000" w:type="pct"/>
            <w:gridSpan w:val="5"/>
            <w:tcBorders>
              <w:bottom w:val="single" w:sz="4" w:space="0" w:color="DDDDDD"/>
            </w:tcBorders>
            <w:shd w:val="clear" w:color="auto" w:fill="99CDDD"/>
            <w:hideMark/>
          </w:tcPr>
          <w:p w14:paraId="01405319" w14:textId="77777777" w:rsidR="0041087B" w:rsidRPr="00A864A5" w:rsidRDefault="0041087B" w:rsidP="00794D22">
            <w:pPr>
              <w:pStyle w:val="TableHeadings"/>
              <w:rPr>
                <w:color w:val="002060"/>
                <w:szCs w:val="22"/>
                <w:lang w:val="en-NZ"/>
              </w:rPr>
            </w:pPr>
            <w:r w:rsidRPr="00A864A5">
              <w:rPr>
                <w:szCs w:val="22"/>
                <w:lang w:val="en-NZ"/>
              </w:rPr>
              <w:t>Problem Definition</w:t>
            </w:r>
          </w:p>
        </w:tc>
      </w:tr>
      <w:tr w:rsidR="0041087B" w:rsidRPr="00A864A5" w14:paraId="637F2045" w14:textId="77777777" w:rsidTr="00794D22">
        <w:trPr>
          <w:trHeight w:val="824"/>
        </w:trPr>
        <w:tc>
          <w:tcPr>
            <w:tcW w:w="5000" w:type="pct"/>
            <w:gridSpan w:val="5"/>
            <w:tcBorders>
              <w:top w:val="nil"/>
            </w:tcBorders>
            <w:shd w:val="clear" w:color="auto" w:fill="auto"/>
          </w:tcPr>
          <w:p w14:paraId="47D568DA" w14:textId="77777777" w:rsidR="00757148" w:rsidRPr="00546F16" w:rsidRDefault="00757148" w:rsidP="00757148">
            <w:pPr>
              <w:tabs>
                <w:tab w:val="left" w:pos="7424"/>
                <w:tab w:val="right" w:pos="8636"/>
              </w:tabs>
              <w:rPr>
                <w:rFonts w:cs="Arial"/>
                <w:b/>
                <w:bCs/>
              </w:rPr>
            </w:pPr>
            <w:r w:rsidRPr="00546F16">
              <w:rPr>
                <w:rFonts w:cs="Arial"/>
                <w:b/>
                <w:bCs/>
              </w:rPr>
              <w:t xml:space="preserve">Radiation safety fees </w:t>
            </w:r>
          </w:p>
          <w:p w14:paraId="612460B4" w14:textId="77777777" w:rsidR="00757148" w:rsidRDefault="00757148" w:rsidP="00757148">
            <w:pPr>
              <w:tabs>
                <w:tab w:val="left" w:pos="7424"/>
                <w:tab w:val="right" w:pos="8636"/>
              </w:tabs>
              <w:rPr>
                <w:rFonts w:cs="Arial"/>
              </w:rPr>
            </w:pPr>
            <w:r>
              <w:rPr>
                <w:rFonts w:cs="Arial"/>
              </w:rPr>
              <w:t xml:space="preserve">The </w:t>
            </w:r>
            <w:r w:rsidR="00BC5DA4">
              <w:rPr>
                <w:rFonts w:cs="Arial"/>
              </w:rPr>
              <w:t xml:space="preserve">administration of </w:t>
            </w:r>
            <w:r>
              <w:rPr>
                <w:rFonts w:cs="Arial"/>
              </w:rPr>
              <w:t xml:space="preserve">radiation safety is operating a steadily growing negative memorandum account balance (deficit) that the current fees take cannot address. </w:t>
            </w:r>
          </w:p>
          <w:p w14:paraId="4B9EB1F5" w14:textId="77777777" w:rsidR="00757148" w:rsidRDefault="00757148" w:rsidP="00757148">
            <w:pPr>
              <w:tabs>
                <w:tab w:val="left" w:pos="7424"/>
                <w:tab w:val="right" w:pos="8636"/>
              </w:tabs>
              <w:rPr>
                <w:rFonts w:cs="Arial"/>
                <w:b/>
                <w:bCs/>
              </w:rPr>
            </w:pPr>
            <w:r>
              <w:rPr>
                <w:rFonts w:cs="Arial"/>
                <w:b/>
                <w:bCs/>
              </w:rPr>
              <w:t xml:space="preserve">Categorisation of radiation safety practices </w:t>
            </w:r>
          </w:p>
          <w:p w14:paraId="221DD24E" w14:textId="77777777" w:rsidR="00757148" w:rsidRDefault="00757148" w:rsidP="00757148">
            <w:pPr>
              <w:tabs>
                <w:tab w:val="left" w:pos="7424"/>
                <w:tab w:val="right" w:pos="8636"/>
              </w:tabs>
              <w:rPr>
                <w:rFonts w:cs="Arial"/>
                <w:bCs/>
              </w:rPr>
            </w:pPr>
            <w:r>
              <w:rPr>
                <w:rFonts w:cs="Arial"/>
                <w:bCs/>
              </w:rPr>
              <w:t xml:space="preserve">Some </w:t>
            </w:r>
            <w:r w:rsidR="00BC5DA4">
              <w:rPr>
                <w:rFonts w:cs="Arial"/>
                <w:bCs/>
              </w:rPr>
              <w:t xml:space="preserve">ionising radiation </w:t>
            </w:r>
            <w:r>
              <w:rPr>
                <w:rFonts w:cs="Arial"/>
                <w:bCs/>
              </w:rPr>
              <w:t xml:space="preserve">practices are not in the correct </w:t>
            </w:r>
            <w:r w:rsidR="000A4F1F">
              <w:rPr>
                <w:rFonts w:cs="Arial"/>
                <w:bCs/>
              </w:rPr>
              <w:t xml:space="preserve">(risk-based) </w:t>
            </w:r>
            <w:r>
              <w:rPr>
                <w:rFonts w:cs="Arial"/>
                <w:bCs/>
              </w:rPr>
              <w:t xml:space="preserve">compliance monitoring category and therefore, are not paying the appropriate fee for the </w:t>
            </w:r>
            <w:r w:rsidR="00BC5DA4">
              <w:rPr>
                <w:rFonts w:cs="Arial"/>
                <w:bCs/>
              </w:rPr>
              <w:t xml:space="preserve">level of </w:t>
            </w:r>
            <w:r>
              <w:rPr>
                <w:rFonts w:cs="Arial"/>
                <w:bCs/>
              </w:rPr>
              <w:t xml:space="preserve">inspection that </w:t>
            </w:r>
            <w:r w:rsidR="00BC5DA4">
              <w:rPr>
                <w:rFonts w:cs="Arial"/>
                <w:bCs/>
              </w:rPr>
              <w:t>is</w:t>
            </w:r>
            <w:r>
              <w:rPr>
                <w:rFonts w:cs="Arial"/>
                <w:bCs/>
              </w:rPr>
              <w:t xml:space="preserve"> warranted. </w:t>
            </w:r>
          </w:p>
          <w:p w14:paraId="6D19CD0E" w14:textId="77777777" w:rsidR="005C3335" w:rsidRDefault="005C3335" w:rsidP="00757148">
            <w:pPr>
              <w:tabs>
                <w:tab w:val="left" w:pos="7424"/>
                <w:tab w:val="right" w:pos="8636"/>
              </w:tabs>
              <w:rPr>
                <w:rFonts w:cs="Arial"/>
                <w:b/>
                <w:bCs/>
              </w:rPr>
            </w:pPr>
            <w:r>
              <w:rPr>
                <w:rFonts w:cs="Arial"/>
                <w:b/>
                <w:bCs/>
              </w:rPr>
              <w:t>Inspection periods</w:t>
            </w:r>
          </w:p>
          <w:p w14:paraId="11DC804F" w14:textId="77777777" w:rsidR="005C3335" w:rsidRDefault="005C3335" w:rsidP="005C3335">
            <w:pPr>
              <w:tabs>
                <w:tab w:val="left" w:pos="7424"/>
                <w:tab w:val="right" w:pos="8636"/>
              </w:tabs>
              <w:rPr>
                <w:rFonts w:cs="Arial"/>
                <w:bCs/>
              </w:rPr>
            </w:pPr>
            <w:r>
              <w:rPr>
                <w:rFonts w:cs="Arial"/>
                <w:bCs/>
              </w:rPr>
              <w:t xml:space="preserve">The use of inspection periods in the </w:t>
            </w:r>
            <w:r w:rsidR="000A4F1F">
              <w:rPr>
                <w:rFonts w:cs="Arial"/>
                <w:bCs/>
              </w:rPr>
              <w:t xml:space="preserve">Radiation Safety Regulations 2016 (the </w:t>
            </w:r>
            <w:r>
              <w:rPr>
                <w:rFonts w:cs="Arial"/>
                <w:bCs/>
              </w:rPr>
              <w:t>Regulations</w:t>
            </w:r>
            <w:r w:rsidR="000A4F1F">
              <w:rPr>
                <w:rFonts w:cs="Arial"/>
                <w:bCs/>
              </w:rPr>
              <w:t>)</w:t>
            </w:r>
            <w:r>
              <w:rPr>
                <w:rFonts w:cs="Arial"/>
                <w:bCs/>
              </w:rPr>
              <w:t xml:space="preserve"> has inadvertently restricted some inspection practices that are desirable to better meet the purpose of the Act.  </w:t>
            </w:r>
          </w:p>
          <w:p w14:paraId="533311AB" w14:textId="77777777" w:rsidR="00757148" w:rsidRPr="00546F16" w:rsidRDefault="00757148" w:rsidP="00757148">
            <w:pPr>
              <w:tabs>
                <w:tab w:val="left" w:pos="7424"/>
                <w:tab w:val="right" w:pos="8636"/>
              </w:tabs>
              <w:rPr>
                <w:rFonts w:cs="Arial"/>
                <w:b/>
                <w:bCs/>
              </w:rPr>
            </w:pPr>
            <w:r w:rsidRPr="00546F16">
              <w:rPr>
                <w:rFonts w:cs="Arial"/>
                <w:b/>
                <w:bCs/>
              </w:rPr>
              <w:t xml:space="preserve">Exemptions </w:t>
            </w:r>
            <w:r>
              <w:rPr>
                <w:rFonts w:cs="Arial"/>
                <w:b/>
                <w:bCs/>
              </w:rPr>
              <w:t>and authorisations</w:t>
            </w:r>
          </w:p>
          <w:p w14:paraId="6939A516" w14:textId="77777777" w:rsidR="0041087B" w:rsidRPr="00A864A5" w:rsidRDefault="00757148" w:rsidP="00757148">
            <w:pPr>
              <w:tabs>
                <w:tab w:val="left" w:pos="7424"/>
                <w:tab w:val="right" w:pos="8636"/>
              </w:tabs>
              <w:rPr>
                <w:rFonts w:cs="Arial"/>
              </w:rPr>
            </w:pPr>
            <w:r>
              <w:rPr>
                <w:rFonts w:cs="Arial"/>
              </w:rPr>
              <w:t xml:space="preserve">Some exemptions and an authorisation require amendment to ensure technical accuracy and proportionality.   </w:t>
            </w:r>
          </w:p>
        </w:tc>
      </w:tr>
      <w:tr w:rsidR="0041087B" w:rsidRPr="00A864A5" w14:paraId="410BD956" w14:textId="77777777" w:rsidTr="00794D22">
        <w:tc>
          <w:tcPr>
            <w:tcW w:w="5000" w:type="pct"/>
            <w:gridSpan w:val="5"/>
            <w:tcBorders>
              <w:bottom w:val="single" w:sz="4" w:space="0" w:color="DDDDDD"/>
            </w:tcBorders>
            <w:shd w:val="clear" w:color="auto" w:fill="99CDDD"/>
            <w:hideMark/>
          </w:tcPr>
          <w:p w14:paraId="1F05EAC2" w14:textId="77777777" w:rsidR="0041087B" w:rsidRPr="00A864A5" w:rsidRDefault="0041087B" w:rsidP="00794D22">
            <w:pPr>
              <w:pStyle w:val="TableHeadings"/>
              <w:rPr>
                <w:color w:val="002060"/>
                <w:szCs w:val="22"/>
                <w:lang w:val="en-NZ"/>
              </w:rPr>
            </w:pPr>
            <w:bookmarkStart w:id="19" w:name="_Hlk57202117"/>
            <w:r w:rsidRPr="00A864A5">
              <w:rPr>
                <w:szCs w:val="22"/>
                <w:lang w:val="en-NZ"/>
              </w:rPr>
              <w:t>Executive Summary</w:t>
            </w:r>
          </w:p>
        </w:tc>
      </w:tr>
      <w:tr w:rsidR="0041087B" w:rsidRPr="00A864A5" w14:paraId="70BDBE27" w14:textId="77777777" w:rsidTr="00794D22">
        <w:trPr>
          <w:trHeight w:val="944"/>
        </w:trPr>
        <w:tc>
          <w:tcPr>
            <w:tcW w:w="5000" w:type="pct"/>
            <w:gridSpan w:val="5"/>
            <w:tcBorders>
              <w:top w:val="nil"/>
            </w:tcBorders>
            <w:shd w:val="clear" w:color="auto" w:fill="auto"/>
          </w:tcPr>
          <w:p w14:paraId="7E9D8F4E" w14:textId="77777777" w:rsidR="005C3335" w:rsidRDefault="005C3335" w:rsidP="005C3335">
            <w:pPr>
              <w:spacing w:after="180"/>
            </w:pPr>
            <w:r>
              <w:t xml:space="preserve">A significant increase in the fees payable to the Ministry of Health (the Ministry) for authorisation </w:t>
            </w:r>
            <w:r w:rsidRPr="005C3335">
              <w:rPr>
                <w:rFonts w:cs="Arial"/>
              </w:rPr>
              <w:t>applications</w:t>
            </w:r>
            <w:r>
              <w:t xml:space="preserve"> made under the Radiation Safety Act 2016 (the Act) is proposed. The fees are set out in the Regulations. </w:t>
            </w:r>
          </w:p>
          <w:p w14:paraId="7D8FA615" w14:textId="77777777" w:rsidR="005C3335" w:rsidRDefault="005C3335" w:rsidP="005C3335">
            <w:pPr>
              <w:spacing w:after="180"/>
            </w:pPr>
            <w:r>
              <w:t xml:space="preserve">The </w:t>
            </w:r>
            <w:r w:rsidR="00012FF3">
              <w:t xml:space="preserve">proposed </w:t>
            </w:r>
            <w:r>
              <w:t xml:space="preserve">fees increase would ensure that the original intent for the Regulations to fully recover the direct and indirect costs of administering the Act can be met. </w:t>
            </w:r>
          </w:p>
          <w:p w14:paraId="0AE3727C" w14:textId="77777777" w:rsidR="005C3335" w:rsidRDefault="005C3335" w:rsidP="005F3678">
            <w:pPr>
              <w:spacing w:after="120"/>
            </w:pPr>
            <w:r>
              <w:lastRenderedPageBreak/>
              <w:t xml:space="preserve">The </w:t>
            </w:r>
            <w:r w:rsidRPr="005C3335">
              <w:rPr>
                <w:rFonts w:cs="Arial"/>
              </w:rPr>
              <w:t>proposed</w:t>
            </w:r>
            <w:r>
              <w:t xml:space="preserve"> fees would also recover a shortfall in the fees taken since 2016 (the negative memorandum account balance). Supporting amendments are proposed for the refund provisions. </w:t>
            </w:r>
          </w:p>
          <w:p w14:paraId="52ABC674" w14:textId="77777777" w:rsidR="005C3335" w:rsidRDefault="005C3335" w:rsidP="005C3335">
            <w:pPr>
              <w:spacing w:after="180"/>
            </w:pPr>
            <w:r>
              <w:t xml:space="preserve">Re-categorising some practices set out in Schedule 2 </w:t>
            </w:r>
            <w:r w:rsidR="00302CB6">
              <w:t xml:space="preserve">of </w:t>
            </w:r>
            <w:r>
              <w:t>the Regulations is also proposed. Categorisation determines the fees that are payable for source licence applications (an authorisation type). This proposal w</w:t>
            </w:r>
            <w:r w:rsidR="00012FF3">
              <w:t>ould</w:t>
            </w:r>
            <w:r>
              <w:t xml:space="preserve"> better allocate fees to the costs of inspections.  </w:t>
            </w:r>
          </w:p>
          <w:p w14:paraId="22E92DF4" w14:textId="77777777" w:rsidR="005C3335" w:rsidRDefault="005C3335" w:rsidP="005C3335">
            <w:pPr>
              <w:spacing w:after="180"/>
            </w:pPr>
            <w:r>
              <w:t xml:space="preserve">Replacing inspection periods with more suitable terminology is proposed to address unintended restrictions on inspection practices and scheduling. This proposal does not affect fees but is perceived to be removing some transparency. Addition reporting is proposed to add transparency. The proposal would improve the benefits available </w:t>
            </w:r>
            <w:proofErr w:type="gramStart"/>
            <w:r w:rsidR="00012FF3">
              <w:t>as a result of</w:t>
            </w:r>
            <w:proofErr w:type="gramEnd"/>
            <w:r w:rsidR="00012FF3">
              <w:t xml:space="preserve"> operating</w:t>
            </w:r>
            <w:r>
              <w:t xml:space="preserve"> the inspection programme. </w:t>
            </w:r>
          </w:p>
          <w:p w14:paraId="6694AD00" w14:textId="77777777" w:rsidR="0041087B" w:rsidRPr="005C3335" w:rsidRDefault="004903E2" w:rsidP="005C3335">
            <w:pPr>
              <w:spacing w:after="180"/>
            </w:pPr>
            <w:r>
              <w:t>Additional minor amendments are</w:t>
            </w:r>
            <w:r w:rsidR="005C3335">
              <w:t xml:space="preserve"> proposed to the exemptions for very low-risk practices </w:t>
            </w:r>
            <w:r w:rsidR="005C3335" w:rsidRPr="005C3335">
              <w:rPr>
                <w:rFonts w:cs="Arial"/>
              </w:rPr>
              <w:t>and</w:t>
            </w:r>
            <w:r w:rsidR="005C3335">
              <w:t xml:space="preserve"> to clarify the scope of an existing authorisation of a practice in Schedule 3 of the Regulations. Th</w:t>
            </w:r>
            <w:r>
              <w:t>ese</w:t>
            </w:r>
            <w:r w:rsidR="005C3335">
              <w:t xml:space="preserve"> proposal</w:t>
            </w:r>
            <w:r>
              <w:t>s</w:t>
            </w:r>
            <w:r w:rsidR="005C3335">
              <w:t xml:space="preserve"> do not affect the fees or </w:t>
            </w:r>
            <w:r>
              <w:t>cost recovery</w:t>
            </w:r>
            <w:r w:rsidR="005C3335">
              <w:t xml:space="preserve">.  </w:t>
            </w:r>
          </w:p>
        </w:tc>
      </w:tr>
      <w:bookmarkEnd w:id="18"/>
      <w:bookmarkEnd w:id="19"/>
      <w:tr w:rsidR="0041087B" w:rsidRPr="00A864A5" w14:paraId="14C02840" w14:textId="77777777" w:rsidTr="00794D22">
        <w:trPr>
          <w:gridBefore w:val="1"/>
          <w:gridAfter w:val="1"/>
          <w:wBefore w:w="62" w:type="pct"/>
          <w:wAfter w:w="60" w:type="pct"/>
        </w:trPr>
        <w:tc>
          <w:tcPr>
            <w:tcW w:w="4878" w:type="pct"/>
            <w:gridSpan w:val="3"/>
            <w:tcBorders>
              <w:bottom w:val="single" w:sz="4" w:space="0" w:color="DDDDDD"/>
            </w:tcBorders>
            <w:shd w:val="clear" w:color="auto" w:fill="99CDDD"/>
            <w:hideMark/>
          </w:tcPr>
          <w:p w14:paraId="3A34C040" w14:textId="77777777" w:rsidR="0041087B" w:rsidRPr="00A864A5" w:rsidRDefault="0041087B" w:rsidP="00794D22">
            <w:pPr>
              <w:pStyle w:val="TableHeadings"/>
              <w:rPr>
                <w:color w:val="002060"/>
                <w:szCs w:val="22"/>
                <w:lang w:val="en-NZ"/>
              </w:rPr>
            </w:pPr>
            <w:r w:rsidRPr="00A864A5">
              <w:rPr>
                <w:szCs w:val="22"/>
                <w:lang w:val="en-NZ"/>
              </w:rPr>
              <w:lastRenderedPageBreak/>
              <w:t xml:space="preserve">Limitations </w:t>
            </w:r>
            <w:r>
              <w:rPr>
                <w:szCs w:val="22"/>
                <w:lang w:val="en-NZ"/>
              </w:rPr>
              <w:t>and</w:t>
            </w:r>
            <w:r w:rsidRPr="00A864A5">
              <w:rPr>
                <w:szCs w:val="22"/>
                <w:lang w:val="en-NZ"/>
              </w:rPr>
              <w:t xml:space="preserve"> Constraints on Analysis</w:t>
            </w:r>
          </w:p>
        </w:tc>
      </w:tr>
      <w:tr w:rsidR="0041087B" w:rsidRPr="00A864A5" w14:paraId="2D395DEF" w14:textId="77777777" w:rsidTr="00794D22">
        <w:trPr>
          <w:gridBefore w:val="1"/>
          <w:gridAfter w:val="1"/>
          <w:wBefore w:w="62" w:type="pct"/>
          <w:wAfter w:w="60" w:type="pct"/>
          <w:trHeight w:val="978"/>
        </w:trPr>
        <w:tc>
          <w:tcPr>
            <w:tcW w:w="4878" w:type="pct"/>
            <w:gridSpan w:val="3"/>
            <w:tcBorders>
              <w:top w:val="nil"/>
            </w:tcBorders>
            <w:shd w:val="clear" w:color="auto" w:fill="auto"/>
          </w:tcPr>
          <w:p w14:paraId="2AD4E04A" w14:textId="77777777" w:rsidR="0041087B" w:rsidRDefault="00757148" w:rsidP="00794D22">
            <w:pPr>
              <w:spacing w:after="180"/>
              <w:rPr>
                <w:rFonts w:cs="Arial"/>
              </w:rPr>
            </w:pPr>
            <w:r>
              <w:rPr>
                <w:rFonts w:cs="Arial"/>
              </w:rPr>
              <w:t>Analysis was limited to the scope of matters that can be deal</w:t>
            </w:r>
            <w:r w:rsidR="00F001AF">
              <w:rPr>
                <w:rFonts w:cs="Arial"/>
              </w:rPr>
              <w:t>t</w:t>
            </w:r>
            <w:r>
              <w:rPr>
                <w:rFonts w:cs="Arial"/>
              </w:rPr>
              <w:t xml:space="preserve"> with by the regulation making provisions set out in </w:t>
            </w:r>
            <w:r w:rsidR="00F001AF">
              <w:rPr>
                <w:rFonts w:cs="Arial"/>
              </w:rPr>
              <w:t xml:space="preserve">sections 91 to 93 of </w:t>
            </w:r>
            <w:r>
              <w:rPr>
                <w:rFonts w:cs="Arial"/>
              </w:rPr>
              <w:t xml:space="preserve">the Radiation Safety Act </w:t>
            </w:r>
            <w:r w:rsidR="00F001AF">
              <w:rPr>
                <w:rFonts w:cs="Arial"/>
              </w:rPr>
              <w:t xml:space="preserve">2016 </w:t>
            </w:r>
            <w:r>
              <w:rPr>
                <w:rFonts w:cs="Arial"/>
              </w:rPr>
              <w:t xml:space="preserve">(the Act).  </w:t>
            </w:r>
          </w:p>
          <w:p w14:paraId="43AD43D6" w14:textId="77777777" w:rsidR="00322DB6" w:rsidRDefault="00757148" w:rsidP="005C3335">
            <w:pPr>
              <w:spacing w:after="180"/>
              <w:rPr>
                <w:rFonts w:cs="Arial"/>
                <w:szCs w:val="24"/>
              </w:rPr>
            </w:pPr>
            <w:r>
              <w:rPr>
                <w:rFonts w:cs="Arial"/>
                <w:iCs/>
                <w:color w:val="000000"/>
              </w:rPr>
              <w:t xml:space="preserve">Analysis </w:t>
            </w:r>
            <w:r w:rsidR="00012FF3">
              <w:rPr>
                <w:rFonts w:cs="Arial"/>
                <w:iCs/>
                <w:color w:val="000000"/>
              </w:rPr>
              <w:t>was further limited to</w:t>
            </w:r>
            <w:r>
              <w:rPr>
                <w:rFonts w:cs="Arial"/>
                <w:iCs/>
                <w:color w:val="000000"/>
              </w:rPr>
              <w:t xml:space="preserve"> evaluating the operation of the Radiation Safety Regulations 2016 (the Regulations)</w:t>
            </w:r>
            <w:r w:rsidR="00BC5DA4">
              <w:rPr>
                <w:rFonts w:cs="Arial"/>
                <w:iCs/>
                <w:color w:val="000000"/>
              </w:rPr>
              <w:t xml:space="preserve"> </w:t>
            </w:r>
            <w:r>
              <w:rPr>
                <w:rFonts w:cs="Arial"/>
                <w:iCs/>
                <w:color w:val="000000"/>
              </w:rPr>
              <w:t xml:space="preserve">against the </w:t>
            </w:r>
            <w:r w:rsidR="00BC5DA4">
              <w:rPr>
                <w:rFonts w:cs="Arial"/>
                <w:iCs/>
                <w:color w:val="000000"/>
              </w:rPr>
              <w:t>objectives set out in the 2016 regulatory impact statement (the 2016 RIS)</w:t>
            </w:r>
            <w:r w:rsidR="00BC5DA4">
              <w:rPr>
                <w:rStyle w:val="FootnoteReference"/>
                <w:rFonts w:cs="Arial"/>
                <w:iCs/>
              </w:rPr>
              <w:footnoteReference w:id="1"/>
            </w:r>
            <w:r w:rsidR="00BC5DA4">
              <w:rPr>
                <w:rFonts w:cs="Arial"/>
                <w:iCs/>
                <w:color w:val="000000"/>
              </w:rPr>
              <w:t xml:space="preserve"> for the Regulations. The objectives of the 2016 RIS informed the</w:t>
            </w:r>
            <w:r w:rsidR="00F001AF">
              <w:rPr>
                <w:rFonts w:cs="Arial"/>
                <w:iCs/>
                <w:color w:val="000000"/>
              </w:rPr>
              <w:t xml:space="preserve"> </w:t>
            </w:r>
            <w:r w:rsidR="00430EB8">
              <w:rPr>
                <w:rFonts w:cs="Arial"/>
                <w:iCs/>
                <w:color w:val="000000"/>
              </w:rPr>
              <w:t xml:space="preserve">policy approval </w:t>
            </w:r>
            <w:r w:rsidR="00F001AF">
              <w:rPr>
                <w:rFonts w:cs="Arial"/>
                <w:iCs/>
                <w:color w:val="000000"/>
              </w:rPr>
              <w:t xml:space="preserve">for the Regulations </w:t>
            </w:r>
            <w:r w:rsidR="00F001AF" w:rsidRPr="00014E4D">
              <w:rPr>
                <w:rFonts w:cs="Arial"/>
                <w:szCs w:val="24"/>
              </w:rPr>
              <w:t>[CAB-16-MIN-0417]</w:t>
            </w:r>
            <w:r w:rsidR="00BC5DA4">
              <w:rPr>
                <w:rFonts w:cs="Arial"/>
                <w:szCs w:val="24"/>
              </w:rPr>
              <w:t xml:space="preserve">. </w:t>
            </w:r>
          </w:p>
          <w:p w14:paraId="6910311F" w14:textId="77777777" w:rsidR="00100275" w:rsidRPr="00397B37" w:rsidRDefault="00322DB6" w:rsidP="005C3335">
            <w:pPr>
              <w:spacing w:after="180"/>
              <w:rPr>
                <w:rFonts w:cs="Arial"/>
                <w:szCs w:val="24"/>
              </w:rPr>
            </w:pPr>
            <w:r>
              <w:rPr>
                <w:rFonts w:cs="Arial"/>
                <w:szCs w:val="24"/>
              </w:rPr>
              <w:t xml:space="preserve">The 2021 public consultation document </w:t>
            </w:r>
            <w:r w:rsidRPr="00757148">
              <w:rPr>
                <w:rFonts w:cs="Arial"/>
                <w:i/>
                <w:color w:val="000000"/>
              </w:rPr>
              <w:t>Review of Radiation Regulations 2016 – a consultation document</w:t>
            </w:r>
            <w:r>
              <w:rPr>
                <w:rStyle w:val="FootnoteReference"/>
                <w:rFonts w:cs="Arial"/>
                <w:iCs/>
              </w:rPr>
              <w:footnoteReference w:id="2"/>
            </w:r>
            <w:r>
              <w:rPr>
                <w:rFonts w:cs="Arial"/>
                <w:szCs w:val="24"/>
              </w:rPr>
              <w:t xml:space="preserve"> made the evaluation of the Regulations against the objectives of the 2016 RIS. The </w:t>
            </w:r>
            <w:r w:rsidR="00C060F7">
              <w:rPr>
                <w:rFonts w:cs="Arial"/>
                <w:szCs w:val="24"/>
              </w:rPr>
              <w:t>public consultation document</w:t>
            </w:r>
            <w:r>
              <w:rPr>
                <w:rFonts w:cs="Arial"/>
                <w:szCs w:val="24"/>
              </w:rPr>
              <w:t xml:space="preserve"> substituted for an interim regulatory impact statement and the analysis reported in this document refers to the options outlined in the </w:t>
            </w:r>
            <w:r w:rsidR="005F6EA0">
              <w:rPr>
                <w:rFonts w:cs="Arial"/>
                <w:szCs w:val="24"/>
              </w:rPr>
              <w:t>public consultation document</w:t>
            </w:r>
            <w:r>
              <w:rPr>
                <w:rFonts w:cs="Arial"/>
                <w:szCs w:val="24"/>
              </w:rPr>
              <w:t xml:space="preserve">.  </w:t>
            </w:r>
          </w:p>
        </w:tc>
      </w:tr>
      <w:tr w:rsidR="0041087B" w:rsidRPr="00A864A5" w14:paraId="73DCF143" w14:textId="77777777" w:rsidTr="00794D22">
        <w:trPr>
          <w:gridBefore w:val="1"/>
          <w:gridAfter w:val="1"/>
          <w:wBefore w:w="62" w:type="pct"/>
          <w:wAfter w:w="60" w:type="pct"/>
        </w:trPr>
        <w:tc>
          <w:tcPr>
            <w:tcW w:w="4878" w:type="pct"/>
            <w:gridSpan w:val="3"/>
            <w:tcBorders>
              <w:bottom w:val="single" w:sz="4" w:space="0" w:color="DDDDDD"/>
            </w:tcBorders>
            <w:shd w:val="clear" w:color="auto" w:fill="99CDDD"/>
            <w:hideMark/>
          </w:tcPr>
          <w:p w14:paraId="0CD57457" w14:textId="77777777" w:rsidR="0041087B" w:rsidRPr="00A864A5" w:rsidRDefault="0041087B" w:rsidP="00794D22">
            <w:pPr>
              <w:pStyle w:val="TableHeadings"/>
              <w:rPr>
                <w:color w:val="002060"/>
                <w:szCs w:val="22"/>
                <w:lang w:val="en-NZ"/>
              </w:rPr>
            </w:pPr>
            <w:r w:rsidRPr="00A864A5">
              <w:rPr>
                <w:szCs w:val="22"/>
                <w:lang w:val="en-NZ"/>
              </w:rPr>
              <w:t>Responsible Manager(s) (completed by relevant manager)</w:t>
            </w:r>
          </w:p>
        </w:tc>
      </w:tr>
      <w:tr w:rsidR="0041087B" w:rsidRPr="00A864A5" w14:paraId="48B55295" w14:textId="77777777" w:rsidTr="00794D22">
        <w:trPr>
          <w:gridBefore w:val="1"/>
          <w:gridAfter w:val="1"/>
          <w:wBefore w:w="62" w:type="pct"/>
          <w:wAfter w:w="60" w:type="pct"/>
          <w:trHeight w:val="1761"/>
        </w:trPr>
        <w:tc>
          <w:tcPr>
            <w:tcW w:w="4878" w:type="pct"/>
            <w:gridSpan w:val="3"/>
            <w:tcBorders>
              <w:top w:val="nil"/>
            </w:tcBorders>
            <w:shd w:val="clear" w:color="auto" w:fill="auto"/>
          </w:tcPr>
          <w:p w14:paraId="7E20985D" w14:textId="77777777" w:rsidR="00757148" w:rsidRPr="00757148" w:rsidRDefault="00757148" w:rsidP="005F3678">
            <w:pPr>
              <w:spacing w:before="60" w:after="0" w:line="240" w:lineRule="auto"/>
              <w:ind w:left="284" w:hanging="284"/>
              <w:jc w:val="both"/>
              <w:rPr>
                <w:rFonts w:cs="Arial"/>
              </w:rPr>
            </w:pPr>
            <w:r w:rsidRPr="00757148">
              <w:rPr>
                <w:rFonts w:cs="Arial"/>
              </w:rPr>
              <w:t>Clare Perry</w:t>
            </w:r>
          </w:p>
          <w:p w14:paraId="43821FE5" w14:textId="77777777" w:rsidR="00757148" w:rsidRPr="00757148" w:rsidRDefault="00757148" w:rsidP="005F3678">
            <w:pPr>
              <w:spacing w:before="60" w:after="0" w:line="240" w:lineRule="auto"/>
              <w:ind w:left="284" w:hanging="284"/>
              <w:jc w:val="both"/>
              <w:rPr>
                <w:rFonts w:cs="Arial"/>
              </w:rPr>
            </w:pPr>
            <w:r w:rsidRPr="00757148">
              <w:rPr>
                <w:rFonts w:cs="Arial"/>
              </w:rPr>
              <w:t>Deputy Director-General</w:t>
            </w:r>
          </w:p>
          <w:p w14:paraId="720E749F" w14:textId="77777777" w:rsidR="00757148" w:rsidRPr="00757148" w:rsidRDefault="00757148" w:rsidP="005F3678">
            <w:pPr>
              <w:spacing w:before="60" w:after="0" w:line="240" w:lineRule="auto"/>
              <w:ind w:left="284" w:hanging="284"/>
              <w:jc w:val="both"/>
              <w:rPr>
                <w:rFonts w:cs="Arial"/>
              </w:rPr>
            </w:pPr>
            <w:r w:rsidRPr="00757148">
              <w:rPr>
                <w:rFonts w:cs="Arial"/>
              </w:rPr>
              <w:t xml:space="preserve">Regulatory Services </w:t>
            </w:r>
          </w:p>
          <w:p w14:paraId="2F9CEF33" w14:textId="77777777" w:rsidR="00757148" w:rsidRPr="00757148" w:rsidRDefault="00757148" w:rsidP="005F3678">
            <w:pPr>
              <w:spacing w:before="60" w:after="0" w:line="240" w:lineRule="auto"/>
              <w:ind w:left="284" w:hanging="284"/>
              <w:jc w:val="both"/>
              <w:rPr>
                <w:rFonts w:cs="Arial"/>
              </w:rPr>
            </w:pPr>
            <w:r w:rsidRPr="00757148">
              <w:rPr>
                <w:rFonts w:cs="Arial"/>
              </w:rPr>
              <w:t>Ministry of Health</w:t>
            </w:r>
          </w:p>
          <w:p w14:paraId="3538377C" w14:textId="4218BB82" w:rsidR="0041087B" w:rsidRPr="005F3678" w:rsidRDefault="00D93457" w:rsidP="005F3678">
            <w:pPr>
              <w:spacing w:before="60" w:after="0" w:line="240" w:lineRule="auto"/>
              <w:rPr>
                <w:rFonts w:cs="Arial"/>
              </w:rPr>
            </w:pPr>
            <w:r>
              <w:rPr>
                <w:rFonts w:cs="Arial"/>
              </w:rPr>
              <w:t>2</w:t>
            </w:r>
            <w:r w:rsidR="00D66708">
              <w:rPr>
                <w:rFonts w:cs="Arial"/>
              </w:rPr>
              <w:t>7</w:t>
            </w:r>
            <w:r w:rsidR="00582A5F" w:rsidRPr="00582A5F">
              <w:rPr>
                <w:rFonts w:cs="Arial"/>
              </w:rPr>
              <w:t xml:space="preserve"> September 2022 </w:t>
            </w:r>
          </w:p>
        </w:tc>
      </w:tr>
      <w:tr w:rsidR="0041087B" w:rsidRPr="00A864A5" w14:paraId="5343A31B" w14:textId="77777777" w:rsidTr="00794D22">
        <w:trPr>
          <w:gridBefore w:val="1"/>
          <w:gridAfter w:val="1"/>
          <w:wBefore w:w="62" w:type="pct"/>
          <w:wAfter w:w="60" w:type="pct"/>
        </w:trPr>
        <w:tc>
          <w:tcPr>
            <w:tcW w:w="4878" w:type="pct"/>
            <w:gridSpan w:val="3"/>
            <w:tcBorders>
              <w:bottom w:val="single" w:sz="4" w:space="0" w:color="DDDDDD"/>
            </w:tcBorders>
            <w:shd w:val="clear" w:color="auto" w:fill="99CDDD"/>
            <w:hideMark/>
          </w:tcPr>
          <w:p w14:paraId="6F2E035B" w14:textId="77777777" w:rsidR="0041087B" w:rsidRPr="00A864A5" w:rsidRDefault="0041087B" w:rsidP="00794D22">
            <w:pPr>
              <w:pStyle w:val="TableHeadings"/>
              <w:rPr>
                <w:color w:val="002060"/>
                <w:szCs w:val="22"/>
                <w:lang w:val="en-NZ"/>
              </w:rPr>
            </w:pPr>
            <w:r w:rsidRPr="00A864A5">
              <w:rPr>
                <w:szCs w:val="22"/>
                <w:lang w:val="en-NZ"/>
              </w:rPr>
              <w:lastRenderedPageBreak/>
              <w:t>Quality Assurance (completed by QA panel)</w:t>
            </w:r>
          </w:p>
        </w:tc>
      </w:tr>
      <w:tr w:rsidR="0041087B" w:rsidRPr="00A864A5" w14:paraId="6AAD3C08" w14:textId="77777777" w:rsidTr="00794D22">
        <w:trPr>
          <w:gridBefore w:val="1"/>
          <w:gridAfter w:val="1"/>
          <w:wBefore w:w="62" w:type="pct"/>
          <w:wAfter w:w="60" w:type="pct"/>
          <w:trHeight w:val="141"/>
        </w:trPr>
        <w:tc>
          <w:tcPr>
            <w:tcW w:w="1265" w:type="pct"/>
            <w:gridSpan w:val="2"/>
            <w:tcBorders>
              <w:top w:val="nil"/>
            </w:tcBorders>
            <w:shd w:val="clear" w:color="auto" w:fill="EBF5F8"/>
          </w:tcPr>
          <w:p w14:paraId="64D5361F" w14:textId="77777777" w:rsidR="0041087B" w:rsidRPr="00A864A5" w:rsidRDefault="0041087B" w:rsidP="00794D22">
            <w:pPr>
              <w:spacing w:after="180"/>
              <w:rPr>
                <w:rFonts w:cs="Arial"/>
                <w:iCs/>
                <w:color w:val="000000"/>
              </w:rPr>
            </w:pPr>
            <w:r w:rsidRPr="00A864A5">
              <w:rPr>
                <w:rFonts w:cs="Arial"/>
                <w:iCs/>
                <w:color w:val="000000"/>
              </w:rPr>
              <w:t>Reviewing Agency:</w:t>
            </w:r>
          </w:p>
        </w:tc>
        <w:tc>
          <w:tcPr>
            <w:tcW w:w="3613" w:type="pct"/>
            <w:tcBorders>
              <w:top w:val="nil"/>
            </w:tcBorders>
            <w:shd w:val="clear" w:color="auto" w:fill="auto"/>
          </w:tcPr>
          <w:p w14:paraId="628A3201" w14:textId="77777777" w:rsidR="0041087B" w:rsidRPr="00A864A5" w:rsidRDefault="00E440C9" w:rsidP="00794D22">
            <w:pPr>
              <w:spacing w:after="180"/>
              <w:rPr>
                <w:rFonts w:cs="Arial"/>
                <w:iCs/>
                <w:color w:val="000000"/>
              </w:rPr>
            </w:pPr>
            <w:r>
              <w:rPr>
                <w:color w:val="201F1E"/>
              </w:rPr>
              <w:t xml:space="preserve">Manatū Hauora, the </w:t>
            </w:r>
            <w:r w:rsidR="00757148">
              <w:rPr>
                <w:rFonts w:cs="Arial"/>
              </w:rPr>
              <w:t>Ministry of Health</w:t>
            </w:r>
          </w:p>
        </w:tc>
      </w:tr>
      <w:tr w:rsidR="0041087B" w:rsidRPr="00A864A5" w14:paraId="7E563EDF" w14:textId="77777777" w:rsidTr="00794D22">
        <w:trPr>
          <w:gridBefore w:val="1"/>
          <w:gridAfter w:val="1"/>
          <w:wBefore w:w="62" w:type="pct"/>
          <w:wAfter w:w="60" w:type="pct"/>
          <w:trHeight w:val="1639"/>
        </w:trPr>
        <w:tc>
          <w:tcPr>
            <w:tcW w:w="1265" w:type="pct"/>
            <w:gridSpan w:val="2"/>
            <w:tcBorders>
              <w:top w:val="nil"/>
            </w:tcBorders>
            <w:shd w:val="clear" w:color="auto" w:fill="EBF5F8"/>
          </w:tcPr>
          <w:p w14:paraId="12E4FFC9" w14:textId="77777777" w:rsidR="0041087B" w:rsidRPr="00A864A5" w:rsidRDefault="0041087B" w:rsidP="00794D22">
            <w:pPr>
              <w:spacing w:after="180"/>
              <w:rPr>
                <w:rFonts w:cs="Arial"/>
                <w:iCs/>
                <w:color w:val="000000"/>
              </w:rPr>
            </w:pPr>
            <w:r w:rsidRPr="00A864A5">
              <w:rPr>
                <w:rFonts w:cs="Arial"/>
                <w:iCs/>
                <w:color w:val="000000"/>
              </w:rPr>
              <w:t>Panel Assessment &amp; Comment:</w:t>
            </w:r>
          </w:p>
        </w:tc>
        <w:tc>
          <w:tcPr>
            <w:tcW w:w="3613" w:type="pct"/>
            <w:tcBorders>
              <w:top w:val="nil"/>
            </w:tcBorders>
            <w:shd w:val="clear" w:color="auto" w:fill="auto"/>
          </w:tcPr>
          <w:p w14:paraId="763585AD" w14:textId="77777777" w:rsidR="0041087B" w:rsidRPr="00A864A5" w:rsidRDefault="00F42C85" w:rsidP="00794D22">
            <w:pPr>
              <w:spacing w:after="180"/>
              <w:rPr>
                <w:rFonts w:cs="Arial"/>
                <w:iCs/>
                <w:color w:val="000000"/>
              </w:rPr>
            </w:pPr>
            <w:r>
              <w:t>The Ministry of Health’s Papers and Regulatory Committee has reviewed the CRIS and considers that it meets the quality assurance criteria.</w:t>
            </w:r>
          </w:p>
        </w:tc>
      </w:tr>
    </w:tbl>
    <w:p w14:paraId="4DB6E91F" w14:textId="77777777" w:rsidR="0041087B" w:rsidRDefault="0041087B" w:rsidP="0041087B">
      <w:pPr>
        <w:pStyle w:val="Heading2"/>
      </w:pPr>
      <w:bookmarkStart w:id="20" w:name="_Toc362368104"/>
      <w:bookmarkStart w:id="21" w:name="_Toc362434945"/>
      <w:bookmarkStart w:id="22" w:name="_Toc362589331"/>
      <w:bookmarkStart w:id="23" w:name="_Toc362619031"/>
      <w:bookmarkStart w:id="24" w:name="_Toc362940595"/>
      <w:bookmarkStart w:id="25" w:name="_Toc363047103"/>
      <w:r w:rsidRPr="00082653">
        <w:t xml:space="preserve">Status quo </w:t>
      </w:r>
      <w:bookmarkEnd w:id="20"/>
      <w:bookmarkEnd w:id="21"/>
      <w:bookmarkEnd w:id="22"/>
      <w:bookmarkEnd w:id="23"/>
      <w:bookmarkEnd w:id="24"/>
      <w:bookmarkEnd w:id="25"/>
    </w:p>
    <w:p w14:paraId="7D1A2AB1" w14:textId="77777777" w:rsidR="00F001AF" w:rsidRPr="000579FD" w:rsidRDefault="00F001AF" w:rsidP="00F001AF">
      <w:pPr>
        <w:pStyle w:val="Bullet-list"/>
        <w:numPr>
          <w:ilvl w:val="0"/>
          <w:numId w:val="0"/>
        </w:numPr>
        <w:rPr>
          <w:rFonts w:cs="Arial"/>
          <w:sz w:val="24"/>
          <w:szCs w:val="24"/>
        </w:rPr>
      </w:pPr>
      <w:r w:rsidRPr="000579FD">
        <w:rPr>
          <w:sz w:val="24"/>
          <w:szCs w:val="24"/>
        </w:rPr>
        <w:t xml:space="preserve">The Regulations were made in 2016 to fully implement the Radiation Safety Act 2016 (the Act).  </w:t>
      </w:r>
    </w:p>
    <w:p w14:paraId="6FE4BFBC" w14:textId="77777777" w:rsidR="00F001AF" w:rsidRPr="000579FD" w:rsidRDefault="00F001AF" w:rsidP="00F001AF">
      <w:pPr>
        <w:pStyle w:val="Bullet-list"/>
        <w:numPr>
          <w:ilvl w:val="0"/>
          <w:numId w:val="0"/>
        </w:numPr>
        <w:rPr>
          <w:sz w:val="24"/>
          <w:szCs w:val="24"/>
        </w:rPr>
      </w:pPr>
      <w:r w:rsidRPr="000579FD">
        <w:rPr>
          <w:sz w:val="24"/>
          <w:szCs w:val="24"/>
        </w:rPr>
        <w:t>The Act establishes a framework to protect the health and safety of people and protect the environment from the harmful effects of ionising radiation while allowing for the safe and beneficial use of ionising radiation. The Act also enables New Zealand to meet its international obligations relating to radiation protection, safety, security</w:t>
      </w:r>
      <w:r w:rsidR="00BC5DA4" w:rsidRPr="000579FD">
        <w:rPr>
          <w:sz w:val="24"/>
          <w:szCs w:val="24"/>
        </w:rPr>
        <w:t>,</w:t>
      </w:r>
      <w:r w:rsidRPr="000579FD">
        <w:rPr>
          <w:sz w:val="24"/>
          <w:szCs w:val="24"/>
        </w:rPr>
        <w:t xml:space="preserve"> and nuclear non-proliferation. </w:t>
      </w:r>
    </w:p>
    <w:p w14:paraId="359C7DD1" w14:textId="77777777" w:rsidR="00F001AF" w:rsidRPr="00397B37" w:rsidRDefault="00BC5DA4" w:rsidP="00F001AF">
      <w:pPr>
        <w:pStyle w:val="Bullet-list"/>
        <w:numPr>
          <w:ilvl w:val="0"/>
          <w:numId w:val="0"/>
        </w:numPr>
        <w:rPr>
          <w:sz w:val="24"/>
          <w:szCs w:val="24"/>
        </w:rPr>
      </w:pPr>
      <w:r w:rsidRPr="000579FD">
        <w:rPr>
          <w:sz w:val="24"/>
          <w:szCs w:val="24"/>
        </w:rPr>
        <w:t xml:space="preserve">Regulations 15 to 20 (with reference to Schedule 2 for source licence applications only) </w:t>
      </w:r>
      <w:r w:rsidR="00F001AF" w:rsidRPr="000579FD">
        <w:rPr>
          <w:sz w:val="24"/>
          <w:szCs w:val="24"/>
        </w:rPr>
        <w:t>set out the annual fees payable to the Ministry by people or organisations that apply for authorisations under the Act. Authorisations can be granted to manage and control radiation sources (source licences), use radiation sources (use licences</w:t>
      </w:r>
      <w:proofErr w:type="gramStart"/>
      <w:r w:rsidR="00F001AF" w:rsidRPr="000579FD">
        <w:rPr>
          <w:sz w:val="24"/>
          <w:szCs w:val="24"/>
        </w:rPr>
        <w:t>)</w:t>
      </w:r>
      <w:proofErr w:type="gramEnd"/>
      <w:r w:rsidR="00F001AF" w:rsidRPr="000579FD">
        <w:rPr>
          <w:sz w:val="24"/>
          <w:szCs w:val="24"/>
        </w:rPr>
        <w:t xml:space="preserve"> and import or export radioactive material (consents). </w:t>
      </w:r>
      <w:r w:rsidRPr="000579FD">
        <w:rPr>
          <w:sz w:val="24"/>
          <w:szCs w:val="24"/>
        </w:rPr>
        <w:t>R</w:t>
      </w:r>
      <w:r w:rsidR="00F001AF" w:rsidRPr="000579FD">
        <w:rPr>
          <w:sz w:val="24"/>
          <w:szCs w:val="24"/>
        </w:rPr>
        <w:t xml:space="preserve">efund </w:t>
      </w:r>
      <w:r w:rsidRPr="000579FD">
        <w:rPr>
          <w:sz w:val="24"/>
          <w:szCs w:val="24"/>
        </w:rPr>
        <w:t>and GST provisions</w:t>
      </w:r>
      <w:r w:rsidR="00F001AF" w:rsidRPr="000579FD">
        <w:rPr>
          <w:sz w:val="24"/>
          <w:szCs w:val="24"/>
        </w:rPr>
        <w:t xml:space="preserve"> are </w:t>
      </w:r>
      <w:r w:rsidRPr="00397B37">
        <w:rPr>
          <w:sz w:val="24"/>
          <w:szCs w:val="24"/>
        </w:rPr>
        <w:t xml:space="preserve">included. </w:t>
      </w:r>
      <w:r w:rsidR="00F001AF" w:rsidRPr="00397B37">
        <w:rPr>
          <w:sz w:val="24"/>
          <w:szCs w:val="24"/>
        </w:rPr>
        <w:t xml:space="preserve"> </w:t>
      </w:r>
    </w:p>
    <w:p w14:paraId="4F9391C4" w14:textId="77777777" w:rsidR="00397B37" w:rsidRDefault="00BC5DA4" w:rsidP="00F001AF">
      <w:pPr>
        <w:pStyle w:val="Bullet-list"/>
        <w:numPr>
          <w:ilvl w:val="0"/>
          <w:numId w:val="0"/>
        </w:numPr>
        <w:rPr>
          <w:sz w:val="24"/>
          <w:szCs w:val="24"/>
        </w:rPr>
      </w:pPr>
      <w:r w:rsidRPr="00397B37">
        <w:rPr>
          <w:sz w:val="24"/>
          <w:szCs w:val="24"/>
        </w:rPr>
        <w:t>The fees are established in accordance with section 92 of the Act</w:t>
      </w:r>
      <w:r w:rsidR="00397B37">
        <w:rPr>
          <w:sz w:val="24"/>
          <w:szCs w:val="24"/>
        </w:rPr>
        <w:t xml:space="preserve">. </w:t>
      </w:r>
    </w:p>
    <w:p w14:paraId="6B4BFA0C" w14:textId="77777777" w:rsidR="00012FF3" w:rsidRPr="000579FD" w:rsidRDefault="00012FF3" w:rsidP="00F001AF">
      <w:pPr>
        <w:pStyle w:val="Bullet-list"/>
        <w:numPr>
          <w:ilvl w:val="0"/>
          <w:numId w:val="0"/>
        </w:numPr>
        <w:rPr>
          <w:sz w:val="24"/>
          <w:szCs w:val="24"/>
        </w:rPr>
      </w:pPr>
      <w:r>
        <w:rPr>
          <w:sz w:val="24"/>
          <w:szCs w:val="24"/>
        </w:rPr>
        <w:t xml:space="preserve">Regulations 15 and 16 and Schedule 2 of the Act use the term ‘inspections period’ to determine the source licence fee payable. </w:t>
      </w:r>
    </w:p>
    <w:p w14:paraId="5CC48323" w14:textId="77777777" w:rsidR="00397B37" w:rsidRDefault="00F001AF" w:rsidP="00F001AF">
      <w:pPr>
        <w:pStyle w:val="Bullet-list"/>
        <w:numPr>
          <w:ilvl w:val="0"/>
          <w:numId w:val="0"/>
        </w:numPr>
        <w:rPr>
          <w:sz w:val="24"/>
          <w:szCs w:val="24"/>
        </w:rPr>
      </w:pPr>
      <w:r w:rsidRPr="000579FD">
        <w:rPr>
          <w:sz w:val="24"/>
          <w:szCs w:val="24"/>
        </w:rPr>
        <w:t xml:space="preserve">The Regulations </w:t>
      </w:r>
      <w:r w:rsidR="00BC5DA4" w:rsidRPr="000579FD">
        <w:rPr>
          <w:sz w:val="24"/>
          <w:szCs w:val="24"/>
        </w:rPr>
        <w:t xml:space="preserve">also </w:t>
      </w:r>
      <w:r w:rsidRPr="000579FD">
        <w:rPr>
          <w:sz w:val="24"/>
          <w:szCs w:val="24"/>
        </w:rPr>
        <w:t xml:space="preserve">set out exemptions for very low-risk </w:t>
      </w:r>
      <w:r w:rsidR="000579FD" w:rsidRPr="000579FD">
        <w:rPr>
          <w:sz w:val="24"/>
          <w:szCs w:val="24"/>
        </w:rPr>
        <w:t>practices</w:t>
      </w:r>
      <w:r w:rsidRPr="000579FD">
        <w:rPr>
          <w:sz w:val="24"/>
          <w:szCs w:val="24"/>
        </w:rPr>
        <w:t xml:space="preserve"> (such as using household smoke detectors) and authorise </w:t>
      </w:r>
      <w:r w:rsidR="000579FD" w:rsidRPr="000579FD">
        <w:rPr>
          <w:sz w:val="24"/>
          <w:szCs w:val="24"/>
        </w:rPr>
        <w:t>practices</w:t>
      </w:r>
      <w:r w:rsidRPr="000579FD">
        <w:rPr>
          <w:sz w:val="24"/>
          <w:szCs w:val="24"/>
        </w:rPr>
        <w:t xml:space="preserve"> that can be performed by people with appropriate knowledge and experience of radiation safety. </w:t>
      </w:r>
      <w:r w:rsidR="00BC5DA4" w:rsidRPr="000579FD">
        <w:rPr>
          <w:sz w:val="24"/>
          <w:szCs w:val="24"/>
        </w:rPr>
        <w:t xml:space="preserve">Exemptions are set out in regulations 10 to 14 and authorised </w:t>
      </w:r>
      <w:r w:rsidR="000579FD" w:rsidRPr="000579FD">
        <w:rPr>
          <w:sz w:val="24"/>
          <w:szCs w:val="24"/>
        </w:rPr>
        <w:t>practices</w:t>
      </w:r>
      <w:r w:rsidR="00BC5DA4" w:rsidRPr="000579FD">
        <w:rPr>
          <w:sz w:val="24"/>
          <w:szCs w:val="24"/>
        </w:rPr>
        <w:t xml:space="preserve"> are set out in Schedule 3 of the Regulations. </w:t>
      </w:r>
    </w:p>
    <w:p w14:paraId="79E7BB64" w14:textId="77777777" w:rsidR="00F001AF" w:rsidRPr="000579FD" w:rsidRDefault="00BC5DA4" w:rsidP="00F001AF">
      <w:pPr>
        <w:pStyle w:val="Bullet-list"/>
        <w:numPr>
          <w:ilvl w:val="0"/>
          <w:numId w:val="0"/>
        </w:numPr>
        <w:rPr>
          <w:sz w:val="24"/>
          <w:szCs w:val="24"/>
        </w:rPr>
      </w:pPr>
      <w:r w:rsidRPr="000579FD">
        <w:rPr>
          <w:sz w:val="24"/>
          <w:szCs w:val="24"/>
        </w:rPr>
        <w:t xml:space="preserve">Exemptions and authorised </w:t>
      </w:r>
      <w:r w:rsidR="000579FD" w:rsidRPr="000579FD">
        <w:rPr>
          <w:sz w:val="24"/>
          <w:szCs w:val="24"/>
        </w:rPr>
        <w:t>practices</w:t>
      </w:r>
      <w:r w:rsidRPr="000579FD">
        <w:rPr>
          <w:sz w:val="24"/>
          <w:szCs w:val="24"/>
        </w:rPr>
        <w:t xml:space="preserve"> are established in accordance with section 91 of the Act.  </w:t>
      </w:r>
    </w:p>
    <w:p w14:paraId="4A0CD7D3" w14:textId="77777777" w:rsidR="0041087B" w:rsidRDefault="0041087B" w:rsidP="0041087B">
      <w:pPr>
        <w:pStyle w:val="Heading3"/>
      </w:pPr>
      <w:r>
        <w:t>Reviews of cost recovery charges</w:t>
      </w:r>
    </w:p>
    <w:p w14:paraId="69C09417" w14:textId="77777777" w:rsidR="00397B37" w:rsidRPr="000579FD" w:rsidRDefault="00397B37" w:rsidP="00397B37">
      <w:pPr>
        <w:pStyle w:val="Bullet-list"/>
        <w:numPr>
          <w:ilvl w:val="0"/>
          <w:numId w:val="0"/>
        </w:numPr>
        <w:rPr>
          <w:rFonts w:cs="Arial"/>
          <w:sz w:val="24"/>
          <w:szCs w:val="24"/>
        </w:rPr>
      </w:pPr>
      <w:r w:rsidRPr="000579FD">
        <w:rPr>
          <w:sz w:val="24"/>
          <w:szCs w:val="24"/>
        </w:rPr>
        <w:t xml:space="preserve">The memorandum account balance process </w:t>
      </w:r>
      <w:r>
        <w:rPr>
          <w:sz w:val="24"/>
          <w:szCs w:val="24"/>
        </w:rPr>
        <w:t xml:space="preserve">has </w:t>
      </w:r>
      <w:r w:rsidRPr="000579FD">
        <w:rPr>
          <w:sz w:val="24"/>
          <w:szCs w:val="24"/>
        </w:rPr>
        <w:t xml:space="preserve">identified that the fees taken under the radiation safety legislation </w:t>
      </w:r>
      <w:r>
        <w:rPr>
          <w:sz w:val="24"/>
          <w:szCs w:val="24"/>
        </w:rPr>
        <w:t>are</w:t>
      </w:r>
      <w:r w:rsidRPr="000579FD">
        <w:rPr>
          <w:sz w:val="24"/>
          <w:szCs w:val="24"/>
        </w:rPr>
        <w:t xml:space="preserve"> </w:t>
      </w:r>
      <w:r w:rsidRPr="000579FD">
        <w:rPr>
          <w:rFonts w:cs="Arial"/>
          <w:sz w:val="24"/>
          <w:szCs w:val="24"/>
        </w:rPr>
        <w:t xml:space="preserve">significantly short of </w:t>
      </w:r>
      <w:r>
        <w:rPr>
          <w:rFonts w:cs="Arial"/>
          <w:sz w:val="24"/>
          <w:szCs w:val="24"/>
        </w:rPr>
        <w:t xml:space="preserve">achieving </w:t>
      </w:r>
      <w:r w:rsidR="00012FF3">
        <w:rPr>
          <w:rFonts w:cs="Arial"/>
          <w:sz w:val="24"/>
          <w:szCs w:val="24"/>
        </w:rPr>
        <w:t xml:space="preserve">their intended goal of </w:t>
      </w:r>
      <w:r w:rsidRPr="000579FD">
        <w:rPr>
          <w:rFonts w:cs="Arial"/>
          <w:sz w:val="24"/>
          <w:szCs w:val="24"/>
        </w:rPr>
        <w:t xml:space="preserve">full cost recovery. A subsequent review of the fees against the objective of full cost recovery has confirmed that a shortfall in fees taken is creating steadily growing negative memorandum account balance that cannot be recovered at current fee levels.  </w:t>
      </w:r>
    </w:p>
    <w:p w14:paraId="1BFE196A" w14:textId="77777777" w:rsidR="00397B37" w:rsidRPr="000579FD" w:rsidRDefault="00012FF3" w:rsidP="00397B37">
      <w:pPr>
        <w:pStyle w:val="Bullet-list"/>
        <w:numPr>
          <w:ilvl w:val="0"/>
          <w:numId w:val="0"/>
        </w:numPr>
        <w:rPr>
          <w:rFonts w:cs="Arial"/>
          <w:bCs/>
          <w:sz w:val="24"/>
          <w:szCs w:val="24"/>
        </w:rPr>
      </w:pPr>
      <w:r>
        <w:rPr>
          <w:rFonts w:cs="Arial"/>
          <w:sz w:val="24"/>
          <w:szCs w:val="24"/>
        </w:rPr>
        <w:t>T</w:t>
      </w:r>
      <w:r w:rsidR="00397B37" w:rsidRPr="000579FD">
        <w:rPr>
          <w:rFonts w:cs="Arial"/>
          <w:sz w:val="24"/>
          <w:szCs w:val="24"/>
        </w:rPr>
        <w:t xml:space="preserve">he review of the Regulations also found that </w:t>
      </w:r>
      <w:r w:rsidR="00397B37" w:rsidRPr="000579FD">
        <w:rPr>
          <w:rFonts w:cs="Arial"/>
          <w:bCs/>
          <w:sz w:val="24"/>
          <w:szCs w:val="24"/>
        </w:rPr>
        <w:t>some of the practices listed in Schedule 2 of the Regulations are not in the correct compliance monitoring category</w:t>
      </w:r>
      <w:r>
        <w:rPr>
          <w:rFonts w:cs="Arial"/>
          <w:bCs/>
          <w:sz w:val="24"/>
          <w:szCs w:val="24"/>
        </w:rPr>
        <w:t xml:space="preserve">. </w:t>
      </w:r>
      <w:r>
        <w:rPr>
          <w:rFonts w:cs="Arial"/>
          <w:bCs/>
          <w:sz w:val="24"/>
          <w:szCs w:val="24"/>
        </w:rPr>
        <w:lastRenderedPageBreak/>
        <w:t xml:space="preserve">As a result, </w:t>
      </w:r>
      <w:r w:rsidR="00397B37" w:rsidRPr="000579FD">
        <w:rPr>
          <w:rFonts w:cs="Arial"/>
          <w:bCs/>
          <w:sz w:val="24"/>
          <w:szCs w:val="24"/>
        </w:rPr>
        <w:t xml:space="preserve">the source licence fees payable are not ideally allocated to recovering the costs of inspections that </w:t>
      </w:r>
      <w:r>
        <w:rPr>
          <w:rFonts w:cs="Arial"/>
          <w:bCs/>
          <w:sz w:val="24"/>
          <w:szCs w:val="24"/>
        </w:rPr>
        <w:t>are</w:t>
      </w:r>
      <w:r w:rsidR="00397B37" w:rsidRPr="000579FD">
        <w:rPr>
          <w:rFonts w:cs="Arial"/>
          <w:bCs/>
          <w:sz w:val="24"/>
          <w:szCs w:val="24"/>
        </w:rPr>
        <w:t xml:space="preserve"> warranted for th</w:t>
      </w:r>
      <w:r>
        <w:rPr>
          <w:rFonts w:cs="Arial"/>
          <w:bCs/>
          <w:sz w:val="24"/>
          <w:szCs w:val="24"/>
        </w:rPr>
        <w:t>ose</w:t>
      </w:r>
      <w:r w:rsidR="00397B37" w:rsidRPr="000579FD">
        <w:rPr>
          <w:rFonts w:cs="Arial"/>
          <w:bCs/>
          <w:sz w:val="24"/>
          <w:szCs w:val="24"/>
        </w:rPr>
        <w:t xml:space="preserve"> </w:t>
      </w:r>
      <w:r>
        <w:rPr>
          <w:rFonts w:cs="Arial"/>
          <w:bCs/>
          <w:sz w:val="24"/>
          <w:szCs w:val="24"/>
        </w:rPr>
        <w:t>practices</w:t>
      </w:r>
      <w:r w:rsidR="00397B37" w:rsidRPr="000579FD">
        <w:rPr>
          <w:rFonts w:cs="Arial"/>
          <w:bCs/>
          <w:sz w:val="24"/>
          <w:szCs w:val="24"/>
        </w:rPr>
        <w:t>.</w:t>
      </w:r>
    </w:p>
    <w:p w14:paraId="7E21AFED" w14:textId="77777777" w:rsidR="00012FF3" w:rsidRDefault="00012FF3" w:rsidP="00397B37">
      <w:pPr>
        <w:pStyle w:val="Bullet-list"/>
        <w:numPr>
          <w:ilvl w:val="0"/>
          <w:numId w:val="0"/>
        </w:numPr>
        <w:rPr>
          <w:rFonts w:cs="Arial"/>
          <w:bCs/>
          <w:sz w:val="24"/>
          <w:szCs w:val="24"/>
        </w:rPr>
      </w:pPr>
      <w:r>
        <w:rPr>
          <w:rFonts w:cs="Arial"/>
          <w:bCs/>
          <w:sz w:val="24"/>
          <w:szCs w:val="24"/>
        </w:rPr>
        <w:t xml:space="preserve">The use of the term inspection period to determine the source licence fees payable, and the exemptions and authorisations, are part of the proposals to amend the Regulations. However, these proposals do not affect the fees or cost recovery under the Act.  </w:t>
      </w:r>
    </w:p>
    <w:p w14:paraId="6D670EAE" w14:textId="77777777" w:rsidR="0041087B" w:rsidRPr="00672C8A" w:rsidRDefault="0041087B" w:rsidP="0041087B">
      <w:pPr>
        <w:pStyle w:val="Heading2"/>
      </w:pPr>
      <w:bookmarkStart w:id="26" w:name="_Toc244580364"/>
      <w:bookmarkStart w:id="27" w:name="_Toc244587040"/>
      <w:bookmarkStart w:id="28" w:name="_Toc244857274"/>
      <w:bookmarkStart w:id="29" w:name="_Toc244912539"/>
      <w:bookmarkStart w:id="30" w:name="_Toc244916996"/>
      <w:bookmarkStart w:id="31" w:name="_Toc362368105"/>
      <w:bookmarkStart w:id="32" w:name="_Toc362434946"/>
      <w:bookmarkStart w:id="33" w:name="_Toc362589332"/>
      <w:bookmarkStart w:id="34" w:name="_Toc362619032"/>
      <w:bookmarkStart w:id="35" w:name="_Toc362940596"/>
      <w:bookmarkStart w:id="36" w:name="_Toc363047104"/>
      <w:r>
        <w:t xml:space="preserve">Cost Recovery Principles and </w:t>
      </w:r>
      <w:r w:rsidRPr="00082653">
        <w:t>Objectives</w:t>
      </w:r>
      <w:bookmarkEnd w:id="26"/>
      <w:bookmarkEnd w:id="27"/>
      <w:bookmarkEnd w:id="28"/>
      <w:bookmarkEnd w:id="29"/>
      <w:bookmarkEnd w:id="30"/>
      <w:bookmarkEnd w:id="31"/>
      <w:bookmarkEnd w:id="32"/>
      <w:bookmarkEnd w:id="33"/>
      <w:bookmarkEnd w:id="34"/>
      <w:bookmarkEnd w:id="35"/>
      <w:bookmarkEnd w:id="36"/>
    </w:p>
    <w:p w14:paraId="25AB2585" w14:textId="77777777" w:rsidR="000579FD" w:rsidRDefault="000579FD" w:rsidP="0041087B">
      <w:pPr>
        <w:rPr>
          <w:szCs w:val="24"/>
        </w:rPr>
      </w:pPr>
      <w:r>
        <w:rPr>
          <w:szCs w:val="24"/>
        </w:rPr>
        <w:t>The principles of cost recovery are established by section 92(3) of the Act (Regulations relating to fees), as:</w:t>
      </w:r>
    </w:p>
    <w:p w14:paraId="31CB1FFB" w14:textId="77777777" w:rsidR="000579FD" w:rsidRPr="000579FD" w:rsidRDefault="000579FD" w:rsidP="005F3678">
      <w:pPr>
        <w:pStyle w:val="ListParagraph"/>
        <w:numPr>
          <w:ilvl w:val="0"/>
          <w:numId w:val="7"/>
        </w:numPr>
        <w:spacing w:before="80" w:after="80"/>
        <w:ind w:left="426"/>
        <w:contextualSpacing w:val="0"/>
        <w:rPr>
          <w:szCs w:val="24"/>
        </w:rPr>
      </w:pPr>
      <w:r>
        <w:rPr>
          <w:szCs w:val="24"/>
        </w:rPr>
        <w:t>e</w:t>
      </w:r>
      <w:r w:rsidRPr="000579FD">
        <w:rPr>
          <w:szCs w:val="24"/>
        </w:rPr>
        <w:t xml:space="preserve">quity </w:t>
      </w:r>
    </w:p>
    <w:p w14:paraId="5896B0A8" w14:textId="77777777" w:rsidR="000579FD" w:rsidRPr="000579FD" w:rsidRDefault="000579FD" w:rsidP="005F3678">
      <w:pPr>
        <w:pStyle w:val="ListParagraph"/>
        <w:numPr>
          <w:ilvl w:val="0"/>
          <w:numId w:val="7"/>
        </w:numPr>
        <w:spacing w:before="80" w:after="80"/>
        <w:ind w:left="425" w:hanging="357"/>
        <w:contextualSpacing w:val="0"/>
        <w:rPr>
          <w:szCs w:val="24"/>
        </w:rPr>
      </w:pPr>
      <w:r>
        <w:rPr>
          <w:szCs w:val="24"/>
        </w:rPr>
        <w:t>e</w:t>
      </w:r>
      <w:r w:rsidRPr="000579FD">
        <w:rPr>
          <w:szCs w:val="24"/>
        </w:rPr>
        <w:t>fficiency</w:t>
      </w:r>
    </w:p>
    <w:p w14:paraId="2803FA05" w14:textId="77777777" w:rsidR="000579FD" w:rsidRPr="000579FD" w:rsidRDefault="000579FD" w:rsidP="005F3678">
      <w:pPr>
        <w:pStyle w:val="ListParagraph"/>
        <w:numPr>
          <w:ilvl w:val="0"/>
          <w:numId w:val="7"/>
        </w:numPr>
        <w:spacing w:before="80" w:after="80"/>
        <w:ind w:left="425" w:hanging="357"/>
        <w:contextualSpacing w:val="0"/>
        <w:rPr>
          <w:szCs w:val="24"/>
        </w:rPr>
      </w:pPr>
      <w:r>
        <w:rPr>
          <w:szCs w:val="24"/>
        </w:rPr>
        <w:t>j</w:t>
      </w:r>
      <w:r w:rsidRPr="000579FD">
        <w:rPr>
          <w:szCs w:val="24"/>
        </w:rPr>
        <w:t>ustifiability</w:t>
      </w:r>
    </w:p>
    <w:p w14:paraId="3B9B5541" w14:textId="77777777" w:rsidR="000579FD" w:rsidRPr="000579FD" w:rsidRDefault="000579FD" w:rsidP="005F3678">
      <w:pPr>
        <w:pStyle w:val="ListParagraph"/>
        <w:numPr>
          <w:ilvl w:val="0"/>
          <w:numId w:val="7"/>
        </w:numPr>
        <w:spacing w:before="80" w:after="80"/>
        <w:ind w:left="425" w:hanging="357"/>
        <w:contextualSpacing w:val="0"/>
        <w:rPr>
          <w:szCs w:val="24"/>
        </w:rPr>
      </w:pPr>
      <w:r>
        <w:rPr>
          <w:szCs w:val="24"/>
        </w:rPr>
        <w:t>t</w:t>
      </w:r>
      <w:r w:rsidRPr="000579FD">
        <w:rPr>
          <w:szCs w:val="24"/>
        </w:rPr>
        <w:t>ransparency</w:t>
      </w:r>
    </w:p>
    <w:p w14:paraId="5122645F" w14:textId="77777777" w:rsidR="000579FD" w:rsidRPr="000579FD" w:rsidRDefault="000579FD" w:rsidP="005F3678">
      <w:pPr>
        <w:pStyle w:val="ListParagraph"/>
        <w:numPr>
          <w:ilvl w:val="0"/>
          <w:numId w:val="7"/>
        </w:numPr>
        <w:ind w:left="426"/>
        <w:rPr>
          <w:szCs w:val="24"/>
        </w:rPr>
      </w:pPr>
      <w:r>
        <w:rPr>
          <w:szCs w:val="24"/>
        </w:rPr>
        <w:t>e</w:t>
      </w:r>
      <w:r w:rsidRPr="000579FD">
        <w:rPr>
          <w:szCs w:val="24"/>
        </w:rPr>
        <w:t xml:space="preserve">ase of </w:t>
      </w:r>
      <w:r>
        <w:rPr>
          <w:szCs w:val="24"/>
        </w:rPr>
        <w:t>a</w:t>
      </w:r>
      <w:r w:rsidRPr="000579FD">
        <w:rPr>
          <w:szCs w:val="24"/>
        </w:rPr>
        <w:t>dministration</w:t>
      </w:r>
      <w:r w:rsidR="00012FF3">
        <w:rPr>
          <w:szCs w:val="24"/>
        </w:rPr>
        <w:t xml:space="preserve">. </w:t>
      </w:r>
      <w:r w:rsidRPr="000579FD">
        <w:rPr>
          <w:szCs w:val="24"/>
        </w:rPr>
        <w:t xml:space="preserve"> </w:t>
      </w:r>
    </w:p>
    <w:p w14:paraId="2F716E79" w14:textId="77777777" w:rsidR="000579FD" w:rsidRPr="000579FD" w:rsidRDefault="000579FD" w:rsidP="0041087B">
      <w:pPr>
        <w:rPr>
          <w:szCs w:val="24"/>
        </w:rPr>
      </w:pPr>
      <w:r w:rsidRPr="000579FD">
        <w:rPr>
          <w:szCs w:val="24"/>
        </w:rPr>
        <w:t xml:space="preserve">The </w:t>
      </w:r>
      <w:r>
        <w:rPr>
          <w:szCs w:val="24"/>
        </w:rPr>
        <w:t>o</w:t>
      </w:r>
      <w:r w:rsidRPr="000579FD">
        <w:rPr>
          <w:szCs w:val="24"/>
        </w:rPr>
        <w:t>bjectives of the cost recovery proposals are set out in the 2016 RIS for the Regulations</w:t>
      </w:r>
      <w:r w:rsidR="00397B37">
        <w:rPr>
          <w:szCs w:val="24"/>
        </w:rPr>
        <w:t xml:space="preserve"> and include the principles set out in section 92(3) of the Act.  </w:t>
      </w:r>
    </w:p>
    <w:p w14:paraId="2DA7E941" w14:textId="77777777" w:rsidR="00012FF3" w:rsidRDefault="000579FD" w:rsidP="000579FD">
      <w:pPr>
        <w:pStyle w:val="Bullet-list"/>
        <w:numPr>
          <w:ilvl w:val="0"/>
          <w:numId w:val="0"/>
        </w:numPr>
        <w:rPr>
          <w:sz w:val="24"/>
          <w:szCs w:val="24"/>
        </w:rPr>
      </w:pPr>
      <w:r w:rsidRPr="000579FD">
        <w:rPr>
          <w:sz w:val="24"/>
          <w:szCs w:val="24"/>
        </w:rPr>
        <w:t xml:space="preserve">The 2016 policy approval for the regulations </w:t>
      </w:r>
      <w:r w:rsidRPr="000579FD">
        <w:rPr>
          <w:rFonts w:cs="Arial"/>
          <w:sz w:val="24"/>
          <w:szCs w:val="24"/>
        </w:rPr>
        <w:t xml:space="preserve">[SOC-16-SUB-0099; CAB-16-MIN-0417] </w:t>
      </w:r>
      <w:r w:rsidRPr="000579FD">
        <w:rPr>
          <w:sz w:val="24"/>
          <w:szCs w:val="24"/>
        </w:rPr>
        <w:t xml:space="preserve">included the objective of full cost recovery of the direct and indirect costs of verifying compliance by holders of authorisations with the radiation safety requirements. </w:t>
      </w:r>
    </w:p>
    <w:p w14:paraId="1DAC3F87" w14:textId="77777777" w:rsidR="000579FD" w:rsidRPr="000579FD" w:rsidRDefault="000579FD" w:rsidP="000579FD">
      <w:pPr>
        <w:pStyle w:val="Bullet-list"/>
        <w:numPr>
          <w:ilvl w:val="0"/>
          <w:numId w:val="0"/>
        </w:numPr>
        <w:rPr>
          <w:sz w:val="24"/>
          <w:szCs w:val="24"/>
        </w:rPr>
      </w:pPr>
      <w:r w:rsidRPr="000579FD">
        <w:rPr>
          <w:sz w:val="24"/>
          <w:szCs w:val="24"/>
        </w:rPr>
        <w:t xml:space="preserve">The full cost recovery objectives were outlined </w:t>
      </w:r>
      <w:r w:rsidR="00981E42">
        <w:rPr>
          <w:sz w:val="24"/>
          <w:szCs w:val="24"/>
        </w:rPr>
        <w:t xml:space="preserve">in the 2016 RIS </w:t>
      </w:r>
      <w:r w:rsidRPr="000579FD">
        <w:rPr>
          <w:sz w:val="24"/>
          <w:szCs w:val="24"/>
        </w:rPr>
        <w:t xml:space="preserve">as </w:t>
      </w:r>
      <w:r w:rsidRPr="000579FD">
        <w:rPr>
          <w:i/>
          <w:iCs/>
          <w:sz w:val="24"/>
          <w:szCs w:val="24"/>
        </w:rPr>
        <w:t>‘</w:t>
      </w:r>
      <w:r>
        <w:rPr>
          <w:i/>
          <w:iCs/>
          <w:sz w:val="24"/>
          <w:szCs w:val="24"/>
        </w:rPr>
        <w:t xml:space="preserve">… </w:t>
      </w:r>
      <w:r w:rsidRPr="000579FD">
        <w:rPr>
          <w:i/>
          <w:iCs/>
          <w:sz w:val="24"/>
          <w:szCs w:val="24"/>
        </w:rPr>
        <w:t xml:space="preserve">full cost recovery arising from administering authorisations and verifying compliance while ensuring fees recovered reflect the statutory principles </w:t>
      </w:r>
      <w:r w:rsidRPr="000579FD">
        <w:rPr>
          <w:sz w:val="24"/>
          <w:szCs w:val="24"/>
        </w:rPr>
        <w:t xml:space="preserve">[set out in section 92(3) of the Act] </w:t>
      </w:r>
      <w:r w:rsidRPr="000579FD">
        <w:rPr>
          <w:i/>
          <w:iCs/>
          <w:sz w:val="24"/>
          <w:szCs w:val="24"/>
        </w:rPr>
        <w:t xml:space="preserve">of equity </w:t>
      </w:r>
      <w:r w:rsidRPr="000579FD">
        <w:rPr>
          <w:sz w:val="24"/>
          <w:szCs w:val="24"/>
        </w:rPr>
        <w:t>[sometimes referred to as fairness]</w:t>
      </w:r>
      <w:r w:rsidRPr="000579FD">
        <w:rPr>
          <w:i/>
          <w:iCs/>
          <w:sz w:val="24"/>
          <w:szCs w:val="24"/>
        </w:rPr>
        <w:t xml:space="preserve"> efficiency, justifiability, transparency, and ease of administration’</w:t>
      </w:r>
      <w:r>
        <w:rPr>
          <w:i/>
          <w:iCs/>
          <w:sz w:val="24"/>
          <w:szCs w:val="24"/>
        </w:rPr>
        <w:t xml:space="preserve"> (p4-5)</w:t>
      </w:r>
      <w:r w:rsidRPr="000579FD">
        <w:rPr>
          <w:sz w:val="24"/>
          <w:szCs w:val="24"/>
        </w:rPr>
        <w:t xml:space="preserve">. Recovery of these costs is </w:t>
      </w:r>
      <w:r>
        <w:rPr>
          <w:sz w:val="24"/>
          <w:szCs w:val="24"/>
        </w:rPr>
        <w:t>enabled</w:t>
      </w:r>
      <w:r w:rsidRPr="000579FD">
        <w:rPr>
          <w:sz w:val="24"/>
          <w:szCs w:val="24"/>
        </w:rPr>
        <w:t xml:space="preserve"> by section 92(2)(b) of the Act.  </w:t>
      </w:r>
    </w:p>
    <w:p w14:paraId="740DDA82" w14:textId="77777777" w:rsidR="000579FD" w:rsidRPr="000579FD" w:rsidRDefault="000579FD" w:rsidP="000579FD">
      <w:pPr>
        <w:pStyle w:val="Bullet-list"/>
        <w:numPr>
          <w:ilvl w:val="0"/>
          <w:numId w:val="0"/>
        </w:numPr>
        <w:rPr>
          <w:sz w:val="24"/>
          <w:szCs w:val="24"/>
        </w:rPr>
      </w:pPr>
      <w:r w:rsidRPr="000579FD">
        <w:rPr>
          <w:sz w:val="24"/>
          <w:szCs w:val="24"/>
        </w:rPr>
        <w:t xml:space="preserve">The 2016 RIS </w:t>
      </w:r>
      <w:r>
        <w:rPr>
          <w:sz w:val="24"/>
          <w:szCs w:val="24"/>
        </w:rPr>
        <w:t>o</w:t>
      </w:r>
      <w:r w:rsidRPr="000579FD">
        <w:rPr>
          <w:sz w:val="24"/>
          <w:szCs w:val="24"/>
        </w:rPr>
        <w:t xml:space="preserve">bjectives also included </w:t>
      </w:r>
      <w:r w:rsidRPr="000579FD">
        <w:rPr>
          <w:i/>
          <w:iCs/>
          <w:sz w:val="24"/>
          <w:szCs w:val="24"/>
        </w:rPr>
        <w:t>‘… to prescribe</w:t>
      </w:r>
      <w:r w:rsidRPr="000579FD">
        <w:rPr>
          <w:sz w:val="24"/>
          <w:szCs w:val="24"/>
        </w:rPr>
        <w:t xml:space="preserve"> [the] </w:t>
      </w:r>
      <w:r w:rsidRPr="000579FD">
        <w:rPr>
          <w:i/>
          <w:iCs/>
          <w:sz w:val="24"/>
          <w:szCs w:val="24"/>
        </w:rPr>
        <w:t>operational necessities required to support the Act, and</w:t>
      </w:r>
      <w:r w:rsidRPr="000579FD">
        <w:rPr>
          <w:sz w:val="24"/>
          <w:szCs w:val="24"/>
        </w:rPr>
        <w:t xml:space="preserve"> </w:t>
      </w:r>
      <w:r w:rsidRPr="000579FD">
        <w:rPr>
          <w:i/>
          <w:iCs/>
          <w:sz w:val="24"/>
          <w:szCs w:val="24"/>
        </w:rPr>
        <w:t xml:space="preserve">to regulate the use of radiation sources in an appropriate way </w:t>
      </w:r>
      <w:r>
        <w:rPr>
          <w:i/>
          <w:iCs/>
          <w:sz w:val="24"/>
          <w:szCs w:val="24"/>
        </w:rPr>
        <w:t>[</w:t>
      </w:r>
      <w:r w:rsidRPr="000579FD">
        <w:rPr>
          <w:sz w:val="24"/>
          <w:szCs w:val="24"/>
        </w:rPr>
        <w:t>by]</w:t>
      </w:r>
      <w:r w:rsidRPr="000579FD">
        <w:rPr>
          <w:i/>
          <w:iCs/>
          <w:sz w:val="24"/>
          <w:szCs w:val="24"/>
        </w:rPr>
        <w:t xml:space="preserve"> … seek</w:t>
      </w:r>
      <w:r w:rsidRPr="000579FD">
        <w:rPr>
          <w:sz w:val="24"/>
          <w:szCs w:val="24"/>
        </w:rPr>
        <w:t>[</w:t>
      </w:r>
      <w:proofErr w:type="spellStart"/>
      <w:r w:rsidRPr="000579FD">
        <w:rPr>
          <w:sz w:val="24"/>
          <w:szCs w:val="24"/>
        </w:rPr>
        <w:t>ing</w:t>
      </w:r>
      <w:proofErr w:type="spellEnd"/>
      <w:r w:rsidRPr="000579FD">
        <w:rPr>
          <w:sz w:val="24"/>
          <w:szCs w:val="24"/>
        </w:rPr>
        <w:t>]:</w:t>
      </w:r>
    </w:p>
    <w:p w14:paraId="52849D78" w14:textId="77777777" w:rsidR="000579FD" w:rsidRPr="000579FD" w:rsidRDefault="000579FD" w:rsidP="005F3678">
      <w:pPr>
        <w:pStyle w:val="Bullet-list"/>
        <w:numPr>
          <w:ilvl w:val="0"/>
          <w:numId w:val="6"/>
        </w:numPr>
        <w:ind w:left="426"/>
        <w:rPr>
          <w:i/>
          <w:iCs/>
          <w:sz w:val="24"/>
          <w:szCs w:val="24"/>
        </w:rPr>
      </w:pPr>
      <w:r w:rsidRPr="000579FD">
        <w:rPr>
          <w:i/>
          <w:iCs/>
          <w:sz w:val="24"/>
          <w:szCs w:val="24"/>
        </w:rPr>
        <w:t>proportionality, applying the graded approach so that the full range of risks varying uses of ionising radiation will be appropriately managed</w:t>
      </w:r>
    </w:p>
    <w:p w14:paraId="4499E254" w14:textId="77777777" w:rsidR="000579FD" w:rsidRPr="000579FD" w:rsidRDefault="000579FD" w:rsidP="005F3678">
      <w:pPr>
        <w:pStyle w:val="Bullet-list"/>
        <w:numPr>
          <w:ilvl w:val="0"/>
          <w:numId w:val="6"/>
        </w:numPr>
        <w:ind w:left="425" w:hanging="357"/>
        <w:rPr>
          <w:i/>
          <w:iCs/>
          <w:sz w:val="24"/>
          <w:szCs w:val="24"/>
        </w:rPr>
      </w:pPr>
      <w:r w:rsidRPr="000579FD">
        <w:rPr>
          <w:i/>
          <w:iCs/>
          <w:sz w:val="24"/>
          <w:szCs w:val="24"/>
        </w:rPr>
        <w:t>simplicity, creating a straightforward, usable framework avoiding unnecessary administrative or compliance burden</w:t>
      </w:r>
    </w:p>
    <w:p w14:paraId="5E8C9345" w14:textId="77777777" w:rsidR="000579FD" w:rsidRPr="00397B37" w:rsidRDefault="000579FD" w:rsidP="005F3678">
      <w:pPr>
        <w:pStyle w:val="Bullet-list"/>
        <w:numPr>
          <w:ilvl w:val="0"/>
          <w:numId w:val="6"/>
        </w:numPr>
        <w:ind w:left="426"/>
        <w:rPr>
          <w:sz w:val="24"/>
          <w:szCs w:val="24"/>
        </w:rPr>
      </w:pPr>
      <w:r w:rsidRPr="000579FD">
        <w:rPr>
          <w:i/>
          <w:iCs/>
          <w:sz w:val="24"/>
          <w:szCs w:val="24"/>
        </w:rPr>
        <w:t xml:space="preserve">certainty, in cases where this is necessary, such as specifying the requirements to be included in warrants of appointment and for the service of </w:t>
      </w:r>
      <w:r w:rsidRPr="00397B37">
        <w:rPr>
          <w:i/>
          <w:iCs/>
          <w:sz w:val="24"/>
          <w:szCs w:val="24"/>
        </w:rPr>
        <w:t>compliance orders.</w:t>
      </w:r>
    </w:p>
    <w:p w14:paraId="51FAA757" w14:textId="77777777" w:rsidR="0041087B" w:rsidRDefault="0041087B" w:rsidP="0041087B">
      <w:pPr>
        <w:pStyle w:val="Heading2"/>
      </w:pPr>
      <w:r>
        <w:t xml:space="preserve">Policy Rationale: </w:t>
      </w:r>
      <w:bookmarkStart w:id="37" w:name="_Toc244580365"/>
      <w:bookmarkStart w:id="38" w:name="_Toc244587041"/>
      <w:bookmarkStart w:id="39" w:name="_Toc244857275"/>
      <w:bookmarkStart w:id="40" w:name="_Toc244912540"/>
      <w:bookmarkStart w:id="41" w:name="_Toc244916997"/>
      <w:bookmarkStart w:id="42" w:name="_Toc362368106"/>
      <w:bookmarkStart w:id="43" w:name="_Toc362434947"/>
      <w:bookmarkStart w:id="44" w:name="_Toc362589333"/>
      <w:bookmarkStart w:id="45" w:name="_Toc362619033"/>
      <w:bookmarkStart w:id="46" w:name="_Toc362940597"/>
      <w:bookmarkStart w:id="47" w:name="_Toc363047105"/>
      <w:r>
        <w:t>Why a user charge? And what type is most appropriate?</w:t>
      </w:r>
    </w:p>
    <w:p w14:paraId="17F29651" w14:textId="77777777" w:rsidR="000579FD" w:rsidRDefault="00981E42" w:rsidP="0041087B">
      <w:r>
        <w:t xml:space="preserve">The people and organisations that are authorised under the </w:t>
      </w:r>
      <w:r w:rsidR="00D93457">
        <w:t xml:space="preserve">radiation safety </w:t>
      </w:r>
      <w:r>
        <w:t xml:space="preserve">legislation gain the exclusive benefit of being able to provide a service that involves </w:t>
      </w:r>
      <w:r>
        <w:lastRenderedPageBreak/>
        <w:t>the safe and lawful use of ionising radiation. Unauthorised people and organisations are prevented from providing these services on highly justifiable safety grounds.</w:t>
      </w:r>
    </w:p>
    <w:p w14:paraId="507D4F82" w14:textId="77777777" w:rsidR="000579FD" w:rsidRDefault="000579FD" w:rsidP="0041087B">
      <w:r>
        <w:t xml:space="preserve">On this basis, authorisations under the radiation safety legislation </w:t>
      </w:r>
      <w:r w:rsidR="00981E42">
        <w:t>have</w:t>
      </w:r>
      <w:r>
        <w:t xml:space="preserve"> be</w:t>
      </w:r>
      <w:r w:rsidR="00981E42">
        <w:t>en</w:t>
      </w:r>
      <w:r>
        <w:t xml:space="preserve"> considered a private good</w:t>
      </w:r>
      <w:r w:rsidR="00981E42">
        <w:t xml:space="preserve"> and therefore, full cost recovery by means of a fee is the appropriate regulatory approach.  </w:t>
      </w:r>
    </w:p>
    <w:p w14:paraId="725FFCE6" w14:textId="77777777" w:rsidR="00397B37" w:rsidRDefault="00981E42" w:rsidP="0041087B">
      <w:r>
        <w:t>T</w:t>
      </w:r>
      <w:r w:rsidR="000579FD">
        <w:t xml:space="preserve">here are grounds on which to consider that </w:t>
      </w:r>
      <w:r w:rsidR="00397B37">
        <w:t xml:space="preserve">the level of </w:t>
      </w:r>
      <w:r w:rsidR="000579FD">
        <w:t xml:space="preserve">fees may incentivise behaviour to avoid costs, and therefore, introduce safety risks. Considering this, and the purposes of the Act (to allow the safe and beneficial use of ionising radiation) it is prudent to consider authorisations under the radiation safety legislation to </w:t>
      </w:r>
      <w:r>
        <w:t xml:space="preserve">also </w:t>
      </w:r>
      <w:r w:rsidR="000579FD">
        <w:t>be a merit good</w:t>
      </w:r>
      <w:r w:rsidR="00397B37">
        <w:t xml:space="preserve">. </w:t>
      </w:r>
    </w:p>
    <w:p w14:paraId="6775F91D" w14:textId="77777777" w:rsidR="000579FD" w:rsidRDefault="00397B37" w:rsidP="0041087B">
      <w:r>
        <w:t>When the level of the proposed fees is compared to the level of</w:t>
      </w:r>
      <w:r w:rsidR="000579FD">
        <w:t xml:space="preserve"> capital and operating costs of providing safe and lawful services that use ionising radiation</w:t>
      </w:r>
      <w:r>
        <w:t xml:space="preserve">, the proportion of costs attributable to fees is so low that </w:t>
      </w:r>
      <w:r w:rsidR="000579FD">
        <w:t xml:space="preserve">the risk of incentivising cost avoidance </w:t>
      </w:r>
      <w:r>
        <w:t>can be considered low</w:t>
      </w:r>
      <w:r w:rsidR="000579FD">
        <w:t xml:space="preserve">.  </w:t>
      </w:r>
    </w:p>
    <w:p w14:paraId="33E2CD97" w14:textId="77777777" w:rsidR="00012FF3" w:rsidRDefault="00012FF3" w:rsidP="000579FD">
      <w:r>
        <w:t xml:space="preserve">Therefore, authorisations under the Act can be considered a merit good that requires no funding from general taxation while the fees remain at a low level relative to the other costs associated with providing services that use ionising radiation.  </w:t>
      </w:r>
    </w:p>
    <w:p w14:paraId="1EF5DD98" w14:textId="77777777" w:rsidR="000579FD" w:rsidRDefault="00012FF3" w:rsidP="000579FD">
      <w:r>
        <w:t>On this basis</w:t>
      </w:r>
      <w:r w:rsidR="000579FD">
        <w:t xml:space="preserve">, the 2016 RIS objective of full cost recovery through fees remains entirely relevant.  </w:t>
      </w:r>
    </w:p>
    <w:p w14:paraId="5942CB7C" w14:textId="77777777" w:rsidR="004D17AB" w:rsidRPr="004D17AB" w:rsidRDefault="0041087B" w:rsidP="004D17AB">
      <w:pPr>
        <w:pStyle w:val="Heading2"/>
      </w:pPr>
      <w:r>
        <w:t>The level of the proposed fee and its cost components (cost recovery model)</w:t>
      </w:r>
    </w:p>
    <w:p w14:paraId="728547E2" w14:textId="77777777" w:rsidR="000579FD" w:rsidRDefault="000579FD" w:rsidP="000579FD">
      <w:pPr>
        <w:tabs>
          <w:tab w:val="left" w:pos="7424"/>
          <w:tab w:val="right" w:pos="8636"/>
        </w:tabs>
        <w:rPr>
          <w:rFonts w:cs="Arial"/>
          <w:szCs w:val="24"/>
        </w:rPr>
      </w:pPr>
      <w:r>
        <w:rPr>
          <w:rFonts w:cs="Arial"/>
          <w:szCs w:val="24"/>
        </w:rPr>
        <w:t xml:space="preserve">Table 1 sets out the costs of administering the Act compared to when the fees where first set in 2016.  </w:t>
      </w:r>
    </w:p>
    <w:p w14:paraId="7E23A242" w14:textId="77777777" w:rsidR="000579FD" w:rsidRPr="00E440C9" w:rsidRDefault="000579FD" w:rsidP="00012FF3">
      <w:pPr>
        <w:tabs>
          <w:tab w:val="left" w:pos="7424"/>
          <w:tab w:val="right" w:pos="8636"/>
        </w:tabs>
        <w:spacing w:after="0"/>
        <w:rPr>
          <w:rFonts w:cs="Arial"/>
          <w:sz w:val="20"/>
          <w:szCs w:val="20"/>
        </w:rPr>
      </w:pPr>
      <w:r w:rsidRPr="00E440C9">
        <w:rPr>
          <w:rFonts w:cs="Arial"/>
          <w:sz w:val="20"/>
          <w:szCs w:val="20"/>
        </w:rPr>
        <w:t xml:space="preserve">Table 1: Annual costs of administering the Act: 2016 compared to projected costs for 2022 </w:t>
      </w:r>
    </w:p>
    <w:tbl>
      <w:tblPr>
        <w:tblStyle w:val="TableGrid"/>
        <w:tblW w:w="0" w:type="auto"/>
        <w:tblInd w:w="108" w:type="dxa"/>
        <w:tblLook w:val="04A0" w:firstRow="1" w:lastRow="0" w:firstColumn="1" w:lastColumn="0" w:noHBand="0" w:noVBand="1"/>
      </w:tblPr>
      <w:tblGrid>
        <w:gridCol w:w="3117"/>
        <w:gridCol w:w="1463"/>
        <w:gridCol w:w="1464"/>
        <w:gridCol w:w="1464"/>
        <w:gridCol w:w="1445"/>
      </w:tblGrid>
      <w:tr w:rsidR="000579FD" w:rsidRPr="000579FD" w14:paraId="31CC7C9F" w14:textId="77777777" w:rsidTr="00E440C9">
        <w:tc>
          <w:tcPr>
            <w:tcW w:w="3248" w:type="dxa"/>
          </w:tcPr>
          <w:p w14:paraId="3814B33D" w14:textId="77777777" w:rsidR="000579FD" w:rsidRPr="000579FD" w:rsidRDefault="000579FD" w:rsidP="00981E42">
            <w:pPr>
              <w:tabs>
                <w:tab w:val="left" w:pos="7424"/>
                <w:tab w:val="right" w:pos="8636"/>
              </w:tabs>
              <w:jc w:val="center"/>
              <w:rPr>
                <w:rFonts w:cs="Arial"/>
                <w:sz w:val="20"/>
                <w:szCs w:val="20"/>
              </w:rPr>
            </w:pPr>
          </w:p>
        </w:tc>
        <w:tc>
          <w:tcPr>
            <w:tcW w:w="1482" w:type="dxa"/>
          </w:tcPr>
          <w:p w14:paraId="0D2D0F58" w14:textId="77777777" w:rsidR="000579FD" w:rsidRPr="00E440C9" w:rsidRDefault="000579FD" w:rsidP="00981E42">
            <w:pPr>
              <w:tabs>
                <w:tab w:val="left" w:pos="7424"/>
                <w:tab w:val="right" w:pos="8636"/>
              </w:tabs>
              <w:jc w:val="center"/>
              <w:rPr>
                <w:rFonts w:cs="Arial"/>
                <w:b/>
                <w:bCs/>
                <w:sz w:val="20"/>
                <w:szCs w:val="20"/>
              </w:rPr>
            </w:pPr>
            <w:r w:rsidRPr="00E440C9">
              <w:rPr>
                <w:rFonts w:cs="Arial"/>
                <w:b/>
                <w:bCs/>
                <w:sz w:val="20"/>
                <w:szCs w:val="20"/>
              </w:rPr>
              <w:t>2016</w:t>
            </w:r>
          </w:p>
        </w:tc>
        <w:tc>
          <w:tcPr>
            <w:tcW w:w="1483" w:type="dxa"/>
          </w:tcPr>
          <w:p w14:paraId="14B250D4" w14:textId="77777777" w:rsidR="000579FD" w:rsidRPr="00E440C9" w:rsidRDefault="000579FD" w:rsidP="00981E42">
            <w:pPr>
              <w:tabs>
                <w:tab w:val="left" w:pos="7424"/>
                <w:tab w:val="right" w:pos="8636"/>
              </w:tabs>
              <w:jc w:val="center"/>
              <w:rPr>
                <w:rFonts w:cs="Arial"/>
                <w:b/>
                <w:bCs/>
                <w:sz w:val="20"/>
                <w:szCs w:val="20"/>
              </w:rPr>
            </w:pPr>
            <w:r w:rsidRPr="00E440C9">
              <w:rPr>
                <w:rFonts w:cs="Arial"/>
                <w:b/>
                <w:bCs/>
                <w:sz w:val="20"/>
                <w:szCs w:val="20"/>
              </w:rPr>
              <w:t>2022</w:t>
            </w:r>
          </w:p>
        </w:tc>
        <w:tc>
          <w:tcPr>
            <w:tcW w:w="1483" w:type="dxa"/>
          </w:tcPr>
          <w:p w14:paraId="17D38ECA" w14:textId="77777777" w:rsidR="000579FD" w:rsidRPr="00E440C9" w:rsidRDefault="000579FD" w:rsidP="00981E42">
            <w:pPr>
              <w:tabs>
                <w:tab w:val="left" w:pos="7424"/>
                <w:tab w:val="right" w:pos="8636"/>
              </w:tabs>
              <w:jc w:val="center"/>
              <w:rPr>
                <w:rFonts w:cs="Arial"/>
                <w:b/>
                <w:bCs/>
                <w:sz w:val="20"/>
                <w:szCs w:val="20"/>
              </w:rPr>
            </w:pPr>
            <w:r w:rsidRPr="00E440C9">
              <w:rPr>
                <w:rFonts w:cs="Arial"/>
                <w:b/>
                <w:bCs/>
                <w:sz w:val="20"/>
                <w:szCs w:val="20"/>
              </w:rPr>
              <w:t>Change ($)</w:t>
            </w:r>
          </w:p>
        </w:tc>
        <w:tc>
          <w:tcPr>
            <w:tcW w:w="1483" w:type="dxa"/>
          </w:tcPr>
          <w:p w14:paraId="2A199095" w14:textId="77777777" w:rsidR="000579FD" w:rsidRPr="00E440C9" w:rsidRDefault="000579FD" w:rsidP="00981E42">
            <w:pPr>
              <w:tabs>
                <w:tab w:val="left" w:pos="7424"/>
                <w:tab w:val="right" w:pos="8636"/>
              </w:tabs>
              <w:jc w:val="center"/>
              <w:rPr>
                <w:rFonts w:cs="Arial"/>
                <w:b/>
                <w:bCs/>
                <w:sz w:val="20"/>
                <w:szCs w:val="20"/>
              </w:rPr>
            </w:pPr>
            <w:r w:rsidRPr="00E440C9">
              <w:rPr>
                <w:rFonts w:cs="Arial"/>
                <w:b/>
                <w:bCs/>
                <w:sz w:val="20"/>
                <w:szCs w:val="20"/>
              </w:rPr>
              <w:t>Change (%)</w:t>
            </w:r>
          </w:p>
        </w:tc>
      </w:tr>
      <w:tr w:rsidR="000579FD" w:rsidRPr="000579FD" w14:paraId="76142676" w14:textId="77777777" w:rsidTr="00E440C9">
        <w:tc>
          <w:tcPr>
            <w:tcW w:w="3248" w:type="dxa"/>
          </w:tcPr>
          <w:p w14:paraId="0CD5A719" w14:textId="77777777" w:rsidR="000579FD" w:rsidRPr="000579FD" w:rsidRDefault="000579FD" w:rsidP="00B15ADD">
            <w:pPr>
              <w:tabs>
                <w:tab w:val="left" w:pos="7424"/>
                <w:tab w:val="right" w:pos="8636"/>
              </w:tabs>
              <w:rPr>
                <w:rFonts w:cs="Arial"/>
                <w:sz w:val="20"/>
                <w:szCs w:val="20"/>
              </w:rPr>
            </w:pPr>
            <w:r w:rsidRPr="000579FD">
              <w:rPr>
                <w:rFonts w:cs="Arial"/>
                <w:sz w:val="20"/>
                <w:szCs w:val="20"/>
              </w:rPr>
              <w:t>Direct costs of administering the Act</w:t>
            </w:r>
          </w:p>
        </w:tc>
        <w:tc>
          <w:tcPr>
            <w:tcW w:w="1482" w:type="dxa"/>
          </w:tcPr>
          <w:p w14:paraId="7B781A8F"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$450,000</w:t>
            </w:r>
          </w:p>
        </w:tc>
        <w:tc>
          <w:tcPr>
            <w:tcW w:w="1483" w:type="dxa"/>
          </w:tcPr>
          <w:p w14:paraId="499FCDCB"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$1,038,778</w:t>
            </w:r>
          </w:p>
        </w:tc>
        <w:tc>
          <w:tcPr>
            <w:tcW w:w="1483" w:type="dxa"/>
          </w:tcPr>
          <w:p w14:paraId="12A6C9AD"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$588,778</w:t>
            </w:r>
          </w:p>
        </w:tc>
        <w:tc>
          <w:tcPr>
            <w:tcW w:w="1483" w:type="dxa"/>
          </w:tcPr>
          <w:p w14:paraId="2393BF07"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131%</w:t>
            </w:r>
          </w:p>
        </w:tc>
      </w:tr>
      <w:tr w:rsidR="000579FD" w:rsidRPr="000579FD" w14:paraId="4D24C4EF" w14:textId="77777777" w:rsidTr="00E440C9">
        <w:tc>
          <w:tcPr>
            <w:tcW w:w="3248" w:type="dxa"/>
          </w:tcPr>
          <w:p w14:paraId="7E148289" w14:textId="77777777" w:rsidR="000579FD" w:rsidRPr="000579FD" w:rsidRDefault="000579FD" w:rsidP="00B15ADD">
            <w:pPr>
              <w:tabs>
                <w:tab w:val="left" w:pos="7424"/>
                <w:tab w:val="right" w:pos="8636"/>
              </w:tabs>
              <w:rPr>
                <w:rFonts w:cs="Arial"/>
                <w:sz w:val="20"/>
                <w:szCs w:val="20"/>
              </w:rPr>
            </w:pPr>
            <w:r w:rsidRPr="000579FD">
              <w:rPr>
                <w:rFonts w:cs="Arial"/>
                <w:sz w:val="20"/>
                <w:szCs w:val="20"/>
              </w:rPr>
              <w:t xml:space="preserve">Contracted compliance </w:t>
            </w:r>
            <w:r>
              <w:rPr>
                <w:rFonts w:cs="Arial"/>
                <w:sz w:val="20"/>
                <w:szCs w:val="20"/>
              </w:rPr>
              <w:t>monitoring</w:t>
            </w:r>
            <w:r w:rsidRPr="000579FD">
              <w:rPr>
                <w:rFonts w:cs="Arial"/>
                <w:sz w:val="20"/>
                <w:szCs w:val="20"/>
              </w:rPr>
              <w:t xml:space="preserve"> service (routine on-site inspections)</w:t>
            </w:r>
          </w:p>
        </w:tc>
        <w:tc>
          <w:tcPr>
            <w:tcW w:w="1482" w:type="dxa"/>
          </w:tcPr>
          <w:p w14:paraId="73E0C3C4"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$887,700</w:t>
            </w:r>
          </w:p>
        </w:tc>
        <w:tc>
          <w:tcPr>
            <w:tcW w:w="1483" w:type="dxa"/>
          </w:tcPr>
          <w:p w14:paraId="10C33C1A"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$1,368,997</w:t>
            </w:r>
          </w:p>
        </w:tc>
        <w:tc>
          <w:tcPr>
            <w:tcW w:w="1483" w:type="dxa"/>
          </w:tcPr>
          <w:p w14:paraId="2CE57BB3"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$481,297</w:t>
            </w:r>
          </w:p>
        </w:tc>
        <w:tc>
          <w:tcPr>
            <w:tcW w:w="1483" w:type="dxa"/>
          </w:tcPr>
          <w:p w14:paraId="7AC75C16"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54%</w:t>
            </w:r>
          </w:p>
        </w:tc>
      </w:tr>
      <w:tr w:rsidR="000579FD" w:rsidRPr="000579FD" w14:paraId="1839824C" w14:textId="77777777" w:rsidTr="00E440C9">
        <w:tc>
          <w:tcPr>
            <w:tcW w:w="3248" w:type="dxa"/>
          </w:tcPr>
          <w:p w14:paraId="16A3D1EE" w14:textId="77777777" w:rsidR="000579FD" w:rsidRPr="000579FD" w:rsidRDefault="000579FD" w:rsidP="00B15ADD">
            <w:pPr>
              <w:tabs>
                <w:tab w:val="left" w:pos="7424"/>
                <w:tab w:val="right" w:pos="8636"/>
              </w:tabs>
              <w:rPr>
                <w:rFonts w:cs="Arial"/>
                <w:sz w:val="20"/>
                <w:szCs w:val="20"/>
              </w:rPr>
            </w:pPr>
            <w:r w:rsidRPr="000579FD">
              <w:rPr>
                <w:rFonts w:cs="Arial"/>
                <w:sz w:val="20"/>
                <w:szCs w:val="20"/>
              </w:rPr>
              <w:t>Contracted technical evaluation service</w:t>
            </w:r>
          </w:p>
        </w:tc>
        <w:tc>
          <w:tcPr>
            <w:tcW w:w="1482" w:type="dxa"/>
          </w:tcPr>
          <w:p w14:paraId="25B9476B"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$100,000</w:t>
            </w:r>
          </w:p>
        </w:tc>
        <w:tc>
          <w:tcPr>
            <w:tcW w:w="1483" w:type="dxa"/>
          </w:tcPr>
          <w:p w14:paraId="4FF590F0"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$82,670</w:t>
            </w:r>
          </w:p>
        </w:tc>
        <w:tc>
          <w:tcPr>
            <w:tcW w:w="1483" w:type="dxa"/>
          </w:tcPr>
          <w:p w14:paraId="1AC62274"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-$17,330</w:t>
            </w:r>
          </w:p>
        </w:tc>
        <w:tc>
          <w:tcPr>
            <w:tcW w:w="1483" w:type="dxa"/>
          </w:tcPr>
          <w:p w14:paraId="3E2478C2"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-17%</w:t>
            </w:r>
          </w:p>
        </w:tc>
      </w:tr>
      <w:tr w:rsidR="000579FD" w:rsidRPr="000579FD" w14:paraId="08B68A49" w14:textId="77777777" w:rsidTr="00E440C9">
        <w:tc>
          <w:tcPr>
            <w:tcW w:w="3248" w:type="dxa"/>
          </w:tcPr>
          <w:p w14:paraId="71484C96" w14:textId="77777777" w:rsidR="000579FD" w:rsidRPr="000579FD" w:rsidRDefault="000579FD" w:rsidP="00B15ADD">
            <w:pPr>
              <w:tabs>
                <w:tab w:val="left" w:pos="7424"/>
                <w:tab w:val="right" w:pos="8636"/>
              </w:tabs>
              <w:rPr>
                <w:rFonts w:cs="Arial"/>
                <w:sz w:val="20"/>
                <w:szCs w:val="20"/>
              </w:rPr>
            </w:pPr>
            <w:r w:rsidRPr="000579FD">
              <w:rPr>
                <w:rFonts w:cs="Arial"/>
                <w:sz w:val="20"/>
                <w:szCs w:val="20"/>
              </w:rPr>
              <w:t>Total costs of regulation</w:t>
            </w:r>
          </w:p>
        </w:tc>
        <w:tc>
          <w:tcPr>
            <w:tcW w:w="1482" w:type="dxa"/>
          </w:tcPr>
          <w:p w14:paraId="7DAF126C"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$1,437,700</w:t>
            </w:r>
          </w:p>
        </w:tc>
        <w:tc>
          <w:tcPr>
            <w:tcW w:w="1483" w:type="dxa"/>
          </w:tcPr>
          <w:p w14:paraId="4062A3DC"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$2,490,445</w:t>
            </w:r>
          </w:p>
        </w:tc>
        <w:tc>
          <w:tcPr>
            <w:tcW w:w="1483" w:type="dxa"/>
          </w:tcPr>
          <w:p w14:paraId="2334F4AF"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$1,052,745</w:t>
            </w:r>
          </w:p>
        </w:tc>
        <w:tc>
          <w:tcPr>
            <w:tcW w:w="1483" w:type="dxa"/>
          </w:tcPr>
          <w:p w14:paraId="419B952C"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73%</w:t>
            </w:r>
          </w:p>
        </w:tc>
      </w:tr>
    </w:tbl>
    <w:p w14:paraId="5DE3C911" w14:textId="77777777" w:rsidR="000579FD" w:rsidRPr="00397B37" w:rsidRDefault="00397B37" w:rsidP="00E440C9">
      <w:pPr>
        <w:tabs>
          <w:tab w:val="left" w:pos="7424"/>
          <w:tab w:val="right" w:pos="8636"/>
        </w:tabs>
        <w:spacing w:before="240"/>
        <w:rPr>
          <w:rFonts w:cs="Arial"/>
          <w:szCs w:val="24"/>
        </w:rPr>
      </w:pPr>
      <w:r>
        <w:rPr>
          <w:rFonts w:cs="Arial"/>
          <w:szCs w:val="24"/>
        </w:rPr>
        <w:t xml:space="preserve">The direct and indirect costs of administering the Act have risen far </w:t>
      </w:r>
      <w:proofErr w:type="gramStart"/>
      <w:r>
        <w:rPr>
          <w:rFonts w:cs="Arial"/>
          <w:szCs w:val="24"/>
        </w:rPr>
        <w:t>in excess of</w:t>
      </w:r>
      <w:proofErr w:type="gramEnd"/>
      <w:r>
        <w:rPr>
          <w:rFonts w:cs="Arial"/>
          <w:szCs w:val="24"/>
        </w:rPr>
        <w:t xml:space="preserve"> the assumptions made when the fees where set. </w:t>
      </w:r>
      <w:r w:rsidRPr="00B564F2">
        <w:rPr>
          <w:rFonts w:cs="Arial"/>
          <w:szCs w:val="24"/>
        </w:rPr>
        <w:t xml:space="preserve">The increased costs have been generated to relieve cost pressures for contracted on-site inspections, </w:t>
      </w:r>
      <w:r>
        <w:rPr>
          <w:rFonts w:cs="Arial"/>
          <w:szCs w:val="24"/>
        </w:rPr>
        <w:t>meet</w:t>
      </w:r>
      <w:r w:rsidRPr="00B564F2">
        <w:rPr>
          <w:rFonts w:cs="Arial"/>
          <w:szCs w:val="24"/>
        </w:rPr>
        <w:t xml:space="preserve"> </w:t>
      </w:r>
      <w:r>
        <w:rPr>
          <w:rFonts w:cs="Arial"/>
          <w:szCs w:val="24"/>
        </w:rPr>
        <w:t xml:space="preserve">the </w:t>
      </w:r>
      <w:r w:rsidRPr="00B564F2">
        <w:rPr>
          <w:rFonts w:cs="Arial"/>
          <w:szCs w:val="24"/>
        </w:rPr>
        <w:t xml:space="preserve">staffing levels </w:t>
      </w:r>
      <w:r>
        <w:rPr>
          <w:rFonts w:cs="Arial"/>
          <w:szCs w:val="24"/>
        </w:rPr>
        <w:t xml:space="preserve">required </w:t>
      </w:r>
      <w:r w:rsidRPr="00B564F2">
        <w:rPr>
          <w:rFonts w:cs="Arial"/>
          <w:szCs w:val="24"/>
        </w:rPr>
        <w:t xml:space="preserve">to implement the </w:t>
      </w:r>
      <w:r>
        <w:rPr>
          <w:rFonts w:cs="Arial"/>
          <w:szCs w:val="24"/>
        </w:rPr>
        <w:t xml:space="preserve">new </w:t>
      </w:r>
      <w:r w:rsidRPr="00B564F2">
        <w:rPr>
          <w:rFonts w:cs="Arial"/>
          <w:szCs w:val="24"/>
        </w:rPr>
        <w:t>legislation</w:t>
      </w:r>
      <w:r>
        <w:rPr>
          <w:rFonts w:cs="Arial"/>
          <w:szCs w:val="24"/>
        </w:rPr>
        <w:t xml:space="preserve"> from 2016,</w:t>
      </w:r>
      <w:r w:rsidRPr="00B564F2">
        <w:rPr>
          <w:rFonts w:cs="Arial"/>
          <w:szCs w:val="24"/>
        </w:rPr>
        <w:t xml:space="preserve"> and </w:t>
      </w:r>
      <w:r>
        <w:rPr>
          <w:rFonts w:cs="Arial"/>
          <w:szCs w:val="24"/>
        </w:rPr>
        <w:t xml:space="preserve">costs for operating </w:t>
      </w:r>
      <w:r w:rsidRPr="00B564F2">
        <w:rPr>
          <w:rFonts w:cs="Arial"/>
          <w:szCs w:val="24"/>
        </w:rPr>
        <w:t xml:space="preserve">a new information technology (IT) system. </w:t>
      </w:r>
    </w:p>
    <w:p w14:paraId="06A57403" w14:textId="77777777" w:rsidR="000579FD" w:rsidRDefault="000579FD" w:rsidP="000579FD">
      <w:pPr>
        <w:tabs>
          <w:tab w:val="left" w:pos="7424"/>
          <w:tab w:val="right" w:pos="8636"/>
        </w:tabs>
        <w:rPr>
          <w:rFonts w:cs="Arial"/>
          <w:szCs w:val="24"/>
        </w:rPr>
      </w:pPr>
      <w:r>
        <w:rPr>
          <w:rFonts w:cs="Arial"/>
          <w:szCs w:val="24"/>
        </w:rPr>
        <w:t>The negative memorandum account balance is projected to be $1.6</w:t>
      </w:r>
      <w:r w:rsidR="003F2E3E">
        <w:rPr>
          <w:rFonts w:cs="Arial"/>
          <w:szCs w:val="24"/>
        </w:rPr>
        <w:t xml:space="preserve"> million</w:t>
      </w:r>
      <w:r>
        <w:rPr>
          <w:rFonts w:cs="Arial"/>
          <w:szCs w:val="24"/>
        </w:rPr>
        <w:t xml:space="preserve"> as of 30 June 2022 (actual figure not yet reported). The memorandum account balance change since 2016 is set out in Table 2.</w:t>
      </w:r>
    </w:p>
    <w:p w14:paraId="14603A9C" w14:textId="77777777" w:rsidR="000579FD" w:rsidRPr="00E440C9" w:rsidRDefault="000579FD" w:rsidP="00012FF3">
      <w:pPr>
        <w:tabs>
          <w:tab w:val="left" w:pos="7424"/>
          <w:tab w:val="right" w:pos="8636"/>
        </w:tabs>
        <w:spacing w:after="0"/>
        <w:rPr>
          <w:rFonts w:cs="Arial"/>
          <w:sz w:val="20"/>
          <w:szCs w:val="20"/>
        </w:rPr>
      </w:pPr>
      <w:r w:rsidRPr="00E440C9">
        <w:rPr>
          <w:rFonts w:cs="Arial"/>
          <w:sz w:val="20"/>
          <w:szCs w:val="20"/>
        </w:rPr>
        <w:lastRenderedPageBreak/>
        <w:t>Table 2: Memorandum account balance: 2016 compared to projected balance for 2022</w:t>
      </w:r>
    </w:p>
    <w:tbl>
      <w:tblPr>
        <w:tblStyle w:val="TableGrid"/>
        <w:tblW w:w="0" w:type="auto"/>
        <w:tblInd w:w="108" w:type="dxa"/>
        <w:tblLook w:val="04A0" w:firstRow="1" w:lastRow="0" w:firstColumn="1" w:lastColumn="0" w:noHBand="0" w:noVBand="1"/>
      </w:tblPr>
      <w:tblGrid>
        <w:gridCol w:w="2341"/>
        <w:gridCol w:w="1646"/>
        <w:gridCol w:w="1658"/>
        <w:gridCol w:w="1658"/>
        <w:gridCol w:w="1650"/>
      </w:tblGrid>
      <w:tr w:rsidR="000579FD" w14:paraId="46E6FF3F" w14:textId="77777777" w:rsidTr="00E440C9">
        <w:tc>
          <w:tcPr>
            <w:tcW w:w="2410" w:type="dxa"/>
          </w:tcPr>
          <w:p w14:paraId="4AB529E5" w14:textId="77777777" w:rsidR="000579FD" w:rsidRPr="000579FD" w:rsidRDefault="000579FD" w:rsidP="00981E42">
            <w:pPr>
              <w:tabs>
                <w:tab w:val="left" w:pos="7424"/>
                <w:tab w:val="right" w:pos="8636"/>
              </w:tabs>
              <w:jc w:val="center"/>
              <w:rPr>
                <w:rFonts w:cs="Arial"/>
                <w:sz w:val="20"/>
                <w:szCs w:val="20"/>
              </w:rPr>
            </w:pPr>
          </w:p>
        </w:tc>
        <w:tc>
          <w:tcPr>
            <w:tcW w:w="1692" w:type="dxa"/>
          </w:tcPr>
          <w:p w14:paraId="23150B03" w14:textId="77777777" w:rsidR="000579FD" w:rsidRPr="00E440C9" w:rsidRDefault="000579FD" w:rsidP="00981E42">
            <w:pPr>
              <w:tabs>
                <w:tab w:val="left" w:pos="7424"/>
                <w:tab w:val="right" w:pos="8636"/>
              </w:tabs>
              <w:jc w:val="center"/>
              <w:rPr>
                <w:rFonts w:cs="Arial"/>
                <w:b/>
                <w:bCs/>
                <w:sz w:val="20"/>
                <w:szCs w:val="20"/>
              </w:rPr>
            </w:pPr>
            <w:r w:rsidRPr="00E440C9">
              <w:rPr>
                <w:rFonts w:cs="Arial"/>
                <w:b/>
                <w:bCs/>
                <w:sz w:val="20"/>
                <w:szCs w:val="20"/>
              </w:rPr>
              <w:t>2016</w:t>
            </w:r>
          </w:p>
        </w:tc>
        <w:tc>
          <w:tcPr>
            <w:tcW w:w="1692" w:type="dxa"/>
          </w:tcPr>
          <w:p w14:paraId="79543D3D" w14:textId="77777777" w:rsidR="000579FD" w:rsidRPr="00E440C9" w:rsidRDefault="000579FD" w:rsidP="00981E42">
            <w:pPr>
              <w:tabs>
                <w:tab w:val="left" w:pos="7424"/>
                <w:tab w:val="right" w:pos="8636"/>
              </w:tabs>
              <w:jc w:val="center"/>
              <w:rPr>
                <w:rFonts w:cs="Arial"/>
                <w:b/>
                <w:bCs/>
                <w:sz w:val="20"/>
                <w:szCs w:val="20"/>
              </w:rPr>
            </w:pPr>
            <w:r w:rsidRPr="00E440C9">
              <w:rPr>
                <w:rFonts w:cs="Arial"/>
                <w:b/>
                <w:bCs/>
                <w:sz w:val="20"/>
                <w:szCs w:val="20"/>
              </w:rPr>
              <w:t>2022</w:t>
            </w:r>
          </w:p>
        </w:tc>
        <w:tc>
          <w:tcPr>
            <w:tcW w:w="1692" w:type="dxa"/>
          </w:tcPr>
          <w:p w14:paraId="2FBE547B" w14:textId="77777777" w:rsidR="000579FD" w:rsidRPr="00E440C9" w:rsidRDefault="000579FD" w:rsidP="00981E42">
            <w:pPr>
              <w:tabs>
                <w:tab w:val="left" w:pos="7424"/>
                <w:tab w:val="right" w:pos="8636"/>
              </w:tabs>
              <w:jc w:val="center"/>
              <w:rPr>
                <w:rFonts w:cs="Arial"/>
                <w:b/>
                <w:bCs/>
                <w:sz w:val="20"/>
                <w:szCs w:val="20"/>
              </w:rPr>
            </w:pPr>
            <w:r w:rsidRPr="00E440C9">
              <w:rPr>
                <w:rFonts w:cs="Arial"/>
                <w:b/>
                <w:bCs/>
                <w:sz w:val="20"/>
                <w:szCs w:val="20"/>
              </w:rPr>
              <w:t>Decrease ($)</w:t>
            </w:r>
          </w:p>
        </w:tc>
        <w:tc>
          <w:tcPr>
            <w:tcW w:w="1692" w:type="dxa"/>
          </w:tcPr>
          <w:p w14:paraId="33BBCE52" w14:textId="77777777" w:rsidR="000579FD" w:rsidRPr="00E440C9" w:rsidRDefault="000579FD" w:rsidP="00981E42">
            <w:pPr>
              <w:tabs>
                <w:tab w:val="left" w:pos="7424"/>
                <w:tab w:val="right" w:pos="8636"/>
              </w:tabs>
              <w:jc w:val="center"/>
              <w:rPr>
                <w:rFonts w:cs="Arial"/>
                <w:b/>
                <w:bCs/>
                <w:sz w:val="20"/>
                <w:szCs w:val="20"/>
              </w:rPr>
            </w:pPr>
            <w:r w:rsidRPr="00E440C9">
              <w:rPr>
                <w:rFonts w:cs="Arial"/>
                <w:b/>
                <w:bCs/>
                <w:sz w:val="20"/>
                <w:szCs w:val="20"/>
              </w:rPr>
              <w:t>Decrease (%)</w:t>
            </w:r>
          </w:p>
        </w:tc>
      </w:tr>
      <w:tr w:rsidR="000579FD" w14:paraId="4EF3445E" w14:textId="77777777" w:rsidTr="00E440C9">
        <w:tc>
          <w:tcPr>
            <w:tcW w:w="2410" w:type="dxa"/>
          </w:tcPr>
          <w:p w14:paraId="26DAFD76" w14:textId="77777777" w:rsidR="000579FD" w:rsidRPr="000579FD" w:rsidRDefault="000579FD" w:rsidP="00B15ADD">
            <w:pPr>
              <w:tabs>
                <w:tab w:val="left" w:pos="7424"/>
                <w:tab w:val="right" w:pos="8636"/>
              </w:tabs>
              <w:rPr>
                <w:rFonts w:cs="Arial"/>
                <w:sz w:val="20"/>
                <w:szCs w:val="20"/>
              </w:rPr>
            </w:pPr>
            <w:r w:rsidRPr="000579FD">
              <w:rPr>
                <w:rFonts w:cs="Arial"/>
                <w:sz w:val="20"/>
                <w:szCs w:val="20"/>
              </w:rPr>
              <w:t xml:space="preserve">Memorandum account </w:t>
            </w:r>
            <w:r w:rsidR="00981E42">
              <w:rPr>
                <w:rFonts w:cs="Arial"/>
                <w:sz w:val="20"/>
                <w:szCs w:val="20"/>
              </w:rPr>
              <w:t>balance</w:t>
            </w:r>
          </w:p>
        </w:tc>
        <w:tc>
          <w:tcPr>
            <w:tcW w:w="1692" w:type="dxa"/>
          </w:tcPr>
          <w:p w14:paraId="3A3A6F16"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$973,000</w:t>
            </w:r>
          </w:p>
        </w:tc>
        <w:tc>
          <w:tcPr>
            <w:tcW w:w="1692" w:type="dxa"/>
          </w:tcPr>
          <w:p w14:paraId="6EC462F3"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-$1,600,000</w:t>
            </w:r>
          </w:p>
        </w:tc>
        <w:tc>
          <w:tcPr>
            <w:tcW w:w="1692" w:type="dxa"/>
          </w:tcPr>
          <w:p w14:paraId="7F14FACF"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$2,573,000</w:t>
            </w:r>
          </w:p>
        </w:tc>
        <w:tc>
          <w:tcPr>
            <w:tcW w:w="1692" w:type="dxa"/>
          </w:tcPr>
          <w:p w14:paraId="62E6E530"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264%</w:t>
            </w:r>
          </w:p>
        </w:tc>
      </w:tr>
    </w:tbl>
    <w:p w14:paraId="6592B37F" w14:textId="77777777" w:rsidR="000579FD" w:rsidRDefault="000579FD" w:rsidP="000579FD">
      <w:pPr>
        <w:tabs>
          <w:tab w:val="left" w:pos="7424"/>
          <w:tab w:val="right" w:pos="8636"/>
        </w:tabs>
        <w:rPr>
          <w:rFonts w:cs="Arial"/>
          <w:szCs w:val="24"/>
        </w:rPr>
      </w:pPr>
      <w:proofErr w:type="gramStart"/>
      <w:r>
        <w:rPr>
          <w:rFonts w:cs="Arial"/>
          <w:szCs w:val="24"/>
        </w:rPr>
        <w:t>On the basis of</w:t>
      </w:r>
      <w:proofErr w:type="gramEnd"/>
      <w:r>
        <w:rPr>
          <w:rFonts w:cs="Arial"/>
          <w:szCs w:val="24"/>
        </w:rPr>
        <w:t xml:space="preserve"> the costs of administering the Act and the memorandum account balance, the recoverable costs </w:t>
      </w:r>
      <w:r w:rsidR="00397B37">
        <w:rPr>
          <w:rFonts w:cs="Arial"/>
          <w:szCs w:val="24"/>
        </w:rPr>
        <w:t>are outlined</w:t>
      </w:r>
      <w:r>
        <w:rPr>
          <w:rFonts w:cs="Arial"/>
          <w:szCs w:val="24"/>
        </w:rPr>
        <w:t xml:space="preserve"> in Table 3.  </w:t>
      </w:r>
    </w:p>
    <w:p w14:paraId="47FCF7D0" w14:textId="77777777" w:rsidR="000579FD" w:rsidRPr="00E440C9" w:rsidRDefault="000579FD" w:rsidP="00012FF3">
      <w:pPr>
        <w:pStyle w:val="CabStandard"/>
        <w:numPr>
          <w:ilvl w:val="0"/>
          <w:numId w:val="0"/>
        </w:numPr>
        <w:spacing w:after="0"/>
        <w:ind w:left="720" w:hanging="720"/>
        <w:rPr>
          <w:rFonts w:cs="Arial"/>
          <w:sz w:val="20"/>
        </w:rPr>
      </w:pPr>
      <w:r w:rsidRPr="00E440C9">
        <w:rPr>
          <w:rFonts w:cs="Arial"/>
          <w:sz w:val="20"/>
        </w:rPr>
        <w:t>Table 3: Annual recoverable costs of administering the Act</w:t>
      </w:r>
    </w:p>
    <w:tbl>
      <w:tblPr>
        <w:tblStyle w:val="TableGrid"/>
        <w:tblW w:w="0" w:type="auto"/>
        <w:tblInd w:w="108" w:type="dxa"/>
        <w:tblLook w:val="04A0" w:firstRow="1" w:lastRow="0" w:firstColumn="1" w:lastColumn="0" w:noHBand="0" w:noVBand="1"/>
      </w:tblPr>
      <w:tblGrid>
        <w:gridCol w:w="2419"/>
        <w:gridCol w:w="1638"/>
        <w:gridCol w:w="1638"/>
        <w:gridCol w:w="1638"/>
        <w:gridCol w:w="1620"/>
      </w:tblGrid>
      <w:tr w:rsidR="000579FD" w14:paraId="24BF873E" w14:textId="77777777" w:rsidTr="00E440C9">
        <w:tc>
          <w:tcPr>
            <w:tcW w:w="2494" w:type="dxa"/>
          </w:tcPr>
          <w:p w14:paraId="4EBBB6E3" w14:textId="77777777" w:rsidR="000579FD" w:rsidRPr="000579FD" w:rsidRDefault="000579FD" w:rsidP="00981E42">
            <w:pPr>
              <w:tabs>
                <w:tab w:val="left" w:pos="7424"/>
                <w:tab w:val="right" w:pos="8636"/>
              </w:tabs>
              <w:jc w:val="center"/>
              <w:rPr>
                <w:rFonts w:cs="Arial"/>
                <w:sz w:val="20"/>
                <w:szCs w:val="20"/>
              </w:rPr>
            </w:pPr>
          </w:p>
        </w:tc>
        <w:tc>
          <w:tcPr>
            <w:tcW w:w="1671" w:type="dxa"/>
          </w:tcPr>
          <w:p w14:paraId="1263F184" w14:textId="77777777" w:rsidR="000579FD" w:rsidRPr="00E440C9" w:rsidRDefault="000579FD" w:rsidP="00981E42">
            <w:pPr>
              <w:tabs>
                <w:tab w:val="left" w:pos="7424"/>
                <w:tab w:val="right" w:pos="8636"/>
              </w:tabs>
              <w:jc w:val="center"/>
              <w:rPr>
                <w:rFonts w:cs="Arial"/>
                <w:b/>
                <w:bCs/>
                <w:sz w:val="20"/>
                <w:szCs w:val="20"/>
              </w:rPr>
            </w:pPr>
            <w:r w:rsidRPr="00E440C9">
              <w:rPr>
                <w:rFonts w:cs="Arial"/>
                <w:b/>
                <w:bCs/>
                <w:sz w:val="20"/>
                <w:szCs w:val="20"/>
              </w:rPr>
              <w:t>2017</w:t>
            </w:r>
          </w:p>
        </w:tc>
        <w:tc>
          <w:tcPr>
            <w:tcW w:w="1671" w:type="dxa"/>
          </w:tcPr>
          <w:p w14:paraId="1F3520A2" w14:textId="77777777" w:rsidR="000579FD" w:rsidRPr="00E440C9" w:rsidRDefault="000579FD" w:rsidP="00981E42">
            <w:pPr>
              <w:tabs>
                <w:tab w:val="left" w:pos="7424"/>
                <w:tab w:val="right" w:pos="8636"/>
              </w:tabs>
              <w:jc w:val="center"/>
              <w:rPr>
                <w:rFonts w:cs="Arial"/>
                <w:b/>
                <w:bCs/>
                <w:sz w:val="20"/>
                <w:szCs w:val="20"/>
              </w:rPr>
            </w:pPr>
            <w:r w:rsidRPr="00E440C9">
              <w:rPr>
                <w:rFonts w:cs="Arial"/>
                <w:b/>
                <w:bCs/>
                <w:sz w:val="20"/>
                <w:szCs w:val="20"/>
              </w:rPr>
              <w:t>2022</w:t>
            </w:r>
          </w:p>
        </w:tc>
        <w:tc>
          <w:tcPr>
            <w:tcW w:w="1671" w:type="dxa"/>
          </w:tcPr>
          <w:p w14:paraId="5431ABDC" w14:textId="77777777" w:rsidR="000579FD" w:rsidRPr="00E440C9" w:rsidRDefault="000579FD" w:rsidP="00981E42">
            <w:pPr>
              <w:tabs>
                <w:tab w:val="left" w:pos="7424"/>
                <w:tab w:val="right" w:pos="8636"/>
              </w:tabs>
              <w:jc w:val="center"/>
              <w:rPr>
                <w:rFonts w:cs="Arial"/>
                <w:b/>
                <w:bCs/>
                <w:sz w:val="20"/>
                <w:szCs w:val="20"/>
              </w:rPr>
            </w:pPr>
            <w:r w:rsidRPr="00E440C9">
              <w:rPr>
                <w:rFonts w:cs="Arial"/>
                <w:b/>
                <w:bCs/>
                <w:sz w:val="20"/>
                <w:szCs w:val="20"/>
              </w:rPr>
              <w:t>Change ($)</w:t>
            </w:r>
          </w:p>
        </w:tc>
        <w:tc>
          <w:tcPr>
            <w:tcW w:w="1672" w:type="dxa"/>
          </w:tcPr>
          <w:p w14:paraId="109AFBEE" w14:textId="77777777" w:rsidR="000579FD" w:rsidRPr="00E440C9" w:rsidRDefault="000579FD" w:rsidP="00981E42">
            <w:pPr>
              <w:tabs>
                <w:tab w:val="left" w:pos="7424"/>
                <w:tab w:val="right" w:pos="8636"/>
              </w:tabs>
              <w:jc w:val="center"/>
              <w:rPr>
                <w:rFonts w:cs="Arial"/>
                <w:b/>
                <w:bCs/>
                <w:sz w:val="20"/>
                <w:szCs w:val="20"/>
              </w:rPr>
            </w:pPr>
            <w:r w:rsidRPr="00E440C9">
              <w:rPr>
                <w:rFonts w:cs="Arial"/>
                <w:b/>
                <w:bCs/>
                <w:sz w:val="20"/>
                <w:szCs w:val="20"/>
              </w:rPr>
              <w:t>Change (%)</w:t>
            </w:r>
          </w:p>
        </w:tc>
      </w:tr>
      <w:tr w:rsidR="000579FD" w14:paraId="5391BFF2" w14:textId="77777777" w:rsidTr="00E440C9">
        <w:tc>
          <w:tcPr>
            <w:tcW w:w="2494" w:type="dxa"/>
          </w:tcPr>
          <w:p w14:paraId="62B42EB0" w14:textId="77777777" w:rsidR="000579FD" w:rsidRPr="000579FD" w:rsidRDefault="000579FD" w:rsidP="00B15ADD">
            <w:pPr>
              <w:tabs>
                <w:tab w:val="left" w:pos="7424"/>
                <w:tab w:val="right" w:pos="8636"/>
              </w:tabs>
              <w:rPr>
                <w:rFonts w:cs="Arial"/>
                <w:sz w:val="20"/>
                <w:szCs w:val="20"/>
              </w:rPr>
            </w:pPr>
            <w:r w:rsidRPr="000579FD">
              <w:rPr>
                <w:rFonts w:cs="Arial"/>
                <w:sz w:val="20"/>
                <w:szCs w:val="20"/>
              </w:rPr>
              <w:t>Total costs of regulation</w:t>
            </w:r>
          </w:p>
        </w:tc>
        <w:tc>
          <w:tcPr>
            <w:tcW w:w="1671" w:type="dxa"/>
          </w:tcPr>
          <w:p w14:paraId="356FF59F"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$1,437,700</w:t>
            </w:r>
          </w:p>
        </w:tc>
        <w:tc>
          <w:tcPr>
            <w:tcW w:w="1671" w:type="dxa"/>
          </w:tcPr>
          <w:p w14:paraId="232EACE1"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$2,490,445</w:t>
            </w:r>
          </w:p>
        </w:tc>
        <w:tc>
          <w:tcPr>
            <w:tcW w:w="1671" w:type="dxa"/>
          </w:tcPr>
          <w:p w14:paraId="50AAFE97"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$1,052,745</w:t>
            </w:r>
          </w:p>
        </w:tc>
        <w:tc>
          <w:tcPr>
            <w:tcW w:w="1672" w:type="dxa"/>
          </w:tcPr>
          <w:p w14:paraId="4AF5D24D"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73%</w:t>
            </w:r>
          </w:p>
        </w:tc>
      </w:tr>
      <w:tr w:rsidR="000579FD" w14:paraId="75807AB7" w14:textId="77777777" w:rsidTr="00E440C9">
        <w:tc>
          <w:tcPr>
            <w:tcW w:w="2494" w:type="dxa"/>
          </w:tcPr>
          <w:p w14:paraId="197D76F1" w14:textId="77777777" w:rsidR="000579FD" w:rsidRPr="000579FD" w:rsidRDefault="000579FD" w:rsidP="00B15ADD">
            <w:pPr>
              <w:tabs>
                <w:tab w:val="left" w:pos="7424"/>
                <w:tab w:val="right" w:pos="8636"/>
              </w:tabs>
              <w:rPr>
                <w:rFonts w:cs="Arial"/>
                <w:sz w:val="20"/>
                <w:szCs w:val="20"/>
              </w:rPr>
            </w:pPr>
            <w:r w:rsidRPr="000579FD">
              <w:rPr>
                <w:rFonts w:cs="Arial"/>
                <w:sz w:val="20"/>
                <w:szCs w:val="20"/>
              </w:rPr>
              <w:t xml:space="preserve">Memorandum account annual adjustment </w:t>
            </w:r>
          </w:p>
        </w:tc>
        <w:tc>
          <w:tcPr>
            <w:tcW w:w="1671" w:type="dxa"/>
          </w:tcPr>
          <w:p w14:paraId="7D48AEB9"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 xml:space="preserve">-$162,000 </w:t>
            </w:r>
          </w:p>
        </w:tc>
        <w:tc>
          <w:tcPr>
            <w:tcW w:w="1671" w:type="dxa"/>
          </w:tcPr>
          <w:p w14:paraId="6863F1BB"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$200,000</w:t>
            </w:r>
          </w:p>
        </w:tc>
        <w:tc>
          <w:tcPr>
            <w:tcW w:w="1671" w:type="dxa"/>
          </w:tcPr>
          <w:p w14:paraId="5D3D7CF5"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$362,000</w:t>
            </w:r>
          </w:p>
        </w:tc>
        <w:tc>
          <w:tcPr>
            <w:tcW w:w="1672" w:type="dxa"/>
          </w:tcPr>
          <w:p w14:paraId="1AEF9DAB"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223%</w:t>
            </w:r>
          </w:p>
        </w:tc>
      </w:tr>
      <w:tr w:rsidR="000579FD" w14:paraId="3EAB2147" w14:textId="77777777" w:rsidTr="00E440C9">
        <w:tc>
          <w:tcPr>
            <w:tcW w:w="2494" w:type="dxa"/>
          </w:tcPr>
          <w:p w14:paraId="5CF0B743" w14:textId="77777777" w:rsidR="000579FD" w:rsidRPr="000579FD" w:rsidRDefault="000579FD" w:rsidP="00B15ADD">
            <w:pPr>
              <w:tabs>
                <w:tab w:val="left" w:pos="7424"/>
                <w:tab w:val="right" w:pos="8636"/>
              </w:tabs>
              <w:rPr>
                <w:rFonts w:cs="Arial"/>
                <w:sz w:val="20"/>
                <w:szCs w:val="20"/>
              </w:rPr>
            </w:pPr>
            <w:r w:rsidRPr="000579FD">
              <w:rPr>
                <w:rFonts w:cs="Arial"/>
                <w:sz w:val="20"/>
                <w:szCs w:val="20"/>
              </w:rPr>
              <w:t>Recoverable costs</w:t>
            </w:r>
          </w:p>
        </w:tc>
        <w:tc>
          <w:tcPr>
            <w:tcW w:w="1671" w:type="dxa"/>
          </w:tcPr>
          <w:p w14:paraId="19B37E0D"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$1,275,700</w:t>
            </w:r>
          </w:p>
        </w:tc>
        <w:tc>
          <w:tcPr>
            <w:tcW w:w="1671" w:type="dxa"/>
          </w:tcPr>
          <w:p w14:paraId="15F7841A"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$2,690,445</w:t>
            </w:r>
          </w:p>
        </w:tc>
        <w:tc>
          <w:tcPr>
            <w:tcW w:w="1671" w:type="dxa"/>
          </w:tcPr>
          <w:p w14:paraId="5393A8F2"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$1,414,745</w:t>
            </w:r>
          </w:p>
        </w:tc>
        <w:tc>
          <w:tcPr>
            <w:tcW w:w="1672" w:type="dxa"/>
          </w:tcPr>
          <w:p w14:paraId="62C51B09" w14:textId="77777777" w:rsidR="000579FD" w:rsidRPr="000579FD" w:rsidRDefault="000579FD" w:rsidP="00981E42">
            <w:pPr>
              <w:tabs>
                <w:tab w:val="left" w:pos="7424"/>
                <w:tab w:val="right" w:pos="8636"/>
              </w:tabs>
              <w:jc w:val="right"/>
              <w:rPr>
                <w:rFonts w:cs="Arial"/>
                <w:sz w:val="20"/>
                <w:szCs w:val="20"/>
              </w:rPr>
            </w:pPr>
            <w:r w:rsidRPr="000579FD">
              <w:rPr>
                <w:rFonts w:cs="Arial"/>
                <w:sz w:val="20"/>
                <w:szCs w:val="20"/>
              </w:rPr>
              <w:t>111%</w:t>
            </w:r>
          </w:p>
        </w:tc>
      </w:tr>
    </w:tbl>
    <w:p w14:paraId="4628880B" w14:textId="77777777" w:rsidR="000579FD" w:rsidRDefault="00012FF3" w:rsidP="00E440C9">
      <w:pPr>
        <w:spacing w:before="240"/>
      </w:pPr>
      <w:r>
        <w:t xml:space="preserve">Table 4 sets out the proposed new fees and compares them to the existing fees. </w:t>
      </w:r>
      <w:r w:rsidR="000579FD">
        <w:t xml:space="preserve">The proposed new fees would recover the annual recoverable costs of administering the Act, introduce a different fee for new source licence and new use licence applications compared to renewal applications, and adjust the refund amounts. </w:t>
      </w:r>
    </w:p>
    <w:p w14:paraId="1BF7F360" w14:textId="77777777" w:rsidR="000579FD" w:rsidRDefault="000579FD" w:rsidP="0041087B">
      <w:r>
        <w:t xml:space="preserve">Because the current fees apply a 13 percent discount to source licence fees to address the historical over-take in fees that occurred prior to 2016, Table 4 also sets out a comparison to the current fees with this discount removed. </w:t>
      </w:r>
    </w:p>
    <w:p w14:paraId="12407A80" w14:textId="77777777" w:rsidR="000579FD" w:rsidRDefault="000579FD" w:rsidP="0041087B">
      <w:r>
        <w:t xml:space="preserve">The fees set out in Table 4 are unaltered from those outlined in the </w:t>
      </w:r>
      <w:r w:rsidR="00C060F7">
        <w:rPr>
          <w:rFonts w:cs="Arial"/>
          <w:szCs w:val="24"/>
        </w:rPr>
        <w:t>public consultation document</w:t>
      </w:r>
      <w:r>
        <w:t xml:space="preserve">.  </w:t>
      </w:r>
    </w:p>
    <w:p w14:paraId="4EA8450F" w14:textId="77777777" w:rsidR="000579FD" w:rsidRPr="00E440C9" w:rsidRDefault="000579FD" w:rsidP="00012FF3">
      <w:pPr>
        <w:spacing w:after="0"/>
        <w:rPr>
          <w:sz w:val="20"/>
          <w:szCs w:val="20"/>
        </w:rPr>
      </w:pPr>
      <w:r w:rsidRPr="00E440C9">
        <w:rPr>
          <w:sz w:val="20"/>
          <w:szCs w:val="20"/>
        </w:rPr>
        <w:t xml:space="preserve">Table 4: Proposed new annual fees compared with current fees (discount applied until 7 March 2023) and full current fees (discount removed from 7 March 2023) </w:t>
      </w:r>
    </w:p>
    <w:tbl>
      <w:tblPr>
        <w:tblW w:w="9072" w:type="dxa"/>
        <w:tblInd w:w="108" w:type="dxa"/>
        <w:tblLayout w:type="fixed"/>
        <w:tblLook w:val="04A0" w:firstRow="1" w:lastRow="0" w:firstColumn="1" w:lastColumn="0" w:noHBand="0" w:noVBand="1"/>
      </w:tblPr>
      <w:tblGrid>
        <w:gridCol w:w="3119"/>
        <w:gridCol w:w="1077"/>
        <w:gridCol w:w="1219"/>
        <w:gridCol w:w="1219"/>
        <w:gridCol w:w="1219"/>
        <w:gridCol w:w="1219"/>
      </w:tblGrid>
      <w:tr w:rsidR="000579FD" w:rsidRPr="00E440C9" w14:paraId="16BC9975" w14:textId="77777777" w:rsidTr="00E440C9">
        <w:trPr>
          <w:trHeight w:val="288"/>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E3202" w14:textId="77777777" w:rsidR="000579FD" w:rsidRPr="00E440C9" w:rsidRDefault="000579FD" w:rsidP="00981E42">
            <w:pPr>
              <w:spacing w:line="240" w:lineRule="auto"/>
              <w:jc w:val="center"/>
              <w:rPr>
                <w:rFonts w:cs="Arial"/>
                <w:b/>
                <w:bCs/>
                <w:color w:val="000000"/>
                <w:sz w:val="18"/>
                <w:szCs w:val="18"/>
                <w:lang w:eastAsia="en-NZ"/>
              </w:rPr>
            </w:pPr>
            <w:r w:rsidRPr="00E440C9">
              <w:rPr>
                <w:rFonts w:cs="Arial"/>
                <w:b/>
                <w:bCs/>
                <w:color w:val="000000"/>
                <w:sz w:val="18"/>
                <w:szCs w:val="18"/>
                <w:lang w:eastAsia="en-NZ"/>
              </w:rPr>
              <w:t>Source licences compliance monitoring category (new applications)</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26813D3C" w14:textId="77777777" w:rsidR="000579FD" w:rsidRPr="00E440C9" w:rsidRDefault="000579FD" w:rsidP="00981E42">
            <w:pPr>
              <w:spacing w:line="240" w:lineRule="auto"/>
              <w:jc w:val="center"/>
              <w:rPr>
                <w:rFonts w:cs="Arial"/>
                <w:b/>
                <w:bCs/>
                <w:color w:val="000000"/>
                <w:sz w:val="18"/>
                <w:szCs w:val="18"/>
                <w:lang w:eastAsia="en-NZ"/>
              </w:rPr>
            </w:pPr>
            <w:r w:rsidRPr="00E440C9">
              <w:rPr>
                <w:rFonts w:cs="Arial"/>
                <w:b/>
                <w:bCs/>
                <w:color w:val="000000"/>
                <w:sz w:val="18"/>
                <w:szCs w:val="18"/>
                <w:lang w:eastAsia="en-NZ"/>
              </w:rPr>
              <w:t>Proposed new fee</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14:paraId="4716FDB7" w14:textId="77777777" w:rsidR="000579FD" w:rsidRPr="00E440C9" w:rsidRDefault="000579FD" w:rsidP="00981E42">
            <w:pPr>
              <w:spacing w:line="240" w:lineRule="auto"/>
              <w:jc w:val="center"/>
              <w:rPr>
                <w:rFonts w:cs="Arial"/>
                <w:b/>
                <w:bCs/>
                <w:color w:val="000000"/>
                <w:sz w:val="18"/>
                <w:szCs w:val="18"/>
                <w:lang w:eastAsia="en-NZ"/>
              </w:rPr>
            </w:pPr>
            <w:r w:rsidRPr="00E440C9">
              <w:rPr>
                <w:rFonts w:cs="Arial"/>
                <w:b/>
                <w:bCs/>
                <w:color w:val="000000"/>
                <w:sz w:val="18"/>
                <w:szCs w:val="18"/>
                <w:lang w:eastAsia="en-NZ"/>
              </w:rPr>
              <w:t>Current fee (discount applied)</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14:paraId="581023EE" w14:textId="77777777" w:rsidR="000579FD" w:rsidRPr="00E440C9" w:rsidRDefault="000579FD" w:rsidP="00981E42">
            <w:pPr>
              <w:spacing w:line="240" w:lineRule="auto"/>
              <w:jc w:val="center"/>
              <w:rPr>
                <w:rFonts w:cs="Arial"/>
                <w:b/>
                <w:bCs/>
                <w:color w:val="000000"/>
                <w:sz w:val="18"/>
                <w:szCs w:val="18"/>
                <w:lang w:eastAsia="en-NZ"/>
              </w:rPr>
            </w:pPr>
            <w:r w:rsidRPr="00E440C9">
              <w:rPr>
                <w:rFonts w:cs="Arial"/>
                <w:b/>
                <w:bCs/>
                <w:color w:val="000000"/>
                <w:sz w:val="18"/>
                <w:szCs w:val="18"/>
                <w:lang w:eastAsia="en-NZ"/>
              </w:rPr>
              <w:t>Current fee (no discount)</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14:paraId="7E3F421D" w14:textId="77777777" w:rsidR="000579FD" w:rsidRPr="00E440C9" w:rsidRDefault="000579FD" w:rsidP="00981E42">
            <w:pPr>
              <w:spacing w:line="240" w:lineRule="auto"/>
              <w:jc w:val="center"/>
              <w:rPr>
                <w:rFonts w:cs="Arial"/>
                <w:b/>
                <w:bCs/>
                <w:color w:val="000000"/>
                <w:sz w:val="18"/>
                <w:szCs w:val="18"/>
                <w:lang w:eastAsia="en-NZ"/>
              </w:rPr>
            </w:pPr>
            <w:r w:rsidRPr="00E440C9">
              <w:rPr>
                <w:rFonts w:cs="Arial"/>
                <w:b/>
                <w:bCs/>
                <w:color w:val="000000"/>
                <w:sz w:val="18"/>
                <w:szCs w:val="18"/>
                <w:lang w:eastAsia="en-NZ"/>
              </w:rPr>
              <w:t>Change from current discounted fee</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14:paraId="5BD85EE0" w14:textId="77777777" w:rsidR="000579FD" w:rsidRPr="00E440C9" w:rsidRDefault="000579FD" w:rsidP="00981E42">
            <w:pPr>
              <w:spacing w:line="240" w:lineRule="auto"/>
              <w:jc w:val="center"/>
              <w:rPr>
                <w:rFonts w:cs="Arial"/>
                <w:b/>
                <w:bCs/>
                <w:color w:val="000000"/>
                <w:sz w:val="18"/>
                <w:szCs w:val="18"/>
                <w:lang w:eastAsia="en-NZ"/>
              </w:rPr>
            </w:pPr>
            <w:r w:rsidRPr="00E440C9">
              <w:rPr>
                <w:rFonts w:cs="Arial"/>
                <w:b/>
                <w:bCs/>
                <w:color w:val="000000"/>
                <w:sz w:val="18"/>
                <w:szCs w:val="18"/>
                <w:lang w:eastAsia="en-NZ"/>
              </w:rPr>
              <w:t>Percentage change from current discounted fee</w:t>
            </w:r>
          </w:p>
        </w:tc>
      </w:tr>
      <w:tr w:rsidR="000579FD" w:rsidRPr="00A02394" w14:paraId="13745D76" w14:textId="77777777" w:rsidTr="00E440C9">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C57EE6D" w14:textId="77777777" w:rsidR="000579FD" w:rsidRPr="000579FD" w:rsidRDefault="000579FD" w:rsidP="00B15ADD">
            <w:pPr>
              <w:spacing w:line="240" w:lineRule="auto"/>
              <w:rPr>
                <w:rFonts w:cs="Arial"/>
                <w:sz w:val="18"/>
                <w:szCs w:val="18"/>
                <w:lang w:eastAsia="en-NZ"/>
              </w:rPr>
            </w:pPr>
            <w:r w:rsidRPr="000579FD">
              <w:rPr>
                <w:rFonts w:cs="Arial"/>
                <w:sz w:val="18"/>
                <w:szCs w:val="18"/>
                <w:lang w:eastAsia="en-NZ"/>
              </w:rPr>
              <w:t xml:space="preserve">Medical 1, Non-medical 1, </w:t>
            </w:r>
            <w:proofErr w:type="gramStart"/>
            <w:r w:rsidRPr="000579FD">
              <w:rPr>
                <w:rFonts w:cs="Arial"/>
                <w:sz w:val="18"/>
                <w:szCs w:val="18"/>
                <w:lang w:eastAsia="en-NZ"/>
              </w:rPr>
              <w:t>Non-medical</w:t>
            </w:r>
            <w:proofErr w:type="gramEnd"/>
            <w:r w:rsidRPr="000579FD">
              <w:rPr>
                <w:rFonts w:cs="Arial"/>
                <w:sz w:val="18"/>
                <w:szCs w:val="18"/>
                <w:lang w:eastAsia="en-NZ"/>
              </w:rPr>
              <w:t xml:space="preserve"> 2</w:t>
            </w:r>
          </w:p>
        </w:tc>
        <w:tc>
          <w:tcPr>
            <w:tcW w:w="1077" w:type="dxa"/>
            <w:tcBorders>
              <w:top w:val="nil"/>
              <w:left w:val="nil"/>
              <w:bottom w:val="single" w:sz="4" w:space="0" w:color="auto"/>
              <w:right w:val="single" w:sz="4" w:space="0" w:color="auto"/>
            </w:tcBorders>
            <w:shd w:val="clear" w:color="auto" w:fill="auto"/>
            <w:noWrap/>
            <w:vAlign w:val="bottom"/>
            <w:hideMark/>
          </w:tcPr>
          <w:p w14:paraId="3462AC08"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$3,744</w:t>
            </w:r>
          </w:p>
        </w:tc>
        <w:tc>
          <w:tcPr>
            <w:tcW w:w="1219" w:type="dxa"/>
            <w:tcBorders>
              <w:top w:val="nil"/>
              <w:left w:val="nil"/>
              <w:bottom w:val="single" w:sz="4" w:space="0" w:color="auto"/>
              <w:right w:val="single" w:sz="4" w:space="0" w:color="auto"/>
            </w:tcBorders>
            <w:shd w:val="clear" w:color="auto" w:fill="auto"/>
            <w:noWrap/>
            <w:vAlign w:val="bottom"/>
            <w:hideMark/>
          </w:tcPr>
          <w:p w14:paraId="486E7FFA"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$1,309</w:t>
            </w:r>
          </w:p>
        </w:tc>
        <w:tc>
          <w:tcPr>
            <w:tcW w:w="1219" w:type="dxa"/>
            <w:tcBorders>
              <w:top w:val="nil"/>
              <w:left w:val="nil"/>
              <w:bottom w:val="single" w:sz="4" w:space="0" w:color="auto"/>
              <w:right w:val="single" w:sz="4" w:space="0" w:color="auto"/>
            </w:tcBorders>
            <w:shd w:val="clear" w:color="auto" w:fill="auto"/>
            <w:noWrap/>
            <w:vAlign w:val="bottom"/>
            <w:hideMark/>
          </w:tcPr>
          <w:p w14:paraId="52308830"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$1,505</w:t>
            </w:r>
          </w:p>
        </w:tc>
        <w:tc>
          <w:tcPr>
            <w:tcW w:w="1219" w:type="dxa"/>
            <w:tcBorders>
              <w:top w:val="nil"/>
              <w:left w:val="nil"/>
              <w:bottom w:val="single" w:sz="4" w:space="0" w:color="auto"/>
              <w:right w:val="single" w:sz="4" w:space="0" w:color="auto"/>
            </w:tcBorders>
            <w:shd w:val="clear" w:color="auto" w:fill="auto"/>
            <w:noWrap/>
            <w:vAlign w:val="bottom"/>
            <w:hideMark/>
          </w:tcPr>
          <w:p w14:paraId="2AE588A2"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$2,435</w:t>
            </w:r>
          </w:p>
        </w:tc>
        <w:tc>
          <w:tcPr>
            <w:tcW w:w="1219" w:type="dxa"/>
            <w:tcBorders>
              <w:top w:val="nil"/>
              <w:left w:val="nil"/>
              <w:bottom w:val="single" w:sz="4" w:space="0" w:color="auto"/>
              <w:right w:val="single" w:sz="4" w:space="0" w:color="auto"/>
            </w:tcBorders>
            <w:shd w:val="clear" w:color="auto" w:fill="auto"/>
            <w:noWrap/>
            <w:vAlign w:val="bottom"/>
            <w:hideMark/>
          </w:tcPr>
          <w:p w14:paraId="42B7779B"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186%</w:t>
            </w:r>
          </w:p>
        </w:tc>
      </w:tr>
      <w:tr w:rsidR="000579FD" w:rsidRPr="00A02394" w14:paraId="009969D7" w14:textId="77777777" w:rsidTr="00E440C9">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2323DC6" w14:textId="77777777" w:rsidR="000579FD" w:rsidRPr="000579FD" w:rsidRDefault="000579FD" w:rsidP="00B15ADD">
            <w:pPr>
              <w:spacing w:line="240" w:lineRule="auto"/>
              <w:rPr>
                <w:rFonts w:cs="Arial"/>
                <w:sz w:val="18"/>
                <w:szCs w:val="18"/>
                <w:lang w:eastAsia="en-NZ"/>
              </w:rPr>
            </w:pPr>
            <w:r w:rsidRPr="000579FD">
              <w:rPr>
                <w:rFonts w:cs="Arial"/>
                <w:sz w:val="18"/>
                <w:szCs w:val="18"/>
                <w:lang w:eastAsia="en-NZ"/>
              </w:rPr>
              <w:t>Medical 2, Medical 3, Non-medical 3</w:t>
            </w:r>
          </w:p>
        </w:tc>
        <w:tc>
          <w:tcPr>
            <w:tcW w:w="1077" w:type="dxa"/>
            <w:tcBorders>
              <w:top w:val="nil"/>
              <w:left w:val="nil"/>
              <w:bottom w:val="single" w:sz="4" w:space="0" w:color="auto"/>
              <w:right w:val="single" w:sz="4" w:space="0" w:color="auto"/>
            </w:tcBorders>
            <w:shd w:val="clear" w:color="auto" w:fill="auto"/>
            <w:noWrap/>
            <w:vAlign w:val="bottom"/>
            <w:hideMark/>
          </w:tcPr>
          <w:p w14:paraId="0C78C0D4"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$1,931</w:t>
            </w:r>
          </w:p>
        </w:tc>
        <w:tc>
          <w:tcPr>
            <w:tcW w:w="1219" w:type="dxa"/>
            <w:tcBorders>
              <w:top w:val="nil"/>
              <w:left w:val="nil"/>
              <w:bottom w:val="single" w:sz="4" w:space="0" w:color="auto"/>
              <w:right w:val="single" w:sz="4" w:space="0" w:color="auto"/>
            </w:tcBorders>
            <w:shd w:val="clear" w:color="auto" w:fill="auto"/>
            <w:noWrap/>
            <w:vAlign w:val="bottom"/>
            <w:hideMark/>
          </w:tcPr>
          <w:p w14:paraId="0F8A4E13"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$718</w:t>
            </w:r>
          </w:p>
        </w:tc>
        <w:tc>
          <w:tcPr>
            <w:tcW w:w="1219" w:type="dxa"/>
            <w:tcBorders>
              <w:top w:val="nil"/>
              <w:left w:val="nil"/>
              <w:bottom w:val="single" w:sz="4" w:space="0" w:color="auto"/>
              <w:right w:val="single" w:sz="4" w:space="0" w:color="auto"/>
            </w:tcBorders>
            <w:shd w:val="clear" w:color="auto" w:fill="auto"/>
            <w:noWrap/>
            <w:vAlign w:val="bottom"/>
            <w:hideMark/>
          </w:tcPr>
          <w:p w14:paraId="47E1E633"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$825</w:t>
            </w:r>
          </w:p>
        </w:tc>
        <w:tc>
          <w:tcPr>
            <w:tcW w:w="1219" w:type="dxa"/>
            <w:tcBorders>
              <w:top w:val="nil"/>
              <w:left w:val="nil"/>
              <w:bottom w:val="single" w:sz="4" w:space="0" w:color="auto"/>
              <w:right w:val="single" w:sz="4" w:space="0" w:color="auto"/>
            </w:tcBorders>
            <w:shd w:val="clear" w:color="auto" w:fill="auto"/>
            <w:noWrap/>
            <w:vAlign w:val="bottom"/>
            <w:hideMark/>
          </w:tcPr>
          <w:p w14:paraId="40490E51"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$1,213</w:t>
            </w:r>
          </w:p>
        </w:tc>
        <w:tc>
          <w:tcPr>
            <w:tcW w:w="1219" w:type="dxa"/>
            <w:tcBorders>
              <w:top w:val="nil"/>
              <w:left w:val="nil"/>
              <w:bottom w:val="single" w:sz="4" w:space="0" w:color="auto"/>
              <w:right w:val="single" w:sz="4" w:space="0" w:color="auto"/>
            </w:tcBorders>
            <w:shd w:val="clear" w:color="auto" w:fill="auto"/>
            <w:noWrap/>
            <w:vAlign w:val="bottom"/>
            <w:hideMark/>
          </w:tcPr>
          <w:p w14:paraId="4DB70075"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169%</w:t>
            </w:r>
          </w:p>
        </w:tc>
      </w:tr>
      <w:tr w:rsidR="000579FD" w:rsidRPr="00A02394" w14:paraId="09C8EDFA" w14:textId="77777777" w:rsidTr="00E440C9">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87E0EB6" w14:textId="77777777" w:rsidR="000579FD" w:rsidRPr="000579FD" w:rsidRDefault="000579FD" w:rsidP="00B15ADD">
            <w:pPr>
              <w:spacing w:line="240" w:lineRule="auto"/>
              <w:rPr>
                <w:rFonts w:cs="Arial"/>
                <w:sz w:val="18"/>
                <w:szCs w:val="18"/>
                <w:lang w:eastAsia="en-NZ"/>
              </w:rPr>
            </w:pPr>
            <w:r w:rsidRPr="000579FD">
              <w:rPr>
                <w:rFonts w:cs="Arial"/>
                <w:sz w:val="18"/>
                <w:szCs w:val="18"/>
                <w:lang w:eastAsia="en-NZ"/>
              </w:rPr>
              <w:t>Non-medical 4</w:t>
            </w:r>
          </w:p>
        </w:tc>
        <w:tc>
          <w:tcPr>
            <w:tcW w:w="1077" w:type="dxa"/>
            <w:tcBorders>
              <w:top w:val="nil"/>
              <w:left w:val="nil"/>
              <w:bottom w:val="single" w:sz="4" w:space="0" w:color="auto"/>
              <w:right w:val="single" w:sz="4" w:space="0" w:color="auto"/>
            </w:tcBorders>
            <w:shd w:val="clear" w:color="auto" w:fill="auto"/>
            <w:noWrap/>
            <w:vAlign w:val="bottom"/>
            <w:hideMark/>
          </w:tcPr>
          <w:p w14:paraId="37071909"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$1,328</w:t>
            </w:r>
          </w:p>
        </w:tc>
        <w:tc>
          <w:tcPr>
            <w:tcW w:w="1219" w:type="dxa"/>
            <w:tcBorders>
              <w:top w:val="nil"/>
              <w:left w:val="nil"/>
              <w:bottom w:val="single" w:sz="4" w:space="0" w:color="auto"/>
              <w:right w:val="single" w:sz="4" w:space="0" w:color="auto"/>
            </w:tcBorders>
            <w:shd w:val="clear" w:color="auto" w:fill="auto"/>
            <w:noWrap/>
            <w:vAlign w:val="bottom"/>
            <w:hideMark/>
          </w:tcPr>
          <w:p w14:paraId="26584719"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$522</w:t>
            </w:r>
          </w:p>
        </w:tc>
        <w:tc>
          <w:tcPr>
            <w:tcW w:w="1219" w:type="dxa"/>
            <w:tcBorders>
              <w:top w:val="nil"/>
              <w:left w:val="nil"/>
              <w:bottom w:val="single" w:sz="4" w:space="0" w:color="auto"/>
              <w:right w:val="single" w:sz="4" w:space="0" w:color="auto"/>
            </w:tcBorders>
            <w:shd w:val="clear" w:color="auto" w:fill="auto"/>
            <w:noWrap/>
            <w:vAlign w:val="bottom"/>
            <w:hideMark/>
          </w:tcPr>
          <w:p w14:paraId="23AC5D8E"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$600</w:t>
            </w:r>
          </w:p>
        </w:tc>
        <w:tc>
          <w:tcPr>
            <w:tcW w:w="1219" w:type="dxa"/>
            <w:tcBorders>
              <w:top w:val="nil"/>
              <w:left w:val="nil"/>
              <w:bottom w:val="single" w:sz="4" w:space="0" w:color="auto"/>
              <w:right w:val="single" w:sz="4" w:space="0" w:color="auto"/>
            </w:tcBorders>
            <w:shd w:val="clear" w:color="auto" w:fill="auto"/>
            <w:noWrap/>
            <w:vAlign w:val="bottom"/>
            <w:hideMark/>
          </w:tcPr>
          <w:p w14:paraId="268DD167"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$806</w:t>
            </w:r>
          </w:p>
        </w:tc>
        <w:tc>
          <w:tcPr>
            <w:tcW w:w="1219" w:type="dxa"/>
            <w:tcBorders>
              <w:top w:val="nil"/>
              <w:left w:val="nil"/>
              <w:bottom w:val="single" w:sz="4" w:space="0" w:color="auto"/>
              <w:right w:val="single" w:sz="4" w:space="0" w:color="auto"/>
            </w:tcBorders>
            <w:shd w:val="clear" w:color="auto" w:fill="auto"/>
            <w:noWrap/>
            <w:vAlign w:val="bottom"/>
            <w:hideMark/>
          </w:tcPr>
          <w:p w14:paraId="29A71477"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154%</w:t>
            </w:r>
          </w:p>
        </w:tc>
      </w:tr>
      <w:tr w:rsidR="000579FD" w:rsidRPr="00A02394" w14:paraId="2BE594A2" w14:textId="77777777" w:rsidTr="00E440C9">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C5E5400" w14:textId="77777777" w:rsidR="000579FD" w:rsidRPr="000579FD" w:rsidRDefault="000579FD" w:rsidP="00B15ADD">
            <w:pPr>
              <w:spacing w:line="240" w:lineRule="auto"/>
              <w:rPr>
                <w:rFonts w:cs="Arial"/>
                <w:sz w:val="18"/>
                <w:szCs w:val="18"/>
                <w:lang w:eastAsia="en-NZ"/>
              </w:rPr>
            </w:pPr>
            <w:r w:rsidRPr="000579FD">
              <w:rPr>
                <w:rFonts w:cs="Arial"/>
                <w:sz w:val="18"/>
                <w:szCs w:val="18"/>
                <w:lang w:eastAsia="en-NZ"/>
              </w:rPr>
              <w:t>Medical 4, Non-medical 5</w:t>
            </w:r>
          </w:p>
        </w:tc>
        <w:tc>
          <w:tcPr>
            <w:tcW w:w="1077" w:type="dxa"/>
            <w:tcBorders>
              <w:top w:val="nil"/>
              <w:left w:val="nil"/>
              <w:bottom w:val="single" w:sz="4" w:space="0" w:color="auto"/>
              <w:right w:val="single" w:sz="4" w:space="0" w:color="auto"/>
            </w:tcBorders>
            <w:shd w:val="clear" w:color="auto" w:fill="auto"/>
            <w:noWrap/>
            <w:vAlign w:val="bottom"/>
            <w:hideMark/>
          </w:tcPr>
          <w:p w14:paraId="49C98F71"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$1,097</w:t>
            </w:r>
          </w:p>
        </w:tc>
        <w:tc>
          <w:tcPr>
            <w:tcW w:w="1219" w:type="dxa"/>
            <w:tcBorders>
              <w:top w:val="nil"/>
              <w:left w:val="nil"/>
              <w:bottom w:val="single" w:sz="4" w:space="0" w:color="auto"/>
              <w:right w:val="single" w:sz="4" w:space="0" w:color="auto"/>
            </w:tcBorders>
            <w:shd w:val="clear" w:color="auto" w:fill="auto"/>
            <w:noWrap/>
            <w:vAlign w:val="bottom"/>
            <w:hideMark/>
          </w:tcPr>
          <w:p w14:paraId="5490BD3D"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$422</w:t>
            </w:r>
          </w:p>
        </w:tc>
        <w:tc>
          <w:tcPr>
            <w:tcW w:w="1219" w:type="dxa"/>
            <w:tcBorders>
              <w:top w:val="nil"/>
              <w:left w:val="nil"/>
              <w:bottom w:val="single" w:sz="4" w:space="0" w:color="auto"/>
              <w:right w:val="single" w:sz="4" w:space="0" w:color="auto"/>
            </w:tcBorders>
            <w:shd w:val="clear" w:color="auto" w:fill="auto"/>
            <w:noWrap/>
            <w:vAlign w:val="bottom"/>
            <w:hideMark/>
          </w:tcPr>
          <w:p w14:paraId="4FB8A92C"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$485</w:t>
            </w:r>
          </w:p>
        </w:tc>
        <w:tc>
          <w:tcPr>
            <w:tcW w:w="1219" w:type="dxa"/>
            <w:tcBorders>
              <w:top w:val="nil"/>
              <w:left w:val="nil"/>
              <w:bottom w:val="single" w:sz="4" w:space="0" w:color="auto"/>
              <w:right w:val="single" w:sz="4" w:space="0" w:color="auto"/>
            </w:tcBorders>
            <w:shd w:val="clear" w:color="auto" w:fill="auto"/>
            <w:noWrap/>
            <w:vAlign w:val="bottom"/>
            <w:hideMark/>
          </w:tcPr>
          <w:p w14:paraId="7A3ED8EB"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$675</w:t>
            </w:r>
          </w:p>
        </w:tc>
        <w:tc>
          <w:tcPr>
            <w:tcW w:w="1219" w:type="dxa"/>
            <w:tcBorders>
              <w:top w:val="nil"/>
              <w:left w:val="nil"/>
              <w:bottom w:val="single" w:sz="4" w:space="0" w:color="auto"/>
              <w:right w:val="single" w:sz="4" w:space="0" w:color="auto"/>
            </w:tcBorders>
            <w:shd w:val="clear" w:color="auto" w:fill="auto"/>
            <w:noWrap/>
            <w:vAlign w:val="bottom"/>
            <w:hideMark/>
          </w:tcPr>
          <w:p w14:paraId="5814AAB4"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160%</w:t>
            </w:r>
          </w:p>
        </w:tc>
      </w:tr>
      <w:tr w:rsidR="000579FD" w:rsidRPr="00A02394" w14:paraId="04DAF89B" w14:textId="77777777" w:rsidTr="00E440C9">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183CB24" w14:textId="77777777" w:rsidR="000579FD" w:rsidRPr="000579FD" w:rsidRDefault="000579FD" w:rsidP="00B15ADD">
            <w:pPr>
              <w:spacing w:line="240" w:lineRule="auto"/>
              <w:rPr>
                <w:rFonts w:cs="Arial"/>
                <w:sz w:val="18"/>
                <w:szCs w:val="18"/>
                <w:lang w:eastAsia="en-NZ"/>
              </w:rPr>
            </w:pPr>
            <w:r w:rsidRPr="000579FD">
              <w:rPr>
                <w:rFonts w:cs="Arial"/>
                <w:sz w:val="18"/>
                <w:szCs w:val="18"/>
                <w:lang w:eastAsia="en-NZ"/>
              </w:rPr>
              <w:t>Medical 5, Medical 6, Non-medical 6</w:t>
            </w:r>
          </w:p>
        </w:tc>
        <w:tc>
          <w:tcPr>
            <w:tcW w:w="1077" w:type="dxa"/>
            <w:tcBorders>
              <w:top w:val="nil"/>
              <w:left w:val="nil"/>
              <w:bottom w:val="single" w:sz="4" w:space="0" w:color="auto"/>
              <w:right w:val="single" w:sz="4" w:space="0" w:color="auto"/>
            </w:tcBorders>
            <w:shd w:val="clear" w:color="auto" w:fill="auto"/>
            <w:noWrap/>
            <w:vAlign w:val="bottom"/>
            <w:hideMark/>
          </w:tcPr>
          <w:p w14:paraId="5814F812"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$993</w:t>
            </w:r>
          </w:p>
        </w:tc>
        <w:tc>
          <w:tcPr>
            <w:tcW w:w="1219" w:type="dxa"/>
            <w:tcBorders>
              <w:top w:val="nil"/>
              <w:left w:val="nil"/>
              <w:bottom w:val="single" w:sz="4" w:space="0" w:color="auto"/>
              <w:right w:val="single" w:sz="4" w:space="0" w:color="auto"/>
            </w:tcBorders>
            <w:shd w:val="clear" w:color="auto" w:fill="auto"/>
            <w:noWrap/>
            <w:vAlign w:val="bottom"/>
            <w:hideMark/>
          </w:tcPr>
          <w:p w14:paraId="377DBC22"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$361</w:t>
            </w:r>
          </w:p>
        </w:tc>
        <w:tc>
          <w:tcPr>
            <w:tcW w:w="1219" w:type="dxa"/>
            <w:tcBorders>
              <w:top w:val="nil"/>
              <w:left w:val="nil"/>
              <w:bottom w:val="single" w:sz="4" w:space="0" w:color="auto"/>
              <w:right w:val="single" w:sz="4" w:space="0" w:color="auto"/>
            </w:tcBorders>
            <w:shd w:val="clear" w:color="auto" w:fill="auto"/>
            <w:noWrap/>
            <w:vAlign w:val="bottom"/>
            <w:hideMark/>
          </w:tcPr>
          <w:p w14:paraId="6DA725E9"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$415</w:t>
            </w:r>
          </w:p>
        </w:tc>
        <w:tc>
          <w:tcPr>
            <w:tcW w:w="1219" w:type="dxa"/>
            <w:tcBorders>
              <w:top w:val="nil"/>
              <w:left w:val="nil"/>
              <w:bottom w:val="single" w:sz="4" w:space="0" w:color="auto"/>
              <w:right w:val="single" w:sz="4" w:space="0" w:color="auto"/>
            </w:tcBorders>
            <w:shd w:val="clear" w:color="auto" w:fill="auto"/>
            <w:noWrap/>
            <w:vAlign w:val="bottom"/>
            <w:hideMark/>
          </w:tcPr>
          <w:p w14:paraId="40665960"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$632</w:t>
            </w:r>
          </w:p>
        </w:tc>
        <w:tc>
          <w:tcPr>
            <w:tcW w:w="1219" w:type="dxa"/>
            <w:tcBorders>
              <w:top w:val="nil"/>
              <w:left w:val="nil"/>
              <w:bottom w:val="single" w:sz="4" w:space="0" w:color="auto"/>
              <w:right w:val="single" w:sz="4" w:space="0" w:color="auto"/>
            </w:tcBorders>
            <w:shd w:val="clear" w:color="auto" w:fill="auto"/>
            <w:noWrap/>
            <w:vAlign w:val="bottom"/>
            <w:hideMark/>
          </w:tcPr>
          <w:p w14:paraId="317F89EC"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175%</w:t>
            </w:r>
          </w:p>
        </w:tc>
      </w:tr>
      <w:tr w:rsidR="000579FD" w:rsidRPr="00A02394" w14:paraId="1E1C556A" w14:textId="77777777" w:rsidTr="00E440C9">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F800BED" w14:textId="77777777" w:rsidR="000579FD" w:rsidRPr="000579FD" w:rsidRDefault="000579FD" w:rsidP="00B15ADD">
            <w:pPr>
              <w:spacing w:line="240" w:lineRule="auto"/>
              <w:rPr>
                <w:rFonts w:cs="Arial"/>
                <w:sz w:val="18"/>
                <w:szCs w:val="18"/>
                <w:lang w:eastAsia="en-NZ"/>
              </w:rPr>
            </w:pPr>
            <w:r w:rsidRPr="000579FD">
              <w:rPr>
                <w:rFonts w:cs="Arial"/>
                <w:sz w:val="18"/>
                <w:szCs w:val="18"/>
                <w:lang w:eastAsia="en-NZ"/>
              </w:rPr>
              <w:t>No inspection (refund)</w:t>
            </w:r>
          </w:p>
        </w:tc>
        <w:tc>
          <w:tcPr>
            <w:tcW w:w="1077" w:type="dxa"/>
            <w:tcBorders>
              <w:top w:val="nil"/>
              <w:left w:val="nil"/>
              <w:bottom w:val="single" w:sz="4" w:space="0" w:color="auto"/>
              <w:right w:val="single" w:sz="4" w:space="0" w:color="auto"/>
            </w:tcBorders>
            <w:shd w:val="clear" w:color="auto" w:fill="auto"/>
            <w:noWrap/>
            <w:vAlign w:val="bottom"/>
            <w:hideMark/>
          </w:tcPr>
          <w:p w14:paraId="4E567716"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$588</w:t>
            </w:r>
          </w:p>
        </w:tc>
        <w:tc>
          <w:tcPr>
            <w:tcW w:w="1219" w:type="dxa"/>
            <w:tcBorders>
              <w:top w:val="nil"/>
              <w:left w:val="nil"/>
              <w:bottom w:val="single" w:sz="4" w:space="0" w:color="auto"/>
              <w:right w:val="single" w:sz="4" w:space="0" w:color="auto"/>
            </w:tcBorders>
            <w:shd w:val="clear" w:color="auto" w:fill="auto"/>
            <w:noWrap/>
            <w:vAlign w:val="bottom"/>
            <w:hideMark/>
          </w:tcPr>
          <w:p w14:paraId="662367B9"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$126</w:t>
            </w:r>
          </w:p>
        </w:tc>
        <w:tc>
          <w:tcPr>
            <w:tcW w:w="1219" w:type="dxa"/>
            <w:tcBorders>
              <w:top w:val="nil"/>
              <w:left w:val="nil"/>
              <w:bottom w:val="single" w:sz="4" w:space="0" w:color="auto"/>
              <w:right w:val="single" w:sz="4" w:space="0" w:color="auto"/>
            </w:tcBorders>
            <w:shd w:val="clear" w:color="auto" w:fill="auto"/>
            <w:noWrap/>
            <w:vAlign w:val="bottom"/>
            <w:hideMark/>
          </w:tcPr>
          <w:p w14:paraId="774F1126"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$145</w:t>
            </w:r>
          </w:p>
        </w:tc>
        <w:tc>
          <w:tcPr>
            <w:tcW w:w="1219" w:type="dxa"/>
            <w:tcBorders>
              <w:top w:val="nil"/>
              <w:left w:val="nil"/>
              <w:bottom w:val="single" w:sz="4" w:space="0" w:color="auto"/>
              <w:right w:val="single" w:sz="4" w:space="0" w:color="auto"/>
            </w:tcBorders>
            <w:shd w:val="clear" w:color="auto" w:fill="auto"/>
            <w:noWrap/>
            <w:vAlign w:val="bottom"/>
            <w:hideMark/>
          </w:tcPr>
          <w:p w14:paraId="2F51E30E"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$462</w:t>
            </w:r>
          </w:p>
        </w:tc>
        <w:tc>
          <w:tcPr>
            <w:tcW w:w="1219" w:type="dxa"/>
            <w:tcBorders>
              <w:top w:val="nil"/>
              <w:left w:val="nil"/>
              <w:bottom w:val="single" w:sz="4" w:space="0" w:color="auto"/>
              <w:right w:val="single" w:sz="4" w:space="0" w:color="auto"/>
            </w:tcBorders>
            <w:shd w:val="clear" w:color="auto" w:fill="auto"/>
            <w:noWrap/>
            <w:vAlign w:val="bottom"/>
            <w:hideMark/>
          </w:tcPr>
          <w:p w14:paraId="73805A7D"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367%</w:t>
            </w:r>
          </w:p>
        </w:tc>
      </w:tr>
      <w:tr w:rsidR="000579FD" w:rsidRPr="00A02394" w14:paraId="56D18720" w14:textId="77777777" w:rsidTr="00E440C9">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0057B7B" w14:textId="77777777" w:rsidR="000579FD" w:rsidRPr="000579FD" w:rsidRDefault="000579FD" w:rsidP="00B15ADD">
            <w:pPr>
              <w:spacing w:line="240" w:lineRule="auto"/>
              <w:rPr>
                <w:rFonts w:cs="Arial"/>
                <w:color w:val="000000"/>
                <w:sz w:val="18"/>
                <w:szCs w:val="18"/>
                <w:lang w:eastAsia="en-NZ"/>
              </w:rPr>
            </w:pPr>
            <w:r w:rsidRPr="000579FD">
              <w:rPr>
                <w:rFonts w:cs="Arial"/>
                <w:color w:val="000000"/>
                <w:sz w:val="18"/>
                <w:szCs w:val="18"/>
                <w:lang w:eastAsia="en-NZ"/>
              </w:rPr>
              <w:t>Source licences (renewals)</w:t>
            </w:r>
          </w:p>
        </w:tc>
        <w:tc>
          <w:tcPr>
            <w:tcW w:w="1077" w:type="dxa"/>
            <w:tcBorders>
              <w:top w:val="nil"/>
              <w:left w:val="nil"/>
              <w:bottom w:val="single" w:sz="4" w:space="0" w:color="auto"/>
              <w:right w:val="single" w:sz="4" w:space="0" w:color="auto"/>
            </w:tcBorders>
            <w:shd w:val="clear" w:color="auto" w:fill="auto"/>
            <w:noWrap/>
            <w:vAlign w:val="bottom"/>
            <w:hideMark/>
          </w:tcPr>
          <w:p w14:paraId="2D5EEB76" w14:textId="77777777" w:rsidR="000579FD" w:rsidRPr="000579FD" w:rsidRDefault="000579FD" w:rsidP="00981E42">
            <w:pPr>
              <w:spacing w:line="240" w:lineRule="auto"/>
              <w:jc w:val="right"/>
              <w:rPr>
                <w:rFonts w:cs="Arial"/>
                <w:color w:val="000000"/>
                <w:sz w:val="18"/>
                <w:szCs w:val="18"/>
                <w:lang w:eastAsia="en-NZ"/>
              </w:rPr>
            </w:pPr>
          </w:p>
        </w:tc>
        <w:tc>
          <w:tcPr>
            <w:tcW w:w="1219" w:type="dxa"/>
            <w:tcBorders>
              <w:top w:val="nil"/>
              <w:left w:val="nil"/>
              <w:bottom w:val="single" w:sz="4" w:space="0" w:color="auto"/>
              <w:right w:val="single" w:sz="4" w:space="0" w:color="auto"/>
            </w:tcBorders>
            <w:shd w:val="clear" w:color="auto" w:fill="auto"/>
            <w:noWrap/>
            <w:vAlign w:val="bottom"/>
            <w:hideMark/>
          </w:tcPr>
          <w:p w14:paraId="2D7BD62D" w14:textId="77777777" w:rsidR="000579FD" w:rsidRPr="000579FD" w:rsidRDefault="000579FD" w:rsidP="00981E42">
            <w:pPr>
              <w:spacing w:line="240" w:lineRule="auto"/>
              <w:jc w:val="right"/>
              <w:rPr>
                <w:rFonts w:cs="Arial"/>
                <w:color w:val="000000"/>
                <w:sz w:val="18"/>
                <w:szCs w:val="18"/>
                <w:lang w:eastAsia="en-NZ"/>
              </w:rPr>
            </w:pPr>
          </w:p>
        </w:tc>
        <w:tc>
          <w:tcPr>
            <w:tcW w:w="1219" w:type="dxa"/>
            <w:tcBorders>
              <w:top w:val="nil"/>
              <w:left w:val="nil"/>
              <w:bottom w:val="single" w:sz="4" w:space="0" w:color="auto"/>
              <w:right w:val="single" w:sz="4" w:space="0" w:color="auto"/>
            </w:tcBorders>
            <w:shd w:val="clear" w:color="auto" w:fill="auto"/>
            <w:noWrap/>
            <w:vAlign w:val="bottom"/>
            <w:hideMark/>
          </w:tcPr>
          <w:p w14:paraId="02D43AB1" w14:textId="77777777" w:rsidR="000579FD" w:rsidRPr="000579FD" w:rsidRDefault="000579FD" w:rsidP="00981E42">
            <w:pPr>
              <w:spacing w:line="240" w:lineRule="auto"/>
              <w:jc w:val="right"/>
              <w:rPr>
                <w:rFonts w:cs="Arial"/>
                <w:color w:val="000000"/>
                <w:sz w:val="18"/>
                <w:szCs w:val="18"/>
                <w:lang w:eastAsia="en-NZ"/>
              </w:rPr>
            </w:pPr>
          </w:p>
        </w:tc>
        <w:tc>
          <w:tcPr>
            <w:tcW w:w="1219" w:type="dxa"/>
            <w:tcBorders>
              <w:top w:val="nil"/>
              <w:left w:val="nil"/>
              <w:bottom w:val="single" w:sz="4" w:space="0" w:color="auto"/>
              <w:right w:val="single" w:sz="4" w:space="0" w:color="auto"/>
            </w:tcBorders>
            <w:shd w:val="clear" w:color="auto" w:fill="auto"/>
            <w:noWrap/>
            <w:vAlign w:val="bottom"/>
            <w:hideMark/>
          </w:tcPr>
          <w:p w14:paraId="22DC5093" w14:textId="77777777" w:rsidR="000579FD" w:rsidRPr="000579FD" w:rsidRDefault="000579FD" w:rsidP="00981E42">
            <w:pPr>
              <w:spacing w:line="240" w:lineRule="auto"/>
              <w:jc w:val="right"/>
              <w:rPr>
                <w:rFonts w:cs="Arial"/>
                <w:color w:val="000000"/>
                <w:sz w:val="18"/>
                <w:szCs w:val="18"/>
                <w:lang w:eastAsia="en-NZ"/>
              </w:rPr>
            </w:pPr>
          </w:p>
        </w:tc>
        <w:tc>
          <w:tcPr>
            <w:tcW w:w="1219" w:type="dxa"/>
            <w:tcBorders>
              <w:top w:val="nil"/>
              <w:left w:val="nil"/>
              <w:bottom w:val="single" w:sz="4" w:space="0" w:color="auto"/>
              <w:right w:val="single" w:sz="4" w:space="0" w:color="auto"/>
            </w:tcBorders>
            <w:shd w:val="clear" w:color="auto" w:fill="auto"/>
            <w:noWrap/>
            <w:vAlign w:val="bottom"/>
            <w:hideMark/>
          </w:tcPr>
          <w:p w14:paraId="790BDAB0" w14:textId="77777777" w:rsidR="000579FD" w:rsidRPr="000579FD" w:rsidRDefault="000579FD" w:rsidP="00981E42">
            <w:pPr>
              <w:spacing w:line="240" w:lineRule="auto"/>
              <w:jc w:val="right"/>
              <w:rPr>
                <w:rFonts w:cs="Arial"/>
                <w:color w:val="000000"/>
                <w:sz w:val="18"/>
                <w:szCs w:val="18"/>
                <w:lang w:eastAsia="en-NZ"/>
              </w:rPr>
            </w:pPr>
          </w:p>
        </w:tc>
      </w:tr>
      <w:tr w:rsidR="000579FD" w:rsidRPr="00A02394" w14:paraId="62F1C6E0" w14:textId="77777777" w:rsidTr="00E440C9">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tcPr>
          <w:p w14:paraId="3F39B3C3" w14:textId="77777777" w:rsidR="000579FD" w:rsidRPr="000579FD" w:rsidRDefault="000579FD" w:rsidP="00B15ADD">
            <w:pPr>
              <w:spacing w:line="240" w:lineRule="auto"/>
              <w:rPr>
                <w:rFonts w:cs="Arial"/>
                <w:sz w:val="18"/>
                <w:szCs w:val="18"/>
                <w:lang w:eastAsia="en-NZ"/>
              </w:rPr>
            </w:pPr>
            <w:r w:rsidRPr="000579FD">
              <w:rPr>
                <w:rFonts w:cs="Arial"/>
                <w:sz w:val="18"/>
                <w:szCs w:val="18"/>
                <w:lang w:eastAsia="en-NZ"/>
              </w:rPr>
              <w:t xml:space="preserve">Medical 1, Non-medical 1, </w:t>
            </w:r>
            <w:proofErr w:type="gramStart"/>
            <w:r w:rsidRPr="000579FD">
              <w:rPr>
                <w:rFonts w:cs="Arial"/>
                <w:sz w:val="18"/>
                <w:szCs w:val="18"/>
                <w:lang w:eastAsia="en-NZ"/>
              </w:rPr>
              <w:t>Non-medical</w:t>
            </w:r>
            <w:proofErr w:type="gramEnd"/>
            <w:r w:rsidRPr="000579FD">
              <w:rPr>
                <w:rFonts w:cs="Arial"/>
                <w:sz w:val="18"/>
                <w:szCs w:val="18"/>
                <w:lang w:eastAsia="en-NZ"/>
              </w:rPr>
              <w:t xml:space="preserve"> 2</w:t>
            </w:r>
          </w:p>
        </w:tc>
        <w:tc>
          <w:tcPr>
            <w:tcW w:w="1077" w:type="dxa"/>
            <w:tcBorders>
              <w:top w:val="nil"/>
              <w:left w:val="nil"/>
              <w:bottom w:val="single" w:sz="4" w:space="0" w:color="auto"/>
              <w:right w:val="single" w:sz="4" w:space="0" w:color="auto"/>
            </w:tcBorders>
            <w:shd w:val="clear" w:color="auto" w:fill="auto"/>
            <w:noWrap/>
            <w:vAlign w:val="bottom"/>
          </w:tcPr>
          <w:p w14:paraId="23B21137"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$3,508</w:t>
            </w:r>
          </w:p>
        </w:tc>
        <w:tc>
          <w:tcPr>
            <w:tcW w:w="1219" w:type="dxa"/>
            <w:tcBorders>
              <w:top w:val="nil"/>
              <w:left w:val="nil"/>
              <w:bottom w:val="single" w:sz="4" w:space="0" w:color="auto"/>
              <w:right w:val="single" w:sz="4" w:space="0" w:color="auto"/>
            </w:tcBorders>
            <w:shd w:val="clear" w:color="auto" w:fill="auto"/>
            <w:noWrap/>
            <w:vAlign w:val="bottom"/>
          </w:tcPr>
          <w:p w14:paraId="014B2880"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$1,309</w:t>
            </w:r>
          </w:p>
        </w:tc>
        <w:tc>
          <w:tcPr>
            <w:tcW w:w="1219" w:type="dxa"/>
            <w:tcBorders>
              <w:top w:val="nil"/>
              <w:left w:val="nil"/>
              <w:bottom w:val="single" w:sz="4" w:space="0" w:color="auto"/>
              <w:right w:val="single" w:sz="4" w:space="0" w:color="auto"/>
            </w:tcBorders>
            <w:shd w:val="clear" w:color="auto" w:fill="auto"/>
            <w:noWrap/>
            <w:vAlign w:val="bottom"/>
          </w:tcPr>
          <w:p w14:paraId="3B5D6ED9"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$1,505</w:t>
            </w:r>
          </w:p>
        </w:tc>
        <w:tc>
          <w:tcPr>
            <w:tcW w:w="1219" w:type="dxa"/>
            <w:tcBorders>
              <w:top w:val="nil"/>
              <w:left w:val="nil"/>
              <w:bottom w:val="single" w:sz="4" w:space="0" w:color="auto"/>
              <w:right w:val="single" w:sz="4" w:space="0" w:color="auto"/>
            </w:tcBorders>
            <w:shd w:val="clear" w:color="auto" w:fill="auto"/>
            <w:noWrap/>
            <w:vAlign w:val="bottom"/>
          </w:tcPr>
          <w:p w14:paraId="0A724517"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$2,199</w:t>
            </w:r>
          </w:p>
        </w:tc>
        <w:tc>
          <w:tcPr>
            <w:tcW w:w="1219" w:type="dxa"/>
            <w:tcBorders>
              <w:top w:val="nil"/>
              <w:left w:val="nil"/>
              <w:bottom w:val="single" w:sz="4" w:space="0" w:color="auto"/>
              <w:right w:val="single" w:sz="4" w:space="0" w:color="auto"/>
            </w:tcBorders>
            <w:shd w:val="clear" w:color="auto" w:fill="auto"/>
            <w:noWrap/>
            <w:vAlign w:val="bottom"/>
          </w:tcPr>
          <w:p w14:paraId="5CD14285"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168%</w:t>
            </w:r>
          </w:p>
        </w:tc>
      </w:tr>
      <w:tr w:rsidR="000579FD" w:rsidRPr="00A02394" w14:paraId="078B00D9" w14:textId="77777777" w:rsidTr="00E440C9">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tcPr>
          <w:p w14:paraId="7067620E" w14:textId="77777777" w:rsidR="000579FD" w:rsidRPr="000579FD" w:rsidRDefault="000579FD" w:rsidP="00B15ADD">
            <w:pPr>
              <w:spacing w:line="240" w:lineRule="auto"/>
              <w:rPr>
                <w:rFonts w:cs="Arial"/>
                <w:sz w:val="18"/>
                <w:szCs w:val="18"/>
                <w:lang w:eastAsia="en-NZ"/>
              </w:rPr>
            </w:pPr>
            <w:r w:rsidRPr="000579FD">
              <w:rPr>
                <w:rFonts w:cs="Arial"/>
                <w:sz w:val="18"/>
                <w:szCs w:val="18"/>
                <w:lang w:eastAsia="en-NZ"/>
              </w:rPr>
              <w:t>Medical 2, Medical 3, Non-medical 3</w:t>
            </w:r>
          </w:p>
        </w:tc>
        <w:tc>
          <w:tcPr>
            <w:tcW w:w="1077" w:type="dxa"/>
            <w:tcBorders>
              <w:top w:val="nil"/>
              <w:left w:val="nil"/>
              <w:bottom w:val="single" w:sz="4" w:space="0" w:color="auto"/>
              <w:right w:val="single" w:sz="4" w:space="0" w:color="auto"/>
            </w:tcBorders>
            <w:shd w:val="clear" w:color="auto" w:fill="auto"/>
            <w:noWrap/>
            <w:vAlign w:val="bottom"/>
          </w:tcPr>
          <w:p w14:paraId="49299564"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$1,695</w:t>
            </w:r>
          </w:p>
        </w:tc>
        <w:tc>
          <w:tcPr>
            <w:tcW w:w="1219" w:type="dxa"/>
            <w:tcBorders>
              <w:top w:val="nil"/>
              <w:left w:val="nil"/>
              <w:bottom w:val="single" w:sz="4" w:space="0" w:color="auto"/>
              <w:right w:val="single" w:sz="4" w:space="0" w:color="auto"/>
            </w:tcBorders>
            <w:shd w:val="clear" w:color="auto" w:fill="auto"/>
            <w:noWrap/>
            <w:vAlign w:val="bottom"/>
          </w:tcPr>
          <w:p w14:paraId="5B550328"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$718</w:t>
            </w:r>
          </w:p>
        </w:tc>
        <w:tc>
          <w:tcPr>
            <w:tcW w:w="1219" w:type="dxa"/>
            <w:tcBorders>
              <w:top w:val="nil"/>
              <w:left w:val="nil"/>
              <w:bottom w:val="single" w:sz="4" w:space="0" w:color="auto"/>
              <w:right w:val="single" w:sz="4" w:space="0" w:color="auto"/>
            </w:tcBorders>
            <w:shd w:val="clear" w:color="auto" w:fill="auto"/>
            <w:noWrap/>
            <w:vAlign w:val="bottom"/>
          </w:tcPr>
          <w:p w14:paraId="6766E999"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$825</w:t>
            </w:r>
          </w:p>
        </w:tc>
        <w:tc>
          <w:tcPr>
            <w:tcW w:w="1219" w:type="dxa"/>
            <w:tcBorders>
              <w:top w:val="nil"/>
              <w:left w:val="nil"/>
              <w:bottom w:val="single" w:sz="4" w:space="0" w:color="auto"/>
              <w:right w:val="single" w:sz="4" w:space="0" w:color="auto"/>
            </w:tcBorders>
            <w:shd w:val="clear" w:color="auto" w:fill="auto"/>
            <w:noWrap/>
            <w:vAlign w:val="bottom"/>
          </w:tcPr>
          <w:p w14:paraId="721C8B24"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$997</w:t>
            </w:r>
          </w:p>
        </w:tc>
        <w:tc>
          <w:tcPr>
            <w:tcW w:w="1219" w:type="dxa"/>
            <w:tcBorders>
              <w:top w:val="nil"/>
              <w:left w:val="nil"/>
              <w:bottom w:val="single" w:sz="4" w:space="0" w:color="auto"/>
              <w:right w:val="single" w:sz="4" w:space="0" w:color="auto"/>
            </w:tcBorders>
            <w:shd w:val="clear" w:color="auto" w:fill="auto"/>
            <w:noWrap/>
            <w:vAlign w:val="bottom"/>
          </w:tcPr>
          <w:p w14:paraId="4C12C7E2"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170%</w:t>
            </w:r>
          </w:p>
        </w:tc>
      </w:tr>
      <w:tr w:rsidR="000579FD" w:rsidRPr="00A02394" w14:paraId="40AC9792" w14:textId="77777777" w:rsidTr="00E440C9">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tcPr>
          <w:p w14:paraId="7AAC2CD7" w14:textId="77777777" w:rsidR="000579FD" w:rsidRPr="000579FD" w:rsidRDefault="000579FD" w:rsidP="00B15ADD">
            <w:pPr>
              <w:spacing w:line="240" w:lineRule="auto"/>
              <w:rPr>
                <w:rFonts w:cs="Arial"/>
                <w:sz w:val="18"/>
                <w:szCs w:val="18"/>
                <w:lang w:eastAsia="en-NZ"/>
              </w:rPr>
            </w:pPr>
            <w:r w:rsidRPr="000579FD">
              <w:rPr>
                <w:rFonts w:cs="Arial"/>
                <w:sz w:val="18"/>
                <w:szCs w:val="18"/>
                <w:lang w:eastAsia="en-NZ"/>
              </w:rPr>
              <w:t>Non-medical 4</w:t>
            </w:r>
          </w:p>
        </w:tc>
        <w:tc>
          <w:tcPr>
            <w:tcW w:w="1077" w:type="dxa"/>
            <w:tcBorders>
              <w:top w:val="nil"/>
              <w:left w:val="nil"/>
              <w:bottom w:val="single" w:sz="4" w:space="0" w:color="auto"/>
              <w:right w:val="single" w:sz="4" w:space="0" w:color="auto"/>
            </w:tcBorders>
            <w:shd w:val="clear" w:color="auto" w:fill="auto"/>
            <w:noWrap/>
            <w:vAlign w:val="bottom"/>
          </w:tcPr>
          <w:p w14:paraId="3A413429"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$1,092</w:t>
            </w:r>
          </w:p>
        </w:tc>
        <w:tc>
          <w:tcPr>
            <w:tcW w:w="1219" w:type="dxa"/>
            <w:tcBorders>
              <w:top w:val="nil"/>
              <w:left w:val="nil"/>
              <w:bottom w:val="single" w:sz="4" w:space="0" w:color="auto"/>
              <w:right w:val="single" w:sz="4" w:space="0" w:color="auto"/>
            </w:tcBorders>
            <w:shd w:val="clear" w:color="auto" w:fill="auto"/>
            <w:noWrap/>
            <w:vAlign w:val="bottom"/>
          </w:tcPr>
          <w:p w14:paraId="727ACCB4"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$522</w:t>
            </w:r>
          </w:p>
        </w:tc>
        <w:tc>
          <w:tcPr>
            <w:tcW w:w="1219" w:type="dxa"/>
            <w:tcBorders>
              <w:top w:val="nil"/>
              <w:left w:val="nil"/>
              <w:bottom w:val="single" w:sz="4" w:space="0" w:color="auto"/>
              <w:right w:val="single" w:sz="4" w:space="0" w:color="auto"/>
            </w:tcBorders>
            <w:shd w:val="clear" w:color="auto" w:fill="auto"/>
            <w:noWrap/>
            <w:vAlign w:val="bottom"/>
          </w:tcPr>
          <w:p w14:paraId="6C0BFDFD"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$600</w:t>
            </w:r>
          </w:p>
        </w:tc>
        <w:tc>
          <w:tcPr>
            <w:tcW w:w="1219" w:type="dxa"/>
            <w:tcBorders>
              <w:top w:val="nil"/>
              <w:left w:val="nil"/>
              <w:bottom w:val="single" w:sz="4" w:space="0" w:color="auto"/>
              <w:right w:val="single" w:sz="4" w:space="0" w:color="auto"/>
            </w:tcBorders>
            <w:shd w:val="clear" w:color="auto" w:fill="auto"/>
            <w:noWrap/>
            <w:vAlign w:val="bottom"/>
          </w:tcPr>
          <w:p w14:paraId="231BC2A1"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$570</w:t>
            </w:r>
          </w:p>
        </w:tc>
        <w:tc>
          <w:tcPr>
            <w:tcW w:w="1219" w:type="dxa"/>
            <w:tcBorders>
              <w:top w:val="nil"/>
              <w:left w:val="nil"/>
              <w:bottom w:val="single" w:sz="4" w:space="0" w:color="auto"/>
              <w:right w:val="single" w:sz="4" w:space="0" w:color="auto"/>
            </w:tcBorders>
            <w:shd w:val="clear" w:color="auto" w:fill="auto"/>
            <w:noWrap/>
            <w:vAlign w:val="bottom"/>
          </w:tcPr>
          <w:p w14:paraId="7B066DBB"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109%</w:t>
            </w:r>
          </w:p>
        </w:tc>
      </w:tr>
      <w:tr w:rsidR="000579FD" w:rsidRPr="00A02394" w14:paraId="75FB9F8D" w14:textId="77777777" w:rsidTr="00E440C9">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tcPr>
          <w:p w14:paraId="383F8099" w14:textId="77777777" w:rsidR="000579FD" w:rsidRPr="000579FD" w:rsidRDefault="000579FD" w:rsidP="00B15ADD">
            <w:pPr>
              <w:spacing w:line="240" w:lineRule="auto"/>
              <w:rPr>
                <w:rFonts w:cs="Arial"/>
                <w:sz w:val="18"/>
                <w:szCs w:val="18"/>
                <w:lang w:eastAsia="en-NZ"/>
              </w:rPr>
            </w:pPr>
            <w:r w:rsidRPr="000579FD">
              <w:rPr>
                <w:rFonts w:cs="Arial"/>
                <w:sz w:val="18"/>
                <w:szCs w:val="18"/>
                <w:lang w:eastAsia="en-NZ"/>
              </w:rPr>
              <w:t>Medical 4, Non-medical 5</w:t>
            </w:r>
          </w:p>
        </w:tc>
        <w:tc>
          <w:tcPr>
            <w:tcW w:w="1077" w:type="dxa"/>
            <w:tcBorders>
              <w:top w:val="nil"/>
              <w:left w:val="nil"/>
              <w:bottom w:val="single" w:sz="4" w:space="0" w:color="auto"/>
              <w:right w:val="single" w:sz="4" w:space="0" w:color="auto"/>
            </w:tcBorders>
            <w:shd w:val="clear" w:color="auto" w:fill="auto"/>
            <w:noWrap/>
            <w:vAlign w:val="bottom"/>
          </w:tcPr>
          <w:p w14:paraId="77354F23"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$861</w:t>
            </w:r>
          </w:p>
        </w:tc>
        <w:tc>
          <w:tcPr>
            <w:tcW w:w="1219" w:type="dxa"/>
            <w:tcBorders>
              <w:top w:val="nil"/>
              <w:left w:val="nil"/>
              <w:bottom w:val="single" w:sz="4" w:space="0" w:color="auto"/>
              <w:right w:val="single" w:sz="4" w:space="0" w:color="auto"/>
            </w:tcBorders>
            <w:shd w:val="clear" w:color="auto" w:fill="auto"/>
            <w:noWrap/>
            <w:vAlign w:val="bottom"/>
          </w:tcPr>
          <w:p w14:paraId="5329DE96"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$422</w:t>
            </w:r>
          </w:p>
        </w:tc>
        <w:tc>
          <w:tcPr>
            <w:tcW w:w="1219" w:type="dxa"/>
            <w:tcBorders>
              <w:top w:val="nil"/>
              <w:left w:val="nil"/>
              <w:bottom w:val="single" w:sz="4" w:space="0" w:color="auto"/>
              <w:right w:val="single" w:sz="4" w:space="0" w:color="auto"/>
            </w:tcBorders>
            <w:shd w:val="clear" w:color="auto" w:fill="auto"/>
            <w:noWrap/>
            <w:vAlign w:val="bottom"/>
          </w:tcPr>
          <w:p w14:paraId="084CF77D"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$485</w:t>
            </w:r>
          </w:p>
        </w:tc>
        <w:tc>
          <w:tcPr>
            <w:tcW w:w="1219" w:type="dxa"/>
            <w:tcBorders>
              <w:top w:val="nil"/>
              <w:left w:val="nil"/>
              <w:bottom w:val="single" w:sz="4" w:space="0" w:color="auto"/>
              <w:right w:val="single" w:sz="4" w:space="0" w:color="auto"/>
            </w:tcBorders>
            <w:shd w:val="clear" w:color="auto" w:fill="auto"/>
            <w:noWrap/>
            <w:vAlign w:val="bottom"/>
          </w:tcPr>
          <w:p w14:paraId="0BBF2578"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$439</w:t>
            </w:r>
          </w:p>
        </w:tc>
        <w:tc>
          <w:tcPr>
            <w:tcW w:w="1219" w:type="dxa"/>
            <w:tcBorders>
              <w:top w:val="nil"/>
              <w:left w:val="nil"/>
              <w:bottom w:val="single" w:sz="4" w:space="0" w:color="auto"/>
              <w:right w:val="single" w:sz="4" w:space="0" w:color="auto"/>
            </w:tcBorders>
            <w:shd w:val="clear" w:color="auto" w:fill="auto"/>
            <w:noWrap/>
            <w:vAlign w:val="bottom"/>
          </w:tcPr>
          <w:p w14:paraId="3F0D22C4"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104%</w:t>
            </w:r>
          </w:p>
        </w:tc>
      </w:tr>
      <w:tr w:rsidR="000579FD" w:rsidRPr="00A02394" w14:paraId="3213B360" w14:textId="77777777" w:rsidTr="00E440C9">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tcPr>
          <w:p w14:paraId="5124E912" w14:textId="77777777" w:rsidR="000579FD" w:rsidRPr="000579FD" w:rsidRDefault="000579FD" w:rsidP="00B15ADD">
            <w:pPr>
              <w:spacing w:line="240" w:lineRule="auto"/>
              <w:rPr>
                <w:rFonts w:cs="Arial"/>
                <w:sz w:val="18"/>
                <w:szCs w:val="18"/>
                <w:lang w:eastAsia="en-NZ"/>
              </w:rPr>
            </w:pPr>
            <w:r w:rsidRPr="000579FD">
              <w:rPr>
                <w:rFonts w:cs="Arial"/>
                <w:sz w:val="18"/>
                <w:szCs w:val="18"/>
                <w:lang w:eastAsia="en-NZ"/>
              </w:rPr>
              <w:t>Medical 5, Medical 6, Non-medical 6</w:t>
            </w:r>
          </w:p>
        </w:tc>
        <w:tc>
          <w:tcPr>
            <w:tcW w:w="1077" w:type="dxa"/>
            <w:tcBorders>
              <w:top w:val="nil"/>
              <w:left w:val="nil"/>
              <w:bottom w:val="single" w:sz="4" w:space="0" w:color="auto"/>
              <w:right w:val="single" w:sz="4" w:space="0" w:color="auto"/>
            </w:tcBorders>
            <w:shd w:val="clear" w:color="auto" w:fill="auto"/>
            <w:noWrap/>
            <w:vAlign w:val="bottom"/>
          </w:tcPr>
          <w:p w14:paraId="100E3354"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$757</w:t>
            </w:r>
          </w:p>
        </w:tc>
        <w:tc>
          <w:tcPr>
            <w:tcW w:w="1219" w:type="dxa"/>
            <w:tcBorders>
              <w:top w:val="nil"/>
              <w:left w:val="nil"/>
              <w:bottom w:val="single" w:sz="4" w:space="0" w:color="auto"/>
              <w:right w:val="single" w:sz="4" w:space="0" w:color="auto"/>
            </w:tcBorders>
            <w:shd w:val="clear" w:color="auto" w:fill="auto"/>
            <w:noWrap/>
            <w:vAlign w:val="bottom"/>
          </w:tcPr>
          <w:p w14:paraId="0BD3E48D"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$361</w:t>
            </w:r>
          </w:p>
        </w:tc>
        <w:tc>
          <w:tcPr>
            <w:tcW w:w="1219" w:type="dxa"/>
            <w:tcBorders>
              <w:top w:val="nil"/>
              <w:left w:val="nil"/>
              <w:bottom w:val="single" w:sz="4" w:space="0" w:color="auto"/>
              <w:right w:val="single" w:sz="4" w:space="0" w:color="auto"/>
            </w:tcBorders>
            <w:shd w:val="clear" w:color="auto" w:fill="auto"/>
            <w:noWrap/>
            <w:vAlign w:val="bottom"/>
          </w:tcPr>
          <w:p w14:paraId="5AF3B031"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$415</w:t>
            </w:r>
          </w:p>
        </w:tc>
        <w:tc>
          <w:tcPr>
            <w:tcW w:w="1219" w:type="dxa"/>
            <w:tcBorders>
              <w:top w:val="nil"/>
              <w:left w:val="nil"/>
              <w:bottom w:val="single" w:sz="4" w:space="0" w:color="auto"/>
              <w:right w:val="single" w:sz="4" w:space="0" w:color="auto"/>
            </w:tcBorders>
            <w:shd w:val="clear" w:color="auto" w:fill="auto"/>
            <w:noWrap/>
            <w:vAlign w:val="bottom"/>
          </w:tcPr>
          <w:p w14:paraId="51BB1FC4"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$396</w:t>
            </w:r>
          </w:p>
        </w:tc>
        <w:tc>
          <w:tcPr>
            <w:tcW w:w="1219" w:type="dxa"/>
            <w:tcBorders>
              <w:top w:val="nil"/>
              <w:left w:val="nil"/>
              <w:bottom w:val="single" w:sz="4" w:space="0" w:color="auto"/>
              <w:right w:val="single" w:sz="4" w:space="0" w:color="auto"/>
            </w:tcBorders>
            <w:shd w:val="clear" w:color="auto" w:fill="auto"/>
            <w:noWrap/>
            <w:vAlign w:val="bottom"/>
          </w:tcPr>
          <w:p w14:paraId="12BE857C"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110%</w:t>
            </w:r>
          </w:p>
        </w:tc>
      </w:tr>
      <w:tr w:rsidR="000579FD" w:rsidRPr="00A02394" w14:paraId="630C29DE" w14:textId="77777777" w:rsidTr="00E440C9">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tcPr>
          <w:p w14:paraId="38D52EBC" w14:textId="77777777" w:rsidR="000579FD" w:rsidRPr="000579FD" w:rsidRDefault="000579FD" w:rsidP="00B15ADD">
            <w:pPr>
              <w:spacing w:line="240" w:lineRule="auto"/>
              <w:rPr>
                <w:rFonts w:cs="Arial"/>
                <w:sz w:val="18"/>
                <w:szCs w:val="18"/>
                <w:lang w:eastAsia="en-NZ"/>
              </w:rPr>
            </w:pPr>
            <w:r w:rsidRPr="000579FD">
              <w:rPr>
                <w:rFonts w:cs="Arial"/>
                <w:sz w:val="18"/>
                <w:szCs w:val="18"/>
                <w:lang w:eastAsia="en-NZ"/>
              </w:rPr>
              <w:lastRenderedPageBreak/>
              <w:t>No inspection</w:t>
            </w:r>
          </w:p>
        </w:tc>
        <w:tc>
          <w:tcPr>
            <w:tcW w:w="1077" w:type="dxa"/>
            <w:tcBorders>
              <w:top w:val="nil"/>
              <w:left w:val="nil"/>
              <w:bottom w:val="single" w:sz="4" w:space="0" w:color="auto"/>
              <w:right w:val="single" w:sz="4" w:space="0" w:color="auto"/>
            </w:tcBorders>
            <w:shd w:val="clear" w:color="auto" w:fill="auto"/>
            <w:noWrap/>
            <w:vAlign w:val="bottom"/>
          </w:tcPr>
          <w:p w14:paraId="656EB95D"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$353</w:t>
            </w:r>
          </w:p>
        </w:tc>
        <w:tc>
          <w:tcPr>
            <w:tcW w:w="1219" w:type="dxa"/>
            <w:tcBorders>
              <w:top w:val="nil"/>
              <w:left w:val="nil"/>
              <w:bottom w:val="single" w:sz="4" w:space="0" w:color="auto"/>
              <w:right w:val="single" w:sz="4" w:space="0" w:color="auto"/>
            </w:tcBorders>
            <w:shd w:val="clear" w:color="auto" w:fill="auto"/>
            <w:noWrap/>
            <w:vAlign w:val="bottom"/>
          </w:tcPr>
          <w:p w14:paraId="63CA012B"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$126</w:t>
            </w:r>
          </w:p>
        </w:tc>
        <w:tc>
          <w:tcPr>
            <w:tcW w:w="1219" w:type="dxa"/>
            <w:tcBorders>
              <w:top w:val="nil"/>
              <w:left w:val="nil"/>
              <w:bottom w:val="single" w:sz="4" w:space="0" w:color="auto"/>
              <w:right w:val="single" w:sz="4" w:space="0" w:color="auto"/>
            </w:tcBorders>
            <w:shd w:val="clear" w:color="auto" w:fill="auto"/>
            <w:noWrap/>
            <w:vAlign w:val="bottom"/>
          </w:tcPr>
          <w:p w14:paraId="579BCD66"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$145</w:t>
            </w:r>
          </w:p>
        </w:tc>
        <w:tc>
          <w:tcPr>
            <w:tcW w:w="1219" w:type="dxa"/>
            <w:tcBorders>
              <w:top w:val="nil"/>
              <w:left w:val="nil"/>
              <w:bottom w:val="single" w:sz="4" w:space="0" w:color="auto"/>
              <w:right w:val="single" w:sz="4" w:space="0" w:color="auto"/>
            </w:tcBorders>
            <w:shd w:val="clear" w:color="auto" w:fill="auto"/>
            <w:noWrap/>
            <w:vAlign w:val="bottom"/>
          </w:tcPr>
          <w:p w14:paraId="0F23A8C9"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$227</w:t>
            </w:r>
          </w:p>
        </w:tc>
        <w:tc>
          <w:tcPr>
            <w:tcW w:w="1219" w:type="dxa"/>
            <w:tcBorders>
              <w:top w:val="nil"/>
              <w:left w:val="nil"/>
              <w:bottom w:val="single" w:sz="4" w:space="0" w:color="auto"/>
              <w:right w:val="single" w:sz="4" w:space="0" w:color="auto"/>
            </w:tcBorders>
            <w:shd w:val="clear" w:color="auto" w:fill="auto"/>
            <w:noWrap/>
            <w:vAlign w:val="bottom"/>
          </w:tcPr>
          <w:p w14:paraId="660EDB9E"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180%</w:t>
            </w:r>
          </w:p>
        </w:tc>
      </w:tr>
      <w:tr w:rsidR="000579FD" w:rsidRPr="00A02394" w14:paraId="6A55CD43" w14:textId="77777777" w:rsidTr="00E440C9">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4AF11F2" w14:textId="77777777" w:rsidR="000579FD" w:rsidRPr="000579FD" w:rsidRDefault="000579FD" w:rsidP="00B15ADD">
            <w:pPr>
              <w:spacing w:line="240" w:lineRule="auto"/>
              <w:rPr>
                <w:rFonts w:cs="Arial"/>
                <w:color w:val="000000"/>
                <w:sz w:val="18"/>
                <w:szCs w:val="18"/>
                <w:lang w:eastAsia="en-NZ"/>
              </w:rPr>
            </w:pPr>
            <w:r w:rsidRPr="000579FD">
              <w:rPr>
                <w:rFonts w:cs="Arial"/>
                <w:color w:val="000000"/>
                <w:sz w:val="18"/>
                <w:szCs w:val="18"/>
                <w:lang w:eastAsia="en-NZ"/>
              </w:rPr>
              <w:t>Use licences</w:t>
            </w:r>
          </w:p>
        </w:tc>
        <w:tc>
          <w:tcPr>
            <w:tcW w:w="1077" w:type="dxa"/>
            <w:tcBorders>
              <w:top w:val="nil"/>
              <w:left w:val="nil"/>
              <w:bottom w:val="single" w:sz="4" w:space="0" w:color="auto"/>
              <w:right w:val="single" w:sz="4" w:space="0" w:color="auto"/>
            </w:tcBorders>
            <w:shd w:val="clear" w:color="auto" w:fill="auto"/>
            <w:noWrap/>
            <w:vAlign w:val="bottom"/>
            <w:hideMark/>
          </w:tcPr>
          <w:p w14:paraId="2B506B20" w14:textId="77777777" w:rsidR="000579FD" w:rsidRPr="000579FD" w:rsidRDefault="000579FD" w:rsidP="00981E42">
            <w:pPr>
              <w:spacing w:line="240" w:lineRule="auto"/>
              <w:jc w:val="right"/>
              <w:rPr>
                <w:rFonts w:cs="Arial"/>
                <w:color w:val="000000"/>
                <w:sz w:val="18"/>
                <w:szCs w:val="18"/>
                <w:lang w:eastAsia="en-NZ"/>
              </w:rPr>
            </w:pPr>
            <w:r w:rsidRPr="000579FD">
              <w:rPr>
                <w:rFonts w:cs="Arial"/>
                <w:color w:val="000000"/>
                <w:sz w:val="18"/>
                <w:szCs w:val="18"/>
                <w:lang w:eastAsia="en-NZ"/>
              </w:rPr>
              <w:t> </w:t>
            </w:r>
          </w:p>
        </w:tc>
        <w:tc>
          <w:tcPr>
            <w:tcW w:w="1219" w:type="dxa"/>
            <w:tcBorders>
              <w:top w:val="nil"/>
              <w:left w:val="nil"/>
              <w:bottom w:val="single" w:sz="4" w:space="0" w:color="auto"/>
              <w:right w:val="single" w:sz="4" w:space="0" w:color="auto"/>
            </w:tcBorders>
            <w:shd w:val="clear" w:color="auto" w:fill="auto"/>
            <w:noWrap/>
            <w:vAlign w:val="bottom"/>
            <w:hideMark/>
          </w:tcPr>
          <w:p w14:paraId="472A67EB" w14:textId="77777777" w:rsidR="000579FD" w:rsidRPr="000579FD" w:rsidRDefault="000579FD" w:rsidP="00981E42">
            <w:pPr>
              <w:spacing w:line="240" w:lineRule="auto"/>
              <w:jc w:val="right"/>
              <w:rPr>
                <w:rFonts w:cs="Arial"/>
                <w:color w:val="000000"/>
                <w:sz w:val="18"/>
                <w:szCs w:val="18"/>
                <w:lang w:eastAsia="en-NZ"/>
              </w:rPr>
            </w:pPr>
            <w:r w:rsidRPr="000579FD">
              <w:rPr>
                <w:rFonts w:cs="Arial"/>
                <w:color w:val="000000"/>
                <w:sz w:val="18"/>
                <w:szCs w:val="18"/>
                <w:lang w:eastAsia="en-NZ"/>
              </w:rPr>
              <w:t> </w:t>
            </w:r>
          </w:p>
        </w:tc>
        <w:tc>
          <w:tcPr>
            <w:tcW w:w="1219" w:type="dxa"/>
            <w:tcBorders>
              <w:top w:val="nil"/>
              <w:left w:val="nil"/>
              <w:bottom w:val="single" w:sz="4" w:space="0" w:color="auto"/>
              <w:right w:val="single" w:sz="4" w:space="0" w:color="auto"/>
            </w:tcBorders>
            <w:shd w:val="clear" w:color="auto" w:fill="auto"/>
            <w:noWrap/>
            <w:vAlign w:val="bottom"/>
            <w:hideMark/>
          </w:tcPr>
          <w:p w14:paraId="40E16C2D" w14:textId="77777777" w:rsidR="000579FD" w:rsidRPr="000579FD" w:rsidRDefault="000579FD" w:rsidP="00981E42">
            <w:pPr>
              <w:spacing w:line="240" w:lineRule="auto"/>
              <w:jc w:val="right"/>
              <w:rPr>
                <w:rFonts w:cs="Arial"/>
                <w:color w:val="000000"/>
                <w:sz w:val="18"/>
                <w:szCs w:val="18"/>
                <w:lang w:eastAsia="en-NZ"/>
              </w:rPr>
            </w:pPr>
            <w:r w:rsidRPr="000579FD">
              <w:rPr>
                <w:rFonts w:cs="Arial"/>
                <w:color w:val="000000"/>
                <w:sz w:val="18"/>
                <w:szCs w:val="18"/>
                <w:lang w:eastAsia="en-NZ"/>
              </w:rPr>
              <w:t> </w:t>
            </w:r>
          </w:p>
        </w:tc>
        <w:tc>
          <w:tcPr>
            <w:tcW w:w="1219" w:type="dxa"/>
            <w:tcBorders>
              <w:top w:val="nil"/>
              <w:left w:val="nil"/>
              <w:bottom w:val="single" w:sz="4" w:space="0" w:color="auto"/>
              <w:right w:val="single" w:sz="4" w:space="0" w:color="auto"/>
            </w:tcBorders>
            <w:shd w:val="clear" w:color="auto" w:fill="auto"/>
            <w:noWrap/>
            <w:vAlign w:val="bottom"/>
            <w:hideMark/>
          </w:tcPr>
          <w:p w14:paraId="22FFD0F8" w14:textId="77777777" w:rsidR="000579FD" w:rsidRPr="000579FD" w:rsidRDefault="000579FD" w:rsidP="00981E42">
            <w:pPr>
              <w:spacing w:line="240" w:lineRule="auto"/>
              <w:jc w:val="right"/>
              <w:rPr>
                <w:rFonts w:cs="Arial"/>
                <w:color w:val="000000"/>
                <w:sz w:val="18"/>
                <w:szCs w:val="18"/>
                <w:lang w:eastAsia="en-NZ"/>
              </w:rPr>
            </w:pPr>
            <w:r w:rsidRPr="000579FD">
              <w:rPr>
                <w:rFonts w:cs="Arial"/>
                <w:color w:val="000000"/>
                <w:sz w:val="18"/>
                <w:szCs w:val="18"/>
                <w:lang w:eastAsia="en-NZ"/>
              </w:rPr>
              <w:t> </w:t>
            </w:r>
          </w:p>
        </w:tc>
        <w:tc>
          <w:tcPr>
            <w:tcW w:w="1219" w:type="dxa"/>
            <w:tcBorders>
              <w:top w:val="nil"/>
              <w:left w:val="nil"/>
              <w:bottom w:val="single" w:sz="4" w:space="0" w:color="auto"/>
              <w:right w:val="single" w:sz="4" w:space="0" w:color="auto"/>
            </w:tcBorders>
            <w:shd w:val="clear" w:color="auto" w:fill="auto"/>
            <w:noWrap/>
            <w:vAlign w:val="bottom"/>
            <w:hideMark/>
          </w:tcPr>
          <w:p w14:paraId="4B006CAC" w14:textId="77777777" w:rsidR="000579FD" w:rsidRPr="000579FD" w:rsidRDefault="000579FD" w:rsidP="00981E42">
            <w:pPr>
              <w:spacing w:line="240" w:lineRule="auto"/>
              <w:jc w:val="right"/>
              <w:rPr>
                <w:rFonts w:cs="Arial"/>
                <w:color w:val="000000"/>
                <w:sz w:val="18"/>
                <w:szCs w:val="18"/>
                <w:lang w:eastAsia="en-NZ"/>
              </w:rPr>
            </w:pPr>
            <w:r w:rsidRPr="000579FD">
              <w:rPr>
                <w:rFonts w:cs="Arial"/>
                <w:color w:val="000000"/>
                <w:sz w:val="18"/>
                <w:szCs w:val="18"/>
                <w:lang w:eastAsia="en-NZ"/>
              </w:rPr>
              <w:t> </w:t>
            </w:r>
          </w:p>
        </w:tc>
      </w:tr>
      <w:tr w:rsidR="000579FD" w:rsidRPr="00A02394" w14:paraId="172A17AC" w14:textId="77777777" w:rsidTr="00E440C9">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8B067D1" w14:textId="77777777" w:rsidR="000579FD" w:rsidRPr="000579FD" w:rsidRDefault="000579FD" w:rsidP="00B15ADD">
            <w:pPr>
              <w:spacing w:line="240" w:lineRule="auto"/>
              <w:rPr>
                <w:rFonts w:cs="Arial"/>
                <w:sz w:val="18"/>
                <w:szCs w:val="18"/>
                <w:lang w:eastAsia="en-NZ"/>
              </w:rPr>
            </w:pPr>
            <w:r w:rsidRPr="000579FD">
              <w:rPr>
                <w:rFonts w:cs="Arial"/>
                <w:sz w:val="18"/>
                <w:szCs w:val="18"/>
                <w:lang w:eastAsia="en-NZ"/>
              </w:rPr>
              <w:t>Use licence (new applications)</w:t>
            </w:r>
          </w:p>
        </w:tc>
        <w:tc>
          <w:tcPr>
            <w:tcW w:w="1077" w:type="dxa"/>
            <w:tcBorders>
              <w:top w:val="nil"/>
              <w:left w:val="nil"/>
              <w:bottom w:val="single" w:sz="4" w:space="0" w:color="auto"/>
              <w:right w:val="single" w:sz="4" w:space="0" w:color="auto"/>
            </w:tcBorders>
            <w:shd w:val="clear" w:color="auto" w:fill="auto"/>
            <w:noWrap/>
            <w:vAlign w:val="bottom"/>
            <w:hideMark/>
          </w:tcPr>
          <w:p w14:paraId="228BAD05"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$408</w:t>
            </w:r>
          </w:p>
        </w:tc>
        <w:tc>
          <w:tcPr>
            <w:tcW w:w="1219" w:type="dxa"/>
            <w:tcBorders>
              <w:top w:val="nil"/>
              <w:left w:val="nil"/>
              <w:bottom w:val="single" w:sz="4" w:space="0" w:color="auto"/>
              <w:right w:val="single" w:sz="4" w:space="0" w:color="auto"/>
            </w:tcBorders>
            <w:shd w:val="clear" w:color="auto" w:fill="auto"/>
            <w:noWrap/>
            <w:vAlign w:val="bottom"/>
            <w:hideMark/>
          </w:tcPr>
          <w:p w14:paraId="63796877"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$95</w:t>
            </w:r>
          </w:p>
        </w:tc>
        <w:tc>
          <w:tcPr>
            <w:tcW w:w="1219" w:type="dxa"/>
            <w:tcBorders>
              <w:top w:val="nil"/>
              <w:left w:val="nil"/>
              <w:bottom w:val="single" w:sz="4" w:space="0" w:color="auto"/>
              <w:right w:val="single" w:sz="4" w:space="0" w:color="auto"/>
            </w:tcBorders>
            <w:shd w:val="clear" w:color="auto" w:fill="auto"/>
            <w:noWrap/>
            <w:vAlign w:val="bottom"/>
            <w:hideMark/>
          </w:tcPr>
          <w:p w14:paraId="43A97A4B"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$95</w:t>
            </w:r>
          </w:p>
        </w:tc>
        <w:tc>
          <w:tcPr>
            <w:tcW w:w="1219" w:type="dxa"/>
            <w:tcBorders>
              <w:top w:val="nil"/>
              <w:left w:val="nil"/>
              <w:bottom w:val="single" w:sz="4" w:space="0" w:color="auto"/>
              <w:right w:val="single" w:sz="4" w:space="0" w:color="auto"/>
            </w:tcBorders>
            <w:shd w:val="clear" w:color="auto" w:fill="auto"/>
            <w:noWrap/>
            <w:vAlign w:val="bottom"/>
            <w:hideMark/>
          </w:tcPr>
          <w:p w14:paraId="57C559A6"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$313</w:t>
            </w:r>
          </w:p>
        </w:tc>
        <w:tc>
          <w:tcPr>
            <w:tcW w:w="1219" w:type="dxa"/>
            <w:tcBorders>
              <w:top w:val="nil"/>
              <w:left w:val="nil"/>
              <w:bottom w:val="single" w:sz="4" w:space="0" w:color="auto"/>
              <w:right w:val="single" w:sz="4" w:space="0" w:color="auto"/>
            </w:tcBorders>
            <w:shd w:val="clear" w:color="auto" w:fill="auto"/>
            <w:noWrap/>
            <w:vAlign w:val="bottom"/>
            <w:hideMark/>
          </w:tcPr>
          <w:p w14:paraId="490D1D4E"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329%</w:t>
            </w:r>
          </w:p>
        </w:tc>
      </w:tr>
      <w:tr w:rsidR="000579FD" w:rsidRPr="00A02394" w14:paraId="1F7B2A7C" w14:textId="77777777" w:rsidTr="00E440C9">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4DAEF43" w14:textId="77777777" w:rsidR="000579FD" w:rsidRPr="000579FD" w:rsidRDefault="000579FD" w:rsidP="00B15ADD">
            <w:pPr>
              <w:spacing w:line="240" w:lineRule="auto"/>
              <w:rPr>
                <w:rFonts w:cs="Arial"/>
                <w:sz w:val="18"/>
                <w:szCs w:val="18"/>
                <w:lang w:eastAsia="en-NZ"/>
              </w:rPr>
            </w:pPr>
            <w:r w:rsidRPr="000579FD">
              <w:rPr>
                <w:rFonts w:cs="Arial"/>
                <w:sz w:val="18"/>
                <w:szCs w:val="18"/>
                <w:lang w:eastAsia="en-NZ"/>
              </w:rPr>
              <w:t>Use licence (renewals)</w:t>
            </w:r>
          </w:p>
        </w:tc>
        <w:tc>
          <w:tcPr>
            <w:tcW w:w="1077" w:type="dxa"/>
            <w:tcBorders>
              <w:top w:val="nil"/>
              <w:left w:val="nil"/>
              <w:bottom w:val="single" w:sz="4" w:space="0" w:color="auto"/>
              <w:right w:val="single" w:sz="4" w:space="0" w:color="auto"/>
            </w:tcBorders>
            <w:shd w:val="clear" w:color="auto" w:fill="auto"/>
            <w:noWrap/>
            <w:vAlign w:val="bottom"/>
            <w:hideMark/>
          </w:tcPr>
          <w:p w14:paraId="1E19A5A6"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$250</w:t>
            </w:r>
          </w:p>
        </w:tc>
        <w:tc>
          <w:tcPr>
            <w:tcW w:w="1219" w:type="dxa"/>
            <w:tcBorders>
              <w:top w:val="nil"/>
              <w:left w:val="nil"/>
              <w:bottom w:val="single" w:sz="4" w:space="0" w:color="auto"/>
              <w:right w:val="single" w:sz="4" w:space="0" w:color="auto"/>
            </w:tcBorders>
            <w:shd w:val="clear" w:color="auto" w:fill="auto"/>
            <w:noWrap/>
            <w:vAlign w:val="bottom"/>
            <w:hideMark/>
          </w:tcPr>
          <w:p w14:paraId="58F48FA5"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$95</w:t>
            </w:r>
          </w:p>
        </w:tc>
        <w:tc>
          <w:tcPr>
            <w:tcW w:w="1219" w:type="dxa"/>
            <w:tcBorders>
              <w:top w:val="nil"/>
              <w:left w:val="nil"/>
              <w:bottom w:val="single" w:sz="4" w:space="0" w:color="auto"/>
              <w:right w:val="single" w:sz="4" w:space="0" w:color="auto"/>
            </w:tcBorders>
            <w:shd w:val="clear" w:color="auto" w:fill="auto"/>
            <w:noWrap/>
            <w:vAlign w:val="bottom"/>
            <w:hideMark/>
          </w:tcPr>
          <w:p w14:paraId="39378B94"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$95</w:t>
            </w:r>
          </w:p>
        </w:tc>
        <w:tc>
          <w:tcPr>
            <w:tcW w:w="1219" w:type="dxa"/>
            <w:tcBorders>
              <w:top w:val="nil"/>
              <w:left w:val="nil"/>
              <w:bottom w:val="single" w:sz="4" w:space="0" w:color="auto"/>
              <w:right w:val="single" w:sz="4" w:space="0" w:color="auto"/>
            </w:tcBorders>
            <w:shd w:val="clear" w:color="auto" w:fill="auto"/>
            <w:noWrap/>
            <w:vAlign w:val="bottom"/>
            <w:hideMark/>
          </w:tcPr>
          <w:p w14:paraId="22F2700E"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$155</w:t>
            </w:r>
          </w:p>
        </w:tc>
        <w:tc>
          <w:tcPr>
            <w:tcW w:w="1219" w:type="dxa"/>
            <w:tcBorders>
              <w:top w:val="nil"/>
              <w:left w:val="nil"/>
              <w:bottom w:val="single" w:sz="4" w:space="0" w:color="auto"/>
              <w:right w:val="single" w:sz="4" w:space="0" w:color="auto"/>
            </w:tcBorders>
            <w:shd w:val="clear" w:color="auto" w:fill="auto"/>
            <w:noWrap/>
            <w:vAlign w:val="bottom"/>
            <w:hideMark/>
          </w:tcPr>
          <w:p w14:paraId="49C180E8"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163%</w:t>
            </w:r>
          </w:p>
        </w:tc>
      </w:tr>
      <w:tr w:rsidR="000579FD" w:rsidRPr="00A02394" w14:paraId="54EFAB69" w14:textId="77777777" w:rsidTr="00E440C9">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319A798" w14:textId="77777777" w:rsidR="000579FD" w:rsidRPr="000579FD" w:rsidRDefault="000579FD" w:rsidP="00B15ADD">
            <w:pPr>
              <w:spacing w:line="240" w:lineRule="auto"/>
              <w:rPr>
                <w:rFonts w:cs="Arial"/>
                <w:sz w:val="18"/>
                <w:szCs w:val="18"/>
                <w:lang w:eastAsia="en-NZ"/>
              </w:rPr>
            </w:pPr>
            <w:r w:rsidRPr="000579FD">
              <w:rPr>
                <w:rFonts w:cs="Arial"/>
                <w:sz w:val="18"/>
                <w:szCs w:val="18"/>
                <w:lang w:eastAsia="en-NZ"/>
              </w:rPr>
              <w:t>Consents</w:t>
            </w:r>
          </w:p>
        </w:tc>
        <w:tc>
          <w:tcPr>
            <w:tcW w:w="1077" w:type="dxa"/>
            <w:tcBorders>
              <w:top w:val="nil"/>
              <w:left w:val="nil"/>
              <w:bottom w:val="single" w:sz="4" w:space="0" w:color="auto"/>
              <w:right w:val="single" w:sz="4" w:space="0" w:color="auto"/>
            </w:tcBorders>
            <w:shd w:val="clear" w:color="auto" w:fill="auto"/>
            <w:noWrap/>
            <w:vAlign w:val="bottom"/>
            <w:hideMark/>
          </w:tcPr>
          <w:p w14:paraId="1A3F562D"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 </w:t>
            </w:r>
          </w:p>
        </w:tc>
        <w:tc>
          <w:tcPr>
            <w:tcW w:w="1219" w:type="dxa"/>
            <w:tcBorders>
              <w:top w:val="nil"/>
              <w:left w:val="nil"/>
              <w:bottom w:val="single" w:sz="4" w:space="0" w:color="auto"/>
              <w:right w:val="single" w:sz="4" w:space="0" w:color="auto"/>
            </w:tcBorders>
            <w:shd w:val="clear" w:color="auto" w:fill="auto"/>
            <w:noWrap/>
            <w:vAlign w:val="bottom"/>
            <w:hideMark/>
          </w:tcPr>
          <w:p w14:paraId="0AD9BBAA"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 </w:t>
            </w:r>
          </w:p>
        </w:tc>
        <w:tc>
          <w:tcPr>
            <w:tcW w:w="1219" w:type="dxa"/>
            <w:tcBorders>
              <w:top w:val="nil"/>
              <w:left w:val="nil"/>
              <w:bottom w:val="single" w:sz="4" w:space="0" w:color="auto"/>
              <w:right w:val="single" w:sz="4" w:space="0" w:color="auto"/>
            </w:tcBorders>
            <w:shd w:val="clear" w:color="auto" w:fill="auto"/>
            <w:noWrap/>
            <w:vAlign w:val="bottom"/>
            <w:hideMark/>
          </w:tcPr>
          <w:p w14:paraId="5E012EE4"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 </w:t>
            </w:r>
          </w:p>
        </w:tc>
        <w:tc>
          <w:tcPr>
            <w:tcW w:w="1219" w:type="dxa"/>
            <w:tcBorders>
              <w:top w:val="nil"/>
              <w:left w:val="nil"/>
              <w:bottom w:val="single" w:sz="4" w:space="0" w:color="auto"/>
              <w:right w:val="single" w:sz="4" w:space="0" w:color="auto"/>
            </w:tcBorders>
            <w:shd w:val="clear" w:color="auto" w:fill="auto"/>
            <w:noWrap/>
            <w:vAlign w:val="bottom"/>
            <w:hideMark/>
          </w:tcPr>
          <w:p w14:paraId="6E70BB44"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 </w:t>
            </w:r>
          </w:p>
        </w:tc>
        <w:tc>
          <w:tcPr>
            <w:tcW w:w="1219" w:type="dxa"/>
            <w:tcBorders>
              <w:top w:val="nil"/>
              <w:left w:val="nil"/>
              <w:bottom w:val="single" w:sz="4" w:space="0" w:color="auto"/>
              <w:right w:val="single" w:sz="4" w:space="0" w:color="auto"/>
            </w:tcBorders>
            <w:shd w:val="clear" w:color="auto" w:fill="auto"/>
            <w:noWrap/>
            <w:vAlign w:val="bottom"/>
            <w:hideMark/>
          </w:tcPr>
          <w:p w14:paraId="75CD02C1"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 </w:t>
            </w:r>
          </w:p>
        </w:tc>
      </w:tr>
      <w:tr w:rsidR="000579FD" w:rsidRPr="00A02394" w14:paraId="52AA7FFA" w14:textId="77777777" w:rsidTr="00E440C9">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98FBA62" w14:textId="77777777" w:rsidR="000579FD" w:rsidRPr="000579FD" w:rsidRDefault="000579FD" w:rsidP="00B15ADD">
            <w:pPr>
              <w:spacing w:line="240" w:lineRule="auto"/>
              <w:rPr>
                <w:rFonts w:cs="Arial"/>
                <w:sz w:val="18"/>
                <w:szCs w:val="18"/>
                <w:lang w:eastAsia="en-NZ"/>
              </w:rPr>
            </w:pPr>
            <w:r w:rsidRPr="000579FD">
              <w:rPr>
                <w:rFonts w:cs="Arial"/>
                <w:sz w:val="18"/>
                <w:szCs w:val="18"/>
                <w:lang w:eastAsia="en-NZ"/>
              </w:rPr>
              <w:t>Consents (</w:t>
            </w:r>
            <w:proofErr w:type="gramStart"/>
            <w:r w:rsidRPr="000579FD">
              <w:rPr>
                <w:rFonts w:cs="Arial"/>
                <w:sz w:val="18"/>
                <w:szCs w:val="18"/>
                <w:lang w:eastAsia="en-NZ"/>
              </w:rPr>
              <w:t>high-activity</w:t>
            </w:r>
            <w:proofErr w:type="gramEnd"/>
            <w:r w:rsidRPr="000579FD">
              <w:rPr>
                <w:rFonts w:cs="Arial"/>
                <w:sz w:val="18"/>
                <w:szCs w:val="18"/>
                <w:lang w:eastAsia="en-NZ"/>
              </w:rPr>
              <w:t>)</w:t>
            </w:r>
          </w:p>
        </w:tc>
        <w:tc>
          <w:tcPr>
            <w:tcW w:w="1077" w:type="dxa"/>
            <w:tcBorders>
              <w:top w:val="nil"/>
              <w:left w:val="nil"/>
              <w:bottom w:val="single" w:sz="4" w:space="0" w:color="auto"/>
              <w:right w:val="single" w:sz="4" w:space="0" w:color="auto"/>
            </w:tcBorders>
            <w:shd w:val="clear" w:color="auto" w:fill="auto"/>
            <w:noWrap/>
            <w:vAlign w:val="bottom"/>
            <w:hideMark/>
          </w:tcPr>
          <w:p w14:paraId="69EDEFE8"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$233</w:t>
            </w:r>
          </w:p>
        </w:tc>
        <w:tc>
          <w:tcPr>
            <w:tcW w:w="1219" w:type="dxa"/>
            <w:tcBorders>
              <w:top w:val="nil"/>
              <w:left w:val="nil"/>
              <w:bottom w:val="single" w:sz="4" w:space="0" w:color="auto"/>
              <w:right w:val="single" w:sz="4" w:space="0" w:color="auto"/>
            </w:tcBorders>
            <w:shd w:val="clear" w:color="auto" w:fill="auto"/>
            <w:noWrap/>
            <w:vAlign w:val="bottom"/>
            <w:hideMark/>
          </w:tcPr>
          <w:p w14:paraId="68197ADC"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$300</w:t>
            </w:r>
          </w:p>
        </w:tc>
        <w:tc>
          <w:tcPr>
            <w:tcW w:w="1219" w:type="dxa"/>
            <w:tcBorders>
              <w:top w:val="nil"/>
              <w:left w:val="nil"/>
              <w:bottom w:val="single" w:sz="4" w:space="0" w:color="auto"/>
              <w:right w:val="single" w:sz="4" w:space="0" w:color="auto"/>
            </w:tcBorders>
            <w:shd w:val="clear" w:color="auto" w:fill="auto"/>
            <w:noWrap/>
            <w:vAlign w:val="bottom"/>
            <w:hideMark/>
          </w:tcPr>
          <w:p w14:paraId="348B331F"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$300</w:t>
            </w:r>
          </w:p>
        </w:tc>
        <w:tc>
          <w:tcPr>
            <w:tcW w:w="1219" w:type="dxa"/>
            <w:tcBorders>
              <w:top w:val="nil"/>
              <w:left w:val="nil"/>
              <w:bottom w:val="single" w:sz="4" w:space="0" w:color="auto"/>
              <w:right w:val="single" w:sz="4" w:space="0" w:color="auto"/>
            </w:tcBorders>
            <w:shd w:val="clear" w:color="auto" w:fill="auto"/>
            <w:noWrap/>
            <w:vAlign w:val="bottom"/>
            <w:hideMark/>
          </w:tcPr>
          <w:p w14:paraId="5B350700"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-$67</w:t>
            </w:r>
          </w:p>
        </w:tc>
        <w:tc>
          <w:tcPr>
            <w:tcW w:w="1219" w:type="dxa"/>
            <w:tcBorders>
              <w:top w:val="nil"/>
              <w:left w:val="nil"/>
              <w:bottom w:val="single" w:sz="4" w:space="0" w:color="auto"/>
              <w:right w:val="single" w:sz="4" w:space="0" w:color="auto"/>
            </w:tcBorders>
            <w:shd w:val="clear" w:color="auto" w:fill="auto"/>
            <w:noWrap/>
            <w:vAlign w:val="bottom"/>
            <w:hideMark/>
          </w:tcPr>
          <w:p w14:paraId="1C5A6391"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-22%</w:t>
            </w:r>
          </w:p>
        </w:tc>
      </w:tr>
      <w:tr w:rsidR="000579FD" w:rsidRPr="00A02394" w14:paraId="0B7A7CA7" w14:textId="77777777" w:rsidTr="00E440C9">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1FC6C8A" w14:textId="77777777" w:rsidR="000579FD" w:rsidRPr="000579FD" w:rsidRDefault="000579FD" w:rsidP="00B15ADD">
            <w:pPr>
              <w:spacing w:line="240" w:lineRule="auto"/>
              <w:rPr>
                <w:rFonts w:cs="Arial"/>
                <w:sz w:val="18"/>
                <w:szCs w:val="18"/>
                <w:lang w:eastAsia="en-NZ"/>
              </w:rPr>
            </w:pPr>
            <w:r w:rsidRPr="000579FD">
              <w:rPr>
                <w:rFonts w:cs="Arial"/>
                <w:sz w:val="18"/>
                <w:szCs w:val="18"/>
                <w:lang w:eastAsia="en-NZ"/>
              </w:rPr>
              <w:t>Consents (</w:t>
            </w:r>
            <w:proofErr w:type="gramStart"/>
            <w:r w:rsidRPr="000579FD">
              <w:rPr>
                <w:rFonts w:cs="Arial"/>
                <w:sz w:val="18"/>
                <w:szCs w:val="18"/>
                <w:lang w:eastAsia="en-NZ"/>
              </w:rPr>
              <w:t>low-activity</w:t>
            </w:r>
            <w:proofErr w:type="gramEnd"/>
            <w:r w:rsidRPr="000579FD">
              <w:rPr>
                <w:rFonts w:cs="Arial"/>
                <w:sz w:val="18"/>
                <w:szCs w:val="18"/>
                <w:lang w:eastAsia="en-NZ"/>
              </w:rPr>
              <w:t>)</w:t>
            </w:r>
          </w:p>
        </w:tc>
        <w:tc>
          <w:tcPr>
            <w:tcW w:w="1077" w:type="dxa"/>
            <w:tcBorders>
              <w:top w:val="nil"/>
              <w:left w:val="nil"/>
              <w:bottom w:val="single" w:sz="4" w:space="0" w:color="auto"/>
              <w:right w:val="single" w:sz="4" w:space="0" w:color="auto"/>
            </w:tcBorders>
            <w:shd w:val="clear" w:color="auto" w:fill="auto"/>
            <w:noWrap/>
            <w:vAlign w:val="bottom"/>
            <w:hideMark/>
          </w:tcPr>
          <w:p w14:paraId="7BDCD859"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$163</w:t>
            </w:r>
          </w:p>
        </w:tc>
        <w:tc>
          <w:tcPr>
            <w:tcW w:w="1219" w:type="dxa"/>
            <w:tcBorders>
              <w:top w:val="nil"/>
              <w:left w:val="nil"/>
              <w:bottom w:val="single" w:sz="4" w:space="0" w:color="auto"/>
              <w:right w:val="single" w:sz="4" w:space="0" w:color="auto"/>
            </w:tcBorders>
            <w:shd w:val="clear" w:color="auto" w:fill="auto"/>
            <w:noWrap/>
            <w:vAlign w:val="bottom"/>
            <w:hideMark/>
          </w:tcPr>
          <w:p w14:paraId="6264D607"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$80</w:t>
            </w:r>
          </w:p>
        </w:tc>
        <w:tc>
          <w:tcPr>
            <w:tcW w:w="1219" w:type="dxa"/>
            <w:tcBorders>
              <w:top w:val="nil"/>
              <w:left w:val="nil"/>
              <w:bottom w:val="single" w:sz="4" w:space="0" w:color="auto"/>
              <w:right w:val="single" w:sz="4" w:space="0" w:color="auto"/>
            </w:tcBorders>
            <w:shd w:val="clear" w:color="auto" w:fill="auto"/>
            <w:noWrap/>
            <w:vAlign w:val="bottom"/>
            <w:hideMark/>
          </w:tcPr>
          <w:p w14:paraId="5173A295"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$80</w:t>
            </w:r>
          </w:p>
        </w:tc>
        <w:tc>
          <w:tcPr>
            <w:tcW w:w="1219" w:type="dxa"/>
            <w:tcBorders>
              <w:top w:val="nil"/>
              <w:left w:val="nil"/>
              <w:bottom w:val="single" w:sz="4" w:space="0" w:color="auto"/>
              <w:right w:val="single" w:sz="4" w:space="0" w:color="auto"/>
            </w:tcBorders>
            <w:shd w:val="clear" w:color="auto" w:fill="auto"/>
            <w:noWrap/>
            <w:vAlign w:val="bottom"/>
            <w:hideMark/>
          </w:tcPr>
          <w:p w14:paraId="5C311860"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$83</w:t>
            </w:r>
          </w:p>
        </w:tc>
        <w:tc>
          <w:tcPr>
            <w:tcW w:w="1219" w:type="dxa"/>
            <w:tcBorders>
              <w:top w:val="nil"/>
              <w:left w:val="nil"/>
              <w:bottom w:val="single" w:sz="4" w:space="0" w:color="auto"/>
              <w:right w:val="single" w:sz="4" w:space="0" w:color="auto"/>
            </w:tcBorders>
            <w:shd w:val="clear" w:color="auto" w:fill="auto"/>
            <w:noWrap/>
            <w:vAlign w:val="bottom"/>
            <w:hideMark/>
          </w:tcPr>
          <w:p w14:paraId="62810A71"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104%</w:t>
            </w:r>
          </w:p>
        </w:tc>
      </w:tr>
      <w:tr w:rsidR="000579FD" w:rsidRPr="00A02394" w14:paraId="12BC13A0" w14:textId="77777777" w:rsidTr="00E440C9">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50CBFD9" w14:textId="77777777" w:rsidR="000579FD" w:rsidRPr="000579FD" w:rsidRDefault="000579FD" w:rsidP="00B15ADD">
            <w:pPr>
              <w:spacing w:line="240" w:lineRule="auto"/>
              <w:rPr>
                <w:rFonts w:cs="Arial"/>
                <w:sz w:val="18"/>
                <w:szCs w:val="18"/>
                <w:lang w:eastAsia="en-NZ"/>
              </w:rPr>
            </w:pPr>
            <w:r w:rsidRPr="000579FD">
              <w:rPr>
                <w:rFonts w:cs="Arial"/>
                <w:sz w:val="18"/>
                <w:szCs w:val="18"/>
                <w:lang w:eastAsia="en-NZ"/>
              </w:rPr>
              <w:t>Consents (unsealed multi)</w:t>
            </w:r>
          </w:p>
        </w:tc>
        <w:tc>
          <w:tcPr>
            <w:tcW w:w="1077" w:type="dxa"/>
            <w:tcBorders>
              <w:top w:val="nil"/>
              <w:left w:val="nil"/>
              <w:bottom w:val="single" w:sz="4" w:space="0" w:color="auto"/>
              <w:right w:val="single" w:sz="4" w:space="0" w:color="auto"/>
            </w:tcBorders>
            <w:shd w:val="clear" w:color="auto" w:fill="auto"/>
            <w:noWrap/>
            <w:vAlign w:val="bottom"/>
            <w:hideMark/>
          </w:tcPr>
          <w:p w14:paraId="0528D5FB"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$163</w:t>
            </w:r>
          </w:p>
        </w:tc>
        <w:tc>
          <w:tcPr>
            <w:tcW w:w="1219" w:type="dxa"/>
            <w:tcBorders>
              <w:top w:val="nil"/>
              <w:left w:val="nil"/>
              <w:bottom w:val="single" w:sz="4" w:space="0" w:color="auto"/>
              <w:right w:val="single" w:sz="4" w:space="0" w:color="auto"/>
            </w:tcBorders>
            <w:shd w:val="clear" w:color="auto" w:fill="auto"/>
            <w:noWrap/>
            <w:vAlign w:val="bottom"/>
            <w:hideMark/>
          </w:tcPr>
          <w:p w14:paraId="0AA5B243"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$400</w:t>
            </w:r>
          </w:p>
        </w:tc>
        <w:tc>
          <w:tcPr>
            <w:tcW w:w="1219" w:type="dxa"/>
            <w:tcBorders>
              <w:top w:val="nil"/>
              <w:left w:val="nil"/>
              <w:bottom w:val="single" w:sz="4" w:space="0" w:color="auto"/>
              <w:right w:val="single" w:sz="4" w:space="0" w:color="auto"/>
            </w:tcBorders>
            <w:shd w:val="clear" w:color="auto" w:fill="auto"/>
            <w:noWrap/>
            <w:vAlign w:val="bottom"/>
            <w:hideMark/>
          </w:tcPr>
          <w:p w14:paraId="11B47109"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$400</w:t>
            </w:r>
          </w:p>
        </w:tc>
        <w:tc>
          <w:tcPr>
            <w:tcW w:w="1219" w:type="dxa"/>
            <w:tcBorders>
              <w:top w:val="nil"/>
              <w:left w:val="nil"/>
              <w:bottom w:val="single" w:sz="4" w:space="0" w:color="auto"/>
              <w:right w:val="single" w:sz="4" w:space="0" w:color="auto"/>
            </w:tcBorders>
            <w:shd w:val="clear" w:color="auto" w:fill="auto"/>
            <w:noWrap/>
            <w:vAlign w:val="bottom"/>
            <w:hideMark/>
          </w:tcPr>
          <w:p w14:paraId="52611EB1"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-$237</w:t>
            </w:r>
          </w:p>
        </w:tc>
        <w:tc>
          <w:tcPr>
            <w:tcW w:w="1219" w:type="dxa"/>
            <w:tcBorders>
              <w:top w:val="nil"/>
              <w:left w:val="nil"/>
              <w:bottom w:val="single" w:sz="4" w:space="0" w:color="auto"/>
              <w:right w:val="single" w:sz="4" w:space="0" w:color="auto"/>
            </w:tcBorders>
            <w:shd w:val="clear" w:color="auto" w:fill="auto"/>
            <w:noWrap/>
            <w:vAlign w:val="bottom"/>
            <w:hideMark/>
          </w:tcPr>
          <w:p w14:paraId="72E33D85" w14:textId="77777777" w:rsidR="000579FD" w:rsidRPr="000579FD" w:rsidRDefault="000579FD" w:rsidP="00981E42">
            <w:pPr>
              <w:spacing w:line="240" w:lineRule="auto"/>
              <w:jc w:val="right"/>
              <w:rPr>
                <w:rFonts w:cs="Arial"/>
                <w:sz w:val="18"/>
                <w:szCs w:val="18"/>
                <w:lang w:eastAsia="en-NZ"/>
              </w:rPr>
            </w:pPr>
            <w:r w:rsidRPr="000579FD">
              <w:rPr>
                <w:rFonts w:cs="Arial"/>
                <w:sz w:val="18"/>
                <w:szCs w:val="18"/>
                <w:lang w:eastAsia="en-NZ"/>
              </w:rPr>
              <w:t>-59%</w:t>
            </w:r>
          </w:p>
        </w:tc>
      </w:tr>
    </w:tbl>
    <w:p w14:paraId="5449A1CA" w14:textId="77777777" w:rsidR="00397B37" w:rsidRDefault="00397B37" w:rsidP="00E440C9">
      <w:pPr>
        <w:tabs>
          <w:tab w:val="left" w:pos="7424"/>
          <w:tab w:val="right" w:pos="8636"/>
        </w:tabs>
        <w:spacing w:before="240"/>
        <w:rPr>
          <w:rFonts w:cs="Arial"/>
        </w:rPr>
      </w:pPr>
      <w:r>
        <w:rPr>
          <w:rFonts w:cs="Arial"/>
        </w:rPr>
        <w:t xml:space="preserve">The level of projected authorisation applications and </w:t>
      </w:r>
      <w:r w:rsidR="00012FF3">
        <w:rPr>
          <w:rFonts w:cs="Arial"/>
        </w:rPr>
        <w:t>an analysis of the</w:t>
      </w:r>
      <w:r>
        <w:rPr>
          <w:rFonts w:cs="Arial"/>
        </w:rPr>
        <w:t xml:space="preserve"> cost components are set on in Table 5</w:t>
      </w:r>
    </w:p>
    <w:p w14:paraId="27D092DC" w14:textId="77777777" w:rsidR="00397B37" w:rsidRPr="00E440C9" w:rsidRDefault="00397B37" w:rsidP="00E440C9">
      <w:pPr>
        <w:spacing w:after="0"/>
        <w:rPr>
          <w:sz w:val="20"/>
          <w:szCs w:val="20"/>
        </w:rPr>
      </w:pPr>
      <w:r w:rsidRPr="00E440C9">
        <w:rPr>
          <w:sz w:val="20"/>
          <w:szCs w:val="20"/>
        </w:rPr>
        <w:t xml:space="preserve">Table 5: Cost components of administering the Act </w:t>
      </w:r>
    </w:p>
    <w:tbl>
      <w:tblPr>
        <w:tblW w:w="9179" w:type="dxa"/>
        <w:tblInd w:w="108" w:type="dxa"/>
        <w:tblLook w:val="04A0" w:firstRow="1" w:lastRow="0" w:firstColumn="1" w:lastColumn="0" w:noHBand="0" w:noVBand="1"/>
      </w:tblPr>
      <w:tblGrid>
        <w:gridCol w:w="1275"/>
        <w:gridCol w:w="1245"/>
        <w:gridCol w:w="1256"/>
        <w:gridCol w:w="1186"/>
        <w:gridCol w:w="1054"/>
        <w:gridCol w:w="1265"/>
        <w:gridCol w:w="1037"/>
        <w:gridCol w:w="863"/>
      </w:tblGrid>
      <w:tr w:rsidR="00E440C9" w:rsidRPr="00E440C9" w14:paraId="5402DFFD" w14:textId="77777777" w:rsidTr="00E440C9">
        <w:trPr>
          <w:trHeight w:val="288"/>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EB88C" w14:textId="77777777" w:rsidR="00397B37" w:rsidRPr="00E440C9" w:rsidRDefault="00397B37" w:rsidP="00981E42">
            <w:pPr>
              <w:spacing w:line="240" w:lineRule="auto"/>
              <w:jc w:val="center"/>
              <w:rPr>
                <w:rFonts w:cstheme="minorHAnsi"/>
                <w:b/>
                <w:bCs/>
                <w:sz w:val="16"/>
                <w:szCs w:val="16"/>
                <w:lang w:eastAsia="en-NZ"/>
              </w:rPr>
            </w:pPr>
            <w:r w:rsidRPr="00E440C9">
              <w:rPr>
                <w:rFonts w:cstheme="minorHAnsi"/>
                <w:b/>
                <w:bCs/>
                <w:sz w:val="16"/>
                <w:szCs w:val="16"/>
                <w:lang w:eastAsia="en-NZ"/>
              </w:rPr>
              <w:t>Authorisation type</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14:paraId="6F1A964B" w14:textId="77777777" w:rsidR="00397B37" w:rsidRPr="00E440C9" w:rsidRDefault="00397B37" w:rsidP="00981E42">
            <w:pPr>
              <w:spacing w:line="240" w:lineRule="auto"/>
              <w:jc w:val="center"/>
              <w:rPr>
                <w:rFonts w:cstheme="minorHAnsi"/>
                <w:b/>
                <w:bCs/>
                <w:sz w:val="16"/>
                <w:szCs w:val="16"/>
                <w:lang w:eastAsia="en-NZ"/>
              </w:rPr>
            </w:pPr>
            <w:r w:rsidRPr="00E440C9">
              <w:rPr>
                <w:rFonts w:cstheme="minorHAnsi"/>
                <w:b/>
                <w:bCs/>
                <w:sz w:val="16"/>
                <w:szCs w:val="16"/>
                <w:lang w:eastAsia="en-NZ"/>
              </w:rPr>
              <w:t xml:space="preserve">Projected </w:t>
            </w:r>
            <w:r w:rsidR="00012FF3" w:rsidRPr="00E440C9">
              <w:rPr>
                <w:rFonts w:cstheme="minorHAnsi"/>
                <w:b/>
                <w:bCs/>
                <w:sz w:val="16"/>
                <w:szCs w:val="16"/>
                <w:lang w:eastAsia="en-NZ"/>
              </w:rPr>
              <w:t>applications</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6A04A75E" w14:textId="77777777" w:rsidR="00397B37" w:rsidRPr="00E440C9" w:rsidRDefault="00397B37" w:rsidP="00981E42">
            <w:pPr>
              <w:spacing w:line="240" w:lineRule="auto"/>
              <w:jc w:val="center"/>
              <w:rPr>
                <w:rFonts w:cstheme="minorHAnsi"/>
                <w:b/>
                <w:bCs/>
                <w:sz w:val="16"/>
                <w:szCs w:val="16"/>
                <w:lang w:eastAsia="en-NZ"/>
              </w:rPr>
            </w:pPr>
            <w:r w:rsidRPr="00E440C9">
              <w:rPr>
                <w:rFonts w:cstheme="minorHAnsi"/>
                <w:b/>
                <w:bCs/>
                <w:sz w:val="16"/>
                <w:szCs w:val="16"/>
                <w:lang w:eastAsia="en-NZ"/>
              </w:rPr>
              <w:t>Application assessment</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14:paraId="4F959F2F" w14:textId="77777777" w:rsidR="00397B37" w:rsidRPr="00E440C9" w:rsidRDefault="00397B37" w:rsidP="00981E42">
            <w:pPr>
              <w:spacing w:line="240" w:lineRule="auto"/>
              <w:jc w:val="center"/>
              <w:rPr>
                <w:rFonts w:cstheme="minorHAnsi"/>
                <w:b/>
                <w:bCs/>
                <w:sz w:val="16"/>
                <w:szCs w:val="16"/>
                <w:lang w:eastAsia="en-NZ"/>
              </w:rPr>
            </w:pPr>
            <w:r w:rsidRPr="00E440C9">
              <w:rPr>
                <w:rFonts w:cstheme="minorHAnsi"/>
                <w:b/>
                <w:bCs/>
                <w:sz w:val="16"/>
                <w:szCs w:val="16"/>
                <w:lang w:eastAsia="en-NZ"/>
              </w:rPr>
              <w:t>Compliance monitoring</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3A08A657" w14:textId="77777777" w:rsidR="00397B37" w:rsidRPr="00E440C9" w:rsidRDefault="00397B37" w:rsidP="00981E42">
            <w:pPr>
              <w:spacing w:line="240" w:lineRule="auto"/>
              <w:jc w:val="center"/>
              <w:rPr>
                <w:rFonts w:cstheme="minorHAnsi"/>
                <w:b/>
                <w:bCs/>
                <w:sz w:val="16"/>
                <w:szCs w:val="16"/>
                <w:lang w:eastAsia="en-NZ"/>
              </w:rPr>
            </w:pPr>
            <w:r w:rsidRPr="00E440C9">
              <w:rPr>
                <w:rFonts w:cstheme="minorHAnsi"/>
                <w:b/>
                <w:bCs/>
                <w:sz w:val="16"/>
                <w:szCs w:val="16"/>
                <w:lang w:eastAsia="en-NZ"/>
              </w:rPr>
              <w:t>Technical evaluation</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14:paraId="78E23064" w14:textId="77777777" w:rsidR="00397B37" w:rsidRPr="00E440C9" w:rsidRDefault="00397B37" w:rsidP="00981E42">
            <w:pPr>
              <w:spacing w:line="240" w:lineRule="auto"/>
              <w:jc w:val="center"/>
              <w:rPr>
                <w:rFonts w:cstheme="minorHAnsi"/>
                <w:b/>
                <w:bCs/>
                <w:sz w:val="16"/>
                <w:szCs w:val="16"/>
                <w:lang w:eastAsia="en-NZ"/>
              </w:rPr>
            </w:pPr>
            <w:r w:rsidRPr="00E440C9">
              <w:rPr>
                <w:rFonts w:cstheme="minorHAnsi"/>
                <w:b/>
                <w:bCs/>
                <w:sz w:val="16"/>
                <w:szCs w:val="16"/>
                <w:lang w:eastAsia="en-NZ"/>
              </w:rPr>
              <w:t>Memorandum account</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186775E6" w14:textId="77777777" w:rsidR="00397B37" w:rsidRPr="00E440C9" w:rsidRDefault="00397B37" w:rsidP="00981E42">
            <w:pPr>
              <w:spacing w:line="240" w:lineRule="auto"/>
              <w:jc w:val="center"/>
              <w:rPr>
                <w:rFonts w:cstheme="minorHAnsi"/>
                <w:b/>
                <w:bCs/>
                <w:sz w:val="16"/>
                <w:szCs w:val="16"/>
                <w:lang w:eastAsia="en-NZ"/>
              </w:rPr>
            </w:pPr>
            <w:r w:rsidRPr="00E440C9">
              <w:rPr>
                <w:rFonts w:cstheme="minorHAnsi"/>
                <w:b/>
                <w:bCs/>
                <w:sz w:val="16"/>
                <w:szCs w:val="16"/>
                <w:lang w:eastAsia="en-NZ"/>
              </w:rPr>
              <w:t>Total</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5422BEE9" w14:textId="77777777" w:rsidR="00397B37" w:rsidRPr="00E440C9" w:rsidRDefault="00397B37" w:rsidP="00981E42">
            <w:pPr>
              <w:spacing w:line="240" w:lineRule="auto"/>
              <w:jc w:val="center"/>
              <w:rPr>
                <w:rFonts w:cstheme="minorHAnsi"/>
                <w:b/>
                <w:bCs/>
                <w:sz w:val="16"/>
                <w:szCs w:val="16"/>
                <w:lang w:eastAsia="en-NZ"/>
              </w:rPr>
            </w:pPr>
            <w:r w:rsidRPr="00E440C9">
              <w:rPr>
                <w:rFonts w:cstheme="minorHAnsi"/>
                <w:b/>
                <w:bCs/>
                <w:sz w:val="16"/>
                <w:szCs w:val="16"/>
                <w:lang w:eastAsia="en-NZ"/>
              </w:rPr>
              <w:t>Percent</w:t>
            </w:r>
          </w:p>
        </w:tc>
      </w:tr>
      <w:tr w:rsidR="00E440C9" w:rsidRPr="00294762" w14:paraId="78B85CDD" w14:textId="77777777" w:rsidTr="00E440C9">
        <w:trPr>
          <w:trHeight w:val="288"/>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D57C39B" w14:textId="77777777" w:rsidR="00397B37" w:rsidRPr="009D1AA8" w:rsidRDefault="00397B37" w:rsidP="00981E42">
            <w:pPr>
              <w:spacing w:line="240" w:lineRule="auto"/>
              <w:rPr>
                <w:rFonts w:cstheme="minorHAnsi"/>
                <w:sz w:val="16"/>
                <w:szCs w:val="16"/>
                <w:lang w:eastAsia="en-NZ"/>
              </w:rPr>
            </w:pPr>
            <w:r w:rsidRPr="009D1AA8">
              <w:rPr>
                <w:rFonts w:cstheme="minorHAnsi"/>
                <w:sz w:val="16"/>
                <w:szCs w:val="16"/>
                <w:lang w:eastAsia="en-NZ"/>
              </w:rPr>
              <w:t>Source licence (new)</w:t>
            </w:r>
          </w:p>
        </w:tc>
        <w:tc>
          <w:tcPr>
            <w:tcW w:w="1245" w:type="dxa"/>
            <w:tcBorders>
              <w:top w:val="nil"/>
              <w:left w:val="nil"/>
              <w:bottom w:val="single" w:sz="4" w:space="0" w:color="auto"/>
              <w:right w:val="single" w:sz="4" w:space="0" w:color="auto"/>
            </w:tcBorders>
            <w:shd w:val="clear" w:color="auto" w:fill="auto"/>
            <w:noWrap/>
            <w:vAlign w:val="bottom"/>
            <w:hideMark/>
          </w:tcPr>
          <w:p w14:paraId="7AF7CADA"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117</w:t>
            </w:r>
          </w:p>
        </w:tc>
        <w:tc>
          <w:tcPr>
            <w:tcW w:w="1256" w:type="dxa"/>
            <w:tcBorders>
              <w:top w:val="nil"/>
              <w:left w:val="nil"/>
              <w:bottom w:val="single" w:sz="4" w:space="0" w:color="auto"/>
              <w:right w:val="single" w:sz="4" w:space="0" w:color="auto"/>
            </w:tcBorders>
            <w:shd w:val="clear" w:color="auto" w:fill="auto"/>
            <w:noWrap/>
            <w:vAlign w:val="bottom"/>
            <w:hideMark/>
          </w:tcPr>
          <w:p w14:paraId="0F2DFA38"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$52,692</w:t>
            </w:r>
          </w:p>
        </w:tc>
        <w:tc>
          <w:tcPr>
            <w:tcW w:w="1186" w:type="dxa"/>
            <w:tcBorders>
              <w:top w:val="nil"/>
              <w:left w:val="nil"/>
              <w:bottom w:val="single" w:sz="4" w:space="0" w:color="auto"/>
              <w:right w:val="single" w:sz="4" w:space="0" w:color="auto"/>
            </w:tcBorders>
            <w:shd w:val="clear" w:color="auto" w:fill="auto"/>
            <w:noWrap/>
            <w:vAlign w:val="bottom"/>
            <w:hideMark/>
          </w:tcPr>
          <w:p w14:paraId="71E4F4E8"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$67,902</w:t>
            </w:r>
          </w:p>
        </w:tc>
        <w:tc>
          <w:tcPr>
            <w:tcW w:w="1054" w:type="dxa"/>
            <w:tcBorders>
              <w:top w:val="nil"/>
              <w:left w:val="nil"/>
              <w:bottom w:val="single" w:sz="4" w:space="0" w:color="auto"/>
              <w:right w:val="single" w:sz="4" w:space="0" w:color="auto"/>
            </w:tcBorders>
            <w:shd w:val="clear" w:color="auto" w:fill="auto"/>
            <w:noWrap/>
            <w:vAlign w:val="bottom"/>
            <w:hideMark/>
          </w:tcPr>
          <w:p w14:paraId="77945BD1"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$10,312</w:t>
            </w:r>
          </w:p>
        </w:tc>
        <w:tc>
          <w:tcPr>
            <w:tcW w:w="1263" w:type="dxa"/>
            <w:tcBorders>
              <w:top w:val="nil"/>
              <w:left w:val="nil"/>
              <w:bottom w:val="single" w:sz="4" w:space="0" w:color="auto"/>
              <w:right w:val="single" w:sz="4" w:space="0" w:color="auto"/>
            </w:tcBorders>
            <w:shd w:val="clear" w:color="auto" w:fill="auto"/>
            <w:noWrap/>
            <w:vAlign w:val="bottom"/>
            <w:hideMark/>
          </w:tcPr>
          <w:p w14:paraId="119364BA"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$12,113</w:t>
            </w:r>
          </w:p>
        </w:tc>
        <w:tc>
          <w:tcPr>
            <w:tcW w:w="1037" w:type="dxa"/>
            <w:tcBorders>
              <w:top w:val="nil"/>
              <w:left w:val="nil"/>
              <w:bottom w:val="single" w:sz="4" w:space="0" w:color="auto"/>
              <w:right w:val="single" w:sz="4" w:space="0" w:color="auto"/>
            </w:tcBorders>
            <w:shd w:val="clear" w:color="auto" w:fill="auto"/>
            <w:noWrap/>
            <w:vAlign w:val="bottom"/>
            <w:hideMark/>
          </w:tcPr>
          <w:p w14:paraId="5E8BFA87"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$143,019</w:t>
            </w:r>
          </w:p>
        </w:tc>
        <w:tc>
          <w:tcPr>
            <w:tcW w:w="863" w:type="dxa"/>
            <w:tcBorders>
              <w:top w:val="nil"/>
              <w:left w:val="nil"/>
              <w:bottom w:val="single" w:sz="4" w:space="0" w:color="auto"/>
              <w:right w:val="single" w:sz="4" w:space="0" w:color="auto"/>
            </w:tcBorders>
            <w:shd w:val="clear" w:color="auto" w:fill="auto"/>
            <w:noWrap/>
            <w:vAlign w:val="bottom"/>
            <w:hideMark/>
          </w:tcPr>
          <w:p w14:paraId="3B16E768"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5.32%</w:t>
            </w:r>
          </w:p>
        </w:tc>
      </w:tr>
      <w:tr w:rsidR="00E440C9" w:rsidRPr="00294762" w14:paraId="7B113C55" w14:textId="77777777" w:rsidTr="00E440C9">
        <w:trPr>
          <w:trHeight w:val="288"/>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3CF938E" w14:textId="77777777" w:rsidR="00397B37" w:rsidRPr="009D1AA8" w:rsidRDefault="00397B37" w:rsidP="00981E42">
            <w:pPr>
              <w:spacing w:line="240" w:lineRule="auto"/>
              <w:rPr>
                <w:rFonts w:cstheme="minorHAnsi"/>
                <w:sz w:val="16"/>
                <w:szCs w:val="16"/>
                <w:lang w:eastAsia="en-NZ"/>
              </w:rPr>
            </w:pPr>
            <w:r w:rsidRPr="009D1AA8">
              <w:rPr>
                <w:rFonts w:cstheme="minorHAnsi"/>
                <w:sz w:val="16"/>
                <w:szCs w:val="16"/>
                <w:lang w:eastAsia="en-NZ"/>
              </w:rPr>
              <w:t>Source licence (renewals)</w:t>
            </w:r>
          </w:p>
        </w:tc>
        <w:tc>
          <w:tcPr>
            <w:tcW w:w="1245" w:type="dxa"/>
            <w:tcBorders>
              <w:top w:val="nil"/>
              <w:left w:val="nil"/>
              <w:bottom w:val="single" w:sz="4" w:space="0" w:color="auto"/>
              <w:right w:val="single" w:sz="4" w:space="0" w:color="auto"/>
            </w:tcBorders>
            <w:shd w:val="clear" w:color="auto" w:fill="auto"/>
            <w:noWrap/>
            <w:vAlign w:val="bottom"/>
            <w:hideMark/>
          </w:tcPr>
          <w:p w14:paraId="5D5C7F6F"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2240</w:t>
            </w:r>
          </w:p>
        </w:tc>
        <w:tc>
          <w:tcPr>
            <w:tcW w:w="1256" w:type="dxa"/>
            <w:tcBorders>
              <w:top w:val="nil"/>
              <w:left w:val="nil"/>
              <w:bottom w:val="single" w:sz="4" w:space="0" w:color="auto"/>
              <w:right w:val="single" w:sz="4" w:space="0" w:color="auto"/>
            </w:tcBorders>
            <w:shd w:val="clear" w:color="auto" w:fill="auto"/>
            <w:noWrap/>
            <w:vAlign w:val="bottom"/>
            <w:hideMark/>
          </w:tcPr>
          <w:p w14:paraId="40919ECA"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$683,386</w:t>
            </w:r>
          </w:p>
        </w:tc>
        <w:tc>
          <w:tcPr>
            <w:tcW w:w="1186" w:type="dxa"/>
            <w:tcBorders>
              <w:top w:val="nil"/>
              <w:left w:val="nil"/>
              <w:bottom w:val="single" w:sz="4" w:space="0" w:color="auto"/>
              <w:right w:val="single" w:sz="4" w:space="0" w:color="auto"/>
            </w:tcBorders>
            <w:shd w:val="clear" w:color="auto" w:fill="auto"/>
            <w:noWrap/>
            <w:vAlign w:val="bottom"/>
            <w:hideMark/>
          </w:tcPr>
          <w:p w14:paraId="2D858094"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$1,301,095</w:t>
            </w:r>
          </w:p>
        </w:tc>
        <w:tc>
          <w:tcPr>
            <w:tcW w:w="1054" w:type="dxa"/>
            <w:tcBorders>
              <w:top w:val="nil"/>
              <w:left w:val="nil"/>
              <w:bottom w:val="single" w:sz="4" w:space="0" w:color="auto"/>
              <w:right w:val="single" w:sz="4" w:space="0" w:color="auto"/>
            </w:tcBorders>
            <w:shd w:val="clear" w:color="auto" w:fill="auto"/>
            <w:noWrap/>
            <w:vAlign w:val="bottom"/>
            <w:hideMark/>
          </w:tcPr>
          <w:p w14:paraId="75A27565"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$39,484</w:t>
            </w:r>
          </w:p>
        </w:tc>
        <w:tc>
          <w:tcPr>
            <w:tcW w:w="1263" w:type="dxa"/>
            <w:tcBorders>
              <w:top w:val="nil"/>
              <w:left w:val="nil"/>
              <w:bottom w:val="single" w:sz="4" w:space="0" w:color="auto"/>
              <w:right w:val="single" w:sz="4" w:space="0" w:color="auto"/>
            </w:tcBorders>
            <w:shd w:val="clear" w:color="auto" w:fill="auto"/>
            <w:noWrap/>
            <w:vAlign w:val="bottom"/>
            <w:hideMark/>
          </w:tcPr>
          <w:p w14:paraId="747E9667"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$187,887</w:t>
            </w:r>
          </w:p>
        </w:tc>
        <w:tc>
          <w:tcPr>
            <w:tcW w:w="1037" w:type="dxa"/>
            <w:tcBorders>
              <w:top w:val="nil"/>
              <w:left w:val="nil"/>
              <w:bottom w:val="single" w:sz="4" w:space="0" w:color="auto"/>
              <w:right w:val="single" w:sz="4" w:space="0" w:color="auto"/>
            </w:tcBorders>
            <w:shd w:val="clear" w:color="auto" w:fill="auto"/>
            <w:noWrap/>
            <w:vAlign w:val="bottom"/>
            <w:hideMark/>
          </w:tcPr>
          <w:p w14:paraId="375CF138"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$2,211,852</w:t>
            </w:r>
          </w:p>
        </w:tc>
        <w:tc>
          <w:tcPr>
            <w:tcW w:w="863" w:type="dxa"/>
            <w:tcBorders>
              <w:top w:val="nil"/>
              <w:left w:val="nil"/>
              <w:bottom w:val="single" w:sz="4" w:space="0" w:color="auto"/>
              <w:right w:val="single" w:sz="4" w:space="0" w:color="auto"/>
            </w:tcBorders>
            <w:shd w:val="clear" w:color="auto" w:fill="auto"/>
            <w:noWrap/>
            <w:vAlign w:val="bottom"/>
            <w:hideMark/>
          </w:tcPr>
          <w:p w14:paraId="039EB84E"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82.21%</w:t>
            </w:r>
          </w:p>
        </w:tc>
      </w:tr>
      <w:tr w:rsidR="00E440C9" w:rsidRPr="00294762" w14:paraId="050E4D7E" w14:textId="77777777" w:rsidTr="00E440C9">
        <w:trPr>
          <w:trHeight w:val="288"/>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F448B54" w14:textId="77777777" w:rsidR="00397B37" w:rsidRPr="009D1AA8" w:rsidRDefault="00397B37" w:rsidP="00981E42">
            <w:pPr>
              <w:spacing w:line="240" w:lineRule="auto"/>
              <w:rPr>
                <w:rFonts w:cstheme="minorHAnsi"/>
                <w:sz w:val="16"/>
                <w:szCs w:val="16"/>
                <w:lang w:eastAsia="en-NZ"/>
              </w:rPr>
            </w:pPr>
            <w:r w:rsidRPr="009D1AA8">
              <w:rPr>
                <w:rFonts w:cstheme="minorHAnsi"/>
                <w:sz w:val="16"/>
                <w:szCs w:val="16"/>
                <w:lang w:eastAsia="en-NZ"/>
              </w:rPr>
              <w:t>Use licence (new)</w:t>
            </w:r>
          </w:p>
        </w:tc>
        <w:tc>
          <w:tcPr>
            <w:tcW w:w="1245" w:type="dxa"/>
            <w:tcBorders>
              <w:top w:val="nil"/>
              <w:left w:val="nil"/>
              <w:bottom w:val="single" w:sz="4" w:space="0" w:color="auto"/>
              <w:right w:val="single" w:sz="4" w:space="0" w:color="auto"/>
            </w:tcBorders>
            <w:shd w:val="clear" w:color="auto" w:fill="auto"/>
            <w:noWrap/>
            <w:vAlign w:val="bottom"/>
            <w:hideMark/>
          </w:tcPr>
          <w:p w14:paraId="63A1F87E"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114</w:t>
            </w:r>
          </w:p>
        </w:tc>
        <w:tc>
          <w:tcPr>
            <w:tcW w:w="1256" w:type="dxa"/>
            <w:tcBorders>
              <w:top w:val="nil"/>
              <w:left w:val="nil"/>
              <w:bottom w:val="single" w:sz="4" w:space="0" w:color="auto"/>
              <w:right w:val="single" w:sz="4" w:space="0" w:color="auto"/>
            </w:tcBorders>
            <w:shd w:val="clear" w:color="auto" w:fill="auto"/>
            <w:noWrap/>
            <w:vAlign w:val="bottom"/>
            <w:hideMark/>
          </w:tcPr>
          <w:p w14:paraId="57C6F7F4"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$36,436</w:t>
            </w:r>
          </w:p>
        </w:tc>
        <w:tc>
          <w:tcPr>
            <w:tcW w:w="1186" w:type="dxa"/>
            <w:tcBorders>
              <w:top w:val="nil"/>
              <w:left w:val="nil"/>
              <w:bottom w:val="single" w:sz="4" w:space="0" w:color="auto"/>
              <w:right w:val="single" w:sz="4" w:space="0" w:color="auto"/>
            </w:tcBorders>
            <w:shd w:val="clear" w:color="auto" w:fill="auto"/>
            <w:noWrap/>
            <w:vAlign w:val="bottom"/>
            <w:hideMark/>
          </w:tcPr>
          <w:p w14:paraId="072320FD"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$0</w:t>
            </w:r>
          </w:p>
        </w:tc>
        <w:tc>
          <w:tcPr>
            <w:tcW w:w="1054" w:type="dxa"/>
            <w:tcBorders>
              <w:top w:val="nil"/>
              <w:left w:val="nil"/>
              <w:bottom w:val="single" w:sz="4" w:space="0" w:color="auto"/>
              <w:right w:val="single" w:sz="4" w:space="0" w:color="auto"/>
            </w:tcBorders>
            <w:shd w:val="clear" w:color="auto" w:fill="auto"/>
            <w:noWrap/>
            <w:vAlign w:val="bottom"/>
            <w:hideMark/>
          </w:tcPr>
          <w:p w14:paraId="69B5391D"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$10,047</w:t>
            </w:r>
          </w:p>
        </w:tc>
        <w:tc>
          <w:tcPr>
            <w:tcW w:w="1263" w:type="dxa"/>
            <w:tcBorders>
              <w:top w:val="nil"/>
              <w:left w:val="nil"/>
              <w:bottom w:val="single" w:sz="4" w:space="0" w:color="auto"/>
              <w:right w:val="single" w:sz="4" w:space="0" w:color="auto"/>
            </w:tcBorders>
            <w:shd w:val="clear" w:color="auto" w:fill="auto"/>
            <w:noWrap/>
            <w:vAlign w:val="bottom"/>
            <w:hideMark/>
          </w:tcPr>
          <w:p w14:paraId="685CF802"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$0</w:t>
            </w:r>
          </w:p>
        </w:tc>
        <w:tc>
          <w:tcPr>
            <w:tcW w:w="1037" w:type="dxa"/>
            <w:tcBorders>
              <w:top w:val="nil"/>
              <w:left w:val="nil"/>
              <w:bottom w:val="single" w:sz="4" w:space="0" w:color="auto"/>
              <w:right w:val="single" w:sz="4" w:space="0" w:color="auto"/>
            </w:tcBorders>
            <w:shd w:val="clear" w:color="auto" w:fill="auto"/>
            <w:noWrap/>
            <w:vAlign w:val="bottom"/>
            <w:hideMark/>
          </w:tcPr>
          <w:p w14:paraId="51A342D6"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$46,483</w:t>
            </w:r>
          </w:p>
        </w:tc>
        <w:tc>
          <w:tcPr>
            <w:tcW w:w="863" w:type="dxa"/>
            <w:tcBorders>
              <w:top w:val="nil"/>
              <w:left w:val="nil"/>
              <w:bottom w:val="single" w:sz="4" w:space="0" w:color="auto"/>
              <w:right w:val="single" w:sz="4" w:space="0" w:color="auto"/>
            </w:tcBorders>
            <w:shd w:val="clear" w:color="auto" w:fill="auto"/>
            <w:noWrap/>
            <w:vAlign w:val="bottom"/>
            <w:hideMark/>
          </w:tcPr>
          <w:p w14:paraId="7F47EAF9"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1.73%</w:t>
            </w:r>
          </w:p>
        </w:tc>
      </w:tr>
      <w:tr w:rsidR="00E440C9" w:rsidRPr="00294762" w14:paraId="5AAFB7FD" w14:textId="77777777" w:rsidTr="00E440C9">
        <w:trPr>
          <w:trHeight w:val="288"/>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0BF9825" w14:textId="77777777" w:rsidR="00397B37" w:rsidRPr="009D1AA8" w:rsidRDefault="00397B37" w:rsidP="00981E42">
            <w:pPr>
              <w:spacing w:line="240" w:lineRule="auto"/>
              <w:rPr>
                <w:rFonts w:cstheme="minorHAnsi"/>
                <w:sz w:val="16"/>
                <w:szCs w:val="16"/>
                <w:lang w:eastAsia="en-NZ"/>
              </w:rPr>
            </w:pPr>
            <w:r w:rsidRPr="009D1AA8">
              <w:rPr>
                <w:rFonts w:cstheme="minorHAnsi"/>
                <w:sz w:val="16"/>
                <w:szCs w:val="16"/>
                <w:lang w:eastAsia="en-NZ"/>
              </w:rPr>
              <w:t>Use licence (renewals)</w:t>
            </w:r>
          </w:p>
        </w:tc>
        <w:tc>
          <w:tcPr>
            <w:tcW w:w="1245" w:type="dxa"/>
            <w:tcBorders>
              <w:top w:val="nil"/>
              <w:left w:val="nil"/>
              <w:bottom w:val="single" w:sz="4" w:space="0" w:color="auto"/>
              <w:right w:val="single" w:sz="4" w:space="0" w:color="auto"/>
            </w:tcBorders>
            <w:shd w:val="clear" w:color="auto" w:fill="auto"/>
            <w:noWrap/>
            <w:vAlign w:val="bottom"/>
            <w:hideMark/>
          </w:tcPr>
          <w:p w14:paraId="213C6DDA"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1023</w:t>
            </w:r>
          </w:p>
        </w:tc>
        <w:tc>
          <w:tcPr>
            <w:tcW w:w="1256" w:type="dxa"/>
            <w:tcBorders>
              <w:top w:val="nil"/>
              <w:left w:val="nil"/>
              <w:bottom w:val="single" w:sz="4" w:space="0" w:color="auto"/>
              <w:right w:val="single" w:sz="4" w:space="0" w:color="auto"/>
            </w:tcBorders>
            <w:shd w:val="clear" w:color="auto" w:fill="auto"/>
            <w:noWrap/>
            <w:vAlign w:val="bottom"/>
            <w:hideMark/>
          </w:tcPr>
          <w:p w14:paraId="264F16B1"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$237,790</w:t>
            </w:r>
          </w:p>
        </w:tc>
        <w:tc>
          <w:tcPr>
            <w:tcW w:w="1186" w:type="dxa"/>
            <w:tcBorders>
              <w:top w:val="nil"/>
              <w:left w:val="nil"/>
              <w:bottom w:val="single" w:sz="4" w:space="0" w:color="auto"/>
              <w:right w:val="single" w:sz="4" w:space="0" w:color="auto"/>
            </w:tcBorders>
            <w:shd w:val="clear" w:color="auto" w:fill="auto"/>
            <w:noWrap/>
            <w:vAlign w:val="bottom"/>
            <w:hideMark/>
          </w:tcPr>
          <w:p w14:paraId="43265D9E"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$0</w:t>
            </w:r>
          </w:p>
        </w:tc>
        <w:tc>
          <w:tcPr>
            <w:tcW w:w="1054" w:type="dxa"/>
            <w:tcBorders>
              <w:top w:val="nil"/>
              <w:left w:val="nil"/>
              <w:bottom w:val="single" w:sz="4" w:space="0" w:color="auto"/>
              <w:right w:val="single" w:sz="4" w:space="0" w:color="auto"/>
            </w:tcBorders>
            <w:shd w:val="clear" w:color="auto" w:fill="auto"/>
            <w:noWrap/>
            <w:vAlign w:val="bottom"/>
            <w:hideMark/>
          </w:tcPr>
          <w:p w14:paraId="31E23DA8"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$18,032</w:t>
            </w:r>
          </w:p>
        </w:tc>
        <w:tc>
          <w:tcPr>
            <w:tcW w:w="1263" w:type="dxa"/>
            <w:tcBorders>
              <w:top w:val="nil"/>
              <w:left w:val="nil"/>
              <w:bottom w:val="single" w:sz="4" w:space="0" w:color="auto"/>
              <w:right w:val="single" w:sz="4" w:space="0" w:color="auto"/>
            </w:tcBorders>
            <w:shd w:val="clear" w:color="auto" w:fill="auto"/>
            <w:noWrap/>
            <w:vAlign w:val="bottom"/>
            <w:hideMark/>
          </w:tcPr>
          <w:p w14:paraId="4F6425E7"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$0</w:t>
            </w:r>
          </w:p>
        </w:tc>
        <w:tc>
          <w:tcPr>
            <w:tcW w:w="1037" w:type="dxa"/>
            <w:tcBorders>
              <w:top w:val="nil"/>
              <w:left w:val="nil"/>
              <w:bottom w:val="single" w:sz="4" w:space="0" w:color="auto"/>
              <w:right w:val="single" w:sz="4" w:space="0" w:color="auto"/>
            </w:tcBorders>
            <w:shd w:val="clear" w:color="auto" w:fill="auto"/>
            <w:noWrap/>
            <w:vAlign w:val="bottom"/>
            <w:hideMark/>
          </w:tcPr>
          <w:p w14:paraId="500F00E2"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$255,822</w:t>
            </w:r>
          </w:p>
        </w:tc>
        <w:tc>
          <w:tcPr>
            <w:tcW w:w="863" w:type="dxa"/>
            <w:tcBorders>
              <w:top w:val="nil"/>
              <w:left w:val="nil"/>
              <w:bottom w:val="single" w:sz="4" w:space="0" w:color="auto"/>
              <w:right w:val="single" w:sz="4" w:space="0" w:color="auto"/>
            </w:tcBorders>
            <w:shd w:val="clear" w:color="auto" w:fill="auto"/>
            <w:noWrap/>
            <w:vAlign w:val="bottom"/>
            <w:hideMark/>
          </w:tcPr>
          <w:p w14:paraId="6AA1C281"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9.51%</w:t>
            </w:r>
          </w:p>
        </w:tc>
      </w:tr>
      <w:tr w:rsidR="00E440C9" w:rsidRPr="00294762" w14:paraId="39DEAD33" w14:textId="77777777" w:rsidTr="00E440C9">
        <w:trPr>
          <w:trHeight w:val="288"/>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23238AF" w14:textId="77777777" w:rsidR="00397B37" w:rsidRPr="009D1AA8" w:rsidRDefault="00397B37" w:rsidP="00981E42">
            <w:pPr>
              <w:spacing w:line="240" w:lineRule="auto"/>
              <w:rPr>
                <w:rFonts w:cstheme="minorHAnsi"/>
                <w:sz w:val="16"/>
                <w:szCs w:val="16"/>
                <w:lang w:eastAsia="en-NZ"/>
              </w:rPr>
            </w:pPr>
            <w:r w:rsidRPr="009D1AA8">
              <w:rPr>
                <w:rFonts w:cstheme="minorHAnsi"/>
                <w:sz w:val="16"/>
                <w:szCs w:val="16"/>
                <w:lang w:eastAsia="en-NZ"/>
              </w:rPr>
              <w:t>Consents (</w:t>
            </w:r>
            <w:proofErr w:type="gramStart"/>
            <w:r w:rsidRPr="009D1AA8">
              <w:rPr>
                <w:rFonts w:cstheme="minorHAnsi"/>
                <w:sz w:val="16"/>
                <w:szCs w:val="16"/>
                <w:lang w:eastAsia="en-NZ"/>
              </w:rPr>
              <w:t>high-activity</w:t>
            </w:r>
            <w:proofErr w:type="gramEnd"/>
            <w:r w:rsidRPr="009D1AA8">
              <w:rPr>
                <w:rFonts w:cstheme="minorHAnsi"/>
                <w:sz w:val="16"/>
                <w:szCs w:val="16"/>
                <w:lang w:eastAsia="en-NZ"/>
              </w:rPr>
              <w:t>)</w:t>
            </w:r>
          </w:p>
        </w:tc>
        <w:tc>
          <w:tcPr>
            <w:tcW w:w="1245" w:type="dxa"/>
            <w:tcBorders>
              <w:top w:val="nil"/>
              <w:left w:val="nil"/>
              <w:bottom w:val="single" w:sz="4" w:space="0" w:color="auto"/>
              <w:right w:val="single" w:sz="4" w:space="0" w:color="auto"/>
            </w:tcBorders>
            <w:shd w:val="clear" w:color="auto" w:fill="auto"/>
            <w:noWrap/>
            <w:vAlign w:val="bottom"/>
            <w:hideMark/>
          </w:tcPr>
          <w:p w14:paraId="7BB547E5"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19</w:t>
            </w:r>
          </w:p>
        </w:tc>
        <w:tc>
          <w:tcPr>
            <w:tcW w:w="1256" w:type="dxa"/>
            <w:tcBorders>
              <w:top w:val="nil"/>
              <w:left w:val="nil"/>
              <w:bottom w:val="single" w:sz="4" w:space="0" w:color="auto"/>
              <w:right w:val="single" w:sz="4" w:space="0" w:color="auto"/>
            </w:tcBorders>
            <w:shd w:val="clear" w:color="auto" w:fill="auto"/>
            <w:noWrap/>
            <w:vAlign w:val="bottom"/>
            <w:hideMark/>
          </w:tcPr>
          <w:p w14:paraId="7494107A"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$2,760</w:t>
            </w:r>
          </w:p>
        </w:tc>
        <w:tc>
          <w:tcPr>
            <w:tcW w:w="1186" w:type="dxa"/>
            <w:tcBorders>
              <w:top w:val="nil"/>
              <w:left w:val="nil"/>
              <w:bottom w:val="single" w:sz="4" w:space="0" w:color="auto"/>
              <w:right w:val="single" w:sz="4" w:space="0" w:color="auto"/>
            </w:tcBorders>
            <w:shd w:val="clear" w:color="auto" w:fill="auto"/>
            <w:noWrap/>
            <w:vAlign w:val="bottom"/>
            <w:hideMark/>
          </w:tcPr>
          <w:p w14:paraId="6F4914EC"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$0</w:t>
            </w:r>
          </w:p>
        </w:tc>
        <w:tc>
          <w:tcPr>
            <w:tcW w:w="1054" w:type="dxa"/>
            <w:tcBorders>
              <w:top w:val="nil"/>
              <w:left w:val="nil"/>
              <w:bottom w:val="single" w:sz="4" w:space="0" w:color="auto"/>
              <w:right w:val="single" w:sz="4" w:space="0" w:color="auto"/>
            </w:tcBorders>
            <w:shd w:val="clear" w:color="auto" w:fill="auto"/>
            <w:noWrap/>
            <w:vAlign w:val="bottom"/>
            <w:hideMark/>
          </w:tcPr>
          <w:p w14:paraId="61B4A4A2"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$1,675</w:t>
            </w:r>
          </w:p>
        </w:tc>
        <w:tc>
          <w:tcPr>
            <w:tcW w:w="1263" w:type="dxa"/>
            <w:tcBorders>
              <w:top w:val="nil"/>
              <w:left w:val="nil"/>
              <w:bottom w:val="single" w:sz="4" w:space="0" w:color="auto"/>
              <w:right w:val="single" w:sz="4" w:space="0" w:color="auto"/>
            </w:tcBorders>
            <w:shd w:val="clear" w:color="auto" w:fill="auto"/>
            <w:noWrap/>
            <w:vAlign w:val="bottom"/>
            <w:hideMark/>
          </w:tcPr>
          <w:p w14:paraId="6A1CC147"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$0</w:t>
            </w:r>
          </w:p>
        </w:tc>
        <w:tc>
          <w:tcPr>
            <w:tcW w:w="1037" w:type="dxa"/>
            <w:tcBorders>
              <w:top w:val="nil"/>
              <w:left w:val="nil"/>
              <w:bottom w:val="single" w:sz="4" w:space="0" w:color="auto"/>
              <w:right w:val="single" w:sz="4" w:space="0" w:color="auto"/>
            </w:tcBorders>
            <w:shd w:val="clear" w:color="auto" w:fill="auto"/>
            <w:noWrap/>
            <w:vAlign w:val="bottom"/>
            <w:hideMark/>
          </w:tcPr>
          <w:p w14:paraId="6C2FA63E"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$4,435</w:t>
            </w:r>
          </w:p>
        </w:tc>
        <w:tc>
          <w:tcPr>
            <w:tcW w:w="863" w:type="dxa"/>
            <w:tcBorders>
              <w:top w:val="nil"/>
              <w:left w:val="nil"/>
              <w:bottom w:val="single" w:sz="4" w:space="0" w:color="auto"/>
              <w:right w:val="single" w:sz="4" w:space="0" w:color="auto"/>
            </w:tcBorders>
            <w:shd w:val="clear" w:color="auto" w:fill="auto"/>
            <w:noWrap/>
            <w:vAlign w:val="bottom"/>
            <w:hideMark/>
          </w:tcPr>
          <w:p w14:paraId="7B09967A"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0.16%</w:t>
            </w:r>
          </w:p>
        </w:tc>
      </w:tr>
      <w:tr w:rsidR="00E440C9" w:rsidRPr="00294762" w14:paraId="21FE43BC" w14:textId="77777777" w:rsidTr="00E440C9">
        <w:trPr>
          <w:trHeight w:val="288"/>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EA74024" w14:textId="77777777" w:rsidR="00397B37" w:rsidRPr="009D1AA8" w:rsidRDefault="00397B37" w:rsidP="00981E42">
            <w:pPr>
              <w:spacing w:line="240" w:lineRule="auto"/>
              <w:rPr>
                <w:rFonts w:cstheme="minorHAnsi"/>
                <w:sz w:val="16"/>
                <w:szCs w:val="16"/>
                <w:lang w:eastAsia="en-NZ"/>
              </w:rPr>
            </w:pPr>
            <w:r w:rsidRPr="009D1AA8">
              <w:rPr>
                <w:rFonts w:cstheme="minorHAnsi"/>
                <w:sz w:val="16"/>
                <w:szCs w:val="16"/>
                <w:lang w:eastAsia="en-NZ"/>
              </w:rPr>
              <w:t>Consents (</w:t>
            </w:r>
            <w:proofErr w:type="gramStart"/>
            <w:r w:rsidRPr="009D1AA8">
              <w:rPr>
                <w:rFonts w:cstheme="minorHAnsi"/>
                <w:sz w:val="16"/>
                <w:szCs w:val="16"/>
                <w:lang w:eastAsia="en-NZ"/>
              </w:rPr>
              <w:t>low-activity</w:t>
            </w:r>
            <w:proofErr w:type="gramEnd"/>
            <w:r w:rsidRPr="009D1AA8">
              <w:rPr>
                <w:rFonts w:cstheme="minorHAnsi"/>
                <w:sz w:val="16"/>
                <w:szCs w:val="16"/>
                <w:lang w:eastAsia="en-NZ"/>
              </w:rPr>
              <w:t>)</w:t>
            </w:r>
          </w:p>
        </w:tc>
        <w:tc>
          <w:tcPr>
            <w:tcW w:w="1245" w:type="dxa"/>
            <w:tcBorders>
              <w:top w:val="nil"/>
              <w:left w:val="nil"/>
              <w:bottom w:val="single" w:sz="4" w:space="0" w:color="auto"/>
              <w:right w:val="single" w:sz="4" w:space="0" w:color="auto"/>
            </w:tcBorders>
            <w:shd w:val="clear" w:color="auto" w:fill="auto"/>
            <w:noWrap/>
            <w:vAlign w:val="bottom"/>
            <w:hideMark/>
          </w:tcPr>
          <w:p w14:paraId="61546AE9"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172</w:t>
            </w:r>
          </w:p>
        </w:tc>
        <w:tc>
          <w:tcPr>
            <w:tcW w:w="1256" w:type="dxa"/>
            <w:tcBorders>
              <w:top w:val="nil"/>
              <w:left w:val="nil"/>
              <w:bottom w:val="single" w:sz="4" w:space="0" w:color="auto"/>
              <w:right w:val="single" w:sz="4" w:space="0" w:color="auto"/>
            </w:tcBorders>
            <w:shd w:val="clear" w:color="auto" w:fill="auto"/>
            <w:noWrap/>
            <w:vAlign w:val="bottom"/>
            <w:hideMark/>
          </w:tcPr>
          <w:p w14:paraId="7E965192"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$24,988</w:t>
            </w:r>
          </w:p>
        </w:tc>
        <w:tc>
          <w:tcPr>
            <w:tcW w:w="1186" w:type="dxa"/>
            <w:tcBorders>
              <w:top w:val="nil"/>
              <w:left w:val="nil"/>
              <w:bottom w:val="single" w:sz="4" w:space="0" w:color="auto"/>
              <w:right w:val="single" w:sz="4" w:space="0" w:color="auto"/>
            </w:tcBorders>
            <w:shd w:val="clear" w:color="auto" w:fill="auto"/>
            <w:noWrap/>
            <w:vAlign w:val="bottom"/>
            <w:hideMark/>
          </w:tcPr>
          <w:p w14:paraId="67C44194"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$0</w:t>
            </w:r>
          </w:p>
        </w:tc>
        <w:tc>
          <w:tcPr>
            <w:tcW w:w="1054" w:type="dxa"/>
            <w:tcBorders>
              <w:top w:val="nil"/>
              <w:left w:val="nil"/>
              <w:bottom w:val="single" w:sz="4" w:space="0" w:color="auto"/>
              <w:right w:val="single" w:sz="4" w:space="0" w:color="auto"/>
            </w:tcBorders>
            <w:shd w:val="clear" w:color="auto" w:fill="auto"/>
            <w:noWrap/>
            <w:vAlign w:val="bottom"/>
            <w:hideMark/>
          </w:tcPr>
          <w:p w14:paraId="6F14A833"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$3,032</w:t>
            </w:r>
          </w:p>
        </w:tc>
        <w:tc>
          <w:tcPr>
            <w:tcW w:w="1263" w:type="dxa"/>
            <w:tcBorders>
              <w:top w:val="nil"/>
              <w:left w:val="nil"/>
              <w:bottom w:val="single" w:sz="4" w:space="0" w:color="auto"/>
              <w:right w:val="single" w:sz="4" w:space="0" w:color="auto"/>
            </w:tcBorders>
            <w:shd w:val="clear" w:color="auto" w:fill="auto"/>
            <w:noWrap/>
            <w:vAlign w:val="bottom"/>
            <w:hideMark/>
          </w:tcPr>
          <w:p w14:paraId="068599C7"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$0</w:t>
            </w:r>
          </w:p>
        </w:tc>
        <w:tc>
          <w:tcPr>
            <w:tcW w:w="1037" w:type="dxa"/>
            <w:tcBorders>
              <w:top w:val="nil"/>
              <w:left w:val="nil"/>
              <w:bottom w:val="single" w:sz="4" w:space="0" w:color="auto"/>
              <w:right w:val="single" w:sz="4" w:space="0" w:color="auto"/>
            </w:tcBorders>
            <w:shd w:val="clear" w:color="auto" w:fill="auto"/>
            <w:noWrap/>
            <w:vAlign w:val="bottom"/>
            <w:hideMark/>
          </w:tcPr>
          <w:p w14:paraId="4E691479"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$28,020</w:t>
            </w:r>
          </w:p>
        </w:tc>
        <w:tc>
          <w:tcPr>
            <w:tcW w:w="863" w:type="dxa"/>
            <w:tcBorders>
              <w:top w:val="nil"/>
              <w:left w:val="nil"/>
              <w:bottom w:val="single" w:sz="4" w:space="0" w:color="auto"/>
              <w:right w:val="single" w:sz="4" w:space="0" w:color="auto"/>
            </w:tcBorders>
            <w:shd w:val="clear" w:color="auto" w:fill="auto"/>
            <w:noWrap/>
            <w:vAlign w:val="bottom"/>
            <w:hideMark/>
          </w:tcPr>
          <w:p w14:paraId="3043541A"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1.04%</w:t>
            </w:r>
          </w:p>
        </w:tc>
      </w:tr>
      <w:tr w:rsidR="00E440C9" w:rsidRPr="00294762" w14:paraId="430ED7FC" w14:textId="77777777" w:rsidTr="00E440C9">
        <w:trPr>
          <w:trHeight w:val="288"/>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279586B" w14:textId="77777777" w:rsidR="00397B37" w:rsidRPr="009D1AA8" w:rsidRDefault="00397B37" w:rsidP="00981E42">
            <w:pPr>
              <w:spacing w:line="240" w:lineRule="auto"/>
              <w:rPr>
                <w:rFonts w:cstheme="minorHAnsi"/>
                <w:sz w:val="16"/>
                <w:szCs w:val="16"/>
                <w:lang w:eastAsia="en-NZ"/>
              </w:rPr>
            </w:pPr>
            <w:r w:rsidRPr="009D1AA8">
              <w:rPr>
                <w:rFonts w:cstheme="minorHAnsi"/>
                <w:sz w:val="16"/>
                <w:szCs w:val="16"/>
                <w:lang w:eastAsia="en-NZ"/>
              </w:rPr>
              <w:t>Consents (unsealed multi-event)</w:t>
            </w:r>
          </w:p>
        </w:tc>
        <w:tc>
          <w:tcPr>
            <w:tcW w:w="1245" w:type="dxa"/>
            <w:tcBorders>
              <w:top w:val="nil"/>
              <w:left w:val="nil"/>
              <w:bottom w:val="single" w:sz="4" w:space="0" w:color="auto"/>
              <w:right w:val="single" w:sz="4" w:space="0" w:color="auto"/>
            </w:tcBorders>
            <w:shd w:val="clear" w:color="auto" w:fill="auto"/>
            <w:noWrap/>
            <w:vAlign w:val="bottom"/>
            <w:hideMark/>
          </w:tcPr>
          <w:p w14:paraId="7441C188"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5</w:t>
            </w:r>
          </w:p>
        </w:tc>
        <w:tc>
          <w:tcPr>
            <w:tcW w:w="1256" w:type="dxa"/>
            <w:tcBorders>
              <w:top w:val="nil"/>
              <w:left w:val="nil"/>
              <w:bottom w:val="single" w:sz="4" w:space="0" w:color="auto"/>
              <w:right w:val="single" w:sz="4" w:space="0" w:color="auto"/>
            </w:tcBorders>
            <w:shd w:val="clear" w:color="auto" w:fill="auto"/>
            <w:noWrap/>
            <w:vAlign w:val="bottom"/>
            <w:hideMark/>
          </w:tcPr>
          <w:p w14:paraId="19AA753F"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$726</w:t>
            </w:r>
          </w:p>
        </w:tc>
        <w:tc>
          <w:tcPr>
            <w:tcW w:w="1186" w:type="dxa"/>
            <w:tcBorders>
              <w:top w:val="nil"/>
              <w:left w:val="nil"/>
              <w:bottom w:val="single" w:sz="4" w:space="0" w:color="auto"/>
              <w:right w:val="single" w:sz="4" w:space="0" w:color="auto"/>
            </w:tcBorders>
            <w:shd w:val="clear" w:color="auto" w:fill="auto"/>
            <w:noWrap/>
            <w:vAlign w:val="bottom"/>
            <w:hideMark/>
          </w:tcPr>
          <w:p w14:paraId="3B60A8A9"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$0</w:t>
            </w:r>
          </w:p>
        </w:tc>
        <w:tc>
          <w:tcPr>
            <w:tcW w:w="1054" w:type="dxa"/>
            <w:tcBorders>
              <w:top w:val="nil"/>
              <w:left w:val="nil"/>
              <w:bottom w:val="single" w:sz="4" w:space="0" w:color="auto"/>
              <w:right w:val="single" w:sz="4" w:space="0" w:color="auto"/>
            </w:tcBorders>
            <w:shd w:val="clear" w:color="auto" w:fill="auto"/>
            <w:noWrap/>
            <w:vAlign w:val="bottom"/>
            <w:hideMark/>
          </w:tcPr>
          <w:p w14:paraId="06332CC5"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$88</w:t>
            </w:r>
          </w:p>
        </w:tc>
        <w:tc>
          <w:tcPr>
            <w:tcW w:w="1263" w:type="dxa"/>
            <w:tcBorders>
              <w:top w:val="nil"/>
              <w:left w:val="nil"/>
              <w:bottom w:val="single" w:sz="4" w:space="0" w:color="auto"/>
              <w:right w:val="single" w:sz="4" w:space="0" w:color="auto"/>
            </w:tcBorders>
            <w:shd w:val="clear" w:color="auto" w:fill="auto"/>
            <w:noWrap/>
            <w:vAlign w:val="bottom"/>
            <w:hideMark/>
          </w:tcPr>
          <w:p w14:paraId="74493F14"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$0</w:t>
            </w:r>
          </w:p>
        </w:tc>
        <w:tc>
          <w:tcPr>
            <w:tcW w:w="1037" w:type="dxa"/>
            <w:tcBorders>
              <w:top w:val="nil"/>
              <w:left w:val="nil"/>
              <w:bottom w:val="single" w:sz="4" w:space="0" w:color="auto"/>
              <w:right w:val="single" w:sz="4" w:space="0" w:color="auto"/>
            </w:tcBorders>
            <w:shd w:val="clear" w:color="auto" w:fill="auto"/>
            <w:noWrap/>
            <w:vAlign w:val="bottom"/>
            <w:hideMark/>
          </w:tcPr>
          <w:p w14:paraId="3905E757"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$814</w:t>
            </w:r>
          </w:p>
        </w:tc>
        <w:tc>
          <w:tcPr>
            <w:tcW w:w="863" w:type="dxa"/>
            <w:tcBorders>
              <w:top w:val="nil"/>
              <w:left w:val="nil"/>
              <w:bottom w:val="single" w:sz="4" w:space="0" w:color="auto"/>
              <w:right w:val="single" w:sz="4" w:space="0" w:color="auto"/>
            </w:tcBorders>
            <w:shd w:val="clear" w:color="auto" w:fill="auto"/>
            <w:noWrap/>
            <w:vAlign w:val="bottom"/>
            <w:hideMark/>
          </w:tcPr>
          <w:p w14:paraId="3288BEDC"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0.03%</w:t>
            </w:r>
          </w:p>
        </w:tc>
      </w:tr>
      <w:tr w:rsidR="00E440C9" w:rsidRPr="00294762" w14:paraId="2AADDC78" w14:textId="77777777" w:rsidTr="00E440C9">
        <w:trPr>
          <w:trHeight w:val="288"/>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B80C520" w14:textId="77777777" w:rsidR="00397B37" w:rsidRPr="009D1AA8" w:rsidRDefault="00397B37" w:rsidP="00981E42">
            <w:pPr>
              <w:spacing w:line="240" w:lineRule="auto"/>
              <w:rPr>
                <w:rFonts w:cstheme="minorHAnsi"/>
                <w:sz w:val="16"/>
                <w:szCs w:val="16"/>
                <w:lang w:eastAsia="en-NZ"/>
              </w:rPr>
            </w:pPr>
            <w:r w:rsidRPr="009D1AA8">
              <w:rPr>
                <w:rFonts w:cstheme="minorHAnsi"/>
                <w:sz w:val="16"/>
                <w:szCs w:val="16"/>
                <w:lang w:eastAsia="en-NZ"/>
              </w:rPr>
              <w:t>Totals</w:t>
            </w:r>
          </w:p>
        </w:tc>
        <w:tc>
          <w:tcPr>
            <w:tcW w:w="1245" w:type="dxa"/>
            <w:tcBorders>
              <w:top w:val="nil"/>
              <w:left w:val="nil"/>
              <w:bottom w:val="single" w:sz="4" w:space="0" w:color="auto"/>
              <w:right w:val="single" w:sz="4" w:space="0" w:color="auto"/>
            </w:tcBorders>
            <w:shd w:val="clear" w:color="auto" w:fill="auto"/>
            <w:noWrap/>
            <w:vAlign w:val="bottom"/>
            <w:hideMark/>
          </w:tcPr>
          <w:p w14:paraId="061729A8"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 </w:t>
            </w:r>
          </w:p>
        </w:tc>
        <w:tc>
          <w:tcPr>
            <w:tcW w:w="1256" w:type="dxa"/>
            <w:tcBorders>
              <w:top w:val="nil"/>
              <w:left w:val="nil"/>
              <w:bottom w:val="single" w:sz="4" w:space="0" w:color="auto"/>
              <w:right w:val="single" w:sz="4" w:space="0" w:color="auto"/>
            </w:tcBorders>
            <w:shd w:val="clear" w:color="auto" w:fill="auto"/>
            <w:noWrap/>
            <w:vAlign w:val="bottom"/>
            <w:hideMark/>
          </w:tcPr>
          <w:p w14:paraId="41A5BB04"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$1,038,778</w:t>
            </w:r>
          </w:p>
        </w:tc>
        <w:tc>
          <w:tcPr>
            <w:tcW w:w="1186" w:type="dxa"/>
            <w:tcBorders>
              <w:top w:val="nil"/>
              <w:left w:val="nil"/>
              <w:bottom w:val="single" w:sz="4" w:space="0" w:color="auto"/>
              <w:right w:val="single" w:sz="4" w:space="0" w:color="auto"/>
            </w:tcBorders>
            <w:shd w:val="clear" w:color="auto" w:fill="auto"/>
            <w:noWrap/>
            <w:vAlign w:val="bottom"/>
            <w:hideMark/>
          </w:tcPr>
          <w:p w14:paraId="0E047002"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$1,368,997</w:t>
            </w:r>
          </w:p>
        </w:tc>
        <w:tc>
          <w:tcPr>
            <w:tcW w:w="1054" w:type="dxa"/>
            <w:tcBorders>
              <w:top w:val="nil"/>
              <w:left w:val="nil"/>
              <w:bottom w:val="single" w:sz="4" w:space="0" w:color="auto"/>
              <w:right w:val="single" w:sz="4" w:space="0" w:color="auto"/>
            </w:tcBorders>
            <w:shd w:val="clear" w:color="auto" w:fill="auto"/>
            <w:noWrap/>
            <w:vAlign w:val="bottom"/>
            <w:hideMark/>
          </w:tcPr>
          <w:p w14:paraId="5B49B140"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$82,670</w:t>
            </w:r>
          </w:p>
        </w:tc>
        <w:tc>
          <w:tcPr>
            <w:tcW w:w="1263" w:type="dxa"/>
            <w:tcBorders>
              <w:top w:val="nil"/>
              <w:left w:val="nil"/>
              <w:bottom w:val="single" w:sz="4" w:space="0" w:color="auto"/>
              <w:right w:val="single" w:sz="4" w:space="0" w:color="auto"/>
            </w:tcBorders>
            <w:shd w:val="clear" w:color="auto" w:fill="auto"/>
            <w:noWrap/>
            <w:vAlign w:val="bottom"/>
            <w:hideMark/>
          </w:tcPr>
          <w:p w14:paraId="3521CAC1"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$200,000</w:t>
            </w:r>
          </w:p>
        </w:tc>
        <w:tc>
          <w:tcPr>
            <w:tcW w:w="1037" w:type="dxa"/>
            <w:tcBorders>
              <w:top w:val="nil"/>
              <w:left w:val="nil"/>
              <w:bottom w:val="single" w:sz="4" w:space="0" w:color="auto"/>
              <w:right w:val="single" w:sz="4" w:space="0" w:color="auto"/>
            </w:tcBorders>
            <w:shd w:val="clear" w:color="auto" w:fill="auto"/>
            <w:noWrap/>
            <w:vAlign w:val="bottom"/>
            <w:hideMark/>
          </w:tcPr>
          <w:p w14:paraId="6C6C142B"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$2,690,445</w:t>
            </w:r>
          </w:p>
        </w:tc>
        <w:tc>
          <w:tcPr>
            <w:tcW w:w="863" w:type="dxa"/>
            <w:tcBorders>
              <w:top w:val="nil"/>
              <w:left w:val="nil"/>
              <w:bottom w:val="single" w:sz="4" w:space="0" w:color="auto"/>
              <w:right w:val="single" w:sz="4" w:space="0" w:color="auto"/>
            </w:tcBorders>
            <w:shd w:val="clear" w:color="auto" w:fill="auto"/>
            <w:noWrap/>
            <w:vAlign w:val="bottom"/>
            <w:hideMark/>
          </w:tcPr>
          <w:p w14:paraId="094EAF75" w14:textId="77777777" w:rsidR="00397B37" w:rsidRPr="009D1AA8" w:rsidRDefault="00397B37" w:rsidP="00981E42">
            <w:pPr>
              <w:spacing w:line="240" w:lineRule="auto"/>
              <w:jc w:val="right"/>
              <w:rPr>
                <w:rFonts w:cstheme="minorHAnsi"/>
                <w:sz w:val="16"/>
                <w:szCs w:val="16"/>
                <w:lang w:eastAsia="en-NZ"/>
              </w:rPr>
            </w:pPr>
            <w:r w:rsidRPr="009D1AA8">
              <w:rPr>
                <w:rFonts w:cstheme="minorHAnsi"/>
                <w:sz w:val="16"/>
                <w:szCs w:val="16"/>
                <w:lang w:eastAsia="en-NZ"/>
              </w:rPr>
              <w:t> </w:t>
            </w:r>
          </w:p>
        </w:tc>
      </w:tr>
    </w:tbl>
    <w:p w14:paraId="6AEFAD93" w14:textId="77777777" w:rsidR="00397B37" w:rsidRDefault="004D346B" w:rsidP="00E440C9">
      <w:pPr>
        <w:spacing w:before="240"/>
      </w:pPr>
      <w:r>
        <w:t xml:space="preserve">The proposed new fees are expected to generate the annual recoverable costs </w:t>
      </w:r>
      <w:r w:rsidR="00397B37">
        <w:t xml:space="preserve">from Table 3 </w:t>
      </w:r>
      <w:r>
        <w:t xml:space="preserve">for the financial year beginning 1 July 2023 and outyears. Total revenue </w:t>
      </w:r>
      <w:r w:rsidR="00397B37">
        <w:t>for the three</w:t>
      </w:r>
      <w:r w:rsidR="00981E42">
        <w:t>-</w:t>
      </w:r>
      <w:r w:rsidR="00397B37">
        <w:t xml:space="preserve">year period </w:t>
      </w:r>
      <w:r>
        <w:t xml:space="preserve">to 30 June 2026 is expected to be $8,071,335. </w:t>
      </w:r>
    </w:p>
    <w:p w14:paraId="07E2D345" w14:textId="77777777" w:rsidR="000579FD" w:rsidRDefault="004D346B" w:rsidP="0041087B">
      <w:r>
        <w:t>The proposed new fees w</w:t>
      </w:r>
      <w:r w:rsidR="00397B37">
        <w:t>ould</w:t>
      </w:r>
      <w:r>
        <w:t xml:space="preserve"> also lift revenue slightly for the current financial year ending 30 June 2023.  </w:t>
      </w:r>
    </w:p>
    <w:p w14:paraId="23CFC314" w14:textId="77777777" w:rsidR="004D346B" w:rsidRDefault="004D346B" w:rsidP="0041087B">
      <w:r>
        <w:t xml:space="preserve">The costs of administering the Act (direct and indirect) have assumed a year-on-year increase in costs of 1.5% on current budgets. It is too soon to evaluate the effect of this assumption. </w:t>
      </w:r>
    </w:p>
    <w:p w14:paraId="747B94E7" w14:textId="77777777" w:rsidR="004D346B" w:rsidRDefault="004D346B" w:rsidP="0041087B">
      <w:r>
        <w:t>The direct costs of administering the Act includes costs of operating a new IT system which is due to come into operation in 2023. Any delay in this project w</w:t>
      </w:r>
      <w:r w:rsidR="00012FF3">
        <w:t>ould</w:t>
      </w:r>
      <w:r>
        <w:t xml:space="preserve"> result in an over-take in fees for the delay period. The effect of any delay can be dealt with using the memorandum account process.  </w:t>
      </w:r>
    </w:p>
    <w:p w14:paraId="440C5C6D" w14:textId="77777777" w:rsidR="00981E42" w:rsidRDefault="00981E42" w:rsidP="0041087B">
      <w:r>
        <w:lastRenderedPageBreak/>
        <w:t xml:space="preserve">The effects of operating a new IT system on costs associated with processing applications are unknown. Once the new IT system is fully implemented and operating processes are settled, a further review of the fees is warranted.   </w:t>
      </w:r>
    </w:p>
    <w:p w14:paraId="29429AD7" w14:textId="77777777" w:rsidR="00397B37" w:rsidRDefault="004D17AB" w:rsidP="00397B37">
      <w:pPr>
        <w:pStyle w:val="Heading2"/>
      </w:pPr>
      <w:r>
        <w:t xml:space="preserve">Options and </w:t>
      </w:r>
      <w:r w:rsidR="0041087B">
        <w:t>I</w:t>
      </w:r>
      <w:r w:rsidR="0041087B" w:rsidRPr="00082653">
        <w:t>mpact analysis</w:t>
      </w:r>
      <w:bookmarkEnd w:id="37"/>
      <w:bookmarkEnd w:id="38"/>
      <w:bookmarkEnd w:id="39"/>
      <w:bookmarkEnd w:id="40"/>
      <w:bookmarkEnd w:id="41"/>
      <w:bookmarkEnd w:id="42"/>
      <w:bookmarkEnd w:id="43"/>
      <w:bookmarkEnd w:id="44"/>
      <w:bookmarkEnd w:id="45"/>
      <w:bookmarkEnd w:id="46"/>
      <w:bookmarkEnd w:id="47"/>
      <w:r w:rsidR="0041087B" w:rsidRPr="00082653">
        <w:t xml:space="preserve"> </w:t>
      </w:r>
    </w:p>
    <w:p w14:paraId="7B3AEA64" w14:textId="77777777" w:rsidR="004D17AB" w:rsidRDefault="004D17AB" w:rsidP="00397B37">
      <w:pPr>
        <w:rPr>
          <w:rFonts w:cs="Arial"/>
          <w:iCs/>
          <w:color w:val="000000"/>
        </w:rPr>
      </w:pPr>
      <w:r>
        <w:t>The options for the proposals were</w:t>
      </w:r>
      <w:r>
        <w:rPr>
          <w:rFonts w:cs="Arial"/>
          <w:iCs/>
          <w:color w:val="000000"/>
        </w:rPr>
        <w:t xml:space="preserve"> limited to evaluating the operation of the Radiation Safety Regulations 2016 (the Regulations) against the objectives set out in the 2016 RIS</w:t>
      </w:r>
      <w:r>
        <w:rPr>
          <w:rStyle w:val="FootnoteReference"/>
          <w:rFonts w:cs="Arial"/>
          <w:iCs/>
        </w:rPr>
        <w:footnoteReference w:id="3"/>
      </w:r>
      <w:r>
        <w:rPr>
          <w:rFonts w:cs="Arial"/>
          <w:iCs/>
          <w:color w:val="000000"/>
        </w:rPr>
        <w:t xml:space="preserve"> for the Regulations.</w:t>
      </w:r>
    </w:p>
    <w:p w14:paraId="1E3EF8B0" w14:textId="77777777" w:rsidR="004D17AB" w:rsidRDefault="004D17AB" w:rsidP="00397B37">
      <w:pPr>
        <w:rPr>
          <w:rFonts w:cs="Arial"/>
          <w:iCs/>
          <w:color w:val="000000"/>
        </w:rPr>
      </w:pPr>
      <w:r>
        <w:rPr>
          <w:rFonts w:cs="Arial"/>
          <w:iCs/>
          <w:color w:val="000000"/>
        </w:rPr>
        <w:t xml:space="preserve">The options were set out in the </w:t>
      </w:r>
      <w:r w:rsidR="00C060F7">
        <w:rPr>
          <w:rFonts w:cs="Arial"/>
          <w:szCs w:val="24"/>
        </w:rPr>
        <w:t xml:space="preserve">public consultation document </w:t>
      </w:r>
      <w:r>
        <w:rPr>
          <w:rFonts w:cs="Arial"/>
          <w:iCs/>
          <w:color w:val="000000"/>
        </w:rPr>
        <w:t>in five sections as being:</w:t>
      </w:r>
    </w:p>
    <w:p w14:paraId="70D7433D" w14:textId="77777777" w:rsidR="004D17AB" w:rsidRDefault="00E440C9" w:rsidP="005F3678">
      <w:pPr>
        <w:pStyle w:val="ListParagraph"/>
        <w:numPr>
          <w:ilvl w:val="0"/>
          <w:numId w:val="13"/>
        </w:numPr>
        <w:ind w:left="426"/>
      </w:pPr>
      <w:r>
        <w:t>f</w:t>
      </w:r>
      <w:r w:rsidR="004D17AB">
        <w:t>ees review and findings</w:t>
      </w:r>
    </w:p>
    <w:p w14:paraId="0D3B6A0F" w14:textId="77777777" w:rsidR="004D17AB" w:rsidRDefault="00E440C9" w:rsidP="005F3678">
      <w:pPr>
        <w:pStyle w:val="ListParagraph"/>
        <w:numPr>
          <w:ilvl w:val="0"/>
          <w:numId w:val="13"/>
        </w:numPr>
        <w:spacing w:before="80" w:after="80"/>
        <w:ind w:left="425" w:hanging="357"/>
        <w:contextualSpacing w:val="0"/>
      </w:pPr>
      <w:r>
        <w:t>p</w:t>
      </w:r>
      <w:r w:rsidR="004D17AB">
        <w:t>roposed changes to fees structure</w:t>
      </w:r>
    </w:p>
    <w:p w14:paraId="3B606E55" w14:textId="77777777" w:rsidR="004D17AB" w:rsidRDefault="00E440C9" w:rsidP="005F3678">
      <w:pPr>
        <w:pStyle w:val="ListParagraph"/>
        <w:numPr>
          <w:ilvl w:val="0"/>
          <w:numId w:val="13"/>
        </w:numPr>
        <w:spacing w:before="80" w:after="80"/>
        <w:ind w:left="425" w:hanging="357"/>
        <w:contextualSpacing w:val="0"/>
      </w:pPr>
      <w:r>
        <w:t>p</w:t>
      </w:r>
      <w:r w:rsidR="004D17AB">
        <w:t>roposed new fees</w:t>
      </w:r>
    </w:p>
    <w:p w14:paraId="7D758526" w14:textId="77777777" w:rsidR="004D17AB" w:rsidRDefault="00E440C9" w:rsidP="005F3678">
      <w:pPr>
        <w:pStyle w:val="ListParagraph"/>
        <w:numPr>
          <w:ilvl w:val="0"/>
          <w:numId w:val="13"/>
        </w:numPr>
        <w:spacing w:before="80" w:after="80"/>
        <w:ind w:left="425" w:hanging="357"/>
        <w:contextualSpacing w:val="0"/>
      </w:pPr>
      <w:r>
        <w:t>a</w:t>
      </w:r>
      <w:r w:rsidR="004D17AB">
        <w:t xml:space="preserve">mendments to existing exemption, </w:t>
      </w:r>
      <w:proofErr w:type="gramStart"/>
      <w:r w:rsidR="004D17AB">
        <w:t>prohibitions</w:t>
      </w:r>
      <w:proofErr w:type="gramEnd"/>
      <w:r w:rsidR="004D17AB">
        <w:t xml:space="preserve"> and restrictions</w:t>
      </w:r>
    </w:p>
    <w:p w14:paraId="2081ED94" w14:textId="77777777" w:rsidR="004D17AB" w:rsidRDefault="00E440C9" w:rsidP="005F3678">
      <w:pPr>
        <w:pStyle w:val="ListParagraph"/>
        <w:numPr>
          <w:ilvl w:val="0"/>
          <w:numId w:val="13"/>
        </w:numPr>
        <w:ind w:left="426"/>
      </w:pPr>
      <w:r>
        <w:t>o</w:t>
      </w:r>
      <w:r w:rsidR="004D17AB">
        <w:t>ther matters that can be dealt with under the Regulations.</w:t>
      </w:r>
    </w:p>
    <w:p w14:paraId="33841A76" w14:textId="77777777" w:rsidR="004D17AB" w:rsidRPr="004D17AB" w:rsidRDefault="004D17AB" w:rsidP="004D17AB">
      <w:pPr>
        <w:rPr>
          <w:b/>
          <w:bCs/>
        </w:rPr>
      </w:pPr>
      <w:r w:rsidRPr="004D17AB">
        <w:rPr>
          <w:b/>
          <w:bCs/>
        </w:rPr>
        <w:t>Fees review and findings</w:t>
      </w:r>
    </w:p>
    <w:p w14:paraId="6DF7F695" w14:textId="77777777" w:rsidR="004D17AB" w:rsidRPr="004D17AB" w:rsidRDefault="004D17AB" w:rsidP="004D17AB">
      <w:pPr>
        <w:rPr>
          <w:u w:val="single"/>
        </w:rPr>
      </w:pPr>
      <w:r w:rsidRPr="004D17AB">
        <w:rPr>
          <w:u w:val="single"/>
        </w:rPr>
        <w:t>Memorandum account balance</w:t>
      </w:r>
    </w:p>
    <w:p w14:paraId="5CBBAA8A" w14:textId="77777777" w:rsidR="004D17AB" w:rsidRDefault="004D17AB" w:rsidP="004D17AB">
      <w:r>
        <w:t>The option of recovering the memorandum account balance over eight</w:t>
      </w:r>
      <w:r w:rsidR="00751907">
        <w:t xml:space="preserve"> years</w:t>
      </w:r>
      <w:r>
        <w:t xml:space="preserve"> from source licence fees </w:t>
      </w:r>
      <w:r w:rsidR="00B3791C">
        <w:t xml:space="preserve">only </w:t>
      </w:r>
      <w:r>
        <w:t xml:space="preserve">has been chosen. </w:t>
      </w:r>
    </w:p>
    <w:p w14:paraId="268A4614" w14:textId="77777777" w:rsidR="004D17AB" w:rsidRDefault="004D17AB" w:rsidP="004D17AB">
      <w:pPr>
        <w:rPr>
          <w:rFonts w:cs="Arial"/>
          <w:color w:val="000000"/>
          <w:szCs w:val="24"/>
        </w:rPr>
      </w:pPr>
      <w:r>
        <w:t xml:space="preserve">The status </w:t>
      </w:r>
      <w:r>
        <w:rPr>
          <w:rFonts w:cs="Arial"/>
          <w:color w:val="000000"/>
          <w:szCs w:val="24"/>
        </w:rPr>
        <w:t xml:space="preserve">quo option was not considered because it would maintain a steadily increasing negative memorandum account balance against the expectation that memorandum account balances should trend toward zero over </w:t>
      </w:r>
      <w:proofErr w:type="gramStart"/>
      <w:r>
        <w:rPr>
          <w:rFonts w:cs="Arial"/>
          <w:color w:val="000000"/>
          <w:szCs w:val="24"/>
        </w:rPr>
        <w:t>a period of time</w:t>
      </w:r>
      <w:proofErr w:type="gramEnd"/>
      <w:r>
        <w:rPr>
          <w:rFonts w:cs="Arial"/>
          <w:color w:val="000000"/>
          <w:szCs w:val="24"/>
        </w:rPr>
        <w:t xml:space="preserve">. </w:t>
      </w:r>
    </w:p>
    <w:p w14:paraId="21AF2DDB" w14:textId="77777777" w:rsidR="004D17AB" w:rsidRDefault="004D17AB" w:rsidP="004D17AB">
      <w:pPr>
        <w:rPr>
          <w:rFonts w:cs="Arial"/>
          <w:color w:val="000000"/>
          <w:szCs w:val="24"/>
        </w:rPr>
      </w:pPr>
      <w:r>
        <w:rPr>
          <w:rFonts w:cs="Arial"/>
          <w:color w:val="000000"/>
          <w:szCs w:val="24"/>
        </w:rPr>
        <w:t xml:space="preserve">The alternative option of recovering the memorandum account balance from all authorisation types was rejected. Source licence holders are the main beneficiaries of the undertake in fees since 2016. Source licence holders have also been the exclusive beneficiaries of a 13 percent discount in fees since 2016 to address what was a positive memorandum account in 2016.  </w:t>
      </w:r>
    </w:p>
    <w:p w14:paraId="587EF410" w14:textId="77777777" w:rsidR="005F6EA0" w:rsidRDefault="005F6EA0" w:rsidP="005F6EA0">
      <w:r>
        <w:rPr>
          <w:rFonts w:cs="Arial"/>
          <w:color w:val="000000"/>
          <w:szCs w:val="24"/>
        </w:rPr>
        <w:t xml:space="preserve">Some submitters proposed </w:t>
      </w:r>
      <w:r>
        <w:t xml:space="preserve">that the Crown should fund (or write-off) the negative memorandum account balance. They argued that the increased costs outlined in the public consultation document were caused by inefficiency in administering the Act or inaccuracy in calculating the fees. </w:t>
      </w:r>
    </w:p>
    <w:p w14:paraId="1965EAEC" w14:textId="77777777" w:rsidR="005F6EA0" w:rsidRDefault="005F6EA0" w:rsidP="005F6EA0">
      <w:r>
        <w:t xml:space="preserve">The cost increases have been necessary and unavoidable to administer the Act. On this basis, the Government can be assured that the benefits </w:t>
      </w:r>
      <w:r w:rsidRPr="005F6EA0">
        <w:rPr>
          <w:rFonts w:cs="Arial"/>
          <w:color w:val="000000"/>
          <w:szCs w:val="24"/>
        </w:rPr>
        <w:t>of</w:t>
      </w:r>
      <w:r>
        <w:t xml:space="preserve"> administering of the Act are being met at minimum cost. Reducing costs to achieve a reduction in proposed fees would breach the obligation to ensure that the purposes of the Act are being met.</w:t>
      </w:r>
    </w:p>
    <w:p w14:paraId="75F222CB" w14:textId="77777777" w:rsidR="005F6EA0" w:rsidRDefault="005F6EA0" w:rsidP="005F6EA0">
      <w:r>
        <w:lastRenderedPageBreak/>
        <w:t xml:space="preserve">The fees calculated in 2016 did not fully </w:t>
      </w:r>
      <w:proofErr w:type="gramStart"/>
      <w:r>
        <w:t>take into account</w:t>
      </w:r>
      <w:proofErr w:type="gramEnd"/>
      <w:r>
        <w:t xml:space="preserve"> the extent of cost increases that have occurred. However, it is reasonable to argue that the people and organisations that pay fees under the Act </w:t>
      </w:r>
      <w:r w:rsidRPr="005F6EA0">
        <w:rPr>
          <w:rFonts w:cs="Arial"/>
          <w:color w:val="000000"/>
          <w:szCs w:val="24"/>
        </w:rPr>
        <w:t>have</w:t>
      </w:r>
      <w:r>
        <w:t xml:space="preserve"> enjoyed the exclusive benefit of the undertake in fees. </w:t>
      </w:r>
    </w:p>
    <w:p w14:paraId="652DB563" w14:textId="77777777" w:rsidR="005F6EA0" w:rsidRDefault="005F6EA0" w:rsidP="005F6EA0">
      <w:r>
        <w:t xml:space="preserve">No submitters identified a social or cultural goal, over and above the administration of the Act, that justifies Crown funding. </w:t>
      </w:r>
      <w:r w:rsidR="00FD19EB">
        <w:t xml:space="preserve">Crown funding of the memorandum account balance itself, compared to the option of </w:t>
      </w:r>
      <w:r w:rsidR="00B3791C">
        <w:t>source-</w:t>
      </w:r>
      <w:r w:rsidR="00FD19EB">
        <w:t>licence</w:t>
      </w:r>
      <w:r w:rsidR="00B3791C">
        <w:t>-</w:t>
      </w:r>
      <w:r w:rsidR="00FD19EB">
        <w:t>holder</w:t>
      </w:r>
      <w:r w:rsidR="00B3791C">
        <w:t>-</w:t>
      </w:r>
      <w:r w:rsidR="00FD19EB">
        <w:t xml:space="preserve">funding, was considered to breach the principle of justifiability set out in section 92(3)(c) of the Act.  </w:t>
      </w:r>
    </w:p>
    <w:p w14:paraId="259489AF" w14:textId="77777777" w:rsidR="00FD19EB" w:rsidRDefault="005F6EA0" w:rsidP="005F6EA0">
      <w:r>
        <w:t xml:space="preserve">The annual amount of recovery of the negative memorandum account balance is $200,000 or a 9.22 percent premium on source licence fees. Recovery over eight years was chosen </w:t>
      </w:r>
      <w:r w:rsidR="00FD19EB">
        <w:t xml:space="preserve">to </w:t>
      </w:r>
      <w:r>
        <w:t>reduce th</w:t>
      </w:r>
      <w:r w:rsidR="00FD19EB">
        <w:t>e premium</w:t>
      </w:r>
      <w:r>
        <w:t xml:space="preserve"> percentage compared to recovery over a shorter </w:t>
      </w:r>
      <w:proofErr w:type="gramStart"/>
      <w:r>
        <w:t>period of time</w:t>
      </w:r>
      <w:proofErr w:type="gramEnd"/>
      <w:r>
        <w:t xml:space="preserve"> (for example, six years). </w:t>
      </w:r>
      <w:r w:rsidR="00FD19EB">
        <w:t xml:space="preserve">This option </w:t>
      </w:r>
      <w:r w:rsidR="00B3791C">
        <w:t xml:space="preserve">was deemed to be </w:t>
      </w:r>
      <w:r w:rsidR="00FD19EB">
        <w:t>improv</w:t>
      </w:r>
      <w:r w:rsidR="00B3791C">
        <w:t>ing</w:t>
      </w:r>
      <w:r w:rsidR="00FD19EB">
        <w:t xml:space="preserve"> the ease of administration </w:t>
      </w:r>
      <w:r w:rsidR="00B3791C">
        <w:t xml:space="preserve">of the recovery, a principle </w:t>
      </w:r>
      <w:r w:rsidR="00FD19EB">
        <w:t xml:space="preserve">set out in section 92(3)(e) of the Act.  </w:t>
      </w:r>
    </w:p>
    <w:p w14:paraId="4E72B592" w14:textId="77777777" w:rsidR="00FD19EB" w:rsidRDefault="00FD19EB" w:rsidP="00FD19EB">
      <w:pPr>
        <w:rPr>
          <w:rFonts w:cs="Arial"/>
          <w:szCs w:val="24"/>
        </w:rPr>
      </w:pPr>
      <w:r w:rsidRPr="00FD19EB">
        <w:t xml:space="preserve">There is a risk that </w:t>
      </w:r>
      <w:r w:rsidRPr="00FD19EB">
        <w:rPr>
          <w:rFonts w:cs="Arial"/>
          <w:szCs w:val="24"/>
        </w:rPr>
        <w:t xml:space="preserve">proposed recovery of the negative memorandum account balance over eight years </w:t>
      </w:r>
      <w:r>
        <w:rPr>
          <w:rFonts w:cs="Arial"/>
          <w:szCs w:val="24"/>
        </w:rPr>
        <w:t>will unfairly</w:t>
      </w:r>
      <w:r w:rsidRPr="00FD19EB">
        <w:rPr>
          <w:rFonts w:cs="Arial"/>
          <w:szCs w:val="24"/>
        </w:rPr>
        <w:t xml:space="preserve"> </w:t>
      </w:r>
      <w:r>
        <w:rPr>
          <w:rFonts w:cs="Arial"/>
          <w:szCs w:val="24"/>
        </w:rPr>
        <w:t xml:space="preserve">(inequitably) </w:t>
      </w:r>
      <w:r w:rsidRPr="00FD19EB">
        <w:rPr>
          <w:rFonts w:cs="Arial"/>
          <w:szCs w:val="24"/>
        </w:rPr>
        <w:t>captur</w:t>
      </w:r>
      <w:r>
        <w:rPr>
          <w:rFonts w:cs="Arial"/>
          <w:szCs w:val="24"/>
        </w:rPr>
        <w:t>e</w:t>
      </w:r>
      <w:r w:rsidRPr="00FD19EB">
        <w:rPr>
          <w:rFonts w:cs="Arial"/>
          <w:szCs w:val="24"/>
        </w:rPr>
        <w:t xml:space="preserve"> future new licence applicants who would be required to contribute to an </w:t>
      </w:r>
      <w:r w:rsidRPr="00FD19EB">
        <w:t>historical</w:t>
      </w:r>
      <w:r w:rsidRPr="00FD19EB">
        <w:rPr>
          <w:rFonts w:cs="Arial"/>
          <w:szCs w:val="24"/>
        </w:rPr>
        <w:t xml:space="preserve"> under-recovery that they did not participate in. </w:t>
      </w:r>
      <w:r>
        <w:rPr>
          <w:rFonts w:cs="Arial"/>
          <w:szCs w:val="24"/>
        </w:rPr>
        <w:t xml:space="preserve">On this basis, the principle of equity set out in section 92(3)(a) of the Act may be breached.  </w:t>
      </w:r>
    </w:p>
    <w:p w14:paraId="21AC8851" w14:textId="77777777" w:rsidR="00FD19EB" w:rsidRPr="00FD19EB" w:rsidRDefault="00FD19EB" w:rsidP="00FD19EB">
      <w:pPr>
        <w:rPr>
          <w:rFonts w:cs="Arial"/>
          <w:szCs w:val="24"/>
        </w:rPr>
      </w:pPr>
      <w:r>
        <w:rPr>
          <w:rFonts w:cs="Arial"/>
          <w:szCs w:val="24"/>
        </w:rPr>
        <w:t xml:space="preserve">Approximately five percent of source licence applications are anticipated to be new applications (95 percent renewals). Some of the new applications are expected to be from applicants that have lapsed their licence, are former licence holders, or are existing licence holders applying for a new practice or location </w:t>
      </w:r>
      <w:r w:rsidR="00B3791C">
        <w:rPr>
          <w:rFonts w:cs="Arial"/>
          <w:szCs w:val="24"/>
        </w:rPr>
        <w:t xml:space="preserve">where </w:t>
      </w:r>
      <w:r>
        <w:rPr>
          <w:rFonts w:cs="Arial"/>
          <w:szCs w:val="24"/>
        </w:rPr>
        <w:t xml:space="preserve">a variation is not appropriate. On this basis, it is reasonable to estimate that 2.5 percent of source </w:t>
      </w:r>
      <w:r w:rsidRPr="00FD19EB">
        <w:rPr>
          <w:rFonts w:cs="Arial"/>
          <w:szCs w:val="24"/>
        </w:rPr>
        <w:t xml:space="preserve">licence holders in eight years would be new entrants to the market.  </w:t>
      </w:r>
    </w:p>
    <w:p w14:paraId="72F662F0" w14:textId="77777777" w:rsidR="00FD19EB" w:rsidRDefault="00FD19EB" w:rsidP="00FD19EB">
      <w:pPr>
        <w:rPr>
          <w:rFonts w:cs="Arial"/>
          <w:szCs w:val="24"/>
        </w:rPr>
      </w:pPr>
      <w:r w:rsidRPr="00FD19EB">
        <w:rPr>
          <w:rFonts w:cs="Arial"/>
          <w:szCs w:val="24"/>
        </w:rPr>
        <w:t>Establishing a fee type for new entrants to the market was considered impracticab</w:t>
      </w:r>
      <w:r>
        <w:rPr>
          <w:rFonts w:cs="Arial"/>
          <w:szCs w:val="24"/>
        </w:rPr>
        <w:t xml:space="preserve">le. The fee type would need to apply to new and renewal applications for eight years and would need to discriminate on the basis </w:t>
      </w:r>
      <w:r w:rsidR="00B3791C">
        <w:rPr>
          <w:rFonts w:cs="Arial"/>
          <w:szCs w:val="24"/>
        </w:rPr>
        <w:t>that</w:t>
      </w:r>
      <w:r>
        <w:rPr>
          <w:rFonts w:cs="Arial"/>
          <w:szCs w:val="24"/>
        </w:rPr>
        <w:t xml:space="preserve"> people and organisations had not participated in the past. Given the small size of this group and the relatively low impact of the fee portion on the overall fee, it was deemed that generally, and to the extent practicable, the risk that the recovery of the memorandum account balance was unfair has be</w:t>
      </w:r>
      <w:r w:rsidR="00B3791C">
        <w:rPr>
          <w:rFonts w:cs="Arial"/>
          <w:szCs w:val="24"/>
        </w:rPr>
        <w:t>e</w:t>
      </w:r>
      <w:r>
        <w:rPr>
          <w:rFonts w:cs="Arial"/>
          <w:szCs w:val="24"/>
        </w:rPr>
        <w:t xml:space="preserve">n minimised. </w:t>
      </w:r>
    </w:p>
    <w:p w14:paraId="713E9762" w14:textId="77777777" w:rsidR="00B3791C" w:rsidRPr="00B3791C" w:rsidRDefault="00B3791C" w:rsidP="00FD19EB">
      <w:r>
        <w:t>The overall amount of recovery over eight years ($1.6 million) was not considered to be a significant amount compared to the overall operating costs of providing safe services th</w:t>
      </w:r>
      <w:r w:rsidR="00E46D62">
        <w:t>at</w:t>
      </w:r>
      <w:r>
        <w:t xml:space="preserve"> use ionising radiation safety. On this basis, the overall amount of recovery sought is likely to have a low impact and the </w:t>
      </w:r>
      <w:r w:rsidR="00B774C7">
        <w:t>basis</w:t>
      </w:r>
      <w:r>
        <w:t xml:space="preserve"> for partial funding from general taxation (to write-off the balance) is correspondingly low.    </w:t>
      </w:r>
    </w:p>
    <w:p w14:paraId="094270BC" w14:textId="77777777" w:rsidR="004D17AB" w:rsidRPr="004D17AB" w:rsidRDefault="004D17AB" w:rsidP="004D17AB">
      <w:pPr>
        <w:rPr>
          <w:u w:val="single"/>
        </w:rPr>
      </w:pPr>
      <w:r w:rsidRPr="004D17AB">
        <w:rPr>
          <w:u w:val="single"/>
        </w:rPr>
        <w:t>Cost recovery method</w:t>
      </w:r>
    </w:p>
    <w:p w14:paraId="54EB7F96" w14:textId="77777777" w:rsidR="004D17AB" w:rsidRDefault="004D17AB" w:rsidP="004D17AB">
      <w:r>
        <w:t xml:space="preserve">The preferred option (the status quo) of full cost recovery has been chosen.  </w:t>
      </w:r>
    </w:p>
    <w:p w14:paraId="698A8C89" w14:textId="77777777" w:rsidR="004D17AB" w:rsidRDefault="004D17AB" w:rsidP="004D17AB">
      <w:pPr>
        <w:rPr>
          <w:rFonts w:cs="Arial"/>
          <w:color w:val="000000"/>
          <w:szCs w:val="24"/>
        </w:rPr>
      </w:pPr>
      <w:r>
        <w:rPr>
          <w:rFonts w:cs="Arial"/>
          <w:color w:val="000000"/>
          <w:szCs w:val="24"/>
        </w:rPr>
        <w:lastRenderedPageBreak/>
        <w:t>The alternative option of cross subsiding or partial Crown funding of cost recovery on safety grounds was considered</w:t>
      </w:r>
      <w:r w:rsidR="005F6EA0">
        <w:rPr>
          <w:rFonts w:cs="Arial"/>
          <w:color w:val="000000"/>
          <w:szCs w:val="24"/>
        </w:rPr>
        <w:t xml:space="preserve"> </w:t>
      </w:r>
      <w:r>
        <w:rPr>
          <w:rFonts w:cs="Arial"/>
          <w:color w:val="000000"/>
          <w:szCs w:val="24"/>
        </w:rPr>
        <w:t xml:space="preserve">but has not been adopted. The argument that a social or cultural goal should be funded by the Crown, over and above administering the Act, is not sustainable. The argument that the level of the proposed fees could incentivise cost avoidance that might undermine the safety purposes of the Act is worth monitoring, particularly for use licence fees.  </w:t>
      </w:r>
    </w:p>
    <w:p w14:paraId="033E44F5" w14:textId="77777777" w:rsidR="004D17AB" w:rsidRDefault="004D17AB" w:rsidP="004D17AB">
      <w:pPr>
        <w:rPr>
          <w:rFonts w:cs="Arial"/>
          <w:color w:val="000000"/>
          <w:szCs w:val="24"/>
        </w:rPr>
      </w:pPr>
      <w:r>
        <w:rPr>
          <w:rFonts w:cs="Arial"/>
          <w:color w:val="000000"/>
          <w:szCs w:val="24"/>
        </w:rPr>
        <w:t xml:space="preserve">However, at the proposed level of fees relative to the operating costs associated with providing services that use ionising radiation, this risk that the fees are too high to be safe has been assessed as being low. </w:t>
      </w:r>
    </w:p>
    <w:p w14:paraId="06E80EAC" w14:textId="77777777" w:rsidR="004D17AB" w:rsidRDefault="004D17AB" w:rsidP="004D17AB">
      <w:r>
        <w:rPr>
          <w:rFonts w:cs="Arial"/>
          <w:color w:val="000000"/>
          <w:szCs w:val="24"/>
        </w:rPr>
        <w:t xml:space="preserve">These options meet the full recovery objectives of the 2016 RIS.  </w:t>
      </w:r>
    </w:p>
    <w:p w14:paraId="0F87A1A6" w14:textId="77777777" w:rsidR="004D17AB" w:rsidRPr="004D17AB" w:rsidRDefault="004D17AB" w:rsidP="004D17AB">
      <w:pPr>
        <w:rPr>
          <w:u w:val="single"/>
        </w:rPr>
      </w:pPr>
      <w:r w:rsidRPr="004D17AB">
        <w:rPr>
          <w:u w:val="single"/>
        </w:rPr>
        <w:t>Impact</w:t>
      </w:r>
    </w:p>
    <w:p w14:paraId="61511A83" w14:textId="77777777" w:rsidR="00012FF3" w:rsidRPr="00012FF3" w:rsidRDefault="00012FF3" w:rsidP="00397B37">
      <w:r>
        <w:t>The propos</w:t>
      </w:r>
      <w:r w:rsidR="00AC76B0">
        <w:t>al of full cost recovery in</w:t>
      </w:r>
      <w:r>
        <w:t xml:space="preserve"> new fees would affect approximately 3,690 current authorisation holders. </w:t>
      </w:r>
    </w:p>
    <w:p w14:paraId="7F72ED8A" w14:textId="77777777" w:rsidR="00397B37" w:rsidRDefault="00397B37" w:rsidP="00397B37">
      <w:pPr>
        <w:rPr>
          <w:rFonts w:cs="Arial"/>
          <w:szCs w:val="24"/>
        </w:rPr>
      </w:pPr>
      <w:r w:rsidRPr="00474511">
        <w:rPr>
          <w:rFonts w:cs="Arial"/>
          <w:szCs w:val="24"/>
        </w:rPr>
        <w:t xml:space="preserve">For large organisations paying the highest fees the proposed fees </w:t>
      </w:r>
      <w:r>
        <w:rPr>
          <w:rFonts w:cs="Arial"/>
          <w:szCs w:val="24"/>
        </w:rPr>
        <w:t>increase would not be</w:t>
      </w:r>
      <w:r w:rsidRPr="00474511">
        <w:rPr>
          <w:rFonts w:cs="Arial"/>
          <w:szCs w:val="24"/>
        </w:rPr>
        <w:t xml:space="preserve"> significant</w:t>
      </w:r>
      <w:r>
        <w:rPr>
          <w:rFonts w:cs="Arial"/>
          <w:szCs w:val="24"/>
        </w:rPr>
        <w:t xml:space="preserve"> compared to operating costs</w:t>
      </w:r>
      <w:r w:rsidRPr="00474511">
        <w:rPr>
          <w:rFonts w:cs="Arial"/>
          <w:szCs w:val="24"/>
        </w:rPr>
        <w:t xml:space="preserve">. Organisations in this category include </w:t>
      </w:r>
      <w:r>
        <w:rPr>
          <w:rFonts w:cs="Arial"/>
          <w:szCs w:val="24"/>
        </w:rPr>
        <w:t xml:space="preserve">heavy industry, mining, oil and gas operators, </w:t>
      </w:r>
      <w:r w:rsidRPr="00474511">
        <w:rPr>
          <w:rFonts w:cs="Arial"/>
          <w:szCs w:val="24"/>
        </w:rPr>
        <w:t>private hospitals and radiology providers, the New Zealand Blood Service</w:t>
      </w:r>
      <w:r>
        <w:rPr>
          <w:rFonts w:cs="Arial"/>
          <w:szCs w:val="24"/>
        </w:rPr>
        <w:t xml:space="preserve">, </w:t>
      </w:r>
      <w:r w:rsidRPr="00474511">
        <w:rPr>
          <w:rFonts w:cs="Arial"/>
          <w:szCs w:val="24"/>
        </w:rPr>
        <w:t>industrial irradiat</w:t>
      </w:r>
      <w:r>
        <w:rPr>
          <w:rFonts w:cs="Arial"/>
          <w:szCs w:val="24"/>
        </w:rPr>
        <w:t>ion service providers</w:t>
      </w:r>
      <w:r w:rsidRPr="00474511">
        <w:rPr>
          <w:rFonts w:cs="Arial"/>
          <w:szCs w:val="24"/>
        </w:rPr>
        <w:t xml:space="preserve">, </w:t>
      </w:r>
      <w:r>
        <w:rPr>
          <w:rFonts w:cs="Arial"/>
          <w:szCs w:val="24"/>
        </w:rPr>
        <w:t>testing service provers, some</w:t>
      </w:r>
      <w:r w:rsidRPr="00474511">
        <w:rPr>
          <w:rFonts w:cs="Arial"/>
          <w:szCs w:val="24"/>
        </w:rPr>
        <w:t xml:space="preserve"> research </w:t>
      </w:r>
      <w:proofErr w:type="gramStart"/>
      <w:r w:rsidRPr="00474511">
        <w:rPr>
          <w:rFonts w:cs="Arial"/>
          <w:szCs w:val="24"/>
        </w:rPr>
        <w:t>institutes</w:t>
      </w:r>
      <w:proofErr w:type="gramEnd"/>
      <w:r w:rsidRPr="00474511">
        <w:rPr>
          <w:rFonts w:cs="Arial"/>
          <w:szCs w:val="24"/>
        </w:rPr>
        <w:t xml:space="preserve"> and universities. </w:t>
      </w:r>
    </w:p>
    <w:p w14:paraId="770FB679" w14:textId="77777777" w:rsidR="00397B37" w:rsidRDefault="00397B37" w:rsidP="00397B37">
      <w:pPr>
        <w:rPr>
          <w:rFonts w:cs="Arial"/>
          <w:szCs w:val="24"/>
        </w:rPr>
      </w:pPr>
      <w:r>
        <w:t xml:space="preserve">Te </w:t>
      </w:r>
      <w:proofErr w:type="spellStart"/>
      <w:r>
        <w:t>Whatu</w:t>
      </w:r>
      <w:proofErr w:type="spellEnd"/>
      <w:r>
        <w:t xml:space="preserve"> Ora – Health New Zealand is the single largest fee payer. It is estimated that Te </w:t>
      </w:r>
      <w:proofErr w:type="spellStart"/>
      <w:r>
        <w:t>Whatu</w:t>
      </w:r>
      <w:proofErr w:type="spellEnd"/>
      <w:r>
        <w:t xml:space="preserve"> Ora w</w:t>
      </w:r>
      <w:r w:rsidR="00012FF3">
        <w:t>ould</w:t>
      </w:r>
      <w:r>
        <w:t xml:space="preserve"> pay an additional $9</w:t>
      </w:r>
      <w:r w:rsidR="00012FF3">
        <w:t>3</w:t>
      </w:r>
      <w:r>
        <w:t xml:space="preserve">,000 per year </w:t>
      </w:r>
      <w:proofErr w:type="gramStart"/>
      <w:r>
        <w:t>as a result of</w:t>
      </w:r>
      <w:proofErr w:type="gramEnd"/>
      <w:r>
        <w:t xml:space="preserve"> the fees increase (up from $6</w:t>
      </w:r>
      <w:r w:rsidR="00012FF3">
        <w:t>6</w:t>
      </w:r>
      <w:r>
        <w:t>,00</w:t>
      </w:r>
      <w:r w:rsidR="00012FF3">
        <w:t>0</w:t>
      </w:r>
      <w:r>
        <w:t xml:space="preserve"> to $159,000).  </w:t>
      </w:r>
    </w:p>
    <w:p w14:paraId="30D83D2A" w14:textId="77777777" w:rsidR="00397B37" w:rsidRDefault="00397B37" w:rsidP="00397B37">
      <w:pPr>
        <w:rPr>
          <w:rFonts w:cs="Arial"/>
          <w:szCs w:val="24"/>
        </w:rPr>
      </w:pPr>
      <w:r w:rsidRPr="00474511">
        <w:rPr>
          <w:rFonts w:cs="Arial"/>
          <w:szCs w:val="24"/>
        </w:rPr>
        <w:t>S</w:t>
      </w:r>
      <w:r>
        <w:rPr>
          <w:rFonts w:cs="Arial"/>
          <w:szCs w:val="24"/>
        </w:rPr>
        <w:t>ole charge operators and s</w:t>
      </w:r>
      <w:r w:rsidRPr="00474511">
        <w:rPr>
          <w:rFonts w:cs="Arial"/>
          <w:szCs w:val="24"/>
        </w:rPr>
        <w:t xml:space="preserve">maller </w:t>
      </w:r>
      <w:r>
        <w:rPr>
          <w:rFonts w:cs="Arial"/>
          <w:szCs w:val="24"/>
        </w:rPr>
        <w:t>businesses</w:t>
      </w:r>
      <w:r w:rsidRPr="00474511">
        <w:rPr>
          <w:rFonts w:cs="Arial"/>
          <w:szCs w:val="24"/>
        </w:rPr>
        <w:t xml:space="preserve"> </w:t>
      </w:r>
      <w:r>
        <w:rPr>
          <w:rFonts w:cs="Arial"/>
          <w:szCs w:val="24"/>
        </w:rPr>
        <w:t>w</w:t>
      </w:r>
      <w:r w:rsidR="00012FF3">
        <w:rPr>
          <w:rFonts w:cs="Arial"/>
          <w:szCs w:val="24"/>
        </w:rPr>
        <w:t>ould</w:t>
      </w:r>
      <w:r>
        <w:rPr>
          <w:rFonts w:cs="Arial"/>
          <w:szCs w:val="24"/>
        </w:rPr>
        <w:t xml:space="preserve"> experience the largest impact because fees (and the risks that need to be managed) do not differentiate </w:t>
      </w:r>
      <w:proofErr w:type="gramStart"/>
      <w:r>
        <w:rPr>
          <w:rFonts w:cs="Arial"/>
          <w:szCs w:val="24"/>
        </w:rPr>
        <w:t>on the basis of</w:t>
      </w:r>
      <w:proofErr w:type="gramEnd"/>
      <w:r>
        <w:rPr>
          <w:rFonts w:cs="Arial"/>
          <w:szCs w:val="24"/>
        </w:rPr>
        <w:t xml:space="preserve"> business size. Organisations in these categories include </w:t>
      </w:r>
      <w:r w:rsidRPr="00443415">
        <w:rPr>
          <w:rFonts w:cs="Arial"/>
          <w:szCs w:val="24"/>
        </w:rPr>
        <w:t>many</w:t>
      </w:r>
      <w:r w:rsidRPr="000579FD">
        <w:rPr>
          <w:rFonts w:cs="Arial"/>
          <w:szCs w:val="24"/>
        </w:rPr>
        <w:t xml:space="preserve"> </w:t>
      </w:r>
      <w:r>
        <w:rPr>
          <w:rFonts w:cs="Arial"/>
          <w:szCs w:val="24"/>
        </w:rPr>
        <w:t xml:space="preserve">private dentists, </w:t>
      </w:r>
      <w:proofErr w:type="gramStart"/>
      <w:r>
        <w:rPr>
          <w:rFonts w:cs="Arial"/>
          <w:szCs w:val="24"/>
        </w:rPr>
        <w:t>chiropractors</w:t>
      </w:r>
      <w:proofErr w:type="gramEnd"/>
      <w:r>
        <w:rPr>
          <w:rFonts w:cs="Arial"/>
          <w:szCs w:val="24"/>
        </w:rPr>
        <w:t xml:space="preserve"> </w:t>
      </w:r>
      <w:r w:rsidRPr="00443415">
        <w:rPr>
          <w:rFonts w:cs="Arial"/>
          <w:szCs w:val="24"/>
        </w:rPr>
        <w:t xml:space="preserve">and </w:t>
      </w:r>
      <w:r>
        <w:rPr>
          <w:rFonts w:cs="Arial"/>
          <w:szCs w:val="24"/>
        </w:rPr>
        <w:t xml:space="preserve">smaller </w:t>
      </w:r>
      <w:r w:rsidRPr="00443415">
        <w:rPr>
          <w:rFonts w:cs="Arial"/>
          <w:szCs w:val="24"/>
        </w:rPr>
        <w:t>veterinarian</w:t>
      </w:r>
      <w:r>
        <w:rPr>
          <w:rFonts w:cs="Arial"/>
          <w:szCs w:val="24"/>
        </w:rPr>
        <w:t xml:space="preserve"> businesses.  </w:t>
      </w:r>
    </w:p>
    <w:p w14:paraId="72AF3BD0" w14:textId="77777777" w:rsidR="00397B37" w:rsidRDefault="00397B37" w:rsidP="00397B37">
      <w:r>
        <w:t>A dental practice operating an X-ray unit only w</w:t>
      </w:r>
      <w:r w:rsidR="00012FF3">
        <w:t>ould</w:t>
      </w:r>
      <w:r>
        <w:t xml:space="preserve"> pay an additional $396 per year. A chiropractor operating an X-ray unit or a veterinarian operating an X-ray unit only would pay an additional $439 per year. These costs are likely to be passed on quickly to consumers. </w:t>
      </w:r>
    </w:p>
    <w:p w14:paraId="4796864F" w14:textId="77777777" w:rsidR="00397B37" w:rsidRDefault="00397B37" w:rsidP="00397B37">
      <w:r>
        <w:t xml:space="preserve">Other fee payers include private </w:t>
      </w:r>
      <w:r w:rsidRPr="00474511">
        <w:rPr>
          <w:rFonts w:cs="Arial"/>
          <w:szCs w:val="24"/>
        </w:rPr>
        <w:t>health services in primary health care</w:t>
      </w:r>
      <w:r>
        <w:rPr>
          <w:rFonts w:cs="Arial"/>
          <w:szCs w:val="24"/>
        </w:rPr>
        <w:t xml:space="preserve">, breast screening providers, </w:t>
      </w:r>
      <w:proofErr w:type="gramStart"/>
      <w:r>
        <w:rPr>
          <w:rFonts w:cs="Arial"/>
          <w:szCs w:val="24"/>
        </w:rPr>
        <w:t>border</w:t>
      </w:r>
      <w:proofErr w:type="gramEnd"/>
      <w:r>
        <w:rPr>
          <w:rFonts w:cs="Arial"/>
          <w:szCs w:val="24"/>
        </w:rPr>
        <w:t xml:space="preserve"> and security services (such as baggage screening), some agricultural users, and engineering service providers (such as ground testing).  </w:t>
      </w:r>
    </w:p>
    <w:p w14:paraId="74AB6654" w14:textId="77777777" w:rsidR="00397B37" w:rsidRDefault="00CB5933" w:rsidP="00397B37">
      <w:proofErr w:type="gramStart"/>
      <w:r>
        <w:t>The majority of</w:t>
      </w:r>
      <w:proofErr w:type="gramEnd"/>
      <w:r>
        <w:t xml:space="preserve"> fees payers</w:t>
      </w:r>
      <w:r w:rsidR="00B13956">
        <w:t xml:space="preserve"> </w:t>
      </w:r>
      <w:r w:rsidR="00397B37">
        <w:t xml:space="preserve">receive </w:t>
      </w:r>
      <w:r w:rsidR="00B13956">
        <w:t xml:space="preserve">at least some </w:t>
      </w:r>
      <w:r w:rsidR="00397B37">
        <w:t xml:space="preserve">Crown funding </w:t>
      </w:r>
      <w:r w:rsidR="00B13956">
        <w:t>for their operation</w:t>
      </w:r>
      <w:r w:rsidR="00397B37">
        <w:t xml:space="preserve">.  </w:t>
      </w:r>
    </w:p>
    <w:p w14:paraId="6E81985A" w14:textId="77777777" w:rsidR="004D17AB" w:rsidRPr="004D17AB" w:rsidRDefault="004D17AB" w:rsidP="00397B37">
      <w:pPr>
        <w:rPr>
          <w:b/>
          <w:bCs/>
        </w:rPr>
      </w:pPr>
      <w:r w:rsidRPr="004D17AB">
        <w:rPr>
          <w:b/>
          <w:bCs/>
        </w:rPr>
        <w:t xml:space="preserve">Proposed changes to fees structure </w:t>
      </w:r>
    </w:p>
    <w:p w14:paraId="7CBEAE00" w14:textId="77777777" w:rsidR="004D17AB" w:rsidRPr="004D17AB" w:rsidRDefault="004D17AB" w:rsidP="00397B37">
      <w:pPr>
        <w:rPr>
          <w:u w:val="single"/>
        </w:rPr>
      </w:pPr>
      <w:r w:rsidRPr="004D17AB">
        <w:rPr>
          <w:u w:val="single"/>
        </w:rPr>
        <w:t>Different fees for licence renewals</w:t>
      </w:r>
    </w:p>
    <w:p w14:paraId="3A263933" w14:textId="77777777" w:rsidR="004D17AB" w:rsidRDefault="004D17AB" w:rsidP="00397B37">
      <w:r>
        <w:t xml:space="preserve">The preferred option to adopt different (lower) fees for </w:t>
      </w:r>
      <w:r w:rsidR="0092490F">
        <w:t xml:space="preserve">licence </w:t>
      </w:r>
      <w:r>
        <w:t xml:space="preserve">renewal applications </w:t>
      </w:r>
      <w:r w:rsidR="0092490F">
        <w:t xml:space="preserve">(compared to new applications) </w:t>
      </w:r>
      <w:r>
        <w:t xml:space="preserve">has been chosen. The status quo option (and alternative option) was to retain </w:t>
      </w:r>
      <w:r w:rsidR="0092490F">
        <w:t xml:space="preserve">one fee for all licence applications.  </w:t>
      </w:r>
    </w:p>
    <w:p w14:paraId="676D3576" w14:textId="77777777" w:rsidR="0092490F" w:rsidRDefault="0092490F" w:rsidP="00397B37">
      <w:r>
        <w:lastRenderedPageBreak/>
        <w:t xml:space="preserve">Approximately five percent of source applications and approximately 10 percent of use licence applications are for new licences. These applications require additional assessment and technical advice to determine as opposed to renewal applications.  </w:t>
      </w:r>
    </w:p>
    <w:p w14:paraId="63A8EB33" w14:textId="77777777" w:rsidR="0092490F" w:rsidRDefault="0092490F" w:rsidP="00397B37">
      <w:r>
        <w:t>The imp</w:t>
      </w:r>
      <w:r w:rsidR="00497F45">
        <w:t>a</w:t>
      </w:r>
      <w:r>
        <w:t xml:space="preserve">ct </w:t>
      </w:r>
      <w:r w:rsidR="00497F45">
        <w:t>is</w:t>
      </w:r>
      <w:r>
        <w:t xml:space="preserve"> that application fees would be allocated in better proportion to the costs that they recover.</w:t>
      </w:r>
    </w:p>
    <w:p w14:paraId="6253DC9E" w14:textId="77777777" w:rsidR="0092490F" w:rsidRPr="0092490F" w:rsidRDefault="0092490F" w:rsidP="00397B37">
      <w:pPr>
        <w:rPr>
          <w:u w:val="single"/>
        </w:rPr>
      </w:pPr>
      <w:r w:rsidRPr="0092490F">
        <w:rPr>
          <w:u w:val="single"/>
        </w:rPr>
        <w:t>Refunds</w:t>
      </w:r>
    </w:p>
    <w:p w14:paraId="4643721D" w14:textId="77777777" w:rsidR="0092490F" w:rsidRDefault="0092490F" w:rsidP="00397B37">
      <w:r>
        <w:t xml:space="preserve">The preferred option to amend source licence refund provisions to support the fees increase and adoption of different fees for renewal applications was chosen.  </w:t>
      </w:r>
    </w:p>
    <w:p w14:paraId="247D9EC6" w14:textId="77777777" w:rsidR="00563704" w:rsidRDefault="0092490F" w:rsidP="00397B37">
      <w:r>
        <w:t>The status quo option was chosen for refund</w:t>
      </w:r>
      <w:r w:rsidR="00563704">
        <w:t>s</w:t>
      </w:r>
      <w:r>
        <w:t xml:space="preserve"> o</w:t>
      </w:r>
      <w:r w:rsidR="00497F45">
        <w:t>f</w:t>
      </w:r>
      <w:r>
        <w:t xml:space="preserve"> use licence and consent fees. Th</w:t>
      </w:r>
      <w:r w:rsidR="00497F45">
        <w:t>is option</w:t>
      </w:r>
      <w:r>
        <w:t xml:space="preserve"> retains the existing practice of providing a full refund when these types of applications are declined.</w:t>
      </w:r>
      <w:r w:rsidR="00563704">
        <w:t xml:space="preserve"> This change was made to ensure </w:t>
      </w:r>
      <w:r w:rsidR="004612B3">
        <w:t xml:space="preserve">an amount of </w:t>
      </w:r>
      <w:r w:rsidR="00563704">
        <w:t xml:space="preserve">proportionality could be maintained. The portion of the application fees that would be retained to achieve full cost recovery consisted of almost all the application </w:t>
      </w:r>
      <w:proofErr w:type="gramStart"/>
      <w:r w:rsidR="00563704">
        <w:t>fee</w:t>
      </w:r>
      <w:proofErr w:type="gramEnd"/>
      <w:r w:rsidR="00563704">
        <w:t xml:space="preserve">. </w:t>
      </w:r>
    </w:p>
    <w:p w14:paraId="0240DC6A" w14:textId="77777777" w:rsidR="0092490F" w:rsidRDefault="00563704" w:rsidP="00397B37">
      <w:r>
        <w:t>The impact of this change ensures that relatively high proportions of the fees paid for declined applications are refunded. This recognises that there is value in receiving and considering applications</w:t>
      </w:r>
      <w:r w:rsidR="004612B3">
        <w:t xml:space="preserve"> </w:t>
      </w:r>
      <w:r>
        <w:t xml:space="preserve">that may not be able to be granted.  </w:t>
      </w:r>
    </w:p>
    <w:p w14:paraId="0D5470C1" w14:textId="77777777" w:rsidR="004612B3" w:rsidRPr="004612B3" w:rsidRDefault="004612B3" w:rsidP="00397B37">
      <w:pPr>
        <w:rPr>
          <w:u w:val="single"/>
        </w:rPr>
      </w:pPr>
      <w:r w:rsidRPr="004612B3">
        <w:rPr>
          <w:u w:val="single"/>
        </w:rPr>
        <w:t xml:space="preserve">Determining the source licence fee payable </w:t>
      </w:r>
      <w:r>
        <w:rPr>
          <w:u w:val="single"/>
        </w:rPr>
        <w:t xml:space="preserve">(compliance monitoring categories) </w:t>
      </w:r>
    </w:p>
    <w:p w14:paraId="7B764FF6" w14:textId="77777777" w:rsidR="00397B37" w:rsidRDefault="004612B3" w:rsidP="00397B37">
      <w:r>
        <w:t xml:space="preserve">The preferred option of re-categorising the practices listed in Schedule 2 of the Regulations was chosen. This option </w:t>
      </w:r>
      <w:r w:rsidR="00397B37">
        <w:t>improve</w:t>
      </w:r>
      <w:r>
        <w:t>s</w:t>
      </w:r>
      <w:r w:rsidR="00397B37">
        <w:t xml:space="preserve"> the proportionality of the Regulations by ensuring that fees are paid in relation to the costs of inspection. </w:t>
      </w:r>
    </w:p>
    <w:p w14:paraId="04E69BE1" w14:textId="77777777" w:rsidR="004F4910" w:rsidRDefault="004F4910" w:rsidP="00397B37">
      <w:r>
        <w:t xml:space="preserve">The status quo option was not considered </w:t>
      </w:r>
      <w:r w:rsidR="00C2693C">
        <w:t>proportionate,</w:t>
      </w:r>
      <w:r>
        <w:t xml:space="preserve"> and no alternative options were considered.  </w:t>
      </w:r>
    </w:p>
    <w:p w14:paraId="1DF6B353" w14:textId="77777777" w:rsidR="00397B37" w:rsidRDefault="00397B37" w:rsidP="00397B37">
      <w:r>
        <w:t xml:space="preserve">The </w:t>
      </w:r>
      <w:r w:rsidRPr="00397B37">
        <w:rPr>
          <w:rFonts w:cs="Arial"/>
          <w:szCs w:val="24"/>
        </w:rPr>
        <w:t>proposals</w:t>
      </w:r>
      <w:r>
        <w:t xml:space="preserve"> would reduce source licence fees and inspection frequencies for:</w:t>
      </w:r>
    </w:p>
    <w:p w14:paraId="1C4A2D8E" w14:textId="77777777" w:rsidR="00397B37" w:rsidRDefault="00397B37" w:rsidP="005F3678">
      <w:pPr>
        <w:pStyle w:val="ListParagraph"/>
        <w:numPr>
          <w:ilvl w:val="0"/>
          <w:numId w:val="11"/>
        </w:numPr>
        <w:spacing w:after="80"/>
        <w:ind w:left="425" w:hanging="357"/>
        <w:contextualSpacing w:val="0"/>
      </w:pPr>
      <w:r w:rsidRPr="00397B37">
        <w:rPr>
          <w:rFonts w:cs="Arial"/>
          <w:szCs w:val="24"/>
        </w:rPr>
        <w:t>dentists</w:t>
      </w:r>
      <w:r>
        <w:t xml:space="preserve"> using cone beam computed tomography (approx</w:t>
      </w:r>
      <w:r w:rsidR="001054A0">
        <w:t>imately</w:t>
      </w:r>
      <w:r>
        <w:t xml:space="preserve"> 231 licences)</w:t>
      </w:r>
    </w:p>
    <w:p w14:paraId="64C24F1D" w14:textId="77777777" w:rsidR="00397B37" w:rsidRDefault="00397B37" w:rsidP="005F3678">
      <w:pPr>
        <w:pStyle w:val="ListParagraph"/>
        <w:numPr>
          <w:ilvl w:val="0"/>
          <w:numId w:val="11"/>
        </w:numPr>
        <w:ind w:left="426"/>
      </w:pPr>
      <w:r>
        <w:t xml:space="preserve">industrial </w:t>
      </w:r>
      <w:r w:rsidRPr="00397B37">
        <w:rPr>
          <w:rFonts w:cs="Arial"/>
          <w:szCs w:val="24"/>
        </w:rPr>
        <w:t>radiographers</w:t>
      </w:r>
      <w:r>
        <w:t xml:space="preserve"> using X-ray only (</w:t>
      </w:r>
      <w:r w:rsidR="001054A0">
        <w:t xml:space="preserve">approximately </w:t>
      </w:r>
      <w:r>
        <w:t xml:space="preserve">25 licences) </w:t>
      </w:r>
    </w:p>
    <w:p w14:paraId="0D620406" w14:textId="77777777" w:rsidR="00397B37" w:rsidRDefault="00397B37" w:rsidP="00397B37">
      <w:r>
        <w:t>The proposals set out in appendix 1 would increase source licence fees and inspection frequencies for:</w:t>
      </w:r>
    </w:p>
    <w:p w14:paraId="044110A8" w14:textId="77777777" w:rsidR="00397B37" w:rsidRDefault="00397B37" w:rsidP="005F3678">
      <w:pPr>
        <w:pStyle w:val="ListParagraph"/>
        <w:numPr>
          <w:ilvl w:val="0"/>
          <w:numId w:val="12"/>
        </w:numPr>
        <w:spacing w:after="80"/>
        <w:ind w:left="425" w:hanging="357"/>
        <w:contextualSpacing w:val="0"/>
      </w:pPr>
      <w:r>
        <w:t xml:space="preserve">using fixed </w:t>
      </w:r>
      <w:r w:rsidRPr="00397B37">
        <w:rPr>
          <w:rFonts w:cs="Arial"/>
          <w:szCs w:val="24"/>
        </w:rPr>
        <w:t>nuclear</w:t>
      </w:r>
      <w:r>
        <w:t xml:space="preserve"> gauges (eg, large scale processing and mining) (</w:t>
      </w:r>
      <w:r w:rsidR="001054A0">
        <w:t xml:space="preserve">approximately </w:t>
      </w:r>
      <w:r>
        <w:t xml:space="preserve">73 licences) </w:t>
      </w:r>
    </w:p>
    <w:p w14:paraId="4F28B288" w14:textId="77777777" w:rsidR="00397B37" w:rsidRDefault="00397B37" w:rsidP="005F3678">
      <w:pPr>
        <w:pStyle w:val="ListParagraph"/>
        <w:numPr>
          <w:ilvl w:val="0"/>
          <w:numId w:val="12"/>
        </w:numPr>
        <w:spacing w:after="80"/>
        <w:ind w:left="425" w:hanging="357"/>
        <w:contextualSpacing w:val="0"/>
      </w:pPr>
      <w:r>
        <w:t>using irradiating apparatuses for human imaging for non-medical purposes (eg, security inspections) (1 licence)</w:t>
      </w:r>
    </w:p>
    <w:p w14:paraId="6755D968" w14:textId="77777777" w:rsidR="00241405" w:rsidRDefault="00397B37" w:rsidP="005F3678">
      <w:pPr>
        <w:pStyle w:val="ListParagraph"/>
        <w:numPr>
          <w:ilvl w:val="0"/>
          <w:numId w:val="12"/>
        </w:numPr>
        <w:spacing w:after="80"/>
        <w:ind w:left="425" w:hanging="357"/>
        <w:contextualSpacing w:val="0"/>
      </w:pPr>
      <w:r>
        <w:t xml:space="preserve">using </w:t>
      </w:r>
      <w:r w:rsidR="0063107F">
        <w:t>particle</w:t>
      </w:r>
      <w:r>
        <w:t xml:space="preserve"> </w:t>
      </w:r>
      <w:r w:rsidRPr="00397B37">
        <w:rPr>
          <w:rFonts w:cs="Arial"/>
          <w:szCs w:val="24"/>
        </w:rPr>
        <w:t>accelerators</w:t>
      </w:r>
      <w:r>
        <w:t xml:space="preserve"> for non-medical purposes (eg, large scale inspections, manufacturing) (</w:t>
      </w:r>
      <w:r w:rsidR="001054A0">
        <w:t xml:space="preserve">approximately </w:t>
      </w:r>
      <w:r>
        <w:t>6 licences)</w:t>
      </w:r>
    </w:p>
    <w:p w14:paraId="638247FD" w14:textId="77777777" w:rsidR="00397B37" w:rsidRDefault="00241405" w:rsidP="005F3678">
      <w:pPr>
        <w:pStyle w:val="ListParagraph"/>
        <w:numPr>
          <w:ilvl w:val="0"/>
          <w:numId w:val="12"/>
        </w:numPr>
        <w:ind w:left="426"/>
      </w:pPr>
      <w:r>
        <w:t xml:space="preserve">using pulse generated </w:t>
      </w:r>
      <w:r w:rsidR="00221957">
        <w:t>portable</w:t>
      </w:r>
      <w:r>
        <w:t xml:space="preserve"> security inspection systems </w:t>
      </w:r>
      <w:r w:rsidR="003A7C83">
        <w:t xml:space="preserve">(eg, large scale inspections, manufacturing) </w:t>
      </w:r>
      <w:r>
        <w:t xml:space="preserve">(approximately 8 licences).  </w:t>
      </w:r>
    </w:p>
    <w:p w14:paraId="1810B39E" w14:textId="77777777" w:rsidR="00C86FBF" w:rsidRDefault="00397B37" w:rsidP="00397B37">
      <w:r>
        <w:lastRenderedPageBreak/>
        <w:t xml:space="preserve">The impact </w:t>
      </w:r>
      <w:r w:rsidRPr="00397B37">
        <w:rPr>
          <w:rFonts w:cs="Arial"/>
          <w:szCs w:val="24"/>
        </w:rPr>
        <w:t>of</w:t>
      </w:r>
      <w:r>
        <w:t xml:space="preserve"> these proposals </w:t>
      </w:r>
      <w:r w:rsidR="00C86FBF">
        <w:t xml:space="preserve">decreases annual inspection-hours by about </w:t>
      </w:r>
      <w:r w:rsidR="00241405">
        <w:t>795</w:t>
      </w:r>
      <w:r w:rsidR="00C86FBF">
        <w:t xml:space="preserve">, or </w:t>
      </w:r>
      <w:r w:rsidR="00012FF3">
        <w:t xml:space="preserve">the </w:t>
      </w:r>
      <w:r w:rsidR="00C86FBF">
        <w:t xml:space="preserve">equivalent </w:t>
      </w:r>
      <w:r w:rsidR="00012FF3">
        <w:t>of</w:t>
      </w:r>
      <w:r w:rsidR="00C86FBF">
        <w:t xml:space="preserve"> 6</w:t>
      </w:r>
      <w:r w:rsidR="00241405">
        <w:t>6</w:t>
      </w:r>
      <w:r w:rsidR="00C86FBF">
        <w:t xml:space="preserve"> </w:t>
      </w:r>
      <w:r w:rsidR="00012FF3">
        <w:t xml:space="preserve">average </w:t>
      </w:r>
      <w:r w:rsidR="00C86FBF">
        <w:t xml:space="preserve">inspections. Inspection-hours are an accurate measure because inspections range in complexity and length. </w:t>
      </w:r>
    </w:p>
    <w:p w14:paraId="53C76DCB" w14:textId="77777777" w:rsidR="00397B37" w:rsidRDefault="00C86FBF" w:rsidP="00397B37">
      <w:r>
        <w:t xml:space="preserve">The inspection-hours </w:t>
      </w:r>
      <w:r w:rsidR="00012FF3">
        <w:t>that apply to</w:t>
      </w:r>
      <w:r w:rsidR="00397B37">
        <w:t xml:space="preserve"> inspectors with industrial expertise </w:t>
      </w:r>
      <w:r>
        <w:t>w</w:t>
      </w:r>
      <w:r w:rsidR="00012FF3">
        <w:t xml:space="preserve">ould </w:t>
      </w:r>
      <w:r>
        <w:t>increase slightly, while the reduction in inspection-hours w</w:t>
      </w:r>
      <w:r w:rsidR="00012FF3">
        <w:t>ould</w:t>
      </w:r>
      <w:r>
        <w:t xml:space="preserve"> </w:t>
      </w:r>
      <w:r w:rsidR="00012FF3">
        <w:t>apply to</w:t>
      </w:r>
      <w:r w:rsidR="00397B37">
        <w:t xml:space="preserve"> inspectors with medical expertise. </w:t>
      </w:r>
      <w:r>
        <w:t>The proposal w</w:t>
      </w:r>
      <w:r w:rsidR="00012FF3">
        <w:t>ould</w:t>
      </w:r>
      <w:r>
        <w:t xml:space="preserve"> allow </w:t>
      </w:r>
      <w:r w:rsidR="00397B37">
        <w:t xml:space="preserve">some reassigning </w:t>
      </w:r>
      <w:r>
        <w:t>as well as the opportunity to assign more inspection-hours to improve coverage and</w:t>
      </w:r>
      <w:r w:rsidR="00012FF3">
        <w:t>/or</w:t>
      </w:r>
      <w:r>
        <w:t xml:space="preserve"> value</w:t>
      </w:r>
      <w:r w:rsidR="00497F45">
        <w:t xml:space="preserve"> to the inspection programme</w:t>
      </w:r>
      <w:r>
        <w:t>.</w:t>
      </w:r>
      <w:r w:rsidR="00397B37">
        <w:t xml:space="preserve">    </w:t>
      </w:r>
    </w:p>
    <w:p w14:paraId="24CBE3D5" w14:textId="77777777" w:rsidR="004F4910" w:rsidRDefault="00FE434F" w:rsidP="00397B37">
      <w:r w:rsidRPr="004612B3">
        <w:rPr>
          <w:u w:val="single"/>
        </w:rPr>
        <w:t xml:space="preserve">Determining the source licence fee payable </w:t>
      </w:r>
      <w:r>
        <w:rPr>
          <w:u w:val="single"/>
        </w:rPr>
        <w:t>(inspection periods)</w:t>
      </w:r>
    </w:p>
    <w:p w14:paraId="3CF0291D" w14:textId="77777777" w:rsidR="004F4910" w:rsidRDefault="00FE434F" w:rsidP="00397B37">
      <w:r>
        <w:t xml:space="preserve">The preferred option of removing the term ‘inspection period’ from </w:t>
      </w:r>
      <w:r w:rsidR="00F80DC7">
        <w:t>regulations 15 and 16 and Schedule 2 of the</w:t>
      </w:r>
      <w:r>
        <w:t xml:space="preserve"> Regulations has been chosen. This option would ensure </w:t>
      </w:r>
      <w:r w:rsidRPr="00FE434F">
        <w:t xml:space="preserve">that the </w:t>
      </w:r>
      <w:r w:rsidRPr="00FE434F">
        <w:rPr>
          <w:szCs w:val="24"/>
        </w:rPr>
        <w:t>operational necessities required to support the Act</w:t>
      </w:r>
      <w:r w:rsidRPr="00FE434F">
        <w:t xml:space="preserve"> are ref</w:t>
      </w:r>
      <w:r>
        <w:t xml:space="preserve">lected in the Regulations. </w:t>
      </w:r>
    </w:p>
    <w:p w14:paraId="646602FE" w14:textId="77777777" w:rsidR="00FE434F" w:rsidRDefault="00FE434F" w:rsidP="00FE434F">
      <w:r>
        <w:t xml:space="preserve">This proposal would ensure that off-site inspection methods as well as on-site inspections are available for the inspection programme. The proposal </w:t>
      </w:r>
      <w:proofErr w:type="gramStart"/>
      <w:r>
        <w:t>would</w:t>
      </w:r>
      <w:proofErr w:type="gramEnd"/>
      <w:r>
        <w:t xml:space="preserve"> also enable flexibility to reschedule inspections if the circumstance require. This would have an overall benefit to quality and flexibility of the inspection programme.      </w:t>
      </w:r>
    </w:p>
    <w:p w14:paraId="388DB2B9" w14:textId="77777777" w:rsidR="00FE434F" w:rsidRDefault="00FE434F" w:rsidP="00FE434F">
      <w:r>
        <w:t xml:space="preserve">This proposal is supported with an undertaking by the Ministry of Health to publish inspection schedules and annual reports of inspections completed to maintain transparency on inspections.   </w:t>
      </w:r>
    </w:p>
    <w:p w14:paraId="2F0E44FD" w14:textId="77777777" w:rsidR="004F4910" w:rsidRPr="00FE434F" w:rsidRDefault="00FE434F" w:rsidP="00397B37">
      <w:pPr>
        <w:rPr>
          <w:b/>
          <w:bCs/>
        </w:rPr>
      </w:pPr>
      <w:r w:rsidRPr="00FE434F">
        <w:rPr>
          <w:b/>
          <w:bCs/>
        </w:rPr>
        <w:t xml:space="preserve">Proposed new fees </w:t>
      </w:r>
    </w:p>
    <w:p w14:paraId="51797952" w14:textId="77777777" w:rsidR="004F4910" w:rsidRDefault="00FE434F" w:rsidP="00397B37">
      <w:r>
        <w:t xml:space="preserve">The preferred options for all categories of new fees outlined in the </w:t>
      </w:r>
      <w:r w:rsidR="00C060F7">
        <w:rPr>
          <w:rFonts w:cs="Arial"/>
          <w:szCs w:val="24"/>
        </w:rPr>
        <w:t xml:space="preserve">public consultation document </w:t>
      </w:r>
      <w:r>
        <w:t xml:space="preserve">have been chosen to ensure full cost recovery. The fees are set in Table 4 of this document. This optional also ensures </w:t>
      </w:r>
      <w:r w:rsidR="00F80DC7">
        <w:t xml:space="preserve">justifiability in </w:t>
      </w:r>
      <w:r>
        <w:t xml:space="preserve">that fees </w:t>
      </w:r>
      <w:r w:rsidR="00F80DC7">
        <w:t>would be</w:t>
      </w:r>
      <w:r>
        <w:t xml:space="preserve"> better allocated to </w:t>
      </w:r>
      <w:r w:rsidR="00F80DC7">
        <w:t xml:space="preserve">the </w:t>
      </w:r>
      <w:r>
        <w:t xml:space="preserve">costs </w:t>
      </w:r>
      <w:r w:rsidR="00F80DC7">
        <w:t xml:space="preserve">of the function to which they relate. </w:t>
      </w:r>
    </w:p>
    <w:p w14:paraId="3C302FB5" w14:textId="77777777" w:rsidR="004F4910" w:rsidRPr="00F80DC7" w:rsidRDefault="00F80DC7" w:rsidP="00397B37">
      <w:pPr>
        <w:rPr>
          <w:b/>
          <w:bCs/>
        </w:rPr>
      </w:pPr>
      <w:r w:rsidRPr="00F80DC7">
        <w:rPr>
          <w:b/>
          <w:bCs/>
        </w:rPr>
        <w:t xml:space="preserve">Amendments to existing exemptions, </w:t>
      </w:r>
      <w:proofErr w:type="gramStart"/>
      <w:r w:rsidRPr="00F80DC7">
        <w:rPr>
          <w:b/>
          <w:bCs/>
        </w:rPr>
        <w:t>prohibitions</w:t>
      </w:r>
      <w:proofErr w:type="gramEnd"/>
      <w:r w:rsidRPr="00F80DC7">
        <w:rPr>
          <w:b/>
          <w:bCs/>
        </w:rPr>
        <w:t xml:space="preserve"> and restrictions</w:t>
      </w:r>
    </w:p>
    <w:p w14:paraId="1FA30254" w14:textId="77777777" w:rsidR="00FE434F" w:rsidRPr="00F80DC7" w:rsidRDefault="00F80DC7" w:rsidP="00397B37">
      <w:pPr>
        <w:rPr>
          <w:u w:val="single"/>
        </w:rPr>
      </w:pPr>
      <w:r w:rsidRPr="00F80DC7">
        <w:rPr>
          <w:u w:val="single"/>
        </w:rPr>
        <w:t xml:space="preserve">Exemption for X-ray fluorescence and X-ray diffraction </w:t>
      </w:r>
    </w:p>
    <w:p w14:paraId="4B9D269C" w14:textId="77777777" w:rsidR="00F80DC7" w:rsidRDefault="00F80DC7" w:rsidP="00397B37">
      <w:r>
        <w:t xml:space="preserve">The preferred option of introducing registration and record-keeping requirements (but not authorisation requirements) has been chosen to improve the certainty and proportionality of the Regulations. </w:t>
      </w:r>
    </w:p>
    <w:p w14:paraId="66DEFD32" w14:textId="77777777" w:rsidR="00FE434F" w:rsidRDefault="00F80DC7" w:rsidP="00397B37">
      <w:r>
        <w:t xml:space="preserve">The status quo option is not sufficiently proportionate and alternative option of completely removing the exemption is disproportionate.  </w:t>
      </w:r>
    </w:p>
    <w:p w14:paraId="13A44ECB" w14:textId="0441415C" w:rsidR="00F80DC7" w:rsidRDefault="00F80DC7" w:rsidP="00F80DC7">
      <w:r>
        <w:t>This proposal do</w:t>
      </w:r>
      <w:r w:rsidR="00B71DB3">
        <w:t>es</w:t>
      </w:r>
      <w:r>
        <w:t xml:space="preserve"> not affect fees. It does add compliance costs for owners and administration costs for the Ministry of Health. </w:t>
      </w:r>
    </w:p>
    <w:p w14:paraId="216F7D3E" w14:textId="77777777" w:rsidR="00012FF3" w:rsidRDefault="00012FF3" w:rsidP="00F80DC7">
      <w:r>
        <w:t>The impact has been assessed as moderate during the implement</w:t>
      </w:r>
      <w:r w:rsidR="00E26C98">
        <w:t>ation</w:t>
      </w:r>
      <w:r>
        <w:t xml:space="preserve"> stage </w:t>
      </w:r>
      <w:r w:rsidR="00F80DC7">
        <w:t xml:space="preserve">(registering) </w:t>
      </w:r>
      <w:r>
        <w:t xml:space="preserve">and low in the long term. The known and potential community of users for this equipment (from consultation) is 168 organisations or </w:t>
      </w:r>
      <w:r w:rsidR="00F53157">
        <w:t>individuals</w:t>
      </w:r>
      <w:r>
        <w:t xml:space="preserve">. </w:t>
      </w:r>
    </w:p>
    <w:p w14:paraId="4D246F8A" w14:textId="77777777" w:rsidR="00F80DC7" w:rsidRPr="00F80DC7" w:rsidRDefault="00F80DC7" w:rsidP="00F80DC7">
      <w:pPr>
        <w:rPr>
          <w:u w:val="single"/>
        </w:rPr>
      </w:pPr>
      <w:r w:rsidRPr="00F80DC7">
        <w:rPr>
          <w:u w:val="single"/>
        </w:rPr>
        <w:lastRenderedPageBreak/>
        <w:t xml:space="preserve">Proposed changes to veterinarian and </w:t>
      </w:r>
      <w:r>
        <w:rPr>
          <w:u w:val="single"/>
        </w:rPr>
        <w:t>M</w:t>
      </w:r>
      <w:r w:rsidRPr="00F80DC7">
        <w:rPr>
          <w:u w:val="single"/>
        </w:rPr>
        <w:t xml:space="preserve">edical </w:t>
      </w:r>
      <w:r>
        <w:rPr>
          <w:u w:val="single"/>
        </w:rPr>
        <w:t>I</w:t>
      </w:r>
      <w:r w:rsidRPr="00F80DC7">
        <w:rPr>
          <w:u w:val="single"/>
        </w:rPr>
        <w:t xml:space="preserve">maging </w:t>
      </w:r>
      <w:r>
        <w:rPr>
          <w:u w:val="single"/>
        </w:rPr>
        <w:t>T</w:t>
      </w:r>
      <w:r w:rsidRPr="00F80DC7">
        <w:rPr>
          <w:u w:val="single"/>
        </w:rPr>
        <w:t>echnologist</w:t>
      </w:r>
      <w:r>
        <w:rPr>
          <w:u w:val="single"/>
        </w:rPr>
        <w:t>s</w:t>
      </w:r>
      <w:r w:rsidRPr="00F80DC7">
        <w:rPr>
          <w:u w:val="single"/>
        </w:rPr>
        <w:t xml:space="preserve"> authorisations under Schedule 3 of the Regulations</w:t>
      </w:r>
    </w:p>
    <w:p w14:paraId="09D7EDEF" w14:textId="77777777" w:rsidR="00397B37" w:rsidRDefault="00F80DC7" w:rsidP="00397B37">
      <w:pPr>
        <w:rPr>
          <w:u w:val="single"/>
        </w:rPr>
      </w:pPr>
      <w:r w:rsidRPr="00F80DC7">
        <w:rPr>
          <w:rFonts w:cs="Arial"/>
          <w:szCs w:val="24"/>
        </w:rPr>
        <w:t xml:space="preserve">A modified preferred option </w:t>
      </w:r>
      <w:r>
        <w:rPr>
          <w:rFonts w:cs="Arial"/>
          <w:szCs w:val="24"/>
        </w:rPr>
        <w:t xml:space="preserve">has been chosen for the veterinarian authorisation to achieve the same aims set out in the </w:t>
      </w:r>
      <w:r w:rsidR="00C060F7">
        <w:rPr>
          <w:rFonts w:cs="Arial"/>
          <w:szCs w:val="24"/>
        </w:rPr>
        <w:t>public consultation document</w:t>
      </w:r>
      <w:r>
        <w:rPr>
          <w:rFonts w:cs="Arial"/>
          <w:szCs w:val="24"/>
        </w:rPr>
        <w:t xml:space="preserve">. The status quo option has been chosen for </w:t>
      </w:r>
      <w:r w:rsidRPr="00F80DC7">
        <w:t>Medical Imaging Technologists.</w:t>
      </w:r>
      <w:r>
        <w:rPr>
          <w:u w:val="single"/>
        </w:rPr>
        <w:t xml:space="preserve"> </w:t>
      </w:r>
    </w:p>
    <w:p w14:paraId="3BCF9369" w14:textId="77777777" w:rsidR="00F80DC7" w:rsidRDefault="00F80DC7" w:rsidP="00397B37">
      <w:pPr>
        <w:rPr>
          <w:szCs w:val="24"/>
        </w:rPr>
      </w:pPr>
      <w:r w:rsidRPr="00BD64C2">
        <w:t xml:space="preserve">These options would improve the </w:t>
      </w:r>
      <w:r w:rsidR="00BD64C2" w:rsidRPr="00BD64C2">
        <w:rPr>
          <w:szCs w:val="24"/>
        </w:rPr>
        <w:t xml:space="preserve">prescription of the operational necessities required to support the Act. </w:t>
      </w:r>
    </w:p>
    <w:p w14:paraId="2556F5B8" w14:textId="77777777" w:rsidR="00BD64C2" w:rsidRDefault="00BD64C2" w:rsidP="00397B37">
      <w:pPr>
        <w:rPr>
          <w:szCs w:val="24"/>
        </w:rPr>
      </w:pPr>
      <w:r>
        <w:rPr>
          <w:szCs w:val="24"/>
        </w:rPr>
        <w:t xml:space="preserve">These proposals have no effect on costs or costs recovery.  </w:t>
      </w:r>
    </w:p>
    <w:p w14:paraId="141D4DC4" w14:textId="77777777" w:rsidR="00BD64C2" w:rsidRPr="00BD64C2" w:rsidRDefault="00BD64C2" w:rsidP="00397B37">
      <w:pPr>
        <w:rPr>
          <w:b/>
          <w:bCs/>
          <w:szCs w:val="24"/>
        </w:rPr>
      </w:pPr>
      <w:r w:rsidRPr="00BD64C2">
        <w:rPr>
          <w:b/>
          <w:bCs/>
          <w:szCs w:val="24"/>
        </w:rPr>
        <w:t xml:space="preserve">Other matters that can be dealt with under the Regulations.  </w:t>
      </w:r>
    </w:p>
    <w:p w14:paraId="433D1B57" w14:textId="77777777" w:rsidR="00BD64C2" w:rsidRDefault="00BD64C2" w:rsidP="00397B37">
      <w:r>
        <w:t xml:space="preserve">A partial exemption for a class of irradiating apparatus referred to as ‘Micro-CT’ is proposed </w:t>
      </w:r>
      <w:proofErr w:type="gramStart"/>
      <w:r>
        <w:t>as a result of</w:t>
      </w:r>
      <w:proofErr w:type="gramEnd"/>
      <w:r>
        <w:t xml:space="preserve"> submissions. The proposal is in line with that proposed </w:t>
      </w:r>
      <w:r w:rsidRPr="00BD64C2">
        <w:t>for X-ray fluorescence and X-ray diffraction</w:t>
      </w:r>
      <w:r>
        <w:t>. The impact of this proposal would relieve a very small number of owners from authorisation fees</w:t>
      </w:r>
      <w:r w:rsidR="00C34918">
        <w:t xml:space="preserve"> and provide a </w:t>
      </w:r>
      <w:r>
        <w:t xml:space="preserve">small amount of administrative and inspection ease. The impact is </w:t>
      </w:r>
      <w:r w:rsidR="00C34918">
        <w:t>estimated</w:t>
      </w:r>
      <w:r>
        <w:t xml:space="preserve"> as small because these apparatuses may be located at facilities </w:t>
      </w:r>
      <w:r w:rsidR="00C34918">
        <w:t>where</w:t>
      </w:r>
      <w:r>
        <w:t xml:space="preserve"> other radiation sources </w:t>
      </w:r>
      <w:r w:rsidR="00C34918">
        <w:t xml:space="preserve">present ensure </w:t>
      </w:r>
      <w:r>
        <w:t xml:space="preserve">that </w:t>
      </w:r>
      <w:r w:rsidR="00C34918">
        <w:t xml:space="preserve">an </w:t>
      </w:r>
      <w:r>
        <w:t xml:space="preserve">authorisation </w:t>
      </w:r>
      <w:r w:rsidR="00C34918">
        <w:t>is a requirement</w:t>
      </w:r>
      <w:r>
        <w:t xml:space="preserve">.  </w:t>
      </w:r>
    </w:p>
    <w:p w14:paraId="1A4EA8DB" w14:textId="77777777" w:rsidR="00BD64C2" w:rsidRPr="00BD64C2" w:rsidRDefault="00BD64C2" w:rsidP="00397B37">
      <w:r>
        <w:t xml:space="preserve">A further exemption was considered </w:t>
      </w:r>
      <w:proofErr w:type="gramStart"/>
      <w:r>
        <w:t>as a result of</w:t>
      </w:r>
      <w:proofErr w:type="gramEnd"/>
      <w:r>
        <w:t xml:space="preserve"> submissions </w:t>
      </w:r>
      <w:r>
        <w:rPr>
          <w:rFonts w:cs="Arial"/>
          <w:szCs w:val="24"/>
        </w:rPr>
        <w:t xml:space="preserve">for a portable nuclear gauge (for measuring </w:t>
      </w:r>
      <w:r w:rsidRPr="004D346B">
        <w:t>moisture</w:t>
      </w:r>
      <w:r>
        <w:rPr>
          <w:rFonts w:cs="Arial"/>
          <w:szCs w:val="24"/>
        </w:rPr>
        <w:t xml:space="preserve"> content in soil for earthworks projects). Technical analysis demonstrated that the equipment cannot meet any of the exemption criteria set out in section 91(1)</w:t>
      </w:r>
      <w:r w:rsidR="00EB57CE">
        <w:rPr>
          <w:rFonts w:cs="Arial"/>
          <w:szCs w:val="24"/>
        </w:rPr>
        <w:t>(a)</w:t>
      </w:r>
      <w:r>
        <w:rPr>
          <w:rFonts w:cs="Arial"/>
          <w:szCs w:val="24"/>
        </w:rPr>
        <w:t xml:space="preserve"> of the Act. Therefore, this submission was deemed to be out of scope. </w:t>
      </w:r>
    </w:p>
    <w:p w14:paraId="56B0A1A3" w14:textId="77777777" w:rsidR="0041087B" w:rsidRDefault="0041087B" w:rsidP="0041087B">
      <w:pPr>
        <w:pStyle w:val="Heading2"/>
      </w:pPr>
      <w:bookmarkStart w:id="48" w:name="_Toc244580366"/>
      <w:bookmarkStart w:id="49" w:name="_Toc244587042"/>
      <w:bookmarkStart w:id="50" w:name="_Toc244857276"/>
      <w:bookmarkStart w:id="51" w:name="_Toc244912541"/>
      <w:bookmarkStart w:id="52" w:name="_Toc244916998"/>
      <w:bookmarkStart w:id="53" w:name="_Toc362368107"/>
      <w:bookmarkStart w:id="54" w:name="_Toc362434948"/>
      <w:bookmarkStart w:id="55" w:name="_Toc362589334"/>
      <w:bookmarkStart w:id="56" w:name="_Toc362619034"/>
      <w:bookmarkStart w:id="57" w:name="_Toc362940598"/>
      <w:bookmarkStart w:id="58" w:name="_Toc363047106"/>
      <w:r w:rsidRPr="00082653">
        <w:t>Consultation</w:t>
      </w:r>
      <w:bookmarkEnd w:id="48"/>
      <w:bookmarkEnd w:id="49"/>
      <w:bookmarkEnd w:id="50"/>
      <w:bookmarkEnd w:id="51"/>
      <w:bookmarkEnd w:id="52"/>
      <w:bookmarkEnd w:id="53"/>
      <w:bookmarkEnd w:id="54"/>
      <w:bookmarkEnd w:id="55"/>
      <w:bookmarkEnd w:id="56"/>
      <w:bookmarkEnd w:id="57"/>
      <w:bookmarkEnd w:id="58"/>
    </w:p>
    <w:p w14:paraId="5135E060" w14:textId="77777777" w:rsidR="004D346B" w:rsidRDefault="004D346B" w:rsidP="004D346B">
      <w:pPr>
        <w:rPr>
          <w:rFonts w:cs="Arial"/>
          <w:szCs w:val="24"/>
        </w:rPr>
      </w:pPr>
      <w:r>
        <w:rPr>
          <w:rFonts w:cs="Arial"/>
          <w:szCs w:val="24"/>
        </w:rPr>
        <w:t xml:space="preserve">A six-week </w:t>
      </w:r>
      <w:r w:rsidRPr="004D346B">
        <w:t>public</w:t>
      </w:r>
      <w:r>
        <w:rPr>
          <w:rFonts w:cs="Arial"/>
          <w:szCs w:val="24"/>
        </w:rPr>
        <w:t xml:space="preserve"> consultation ending on 29 April 2022 was conducted on the proposals following Cabinet approval </w:t>
      </w:r>
      <w:bookmarkStart w:id="59" w:name="_Hlk113822794"/>
      <w:r>
        <w:rPr>
          <w:rFonts w:cs="Arial"/>
          <w:szCs w:val="24"/>
        </w:rPr>
        <w:t>[CAB-22-MIN-0021]</w:t>
      </w:r>
      <w:bookmarkEnd w:id="59"/>
      <w:r>
        <w:rPr>
          <w:rFonts w:cs="Arial"/>
          <w:szCs w:val="24"/>
        </w:rPr>
        <w:t xml:space="preserve">. </w:t>
      </w:r>
    </w:p>
    <w:p w14:paraId="1AEDADE0" w14:textId="77777777" w:rsidR="004D346B" w:rsidRDefault="004D346B" w:rsidP="004D346B">
      <w:pPr>
        <w:spacing w:after="180"/>
        <w:rPr>
          <w:rFonts w:cs="Arial"/>
          <w:iCs/>
          <w:color w:val="000000"/>
        </w:rPr>
      </w:pPr>
      <w:r>
        <w:rPr>
          <w:rFonts w:cs="Arial"/>
          <w:iCs/>
          <w:color w:val="000000"/>
        </w:rPr>
        <w:t xml:space="preserve">The consultation used the document </w:t>
      </w:r>
      <w:r w:rsidRPr="00757148">
        <w:rPr>
          <w:rFonts w:cs="Arial"/>
          <w:i/>
          <w:color w:val="000000"/>
        </w:rPr>
        <w:t>Review of Radiation Regulations 2016 – a consultation document</w:t>
      </w:r>
      <w:r>
        <w:rPr>
          <w:rStyle w:val="FootnoteReference"/>
          <w:rFonts w:cs="Arial"/>
          <w:iCs/>
        </w:rPr>
        <w:footnoteReference w:id="4"/>
      </w:r>
      <w:r>
        <w:rPr>
          <w:rFonts w:cs="Arial"/>
          <w:i/>
          <w:color w:val="000000"/>
        </w:rPr>
        <w:t xml:space="preserve"> </w:t>
      </w:r>
      <w:r>
        <w:rPr>
          <w:rFonts w:cs="Arial"/>
          <w:iCs/>
          <w:color w:val="000000"/>
        </w:rPr>
        <w:t>to outline the proposals</w:t>
      </w:r>
      <w:r>
        <w:rPr>
          <w:rFonts w:cs="Arial"/>
          <w:i/>
          <w:color w:val="000000"/>
        </w:rPr>
        <w:t>.</w:t>
      </w:r>
      <w:r w:rsidRPr="00757148">
        <w:rPr>
          <w:rFonts w:cs="Arial"/>
          <w:iCs/>
          <w:color w:val="000000"/>
        </w:rPr>
        <w:t xml:space="preserve"> </w:t>
      </w:r>
    </w:p>
    <w:p w14:paraId="2B342C8A" w14:textId="77777777" w:rsidR="004D346B" w:rsidRDefault="004D346B" w:rsidP="004D346B">
      <w:pPr>
        <w:rPr>
          <w:rFonts w:cs="Arial"/>
          <w:szCs w:val="24"/>
        </w:rPr>
      </w:pPr>
      <w:r>
        <w:rPr>
          <w:rFonts w:cs="Arial"/>
          <w:szCs w:val="24"/>
        </w:rPr>
        <w:t xml:space="preserve">The Ministry engaged </w:t>
      </w:r>
      <w:r w:rsidRPr="004D346B">
        <w:t>PricewaterhouseCoopers</w:t>
      </w:r>
      <w:r w:rsidRPr="00B564F2">
        <w:rPr>
          <w:rFonts w:cs="Arial"/>
          <w:szCs w:val="24"/>
        </w:rPr>
        <w:t xml:space="preserve"> New Zealand (PwC) to review the method for </w:t>
      </w:r>
      <w:r>
        <w:rPr>
          <w:rFonts w:cs="Arial"/>
          <w:szCs w:val="24"/>
        </w:rPr>
        <w:t>calculating the</w:t>
      </w:r>
      <w:r w:rsidRPr="00B564F2">
        <w:rPr>
          <w:rFonts w:cs="Arial"/>
          <w:szCs w:val="24"/>
        </w:rPr>
        <w:t xml:space="preserve"> fees. PwC’s report </w:t>
      </w:r>
      <w:r>
        <w:rPr>
          <w:rFonts w:cs="Arial"/>
          <w:szCs w:val="24"/>
        </w:rPr>
        <w:t xml:space="preserve">was considered by Cabinet when the public consultation was approved </w:t>
      </w:r>
      <w:r w:rsidR="00557ADB">
        <w:rPr>
          <w:rFonts w:cs="Arial"/>
          <w:szCs w:val="24"/>
        </w:rPr>
        <w:t>[</w:t>
      </w:r>
      <w:r w:rsidR="009D1AA8">
        <w:rPr>
          <w:rFonts w:cs="Arial"/>
          <w:szCs w:val="24"/>
        </w:rPr>
        <w:t xml:space="preserve">CAB-22-MIN-0021] </w:t>
      </w:r>
      <w:r>
        <w:rPr>
          <w:rFonts w:cs="Arial"/>
          <w:szCs w:val="24"/>
        </w:rPr>
        <w:t xml:space="preserve">and PwC’s report was made available alongside the </w:t>
      </w:r>
      <w:r w:rsidR="00C060F7">
        <w:rPr>
          <w:rFonts w:cs="Arial"/>
          <w:szCs w:val="24"/>
        </w:rPr>
        <w:t xml:space="preserve">public consultation document </w:t>
      </w:r>
      <w:r>
        <w:rPr>
          <w:rFonts w:cs="Arial"/>
          <w:szCs w:val="24"/>
        </w:rPr>
        <w:t xml:space="preserve">during the </w:t>
      </w:r>
      <w:r w:rsidRPr="004D346B">
        <w:t>consultation</w:t>
      </w:r>
      <w:r>
        <w:rPr>
          <w:rFonts w:cs="Arial"/>
          <w:szCs w:val="24"/>
        </w:rPr>
        <w:t xml:space="preserve">. </w:t>
      </w:r>
    </w:p>
    <w:p w14:paraId="0B9D6C86" w14:textId="77777777" w:rsidR="004D346B" w:rsidRDefault="004D346B" w:rsidP="004D346B">
      <w:pPr>
        <w:rPr>
          <w:rFonts w:cs="Arial"/>
          <w:szCs w:val="24"/>
        </w:rPr>
      </w:pPr>
      <w:r>
        <w:rPr>
          <w:rFonts w:cs="Arial"/>
          <w:szCs w:val="24"/>
        </w:rPr>
        <w:t xml:space="preserve">All current licence holders were directly notified of the consultation. </w:t>
      </w:r>
      <w:r w:rsidRPr="00B564F2">
        <w:rPr>
          <w:rFonts w:cs="Arial"/>
          <w:szCs w:val="24"/>
        </w:rPr>
        <w:t xml:space="preserve">The Ministry </w:t>
      </w:r>
      <w:r>
        <w:rPr>
          <w:rFonts w:cs="Arial"/>
          <w:szCs w:val="24"/>
        </w:rPr>
        <w:t>also</w:t>
      </w:r>
      <w:r w:rsidRPr="00B564F2">
        <w:rPr>
          <w:rFonts w:cs="Arial"/>
          <w:szCs w:val="24"/>
        </w:rPr>
        <w:t xml:space="preserve"> included </w:t>
      </w:r>
      <w:r w:rsidRPr="004D346B">
        <w:t>professional</w:t>
      </w:r>
      <w:r w:rsidRPr="00B564F2">
        <w:rPr>
          <w:rFonts w:cs="Arial"/>
          <w:szCs w:val="24"/>
        </w:rPr>
        <w:t xml:space="preserve"> registration bodies and </w:t>
      </w:r>
      <w:r>
        <w:rPr>
          <w:rFonts w:cs="Arial"/>
          <w:szCs w:val="24"/>
        </w:rPr>
        <w:t xml:space="preserve">highly affected </w:t>
      </w:r>
      <w:r w:rsidRPr="00B564F2">
        <w:rPr>
          <w:rFonts w:cs="Arial"/>
          <w:szCs w:val="24"/>
        </w:rPr>
        <w:t xml:space="preserve">occupational representative organisations in the </w:t>
      </w:r>
      <w:r>
        <w:rPr>
          <w:rFonts w:cs="Arial"/>
          <w:szCs w:val="24"/>
        </w:rPr>
        <w:t xml:space="preserve">consultation.  </w:t>
      </w:r>
    </w:p>
    <w:p w14:paraId="3159019C" w14:textId="77777777" w:rsidR="007E7DAE" w:rsidRDefault="004D346B" w:rsidP="004D346B">
      <w:pPr>
        <w:rPr>
          <w:rFonts w:cs="Arial"/>
          <w:szCs w:val="24"/>
        </w:rPr>
      </w:pPr>
      <w:r>
        <w:rPr>
          <w:rFonts w:cs="Arial"/>
          <w:szCs w:val="24"/>
        </w:rPr>
        <w:lastRenderedPageBreak/>
        <w:t xml:space="preserve">Twenty submissions were received. </w:t>
      </w:r>
      <w:proofErr w:type="gramStart"/>
      <w:r>
        <w:rPr>
          <w:rFonts w:cs="Arial"/>
          <w:szCs w:val="24"/>
        </w:rPr>
        <w:t>The majority of</w:t>
      </w:r>
      <w:proofErr w:type="gramEnd"/>
      <w:r>
        <w:rPr>
          <w:rFonts w:cs="Arial"/>
          <w:szCs w:val="24"/>
        </w:rPr>
        <w:t xml:space="preserve"> topics raised in the </w:t>
      </w:r>
      <w:r w:rsidR="00C060F7">
        <w:rPr>
          <w:rFonts w:cs="Arial"/>
          <w:szCs w:val="24"/>
        </w:rPr>
        <w:t xml:space="preserve">public consultation document </w:t>
      </w:r>
      <w:r>
        <w:rPr>
          <w:rFonts w:cs="Arial"/>
          <w:szCs w:val="24"/>
        </w:rPr>
        <w:t>received full or majority support in submissions</w:t>
      </w:r>
      <w:r w:rsidR="007E7DAE">
        <w:rPr>
          <w:rFonts w:cs="Arial"/>
          <w:szCs w:val="24"/>
        </w:rPr>
        <w:t xml:space="preserve"> and have proceeded as outlined</w:t>
      </w:r>
      <w:r>
        <w:rPr>
          <w:rFonts w:cs="Arial"/>
          <w:szCs w:val="24"/>
        </w:rPr>
        <w:t xml:space="preserve">. </w:t>
      </w:r>
    </w:p>
    <w:p w14:paraId="3E9F889A" w14:textId="77777777" w:rsidR="00981E42" w:rsidRDefault="004D346B" w:rsidP="004D346B">
      <w:pPr>
        <w:rPr>
          <w:rFonts w:cs="Arial"/>
          <w:szCs w:val="24"/>
        </w:rPr>
      </w:pPr>
      <w:r>
        <w:rPr>
          <w:rFonts w:cs="Arial"/>
          <w:szCs w:val="24"/>
        </w:rPr>
        <w:t>T</w:t>
      </w:r>
      <w:r w:rsidRPr="0083111D">
        <w:rPr>
          <w:rFonts w:cs="Arial"/>
          <w:szCs w:val="24"/>
        </w:rPr>
        <w:t xml:space="preserve">here were two topics in which submissions were split, </w:t>
      </w:r>
      <w:r w:rsidR="00981E42">
        <w:rPr>
          <w:rFonts w:cs="Arial"/>
          <w:szCs w:val="24"/>
        </w:rPr>
        <w:t>and these were</w:t>
      </w:r>
      <w:r w:rsidR="005151DC">
        <w:rPr>
          <w:rFonts w:cs="Arial"/>
          <w:szCs w:val="24"/>
        </w:rPr>
        <w:t>:</w:t>
      </w:r>
    </w:p>
    <w:p w14:paraId="09484800" w14:textId="77777777" w:rsidR="00981E42" w:rsidRPr="00981E42" w:rsidRDefault="004D346B" w:rsidP="005F3678">
      <w:pPr>
        <w:pStyle w:val="ListParagraph"/>
        <w:numPr>
          <w:ilvl w:val="0"/>
          <w:numId w:val="14"/>
        </w:numPr>
        <w:spacing w:after="80"/>
        <w:ind w:left="425" w:hanging="357"/>
        <w:contextualSpacing w:val="0"/>
        <w:rPr>
          <w:rFonts w:cs="Arial"/>
          <w:szCs w:val="24"/>
        </w:rPr>
      </w:pPr>
      <w:r w:rsidRPr="00981E42">
        <w:rPr>
          <w:rFonts w:cs="Arial"/>
          <w:szCs w:val="24"/>
        </w:rPr>
        <w:t xml:space="preserve">fees </w:t>
      </w:r>
      <w:r w:rsidR="00981E42" w:rsidRPr="00981E42">
        <w:rPr>
          <w:rFonts w:cs="Arial"/>
          <w:szCs w:val="24"/>
        </w:rPr>
        <w:t>increase</w:t>
      </w:r>
    </w:p>
    <w:p w14:paraId="34FEE97D" w14:textId="77777777" w:rsidR="004D346B" w:rsidRDefault="00981E42" w:rsidP="005F3678">
      <w:pPr>
        <w:pStyle w:val="ListParagraph"/>
        <w:numPr>
          <w:ilvl w:val="0"/>
          <w:numId w:val="14"/>
        </w:numPr>
        <w:ind w:left="426"/>
        <w:rPr>
          <w:rFonts w:cs="Arial"/>
          <w:szCs w:val="24"/>
        </w:rPr>
      </w:pPr>
      <w:r>
        <w:rPr>
          <w:rFonts w:cs="Arial"/>
          <w:szCs w:val="24"/>
        </w:rPr>
        <w:t>r</w:t>
      </w:r>
      <w:r w:rsidR="004D346B" w:rsidRPr="00981E42">
        <w:rPr>
          <w:rFonts w:cs="Arial"/>
          <w:szCs w:val="24"/>
        </w:rPr>
        <w:t>eplac</w:t>
      </w:r>
      <w:r>
        <w:rPr>
          <w:rFonts w:cs="Arial"/>
          <w:szCs w:val="24"/>
        </w:rPr>
        <w:t>ing</w:t>
      </w:r>
      <w:r w:rsidR="004D346B" w:rsidRPr="00981E42">
        <w:rPr>
          <w:rFonts w:cs="Arial"/>
          <w:szCs w:val="24"/>
        </w:rPr>
        <w:t xml:space="preserve"> the </w:t>
      </w:r>
      <w:r w:rsidRPr="00981E42">
        <w:rPr>
          <w:rFonts w:cs="Arial"/>
          <w:szCs w:val="24"/>
        </w:rPr>
        <w:t>term</w:t>
      </w:r>
      <w:r w:rsidR="004D346B" w:rsidRPr="00981E42">
        <w:rPr>
          <w:rFonts w:cs="Arial"/>
          <w:szCs w:val="24"/>
        </w:rPr>
        <w:t xml:space="preserve"> ‘inspection period’. </w:t>
      </w:r>
    </w:p>
    <w:p w14:paraId="325030CF" w14:textId="77777777" w:rsidR="00981E42" w:rsidRPr="00981E42" w:rsidRDefault="00981E42" w:rsidP="00981E42">
      <w:pPr>
        <w:rPr>
          <w:rFonts w:cs="Arial"/>
          <w:szCs w:val="24"/>
        </w:rPr>
      </w:pPr>
      <w:r>
        <w:rPr>
          <w:rFonts w:cs="Arial"/>
          <w:szCs w:val="24"/>
        </w:rPr>
        <w:t xml:space="preserve">Minor changes have been made to the proposals on exemptions and authorisations </w:t>
      </w:r>
      <w:proofErr w:type="gramStart"/>
      <w:r>
        <w:rPr>
          <w:rFonts w:cs="Arial"/>
          <w:szCs w:val="24"/>
        </w:rPr>
        <w:t>as a result of</w:t>
      </w:r>
      <w:proofErr w:type="gramEnd"/>
      <w:r>
        <w:rPr>
          <w:rFonts w:cs="Arial"/>
          <w:szCs w:val="24"/>
        </w:rPr>
        <w:t xml:space="preserve"> submissions.  </w:t>
      </w:r>
    </w:p>
    <w:p w14:paraId="496D4B37" w14:textId="77777777" w:rsidR="009D1AA8" w:rsidRPr="009D1AA8" w:rsidRDefault="009D1AA8" w:rsidP="004D346B">
      <w:pPr>
        <w:rPr>
          <w:rFonts w:cs="Arial"/>
          <w:b/>
          <w:bCs/>
          <w:szCs w:val="24"/>
        </w:rPr>
      </w:pPr>
      <w:r w:rsidRPr="009D1AA8">
        <w:rPr>
          <w:rFonts w:cs="Arial"/>
          <w:b/>
          <w:bCs/>
          <w:szCs w:val="24"/>
        </w:rPr>
        <w:t>Fee increases</w:t>
      </w:r>
      <w:r w:rsidR="007E7DAE">
        <w:rPr>
          <w:rFonts w:cs="Arial"/>
          <w:b/>
          <w:bCs/>
          <w:szCs w:val="24"/>
        </w:rPr>
        <w:t xml:space="preserve"> </w:t>
      </w:r>
    </w:p>
    <w:p w14:paraId="00EB6AE8" w14:textId="77777777" w:rsidR="00981E42" w:rsidRPr="00981E42" w:rsidRDefault="00981E42" w:rsidP="004D346B">
      <w:pPr>
        <w:rPr>
          <w:rFonts w:cs="Arial"/>
          <w:szCs w:val="24"/>
          <w:u w:val="single"/>
        </w:rPr>
      </w:pPr>
      <w:r w:rsidRPr="00981E42">
        <w:rPr>
          <w:rFonts w:cs="Arial"/>
          <w:szCs w:val="24"/>
          <w:u w:val="single"/>
        </w:rPr>
        <w:t xml:space="preserve">Who should </w:t>
      </w:r>
      <w:proofErr w:type="gramStart"/>
      <w:r w:rsidRPr="00981E42">
        <w:rPr>
          <w:rFonts w:cs="Arial"/>
          <w:szCs w:val="24"/>
          <w:u w:val="single"/>
        </w:rPr>
        <w:t>pay</w:t>
      </w:r>
      <w:proofErr w:type="gramEnd"/>
      <w:r w:rsidR="007E7DAE">
        <w:rPr>
          <w:rFonts w:cs="Arial"/>
          <w:szCs w:val="24"/>
          <w:u w:val="single"/>
        </w:rPr>
        <w:t xml:space="preserve"> </w:t>
      </w:r>
    </w:p>
    <w:p w14:paraId="6270E54D" w14:textId="77777777" w:rsidR="004D346B" w:rsidRDefault="009D1AA8" w:rsidP="004D346B">
      <w:pPr>
        <w:rPr>
          <w:rFonts w:cs="Arial"/>
          <w:szCs w:val="24"/>
        </w:rPr>
      </w:pPr>
      <w:r>
        <w:rPr>
          <w:rFonts w:cs="Arial"/>
          <w:szCs w:val="24"/>
        </w:rPr>
        <w:t>S</w:t>
      </w:r>
      <w:r w:rsidR="004D346B">
        <w:rPr>
          <w:rFonts w:cs="Arial"/>
          <w:szCs w:val="24"/>
        </w:rPr>
        <w:t xml:space="preserve">ome submitters said that the increased costs outlined in the </w:t>
      </w:r>
      <w:r w:rsidR="00C060F7">
        <w:rPr>
          <w:rFonts w:cs="Arial"/>
          <w:szCs w:val="24"/>
        </w:rPr>
        <w:t xml:space="preserve">public consultation document </w:t>
      </w:r>
      <w:r w:rsidR="004D346B">
        <w:rPr>
          <w:rFonts w:cs="Arial"/>
          <w:szCs w:val="24"/>
        </w:rPr>
        <w:t xml:space="preserve">were caused by inefficiency in administering </w:t>
      </w:r>
      <w:r w:rsidR="004D346B" w:rsidRPr="004D346B">
        <w:t>the</w:t>
      </w:r>
      <w:r w:rsidR="004D346B">
        <w:rPr>
          <w:rFonts w:cs="Arial"/>
          <w:szCs w:val="24"/>
        </w:rPr>
        <w:t xml:space="preserve"> Act or inaccuracy in calculating the fees. On this basis, some submitters argued that the Crown should fund (or write-off) the negative memorandum account balance. </w:t>
      </w:r>
    </w:p>
    <w:p w14:paraId="20199C75" w14:textId="77777777" w:rsidR="004D346B" w:rsidRDefault="004D346B" w:rsidP="004D346B">
      <w:pPr>
        <w:rPr>
          <w:rFonts w:cs="Arial"/>
          <w:szCs w:val="24"/>
        </w:rPr>
      </w:pPr>
      <w:r>
        <w:rPr>
          <w:rFonts w:cs="Arial"/>
          <w:szCs w:val="24"/>
        </w:rPr>
        <w:t xml:space="preserve">The Ministry’s view is that the cost increases have been necessary and unavoidable to administer the Act. On this basis, the benefits of administering the Act are being met at minimum costs. Reducing costs to </w:t>
      </w:r>
      <w:r w:rsidR="00B769EA">
        <w:rPr>
          <w:rFonts w:cs="Arial"/>
          <w:szCs w:val="24"/>
        </w:rPr>
        <w:t>achieve</w:t>
      </w:r>
      <w:r>
        <w:rPr>
          <w:rFonts w:cs="Arial"/>
          <w:szCs w:val="24"/>
        </w:rPr>
        <w:t xml:space="preserve"> a reduction in proposed fees would breach the obligation to ensure that the purposes of the Act are being met.</w:t>
      </w:r>
      <w:r w:rsidR="00981E42">
        <w:rPr>
          <w:rFonts w:cs="Arial"/>
          <w:szCs w:val="24"/>
        </w:rPr>
        <w:t xml:space="preserve"> </w:t>
      </w:r>
    </w:p>
    <w:p w14:paraId="1193FF83" w14:textId="77777777" w:rsidR="004D346B" w:rsidRDefault="004D346B" w:rsidP="004D346B">
      <w:pPr>
        <w:rPr>
          <w:rFonts w:cs="Arial"/>
          <w:szCs w:val="24"/>
        </w:rPr>
      </w:pPr>
      <w:r>
        <w:rPr>
          <w:rFonts w:cs="Arial"/>
          <w:szCs w:val="24"/>
        </w:rPr>
        <w:t xml:space="preserve">The Ministry accepts the argument that the fees calculated in 2016 did not fully </w:t>
      </w:r>
      <w:proofErr w:type="gramStart"/>
      <w:r>
        <w:rPr>
          <w:rFonts w:cs="Arial"/>
          <w:szCs w:val="24"/>
        </w:rPr>
        <w:t>take into account</w:t>
      </w:r>
      <w:proofErr w:type="gramEnd"/>
      <w:r>
        <w:rPr>
          <w:rFonts w:cs="Arial"/>
          <w:szCs w:val="24"/>
        </w:rPr>
        <w:t xml:space="preserve"> the extent of cost increases that have occurred. However, it is also reasonable to argue that the people and organisations that pay fees under the Act have enjoyed the exclusive benefit of the undertake in fees. Also, no submitters identified a social or cultural goal, over and above the administration of the Act, that justifies Crown funding.  </w:t>
      </w:r>
      <w:r w:rsidRPr="002A63D2">
        <w:rPr>
          <w:rFonts w:cs="Arial"/>
          <w:szCs w:val="24"/>
        </w:rPr>
        <w:t xml:space="preserve">  </w:t>
      </w:r>
    </w:p>
    <w:p w14:paraId="75BDF13F" w14:textId="77777777" w:rsidR="004D346B" w:rsidRDefault="00981E42" w:rsidP="004D346B">
      <w:pPr>
        <w:rPr>
          <w:rFonts w:cs="Arial"/>
          <w:szCs w:val="24"/>
        </w:rPr>
      </w:pPr>
      <w:r>
        <w:rPr>
          <w:rFonts w:cs="Arial"/>
          <w:szCs w:val="24"/>
        </w:rPr>
        <w:t>Submitters supported</w:t>
      </w:r>
      <w:r w:rsidR="004D346B">
        <w:rPr>
          <w:rFonts w:cs="Arial"/>
          <w:szCs w:val="24"/>
        </w:rPr>
        <w:t xml:space="preserve"> the method for calculating the proposed fees.</w:t>
      </w:r>
    </w:p>
    <w:p w14:paraId="12DCE19F" w14:textId="77777777" w:rsidR="009D1AA8" w:rsidRDefault="00012FF3" w:rsidP="004D346B">
      <w:pPr>
        <w:rPr>
          <w:rFonts w:cs="Arial"/>
          <w:szCs w:val="24"/>
        </w:rPr>
      </w:pPr>
      <w:r>
        <w:rPr>
          <w:rFonts w:cs="Arial"/>
          <w:szCs w:val="24"/>
        </w:rPr>
        <w:t>T</w:t>
      </w:r>
      <w:r w:rsidR="009D1AA8">
        <w:rPr>
          <w:rFonts w:cs="Arial"/>
          <w:szCs w:val="24"/>
        </w:rPr>
        <w:t xml:space="preserve">he proposed new fees are identical to the preferred options outlined in the </w:t>
      </w:r>
      <w:r w:rsidR="00C060F7">
        <w:rPr>
          <w:rFonts w:cs="Arial"/>
          <w:szCs w:val="24"/>
        </w:rPr>
        <w:t>public consultation document</w:t>
      </w:r>
      <w:r w:rsidR="009D1AA8">
        <w:rPr>
          <w:rFonts w:cs="Arial"/>
          <w:szCs w:val="24"/>
        </w:rPr>
        <w:t xml:space="preserve">.  </w:t>
      </w:r>
    </w:p>
    <w:p w14:paraId="3EC83B3F" w14:textId="77777777" w:rsidR="004C0EE5" w:rsidRPr="00981E42" w:rsidRDefault="004C0EE5" w:rsidP="004C0EE5">
      <w:pPr>
        <w:rPr>
          <w:rFonts w:cs="Arial"/>
          <w:szCs w:val="24"/>
          <w:u w:val="single"/>
        </w:rPr>
      </w:pPr>
      <w:r w:rsidRPr="00981E42">
        <w:rPr>
          <w:rFonts w:cs="Arial"/>
          <w:szCs w:val="24"/>
          <w:u w:val="single"/>
        </w:rPr>
        <w:t>Refund provisions</w:t>
      </w:r>
      <w:r w:rsidR="00981E42" w:rsidRPr="00981E42">
        <w:rPr>
          <w:rFonts w:cs="Arial"/>
          <w:szCs w:val="24"/>
          <w:u w:val="single"/>
        </w:rPr>
        <w:t xml:space="preserve"> to support the fee increases</w:t>
      </w:r>
    </w:p>
    <w:p w14:paraId="2295B95A" w14:textId="77777777" w:rsidR="004C0EE5" w:rsidRDefault="004C0EE5" w:rsidP="004C0EE5">
      <w:pPr>
        <w:rPr>
          <w:rFonts w:cs="Arial"/>
          <w:szCs w:val="24"/>
        </w:rPr>
      </w:pPr>
      <w:r>
        <w:rPr>
          <w:rFonts w:cs="Arial"/>
          <w:szCs w:val="24"/>
        </w:rPr>
        <w:t xml:space="preserve">Two submitters raised concerns that introducing the partial retention of fees paid for use licence and consent applications that are declined was inequitable and may disincentivise applications. The portion of the fees </w:t>
      </w:r>
      <w:r w:rsidRPr="004D346B">
        <w:t>proposed</w:t>
      </w:r>
      <w:r>
        <w:rPr>
          <w:rFonts w:cs="Arial"/>
          <w:szCs w:val="24"/>
        </w:rPr>
        <w:t xml:space="preserve"> to be retained would be close to the full fee. The Ministry accepts this view and these proposals have not been progressed. </w:t>
      </w:r>
    </w:p>
    <w:p w14:paraId="64F486E3" w14:textId="77777777" w:rsidR="00455785" w:rsidRDefault="004C0EE5" w:rsidP="004C0EE5">
      <w:pPr>
        <w:rPr>
          <w:rFonts w:cs="Arial"/>
          <w:szCs w:val="24"/>
        </w:rPr>
      </w:pPr>
      <w:r>
        <w:rPr>
          <w:rFonts w:cs="Arial"/>
          <w:szCs w:val="24"/>
        </w:rPr>
        <w:t xml:space="preserve">This means that a full refund would continue to be paid if a use licence or consent application is declined. </w:t>
      </w:r>
      <w:r w:rsidR="00455785">
        <w:rPr>
          <w:rFonts w:cs="Arial"/>
          <w:szCs w:val="24"/>
        </w:rPr>
        <w:t>The cost of this change w</w:t>
      </w:r>
      <w:r w:rsidR="00012FF3">
        <w:rPr>
          <w:rFonts w:cs="Arial"/>
          <w:szCs w:val="24"/>
        </w:rPr>
        <w:t>ould</w:t>
      </w:r>
      <w:r w:rsidR="00455785">
        <w:rPr>
          <w:rFonts w:cs="Arial"/>
          <w:szCs w:val="24"/>
        </w:rPr>
        <w:t xml:space="preserve"> have a negligible effect of cost recovery.  </w:t>
      </w:r>
    </w:p>
    <w:p w14:paraId="13E7A076" w14:textId="77777777" w:rsidR="004C0EE5" w:rsidRDefault="004C0EE5" w:rsidP="004C0EE5">
      <w:pPr>
        <w:rPr>
          <w:rFonts w:cs="Arial"/>
          <w:szCs w:val="24"/>
        </w:rPr>
      </w:pPr>
      <w:r>
        <w:rPr>
          <w:rFonts w:cs="Arial"/>
          <w:szCs w:val="24"/>
        </w:rPr>
        <w:lastRenderedPageBreak/>
        <w:t xml:space="preserve">The refund proposals outlined in the </w:t>
      </w:r>
      <w:r w:rsidR="00C060F7">
        <w:rPr>
          <w:rFonts w:cs="Arial"/>
          <w:szCs w:val="24"/>
        </w:rPr>
        <w:t xml:space="preserve">public consultation document </w:t>
      </w:r>
      <w:r>
        <w:rPr>
          <w:rFonts w:cs="Arial"/>
          <w:szCs w:val="24"/>
        </w:rPr>
        <w:t xml:space="preserve">as the preferred option have been adopted for these proposals. </w:t>
      </w:r>
    </w:p>
    <w:p w14:paraId="38039B38" w14:textId="77777777" w:rsidR="004C0EE5" w:rsidRDefault="004C0EE5" w:rsidP="004C0EE5">
      <w:pPr>
        <w:rPr>
          <w:rFonts w:cs="Arial"/>
          <w:szCs w:val="24"/>
        </w:rPr>
      </w:pPr>
      <w:r>
        <w:rPr>
          <w:rFonts w:cs="Arial"/>
          <w:szCs w:val="24"/>
        </w:rPr>
        <w:t xml:space="preserve">A submitter pointed out that variations to existing licences cannot </w:t>
      </w:r>
      <w:proofErr w:type="gramStart"/>
      <w:r>
        <w:rPr>
          <w:rFonts w:cs="Arial"/>
          <w:szCs w:val="24"/>
        </w:rPr>
        <w:t xml:space="preserve">be </w:t>
      </w:r>
      <w:r w:rsidRPr="004D346B">
        <w:t>considered</w:t>
      </w:r>
      <w:r>
        <w:rPr>
          <w:rFonts w:cs="Arial"/>
          <w:szCs w:val="24"/>
        </w:rPr>
        <w:t xml:space="preserve"> to be</w:t>
      </w:r>
      <w:proofErr w:type="gramEnd"/>
      <w:r>
        <w:rPr>
          <w:rFonts w:cs="Arial"/>
          <w:szCs w:val="24"/>
        </w:rPr>
        <w:t xml:space="preserve"> new-licence applications for the purposes of calculating refunds. The Ministry accepts this view and the proposals in this paper have been adjusted to ensure that variations are treated as renewal applications.  </w:t>
      </w:r>
    </w:p>
    <w:p w14:paraId="7D6690B3" w14:textId="77777777" w:rsidR="004C0EE5" w:rsidRDefault="00012FF3" w:rsidP="004C0EE5">
      <w:pPr>
        <w:rPr>
          <w:rFonts w:cs="Arial"/>
          <w:szCs w:val="24"/>
        </w:rPr>
      </w:pPr>
      <w:r>
        <w:rPr>
          <w:rFonts w:cs="Arial"/>
          <w:szCs w:val="24"/>
        </w:rPr>
        <w:t>T</w:t>
      </w:r>
      <w:r w:rsidR="004C0EE5">
        <w:rPr>
          <w:rFonts w:cs="Arial"/>
          <w:szCs w:val="24"/>
        </w:rPr>
        <w:t xml:space="preserve">he refund provisions have been adjusted </w:t>
      </w:r>
      <w:r w:rsidR="00455785">
        <w:rPr>
          <w:rFonts w:cs="Arial"/>
          <w:szCs w:val="24"/>
        </w:rPr>
        <w:t xml:space="preserve">in response to submissions. </w:t>
      </w:r>
      <w:r w:rsidR="004C0EE5">
        <w:rPr>
          <w:rFonts w:cs="Arial"/>
          <w:szCs w:val="24"/>
        </w:rPr>
        <w:t xml:space="preserve"> </w:t>
      </w:r>
    </w:p>
    <w:p w14:paraId="62CA2FAA" w14:textId="77777777" w:rsidR="004C0EE5" w:rsidRPr="00981E42" w:rsidRDefault="004C0EE5" w:rsidP="004C0EE5">
      <w:pPr>
        <w:rPr>
          <w:u w:val="single"/>
        </w:rPr>
      </w:pPr>
      <w:r w:rsidRPr="00981E42">
        <w:rPr>
          <w:u w:val="single"/>
        </w:rPr>
        <w:t xml:space="preserve">Re-categorisation of some practices in Schedule 2 </w:t>
      </w:r>
      <w:r w:rsidR="005151DC">
        <w:rPr>
          <w:u w:val="single"/>
        </w:rPr>
        <w:t>of the Regulations</w:t>
      </w:r>
    </w:p>
    <w:p w14:paraId="01938AB7" w14:textId="77777777" w:rsidR="004C0EE5" w:rsidRPr="004C0EE5" w:rsidRDefault="004C0EE5" w:rsidP="004D346B">
      <w:pPr>
        <w:rPr>
          <w:rFonts w:cs="Arial"/>
          <w:szCs w:val="24"/>
        </w:rPr>
      </w:pPr>
      <w:r>
        <w:rPr>
          <w:rFonts w:cs="Arial"/>
          <w:szCs w:val="24"/>
        </w:rPr>
        <w:t>The preferred option was supported by submitters</w:t>
      </w:r>
      <w:r w:rsidR="00981E42">
        <w:rPr>
          <w:rFonts w:cs="Arial"/>
          <w:szCs w:val="24"/>
        </w:rPr>
        <w:t xml:space="preserve"> and these proposals remain unchanged to those outlined in the </w:t>
      </w:r>
      <w:r w:rsidR="00C060F7">
        <w:rPr>
          <w:rFonts w:cs="Arial"/>
          <w:szCs w:val="24"/>
        </w:rPr>
        <w:t>public consultation document</w:t>
      </w:r>
      <w:r w:rsidR="00981E42">
        <w:rPr>
          <w:rFonts w:cs="Arial"/>
          <w:szCs w:val="24"/>
        </w:rPr>
        <w:t xml:space="preserve">.  </w:t>
      </w:r>
    </w:p>
    <w:p w14:paraId="143D4EEC" w14:textId="77777777" w:rsidR="009D1AA8" w:rsidRPr="009D1AA8" w:rsidRDefault="009D1AA8" w:rsidP="004D346B">
      <w:pPr>
        <w:rPr>
          <w:rFonts w:cs="Arial"/>
          <w:b/>
          <w:bCs/>
          <w:szCs w:val="24"/>
        </w:rPr>
      </w:pPr>
      <w:r>
        <w:rPr>
          <w:rFonts w:cs="Arial"/>
          <w:b/>
          <w:bCs/>
          <w:szCs w:val="24"/>
        </w:rPr>
        <w:t xml:space="preserve">Replacing </w:t>
      </w:r>
      <w:r w:rsidR="00981E42">
        <w:rPr>
          <w:rFonts w:cs="Arial"/>
          <w:b/>
          <w:bCs/>
          <w:szCs w:val="24"/>
        </w:rPr>
        <w:t xml:space="preserve">the term </w:t>
      </w:r>
      <w:r>
        <w:rPr>
          <w:rFonts w:cs="Arial"/>
          <w:b/>
          <w:bCs/>
          <w:szCs w:val="24"/>
        </w:rPr>
        <w:t>i</w:t>
      </w:r>
      <w:r w:rsidRPr="009D1AA8">
        <w:rPr>
          <w:rFonts w:cs="Arial"/>
          <w:b/>
          <w:bCs/>
          <w:szCs w:val="24"/>
        </w:rPr>
        <w:t>nspection periods</w:t>
      </w:r>
      <w:r w:rsidR="007E7DAE">
        <w:rPr>
          <w:rFonts w:cs="Arial"/>
          <w:b/>
          <w:bCs/>
          <w:szCs w:val="24"/>
        </w:rPr>
        <w:t xml:space="preserve"> </w:t>
      </w:r>
    </w:p>
    <w:p w14:paraId="0F096F4F" w14:textId="77777777" w:rsidR="004D346B" w:rsidRPr="00372777" w:rsidRDefault="009D1AA8" w:rsidP="004D346B">
      <w:pPr>
        <w:rPr>
          <w:rFonts w:cs="Arial"/>
          <w:szCs w:val="24"/>
        </w:rPr>
      </w:pPr>
      <w:r>
        <w:rPr>
          <w:rFonts w:cs="Arial"/>
          <w:szCs w:val="24"/>
        </w:rPr>
        <w:t>S</w:t>
      </w:r>
      <w:r w:rsidR="004D346B">
        <w:rPr>
          <w:rFonts w:cs="Arial"/>
          <w:szCs w:val="24"/>
        </w:rPr>
        <w:t xml:space="preserve">ome submitters considered the </w:t>
      </w:r>
      <w:r w:rsidR="00372777">
        <w:rPr>
          <w:rFonts w:cs="Arial"/>
          <w:szCs w:val="24"/>
        </w:rPr>
        <w:t>removal of the term inspection period from the Regulations would also remove</w:t>
      </w:r>
      <w:r w:rsidR="004D346B" w:rsidRPr="00372777">
        <w:rPr>
          <w:rFonts w:cs="Arial"/>
          <w:szCs w:val="24"/>
        </w:rPr>
        <w:t xml:space="preserve"> transparency of the service provided for the fees that are paid.  </w:t>
      </w:r>
    </w:p>
    <w:p w14:paraId="77FFD1D2" w14:textId="77777777" w:rsidR="004D346B" w:rsidRPr="00372777" w:rsidRDefault="004D346B" w:rsidP="004D346B">
      <w:pPr>
        <w:rPr>
          <w:rFonts w:cs="Arial"/>
          <w:szCs w:val="24"/>
        </w:rPr>
      </w:pPr>
      <w:r w:rsidRPr="00372777">
        <w:rPr>
          <w:rFonts w:cs="Arial"/>
          <w:szCs w:val="24"/>
        </w:rPr>
        <w:t>The Ministry accepts this view</w:t>
      </w:r>
      <w:r w:rsidR="00372777" w:rsidRPr="00372777">
        <w:rPr>
          <w:rFonts w:cs="Arial"/>
          <w:szCs w:val="24"/>
        </w:rPr>
        <w:t xml:space="preserve"> and the proposal has been amended to ensure that a transparent connection between the fee paid and costs of inspection would be retained. </w:t>
      </w:r>
      <w:r w:rsidR="009D1AA8" w:rsidRPr="00372777">
        <w:rPr>
          <w:rFonts w:cs="Arial"/>
          <w:szCs w:val="24"/>
        </w:rPr>
        <w:t xml:space="preserve"> </w:t>
      </w:r>
    </w:p>
    <w:p w14:paraId="2C215C9D" w14:textId="77777777" w:rsidR="009D1AA8" w:rsidRPr="009D1AA8" w:rsidRDefault="009D1AA8" w:rsidP="004D346B">
      <w:pPr>
        <w:rPr>
          <w:rFonts w:cs="Arial"/>
          <w:b/>
          <w:bCs/>
          <w:szCs w:val="24"/>
        </w:rPr>
      </w:pPr>
      <w:r w:rsidRPr="009D1AA8">
        <w:rPr>
          <w:rFonts w:cs="Arial"/>
          <w:b/>
          <w:bCs/>
          <w:szCs w:val="24"/>
        </w:rPr>
        <w:t>Exemptions</w:t>
      </w:r>
      <w:r w:rsidR="007E7DAE">
        <w:rPr>
          <w:rFonts w:cs="Arial"/>
          <w:b/>
          <w:bCs/>
          <w:szCs w:val="24"/>
        </w:rPr>
        <w:t xml:space="preserve"> and authorisations </w:t>
      </w:r>
    </w:p>
    <w:p w14:paraId="16EAC3E3" w14:textId="77777777" w:rsidR="007E7DAE" w:rsidRDefault="007E7DAE" w:rsidP="004D346B">
      <w:pPr>
        <w:rPr>
          <w:rFonts w:cs="Arial"/>
          <w:szCs w:val="24"/>
        </w:rPr>
      </w:pPr>
      <w:r>
        <w:rPr>
          <w:rFonts w:cs="Arial"/>
          <w:szCs w:val="24"/>
        </w:rPr>
        <w:t xml:space="preserve">Two exemptions were requested </w:t>
      </w:r>
      <w:proofErr w:type="gramStart"/>
      <w:r>
        <w:rPr>
          <w:rFonts w:cs="Arial"/>
          <w:szCs w:val="24"/>
        </w:rPr>
        <w:t>as a result of</w:t>
      </w:r>
      <w:proofErr w:type="gramEnd"/>
      <w:r>
        <w:rPr>
          <w:rFonts w:cs="Arial"/>
          <w:szCs w:val="24"/>
        </w:rPr>
        <w:t xml:space="preserve"> submissions. One was out-of-scope and one has been included in the proposals to amend the Regulations. The impact has been assessed as very small. Technical changes to the authorisation proposals to amend the Regulation have also been made </w:t>
      </w:r>
      <w:proofErr w:type="gramStart"/>
      <w:r>
        <w:rPr>
          <w:rFonts w:cs="Arial"/>
          <w:szCs w:val="24"/>
        </w:rPr>
        <w:t>as</w:t>
      </w:r>
      <w:r w:rsidR="00376605">
        <w:rPr>
          <w:rFonts w:cs="Arial"/>
          <w:szCs w:val="24"/>
        </w:rPr>
        <w:t xml:space="preserve"> </w:t>
      </w:r>
      <w:r>
        <w:rPr>
          <w:rFonts w:cs="Arial"/>
          <w:szCs w:val="24"/>
        </w:rPr>
        <w:t>a</w:t>
      </w:r>
      <w:r w:rsidR="00376605">
        <w:rPr>
          <w:rFonts w:cs="Arial"/>
          <w:szCs w:val="24"/>
        </w:rPr>
        <w:t xml:space="preserve"> </w:t>
      </w:r>
      <w:r>
        <w:rPr>
          <w:rFonts w:cs="Arial"/>
          <w:szCs w:val="24"/>
        </w:rPr>
        <w:t>result of</w:t>
      </w:r>
      <w:proofErr w:type="gramEnd"/>
      <w:r>
        <w:rPr>
          <w:rFonts w:cs="Arial"/>
          <w:szCs w:val="24"/>
        </w:rPr>
        <w:t xml:space="preserve"> submissions that will have no effects on costs or fees.  </w:t>
      </w:r>
    </w:p>
    <w:p w14:paraId="47698E91" w14:textId="77777777" w:rsidR="004D346B" w:rsidRDefault="004D346B" w:rsidP="004D346B">
      <w:pPr>
        <w:rPr>
          <w:rFonts w:cs="Arial"/>
          <w:szCs w:val="24"/>
        </w:rPr>
      </w:pPr>
      <w:r>
        <w:rPr>
          <w:rFonts w:cs="Arial"/>
          <w:szCs w:val="24"/>
        </w:rPr>
        <w:t xml:space="preserve">The remainder of proposals are in line with the preferred options outlined in the </w:t>
      </w:r>
      <w:r w:rsidR="00C060F7">
        <w:rPr>
          <w:rFonts w:cs="Arial"/>
          <w:szCs w:val="24"/>
        </w:rPr>
        <w:t>public consultation document</w:t>
      </w:r>
      <w:r>
        <w:rPr>
          <w:rFonts w:cs="Arial"/>
          <w:szCs w:val="24"/>
        </w:rPr>
        <w:t xml:space="preserve">.  </w:t>
      </w:r>
    </w:p>
    <w:p w14:paraId="378F25DF" w14:textId="77777777" w:rsidR="0041087B" w:rsidRPr="00082653" w:rsidRDefault="0041087B" w:rsidP="0041087B">
      <w:pPr>
        <w:pStyle w:val="Heading2"/>
      </w:pPr>
      <w:bookmarkStart w:id="60" w:name="_Preferred_option_[optional]"/>
      <w:bookmarkStart w:id="61" w:name="_Toc244580367"/>
      <w:bookmarkStart w:id="62" w:name="_Toc244587043"/>
      <w:bookmarkStart w:id="63" w:name="_Toc244857277"/>
      <w:bookmarkStart w:id="64" w:name="_Toc244912542"/>
      <w:bookmarkStart w:id="65" w:name="_Toc244916999"/>
      <w:bookmarkStart w:id="66" w:name="_Toc362368108"/>
      <w:bookmarkStart w:id="67" w:name="_Toc362434949"/>
      <w:bookmarkStart w:id="68" w:name="_Toc362589335"/>
      <w:bookmarkStart w:id="69" w:name="_Toc362619035"/>
      <w:bookmarkStart w:id="70" w:name="_Toc362940599"/>
      <w:bookmarkStart w:id="71" w:name="_Toc363047107"/>
      <w:bookmarkEnd w:id="60"/>
      <w:r>
        <w:t>Conclusions and recommendations</w:t>
      </w:r>
      <w:bookmarkEnd w:id="61"/>
      <w:bookmarkEnd w:id="62"/>
      <w:bookmarkEnd w:id="63"/>
      <w:bookmarkEnd w:id="64"/>
      <w:bookmarkEnd w:id="65"/>
      <w:bookmarkEnd w:id="66"/>
      <w:bookmarkEnd w:id="67"/>
      <w:bookmarkEnd w:id="68"/>
      <w:bookmarkEnd w:id="69"/>
      <w:bookmarkEnd w:id="70"/>
      <w:bookmarkEnd w:id="71"/>
    </w:p>
    <w:p w14:paraId="09ACA3A6" w14:textId="77777777" w:rsidR="00012FF3" w:rsidRDefault="009D1AA8" w:rsidP="009D1AA8">
      <w:pPr>
        <w:rPr>
          <w:rFonts w:cs="Arial"/>
          <w:szCs w:val="24"/>
        </w:rPr>
      </w:pPr>
      <w:r>
        <w:rPr>
          <w:rFonts w:cs="Arial"/>
          <w:szCs w:val="24"/>
        </w:rPr>
        <w:t>The Ministry recommends the fees</w:t>
      </w:r>
      <w:r w:rsidR="00012FF3">
        <w:rPr>
          <w:rFonts w:cs="Arial"/>
          <w:szCs w:val="24"/>
        </w:rPr>
        <w:t xml:space="preserve"> </w:t>
      </w:r>
      <w:r w:rsidR="00170FE9">
        <w:rPr>
          <w:rFonts w:cs="Arial"/>
          <w:szCs w:val="24"/>
        </w:rPr>
        <w:t xml:space="preserve">outlined in the </w:t>
      </w:r>
      <w:r w:rsidR="00C060F7">
        <w:rPr>
          <w:rFonts w:cs="Arial"/>
          <w:szCs w:val="24"/>
        </w:rPr>
        <w:t xml:space="preserve">public consultation document </w:t>
      </w:r>
      <w:r w:rsidR="00012FF3">
        <w:rPr>
          <w:rFonts w:cs="Arial"/>
          <w:szCs w:val="24"/>
        </w:rPr>
        <w:t xml:space="preserve">without adjustments. However, adjustments to the refund proposals have been recommended in response to issues raised in submissions. </w:t>
      </w:r>
    </w:p>
    <w:p w14:paraId="3F0EBD4B" w14:textId="7BB9D692" w:rsidR="00012FF3" w:rsidRDefault="00012FF3" w:rsidP="00012FF3">
      <w:pPr>
        <w:rPr>
          <w:rFonts w:cs="Arial"/>
          <w:szCs w:val="24"/>
        </w:rPr>
      </w:pPr>
      <w:r>
        <w:rPr>
          <w:rFonts w:cs="Arial"/>
          <w:szCs w:val="24"/>
        </w:rPr>
        <w:t xml:space="preserve">Adjustments </w:t>
      </w:r>
      <w:r w:rsidR="00CD7C55">
        <w:rPr>
          <w:rFonts w:cs="Arial"/>
          <w:szCs w:val="24"/>
        </w:rPr>
        <w:t xml:space="preserve">to </w:t>
      </w:r>
      <w:r>
        <w:rPr>
          <w:rFonts w:cs="Arial"/>
          <w:szCs w:val="24"/>
        </w:rPr>
        <w:t xml:space="preserve">the exemptions and authorisation proposals have also been recommended to those outlined in the </w:t>
      </w:r>
      <w:r w:rsidR="00C060F7">
        <w:rPr>
          <w:rFonts w:cs="Arial"/>
          <w:szCs w:val="24"/>
        </w:rPr>
        <w:t>public consultation document</w:t>
      </w:r>
      <w:r>
        <w:rPr>
          <w:rFonts w:cs="Arial"/>
          <w:szCs w:val="24"/>
        </w:rPr>
        <w:t xml:space="preserve">.   </w:t>
      </w:r>
    </w:p>
    <w:p w14:paraId="3380C39C" w14:textId="77777777" w:rsidR="00012FF3" w:rsidRDefault="00012FF3" w:rsidP="00012FF3">
      <w:pPr>
        <w:rPr>
          <w:rFonts w:cs="Arial"/>
          <w:szCs w:val="24"/>
        </w:rPr>
      </w:pPr>
      <w:r>
        <w:rPr>
          <w:rFonts w:cs="Arial"/>
          <w:szCs w:val="24"/>
        </w:rPr>
        <w:t xml:space="preserve">All other proposals are recommended in line with the preferred options in the </w:t>
      </w:r>
      <w:r w:rsidR="00C060F7">
        <w:rPr>
          <w:rFonts w:cs="Arial"/>
          <w:szCs w:val="24"/>
        </w:rPr>
        <w:t xml:space="preserve">public consultation document. </w:t>
      </w:r>
    </w:p>
    <w:p w14:paraId="6DDCF795" w14:textId="77777777" w:rsidR="00012FF3" w:rsidRPr="00012FF3" w:rsidRDefault="00012FF3" w:rsidP="009D1AA8">
      <w:r>
        <w:rPr>
          <w:rFonts w:cs="Arial"/>
          <w:szCs w:val="24"/>
        </w:rPr>
        <w:t>In the Ministry’s view, the public consultation and consideration of submissions satisfies the Minister of Health’s requirements to consult on cost recovery under section 92(4) of the Act.</w:t>
      </w:r>
    </w:p>
    <w:p w14:paraId="51130D02" w14:textId="77777777" w:rsidR="009D1AA8" w:rsidRDefault="009D1AA8" w:rsidP="009D1AA8">
      <w:pPr>
        <w:rPr>
          <w:rFonts w:cs="Arial"/>
          <w:szCs w:val="24"/>
        </w:rPr>
      </w:pPr>
      <w:r>
        <w:rPr>
          <w:rFonts w:cs="Arial"/>
          <w:szCs w:val="24"/>
        </w:rPr>
        <w:lastRenderedPageBreak/>
        <w:t>In the Ministry’s view, the process for establishing the new fees satisfies the Minister of Health’s requirements to have regard, as far as is reasonably practicable, to the principles of equity, efficiency, justifiability, transparency, and ease of administration before recommending the method of cost recovery under section 92(3) of the Act.</w:t>
      </w:r>
    </w:p>
    <w:p w14:paraId="62E6E58F" w14:textId="77777777" w:rsidR="00170FE9" w:rsidRDefault="00170FE9" w:rsidP="009D1AA8">
      <w:r>
        <w:rPr>
          <w:rFonts w:cs="Arial"/>
          <w:szCs w:val="24"/>
        </w:rPr>
        <w:t xml:space="preserve">The proposed amendments to the Regulations would ensure that the Regulations met the objectives outlined in 2016 RIS.  </w:t>
      </w:r>
    </w:p>
    <w:p w14:paraId="4F018500" w14:textId="77777777" w:rsidR="0041087B" w:rsidRDefault="0041087B" w:rsidP="0041087B">
      <w:pPr>
        <w:pStyle w:val="Heading2"/>
      </w:pPr>
      <w:bookmarkStart w:id="72" w:name="_Toc244580368"/>
      <w:bookmarkStart w:id="73" w:name="_Toc244587044"/>
      <w:bookmarkStart w:id="74" w:name="_Toc244857278"/>
      <w:bookmarkStart w:id="75" w:name="_Toc244912543"/>
      <w:bookmarkStart w:id="76" w:name="_Toc244917000"/>
      <w:bookmarkStart w:id="77" w:name="_Toc362368109"/>
      <w:bookmarkStart w:id="78" w:name="_Toc362434950"/>
      <w:bookmarkStart w:id="79" w:name="_Toc362589336"/>
      <w:bookmarkStart w:id="80" w:name="_Toc362619036"/>
      <w:bookmarkStart w:id="81" w:name="_Toc362940600"/>
      <w:bookmarkStart w:id="82" w:name="_Toc363047108"/>
      <w:r w:rsidRPr="00082653">
        <w:t>Implementation</w:t>
      </w:r>
      <w:bookmarkEnd w:id="72"/>
      <w:bookmarkEnd w:id="73"/>
      <w:bookmarkEnd w:id="74"/>
      <w:bookmarkEnd w:id="75"/>
      <w:bookmarkEnd w:id="76"/>
      <w:r>
        <w:t xml:space="preserve"> plan</w:t>
      </w:r>
      <w:bookmarkEnd w:id="77"/>
      <w:bookmarkEnd w:id="78"/>
      <w:bookmarkEnd w:id="79"/>
      <w:bookmarkEnd w:id="80"/>
      <w:bookmarkEnd w:id="81"/>
      <w:bookmarkEnd w:id="82"/>
    </w:p>
    <w:p w14:paraId="085839FA" w14:textId="77777777" w:rsidR="009D1AA8" w:rsidRDefault="009D1AA8" w:rsidP="0041087B">
      <w:pPr>
        <w:rPr>
          <w:rFonts w:cs="Arial"/>
          <w:szCs w:val="24"/>
        </w:rPr>
      </w:pPr>
      <w:r>
        <w:rPr>
          <w:rFonts w:cs="Arial"/>
          <w:szCs w:val="24"/>
        </w:rPr>
        <w:t>All authorisation holders w</w:t>
      </w:r>
      <w:r w:rsidR="00012FF3">
        <w:rPr>
          <w:rFonts w:cs="Arial"/>
          <w:szCs w:val="24"/>
        </w:rPr>
        <w:t>ould</w:t>
      </w:r>
      <w:r>
        <w:rPr>
          <w:rFonts w:cs="Arial"/>
          <w:szCs w:val="24"/>
        </w:rPr>
        <w:t xml:space="preserve"> be advised directly following final Cabinet decisions on these proposals. P</w:t>
      </w:r>
      <w:r w:rsidRPr="00474511">
        <w:rPr>
          <w:rFonts w:cs="Arial"/>
          <w:szCs w:val="24"/>
        </w:rPr>
        <w:t xml:space="preserve">rofessional registration bodies </w:t>
      </w:r>
      <w:r>
        <w:rPr>
          <w:rFonts w:cs="Arial"/>
          <w:szCs w:val="24"/>
        </w:rPr>
        <w:t>(</w:t>
      </w:r>
      <w:r w:rsidRPr="00474511">
        <w:rPr>
          <w:rFonts w:cs="Arial"/>
          <w:szCs w:val="24"/>
        </w:rPr>
        <w:t>for example, the Medical Council of New Zealand</w:t>
      </w:r>
      <w:r>
        <w:rPr>
          <w:rFonts w:cs="Arial"/>
          <w:szCs w:val="24"/>
        </w:rPr>
        <w:t>)</w:t>
      </w:r>
      <w:r w:rsidRPr="00474511">
        <w:rPr>
          <w:rFonts w:cs="Arial"/>
          <w:szCs w:val="24"/>
        </w:rPr>
        <w:t xml:space="preserve"> and </w:t>
      </w:r>
      <w:r>
        <w:rPr>
          <w:rFonts w:cs="Arial"/>
          <w:szCs w:val="24"/>
        </w:rPr>
        <w:t xml:space="preserve">highly affected </w:t>
      </w:r>
      <w:r w:rsidRPr="00474511">
        <w:rPr>
          <w:rFonts w:cs="Arial"/>
          <w:szCs w:val="24"/>
        </w:rPr>
        <w:t xml:space="preserve">occupational representative organisations </w:t>
      </w:r>
      <w:r>
        <w:rPr>
          <w:rFonts w:cs="Arial"/>
          <w:szCs w:val="24"/>
        </w:rPr>
        <w:t>w</w:t>
      </w:r>
      <w:r w:rsidR="00012FF3">
        <w:rPr>
          <w:rFonts w:cs="Arial"/>
          <w:szCs w:val="24"/>
        </w:rPr>
        <w:t>ill</w:t>
      </w:r>
      <w:r>
        <w:rPr>
          <w:rFonts w:cs="Arial"/>
          <w:szCs w:val="24"/>
        </w:rPr>
        <w:t xml:space="preserve"> also be directly advised. Officials will remain available to meet affected parties</w:t>
      </w:r>
      <w:r w:rsidRPr="00474511">
        <w:rPr>
          <w:rFonts w:cs="Arial"/>
          <w:szCs w:val="24"/>
        </w:rPr>
        <w:t xml:space="preserve"> on request.</w:t>
      </w:r>
    </w:p>
    <w:p w14:paraId="3BB4F1A7" w14:textId="77777777" w:rsidR="009D1AA8" w:rsidRDefault="009D1AA8" w:rsidP="0041087B">
      <w:r>
        <w:rPr>
          <w:rFonts w:cs="Arial"/>
          <w:szCs w:val="24"/>
        </w:rPr>
        <w:t xml:space="preserve">The fees </w:t>
      </w:r>
      <w:r w:rsidR="00397B37">
        <w:rPr>
          <w:rFonts w:cs="Arial"/>
          <w:szCs w:val="24"/>
        </w:rPr>
        <w:t>increase</w:t>
      </w:r>
      <w:r>
        <w:rPr>
          <w:rFonts w:cs="Arial"/>
          <w:szCs w:val="24"/>
        </w:rPr>
        <w:t xml:space="preserve"> ha</w:t>
      </w:r>
      <w:r w:rsidR="00397B37">
        <w:rPr>
          <w:rFonts w:cs="Arial"/>
          <w:szCs w:val="24"/>
        </w:rPr>
        <w:t>s</w:t>
      </w:r>
      <w:r>
        <w:rPr>
          <w:rFonts w:cs="Arial"/>
          <w:szCs w:val="24"/>
        </w:rPr>
        <w:t xml:space="preserve"> signalled in the </w:t>
      </w:r>
      <w:r w:rsidR="005F6EA0">
        <w:rPr>
          <w:rFonts w:cs="Arial"/>
          <w:szCs w:val="24"/>
        </w:rPr>
        <w:t xml:space="preserve">public consultation document </w:t>
      </w:r>
      <w:r>
        <w:rPr>
          <w:rFonts w:cs="Arial"/>
          <w:szCs w:val="24"/>
        </w:rPr>
        <w:t>and the likely timeframe to implement the new fees has been signalled, in general term</w:t>
      </w:r>
      <w:r w:rsidR="00012FF3">
        <w:rPr>
          <w:rFonts w:cs="Arial"/>
          <w:szCs w:val="24"/>
        </w:rPr>
        <w:t>s</w:t>
      </w:r>
      <w:r>
        <w:rPr>
          <w:rFonts w:cs="Arial"/>
          <w:szCs w:val="24"/>
        </w:rPr>
        <w:t xml:space="preserve">, on the Ministry’s website.  </w:t>
      </w:r>
    </w:p>
    <w:p w14:paraId="27A77899" w14:textId="77777777" w:rsidR="009D1AA8" w:rsidRDefault="009D1AA8" w:rsidP="0041087B">
      <w:r>
        <w:t xml:space="preserve">The Ministry has already taken steps to ready its payment and invoicing system for the new fees once Cabinet has taken final decisions. </w:t>
      </w:r>
    </w:p>
    <w:p w14:paraId="5ECA52C2" w14:textId="77777777" w:rsidR="00397B37" w:rsidRDefault="00397B37" w:rsidP="0041087B">
      <w:r>
        <w:t xml:space="preserve">A </w:t>
      </w:r>
      <w:r w:rsidR="00012FF3">
        <w:t xml:space="preserve">new </w:t>
      </w:r>
      <w:r>
        <w:t>class of irradiating w</w:t>
      </w:r>
      <w:r w:rsidR="00012FF3">
        <w:t>ould</w:t>
      </w:r>
      <w:r>
        <w:t xml:space="preserve"> require registration under the proposals. The Ministry will work with the two known retailers, known owners and known industry sectors. It is expected that full implementation plan will run for some time. </w:t>
      </w:r>
    </w:p>
    <w:p w14:paraId="12D5B9C4" w14:textId="77777777" w:rsidR="0041087B" w:rsidRDefault="0041087B" w:rsidP="0041087B">
      <w:pPr>
        <w:pStyle w:val="Heading2"/>
      </w:pPr>
      <w:bookmarkStart w:id="83" w:name="_Toc244580369"/>
      <w:bookmarkStart w:id="84" w:name="_Toc244587045"/>
      <w:bookmarkStart w:id="85" w:name="_Toc244857279"/>
      <w:bookmarkStart w:id="86" w:name="_Toc244912544"/>
      <w:bookmarkStart w:id="87" w:name="_Toc244917001"/>
      <w:bookmarkStart w:id="88" w:name="_Toc362368110"/>
      <w:bookmarkStart w:id="89" w:name="_Toc362434951"/>
      <w:bookmarkStart w:id="90" w:name="_Toc362589337"/>
      <w:bookmarkStart w:id="91" w:name="_Toc362619037"/>
      <w:bookmarkStart w:id="92" w:name="_Toc362940601"/>
      <w:bookmarkStart w:id="93" w:name="_Toc363047109"/>
      <w:r>
        <w:t>Monitoring and</w:t>
      </w:r>
      <w:r w:rsidRPr="00082653">
        <w:t xml:space="preserve"> evaluation</w:t>
      </w:r>
      <w:bookmarkEnd w:id="83"/>
      <w:bookmarkEnd w:id="84"/>
      <w:bookmarkEnd w:id="85"/>
      <w:bookmarkEnd w:id="86"/>
      <w:bookmarkEnd w:id="87"/>
      <w:bookmarkEnd w:id="88"/>
      <w:bookmarkEnd w:id="89"/>
      <w:bookmarkEnd w:id="90"/>
      <w:bookmarkEnd w:id="91"/>
      <w:bookmarkEnd w:id="92"/>
      <w:bookmarkEnd w:id="93"/>
    </w:p>
    <w:p w14:paraId="2C444D26" w14:textId="77777777" w:rsidR="009D1AA8" w:rsidRDefault="009D1AA8" w:rsidP="0041087B">
      <w:r>
        <w:t xml:space="preserve">The proposals do not create additional work streams </w:t>
      </w:r>
      <w:r w:rsidR="00376605">
        <w:t xml:space="preserve">and </w:t>
      </w:r>
      <w:r>
        <w:t xml:space="preserve">are not expected to be disruptive. The Ministry will continue to monitor and evaluate the performance of the team responsible for administering the Act as has been business as usual.  </w:t>
      </w:r>
    </w:p>
    <w:p w14:paraId="53508671" w14:textId="77777777" w:rsidR="009D1AA8" w:rsidRPr="00397B37" w:rsidRDefault="0041087B" w:rsidP="00397B37">
      <w:pPr>
        <w:pStyle w:val="Heading2"/>
        <w:rPr>
          <w:lang w:val="en-NZ"/>
        </w:rPr>
      </w:pPr>
      <w:r>
        <w:t>R</w:t>
      </w:r>
      <w:r w:rsidRPr="00082653">
        <w:t>eview</w:t>
      </w:r>
    </w:p>
    <w:p w14:paraId="53427C82" w14:textId="77777777" w:rsidR="009D1AA8" w:rsidRDefault="009D1AA8" w:rsidP="009D1AA8">
      <w:r>
        <w:t xml:space="preserve">The Ministry will review the fees in three years to track progress of the memorandum account balance.  </w:t>
      </w:r>
    </w:p>
    <w:p w14:paraId="38AF70CD" w14:textId="77777777" w:rsidR="009866FE" w:rsidRDefault="009D1AA8" w:rsidP="00397B37">
      <w:r>
        <w:t xml:space="preserve">A new IT system is expected to be well integrated in three years and an evaluation can also assess the impact of application processing effort.  </w:t>
      </w:r>
      <w:bookmarkEnd w:id="8"/>
      <w:bookmarkEnd w:id="9"/>
      <w:bookmarkEnd w:id="10"/>
      <w:bookmarkEnd w:id="11"/>
      <w:bookmarkEnd w:id="12"/>
      <w:bookmarkEnd w:id="13"/>
      <w:bookmarkEnd w:id="14"/>
      <w:bookmarkEnd w:id="15"/>
      <w:bookmarkEnd w:id="16"/>
      <w:bookmarkEnd w:id="17"/>
    </w:p>
    <w:sectPr w:rsidR="009866FE" w:rsidSect="009D1AA8">
      <w:footerReference w:type="even" r:id="rId11"/>
      <w:footerReference w:type="default" r:id="rId12"/>
      <w:headerReference w:type="first" r:id="rId13"/>
      <w:footerReference w:type="first" r:id="rId14"/>
      <w:pgSz w:w="11907" w:h="16840" w:code="9"/>
      <w:pgMar w:top="1134" w:right="1418" w:bottom="992" w:left="1418"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35961" w14:textId="77777777" w:rsidR="002528EE" w:rsidRDefault="002528EE" w:rsidP="0041087B">
      <w:pPr>
        <w:spacing w:after="0" w:line="240" w:lineRule="auto"/>
      </w:pPr>
      <w:r>
        <w:separator/>
      </w:r>
    </w:p>
  </w:endnote>
  <w:endnote w:type="continuationSeparator" w:id="0">
    <w:p w14:paraId="5579A5C7" w14:textId="77777777" w:rsidR="002528EE" w:rsidRDefault="002528EE" w:rsidP="00410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652F" w14:textId="77777777" w:rsidR="007A4CBF" w:rsidRPr="00C73AEA" w:rsidRDefault="00410AB9" w:rsidP="007A4CBF">
    <w:pPr>
      <w:pStyle w:val="EvenFooter"/>
      <w:rPr>
        <w:caps/>
      </w:rPr>
    </w:pPr>
    <w:r>
      <w:fldChar w:fldCharType="begin"/>
    </w:r>
    <w:r>
      <w:instrText xml:space="preserve">PAGE  </w:instrText>
    </w:r>
    <w:r>
      <w:fldChar w:fldCharType="separate"/>
    </w:r>
    <w:r>
      <w:t>8</w:t>
    </w:r>
    <w:r>
      <w:fldChar w:fldCharType="end"/>
    </w:r>
    <w:r w:rsidRPr="00281580">
      <w:t xml:space="preserve"> </w:t>
    </w:r>
    <w:r>
      <w:t xml:space="preserve"> </w:t>
    </w:r>
    <w:r w:rsidRPr="00281580">
      <w:t xml:space="preserve"> | </w:t>
    </w:r>
    <w:r>
      <w:t xml:space="preserve"> </w:t>
    </w:r>
    <w:r w:rsidRPr="00281580">
      <w:t xml:space="preserve"> </w:t>
    </w:r>
    <w:r w:rsidRPr="005D2127">
      <w:t>Regulator</w:t>
    </w:r>
    <w:r>
      <w:t xml:space="preserve">y Impact Analysis: Cost Recovery Impact Statement - Overview of Required Information - Template </w:t>
    </w:r>
    <w:r w:rsidRPr="00B9122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0297" w14:textId="77777777" w:rsidR="007A4CBF" w:rsidRPr="00C73AEA" w:rsidRDefault="00410AB9" w:rsidP="007A4CBF">
    <w:pPr>
      <w:pStyle w:val="Footer"/>
    </w:pPr>
    <w:r>
      <w:tab/>
    </w:r>
    <w:r w:rsidRPr="005D2127">
      <w:t>Regulator</w:t>
    </w:r>
    <w:r>
      <w:t xml:space="preserve">y Impact Analysis: Cost Recovery Impact Statement </w:t>
    </w:r>
    <w:r w:rsidR="00663DD5">
      <w:t>–</w:t>
    </w:r>
    <w:r>
      <w:t xml:space="preserve"> </w:t>
    </w:r>
    <w:r w:rsidR="00663DD5">
      <w:t>Approval to Amend the Radiation Safety Regulations 2016</w:t>
    </w:r>
    <w:r>
      <w:t xml:space="preserve"> </w:t>
    </w:r>
    <w:r w:rsidRPr="00B91224">
      <w:t xml:space="preserve">  | </w:t>
    </w:r>
    <w:r>
      <w:t xml:space="preserve"> </w:t>
    </w:r>
    <w:r w:rsidRPr="00B91224">
      <w:t xml:space="preserve"> </w:t>
    </w:r>
    <w:r>
      <w:fldChar w:fldCharType="begin"/>
    </w:r>
    <w:r>
      <w:instrText xml:space="preserve"> PAGE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2000" w14:textId="77777777" w:rsidR="007A4CBF" w:rsidRDefault="00410AB9" w:rsidP="007A4CBF">
    <w:pPr>
      <w:pStyle w:val="Footer"/>
    </w:pPr>
    <w:r>
      <w:tab/>
    </w:r>
    <w:r w:rsidRPr="005D2127">
      <w:t>Regulator</w:t>
    </w:r>
    <w:r>
      <w:t xml:space="preserve">y Impact Analysis: Cost Recovery Impact Statement - Overview of Required Information - Template </w:t>
    </w:r>
    <w:r w:rsidRPr="00B91224">
      <w:t xml:space="preserve">  |</w:t>
    </w:r>
    <w:r>
      <w:t xml:space="preserve"> </w:t>
    </w:r>
    <w:r w:rsidRPr="00B91224">
      <w:t xml:space="preserve">  </w:t>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F868" w14:textId="77777777" w:rsidR="002528EE" w:rsidRDefault="002528EE" w:rsidP="0041087B">
      <w:pPr>
        <w:spacing w:after="0" w:line="240" w:lineRule="auto"/>
      </w:pPr>
      <w:r>
        <w:separator/>
      </w:r>
    </w:p>
  </w:footnote>
  <w:footnote w:type="continuationSeparator" w:id="0">
    <w:p w14:paraId="343E0191" w14:textId="77777777" w:rsidR="002528EE" w:rsidRDefault="002528EE" w:rsidP="0041087B">
      <w:pPr>
        <w:spacing w:after="0" w:line="240" w:lineRule="auto"/>
      </w:pPr>
      <w:r>
        <w:continuationSeparator/>
      </w:r>
    </w:p>
  </w:footnote>
  <w:footnote w:id="1">
    <w:p w14:paraId="72D1722E" w14:textId="77777777" w:rsidR="00BC5DA4" w:rsidRPr="00757148" w:rsidRDefault="00BC5DA4" w:rsidP="00BC5DA4">
      <w:pPr>
        <w:pStyle w:val="FootnoteText"/>
        <w:tabs>
          <w:tab w:val="clear" w:pos="425"/>
          <w:tab w:val="left" w:pos="426"/>
        </w:tabs>
        <w:ind w:left="0" w:firstLine="0"/>
        <w:rPr>
          <w:lang w:val="mi-NZ"/>
        </w:rPr>
      </w:pPr>
      <w:r>
        <w:rPr>
          <w:rStyle w:val="FootnoteReference"/>
        </w:rPr>
        <w:footnoteRef/>
      </w:r>
      <w:r>
        <w:t xml:space="preserve"> </w:t>
      </w:r>
      <w:r>
        <w:rPr>
          <w:lang w:val="mi-NZ"/>
        </w:rPr>
        <w:t>Ministry of Health, 4 October 2016 (accessed 10 September 2022) (</w:t>
      </w:r>
      <w:r w:rsidRPr="00757148">
        <w:rPr>
          <w:lang w:val="mi-NZ"/>
        </w:rPr>
        <w:t>www.health.govt.nz/about-ministry/information-releases/regulatory-impact-statements/radiation-safety-regulations</w:t>
      </w:r>
      <w:r>
        <w:rPr>
          <w:lang w:val="mi-NZ"/>
        </w:rPr>
        <w:t>)</w:t>
      </w:r>
    </w:p>
  </w:footnote>
  <w:footnote w:id="2">
    <w:p w14:paraId="6816373C" w14:textId="77777777" w:rsidR="00322DB6" w:rsidRPr="00757148" w:rsidRDefault="00322DB6" w:rsidP="00322DB6">
      <w:pPr>
        <w:pStyle w:val="FootnoteText"/>
        <w:tabs>
          <w:tab w:val="clear" w:pos="425"/>
          <w:tab w:val="left" w:pos="709"/>
        </w:tabs>
        <w:ind w:left="0" w:firstLine="0"/>
        <w:rPr>
          <w:lang w:val="mi-NZ"/>
        </w:rPr>
      </w:pPr>
      <w:r>
        <w:rPr>
          <w:rStyle w:val="FootnoteReference"/>
        </w:rPr>
        <w:footnoteRef/>
      </w:r>
      <w:r>
        <w:t xml:space="preserve"> Ministry of Health, 16 March 2021 (accessed 10 September 2022) (</w:t>
      </w:r>
      <w:r w:rsidRPr="00757148">
        <w:t>www.health.govt.nz/publication/review-radiation-safety-regulations-2016-consultation-document</w:t>
      </w:r>
      <w:r>
        <w:t xml:space="preserve">) </w:t>
      </w:r>
    </w:p>
  </w:footnote>
  <w:footnote w:id="3">
    <w:p w14:paraId="3751E19F" w14:textId="77777777" w:rsidR="004D17AB" w:rsidRPr="00757148" w:rsidRDefault="004D17AB" w:rsidP="004D17AB">
      <w:pPr>
        <w:pStyle w:val="FootnoteText"/>
        <w:tabs>
          <w:tab w:val="clear" w:pos="425"/>
          <w:tab w:val="left" w:pos="426"/>
        </w:tabs>
        <w:ind w:left="0" w:firstLine="0"/>
        <w:rPr>
          <w:lang w:val="mi-NZ"/>
        </w:rPr>
      </w:pPr>
      <w:r>
        <w:rPr>
          <w:rStyle w:val="FootnoteReference"/>
        </w:rPr>
        <w:footnoteRef/>
      </w:r>
      <w:r>
        <w:t xml:space="preserve"> </w:t>
      </w:r>
      <w:r>
        <w:rPr>
          <w:lang w:val="mi-NZ"/>
        </w:rPr>
        <w:t>Ministry of Health, 4 October 2016 (accessed 10 September 2022) (</w:t>
      </w:r>
      <w:r w:rsidRPr="00757148">
        <w:rPr>
          <w:lang w:val="mi-NZ"/>
        </w:rPr>
        <w:t>www.health.govt.nz/about-ministry/information-releases/regulatory-impact-statements/radiation-safety-regulations</w:t>
      </w:r>
      <w:r>
        <w:rPr>
          <w:lang w:val="mi-NZ"/>
        </w:rPr>
        <w:t>)</w:t>
      </w:r>
    </w:p>
  </w:footnote>
  <w:footnote w:id="4">
    <w:p w14:paraId="5B496F05" w14:textId="77777777" w:rsidR="004D346B" w:rsidRPr="00757148" w:rsidRDefault="004D346B" w:rsidP="004D346B">
      <w:pPr>
        <w:pStyle w:val="FootnoteText"/>
        <w:tabs>
          <w:tab w:val="clear" w:pos="425"/>
          <w:tab w:val="left" w:pos="709"/>
        </w:tabs>
        <w:ind w:left="0" w:firstLine="0"/>
        <w:rPr>
          <w:lang w:val="mi-NZ"/>
        </w:rPr>
      </w:pPr>
      <w:r>
        <w:rPr>
          <w:rStyle w:val="FootnoteReference"/>
        </w:rPr>
        <w:footnoteRef/>
      </w:r>
      <w:r>
        <w:t xml:space="preserve"> Ministry of Health, 16 March 2021 (accessed 10 September 2022) (</w:t>
      </w:r>
      <w:r w:rsidRPr="00757148">
        <w:t>www.health.govt.nz/publication/review-radiation-safety-regulations-2016-consultation-document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18B5" w14:textId="77777777" w:rsidR="00754E0C" w:rsidRDefault="002528EE">
    <w:pPr>
      <w:pStyle w:val="Header"/>
    </w:pPr>
    <w:r>
      <w:rPr>
        <w:noProof/>
        <w:lang w:val="en-US" w:eastAsia="en-US"/>
      </w:rPr>
      <w:pict w14:anchorId="3517F2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6D0"/>
    <w:multiLevelType w:val="hybridMultilevel"/>
    <w:tmpl w:val="D3F85AB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E504D17"/>
    <w:multiLevelType w:val="hybridMultilevel"/>
    <w:tmpl w:val="F47E238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24481E"/>
    <w:multiLevelType w:val="hybridMultilevel"/>
    <w:tmpl w:val="3F064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C300D15"/>
    <w:multiLevelType w:val="hybridMultilevel"/>
    <w:tmpl w:val="7A6ABF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A1C35EF"/>
    <w:multiLevelType w:val="hybridMultilevel"/>
    <w:tmpl w:val="D6728C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1AC5BCC"/>
    <w:multiLevelType w:val="multilevel"/>
    <w:tmpl w:val="B33C8C64"/>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6" w15:restartNumberingAfterBreak="0">
    <w:nsid w:val="38DE5A8D"/>
    <w:multiLevelType w:val="hybridMultilevel"/>
    <w:tmpl w:val="93802A1A"/>
    <w:lvl w:ilvl="0" w:tplc="E2C8BEB8">
      <w:start w:val="1"/>
      <w:numFmt w:val="bullet"/>
      <w:pStyle w:val="Bullet-lis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93D677C"/>
    <w:multiLevelType w:val="multilevel"/>
    <w:tmpl w:val="2FBCCE06"/>
    <w:lvl w:ilvl="0">
      <w:start w:val="1"/>
      <w:numFmt w:val="bullet"/>
      <w:lvlText w:val=""/>
      <w:lvlJc w:val="left"/>
      <w:pPr>
        <w:tabs>
          <w:tab w:val="num" w:pos="720"/>
        </w:tabs>
        <w:ind w:left="720" w:hanging="360"/>
      </w:pPr>
      <w:rPr>
        <w:rFonts w:ascii="Symbol" w:hAnsi="Symbol" w:hint="default"/>
        <w:sz w:val="20"/>
      </w:rPr>
    </w:lvl>
    <w:lvl w:ilvl="1">
      <w:start w:val="1"/>
      <w:numFmt w:val="bullet"/>
      <w:pStyle w:val="Bulletlistlevel2"/>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00119A"/>
    <w:multiLevelType w:val="hybridMultilevel"/>
    <w:tmpl w:val="7B12CC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DAB761E"/>
    <w:multiLevelType w:val="hybridMultilevel"/>
    <w:tmpl w:val="EB98D4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0052D6C"/>
    <w:multiLevelType w:val="hybridMultilevel"/>
    <w:tmpl w:val="459608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B4A16AD"/>
    <w:multiLevelType w:val="hybridMultilevel"/>
    <w:tmpl w:val="1C1A67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1"/>
  </w:num>
  <w:num w:numId="6">
    <w:abstractNumId w:val="9"/>
  </w:num>
  <w:num w:numId="7">
    <w:abstractNumId w:val="4"/>
  </w:num>
  <w:num w:numId="8">
    <w:abstractNumId w:val="11"/>
  </w:num>
  <w:num w:numId="9">
    <w:abstractNumId w:val="6"/>
  </w:num>
  <w:num w:numId="10">
    <w:abstractNumId w:val="6"/>
  </w:num>
  <w:num w:numId="11">
    <w:abstractNumId w:val="2"/>
  </w:num>
  <w:num w:numId="12">
    <w:abstractNumId w:val="3"/>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FE"/>
    <w:rsid w:val="00012FF3"/>
    <w:rsid w:val="000143FB"/>
    <w:rsid w:val="00017594"/>
    <w:rsid w:val="000313FD"/>
    <w:rsid w:val="000579FD"/>
    <w:rsid w:val="000717EB"/>
    <w:rsid w:val="000A4905"/>
    <w:rsid w:val="000A4F1F"/>
    <w:rsid w:val="000C4904"/>
    <w:rsid w:val="000D71D0"/>
    <w:rsid w:val="00100275"/>
    <w:rsid w:val="001054A0"/>
    <w:rsid w:val="001469D6"/>
    <w:rsid w:val="00170FE9"/>
    <w:rsid w:val="00174F22"/>
    <w:rsid w:val="00182FC2"/>
    <w:rsid w:val="00190144"/>
    <w:rsid w:val="001E6254"/>
    <w:rsid w:val="00221957"/>
    <w:rsid w:val="00241405"/>
    <w:rsid w:val="0025196C"/>
    <w:rsid w:val="002528EE"/>
    <w:rsid w:val="002B12AC"/>
    <w:rsid w:val="002C451C"/>
    <w:rsid w:val="002C79B3"/>
    <w:rsid w:val="002F400E"/>
    <w:rsid w:val="002F42D5"/>
    <w:rsid w:val="00302CB6"/>
    <w:rsid w:val="00322DB6"/>
    <w:rsid w:val="0033108C"/>
    <w:rsid w:val="00344F43"/>
    <w:rsid w:val="00350240"/>
    <w:rsid w:val="00372777"/>
    <w:rsid w:val="00376605"/>
    <w:rsid w:val="00382BCD"/>
    <w:rsid w:val="00397B37"/>
    <w:rsid w:val="003A7C83"/>
    <w:rsid w:val="003B7109"/>
    <w:rsid w:val="003D1D07"/>
    <w:rsid w:val="003F2E3E"/>
    <w:rsid w:val="0041087B"/>
    <w:rsid w:val="00410AB9"/>
    <w:rsid w:val="004160A6"/>
    <w:rsid w:val="00430EB8"/>
    <w:rsid w:val="00455785"/>
    <w:rsid w:val="00460FDC"/>
    <w:rsid w:val="004612B3"/>
    <w:rsid w:val="004903E2"/>
    <w:rsid w:val="0049768B"/>
    <w:rsid w:val="00497F45"/>
    <w:rsid w:val="004C0EE5"/>
    <w:rsid w:val="004D17AB"/>
    <w:rsid w:val="004D2C28"/>
    <w:rsid w:val="004D346B"/>
    <w:rsid w:val="004F4910"/>
    <w:rsid w:val="005151DC"/>
    <w:rsid w:val="00557ADB"/>
    <w:rsid w:val="00563704"/>
    <w:rsid w:val="0058293D"/>
    <w:rsid w:val="00582A5F"/>
    <w:rsid w:val="005C3335"/>
    <w:rsid w:val="005D0682"/>
    <w:rsid w:val="005F3678"/>
    <w:rsid w:val="005F613E"/>
    <w:rsid w:val="005F6EA0"/>
    <w:rsid w:val="00604BAB"/>
    <w:rsid w:val="00621168"/>
    <w:rsid w:val="0063107F"/>
    <w:rsid w:val="00663DD5"/>
    <w:rsid w:val="00664841"/>
    <w:rsid w:val="0067170A"/>
    <w:rsid w:val="006C748F"/>
    <w:rsid w:val="006E6F27"/>
    <w:rsid w:val="00710F18"/>
    <w:rsid w:val="00751907"/>
    <w:rsid w:val="00757148"/>
    <w:rsid w:val="007E7084"/>
    <w:rsid w:val="007E7DAE"/>
    <w:rsid w:val="007F1067"/>
    <w:rsid w:val="00820828"/>
    <w:rsid w:val="00830B97"/>
    <w:rsid w:val="0088099F"/>
    <w:rsid w:val="008864F3"/>
    <w:rsid w:val="008A445D"/>
    <w:rsid w:val="009044CC"/>
    <w:rsid w:val="009138C8"/>
    <w:rsid w:val="0092490F"/>
    <w:rsid w:val="00940CBF"/>
    <w:rsid w:val="00951FD1"/>
    <w:rsid w:val="00961851"/>
    <w:rsid w:val="00965E85"/>
    <w:rsid w:val="00981E42"/>
    <w:rsid w:val="009866FE"/>
    <w:rsid w:val="009D1AA8"/>
    <w:rsid w:val="009F2DDA"/>
    <w:rsid w:val="009F7AB5"/>
    <w:rsid w:val="00AA7E28"/>
    <w:rsid w:val="00AC76B0"/>
    <w:rsid w:val="00AD70CB"/>
    <w:rsid w:val="00AF3065"/>
    <w:rsid w:val="00B13956"/>
    <w:rsid w:val="00B23A34"/>
    <w:rsid w:val="00B3791C"/>
    <w:rsid w:val="00B4223D"/>
    <w:rsid w:val="00B64DD5"/>
    <w:rsid w:val="00B65109"/>
    <w:rsid w:val="00B71DB3"/>
    <w:rsid w:val="00B769EA"/>
    <w:rsid w:val="00B774C7"/>
    <w:rsid w:val="00BA7B7A"/>
    <w:rsid w:val="00BC5DA4"/>
    <w:rsid w:val="00BC77BC"/>
    <w:rsid w:val="00BD64C2"/>
    <w:rsid w:val="00BF7ED5"/>
    <w:rsid w:val="00C060F7"/>
    <w:rsid w:val="00C2693C"/>
    <w:rsid w:val="00C34918"/>
    <w:rsid w:val="00C50A1A"/>
    <w:rsid w:val="00C86FBF"/>
    <w:rsid w:val="00CB5933"/>
    <w:rsid w:val="00CD7C55"/>
    <w:rsid w:val="00D14E46"/>
    <w:rsid w:val="00D66708"/>
    <w:rsid w:val="00D73B52"/>
    <w:rsid w:val="00D815C8"/>
    <w:rsid w:val="00D93457"/>
    <w:rsid w:val="00DC0ACC"/>
    <w:rsid w:val="00DD69A8"/>
    <w:rsid w:val="00DF36EC"/>
    <w:rsid w:val="00E26C98"/>
    <w:rsid w:val="00E351A9"/>
    <w:rsid w:val="00E440C9"/>
    <w:rsid w:val="00E46D62"/>
    <w:rsid w:val="00E4792A"/>
    <w:rsid w:val="00E755DC"/>
    <w:rsid w:val="00EB57CE"/>
    <w:rsid w:val="00EB617D"/>
    <w:rsid w:val="00F001AF"/>
    <w:rsid w:val="00F209FE"/>
    <w:rsid w:val="00F42C85"/>
    <w:rsid w:val="00F53157"/>
    <w:rsid w:val="00F80DC7"/>
    <w:rsid w:val="00FB3573"/>
    <w:rsid w:val="00FD19EB"/>
    <w:rsid w:val="00FE434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91C92"/>
  <w15:docId w15:val="{EE7FDEA6-D1AD-45A0-A920-DC31180B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1087B"/>
    <w:pPr>
      <w:spacing w:before="120" w:after="240" w:line="240" w:lineRule="auto"/>
      <w:outlineLvl w:val="0"/>
    </w:pPr>
    <w:rPr>
      <w:rFonts w:eastAsia="Times New Roman" w:cs="Times New Roman"/>
      <w:b/>
      <w:color w:val="0082AB"/>
      <w:spacing w:val="20"/>
      <w:w w:val="90"/>
      <w:sz w:val="44"/>
      <w:szCs w:val="44"/>
      <w:lang w:eastAsia="en-GB"/>
    </w:rPr>
  </w:style>
  <w:style w:type="paragraph" w:styleId="Heading2">
    <w:name w:val="heading 2"/>
    <w:basedOn w:val="Normal"/>
    <w:next w:val="Normal"/>
    <w:link w:val="Heading2Char"/>
    <w:autoRedefine/>
    <w:qFormat/>
    <w:rsid w:val="0041087B"/>
    <w:pPr>
      <w:keepNext/>
      <w:spacing w:before="120" w:after="180" w:line="240" w:lineRule="auto"/>
      <w:outlineLvl w:val="1"/>
    </w:pPr>
    <w:rPr>
      <w:rFonts w:eastAsia="Times New Roman" w:cs="Times New Roman"/>
      <w:b/>
      <w:color w:val="0082AB"/>
      <w:spacing w:val="20"/>
      <w:w w:val="90"/>
      <w:sz w:val="32"/>
      <w:szCs w:val="24"/>
      <w:lang w:val="en-GB" w:eastAsia="en-GB"/>
    </w:rPr>
  </w:style>
  <w:style w:type="paragraph" w:styleId="Heading3">
    <w:name w:val="heading 3"/>
    <w:basedOn w:val="Heading2"/>
    <w:next w:val="Normal"/>
    <w:link w:val="Heading3Char"/>
    <w:qFormat/>
    <w:rsid w:val="0041087B"/>
    <w:pPr>
      <w:spacing w:before="200"/>
      <w:outlineLvl w:val="2"/>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087B"/>
    <w:rPr>
      <w:rFonts w:eastAsia="Times New Roman" w:cs="Times New Roman"/>
      <w:b/>
      <w:color w:val="0082AB"/>
      <w:spacing w:val="20"/>
      <w:w w:val="90"/>
      <w:sz w:val="44"/>
      <w:szCs w:val="44"/>
      <w:lang w:eastAsia="en-GB"/>
    </w:rPr>
  </w:style>
  <w:style w:type="character" w:customStyle="1" w:styleId="Heading2Char">
    <w:name w:val="Heading 2 Char"/>
    <w:basedOn w:val="DefaultParagraphFont"/>
    <w:link w:val="Heading2"/>
    <w:rsid w:val="0041087B"/>
    <w:rPr>
      <w:rFonts w:eastAsia="Times New Roman" w:cs="Times New Roman"/>
      <w:b/>
      <w:color w:val="0082AB"/>
      <w:spacing w:val="20"/>
      <w:w w:val="90"/>
      <w:sz w:val="32"/>
      <w:szCs w:val="24"/>
      <w:lang w:val="en-GB" w:eastAsia="en-GB"/>
    </w:rPr>
  </w:style>
  <w:style w:type="character" w:customStyle="1" w:styleId="Heading3Char">
    <w:name w:val="Heading 3 Char"/>
    <w:basedOn w:val="DefaultParagraphFont"/>
    <w:link w:val="Heading3"/>
    <w:rsid w:val="0041087B"/>
    <w:rPr>
      <w:rFonts w:eastAsia="Times New Roman" w:cs="Times New Roman"/>
      <w:b/>
      <w:color w:val="0082AB"/>
      <w:spacing w:val="20"/>
      <w:w w:val="90"/>
      <w:lang w:val="en-GB" w:eastAsia="en-GB"/>
    </w:rPr>
  </w:style>
  <w:style w:type="paragraph" w:styleId="Header">
    <w:name w:val="header"/>
    <w:basedOn w:val="Normal"/>
    <w:link w:val="HeaderChar"/>
    <w:rsid w:val="0041087B"/>
    <w:pPr>
      <w:tabs>
        <w:tab w:val="center" w:pos="4153"/>
        <w:tab w:val="right" w:pos="8306"/>
      </w:tabs>
      <w:spacing w:after="240" w:line="280" w:lineRule="atLeast"/>
    </w:pPr>
    <w:rPr>
      <w:rFonts w:eastAsia="Times New Roman" w:cs="Times New Roman"/>
      <w:sz w:val="22"/>
      <w:szCs w:val="20"/>
      <w:lang w:val="en-GB" w:eastAsia="en-GB"/>
    </w:rPr>
  </w:style>
  <w:style w:type="character" w:customStyle="1" w:styleId="HeaderChar">
    <w:name w:val="Header Char"/>
    <w:basedOn w:val="DefaultParagraphFont"/>
    <w:link w:val="Header"/>
    <w:rsid w:val="0041087B"/>
    <w:rPr>
      <w:rFonts w:eastAsia="Times New Roman" w:cs="Times New Roman"/>
      <w:sz w:val="22"/>
      <w:szCs w:val="20"/>
      <w:lang w:val="en-GB" w:eastAsia="en-GB"/>
    </w:rPr>
  </w:style>
  <w:style w:type="paragraph" w:styleId="Footer">
    <w:name w:val="footer"/>
    <w:basedOn w:val="Normal"/>
    <w:link w:val="FooterChar"/>
    <w:autoRedefine/>
    <w:rsid w:val="0041087B"/>
    <w:pPr>
      <w:spacing w:after="0" w:line="240" w:lineRule="auto"/>
      <w:ind w:left="-1985"/>
      <w:jc w:val="right"/>
    </w:pPr>
    <w:rPr>
      <w:rFonts w:eastAsia="Times New Roman" w:cs="Times New Roman"/>
      <w:noProof/>
      <w:color w:val="0082AB"/>
      <w:spacing w:val="6"/>
      <w:sz w:val="16"/>
      <w:szCs w:val="16"/>
      <w:lang w:val="en-GB" w:eastAsia="en-GB"/>
    </w:rPr>
  </w:style>
  <w:style w:type="character" w:customStyle="1" w:styleId="FooterChar">
    <w:name w:val="Footer Char"/>
    <w:basedOn w:val="DefaultParagraphFont"/>
    <w:link w:val="Footer"/>
    <w:rsid w:val="0041087B"/>
    <w:rPr>
      <w:rFonts w:eastAsia="Times New Roman" w:cs="Times New Roman"/>
      <w:noProof/>
      <w:color w:val="0082AB"/>
      <w:spacing w:val="6"/>
      <w:sz w:val="16"/>
      <w:szCs w:val="16"/>
      <w:lang w:val="en-GB" w:eastAsia="en-GB"/>
    </w:rPr>
  </w:style>
  <w:style w:type="character" w:styleId="Hyperlink">
    <w:name w:val="Hyperlink"/>
    <w:uiPriority w:val="99"/>
    <w:rsid w:val="0041087B"/>
    <w:rPr>
      <w:color w:val="0082AB"/>
      <w:u w:val="single"/>
    </w:rPr>
  </w:style>
  <w:style w:type="paragraph" w:styleId="FootnoteText">
    <w:name w:val="footnote text"/>
    <w:basedOn w:val="Normal"/>
    <w:link w:val="FootnoteTextChar"/>
    <w:rsid w:val="0041087B"/>
    <w:pPr>
      <w:tabs>
        <w:tab w:val="left" w:pos="425"/>
      </w:tabs>
      <w:spacing w:after="60" w:line="240" w:lineRule="auto"/>
      <w:ind w:left="425" w:hanging="425"/>
    </w:pPr>
    <w:rPr>
      <w:rFonts w:eastAsia="Times New Roman" w:cs="Times New Roman"/>
      <w:sz w:val="18"/>
      <w:szCs w:val="20"/>
      <w:lang w:val="en-GB" w:eastAsia="en-GB"/>
    </w:rPr>
  </w:style>
  <w:style w:type="character" w:customStyle="1" w:styleId="FootnoteTextChar">
    <w:name w:val="Footnote Text Char"/>
    <w:basedOn w:val="DefaultParagraphFont"/>
    <w:link w:val="FootnoteText"/>
    <w:rsid w:val="0041087B"/>
    <w:rPr>
      <w:rFonts w:eastAsia="Times New Roman" w:cs="Times New Roman"/>
      <w:sz w:val="18"/>
      <w:szCs w:val="20"/>
      <w:lang w:val="en-GB" w:eastAsia="en-GB"/>
    </w:rPr>
  </w:style>
  <w:style w:type="character" w:styleId="FootnoteReference">
    <w:name w:val="footnote reference"/>
    <w:semiHidden/>
    <w:rsid w:val="0041087B"/>
    <w:rPr>
      <w:rFonts w:ascii="Arial" w:hAnsi="Arial"/>
      <w:color w:val="auto"/>
      <w:position w:val="8"/>
      <w:sz w:val="16"/>
    </w:rPr>
  </w:style>
  <w:style w:type="paragraph" w:customStyle="1" w:styleId="Boxtext">
    <w:name w:val="Box text"/>
    <w:basedOn w:val="Normal"/>
    <w:rsid w:val="0041087B"/>
    <w:pPr>
      <w:pBdr>
        <w:top w:val="single" w:sz="4" w:space="10" w:color="EBF5F8"/>
        <w:left w:val="single" w:sz="4" w:space="4" w:color="EBF5F8"/>
        <w:bottom w:val="single" w:sz="4" w:space="10" w:color="EBF5F8"/>
        <w:right w:val="single" w:sz="4" w:space="4" w:color="EBF5F8"/>
      </w:pBdr>
      <w:shd w:val="clear" w:color="auto" w:fill="EBF5F8"/>
      <w:spacing w:after="80" w:line="280" w:lineRule="atLeast"/>
      <w:ind w:left="142" w:right="142"/>
    </w:pPr>
    <w:rPr>
      <w:rFonts w:eastAsia="Times New Roman" w:cs="Times New Roman"/>
      <w:color w:val="000000"/>
      <w:sz w:val="22"/>
      <w:lang w:val="en-GB" w:eastAsia="en-GB"/>
    </w:rPr>
  </w:style>
  <w:style w:type="paragraph" w:customStyle="1" w:styleId="Bullet-list">
    <w:name w:val="Bullet-list"/>
    <w:qFormat/>
    <w:rsid w:val="0041087B"/>
    <w:pPr>
      <w:numPr>
        <w:numId w:val="2"/>
      </w:numPr>
      <w:spacing w:after="180" w:line="280" w:lineRule="exact"/>
    </w:pPr>
    <w:rPr>
      <w:rFonts w:eastAsia="Times New Roman" w:cs="Times New Roman"/>
      <w:sz w:val="22"/>
      <w:szCs w:val="20"/>
      <w:lang w:val="en-AU"/>
    </w:rPr>
  </w:style>
  <w:style w:type="paragraph" w:customStyle="1" w:styleId="EvenFooter">
    <w:name w:val="Even Footer"/>
    <w:basedOn w:val="Footer"/>
    <w:rsid w:val="0041087B"/>
    <w:pPr>
      <w:jc w:val="left"/>
    </w:pPr>
  </w:style>
  <w:style w:type="paragraph" w:customStyle="1" w:styleId="spacer">
    <w:name w:val="spacer"/>
    <w:basedOn w:val="Normal"/>
    <w:qFormat/>
    <w:rsid w:val="0041087B"/>
    <w:pPr>
      <w:spacing w:after="0" w:line="240" w:lineRule="auto"/>
    </w:pPr>
    <w:rPr>
      <w:rFonts w:eastAsia="Times New Roman" w:cs="Times New Roman"/>
      <w:sz w:val="16"/>
      <w:lang w:val="en-GB" w:eastAsia="en-AU"/>
    </w:rPr>
  </w:style>
  <w:style w:type="paragraph" w:customStyle="1" w:styleId="Bulletlistlevel2">
    <w:name w:val="Bullet list level 2"/>
    <w:basedOn w:val="Normal"/>
    <w:qFormat/>
    <w:rsid w:val="0041087B"/>
    <w:pPr>
      <w:numPr>
        <w:ilvl w:val="1"/>
        <w:numId w:val="1"/>
      </w:numPr>
      <w:tabs>
        <w:tab w:val="clear" w:pos="1440"/>
      </w:tabs>
      <w:spacing w:after="180" w:line="280" w:lineRule="exact"/>
      <w:ind w:left="924" w:hanging="357"/>
    </w:pPr>
    <w:rPr>
      <w:rFonts w:eastAsia="Times New Roman" w:cs="Arial"/>
      <w:sz w:val="22"/>
      <w:szCs w:val="20"/>
      <w:lang w:val="en-GB" w:eastAsia="en-AU"/>
    </w:rPr>
  </w:style>
  <w:style w:type="paragraph" w:customStyle="1" w:styleId="TableHeadings">
    <w:name w:val="Table Headings"/>
    <w:basedOn w:val="Normal"/>
    <w:qFormat/>
    <w:rsid w:val="0041087B"/>
    <w:pPr>
      <w:spacing w:before="60" w:after="60" w:line="280" w:lineRule="atLeast"/>
    </w:pPr>
    <w:rPr>
      <w:rFonts w:eastAsia="Times New Roman" w:cs="Arial"/>
      <w:b/>
      <w:color w:val="000000"/>
      <w:sz w:val="22"/>
      <w:szCs w:val="20"/>
      <w:lang w:val="en-GB" w:eastAsia="en-GB"/>
    </w:rPr>
  </w:style>
  <w:style w:type="paragraph" w:customStyle="1" w:styleId="CabStandard">
    <w:name w:val="CabStandard"/>
    <w:basedOn w:val="Normal"/>
    <w:rsid w:val="00F001AF"/>
    <w:pPr>
      <w:numPr>
        <w:numId w:val="4"/>
      </w:numPr>
      <w:spacing w:after="240" w:line="240" w:lineRule="auto"/>
    </w:pPr>
    <w:rPr>
      <w:rFonts w:eastAsia="Times New Roman" w:cs="Times New Roman"/>
      <w:szCs w:val="20"/>
      <w:lang w:val="en-GB" w:eastAsia="ja-JP"/>
    </w:rPr>
  </w:style>
  <w:style w:type="paragraph" w:styleId="ListParagraph">
    <w:name w:val="List Paragraph"/>
    <w:basedOn w:val="Normal"/>
    <w:uiPriority w:val="34"/>
    <w:qFormat/>
    <w:rsid w:val="000579FD"/>
    <w:pPr>
      <w:ind w:left="720"/>
      <w:contextualSpacing/>
    </w:pPr>
  </w:style>
  <w:style w:type="table" w:styleId="TableGrid">
    <w:name w:val="Table Grid"/>
    <w:basedOn w:val="TableNormal"/>
    <w:uiPriority w:val="59"/>
    <w:rsid w:val="0005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17B50-13B2-4BCB-AD3F-CB8EC7C8F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B38247-56BE-4DD4-8EE1-2E62116718F6}">
  <ds:schemaRefs>
    <ds:schemaRef ds:uri="http://schemas.microsoft.com/sharepoint/v3/contenttype/forms"/>
  </ds:schemaRefs>
</ds:datastoreItem>
</file>

<file path=customXml/itemProps3.xml><?xml version="1.0" encoding="utf-8"?>
<ds:datastoreItem xmlns:ds="http://schemas.openxmlformats.org/officeDocument/2006/customXml" ds:itemID="{8EC932EE-C05B-4660-9A5C-90C4B2D21456}">
  <ds:schemaRefs>
    <ds:schemaRef ds:uri="http://schemas.openxmlformats.org/officeDocument/2006/bibliography"/>
  </ds:schemaRefs>
</ds:datastoreItem>
</file>

<file path=customXml/itemProps4.xml><?xml version="1.0" encoding="utf-8"?>
<ds:datastoreItem xmlns:ds="http://schemas.openxmlformats.org/officeDocument/2006/customXml" ds:itemID="{FC82929E-2913-4F23-ADEE-C2F98B7CB1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5506</Words>
  <Characters>31386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Cost Recovery Impact Statement: Approval to Amend the Radiation Safety Regulations 2016</dc:title>
  <dc:subject/>
  <dc:creator>Ministry of Health</dc:creator>
  <cp:keywords/>
  <dc:description/>
  <cp:lastModifiedBy>Ministry of Health</cp:lastModifiedBy>
  <cp:revision>3</cp:revision>
  <dcterms:created xsi:type="dcterms:W3CDTF">2023-05-05T02:18:00Z</dcterms:created>
  <dcterms:modified xsi:type="dcterms:W3CDTF">2023-05-05T04:01:00Z</dcterms:modified>
</cp:coreProperties>
</file>