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19C4" w14:textId="23C5B60A" w:rsidR="00D3124A" w:rsidRPr="001A719A" w:rsidRDefault="001A719A" w:rsidP="001A719A">
      <w:pPr>
        <w:pStyle w:val="Title"/>
        <w:ind w:right="2268"/>
        <w:rPr>
          <w:sz w:val="64"/>
          <w:szCs w:val="64"/>
        </w:rPr>
      </w:pPr>
      <w:r w:rsidRPr="001A719A">
        <w:rPr>
          <w:sz w:val="64"/>
          <w:szCs w:val="64"/>
        </w:rPr>
        <w:t>Guidelines for Reducing and Eliminating Seclusion and Restraint Under the Mental Health (Compulsory Assessment and Treatment) Act 1992</w:t>
      </w:r>
    </w:p>
    <w:p w14:paraId="24FA06E0" w14:textId="74DA4935" w:rsidR="00D3124A" w:rsidRPr="00531E12" w:rsidRDefault="001A719A" w:rsidP="00D3124A">
      <w:pPr>
        <w:pStyle w:val="Year"/>
      </w:pPr>
      <w:r>
        <w:t>2023</w:t>
      </w:r>
    </w:p>
    <w:p w14:paraId="7E8774C3" w14:textId="77777777" w:rsidR="00C05132" w:rsidRDefault="00C05132" w:rsidP="00A06BE4"/>
    <w:p w14:paraId="7E8774C4" w14:textId="77777777" w:rsidR="00142954" w:rsidRPr="00142954" w:rsidRDefault="00142954" w:rsidP="00142954">
      <w:pPr>
        <w:sectPr w:rsidR="00142954" w:rsidRPr="00142954" w:rsidSect="00925892">
          <w:headerReference w:type="even" r:id="rId12"/>
          <w:headerReference w:type="default" r:id="rId13"/>
          <w:footerReference w:type="even" r:id="rId14"/>
          <w:footerReference w:type="default" r:id="rId15"/>
          <w:pgSz w:w="11907" w:h="16834" w:code="9"/>
          <w:pgMar w:top="5670" w:right="1134" w:bottom="1134" w:left="1134" w:header="567" w:footer="851" w:gutter="0"/>
          <w:pgNumType w:start="1"/>
          <w:cols w:space="720"/>
        </w:sectPr>
      </w:pPr>
    </w:p>
    <w:p w14:paraId="63BB6E07" w14:textId="6AF1C769" w:rsidR="00D3124A" w:rsidRPr="00A63DFF" w:rsidRDefault="001A719A" w:rsidP="00D3124A">
      <w:pPr>
        <w:rPr>
          <w:rFonts w:asciiTheme="minorHAnsi" w:hAnsiTheme="minorHAnsi" w:cstheme="minorHAnsi"/>
          <w:b/>
          <w:spacing w:val="10"/>
          <w:sz w:val="36"/>
          <w:szCs w:val="36"/>
        </w:rPr>
      </w:pPr>
      <w:r w:rsidRPr="001A719A">
        <w:rPr>
          <w:rFonts w:asciiTheme="minorHAnsi" w:hAnsiTheme="minorHAnsi" w:cstheme="minorHAnsi"/>
          <w:b/>
          <w:spacing w:val="10"/>
          <w:sz w:val="36"/>
          <w:szCs w:val="36"/>
        </w:rPr>
        <w:lastRenderedPageBreak/>
        <w:t>Disclaimer</w:t>
      </w:r>
    </w:p>
    <w:p w14:paraId="32CCEC67" w14:textId="4D284D0F" w:rsidR="001A719A" w:rsidRPr="001A719A" w:rsidRDefault="001A719A" w:rsidP="001A719A">
      <w:pPr>
        <w:spacing w:before="120"/>
        <w:rPr>
          <w:rFonts w:cs="Segoe UI"/>
          <w:sz w:val="20"/>
        </w:rPr>
      </w:pPr>
      <w:r w:rsidRPr="001A719A">
        <w:rPr>
          <w:rFonts w:cs="Segoe UI"/>
          <w:sz w:val="20"/>
        </w:rPr>
        <w:t>While every care has been taken in the preparation of the information in this document, users are reminded that the Ministry of Health cannot accept any legal liability for any errors or omissions or damages resulting from reliance on the information contained in this document.</w:t>
      </w:r>
    </w:p>
    <w:p w14:paraId="7A95F54B" w14:textId="77777777" w:rsidR="001A719A" w:rsidRPr="001A719A" w:rsidRDefault="001A719A" w:rsidP="001A719A">
      <w:pPr>
        <w:spacing w:before="120"/>
        <w:rPr>
          <w:rFonts w:cs="Segoe UI"/>
          <w:sz w:val="20"/>
        </w:rPr>
      </w:pPr>
      <w:r w:rsidRPr="001A719A">
        <w:rPr>
          <w:rFonts w:cs="Segoe UI"/>
          <w:sz w:val="20"/>
        </w:rPr>
        <w:t>Please note that these guidelines are not intended as a substitute for informed legal opinion. Any concerns individuals may have should be discussed with appropriate legal advisors.</w:t>
      </w:r>
    </w:p>
    <w:p w14:paraId="40DEFF70" w14:textId="65F04231" w:rsidR="00D3124A" w:rsidRPr="00C05132" w:rsidRDefault="001A719A" w:rsidP="001A719A">
      <w:pPr>
        <w:spacing w:before="120"/>
        <w:rPr>
          <w:rFonts w:cs="Segoe UI"/>
          <w:sz w:val="20"/>
        </w:rPr>
      </w:pPr>
      <w:r w:rsidRPr="001A719A">
        <w:rPr>
          <w:rFonts w:cs="Segoe UI"/>
          <w:sz w:val="20"/>
        </w:rPr>
        <w:t>These guidelines are not clinical guidelines. They are issued pursuant to section 130(1)(a) of the Mental Health (Compulsory Assessment and Treatment) Act 1992 Act and intended to support the lawful application of the Act, which states that the Director-General of Health may from time to time issue guidelines for the purposes of the Act.</w:t>
      </w:r>
    </w:p>
    <w:p w14:paraId="45FA321F" w14:textId="24D2193A" w:rsidR="00D3124A" w:rsidRPr="00C05132" w:rsidRDefault="00D3124A" w:rsidP="001A719A">
      <w:pPr>
        <w:pStyle w:val="Imprint"/>
        <w:spacing w:before="1200"/>
        <w:rPr>
          <w:rFonts w:cs="Segoe UI"/>
        </w:rPr>
      </w:pPr>
      <w:r w:rsidRPr="00C05132">
        <w:rPr>
          <w:rFonts w:cs="Segoe UI"/>
        </w:rPr>
        <w:t xml:space="preserve">Citation: Ministry of Health. </w:t>
      </w:r>
      <w:r w:rsidR="001A719A">
        <w:rPr>
          <w:rFonts w:cs="Segoe UI"/>
        </w:rPr>
        <w:t>2023</w:t>
      </w:r>
      <w:r w:rsidRPr="00C05132">
        <w:rPr>
          <w:rFonts w:cs="Segoe UI"/>
        </w:rPr>
        <w:t xml:space="preserve">. </w:t>
      </w:r>
      <w:r w:rsidR="001A719A" w:rsidRPr="001A719A">
        <w:rPr>
          <w:rFonts w:cs="Segoe UI"/>
          <w:i/>
        </w:rPr>
        <w:t>Guidelines for Reducing and Eliminating Seclusion and Restraint Under the Mental Health (Compulsory Assessment and Treatment) Act 1992</w:t>
      </w:r>
      <w:r w:rsidRPr="00C05132">
        <w:rPr>
          <w:rFonts w:cs="Segoe UI"/>
        </w:rPr>
        <w:t>. Wellington: Ministry of Health.</w:t>
      </w:r>
    </w:p>
    <w:p w14:paraId="2A619F36" w14:textId="1BC81E0F" w:rsidR="00D3124A" w:rsidRDefault="00D3124A" w:rsidP="00D3124A">
      <w:pPr>
        <w:pStyle w:val="Imprint"/>
      </w:pPr>
      <w:r>
        <w:t xml:space="preserve">Published in </w:t>
      </w:r>
      <w:r w:rsidR="00AC4A67">
        <w:t>April</w:t>
      </w:r>
      <w:r>
        <w:t xml:space="preserve"> </w:t>
      </w:r>
      <w:r w:rsidR="001A719A">
        <w:t>2023</w:t>
      </w:r>
      <w:r>
        <w:t xml:space="preserve"> by the Ministry of Health</w:t>
      </w:r>
      <w:r>
        <w:br/>
        <w:t>PO Box 5013, Wellington 6140, New Zealand</w:t>
      </w:r>
    </w:p>
    <w:p w14:paraId="7E25AD2F" w14:textId="60DD343B" w:rsidR="00D3124A" w:rsidRPr="009C0F2D" w:rsidRDefault="00D3124A" w:rsidP="00D3124A">
      <w:pPr>
        <w:pStyle w:val="Imprint"/>
      </w:pPr>
      <w:r w:rsidRPr="00AC4A67">
        <w:t xml:space="preserve">ISBN </w:t>
      </w:r>
      <w:r w:rsidR="006E1109" w:rsidRPr="006E1109">
        <w:t>978-1-991075-13-0</w:t>
      </w:r>
      <w:r w:rsidRPr="00AC4A67">
        <w:t xml:space="preserve"> (online)</w:t>
      </w:r>
      <w:r w:rsidRPr="00AC4A67">
        <w:br/>
        <w:t xml:space="preserve">HP </w:t>
      </w:r>
      <w:r w:rsidR="00E03CB5">
        <w:t>8734</w:t>
      </w:r>
    </w:p>
    <w:p w14:paraId="0671EAB9" w14:textId="77777777" w:rsidR="00D3124A" w:rsidRDefault="00D3124A" w:rsidP="00D3124A">
      <w:r>
        <w:rPr>
          <w:noProof/>
          <w:lang w:eastAsia="en-NZ"/>
        </w:rPr>
        <w:drawing>
          <wp:inline distT="0" distB="0" distL="0" distR="0" wp14:anchorId="00ADC036" wp14:editId="56E9D0F7">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5B467E6B" w14:textId="77777777" w:rsidR="00D3124A" w:rsidRDefault="00D3124A" w:rsidP="00D3124A">
      <w:pPr>
        <w:pStyle w:val="Imprint"/>
        <w:spacing w:before="240" w:after="480"/>
      </w:pPr>
      <w:r>
        <w:t>This document is available at health.govt.nz</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3124A" w:rsidRPr="00A63DFF" w14:paraId="47DCE799" w14:textId="77777777" w:rsidTr="00B5302A">
        <w:trPr>
          <w:cantSplit/>
        </w:trPr>
        <w:tc>
          <w:tcPr>
            <w:tcW w:w="1526" w:type="dxa"/>
          </w:tcPr>
          <w:p w14:paraId="3A6CA617" w14:textId="77777777" w:rsidR="00D3124A" w:rsidRPr="00A63DFF" w:rsidRDefault="00D3124A" w:rsidP="00B5302A">
            <w:pPr>
              <w:rPr>
                <w:rFonts w:cs="Segoe UI"/>
                <w:sz w:val="15"/>
                <w:szCs w:val="15"/>
              </w:rPr>
            </w:pPr>
            <w:r w:rsidRPr="00A63DFF">
              <w:rPr>
                <w:rFonts w:cs="Segoe UI"/>
                <w:b/>
                <w:noProof/>
                <w:sz w:val="15"/>
                <w:szCs w:val="15"/>
                <w:lang w:eastAsia="en-NZ"/>
              </w:rPr>
              <w:drawing>
                <wp:inline distT="0" distB="0" distL="0" distR="0" wp14:anchorId="181F7B8F" wp14:editId="0AD3C88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52C8450" w14:textId="77777777" w:rsidR="00D3124A" w:rsidRPr="00A63DFF" w:rsidRDefault="00D3124A" w:rsidP="00B5302A">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E8774D3" w14:textId="77777777" w:rsidR="007E74F1" w:rsidRPr="001F45A7" w:rsidRDefault="007E74F1" w:rsidP="006E2886">
      <w:pPr>
        <w:pStyle w:val="Imprint"/>
      </w:pPr>
    </w:p>
    <w:p w14:paraId="7E8774D4" w14:textId="77777777" w:rsidR="00C86248" w:rsidRDefault="00C86248">
      <w:pPr>
        <w:jc w:val="center"/>
        <w:sectPr w:rsidR="00C86248" w:rsidSect="00925892">
          <w:headerReference w:type="even" r:id="rId18"/>
          <w:footerReference w:type="even" r:id="rId19"/>
          <w:footerReference w:type="default" r:id="rId20"/>
          <w:pgSz w:w="11907" w:h="16834" w:code="9"/>
          <w:pgMar w:top="1701" w:right="2268" w:bottom="1134" w:left="2268" w:header="0" w:footer="0" w:gutter="0"/>
          <w:cols w:space="720"/>
          <w:vAlign w:val="bottom"/>
        </w:sectPr>
      </w:pPr>
    </w:p>
    <w:p w14:paraId="7E8774D5" w14:textId="1A7F7185" w:rsidR="00C86248" w:rsidRDefault="00C86248" w:rsidP="00025A6F">
      <w:pPr>
        <w:pStyle w:val="IntroHead"/>
      </w:pPr>
      <w:bookmarkStart w:id="1" w:name="_Toc405792991"/>
      <w:bookmarkStart w:id="2" w:name="_Toc405793224"/>
      <w:r>
        <w:lastRenderedPageBreak/>
        <w:t>Contents</w:t>
      </w:r>
      <w:bookmarkEnd w:id="1"/>
      <w:bookmarkEnd w:id="2"/>
    </w:p>
    <w:p w14:paraId="7EC6E017" w14:textId="4C4166F7" w:rsidR="004637A0" w:rsidRDefault="004637A0">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32355302" w:history="1">
        <w:r w:rsidRPr="00734D37">
          <w:rPr>
            <w:rStyle w:val="Hyperlink"/>
            <w:noProof/>
          </w:rPr>
          <w:t>Introduction</w:t>
        </w:r>
        <w:r>
          <w:rPr>
            <w:noProof/>
            <w:webHidden/>
          </w:rPr>
          <w:tab/>
        </w:r>
        <w:r>
          <w:rPr>
            <w:noProof/>
            <w:webHidden/>
          </w:rPr>
          <w:fldChar w:fldCharType="begin"/>
        </w:r>
        <w:r>
          <w:rPr>
            <w:noProof/>
            <w:webHidden/>
          </w:rPr>
          <w:instrText xml:space="preserve"> PAGEREF _Toc132355302 \h </w:instrText>
        </w:r>
        <w:r>
          <w:rPr>
            <w:noProof/>
            <w:webHidden/>
          </w:rPr>
        </w:r>
        <w:r>
          <w:rPr>
            <w:noProof/>
            <w:webHidden/>
          </w:rPr>
          <w:fldChar w:fldCharType="separate"/>
        </w:r>
        <w:r w:rsidR="00C4184C">
          <w:rPr>
            <w:noProof/>
            <w:webHidden/>
          </w:rPr>
          <w:t>1</w:t>
        </w:r>
        <w:r>
          <w:rPr>
            <w:noProof/>
            <w:webHidden/>
          </w:rPr>
          <w:fldChar w:fldCharType="end"/>
        </w:r>
      </w:hyperlink>
    </w:p>
    <w:p w14:paraId="2E8FD136" w14:textId="7B3090FF" w:rsidR="004637A0" w:rsidRDefault="00000000">
      <w:pPr>
        <w:pStyle w:val="TOC2"/>
        <w:rPr>
          <w:rFonts w:asciiTheme="minorHAnsi" w:eastAsiaTheme="minorEastAsia" w:hAnsiTheme="minorHAnsi" w:cstheme="minorBidi"/>
          <w:noProof/>
          <w:sz w:val="22"/>
          <w:szCs w:val="22"/>
          <w:lang w:eastAsia="en-NZ"/>
        </w:rPr>
      </w:pPr>
      <w:hyperlink w:anchor="_Toc132355303" w:history="1">
        <w:r w:rsidR="004637A0" w:rsidRPr="00734D37">
          <w:rPr>
            <w:rStyle w:val="Hyperlink"/>
            <w:noProof/>
          </w:rPr>
          <w:t>How to use these guidelines</w:t>
        </w:r>
        <w:r w:rsidR="004637A0">
          <w:rPr>
            <w:noProof/>
            <w:webHidden/>
          </w:rPr>
          <w:tab/>
        </w:r>
        <w:r w:rsidR="004637A0">
          <w:rPr>
            <w:noProof/>
            <w:webHidden/>
          </w:rPr>
          <w:fldChar w:fldCharType="begin"/>
        </w:r>
        <w:r w:rsidR="004637A0">
          <w:rPr>
            <w:noProof/>
            <w:webHidden/>
          </w:rPr>
          <w:instrText xml:space="preserve"> PAGEREF _Toc132355303 \h </w:instrText>
        </w:r>
        <w:r w:rsidR="004637A0">
          <w:rPr>
            <w:noProof/>
            <w:webHidden/>
          </w:rPr>
        </w:r>
        <w:r w:rsidR="004637A0">
          <w:rPr>
            <w:noProof/>
            <w:webHidden/>
          </w:rPr>
          <w:fldChar w:fldCharType="separate"/>
        </w:r>
        <w:r w:rsidR="00C4184C">
          <w:rPr>
            <w:noProof/>
            <w:webHidden/>
          </w:rPr>
          <w:t>2</w:t>
        </w:r>
        <w:r w:rsidR="004637A0">
          <w:rPr>
            <w:noProof/>
            <w:webHidden/>
          </w:rPr>
          <w:fldChar w:fldCharType="end"/>
        </w:r>
      </w:hyperlink>
    </w:p>
    <w:p w14:paraId="5E59CC06" w14:textId="1C1422A5" w:rsidR="004637A0" w:rsidRDefault="00000000">
      <w:pPr>
        <w:pStyle w:val="TOC2"/>
        <w:rPr>
          <w:rFonts w:asciiTheme="minorHAnsi" w:eastAsiaTheme="minorEastAsia" w:hAnsiTheme="minorHAnsi" w:cstheme="minorBidi"/>
          <w:noProof/>
          <w:sz w:val="22"/>
          <w:szCs w:val="22"/>
          <w:lang w:eastAsia="en-NZ"/>
        </w:rPr>
      </w:pPr>
      <w:hyperlink w:anchor="_Toc132355304" w:history="1">
        <w:r w:rsidR="004637A0" w:rsidRPr="00734D37">
          <w:rPr>
            <w:rStyle w:val="Hyperlink"/>
            <w:noProof/>
          </w:rPr>
          <w:t>Some notes on terminology</w:t>
        </w:r>
        <w:r w:rsidR="004637A0">
          <w:rPr>
            <w:noProof/>
            <w:webHidden/>
          </w:rPr>
          <w:tab/>
        </w:r>
        <w:r w:rsidR="004637A0">
          <w:rPr>
            <w:noProof/>
            <w:webHidden/>
          </w:rPr>
          <w:fldChar w:fldCharType="begin"/>
        </w:r>
        <w:r w:rsidR="004637A0">
          <w:rPr>
            <w:noProof/>
            <w:webHidden/>
          </w:rPr>
          <w:instrText xml:space="preserve"> PAGEREF _Toc132355304 \h </w:instrText>
        </w:r>
        <w:r w:rsidR="004637A0">
          <w:rPr>
            <w:noProof/>
            <w:webHidden/>
          </w:rPr>
        </w:r>
        <w:r w:rsidR="004637A0">
          <w:rPr>
            <w:noProof/>
            <w:webHidden/>
          </w:rPr>
          <w:fldChar w:fldCharType="separate"/>
        </w:r>
        <w:r w:rsidR="00C4184C">
          <w:rPr>
            <w:noProof/>
            <w:webHidden/>
          </w:rPr>
          <w:t>3</w:t>
        </w:r>
        <w:r w:rsidR="004637A0">
          <w:rPr>
            <w:noProof/>
            <w:webHidden/>
          </w:rPr>
          <w:fldChar w:fldCharType="end"/>
        </w:r>
      </w:hyperlink>
    </w:p>
    <w:p w14:paraId="35F4DFFE" w14:textId="4FF9A0F1" w:rsidR="004637A0" w:rsidRDefault="00000000">
      <w:pPr>
        <w:pStyle w:val="TOC1"/>
        <w:rPr>
          <w:rFonts w:asciiTheme="minorHAnsi" w:eastAsiaTheme="minorEastAsia" w:hAnsiTheme="minorHAnsi" w:cstheme="minorBidi"/>
          <w:noProof/>
          <w:sz w:val="22"/>
          <w:szCs w:val="22"/>
          <w:lang w:eastAsia="en-NZ"/>
        </w:rPr>
      </w:pPr>
      <w:hyperlink w:anchor="_Toc132355305" w:history="1">
        <w:r w:rsidR="004637A0" w:rsidRPr="00734D37">
          <w:rPr>
            <w:rStyle w:val="Hyperlink"/>
            <w:noProof/>
          </w:rPr>
          <w:t>Part One: Purpose and context of the guidelines</w:t>
        </w:r>
        <w:r w:rsidR="004637A0">
          <w:rPr>
            <w:noProof/>
            <w:webHidden/>
          </w:rPr>
          <w:tab/>
        </w:r>
        <w:r w:rsidR="004637A0">
          <w:rPr>
            <w:noProof/>
            <w:webHidden/>
          </w:rPr>
          <w:fldChar w:fldCharType="begin"/>
        </w:r>
        <w:r w:rsidR="004637A0">
          <w:rPr>
            <w:noProof/>
            <w:webHidden/>
          </w:rPr>
          <w:instrText xml:space="preserve"> PAGEREF _Toc132355305 \h </w:instrText>
        </w:r>
        <w:r w:rsidR="004637A0">
          <w:rPr>
            <w:noProof/>
            <w:webHidden/>
          </w:rPr>
        </w:r>
        <w:r w:rsidR="004637A0">
          <w:rPr>
            <w:noProof/>
            <w:webHidden/>
          </w:rPr>
          <w:fldChar w:fldCharType="separate"/>
        </w:r>
        <w:r w:rsidR="00C4184C">
          <w:rPr>
            <w:noProof/>
            <w:webHidden/>
          </w:rPr>
          <w:t>5</w:t>
        </w:r>
        <w:r w:rsidR="004637A0">
          <w:rPr>
            <w:noProof/>
            <w:webHidden/>
          </w:rPr>
          <w:fldChar w:fldCharType="end"/>
        </w:r>
      </w:hyperlink>
    </w:p>
    <w:p w14:paraId="0E41D6A3" w14:textId="3A0F6213" w:rsidR="004637A0" w:rsidRDefault="00000000">
      <w:pPr>
        <w:pStyle w:val="TOC1"/>
        <w:rPr>
          <w:rFonts w:asciiTheme="minorHAnsi" w:eastAsiaTheme="minorEastAsia" w:hAnsiTheme="minorHAnsi" w:cstheme="minorBidi"/>
          <w:noProof/>
          <w:sz w:val="22"/>
          <w:szCs w:val="22"/>
          <w:lang w:eastAsia="en-NZ"/>
        </w:rPr>
      </w:pPr>
      <w:hyperlink w:anchor="_Toc132355306" w:history="1">
        <w:r w:rsidR="004637A0" w:rsidRPr="00734D37">
          <w:rPr>
            <w:rStyle w:val="Hyperlink"/>
            <w:rFonts w:eastAsiaTheme="majorEastAsia"/>
            <w:noProof/>
          </w:rPr>
          <w:t>1</w:t>
        </w:r>
        <w:r w:rsidR="004637A0">
          <w:rPr>
            <w:rFonts w:asciiTheme="minorHAnsi" w:eastAsiaTheme="minorEastAsia" w:hAnsiTheme="minorHAnsi" w:cstheme="minorBidi"/>
            <w:noProof/>
            <w:sz w:val="22"/>
            <w:szCs w:val="22"/>
            <w:lang w:eastAsia="en-NZ"/>
          </w:rPr>
          <w:tab/>
        </w:r>
        <w:r w:rsidR="004637A0" w:rsidRPr="00734D37">
          <w:rPr>
            <w:rStyle w:val="Hyperlink"/>
            <w:rFonts w:eastAsiaTheme="majorEastAsia"/>
            <w:noProof/>
          </w:rPr>
          <w:t>Purpose</w:t>
        </w:r>
        <w:r w:rsidR="004637A0">
          <w:rPr>
            <w:noProof/>
            <w:webHidden/>
          </w:rPr>
          <w:tab/>
        </w:r>
        <w:r w:rsidR="004637A0">
          <w:rPr>
            <w:noProof/>
            <w:webHidden/>
          </w:rPr>
          <w:fldChar w:fldCharType="begin"/>
        </w:r>
        <w:r w:rsidR="004637A0">
          <w:rPr>
            <w:noProof/>
            <w:webHidden/>
          </w:rPr>
          <w:instrText xml:space="preserve"> PAGEREF _Toc132355306 \h </w:instrText>
        </w:r>
        <w:r w:rsidR="004637A0">
          <w:rPr>
            <w:noProof/>
            <w:webHidden/>
          </w:rPr>
        </w:r>
        <w:r w:rsidR="004637A0">
          <w:rPr>
            <w:noProof/>
            <w:webHidden/>
          </w:rPr>
          <w:fldChar w:fldCharType="separate"/>
        </w:r>
        <w:r w:rsidR="00C4184C">
          <w:rPr>
            <w:noProof/>
            <w:webHidden/>
          </w:rPr>
          <w:t>5</w:t>
        </w:r>
        <w:r w:rsidR="004637A0">
          <w:rPr>
            <w:noProof/>
            <w:webHidden/>
          </w:rPr>
          <w:fldChar w:fldCharType="end"/>
        </w:r>
      </w:hyperlink>
    </w:p>
    <w:p w14:paraId="0ED3EA02" w14:textId="51BA1D96" w:rsidR="004637A0" w:rsidRDefault="00000000">
      <w:pPr>
        <w:pStyle w:val="TOC1"/>
        <w:rPr>
          <w:rFonts w:asciiTheme="minorHAnsi" w:eastAsiaTheme="minorEastAsia" w:hAnsiTheme="minorHAnsi" w:cstheme="minorBidi"/>
          <w:noProof/>
          <w:sz w:val="22"/>
          <w:szCs w:val="22"/>
          <w:lang w:eastAsia="en-NZ"/>
        </w:rPr>
      </w:pPr>
      <w:hyperlink w:anchor="_Toc132355307" w:history="1">
        <w:r w:rsidR="004637A0" w:rsidRPr="00734D37">
          <w:rPr>
            <w:rStyle w:val="Hyperlink"/>
            <w:rFonts w:eastAsiaTheme="majorEastAsia"/>
            <w:noProof/>
          </w:rPr>
          <w:t>2</w:t>
        </w:r>
        <w:r w:rsidR="004637A0">
          <w:rPr>
            <w:rFonts w:asciiTheme="minorHAnsi" w:eastAsiaTheme="minorEastAsia" w:hAnsiTheme="minorHAnsi" w:cstheme="minorBidi"/>
            <w:noProof/>
            <w:sz w:val="22"/>
            <w:szCs w:val="22"/>
            <w:lang w:eastAsia="en-NZ"/>
          </w:rPr>
          <w:tab/>
        </w:r>
        <w:r w:rsidR="004637A0" w:rsidRPr="00734D37">
          <w:rPr>
            <w:rStyle w:val="Hyperlink"/>
            <w:rFonts w:eastAsiaTheme="majorEastAsia"/>
            <w:noProof/>
          </w:rPr>
          <w:t>Context</w:t>
        </w:r>
        <w:r w:rsidR="004637A0">
          <w:rPr>
            <w:noProof/>
            <w:webHidden/>
          </w:rPr>
          <w:tab/>
        </w:r>
        <w:r w:rsidR="004637A0">
          <w:rPr>
            <w:noProof/>
            <w:webHidden/>
          </w:rPr>
          <w:fldChar w:fldCharType="begin"/>
        </w:r>
        <w:r w:rsidR="004637A0">
          <w:rPr>
            <w:noProof/>
            <w:webHidden/>
          </w:rPr>
          <w:instrText xml:space="preserve"> PAGEREF _Toc132355307 \h </w:instrText>
        </w:r>
        <w:r w:rsidR="004637A0">
          <w:rPr>
            <w:noProof/>
            <w:webHidden/>
          </w:rPr>
        </w:r>
        <w:r w:rsidR="004637A0">
          <w:rPr>
            <w:noProof/>
            <w:webHidden/>
          </w:rPr>
          <w:fldChar w:fldCharType="separate"/>
        </w:r>
        <w:r w:rsidR="00C4184C">
          <w:rPr>
            <w:noProof/>
            <w:webHidden/>
          </w:rPr>
          <w:t>7</w:t>
        </w:r>
        <w:r w:rsidR="004637A0">
          <w:rPr>
            <w:noProof/>
            <w:webHidden/>
          </w:rPr>
          <w:fldChar w:fldCharType="end"/>
        </w:r>
      </w:hyperlink>
    </w:p>
    <w:p w14:paraId="72C50A71" w14:textId="6AF6974A"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08" w:history="1">
        <w:r w:rsidR="004637A0" w:rsidRPr="00734D37">
          <w:rPr>
            <w:rStyle w:val="Hyperlink"/>
            <w:rFonts w:eastAsiaTheme="majorEastAsia"/>
            <w:noProof/>
          </w:rPr>
          <w:t>2.1</w:t>
        </w:r>
        <w:r w:rsidR="004637A0">
          <w:rPr>
            <w:rFonts w:asciiTheme="minorHAnsi" w:eastAsiaTheme="minorEastAsia" w:hAnsiTheme="minorHAnsi" w:cstheme="minorBidi"/>
            <w:noProof/>
            <w:sz w:val="22"/>
            <w:szCs w:val="22"/>
            <w:lang w:eastAsia="en-NZ"/>
          </w:rPr>
          <w:tab/>
        </w:r>
        <w:r w:rsidR="004637A0" w:rsidRPr="00734D37">
          <w:rPr>
            <w:rStyle w:val="Hyperlink"/>
            <w:rFonts w:eastAsiaTheme="majorEastAsia"/>
            <w:noProof/>
          </w:rPr>
          <w:t>The commitment to reducing and eliminating seclusion and restraint</w:t>
        </w:r>
        <w:r w:rsidR="004637A0">
          <w:rPr>
            <w:noProof/>
            <w:webHidden/>
          </w:rPr>
          <w:tab/>
        </w:r>
        <w:r w:rsidR="004637A0">
          <w:rPr>
            <w:noProof/>
            <w:webHidden/>
          </w:rPr>
          <w:fldChar w:fldCharType="begin"/>
        </w:r>
        <w:r w:rsidR="004637A0">
          <w:rPr>
            <w:noProof/>
            <w:webHidden/>
          </w:rPr>
          <w:instrText xml:space="preserve"> PAGEREF _Toc132355308 \h </w:instrText>
        </w:r>
        <w:r w:rsidR="004637A0">
          <w:rPr>
            <w:noProof/>
            <w:webHidden/>
          </w:rPr>
        </w:r>
        <w:r w:rsidR="004637A0">
          <w:rPr>
            <w:noProof/>
            <w:webHidden/>
          </w:rPr>
          <w:fldChar w:fldCharType="separate"/>
        </w:r>
        <w:r w:rsidR="00C4184C">
          <w:rPr>
            <w:noProof/>
            <w:webHidden/>
          </w:rPr>
          <w:t>7</w:t>
        </w:r>
        <w:r w:rsidR="004637A0">
          <w:rPr>
            <w:noProof/>
            <w:webHidden/>
          </w:rPr>
          <w:fldChar w:fldCharType="end"/>
        </w:r>
      </w:hyperlink>
    </w:p>
    <w:p w14:paraId="0C2E8857" w14:textId="370496BE"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09" w:history="1">
        <w:r w:rsidR="004637A0" w:rsidRPr="00734D37">
          <w:rPr>
            <w:rStyle w:val="Hyperlink"/>
            <w:noProof/>
          </w:rPr>
          <w:t>2.2</w:t>
        </w:r>
        <w:r w:rsidR="004637A0">
          <w:rPr>
            <w:rFonts w:asciiTheme="minorHAnsi" w:eastAsiaTheme="minorEastAsia" w:hAnsiTheme="minorHAnsi" w:cstheme="minorBidi"/>
            <w:noProof/>
            <w:sz w:val="22"/>
            <w:szCs w:val="22"/>
            <w:lang w:eastAsia="en-NZ"/>
          </w:rPr>
          <w:tab/>
        </w:r>
        <w:r w:rsidR="004637A0" w:rsidRPr="00734D37">
          <w:rPr>
            <w:rStyle w:val="Hyperlink"/>
            <w:noProof/>
          </w:rPr>
          <w:t>Upholding Te Tiriti o Waitangi and people’s rights</w:t>
        </w:r>
        <w:r w:rsidR="004637A0">
          <w:rPr>
            <w:noProof/>
            <w:webHidden/>
          </w:rPr>
          <w:tab/>
        </w:r>
        <w:r w:rsidR="004637A0">
          <w:rPr>
            <w:noProof/>
            <w:webHidden/>
          </w:rPr>
          <w:fldChar w:fldCharType="begin"/>
        </w:r>
        <w:r w:rsidR="004637A0">
          <w:rPr>
            <w:noProof/>
            <w:webHidden/>
          </w:rPr>
          <w:instrText xml:space="preserve"> PAGEREF _Toc132355309 \h </w:instrText>
        </w:r>
        <w:r w:rsidR="004637A0">
          <w:rPr>
            <w:noProof/>
            <w:webHidden/>
          </w:rPr>
        </w:r>
        <w:r w:rsidR="004637A0">
          <w:rPr>
            <w:noProof/>
            <w:webHidden/>
          </w:rPr>
          <w:fldChar w:fldCharType="separate"/>
        </w:r>
        <w:r w:rsidR="00C4184C">
          <w:rPr>
            <w:noProof/>
            <w:webHidden/>
          </w:rPr>
          <w:t>8</w:t>
        </w:r>
        <w:r w:rsidR="004637A0">
          <w:rPr>
            <w:noProof/>
            <w:webHidden/>
          </w:rPr>
          <w:fldChar w:fldCharType="end"/>
        </w:r>
      </w:hyperlink>
    </w:p>
    <w:p w14:paraId="70312BAC" w14:textId="18953867"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10" w:history="1">
        <w:r w:rsidR="004637A0" w:rsidRPr="00734D37">
          <w:rPr>
            <w:rStyle w:val="Hyperlink"/>
            <w:noProof/>
          </w:rPr>
          <w:t>2.3</w:t>
        </w:r>
        <w:r w:rsidR="004637A0">
          <w:rPr>
            <w:rFonts w:asciiTheme="minorHAnsi" w:eastAsiaTheme="minorEastAsia" w:hAnsiTheme="minorHAnsi" w:cstheme="minorBidi"/>
            <w:noProof/>
            <w:sz w:val="22"/>
            <w:szCs w:val="22"/>
            <w:lang w:eastAsia="en-NZ"/>
          </w:rPr>
          <w:tab/>
        </w:r>
        <w:r w:rsidR="004637A0" w:rsidRPr="00734D37">
          <w:rPr>
            <w:rStyle w:val="Hyperlink"/>
            <w:noProof/>
          </w:rPr>
          <w:t>Ngā Paerewa Health and Disability Services Standard (NZS 8134:2021)</w:t>
        </w:r>
        <w:r w:rsidR="004637A0">
          <w:rPr>
            <w:noProof/>
            <w:webHidden/>
          </w:rPr>
          <w:tab/>
        </w:r>
        <w:r w:rsidR="004637A0">
          <w:rPr>
            <w:noProof/>
            <w:webHidden/>
          </w:rPr>
          <w:fldChar w:fldCharType="begin"/>
        </w:r>
        <w:r w:rsidR="004637A0">
          <w:rPr>
            <w:noProof/>
            <w:webHidden/>
          </w:rPr>
          <w:instrText xml:space="preserve"> PAGEREF _Toc132355310 \h </w:instrText>
        </w:r>
        <w:r w:rsidR="004637A0">
          <w:rPr>
            <w:noProof/>
            <w:webHidden/>
          </w:rPr>
        </w:r>
        <w:r w:rsidR="004637A0">
          <w:rPr>
            <w:noProof/>
            <w:webHidden/>
          </w:rPr>
          <w:fldChar w:fldCharType="separate"/>
        </w:r>
        <w:r w:rsidR="00C4184C">
          <w:rPr>
            <w:noProof/>
            <w:webHidden/>
          </w:rPr>
          <w:t>13</w:t>
        </w:r>
        <w:r w:rsidR="004637A0">
          <w:rPr>
            <w:noProof/>
            <w:webHidden/>
          </w:rPr>
          <w:fldChar w:fldCharType="end"/>
        </w:r>
      </w:hyperlink>
    </w:p>
    <w:p w14:paraId="29655CEC" w14:textId="62A0C198"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11" w:history="1">
        <w:r w:rsidR="004637A0" w:rsidRPr="00734D37">
          <w:rPr>
            <w:rStyle w:val="Hyperlink"/>
            <w:noProof/>
          </w:rPr>
          <w:t>2.4</w:t>
        </w:r>
        <w:r w:rsidR="004637A0">
          <w:rPr>
            <w:rFonts w:asciiTheme="minorHAnsi" w:eastAsiaTheme="minorEastAsia" w:hAnsiTheme="minorHAnsi" w:cstheme="minorBidi"/>
            <w:noProof/>
            <w:sz w:val="22"/>
            <w:szCs w:val="22"/>
            <w:lang w:eastAsia="en-NZ"/>
          </w:rPr>
          <w:tab/>
        </w:r>
        <w:r w:rsidR="004637A0" w:rsidRPr="00734D37">
          <w:rPr>
            <w:rStyle w:val="Hyperlink"/>
            <w:noProof/>
          </w:rPr>
          <w:t>Definitions of restraint and seclusion</w:t>
        </w:r>
        <w:r w:rsidR="004637A0">
          <w:rPr>
            <w:noProof/>
            <w:webHidden/>
          </w:rPr>
          <w:tab/>
        </w:r>
        <w:r w:rsidR="004637A0">
          <w:rPr>
            <w:noProof/>
            <w:webHidden/>
          </w:rPr>
          <w:fldChar w:fldCharType="begin"/>
        </w:r>
        <w:r w:rsidR="004637A0">
          <w:rPr>
            <w:noProof/>
            <w:webHidden/>
          </w:rPr>
          <w:instrText xml:space="preserve"> PAGEREF _Toc132355311 \h </w:instrText>
        </w:r>
        <w:r w:rsidR="004637A0">
          <w:rPr>
            <w:noProof/>
            <w:webHidden/>
          </w:rPr>
        </w:r>
        <w:r w:rsidR="004637A0">
          <w:rPr>
            <w:noProof/>
            <w:webHidden/>
          </w:rPr>
          <w:fldChar w:fldCharType="separate"/>
        </w:r>
        <w:r w:rsidR="00C4184C">
          <w:rPr>
            <w:noProof/>
            <w:webHidden/>
          </w:rPr>
          <w:t>15</w:t>
        </w:r>
        <w:r w:rsidR="004637A0">
          <w:rPr>
            <w:noProof/>
            <w:webHidden/>
          </w:rPr>
          <w:fldChar w:fldCharType="end"/>
        </w:r>
      </w:hyperlink>
    </w:p>
    <w:p w14:paraId="30AA91E4" w14:textId="5E813849"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12" w:history="1">
        <w:r w:rsidR="004637A0" w:rsidRPr="00734D37">
          <w:rPr>
            <w:rStyle w:val="Hyperlink"/>
            <w:noProof/>
          </w:rPr>
          <w:t>2.5</w:t>
        </w:r>
        <w:r w:rsidR="004637A0">
          <w:rPr>
            <w:rFonts w:asciiTheme="minorHAnsi" w:eastAsiaTheme="minorEastAsia" w:hAnsiTheme="minorHAnsi" w:cstheme="minorBidi"/>
            <w:noProof/>
            <w:sz w:val="22"/>
            <w:szCs w:val="22"/>
            <w:lang w:eastAsia="en-NZ"/>
          </w:rPr>
          <w:tab/>
        </w:r>
        <w:r w:rsidR="004637A0" w:rsidRPr="00734D37">
          <w:rPr>
            <w:rStyle w:val="Hyperlink"/>
            <w:noProof/>
          </w:rPr>
          <w:t>Leadership and governance</w:t>
        </w:r>
        <w:r w:rsidR="004637A0">
          <w:rPr>
            <w:noProof/>
            <w:webHidden/>
          </w:rPr>
          <w:tab/>
        </w:r>
        <w:r w:rsidR="004637A0">
          <w:rPr>
            <w:noProof/>
            <w:webHidden/>
          </w:rPr>
          <w:fldChar w:fldCharType="begin"/>
        </w:r>
        <w:r w:rsidR="004637A0">
          <w:rPr>
            <w:noProof/>
            <w:webHidden/>
          </w:rPr>
          <w:instrText xml:space="preserve"> PAGEREF _Toc132355312 \h </w:instrText>
        </w:r>
        <w:r w:rsidR="004637A0">
          <w:rPr>
            <w:noProof/>
            <w:webHidden/>
          </w:rPr>
        </w:r>
        <w:r w:rsidR="004637A0">
          <w:rPr>
            <w:noProof/>
            <w:webHidden/>
          </w:rPr>
          <w:fldChar w:fldCharType="separate"/>
        </w:r>
        <w:r w:rsidR="00C4184C">
          <w:rPr>
            <w:noProof/>
            <w:webHidden/>
          </w:rPr>
          <w:t>17</w:t>
        </w:r>
        <w:r w:rsidR="004637A0">
          <w:rPr>
            <w:noProof/>
            <w:webHidden/>
          </w:rPr>
          <w:fldChar w:fldCharType="end"/>
        </w:r>
      </w:hyperlink>
    </w:p>
    <w:p w14:paraId="1AABAE99" w14:textId="5C45D811" w:rsidR="004637A0" w:rsidRDefault="00000000">
      <w:pPr>
        <w:pStyle w:val="TOC1"/>
        <w:rPr>
          <w:rFonts w:asciiTheme="minorHAnsi" w:eastAsiaTheme="minorEastAsia" w:hAnsiTheme="minorHAnsi" w:cstheme="minorBidi"/>
          <w:noProof/>
          <w:sz w:val="22"/>
          <w:szCs w:val="22"/>
          <w:lang w:eastAsia="en-NZ"/>
        </w:rPr>
      </w:pPr>
      <w:hyperlink w:anchor="_Toc132355313" w:history="1">
        <w:r w:rsidR="004637A0" w:rsidRPr="00734D37">
          <w:rPr>
            <w:rStyle w:val="Hyperlink"/>
            <w:noProof/>
          </w:rPr>
          <w:t>Part Two: Preventing seclusion and restraint</w:t>
        </w:r>
        <w:r w:rsidR="004637A0">
          <w:rPr>
            <w:noProof/>
            <w:webHidden/>
          </w:rPr>
          <w:tab/>
        </w:r>
        <w:r w:rsidR="004637A0">
          <w:rPr>
            <w:noProof/>
            <w:webHidden/>
          </w:rPr>
          <w:fldChar w:fldCharType="begin"/>
        </w:r>
        <w:r w:rsidR="004637A0">
          <w:rPr>
            <w:noProof/>
            <w:webHidden/>
          </w:rPr>
          <w:instrText xml:space="preserve"> PAGEREF _Toc132355313 \h </w:instrText>
        </w:r>
        <w:r w:rsidR="004637A0">
          <w:rPr>
            <w:noProof/>
            <w:webHidden/>
          </w:rPr>
        </w:r>
        <w:r w:rsidR="004637A0">
          <w:rPr>
            <w:noProof/>
            <w:webHidden/>
          </w:rPr>
          <w:fldChar w:fldCharType="separate"/>
        </w:r>
        <w:r w:rsidR="00C4184C">
          <w:rPr>
            <w:noProof/>
            <w:webHidden/>
          </w:rPr>
          <w:t>18</w:t>
        </w:r>
        <w:r w:rsidR="004637A0">
          <w:rPr>
            <w:noProof/>
            <w:webHidden/>
          </w:rPr>
          <w:fldChar w:fldCharType="end"/>
        </w:r>
      </w:hyperlink>
    </w:p>
    <w:p w14:paraId="4755E418" w14:textId="66BB92BB" w:rsidR="004637A0" w:rsidRDefault="00000000">
      <w:pPr>
        <w:pStyle w:val="TOC1"/>
        <w:rPr>
          <w:rFonts w:asciiTheme="minorHAnsi" w:eastAsiaTheme="minorEastAsia" w:hAnsiTheme="minorHAnsi" w:cstheme="minorBidi"/>
          <w:noProof/>
          <w:sz w:val="22"/>
          <w:szCs w:val="22"/>
          <w:lang w:eastAsia="en-NZ"/>
        </w:rPr>
      </w:pPr>
      <w:hyperlink w:anchor="_Toc132355314" w:history="1">
        <w:r w:rsidR="004637A0" w:rsidRPr="00734D37">
          <w:rPr>
            <w:rStyle w:val="Hyperlink"/>
            <w:noProof/>
          </w:rPr>
          <w:t>3</w:t>
        </w:r>
        <w:r w:rsidR="004637A0">
          <w:rPr>
            <w:rFonts w:asciiTheme="minorHAnsi" w:eastAsiaTheme="minorEastAsia" w:hAnsiTheme="minorHAnsi" w:cstheme="minorBidi"/>
            <w:noProof/>
            <w:sz w:val="22"/>
            <w:szCs w:val="22"/>
            <w:lang w:eastAsia="en-NZ"/>
          </w:rPr>
          <w:tab/>
        </w:r>
        <w:r w:rsidR="004637A0" w:rsidRPr="00734D37">
          <w:rPr>
            <w:rStyle w:val="Hyperlink"/>
            <w:noProof/>
          </w:rPr>
          <w:t>Initiatives to reduce and eliminate seclusion and restraint</w:t>
        </w:r>
        <w:r w:rsidR="004637A0">
          <w:rPr>
            <w:noProof/>
            <w:webHidden/>
          </w:rPr>
          <w:tab/>
        </w:r>
        <w:r w:rsidR="004637A0">
          <w:rPr>
            <w:noProof/>
            <w:webHidden/>
          </w:rPr>
          <w:fldChar w:fldCharType="begin"/>
        </w:r>
        <w:r w:rsidR="004637A0">
          <w:rPr>
            <w:noProof/>
            <w:webHidden/>
          </w:rPr>
          <w:instrText xml:space="preserve"> PAGEREF _Toc132355314 \h </w:instrText>
        </w:r>
        <w:r w:rsidR="004637A0">
          <w:rPr>
            <w:noProof/>
            <w:webHidden/>
          </w:rPr>
        </w:r>
        <w:r w:rsidR="004637A0">
          <w:rPr>
            <w:noProof/>
            <w:webHidden/>
          </w:rPr>
          <w:fldChar w:fldCharType="separate"/>
        </w:r>
        <w:r w:rsidR="00C4184C">
          <w:rPr>
            <w:noProof/>
            <w:webHidden/>
          </w:rPr>
          <w:t>18</w:t>
        </w:r>
        <w:r w:rsidR="004637A0">
          <w:rPr>
            <w:noProof/>
            <w:webHidden/>
          </w:rPr>
          <w:fldChar w:fldCharType="end"/>
        </w:r>
      </w:hyperlink>
    </w:p>
    <w:p w14:paraId="451C559E" w14:textId="20773134"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15" w:history="1">
        <w:r w:rsidR="004637A0" w:rsidRPr="00734D37">
          <w:rPr>
            <w:rStyle w:val="Hyperlink"/>
            <w:noProof/>
          </w:rPr>
          <w:t>3.1</w:t>
        </w:r>
        <w:r w:rsidR="004637A0">
          <w:rPr>
            <w:rFonts w:asciiTheme="minorHAnsi" w:eastAsiaTheme="minorEastAsia" w:hAnsiTheme="minorHAnsi" w:cstheme="minorBidi"/>
            <w:noProof/>
            <w:sz w:val="22"/>
            <w:szCs w:val="22"/>
            <w:lang w:eastAsia="en-NZ"/>
          </w:rPr>
          <w:tab/>
        </w:r>
        <w:r w:rsidR="004637A0" w:rsidRPr="00734D37">
          <w:rPr>
            <w:rStyle w:val="Hyperlink"/>
            <w:noProof/>
          </w:rPr>
          <w:t>Six Core Strategies</w:t>
        </w:r>
        <w:r w:rsidR="004637A0">
          <w:rPr>
            <w:noProof/>
            <w:webHidden/>
          </w:rPr>
          <w:tab/>
        </w:r>
        <w:r w:rsidR="004637A0">
          <w:rPr>
            <w:noProof/>
            <w:webHidden/>
          </w:rPr>
          <w:fldChar w:fldCharType="begin"/>
        </w:r>
        <w:r w:rsidR="004637A0">
          <w:rPr>
            <w:noProof/>
            <w:webHidden/>
          </w:rPr>
          <w:instrText xml:space="preserve"> PAGEREF _Toc132355315 \h </w:instrText>
        </w:r>
        <w:r w:rsidR="004637A0">
          <w:rPr>
            <w:noProof/>
            <w:webHidden/>
          </w:rPr>
        </w:r>
        <w:r w:rsidR="004637A0">
          <w:rPr>
            <w:noProof/>
            <w:webHidden/>
          </w:rPr>
          <w:fldChar w:fldCharType="separate"/>
        </w:r>
        <w:r w:rsidR="00C4184C">
          <w:rPr>
            <w:noProof/>
            <w:webHidden/>
          </w:rPr>
          <w:t>18</w:t>
        </w:r>
        <w:r w:rsidR="004637A0">
          <w:rPr>
            <w:noProof/>
            <w:webHidden/>
          </w:rPr>
          <w:fldChar w:fldCharType="end"/>
        </w:r>
      </w:hyperlink>
    </w:p>
    <w:p w14:paraId="6B0D73A0" w14:textId="07BE29EE"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16" w:history="1">
        <w:r w:rsidR="004637A0" w:rsidRPr="00734D37">
          <w:rPr>
            <w:rStyle w:val="Hyperlink"/>
            <w:noProof/>
          </w:rPr>
          <w:t>3.2</w:t>
        </w:r>
        <w:r w:rsidR="004637A0">
          <w:rPr>
            <w:rFonts w:asciiTheme="minorHAnsi" w:eastAsiaTheme="minorEastAsia" w:hAnsiTheme="minorHAnsi" w:cstheme="minorBidi"/>
            <w:noProof/>
            <w:sz w:val="22"/>
            <w:szCs w:val="22"/>
            <w:lang w:eastAsia="en-NZ"/>
          </w:rPr>
          <w:tab/>
        </w:r>
        <w:r w:rsidR="004637A0" w:rsidRPr="00734D37">
          <w:rPr>
            <w:rStyle w:val="Hyperlink"/>
            <w:noProof/>
          </w:rPr>
          <w:t>Zero seclusion: Safety and dignity for all | Aukatia te noho punanga: Noho haumanu, tū rangatira mō te tokomaha</w:t>
        </w:r>
        <w:r w:rsidR="004637A0">
          <w:rPr>
            <w:noProof/>
            <w:webHidden/>
          </w:rPr>
          <w:tab/>
        </w:r>
        <w:r w:rsidR="004637A0">
          <w:rPr>
            <w:noProof/>
            <w:webHidden/>
          </w:rPr>
          <w:fldChar w:fldCharType="begin"/>
        </w:r>
        <w:r w:rsidR="004637A0">
          <w:rPr>
            <w:noProof/>
            <w:webHidden/>
          </w:rPr>
          <w:instrText xml:space="preserve"> PAGEREF _Toc132355316 \h </w:instrText>
        </w:r>
        <w:r w:rsidR="004637A0">
          <w:rPr>
            <w:noProof/>
            <w:webHidden/>
          </w:rPr>
        </w:r>
        <w:r w:rsidR="004637A0">
          <w:rPr>
            <w:noProof/>
            <w:webHidden/>
          </w:rPr>
          <w:fldChar w:fldCharType="separate"/>
        </w:r>
        <w:r w:rsidR="00C4184C">
          <w:rPr>
            <w:noProof/>
            <w:webHidden/>
          </w:rPr>
          <w:t>19</w:t>
        </w:r>
        <w:r w:rsidR="004637A0">
          <w:rPr>
            <w:noProof/>
            <w:webHidden/>
          </w:rPr>
          <w:fldChar w:fldCharType="end"/>
        </w:r>
      </w:hyperlink>
    </w:p>
    <w:p w14:paraId="7E19AA2C" w14:textId="36A59F92"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17" w:history="1">
        <w:r w:rsidR="004637A0" w:rsidRPr="00734D37">
          <w:rPr>
            <w:rStyle w:val="Hyperlink"/>
            <w:noProof/>
          </w:rPr>
          <w:t>3.3</w:t>
        </w:r>
        <w:r w:rsidR="004637A0">
          <w:rPr>
            <w:rFonts w:asciiTheme="minorHAnsi" w:eastAsiaTheme="minorEastAsia" w:hAnsiTheme="minorHAnsi" w:cstheme="minorBidi"/>
            <w:noProof/>
            <w:sz w:val="22"/>
            <w:szCs w:val="22"/>
            <w:lang w:eastAsia="en-NZ"/>
          </w:rPr>
          <w:tab/>
        </w:r>
        <w:r w:rsidR="004637A0" w:rsidRPr="00734D37">
          <w:rPr>
            <w:rStyle w:val="Hyperlink"/>
            <w:noProof/>
          </w:rPr>
          <w:t>Safe Practice Effective Communication</w:t>
        </w:r>
        <w:r w:rsidR="004637A0">
          <w:rPr>
            <w:noProof/>
            <w:webHidden/>
          </w:rPr>
          <w:tab/>
        </w:r>
        <w:r w:rsidR="004637A0">
          <w:rPr>
            <w:noProof/>
            <w:webHidden/>
          </w:rPr>
          <w:fldChar w:fldCharType="begin"/>
        </w:r>
        <w:r w:rsidR="004637A0">
          <w:rPr>
            <w:noProof/>
            <w:webHidden/>
          </w:rPr>
          <w:instrText xml:space="preserve"> PAGEREF _Toc132355317 \h </w:instrText>
        </w:r>
        <w:r w:rsidR="004637A0">
          <w:rPr>
            <w:noProof/>
            <w:webHidden/>
          </w:rPr>
        </w:r>
        <w:r w:rsidR="004637A0">
          <w:rPr>
            <w:noProof/>
            <w:webHidden/>
          </w:rPr>
          <w:fldChar w:fldCharType="separate"/>
        </w:r>
        <w:r w:rsidR="00C4184C">
          <w:rPr>
            <w:noProof/>
            <w:webHidden/>
          </w:rPr>
          <w:t>20</w:t>
        </w:r>
        <w:r w:rsidR="004637A0">
          <w:rPr>
            <w:noProof/>
            <w:webHidden/>
          </w:rPr>
          <w:fldChar w:fldCharType="end"/>
        </w:r>
      </w:hyperlink>
    </w:p>
    <w:p w14:paraId="39A24D4D" w14:textId="6CE37D45" w:rsidR="004637A0" w:rsidRDefault="00000000">
      <w:pPr>
        <w:pStyle w:val="TOC1"/>
        <w:rPr>
          <w:rFonts w:asciiTheme="minorHAnsi" w:eastAsiaTheme="minorEastAsia" w:hAnsiTheme="minorHAnsi" w:cstheme="minorBidi"/>
          <w:noProof/>
          <w:sz w:val="22"/>
          <w:szCs w:val="22"/>
          <w:lang w:eastAsia="en-NZ"/>
        </w:rPr>
      </w:pPr>
      <w:hyperlink w:anchor="_Toc132355318" w:history="1">
        <w:r w:rsidR="004637A0" w:rsidRPr="00734D37">
          <w:rPr>
            <w:rStyle w:val="Hyperlink"/>
            <w:noProof/>
          </w:rPr>
          <w:t>4</w:t>
        </w:r>
        <w:r w:rsidR="004637A0">
          <w:rPr>
            <w:rFonts w:asciiTheme="minorHAnsi" w:eastAsiaTheme="minorEastAsia" w:hAnsiTheme="minorHAnsi" w:cstheme="minorBidi"/>
            <w:noProof/>
            <w:sz w:val="22"/>
            <w:szCs w:val="22"/>
            <w:lang w:eastAsia="en-NZ"/>
          </w:rPr>
          <w:tab/>
        </w:r>
        <w:r w:rsidR="004637A0" w:rsidRPr="00734D37">
          <w:rPr>
            <w:rStyle w:val="Hyperlink"/>
            <w:noProof/>
          </w:rPr>
          <w:t>Person-centred approaches to preventing seclusion and restraint</w:t>
        </w:r>
        <w:r w:rsidR="004637A0">
          <w:rPr>
            <w:noProof/>
            <w:webHidden/>
          </w:rPr>
          <w:tab/>
        </w:r>
        <w:r w:rsidR="004637A0">
          <w:rPr>
            <w:noProof/>
            <w:webHidden/>
          </w:rPr>
          <w:fldChar w:fldCharType="begin"/>
        </w:r>
        <w:r w:rsidR="004637A0">
          <w:rPr>
            <w:noProof/>
            <w:webHidden/>
          </w:rPr>
          <w:instrText xml:space="preserve"> PAGEREF _Toc132355318 \h </w:instrText>
        </w:r>
        <w:r w:rsidR="004637A0">
          <w:rPr>
            <w:noProof/>
            <w:webHidden/>
          </w:rPr>
        </w:r>
        <w:r w:rsidR="004637A0">
          <w:rPr>
            <w:noProof/>
            <w:webHidden/>
          </w:rPr>
          <w:fldChar w:fldCharType="separate"/>
        </w:r>
        <w:r w:rsidR="00C4184C">
          <w:rPr>
            <w:noProof/>
            <w:webHidden/>
          </w:rPr>
          <w:t>21</w:t>
        </w:r>
        <w:r w:rsidR="004637A0">
          <w:rPr>
            <w:noProof/>
            <w:webHidden/>
          </w:rPr>
          <w:fldChar w:fldCharType="end"/>
        </w:r>
      </w:hyperlink>
    </w:p>
    <w:p w14:paraId="227C4B6E" w14:textId="1E73280A"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19" w:history="1">
        <w:r w:rsidR="004637A0" w:rsidRPr="00734D37">
          <w:rPr>
            <w:rStyle w:val="Hyperlink"/>
            <w:noProof/>
          </w:rPr>
          <w:t>4.1</w:t>
        </w:r>
        <w:r w:rsidR="004637A0">
          <w:rPr>
            <w:rFonts w:asciiTheme="minorHAnsi" w:eastAsiaTheme="minorEastAsia" w:hAnsiTheme="minorHAnsi" w:cstheme="minorBidi"/>
            <w:noProof/>
            <w:sz w:val="22"/>
            <w:szCs w:val="22"/>
            <w:lang w:eastAsia="en-NZ"/>
          </w:rPr>
          <w:tab/>
        </w:r>
        <w:r w:rsidR="004637A0" w:rsidRPr="00734D37">
          <w:rPr>
            <w:rStyle w:val="Hyperlink"/>
            <w:noProof/>
          </w:rPr>
          <w:t>Working in partnership with Māori</w:t>
        </w:r>
        <w:r w:rsidR="004637A0">
          <w:rPr>
            <w:noProof/>
            <w:webHidden/>
          </w:rPr>
          <w:tab/>
        </w:r>
        <w:r w:rsidR="004637A0">
          <w:rPr>
            <w:noProof/>
            <w:webHidden/>
          </w:rPr>
          <w:fldChar w:fldCharType="begin"/>
        </w:r>
        <w:r w:rsidR="004637A0">
          <w:rPr>
            <w:noProof/>
            <w:webHidden/>
          </w:rPr>
          <w:instrText xml:space="preserve"> PAGEREF _Toc132355319 \h </w:instrText>
        </w:r>
        <w:r w:rsidR="004637A0">
          <w:rPr>
            <w:noProof/>
            <w:webHidden/>
          </w:rPr>
        </w:r>
        <w:r w:rsidR="004637A0">
          <w:rPr>
            <w:noProof/>
            <w:webHidden/>
          </w:rPr>
          <w:fldChar w:fldCharType="separate"/>
        </w:r>
        <w:r w:rsidR="00C4184C">
          <w:rPr>
            <w:noProof/>
            <w:webHidden/>
          </w:rPr>
          <w:t>21</w:t>
        </w:r>
        <w:r w:rsidR="004637A0">
          <w:rPr>
            <w:noProof/>
            <w:webHidden/>
          </w:rPr>
          <w:fldChar w:fldCharType="end"/>
        </w:r>
      </w:hyperlink>
    </w:p>
    <w:p w14:paraId="1566873E" w14:textId="52C60FED"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20" w:history="1">
        <w:r w:rsidR="004637A0" w:rsidRPr="00734D37">
          <w:rPr>
            <w:rStyle w:val="Hyperlink"/>
            <w:noProof/>
          </w:rPr>
          <w:t>4.2</w:t>
        </w:r>
        <w:r w:rsidR="004637A0">
          <w:rPr>
            <w:rFonts w:asciiTheme="minorHAnsi" w:eastAsiaTheme="minorEastAsia" w:hAnsiTheme="minorHAnsi" w:cstheme="minorBidi"/>
            <w:noProof/>
            <w:sz w:val="22"/>
            <w:szCs w:val="22"/>
            <w:lang w:eastAsia="en-NZ"/>
          </w:rPr>
          <w:tab/>
        </w:r>
        <w:r w:rsidR="004637A0" w:rsidRPr="00734D37">
          <w:rPr>
            <w:rStyle w:val="Hyperlink"/>
            <w:noProof/>
          </w:rPr>
          <w:t>Supported decision-making</w:t>
        </w:r>
        <w:r w:rsidR="004637A0">
          <w:rPr>
            <w:noProof/>
            <w:webHidden/>
          </w:rPr>
          <w:tab/>
        </w:r>
        <w:r w:rsidR="004637A0">
          <w:rPr>
            <w:noProof/>
            <w:webHidden/>
          </w:rPr>
          <w:fldChar w:fldCharType="begin"/>
        </w:r>
        <w:r w:rsidR="004637A0">
          <w:rPr>
            <w:noProof/>
            <w:webHidden/>
          </w:rPr>
          <w:instrText xml:space="preserve"> PAGEREF _Toc132355320 \h </w:instrText>
        </w:r>
        <w:r w:rsidR="004637A0">
          <w:rPr>
            <w:noProof/>
            <w:webHidden/>
          </w:rPr>
        </w:r>
        <w:r w:rsidR="004637A0">
          <w:rPr>
            <w:noProof/>
            <w:webHidden/>
          </w:rPr>
          <w:fldChar w:fldCharType="separate"/>
        </w:r>
        <w:r w:rsidR="00C4184C">
          <w:rPr>
            <w:noProof/>
            <w:webHidden/>
          </w:rPr>
          <w:t>22</w:t>
        </w:r>
        <w:r w:rsidR="004637A0">
          <w:rPr>
            <w:noProof/>
            <w:webHidden/>
          </w:rPr>
          <w:fldChar w:fldCharType="end"/>
        </w:r>
      </w:hyperlink>
    </w:p>
    <w:p w14:paraId="195F058E" w14:textId="110E59E6"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21" w:history="1">
        <w:r w:rsidR="004637A0" w:rsidRPr="00734D37">
          <w:rPr>
            <w:rStyle w:val="Hyperlink"/>
            <w:noProof/>
          </w:rPr>
          <w:t>4.3</w:t>
        </w:r>
        <w:r w:rsidR="004637A0">
          <w:rPr>
            <w:rFonts w:asciiTheme="minorHAnsi" w:eastAsiaTheme="minorEastAsia" w:hAnsiTheme="minorHAnsi" w:cstheme="minorBidi"/>
            <w:noProof/>
            <w:sz w:val="22"/>
            <w:szCs w:val="22"/>
            <w:lang w:eastAsia="en-NZ"/>
          </w:rPr>
          <w:tab/>
        </w:r>
        <w:r w:rsidR="004637A0" w:rsidRPr="00734D37">
          <w:rPr>
            <w:rStyle w:val="Hyperlink"/>
            <w:noProof/>
          </w:rPr>
          <w:t>Advance directives</w:t>
        </w:r>
        <w:r w:rsidR="004637A0">
          <w:rPr>
            <w:noProof/>
            <w:webHidden/>
          </w:rPr>
          <w:tab/>
        </w:r>
        <w:r w:rsidR="004637A0">
          <w:rPr>
            <w:noProof/>
            <w:webHidden/>
          </w:rPr>
          <w:fldChar w:fldCharType="begin"/>
        </w:r>
        <w:r w:rsidR="004637A0">
          <w:rPr>
            <w:noProof/>
            <w:webHidden/>
          </w:rPr>
          <w:instrText xml:space="preserve"> PAGEREF _Toc132355321 \h </w:instrText>
        </w:r>
        <w:r w:rsidR="004637A0">
          <w:rPr>
            <w:noProof/>
            <w:webHidden/>
          </w:rPr>
        </w:r>
        <w:r w:rsidR="004637A0">
          <w:rPr>
            <w:noProof/>
            <w:webHidden/>
          </w:rPr>
          <w:fldChar w:fldCharType="separate"/>
        </w:r>
        <w:r w:rsidR="00C4184C">
          <w:rPr>
            <w:noProof/>
            <w:webHidden/>
          </w:rPr>
          <w:t>23</w:t>
        </w:r>
        <w:r w:rsidR="004637A0">
          <w:rPr>
            <w:noProof/>
            <w:webHidden/>
          </w:rPr>
          <w:fldChar w:fldCharType="end"/>
        </w:r>
      </w:hyperlink>
    </w:p>
    <w:p w14:paraId="6D64DC9E" w14:textId="5DAB4EAA"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22" w:history="1">
        <w:r w:rsidR="004637A0" w:rsidRPr="00734D37">
          <w:rPr>
            <w:rStyle w:val="Hyperlink"/>
            <w:noProof/>
          </w:rPr>
          <w:t>4.4</w:t>
        </w:r>
        <w:r w:rsidR="004637A0">
          <w:rPr>
            <w:rFonts w:asciiTheme="minorHAnsi" w:eastAsiaTheme="minorEastAsia" w:hAnsiTheme="minorHAnsi" w:cstheme="minorBidi"/>
            <w:noProof/>
            <w:sz w:val="22"/>
            <w:szCs w:val="22"/>
            <w:lang w:eastAsia="en-NZ"/>
          </w:rPr>
          <w:tab/>
        </w:r>
        <w:r w:rsidR="004637A0" w:rsidRPr="00734D37">
          <w:rPr>
            <w:rStyle w:val="Hyperlink"/>
            <w:noProof/>
          </w:rPr>
          <w:t>Trauma-informed approaches</w:t>
        </w:r>
        <w:r w:rsidR="004637A0">
          <w:rPr>
            <w:noProof/>
            <w:webHidden/>
          </w:rPr>
          <w:tab/>
        </w:r>
        <w:r w:rsidR="004637A0">
          <w:rPr>
            <w:noProof/>
            <w:webHidden/>
          </w:rPr>
          <w:fldChar w:fldCharType="begin"/>
        </w:r>
        <w:r w:rsidR="004637A0">
          <w:rPr>
            <w:noProof/>
            <w:webHidden/>
          </w:rPr>
          <w:instrText xml:space="preserve"> PAGEREF _Toc132355322 \h </w:instrText>
        </w:r>
        <w:r w:rsidR="004637A0">
          <w:rPr>
            <w:noProof/>
            <w:webHidden/>
          </w:rPr>
        </w:r>
        <w:r w:rsidR="004637A0">
          <w:rPr>
            <w:noProof/>
            <w:webHidden/>
          </w:rPr>
          <w:fldChar w:fldCharType="separate"/>
        </w:r>
        <w:r w:rsidR="00C4184C">
          <w:rPr>
            <w:noProof/>
            <w:webHidden/>
          </w:rPr>
          <w:t>24</w:t>
        </w:r>
        <w:r w:rsidR="004637A0">
          <w:rPr>
            <w:noProof/>
            <w:webHidden/>
          </w:rPr>
          <w:fldChar w:fldCharType="end"/>
        </w:r>
      </w:hyperlink>
    </w:p>
    <w:p w14:paraId="517096E7" w14:textId="60948BF0"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23" w:history="1">
        <w:r w:rsidR="004637A0" w:rsidRPr="00734D37">
          <w:rPr>
            <w:rStyle w:val="Hyperlink"/>
            <w:noProof/>
          </w:rPr>
          <w:t>4.5</w:t>
        </w:r>
        <w:r w:rsidR="004637A0">
          <w:rPr>
            <w:rFonts w:asciiTheme="minorHAnsi" w:eastAsiaTheme="minorEastAsia" w:hAnsiTheme="minorHAnsi" w:cstheme="minorBidi"/>
            <w:noProof/>
            <w:sz w:val="22"/>
            <w:szCs w:val="22"/>
            <w:lang w:eastAsia="en-NZ"/>
          </w:rPr>
          <w:tab/>
        </w:r>
        <w:r w:rsidR="004637A0" w:rsidRPr="00734D37">
          <w:rPr>
            <w:rStyle w:val="Hyperlink"/>
            <w:noProof/>
          </w:rPr>
          <w:t>Individualised support planning</w:t>
        </w:r>
        <w:r w:rsidR="004637A0">
          <w:rPr>
            <w:noProof/>
            <w:webHidden/>
          </w:rPr>
          <w:tab/>
        </w:r>
        <w:r w:rsidR="004637A0">
          <w:rPr>
            <w:noProof/>
            <w:webHidden/>
          </w:rPr>
          <w:fldChar w:fldCharType="begin"/>
        </w:r>
        <w:r w:rsidR="004637A0">
          <w:rPr>
            <w:noProof/>
            <w:webHidden/>
          </w:rPr>
          <w:instrText xml:space="preserve"> PAGEREF _Toc132355323 \h </w:instrText>
        </w:r>
        <w:r w:rsidR="004637A0">
          <w:rPr>
            <w:noProof/>
            <w:webHidden/>
          </w:rPr>
        </w:r>
        <w:r w:rsidR="004637A0">
          <w:rPr>
            <w:noProof/>
            <w:webHidden/>
          </w:rPr>
          <w:fldChar w:fldCharType="separate"/>
        </w:r>
        <w:r w:rsidR="00C4184C">
          <w:rPr>
            <w:noProof/>
            <w:webHidden/>
          </w:rPr>
          <w:t>26</w:t>
        </w:r>
        <w:r w:rsidR="004637A0">
          <w:rPr>
            <w:noProof/>
            <w:webHidden/>
          </w:rPr>
          <w:fldChar w:fldCharType="end"/>
        </w:r>
      </w:hyperlink>
    </w:p>
    <w:p w14:paraId="6759FF59" w14:textId="739EF9B5"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24" w:history="1">
        <w:r w:rsidR="004637A0" w:rsidRPr="00734D37">
          <w:rPr>
            <w:rStyle w:val="Hyperlink"/>
            <w:noProof/>
          </w:rPr>
          <w:t>4.6</w:t>
        </w:r>
        <w:r w:rsidR="004637A0">
          <w:rPr>
            <w:rFonts w:asciiTheme="minorHAnsi" w:eastAsiaTheme="minorEastAsia" w:hAnsiTheme="minorHAnsi" w:cstheme="minorBidi"/>
            <w:noProof/>
            <w:sz w:val="22"/>
            <w:szCs w:val="22"/>
            <w:lang w:eastAsia="en-NZ"/>
          </w:rPr>
          <w:tab/>
        </w:r>
        <w:r w:rsidR="004637A0" w:rsidRPr="00734D37">
          <w:rPr>
            <w:rStyle w:val="Hyperlink"/>
            <w:noProof/>
          </w:rPr>
          <w:t>Culturally safe support</w:t>
        </w:r>
        <w:r w:rsidR="004637A0">
          <w:rPr>
            <w:noProof/>
            <w:webHidden/>
          </w:rPr>
          <w:tab/>
        </w:r>
        <w:r w:rsidR="004637A0">
          <w:rPr>
            <w:noProof/>
            <w:webHidden/>
          </w:rPr>
          <w:fldChar w:fldCharType="begin"/>
        </w:r>
        <w:r w:rsidR="004637A0">
          <w:rPr>
            <w:noProof/>
            <w:webHidden/>
          </w:rPr>
          <w:instrText xml:space="preserve"> PAGEREF _Toc132355324 \h </w:instrText>
        </w:r>
        <w:r w:rsidR="004637A0">
          <w:rPr>
            <w:noProof/>
            <w:webHidden/>
          </w:rPr>
        </w:r>
        <w:r w:rsidR="004637A0">
          <w:rPr>
            <w:noProof/>
            <w:webHidden/>
          </w:rPr>
          <w:fldChar w:fldCharType="separate"/>
        </w:r>
        <w:r w:rsidR="00C4184C">
          <w:rPr>
            <w:noProof/>
            <w:webHidden/>
          </w:rPr>
          <w:t>27</w:t>
        </w:r>
        <w:r w:rsidR="004637A0">
          <w:rPr>
            <w:noProof/>
            <w:webHidden/>
          </w:rPr>
          <w:fldChar w:fldCharType="end"/>
        </w:r>
      </w:hyperlink>
    </w:p>
    <w:p w14:paraId="02A5D499" w14:textId="566D7622"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25" w:history="1">
        <w:r w:rsidR="004637A0" w:rsidRPr="00734D37">
          <w:rPr>
            <w:rStyle w:val="Hyperlink"/>
            <w:noProof/>
          </w:rPr>
          <w:t>4.7</w:t>
        </w:r>
        <w:r w:rsidR="004637A0">
          <w:rPr>
            <w:rFonts w:asciiTheme="minorHAnsi" w:eastAsiaTheme="minorEastAsia" w:hAnsiTheme="minorHAnsi" w:cstheme="minorBidi"/>
            <w:noProof/>
            <w:sz w:val="22"/>
            <w:szCs w:val="22"/>
            <w:lang w:eastAsia="en-NZ"/>
          </w:rPr>
          <w:tab/>
        </w:r>
        <w:r w:rsidR="004637A0" w:rsidRPr="00734D37">
          <w:rPr>
            <w:rStyle w:val="Hyperlink"/>
            <w:noProof/>
          </w:rPr>
          <w:t>Welcoming people and their whānau on admission</w:t>
        </w:r>
        <w:r w:rsidR="004637A0">
          <w:rPr>
            <w:noProof/>
            <w:webHidden/>
          </w:rPr>
          <w:tab/>
        </w:r>
        <w:r w:rsidR="004637A0">
          <w:rPr>
            <w:noProof/>
            <w:webHidden/>
          </w:rPr>
          <w:fldChar w:fldCharType="begin"/>
        </w:r>
        <w:r w:rsidR="004637A0">
          <w:rPr>
            <w:noProof/>
            <w:webHidden/>
          </w:rPr>
          <w:instrText xml:space="preserve"> PAGEREF _Toc132355325 \h </w:instrText>
        </w:r>
        <w:r w:rsidR="004637A0">
          <w:rPr>
            <w:noProof/>
            <w:webHidden/>
          </w:rPr>
        </w:r>
        <w:r w:rsidR="004637A0">
          <w:rPr>
            <w:noProof/>
            <w:webHidden/>
          </w:rPr>
          <w:fldChar w:fldCharType="separate"/>
        </w:r>
        <w:r w:rsidR="00C4184C">
          <w:rPr>
            <w:noProof/>
            <w:webHidden/>
          </w:rPr>
          <w:t>29</w:t>
        </w:r>
        <w:r w:rsidR="004637A0">
          <w:rPr>
            <w:noProof/>
            <w:webHidden/>
          </w:rPr>
          <w:fldChar w:fldCharType="end"/>
        </w:r>
      </w:hyperlink>
    </w:p>
    <w:p w14:paraId="2ED9AE33" w14:textId="53B6B564"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26" w:history="1">
        <w:r w:rsidR="004637A0" w:rsidRPr="00734D37">
          <w:rPr>
            <w:rStyle w:val="Hyperlink"/>
            <w:noProof/>
          </w:rPr>
          <w:t>4.8</w:t>
        </w:r>
        <w:r w:rsidR="004637A0">
          <w:rPr>
            <w:rFonts w:asciiTheme="minorHAnsi" w:eastAsiaTheme="minorEastAsia" w:hAnsiTheme="minorHAnsi" w:cstheme="minorBidi"/>
            <w:noProof/>
            <w:sz w:val="22"/>
            <w:szCs w:val="22"/>
            <w:lang w:eastAsia="en-NZ"/>
          </w:rPr>
          <w:tab/>
        </w:r>
        <w:r w:rsidR="004637A0" w:rsidRPr="00734D37">
          <w:rPr>
            <w:rStyle w:val="Hyperlink"/>
            <w:noProof/>
          </w:rPr>
          <w:t>Sensory modulation or Whakaāio ā-rongo</w:t>
        </w:r>
        <w:r w:rsidR="004637A0">
          <w:rPr>
            <w:noProof/>
            <w:webHidden/>
          </w:rPr>
          <w:tab/>
        </w:r>
        <w:r w:rsidR="004637A0">
          <w:rPr>
            <w:noProof/>
            <w:webHidden/>
          </w:rPr>
          <w:fldChar w:fldCharType="begin"/>
        </w:r>
        <w:r w:rsidR="004637A0">
          <w:rPr>
            <w:noProof/>
            <w:webHidden/>
          </w:rPr>
          <w:instrText xml:space="preserve"> PAGEREF _Toc132355326 \h </w:instrText>
        </w:r>
        <w:r w:rsidR="004637A0">
          <w:rPr>
            <w:noProof/>
            <w:webHidden/>
          </w:rPr>
        </w:r>
        <w:r w:rsidR="004637A0">
          <w:rPr>
            <w:noProof/>
            <w:webHidden/>
          </w:rPr>
          <w:fldChar w:fldCharType="separate"/>
        </w:r>
        <w:r w:rsidR="00C4184C">
          <w:rPr>
            <w:noProof/>
            <w:webHidden/>
          </w:rPr>
          <w:t>30</w:t>
        </w:r>
        <w:r w:rsidR="004637A0">
          <w:rPr>
            <w:noProof/>
            <w:webHidden/>
          </w:rPr>
          <w:fldChar w:fldCharType="end"/>
        </w:r>
      </w:hyperlink>
    </w:p>
    <w:p w14:paraId="6FFCB258" w14:textId="3F22FD21"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27" w:history="1">
        <w:r w:rsidR="004637A0" w:rsidRPr="00734D37">
          <w:rPr>
            <w:rStyle w:val="Hyperlink"/>
            <w:noProof/>
          </w:rPr>
          <w:t>4.9</w:t>
        </w:r>
        <w:r w:rsidR="004637A0">
          <w:rPr>
            <w:rFonts w:asciiTheme="minorHAnsi" w:eastAsiaTheme="minorEastAsia" w:hAnsiTheme="minorHAnsi" w:cstheme="minorBidi"/>
            <w:noProof/>
            <w:sz w:val="22"/>
            <w:szCs w:val="22"/>
            <w:lang w:eastAsia="en-NZ"/>
          </w:rPr>
          <w:tab/>
        </w:r>
        <w:r w:rsidR="004637A0" w:rsidRPr="00734D37">
          <w:rPr>
            <w:rStyle w:val="Hyperlink"/>
            <w:noProof/>
          </w:rPr>
          <w:t>Restorative practice</w:t>
        </w:r>
        <w:r w:rsidR="004637A0">
          <w:rPr>
            <w:noProof/>
            <w:webHidden/>
          </w:rPr>
          <w:tab/>
        </w:r>
        <w:r w:rsidR="004637A0">
          <w:rPr>
            <w:noProof/>
            <w:webHidden/>
          </w:rPr>
          <w:fldChar w:fldCharType="begin"/>
        </w:r>
        <w:r w:rsidR="004637A0">
          <w:rPr>
            <w:noProof/>
            <w:webHidden/>
          </w:rPr>
          <w:instrText xml:space="preserve"> PAGEREF _Toc132355327 \h </w:instrText>
        </w:r>
        <w:r w:rsidR="004637A0">
          <w:rPr>
            <w:noProof/>
            <w:webHidden/>
          </w:rPr>
        </w:r>
        <w:r w:rsidR="004637A0">
          <w:rPr>
            <w:noProof/>
            <w:webHidden/>
          </w:rPr>
          <w:fldChar w:fldCharType="separate"/>
        </w:r>
        <w:r w:rsidR="00C4184C">
          <w:rPr>
            <w:noProof/>
            <w:webHidden/>
          </w:rPr>
          <w:t>32</w:t>
        </w:r>
        <w:r w:rsidR="004637A0">
          <w:rPr>
            <w:noProof/>
            <w:webHidden/>
          </w:rPr>
          <w:fldChar w:fldCharType="end"/>
        </w:r>
      </w:hyperlink>
    </w:p>
    <w:p w14:paraId="4C52C651" w14:textId="3F269944" w:rsidR="004637A0" w:rsidRDefault="00000000">
      <w:pPr>
        <w:pStyle w:val="TOC2"/>
        <w:tabs>
          <w:tab w:val="left" w:pos="1320"/>
        </w:tabs>
        <w:rPr>
          <w:rFonts w:asciiTheme="minorHAnsi" w:eastAsiaTheme="minorEastAsia" w:hAnsiTheme="minorHAnsi" w:cstheme="minorBidi"/>
          <w:noProof/>
          <w:sz w:val="22"/>
          <w:szCs w:val="22"/>
          <w:lang w:eastAsia="en-NZ"/>
        </w:rPr>
      </w:pPr>
      <w:hyperlink w:anchor="_Toc132355328" w:history="1">
        <w:r w:rsidR="004637A0" w:rsidRPr="00734D37">
          <w:rPr>
            <w:rStyle w:val="Hyperlink"/>
            <w:noProof/>
          </w:rPr>
          <w:t>4.10</w:t>
        </w:r>
        <w:r w:rsidR="004637A0">
          <w:rPr>
            <w:rFonts w:asciiTheme="minorHAnsi" w:eastAsiaTheme="minorEastAsia" w:hAnsiTheme="minorHAnsi" w:cstheme="minorBidi"/>
            <w:noProof/>
            <w:sz w:val="22"/>
            <w:szCs w:val="22"/>
            <w:lang w:eastAsia="en-NZ"/>
          </w:rPr>
          <w:tab/>
        </w:r>
        <w:r w:rsidR="004637A0" w:rsidRPr="00734D37">
          <w:rPr>
            <w:rStyle w:val="Hyperlink"/>
            <w:noProof/>
          </w:rPr>
          <w:t>The role of whānau and family</w:t>
        </w:r>
        <w:r w:rsidR="004637A0">
          <w:rPr>
            <w:noProof/>
            <w:webHidden/>
          </w:rPr>
          <w:tab/>
        </w:r>
        <w:r w:rsidR="004637A0">
          <w:rPr>
            <w:noProof/>
            <w:webHidden/>
          </w:rPr>
          <w:fldChar w:fldCharType="begin"/>
        </w:r>
        <w:r w:rsidR="004637A0">
          <w:rPr>
            <w:noProof/>
            <w:webHidden/>
          </w:rPr>
          <w:instrText xml:space="preserve"> PAGEREF _Toc132355328 \h </w:instrText>
        </w:r>
        <w:r w:rsidR="004637A0">
          <w:rPr>
            <w:noProof/>
            <w:webHidden/>
          </w:rPr>
        </w:r>
        <w:r w:rsidR="004637A0">
          <w:rPr>
            <w:noProof/>
            <w:webHidden/>
          </w:rPr>
          <w:fldChar w:fldCharType="separate"/>
        </w:r>
        <w:r w:rsidR="00C4184C">
          <w:rPr>
            <w:noProof/>
            <w:webHidden/>
          </w:rPr>
          <w:t>33</w:t>
        </w:r>
        <w:r w:rsidR="004637A0">
          <w:rPr>
            <w:noProof/>
            <w:webHidden/>
          </w:rPr>
          <w:fldChar w:fldCharType="end"/>
        </w:r>
      </w:hyperlink>
    </w:p>
    <w:p w14:paraId="1E8EDE14" w14:textId="1822D5F9" w:rsidR="004637A0" w:rsidRDefault="00000000">
      <w:pPr>
        <w:pStyle w:val="TOC1"/>
        <w:rPr>
          <w:rFonts w:asciiTheme="minorHAnsi" w:eastAsiaTheme="minorEastAsia" w:hAnsiTheme="minorHAnsi" w:cstheme="minorBidi"/>
          <w:noProof/>
          <w:sz w:val="22"/>
          <w:szCs w:val="22"/>
          <w:lang w:eastAsia="en-NZ"/>
        </w:rPr>
      </w:pPr>
      <w:hyperlink w:anchor="_Toc132355329" w:history="1">
        <w:r w:rsidR="004637A0" w:rsidRPr="00734D37">
          <w:rPr>
            <w:rStyle w:val="Hyperlink"/>
            <w:noProof/>
          </w:rPr>
          <w:t>5</w:t>
        </w:r>
        <w:r w:rsidR="004637A0">
          <w:rPr>
            <w:rFonts w:asciiTheme="minorHAnsi" w:eastAsiaTheme="minorEastAsia" w:hAnsiTheme="minorHAnsi" w:cstheme="minorBidi"/>
            <w:noProof/>
            <w:sz w:val="22"/>
            <w:szCs w:val="22"/>
            <w:lang w:eastAsia="en-NZ"/>
          </w:rPr>
          <w:tab/>
        </w:r>
        <w:r w:rsidR="004637A0" w:rsidRPr="00734D37">
          <w:rPr>
            <w:rStyle w:val="Hyperlink"/>
            <w:noProof/>
          </w:rPr>
          <w:t>Considerations for children and young people</w:t>
        </w:r>
        <w:r w:rsidR="004637A0">
          <w:rPr>
            <w:noProof/>
            <w:webHidden/>
          </w:rPr>
          <w:tab/>
        </w:r>
        <w:r w:rsidR="004637A0">
          <w:rPr>
            <w:noProof/>
            <w:webHidden/>
          </w:rPr>
          <w:fldChar w:fldCharType="begin"/>
        </w:r>
        <w:r w:rsidR="004637A0">
          <w:rPr>
            <w:noProof/>
            <w:webHidden/>
          </w:rPr>
          <w:instrText xml:space="preserve"> PAGEREF _Toc132355329 \h </w:instrText>
        </w:r>
        <w:r w:rsidR="004637A0">
          <w:rPr>
            <w:noProof/>
            <w:webHidden/>
          </w:rPr>
        </w:r>
        <w:r w:rsidR="004637A0">
          <w:rPr>
            <w:noProof/>
            <w:webHidden/>
          </w:rPr>
          <w:fldChar w:fldCharType="separate"/>
        </w:r>
        <w:r w:rsidR="00C4184C">
          <w:rPr>
            <w:noProof/>
            <w:webHidden/>
          </w:rPr>
          <w:t>34</w:t>
        </w:r>
        <w:r w:rsidR="004637A0">
          <w:rPr>
            <w:noProof/>
            <w:webHidden/>
          </w:rPr>
          <w:fldChar w:fldCharType="end"/>
        </w:r>
      </w:hyperlink>
    </w:p>
    <w:p w14:paraId="69EA7822" w14:textId="01FCED3F"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30" w:history="1">
        <w:r w:rsidR="004637A0" w:rsidRPr="00734D37">
          <w:rPr>
            <w:rStyle w:val="Hyperlink"/>
            <w:noProof/>
          </w:rPr>
          <w:t>5.1</w:t>
        </w:r>
        <w:r w:rsidR="004637A0">
          <w:rPr>
            <w:rFonts w:asciiTheme="minorHAnsi" w:eastAsiaTheme="minorEastAsia" w:hAnsiTheme="minorHAnsi" w:cstheme="minorBidi"/>
            <w:noProof/>
            <w:sz w:val="22"/>
            <w:szCs w:val="22"/>
            <w:lang w:eastAsia="en-NZ"/>
          </w:rPr>
          <w:tab/>
        </w:r>
        <w:r w:rsidR="004637A0" w:rsidRPr="00734D37">
          <w:rPr>
            <w:rStyle w:val="Hyperlink"/>
            <w:noProof/>
          </w:rPr>
          <w:t>Consent to treatment under the Mental Health Act</w:t>
        </w:r>
        <w:r w:rsidR="004637A0">
          <w:rPr>
            <w:noProof/>
            <w:webHidden/>
          </w:rPr>
          <w:tab/>
        </w:r>
        <w:r w:rsidR="004637A0">
          <w:rPr>
            <w:noProof/>
            <w:webHidden/>
          </w:rPr>
          <w:fldChar w:fldCharType="begin"/>
        </w:r>
        <w:r w:rsidR="004637A0">
          <w:rPr>
            <w:noProof/>
            <w:webHidden/>
          </w:rPr>
          <w:instrText xml:space="preserve"> PAGEREF _Toc132355330 \h </w:instrText>
        </w:r>
        <w:r w:rsidR="004637A0">
          <w:rPr>
            <w:noProof/>
            <w:webHidden/>
          </w:rPr>
        </w:r>
        <w:r w:rsidR="004637A0">
          <w:rPr>
            <w:noProof/>
            <w:webHidden/>
          </w:rPr>
          <w:fldChar w:fldCharType="separate"/>
        </w:r>
        <w:r w:rsidR="00C4184C">
          <w:rPr>
            <w:noProof/>
            <w:webHidden/>
          </w:rPr>
          <w:t>34</w:t>
        </w:r>
        <w:r w:rsidR="004637A0">
          <w:rPr>
            <w:noProof/>
            <w:webHidden/>
          </w:rPr>
          <w:fldChar w:fldCharType="end"/>
        </w:r>
      </w:hyperlink>
    </w:p>
    <w:p w14:paraId="630FAC82" w14:textId="5771DCF4"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31" w:history="1">
        <w:r w:rsidR="004637A0" w:rsidRPr="00734D37">
          <w:rPr>
            <w:rStyle w:val="Hyperlink"/>
            <w:noProof/>
          </w:rPr>
          <w:t>5.2</w:t>
        </w:r>
        <w:r w:rsidR="004637A0">
          <w:rPr>
            <w:rFonts w:asciiTheme="minorHAnsi" w:eastAsiaTheme="minorEastAsia" w:hAnsiTheme="minorHAnsi" w:cstheme="minorBidi"/>
            <w:noProof/>
            <w:sz w:val="22"/>
            <w:szCs w:val="22"/>
            <w:lang w:eastAsia="en-NZ"/>
          </w:rPr>
          <w:tab/>
        </w:r>
        <w:r w:rsidR="004637A0" w:rsidRPr="00734D37">
          <w:rPr>
            <w:rStyle w:val="Hyperlink"/>
            <w:noProof/>
          </w:rPr>
          <w:t>Understanding children and young people</w:t>
        </w:r>
        <w:r w:rsidR="004637A0">
          <w:rPr>
            <w:noProof/>
            <w:webHidden/>
          </w:rPr>
          <w:tab/>
        </w:r>
        <w:r w:rsidR="004637A0">
          <w:rPr>
            <w:noProof/>
            <w:webHidden/>
          </w:rPr>
          <w:fldChar w:fldCharType="begin"/>
        </w:r>
        <w:r w:rsidR="004637A0">
          <w:rPr>
            <w:noProof/>
            <w:webHidden/>
          </w:rPr>
          <w:instrText xml:space="preserve"> PAGEREF _Toc132355331 \h </w:instrText>
        </w:r>
        <w:r w:rsidR="004637A0">
          <w:rPr>
            <w:noProof/>
            <w:webHidden/>
          </w:rPr>
        </w:r>
        <w:r w:rsidR="004637A0">
          <w:rPr>
            <w:noProof/>
            <w:webHidden/>
          </w:rPr>
          <w:fldChar w:fldCharType="separate"/>
        </w:r>
        <w:r w:rsidR="00C4184C">
          <w:rPr>
            <w:noProof/>
            <w:webHidden/>
          </w:rPr>
          <w:t>35</w:t>
        </w:r>
        <w:r w:rsidR="004637A0">
          <w:rPr>
            <w:noProof/>
            <w:webHidden/>
          </w:rPr>
          <w:fldChar w:fldCharType="end"/>
        </w:r>
      </w:hyperlink>
    </w:p>
    <w:p w14:paraId="6B59D03D" w14:textId="2D55C1B8"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32" w:history="1">
        <w:r w:rsidR="004637A0" w:rsidRPr="00734D37">
          <w:rPr>
            <w:rStyle w:val="Hyperlink"/>
            <w:noProof/>
          </w:rPr>
          <w:t>5.3</w:t>
        </w:r>
        <w:r w:rsidR="004637A0">
          <w:rPr>
            <w:rFonts w:asciiTheme="minorHAnsi" w:eastAsiaTheme="minorEastAsia" w:hAnsiTheme="minorHAnsi" w:cstheme="minorBidi"/>
            <w:noProof/>
            <w:sz w:val="22"/>
            <w:szCs w:val="22"/>
            <w:lang w:eastAsia="en-NZ"/>
          </w:rPr>
          <w:tab/>
        </w:r>
        <w:r w:rsidR="004637A0" w:rsidRPr="00734D37">
          <w:rPr>
            <w:rStyle w:val="Hyperlink"/>
            <w:noProof/>
          </w:rPr>
          <w:t>Approaches to prevent the use of seclusion and restraint</w:t>
        </w:r>
        <w:r w:rsidR="004637A0">
          <w:rPr>
            <w:noProof/>
            <w:webHidden/>
          </w:rPr>
          <w:tab/>
        </w:r>
        <w:r w:rsidR="004637A0">
          <w:rPr>
            <w:noProof/>
            <w:webHidden/>
          </w:rPr>
          <w:fldChar w:fldCharType="begin"/>
        </w:r>
        <w:r w:rsidR="004637A0">
          <w:rPr>
            <w:noProof/>
            <w:webHidden/>
          </w:rPr>
          <w:instrText xml:space="preserve"> PAGEREF _Toc132355332 \h </w:instrText>
        </w:r>
        <w:r w:rsidR="004637A0">
          <w:rPr>
            <w:noProof/>
            <w:webHidden/>
          </w:rPr>
        </w:r>
        <w:r w:rsidR="004637A0">
          <w:rPr>
            <w:noProof/>
            <w:webHidden/>
          </w:rPr>
          <w:fldChar w:fldCharType="separate"/>
        </w:r>
        <w:r w:rsidR="00C4184C">
          <w:rPr>
            <w:noProof/>
            <w:webHidden/>
          </w:rPr>
          <w:t>36</w:t>
        </w:r>
        <w:r w:rsidR="004637A0">
          <w:rPr>
            <w:noProof/>
            <w:webHidden/>
          </w:rPr>
          <w:fldChar w:fldCharType="end"/>
        </w:r>
      </w:hyperlink>
    </w:p>
    <w:p w14:paraId="6F96AC45" w14:textId="5E6DDEBB" w:rsidR="004637A0" w:rsidRDefault="00000000">
      <w:pPr>
        <w:pStyle w:val="TOC1"/>
        <w:rPr>
          <w:rFonts w:asciiTheme="minorHAnsi" w:eastAsiaTheme="minorEastAsia" w:hAnsiTheme="minorHAnsi" w:cstheme="minorBidi"/>
          <w:noProof/>
          <w:sz w:val="22"/>
          <w:szCs w:val="22"/>
          <w:lang w:eastAsia="en-NZ"/>
        </w:rPr>
      </w:pPr>
      <w:hyperlink w:anchor="_Toc132355333" w:history="1">
        <w:r w:rsidR="004637A0" w:rsidRPr="00734D37">
          <w:rPr>
            <w:rStyle w:val="Hyperlink"/>
            <w:noProof/>
          </w:rPr>
          <w:t>Part Three: Safely using seclusion and restraint as a last resort</w:t>
        </w:r>
        <w:r w:rsidR="004637A0">
          <w:rPr>
            <w:noProof/>
            <w:webHidden/>
          </w:rPr>
          <w:tab/>
        </w:r>
        <w:r w:rsidR="004637A0">
          <w:rPr>
            <w:noProof/>
            <w:webHidden/>
          </w:rPr>
          <w:fldChar w:fldCharType="begin"/>
        </w:r>
        <w:r w:rsidR="004637A0">
          <w:rPr>
            <w:noProof/>
            <w:webHidden/>
          </w:rPr>
          <w:instrText xml:space="preserve"> PAGEREF _Toc132355333 \h </w:instrText>
        </w:r>
        <w:r w:rsidR="004637A0">
          <w:rPr>
            <w:noProof/>
            <w:webHidden/>
          </w:rPr>
        </w:r>
        <w:r w:rsidR="004637A0">
          <w:rPr>
            <w:noProof/>
            <w:webHidden/>
          </w:rPr>
          <w:fldChar w:fldCharType="separate"/>
        </w:r>
        <w:r w:rsidR="00C4184C">
          <w:rPr>
            <w:noProof/>
            <w:webHidden/>
          </w:rPr>
          <w:t>37</w:t>
        </w:r>
        <w:r w:rsidR="004637A0">
          <w:rPr>
            <w:noProof/>
            <w:webHidden/>
          </w:rPr>
          <w:fldChar w:fldCharType="end"/>
        </w:r>
      </w:hyperlink>
    </w:p>
    <w:p w14:paraId="025BB381" w14:textId="6D638D4E" w:rsidR="004637A0" w:rsidRDefault="00000000">
      <w:pPr>
        <w:pStyle w:val="TOC1"/>
        <w:rPr>
          <w:rFonts w:asciiTheme="minorHAnsi" w:eastAsiaTheme="minorEastAsia" w:hAnsiTheme="minorHAnsi" w:cstheme="minorBidi"/>
          <w:noProof/>
          <w:sz w:val="22"/>
          <w:szCs w:val="22"/>
          <w:lang w:eastAsia="en-NZ"/>
        </w:rPr>
      </w:pPr>
      <w:hyperlink w:anchor="_Toc132355334" w:history="1">
        <w:r w:rsidR="004637A0" w:rsidRPr="00734D37">
          <w:rPr>
            <w:rStyle w:val="Hyperlink"/>
            <w:noProof/>
          </w:rPr>
          <w:t>6</w:t>
        </w:r>
        <w:r w:rsidR="004637A0">
          <w:rPr>
            <w:rFonts w:asciiTheme="minorHAnsi" w:eastAsiaTheme="minorEastAsia" w:hAnsiTheme="minorHAnsi" w:cstheme="minorBidi"/>
            <w:noProof/>
            <w:sz w:val="22"/>
            <w:szCs w:val="22"/>
            <w:lang w:eastAsia="en-NZ"/>
          </w:rPr>
          <w:tab/>
        </w:r>
        <w:r w:rsidR="004637A0" w:rsidRPr="00734D37">
          <w:rPr>
            <w:rStyle w:val="Hyperlink"/>
            <w:noProof/>
          </w:rPr>
          <w:t>Principles for the use of seclusion and restraint</w:t>
        </w:r>
        <w:r w:rsidR="004637A0">
          <w:rPr>
            <w:noProof/>
            <w:webHidden/>
          </w:rPr>
          <w:tab/>
        </w:r>
        <w:r w:rsidR="004637A0">
          <w:rPr>
            <w:noProof/>
            <w:webHidden/>
          </w:rPr>
          <w:fldChar w:fldCharType="begin"/>
        </w:r>
        <w:r w:rsidR="004637A0">
          <w:rPr>
            <w:noProof/>
            <w:webHidden/>
          </w:rPr>
          <w:instrText xml:space="preserve"> PAGEREF _Toc132355334 \h </w:instrText>
        </w:r>
        <w:r w:rsidR="004637A0">
          <w:rPr>
            <w:noProof/>
            <w:webHidden/>
          </w:rPr>
        </w:r>
        <w:r w:rsidR="004637A0">
          <w:rPr>
            <w:noProof/>
            <w:webHidden/>
          </w:rPr>
          <w:fldChar w:fldCharType="separate"/>
        </w:r>
        <w:r w:rsidR="00C4184C">
          <w:rPr>
            <w:noProof/>
            <w:webHidden/>
          </w:rPr>
          <w:t>37</w:t>
        </w:r>
        <w:r w:rsidR="004637A0">
          <w:rPr>
            <w:noProof/>
            <w:webHidden/>
          </w:rPr>
          <w:fldChar w:fldCharType="end"/>
        </w:r>
      </w:hyperlink>
    </w:p>
    <w:p w14:paraId="130206A7" w14:textId="31FDAA92" w:rsidR="004637A0" w:rsidRDefault="00000000">
      <w:pPr>
        <w:pStyle w:val="TOC1"/>
        <w:rPr>
          <w:rFonts w:asciiTheme="minorHAnsi" w:eastAsiaTheme="minorEastAsia" w:hAnsiTheme="minorHAnsi" w:cstheme="minorBidi"/>
          <w:noProof/>
          <w:sz w:val="22"/>
          <w:szCs w:val="22"/>
          <w:lang w:eastAsia="en-NZ"/>
        </w:rPr>
      </w:pPr>
      <w:hyperlink w:anchor="_Toc132355335" w:history="1">
        <w:r w:rsidR="004637A0" w:rsidRPr="00734D37">
          <w:rPr>
            <w:rStyle w:val="Hyperlink"/>
            <w:noProof/>
          </w:rPr>
          <w:t>7</w:t>
        </w:r>
        <w:r w:rsidR="004637A0">
          <w:rPr>
            <w:rFonts w:asciiTheme="minorHAnsi" w:eastAsiaTheme="minorEastAsia" w:hAnsiTheme="minorHAnsi" w:cstheme="minorBidi"/>
            <w:noProof/>
            <w:sz w:val="22"/>
            <w:szCs w:val="22"/>
            <w:lang w:eastAsia="en-NZ"/>
          </w:rPr>
          <w:tab/>
        </w:r>
        <w:r w:rsidR="004637A0" w:rsidRPr="00734D37">
          <w:rPr>
            <w:rStyle w:val="Hyperlink"/>
            <w:noProof/>
          </w:rPr>
          <w:t>Safely using restraint under the Mental Health Act</w:t>
        </w:r>
        <w:r w:rsidR="004637A0">
          <w:rPr>
            <w:noProof/>
            <w:webHidden/>
          </w:rPr>
          <w:tab/>
        </w:r>
        <w:r w:rsidR="004637A0">
          <w:rPr>
            <w:noProof/>
            <w:webHidden/>
          </w:rPr>
          <w:fldChar w:fldCharType="begin"/>
        </w:r>
        <w:r w:rsidR="004637A0">
          <w:rPr>
            <w:noProof/>
            <w:webHidden/>
          </w:rPr>
          <w:instrText xml:space="preserve"> PAGEREF _Toc132355335 \h </w:instrText>
        </w:r>
        <w:r w:rsidR="004637A0">
          <w:rPr>
            <w:noProof/>
            <w:webHidden/>
          </w:rPr>
        </w:r>
        <w:r w:rsidR="004637A0">
          <w:rPr>
            <w:noProof/>
            <w:webHidden/>
          </w:rPr>
          <w:fldChar w:fldCharType="separate"/>
        </w:r>
        <w:r w:rsidR="00C4184C">
          <w:rPr>
            <w:noProof/>
            <w:webHidden/>
          </w:rPr>
          <w:t>39</w:t>
        </w:r>
        <w:r w:rsidR="004637A0">
          <w:rPr>
            <w:noProof/>
            <w:webHidden/>
          </w:rPr>
          <w:fldChar w:fldCharType="end"/>
        </w:r>
      </w:hyperlink>
    </w:p>
    <w:p w14:paraId="4FC5DD48" w14:textId="7A7C3C43"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36" w:history="1">
        <w:r w:rsidR="004637A0" w:rsidRPr="00734D37">
          <w:rPr>
            <w:rStyle w:val="Hyperlink"/>
            <w:noProof/>
          </w:rPr>
          <w:t>7.1</w:t>
        </w:r>
        <w:r w:rsidR="004637A0">
          <w:rPr>
            <w:rFonts w:asciiTheme="minorHAnsi" w:eastAsiaTheme="minorEastAsia" w:hAnsiTheme="minorHAnsi" w:cstheme="minorBidi"/>
            <w:noProof/>
            <w:sz w:val="22"/>
            <w:szCs w:val="22"/>
            <w:lang w:eastAsia="en-NZ"/>
          </w:rPr>
          <w:tab/>
        </w:r>
        <w:r w:rsidR="004637A0" w:rsidRPr="00734D37">
          <w:rPr>
            <w:rStyle w:val="Hyperlink"/>
            <w:noProof/>
          </w:rPr>
          <w:t>Legislation governing restraint</w:t>
        </w:r>
        <w:r w:rsidR="004637A0">
          <w:rPr>
            <w:noProof/>
            <w:webHidden/>
          </w:rPr>
          <w:tab/>
        </w:r>
        <w:r w:rsidR="004637A0">
          <w:rPr>
            <w:noProof/>
            <w:webHidden/>
          </w:rPr>
          <w:fldChar w:fldCharType="begin"/>
        </w:r>
        <w:r w:rsidR="004637A0">
          <w:rPr>
            <w:noProof/>
            <w:webHidden/>
          </w:rPr>
          <w:instrText xml:space="preserve"> PAGEREF _Toc132355336 \h </w:instrText>
        </w:r>
        <w:r w:rsidR="004637A0">
          <w:rPr>
            <w:noProof/>
            <w:webHidden/>
          </w:rPr>
        </w:r>
        <w:r w:rsidR="004637A0">
          <w:rPr>
            <w:noProof/>
            <w:webHidden/>
          </w:rPr>
          <w:fldChar w:fldCharType="separate"/>
        </w:r>
        <w:r w:rsidR="00C4184C">
          <w:rPr>
            <w:noProof/>
            <w:webHidden/>
          </w:rPr>
          <w:t>39</w:t>
        </w:r>
        <w:r w:rsidR="004637A0">
          <w:rPr>
            <w:noProof/>
            <w:webHidden/>
          </w:rPr>
          <w:fldChar w:fldCharType="end"/>
        </w:r>
      </w:hyperlink>
    </w:p>
    <w:p w14:paraId="74C6EEDE" w14:textId="0401B933"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37" w:history="1">
        <w:r w:rsidR="004637A0" w:rsidRPr="00734D37">
          <w:rPr>
            <w:rStyle w:val="Hyperlink"/>
            <w:noProof/>
          </w:rPr>
          <w:t>7.2</w:t>
        </w:r>
        <w:r w:rsidR="004637A0">
          <w:rPr>
            <w:rFonts w:asciiTheme="minorHAnsi" w:eastAsiaTheme="minorEastAsia" w:hAnsiTheme="minorHAnsi" w:cstheme="minorBidi"/>
            <w:noProof/>
            <w:sz w:val="22"/>
            <w:szCs w:val="22"/>
            <w:lang w:eastAsia="en-NZ"/>
          </w:rPr>
          <w:tab/>
        </w:r>
        <w:r w:rsidR="004637A0" w:rsidRPr="00734D37">
          <w:rPr>
            <w:rStyle w:val="Hyperlink"/>
            <w:noProof/>
          </w:rPr>
          <w:t>Environmental restraint</w:t>
        </w:r>
        <w:r w:rsidR="004637A0">
          <w:rPr>
            <w:noProof/>
            <w:webHidden/>
          </w:rPr>
          <w:tab/>
        </w:r>
        <w:r w:rsidR="004637A0">
          <w:rPr>
            <w:noProof/>
            <w:webHidden/>
          </w:rPr>
          <w:fldChar w:fldCharType="begin"/>
        </w:r>
        <w:r w:rsidR="004637A0">
          <w:rPr>
            <w:noProof/>
            <w:webHidden/>
          </w:rPr>
          <w:instrText xml:space="preserve"> PAGEREF _Toc132355337 \h </w:instrText>
        </w:r>
        <w:r w:rsidR="004637A0">
          <w:rPr>
            <w:noProof/>
            <w:webHidden/>
          </w:rPr>
        </w:r>
        <w:r w:rsidR="004637A0">
          <w:rPr>
            <w:noProof/>
            <w:webHidden/>
          </w:rPr>
          <w:fldChar w:fldCharType="separate"/>
        </w:r>
        <w:r w:rsidR="00C4184C">
          <w:rPr>
            <w:noProof/>
            <w:webHidden/>
          </w:rPr>
          <w:t>39</w:t>
        </w:r>
        <w:r w:rsidR="004637A0">
          <w:rPr>
            <w:noProof/>
            <w:webHidden/>
          </w:rPr>
          <w:fldChar w:fldCharType="end"/>
        </w:r>
      </w:hyperlink>
    </w:p>
    <w:p w14:paraId="0EC6A114" w14:textId="65FAAD5B"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38" w:history="1">
        <w:r w:rsidR="004637A0" w:rsidRPr="00734D37">
          <w:rPr>
            <w:rStyle w:val="Hyperlink"/>
            <w:noProof/>
          </w:rPr>
          <w:t>7.3</w:t>
        </w:r>
        <w:r w:rsidR="004637A0">
          <w:rPr>
            <w:rFonts w:asciiTheme="minorHAnsi" w:eastAsiaTheme="minorEastAsia" w:hAnsiTheme="minorHAnsi" w:cstheme="minorBidi"/>
            <w:noProof/>
            <w:sz w:val="22"/>
            <w:szCs w:val="22"/>
            <w:lang w:eastAsia="en-NZ"/>
          </w:rPr>
          <w:tab/>
        </w:r>
        <w:r w:rsidR="004637A0" w:rsidRPr="00734D37">
          <w:rPr>
            <w:rStyle w:val="Hyperlink"/>
            <w:noProof/>
          </w:rPr>
          <w:t>Decisions to approve restraint</w:t>
        </w:r>
        <w:r w:rsidR="004637A0">
          <w:rPr>
            <w:noProof/>
            <w:webHidden/>
          </w:rPr>
          <w:tab/>
        </w:r>
        <w:r w:rsidR="004637A0">
          <w:rPr>
            <w:noProof/>
            <w:webHidden/>
          </w:rPr>
          <w:fldChar w:fldCharType="begin"/>
        </w:r>
        <w:r w:rsidR="004637A0">
          <w:rPr>
            <w:noProof/>
            <w:webHidden/>
          </w:rPr>
          <w:instrText xml:space="preserve"> PAGEREF _Toc132355338 \h </w:instrText>
        </w:r>
        <w:r w:rsidR="004637A0">
          <w:rPr>
            <w:noProof/>
            <w:webHidden/>
          </w:rPr>
        </w:r>
        <w:r w:rsidR="004637A0">
          <w:rPr>
            <w:noProof/>
            <w:webHidden/>
          </w:rPr>
          <w:fldChar w:fldCharType="separate"/>
        </w:r>
        <w:r w:rsidR="00C4184C">
          <w:rPr>
            <w:noProof/>
            <w:webHidden/>
          </w:rPr>
          <w:t>42</w:t>
        </w:r>
        <w:r w:rsidR="004637A0">
          <w:rPr>
            <w:noProof/>
            <w:webHidden/>
          </w:rPr>
          <w:fldChar w:fldCharType="end"/>
        </w:r>
      </w:hyperlink>
    </w:p>
    <w:p w14:paraId="751E3B6D" w14:textId="1BB52837" w:rsidR="004637A0" w:rsidRDefault="00000000">
      <w:pPr>
        <w:pStyle w:val="TOC1"/>
        <w:rPr>
          <w:rFonts w:asciiTheme="minorHAnsi" w:eastAsiaTheme="minorEastAsia" w:hAnsiTheme="minorHAnsi" w:cstheme="minorBidi"/>
          <w:noProof/>
          <w:sz w:val="22"/>
          <w:szCs w:val="22"/>
          <w:lang w:eastAsia="en-NZ"/>
        </w:rPr>
      </w:pPr>
      <w:hyperlink w:anchor="_Toc132355339" w:history="1">
        <w:r w:rsidR="004637A0" w:rsidRPr="00734D37">
          <w:rPr>
            <w:rStyle w:val="Hyperlink"/>
            <w:noProof/>
          </w:rPr>
          <w:t>8</w:t>
        </w:r>
        <w:r w:rsidR="004637A0">
          <w:rPr>
            <w:rFonts w:asciiTheme="minorHAnsi" w:eastAsiaTheme="minorEastAsia" w:hAnsiTheme="minorHAnsi" w:cstheme="minorBidi"/>
            <w:noProof/>
            <w:sz w:val="22"/>
            <w:szCs w:val="22"/>
            <w:lang w:eastAsia="en-NZ"/>
          </w:rPr>
          <w:tab/>
        </w:r>
        <w:r w:rsidR="004637A0" w:rsidRPr="00734D37">
          <w:rPr>
            <w:rStyle w:val="Hyperlink"/>
            <w:noProof/>
          </w:rPr>
          <w:t>Safely using seclusion under the Mental Health Act</w:t>
        </w:r>
        <w:r w:rsidR="004637A0">
          <w:rPr>
            <w:noProof/>
            <w:webHidden/>
          </w:rPr>
          <w:tab/>
        </w:r>
        <w:r w:rsidR="004637A0">
          <w:rPr>
            <w:noProof/>
            <w:webHidden/>
          </w:rPr>
          <w:fldChar w:fldCharType="begin"/>
        </w:r>
        <w:r w:rsidR="004637A0">
          <w:rPr>
            <w:noProof/>
            <w:webHidden/>
          </w:rPr>
          <w:instrText xml:space="preserve"> PAGEREF _Toc132355339 \h </w:instrText>
        </w:r>
        <w:r w:rsidR="004637A0">
          <w:rPr>
            <w:noProof/>
            <w:webHidden/>
          </w:rPr>
        </w:r>
        <w:r w:rsidR="004637A0">
          <w:rPr>
            <w:noProof/>
            <w:webHidden/>
          </w:rPr>
          <w:fldChar w:fldCharType="separate"/>
        </w:r>
        <w:r w:rsidR="00C4184C">
          <w:rPr>
            <w:noProof/>
            <w:webHidden/>
          </w:rPr>
          <w:t>45</w:t>
        </w:r>
        <w:r w:rsidR="004637A0">
          <w:rPr>
            <w:noProof/>
            <w:webHidden/>
          </w:rPr>
          <w:fldChar w:fldCharType="end"/>
        </w:r>
      </w:hyperlink>
    </w:p>
    <w:p w14:paraId="23DAC986" w14:textId="697FFE6B"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40" w:history="1">
        <w:r w:rsidR="004637A0" w:rsidRPr="00734D37">
          <w:rPr>
            <w:rStyle w:val="Hyperlink"/>
            <w:noProof/>
          </w:rPr>
          <w:t>8.1</w:t>
        </w:r>
        <w:r w:rsidR="004637A0">
          <w:rPr>
            <w:rFonts w:asciiTheme="minorHAnsi" w:eastAsiaTheme="minorEastAsia" w:hAnsiTheme="minorHAnsi" w:cstheme="minorBidi"/>
            <w:noProof/>
            <w:sz w:val="22"/>
            <w:szCs w:val="22"/>
            <w:lang w:eastAsia="en-NZ"/>
          </w:rPr>
          <w:tab/>
        </w:r>
        <w:r w:rsidR="004637A0" w:rsidRPr="00734D37">
          <w:rPr>
            <w:rStyle w:val="Hyperlink"/>
            <w:noProof/>
          </w:rPr>
          <w:t>Seclusion under the Mental Health Act</w:t>
        </w:r>
        <w:r w:rsidR="004637A0">
          <w:rPr>
            <w:noProof/>
            <w:webHidden/>
          </w:rPr>
          <w:tab/>
        </w:r>
        <w:r w:rsidR="004637A0">
          <w:rPr>
            <w:noProof/>
            <w:webHidden/>
          </w:rPr>
          <w:fldChar w:fldCharType="begin"/>
        </w:r>
        <w:r w:rsidR="004637A0">
          <w:rPr>
            <w:noProof/>
            <w:webHidden/>
          </w:rPr>
          <w:instrText xml:space="preserve"> PAGEREF _Toc132355340 \h </w:instrText>
        </w:r>
        <w:r w:rsidR="004637A0">
          <w:rPr>
            <w:noProof/>
            <w:webHidden/>
          </w:rPr>
        </w:r>
        <w:r w:rsidR="004637A0">
          <w:rPr>
            <w:noProof/>
            <w:webHidden/>
          </w:rPr>
          <w:fldChar w:fldCharType="separate"/>
        </w:r>
        <w:r w:rsidR="00C4184C">
          <w:rPr>
            <w:noProof/>
            <w:webHidden/>
          </w:rPr>
          <w:t>46</w:t>
        </w:r>
        <w:r w:rsidR="004637A0">
          <w:rPr>
            <w:noProof/>
            <w:webHidden/>
          </w:rPr>
          <w:fldChar w:fldCharType="end"/>
        </w:r>
      </w:hyperlink>
    </w:p>
    <w:p w14:paraId="1B71D626" w14:textId="17081F55"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41" w:history="1">
        <w:r w:rsidR="004637A0" w:rsidRPr="00734D37">
          <w:rPr>
            <w:rStyle w:val="Hyperlink"/>
            <w:noProof/>
          </w:rPr>
          <w:t>8.2</w:t>
        </w:r>
        <w:r w:rsidR="004637A0">
          <w:rPr>
            <w:rFonts w:asciiTheme="minorHAnsi" w:eastAsiaTheme="minorEastAsia" w:hAnsiTheme="minorHAnsi" w:cstheme="minorBidi"/>
            <w:noProof/>
            <w:sz w:val="22"/>
            <w:szCs w:val="22"/>
            <w:lang w:eastAsia="en-NZ"/>
          </w:rPr>
          <w:tab/>
        </w:r>
        <w:r w:rsidR="004637A0" w:rsidRPr="00734D37">
          <w:rPr>
            <w:rStyle w:val="Hyperlink"/>
            <w:noProof/>
          </w:rPr>
          <w:t>Individualised care</w:t>
        </w:r>
        <w:r w:rsidR="004637A0">
          <w:rPr>
            <w:noProof/>
            <w:webHidden/>
          </w:rPr>
          <w:tab/>
        </w:r>
        <w:r w:rsidR="004637A0">
          <w:rPr>
            <w:noProof/>
            <w:webHidden/>
          </w:rPr>
          <w:fldChar w:fldCharType="begin"/>
        </w:r>
        <w:r w:rsidR="004637A0">
          <w:rPr>
            <w:noProof/>
            <w:webHidden/>
          </w:rPr>
          <w:instrText xml:space="preserve"> PAGEREF _Toc132355341 \h </w:instrText>
        </w:r>
        <w:r w:rsidR="004637A0">
          <w:rPr>
            <w:noProof/>
            <w:webHidden/>
          </w:rPr>
        </w:r>
        <w:r w:rsidR="004637A0">
          <w:rPr>
            <w:noProof/>
            <w:webHidden/>
          </w:rPr>
          <w:fldChar w:fldCharType="separate"/>
        </w:r>
        <w:r w:rsidR="00C4184C">
          <w:rPr>
            <w:noProof/>
            <w:webHidden/>
          </w:rPr>
          <w:t>46</w:t>
        </w:r>
        <w:r w:rsidR="004637A0">
          <w:rPr>
            <w:noProof/>
            <w:webHidden/>
          </w:rPr>
          <w:fldChar w:fldCharType="end"/>
        </w:r>
      </w:hyperlink>
    </w:p>
    <w:p w14:paraId="793139AE" w14:textId="6F63B9EB"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42" w:history="1">
        <w:r w:rsidR="004637A0" w:rsidRPr="00734D37">
          <w:rPr>
            <w:rStyle w:val="Hyperlink"/>
            <w:noProof/>
          </w:rPr>
          <w:t>8.3</w:t>
        </w:r>
        <w:r w:rsidR="004637A0">
          <w:rPr>
            <w:rFonts w:asciiTheme="minorHAnsi" w:eastAsiaTheme="minorEastAsia" w:hAnsiTheme="minorHAnsi" w:cstheme="minorBidi"/>
            <w:noProof/>
            <w:sz w:val="22"/>
            <w:szCs w:val="22"/>
            <w:lang w:eastAsia="en-NZ"/>
          </w:rPr>
          <w:tab/>
        </w:r>
        <w:r w:rsidR="004637A0" w:rsidRPr="00734D37">
          <w:rPr>
            <w:rStyle w:val="Hyperlink"/>
            <w:noProof/>
          </w:rPr>
          <w:t>Physical and psychological health considerations</w:t>
        </w:r>
        <w:r w:rsidR="004637A0">
          <w:rPr>
            <w:noProof/>
            <w:webHidden/>
          </w:rPr>
          <w:tab/>
        </w:r>
        <w:r w:rsidR="004637A0">
          <w:rPr>
            <w:noProof/>
            <w:webHidden/>
          </w:rPr>
          <w:fldChar w:fldCharType="begin"/>
        </w:r>
        <w:r w:rsidR="004637A0">
          <w:rPr>
            <w:noProof/>
            <w:webHidden/>
          </w:rPr>
          <w:instrText xml:space="preserve"> PAGEREF _Toc132355342 \h </w:instrText>
        </w:r>
        <w:r w:rsidR="004637A0">
          <w:rPr>
            <w:noProof/>
            <w:webHidden/>
          </w:rPr>
        </w:r>
        <w:r w:rsidR="004637A0">
          <w:rPr>
            <w:noProof/>
            <w:webHidden/>
          </w:rPr>
          <w:fldChar w:fldCharType="separate"/>
        </w:r>
        <w:r w:rsidR="00C4184C">
          <w:rPr>
            <w:noProof/>
            <w:webHidden/>
          </w:rPr>
          <w:t>46</w:t>
        </w:r>
        <w:r w:rsidR="004637A0">
          <w:rPr>
            <w:noProof/>
            <w:webHidden/>
          </w:rPr>
          <w:fldChar w:fldCharType="end"/>
        </w:r>
      </w:hyperlink>
    </w:p>
    <w:p w14:paraId="707ECC28" w14:textId="3CBB374B"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43" w:history="1">
        <w:r w:rsidR="004637A0" w:rsidRPr="00734D37">
          <w:rPr>
            <w:rStyle w:val="Hyperlink"/>
            <w:noProof/>
          </w:rPr>
          <w:t>8.4</w:t>
        </w:r>
        <w:r w:rsidR="004637A0">
          <w:rPr>
            <w:rFonts w:asciiTheme="minorHAnsi" w:eastAsiaTheme="minorEastAsia" w:hAnsiTheme="minorHAnsi" w:cstheme="minorBidi"/>
            <w:noProof/>
            <w:sz w:val="22"/>
            <w:szCs w:val="22"/>
            <w:lang w:eastAsia="en-NZ"/>
          </w:rPr>
          <w:tab/>
        </w:r>
        <w:r w:rsidR="004637A0" w:rsidRPr="00734D37">
          <w:rPr>
            <w:rStyle w:val="Hyperlink"/>
            <w:noProof/>
          </w:rPr>
          <w:t>Providing a safe environment (seclusion rooms)</w:t>
        </w:r>
        <w:r w:rsidR="004637A0">
          <w:rPr>
            <w:noProof/>
            <w:webHidden/>
          </w:rPr>
          <w:tab/>
        </w:r>
        <w:r w:rsidR="004637A0">
          <w:rPr>
            <w:noProof/>
            <w:webHidden/>
          </w:rPr>
          <w:fldChar w:fldCharType="begin"/>
        </w:r>
        <w:r w:rsidR="004637A0">
          <w:rPr>
            <w:noProof/>
            <w:webHidden/>
          </w:rPr>
          <w:instrText xml:space="preserve"> PAGEREF _Toc132355343 \h </w:instrText>
        </w:r>
        <w:r w:rsidR="004637A0">
          <w:rPr>
            <w:noProof/>
            <w:webHidden/>
          </w:rPr>
        </w:r>
        <w:r w:rsidR="004637A0">
          <w:rPr>
            <w:noProof/>
            <w:webHidden/>
          </w:rPr>
          <w:fldChar w:fldCharType="separate"/>
        </w:r>
        <w:r w:rsidR="00C4184C">
          <w:rPr>
            <w:noProof/>
            <w:webHidden/>
          </w:rPr>
          <w:t>47</w:t>
        </w:r>
        <w:r w:rsidR="004637A0">
          <w:rPr>
            <w:noProof/>
            <w:webHidden/>
          </w:rPr>
          <w:fldChar w:fldCharType="end"/>
        </w:r>
      </w:hyperlink>
    </w:p>
    <w:p w14:paraId="4B6B15CA" w14:textId="731EE6D4"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44" w:history="1">
        <w:r w:rsidR="004637A0" w:rsidRPr="00734D37">
          <w:rPr>
            <w:rStyle w:val="Hyperlink"/>
            <w:noProof/>
          </w:rPr>
          <w:t>8.5</w:t>
        </w:r>
        <w:r w:rsidR="004637A0">
          <w:rPr>
            <w:rFonts w:asciiTheme="minorHAnsi" w:eastAsiaTheme="minorEastAsia" w:hAnsiTheme="minorHAnsi" w:cstheme="minorBidi"/>
            <w:noProof/>
            <w:sz w:val="22"/>
            <w:szCs w:val="22"/>
            <w:lang w:eastAsia="en-NZ"/>
          </w:rPr>
          <w:tab/>
        </w:r>
        <w:r w:rsidR="004637A0" w:rsidRPr="00734D37">
          <w:rPr>
            <w:rStyle w:val="Hyperlink"/>
            <w:noProof/>
          </w:rPr>
          <w:t>Commencing and ending seclusion</w:t>
        </w:r>
        <w:r w:rsidR="004637A0">
          <w:rPr>
            <w:noProof/>
            <w:webHidden/>
          </w:rPr>
          <w:tab/>
        </w:r>
        <w:r w:rsidR="004637A0">
          <w:rPr>
            <w:noProof/>
            <w:webHidden/>
          </w:rPr>
          <w:fldChar w:fldCharType="begin"/>
        </w:r>
        <w:r w:rsidR="004637A0">
          <w:rPr>
            <w:noProof/>
            <w:webHidden/>
          </w:rPr>
          <w:instrText xml:space="preserve"> PAGEREF _Toc132355344 \h </w:instrText>
        </w:r>
        <w:r w:rsidR="004637A0">
          <w:rPr>
            <w:noProof/>
            <w:webHidden/>
          </w:rPr>
        </w:r>
        <w:r w:rsidR="004637A0">
          <w:rPr>
            <w:noProof/>
            <w:webHidden/>
          </w:rPr>
          <w:fldChar w:fldCharType="separate"/>
        </w:r>
        <w:r w:rsidR="00C4184C">
          <w:rPr>
            <w:noProof/>
            <w:webHidden/>
          </w:rPr>
          <w:t>48</w:t>
        </w:r>
        <w:r w:rsidR="004637A0">
          <w:rPr>
            <w:noProof/>
            <w:webHidden/>
          </w:rPr>
          <w:fldChar w:fldCharType="end"/>
        </w:r>
      </w:hyperlink>
    </w:p>
    <w:p w14:paraId="662FB894" w14:textId="6BF5251B"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45" w:history="1">
        <w:r w:rsidR="004637A0" w:rsidRPr="00734D37">
          <w:rPr>
            <w:rStyle w:val="Hyperlink"/>
            <w:noProof/>
          </w:rPr>
          <w:t>8.6</w:t>
        </w:r>
        <w:r w:rsidR="004637A0">
          <w:rPr>
            <w:rFonts w:asciiTheme="minorHAnsi" w:eastAsiaTheme="minorEastAsia" w:hAnsiTheme="minorHAnsi" w:cstheme="minorBidi"/>
            <w:noProof/>
            <w:sz w:val="22"/>
            <w:szCs w:val="22"/>
            <w:lang w:eastAsia="en-NZ"/>
          </w:rPr>
          <w:tab/>
        </w:r>
        <w:r w:rsidR="004637A0" w:rsidRPr="00734D37">
          <w:rPr>
            <w:rStyle w:val="Hyperlink"/>
            <w:noProof/>
          </w:rPr>
          <w:t>Specific observation, engagement and assessment requirements</w:t>
        </w:r>
        <w:r w:rsidR="004637A0">
          <w:rPr>
            <w:noProof/>
            <w:webHidden/>
          </w:rPr>
          <w:tab/>
        </w:r>
        <w:r w:rsidR="004637A0">
          <w:rPr>
            <w:noProof/>
            <w:webHidden/>
          </w:rPr>
          <w:fldChar w:fldCharType="begin"/>
        </w:r>
        <w:r w:rsidR="004637A0">
          <w:rPr>
            <w:noProof/>
            <w:webHidden/>
          </w:rPr>
          <w:instrText xml:space="preserve"> PAGEREF _Toc132355345 \h </w:instrText>
        </w:r>
        <w:r w:rsidR="004637A0">
          <w:rPr>
            <w:noProof/>
            <w:webHidden/>
          </w:rPr>
        </w:r>
        <w:r w:rsidR="004637A0">
          <w:rPr>
            <w:noProof/>
            <w:webHidden/>
          </w:rPr>
          <w:fldChar w:fldCharType="separate"/>
        </w:r>
        <w:r w:rsidR="00C4184C">
          <w:rPr>
            <w:noProof/>
            <w:webHidden/>
          </w:rPr>
          <w:t>51</w:t>
        </w:r>
        <w:r w:rsidR="004637A0">
          <w:rPr>
            <w:noProof/>
            <w:webHidden/>
          </w:rPr>
          <w:fldChar w:fldCharType="end"/>
        </w:r>
      </w:hyperlink>
    </w:p>
    <w:p w14:paraId="4FC8E992" w14:textId="51D79903" w:rsidR="004637A0" w:rsidRDefault="00000000">
      <w:pPr>
        <w:pStyle w:val="TOC1"/>
        <w:rPr>
          <w:rFonts w:asciiTheme="minorHAnsi" w:eastAsiaTheme="minorEastAsia" w:hAnsiTheme="minorHAnsi" w:cstheme="minorBidi"/>
          <w:noProof/>
          <w:sz w:val="22"/>
          <w:szCs w:val="22"/>
          <w:lang w:eastAsia="en-NZ"/>
        </w:rPr>
      </w:pPr>
      <w:hyperlink w:anchor="_Toc132355346" w:history="1">
        <w:r w:rsidR="004637A0" w:rsidRPr="00734D37">
          <w:rPr>
            <w:rStyle w:val="Hyperlink"/>
            <w:noProof/>
          </w:rPr>
          <w:t>9</w:t>
        </w:r>
        <w:r w:rsidR="004637A0">
          <w:rPr>
            <w:rFonts w:asciiTheme="minorHAnsi" w:eastAsiaTheme="minorEastAsia" w:hAnsiTheme="minorHAnsi" w:cstheme="minorBidi"/>
            <w:noProof/>
            <w:sz w:val="22"/>
            <w:szCs w:val="22"/>
            <w:lang w:eastAsia="en-NZ"/>
          </w:rPr>
          <w:tab/>
        </w:r>
        <w:r w:rsidR="004637A0" w:rsidRPr="00734D37">
          <w:rPr>
            <w:rStyle w:val="Hyperlink"/>
            <w:noProof/>
          </w:rPr>
          <w:t>Quality review of restraint and seclusion</w:t>
        </w:r>
        <w:r w:rsidR="004637A0">
          <w:rPr>
            <w:noProof/>
            <w:webHidden/>
          </w:rPr>
          <w:tab/>
        </w:r>
        <w:r w:rsidR="004637A0">
          <w:rPr>
            <w:noProof/>
            <w:webHidden/>
          </w:rPr>
          <w:fldChar w:fldCharType="begin"/>
        </w:r>
        <w:r w:rsidR="004637A0">
          <w:rPr>
            <w:noProof/>
            <w:webHidden/>
          </w:rPr>
          <w:instrText xml:space="preserve"> PAGEREF _Toc132355346 \h </w:instrText>
        </w:r>
        <w:r w:rsidR="004637A0">
          <w:rPr>
            <w:noProof/>
            <w:webHidden/>
          </w:rPr>
        </w:r>
        <w:r w:rsidR="004637A0">
          <w:rPr>
            <w:noProof/>
            <w:webHidden/>
          </w:rPr>
          <w:fldChar w:fldCharType="separate"/>
        </w:r>
        <w:r w:rsidR="00C4184C">
          <w:rPr>
            <w:noProof/>
            <w:webHidden/>
          </w:rPr>
          <w:t>54</w:t>
        </w:r>
        <w:r w:rsidR="004637A0">
          <w:rPr>
            <w:noProof/>
            <w:webHidden/>
          </w:rPr>
          <w:fldChar w:fldCharType="end"/>
        </w:r>
      </w:hyperlink>
    </w:p>
    <w:p w14:paraId="69B55DC7" w14:textId="7F74C304"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47" w:history="1">
        <w:r w:rsidR="004637A0" w:rsidRPr="00734D37">
          <w:rPr>
            <w:rStyle w:val="Hyperlink"/>
            <w:noProof/>
          </w:rPr>
          <w:t>9.1</w:t>
        </w:r>
        <w:r w:rsidR="004637A0">
          <w:rPr>
            <w:rFonts w:asciiTheme="minorHAnsi" w:eastAsiaTheme="minorEastAsia" w:hAnsiTheme="minorHAnsi" w:cstheme="minorBidi"/>
            <w:noProof/>
            <w:sz w:val="22"/>
            <w:szCs w:val="22"/>
            <w:lang w:eastAsia="en-NZ"/>
          </w:rPr>
          <w:tab/>
        </w:r>
        <w:r w:rsidR="004637A0" w:rsidRPr="00734D37">
          <w:rPr>
            <w:rStyle w:val="Hyperlink"/>
            <w:noProof/>
          </w:rPr>
          <w:t>Debrief</w:t>
        </w:r>
        <w:r w:rsidR="004637A0">
          <w:rPr>
            <w:noProof/>
            <w:webHidden/>
          </w:rPr>
          <w:tab/>
        </w:r>
        <w:r w:rsidR="004637A0">
          <w:rPr>
            <w:noProof/>
            <w:webHidden/>
          </w:rPr>
          <w:fldChar w:fldCharType="begin"/>
        </w:r>
        <w:r w:rsidR="004637A0">
          <w:rPr>
            <w:noProof/>
            <w:webHidden/>
          </w:rPr>
          <w:instrText xml:space="preserve"> PAGEREF _Toc132355347 \h </w:instrText>
        </w:r>
        <w:r w:rsidR="004637A0">
          <w:rPr>
            <w:noProof/>
            <w:webHidden/>
          </w:rPr>
        </w:r>
        <w:r w:rsidR="004637A0">
          <w:rPr>
            <w:noProof/>
            <w:webHidden/>
          </w:rPr>
          <w:fldChar w:fldCharType="separate"/>
        </w:r>
        <w:r w:rsidR="00C4184C">
          <w:rPr>
            <w:noProof/>
            <w:webHidden/>
          </w:rPr>
          <w:t>54</w:t>
        </w:r>
        <w:r w:rsidR="004637A0">
          <w:rPr>
            <w:noProof/>
            <w:webHidden/>
          </w:rPr>
          <w:fldChar w:fldCharType="end"/>
        </w:r>
      </w:hyperlink>
    </w:p>
    <w:p w14:paraId="6DDB9007" w14:textId="354027EC"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48" w:history="1">
        <w:r w:rsidR="004637A0" w:rsidRPr="00734D37">
          <w:rPr>
            <w:rStyle w:val="Hyperlink"/>
            <w:noProof/>
          </w:rPr>
          <w:t>9.2</w:t>
        </w:r>
        <w:r w:rsidR="004637A0">
          <w:rPr>
            <w:rFonts w:asciiTheme="minorHAnsi" w:eastAsiaTheme="minorEastAsia" w:hAnsiTheme="minorHAnsi" w:cstheme="minorBidi"/>
            <w:noProof/>
            <w:sz w:val="22"/>
            <w:szCs w:val="22"/>
            <w:lang w:eastAsia="en-NZ"/>
          </w:rPr>
          <w:tab/>
        </w:r>
        <w:r w:rsidR="004637A0" w:rsidRPr="00734D37">
          <w:rPr>
            <w:rStyle w:val="Hyperlink"/>
            <w:noProof/>
          </w:rPr>
          <w:t>Evaluation</w:t>
        </w:r>
        <w:r w:rsidR="004637A0">
          <w:rPr>
            <w:noProof/>
            <w:webHidden/>
          </w:rPr>
          <w:tab/>
        </w:r>
        <w:r w:rsidR="004637A0">
          <w:rPr>
            <w:noProof/>
            <w:webHidden/>
          </w:rPr>
          <w:fldChar w:fldCharType="begin"/>
        </w:r>
        <w:r w:rsidR="004637A0">
          <w:rPr>
            <w:noProof/>
            <w:webHidden/>
          </w:rPr>
          <w:instrText xml:space="preserve"> PAGEREF _Toc132355348 \h </w:instrText>
        </w:r>
        <w:r w:rsidR="004637A0">
          <w:rPr>
            <w:noProof/>
            <w:webHidden/>
          </w:rPr>
        </w:r>
        <w:r w:rsidR="004637A0">
          <w:rPr>
            <w:noProof/>
            <w:webHidden/>
          </w:rPr>
          <w:fldChar w:fldCharType="separate"/>
        </w:r>
        <w:r w:rsidR="00C4184C">
          <w:rPr>
            <w:noProof/>
            <w:webHidden/>
          </w:rPr>
          <w:t>55</w:t>
        </w:r>
        <w:r w:rsidR="004637A0">
          <w:rPr>
            <w:noProof/>
            <w:webHidden/>
          </w:rPr>
          <w:fldChar w:fldCharType="end"/>
        </w:r>
      </w:hyperlink>
    </w:p>
    <w:p w14:paraId="1B315C99" w14:textId="689B9757"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49" w:history="1">
        <w:r w:rsidR="004637A0" w:rsidRPr="00734D37">
          <w:rPr>
            <w:rStyle w:val="Hyperlink"/>
            <w:noProof/>
          </w:rPr>
          <w:t>9.3</w:t>
        </w:r>
        <w:r w:rsidR="004637A0">
          <w:rPr>
            <w:rFonts w:asciiTheme="minorHAnsi" w:eastAsiaTheme="minorEastAsia" w:hAnsiTheme="minorHAnsi" w:cstheme="minorBidi"/>
            <w:noProof/>
            <w:sz w:val="22"/>
            <w:szCs w:val="22"/>
            <w:lang w:eastAsia="en-NZ"/>
          </w:rPr>
          <w:tab/>
        </w:r>
        <w:r w:rsidR="004637A0" w:rsidRPr="00734D37">
          <w:rPr>
            <w:rStyle w:val="Hyperlink"/>
            <w:noProof/>
          </w:rPr>
          <w:t>Monitoring and recording seclusion and restraint</w:t>
        </w:r>
        <w:r w:rsidR="004637A0">
          <w:rPr>
            <w:noProof/>
            <w:webHidden/>
          </w:rPr>
          <w:tab/>
        </w:r>
        <w:r w:rsidR="004637A0">
          <w:rPr>
            <w:noProof/>
            <w:webHidden/>
          </w:rPr>
          <w:fldChar w:fldCharType="begin"/>
        </w:r>
        <w:r w:rsidR="004637A0">
          <w:rPr>
            <w:noProof/>
            <w:webHidden/>
          </w:rPr>
          <w:instrText xml:space="preserve"> PAGEREF _Toc132355349 \h </w:instrText>
        </w:r>
        <w:r w:rsidR="004637A0">
          <w:rPr>
            <w:noProof/>
            <w:webHidden/>
          </w:rPr>
        </w:r>
        <w:r w:rsidR="004637A0">
          <w:rPr>
            <w:noProof/>
            <w:webHidden/>
          </w:rPr>
          <w:fldChar w:fldCharType="separate"/>
        </w:r>
        <w:r w:rsidR="00C4184C">
          <w:rPr>
            <w:noProof/>
            <w:webHidden/>
          </w:rPr>
          <w:t>56</w:t>
        </w:r>
        <w:r w:rsidR="004637A0">
          <w:rPr>
            <w:noProof/>
            <w:webHidden/>
          </w:rPr>
          <w:fldChar w:fldCharType="end"/>
        </w:r>
      </w:hyperlink>
    </w:p>
    <w:p w14:paraId="4FBA1D64" w14:textId="77EF89A6"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50" w:history="1">
        <w:r w:rsidR="004637A0" w:rsidRPr="00734D37">
          <w:rPr>
            <w:rStyle w:val="Hyperlink"/>
            <w:noProof/>
          </w:rPr>
          <w:t>9.4</w:t>
        </w:r>
        <w:r w:rsidR="004637A0">
          <w:rPr>
            <w:rFonts w:asciiTheme="minorHAnsi" w:eastAsiaTheme="minorEastAsia" w:hAnsiTheme="minorHAnsi" w:cstheme="minorBidi"/>
            <w:noProof/>
            <w:sz w:val="22"/>
            <w:szCs w:val="22"/>
            <w:lang w:eastAsia="en-NZ"/>
          </w:rPr>
          <w:tab/>
        </w:r>
        <w:r w:rsidR="004637A0" w:rsidRPr="00734D37">
          <w:rPr>
            <w:rStyle w:val="Hyperlink"/>
            <w:noProof/>
          </w:rPr>
          <w:t>Reviewing restraint and seclusion</w:t>
        </w:r>
        <w:r w:rsidR="004637A0">
          <w:rPr>
            <w:noProof/>
            <w:webHidden/>
          </w:rPr>
          <w:tab/>
        </w:r>
        <w:r w:rsidR="004637A0">
          <w:rPr>
            <w:noProof/>
            <w:webHidden/>
          </w:rPr>
          <w:fldChar w:fldCharType="begin"/>
        </w:r>
        <w:r w:rsidR="004637A0">
          <w:rPr>
            <w:noProof/>
            <w:webHidden/>
          </w:rPr>
          <w:instrText xml:space="preserve"> PAGEREF _Toc132355350 \h </w:instrText>
        </w:r>
        <w:r w:rsidR="004637A0">
          <w:rPr>
            <w:noProof/>
            <w:webHidden/>
          </w:rPr>
        </w:r>
        <w:r w:rsidR="004637A0">
          <w:rPr>
            <w:noProof/>
            <w:webHidden/>
          </w:rPr>
          <w:fldChar w:fldCharType="separate"/>
        </w:r>
        <w:r w:rsidR="00C4184C">
          <w:rPr>
            <w:noProof/>
            <w:webHidden/>
          </w:rPr>
          <w:t>58</w:t>
        </w:r>
        <w:r w:rsidR="004637A0">
          <w:rPr>
            <w:noProof/>
            <w:webHidden/>
          </w:rPr>
          <w:fldChar w:fldCharType="end"/>
        </w:r>
      </w:hyperlink>
    </w:p>
    <w:p w14:paraId="32066DEE" w14:textId="4ECADB76"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51" w:history="1">
        <w:r w:rsidR="004637A0" w:rsidRPr="00734D37">
          <w:rPr>
            <w:rStyle w:val="Hyperlink"/>
            <w:noProof/>
          </w:rPr>
          <w:t>9.5</w:t>
        </w:r>
        <w:r w:rsidR="004637A0">
          <w:rPr>
            <w:rFonts w:asciiTheme="minorHAnsi" w:eastAsiaTheme="minorEastAsia" w:hAnsiTheme="minorHAnsi" w:cstheme="minorBidi"/>
            <w:noProof/>
            <w:sz w:val="22"/>
            <w:szCs w:val="22"/>
            <w:lang w:eastAsia="en-NZ"/>
          </w:rPr>
          <w:tab/>
        </w:r>
        <w:r w:rsidR="004637A0" w:rsidRPr="00734D37">
          <w:rPr>
            <w:rStyle w:val="Hyperlink"/>
            <w:noProof/>
          </w:rPr>
          <w:t>Reporting to Manatū Hauora</w:t>
        </w:r>
        <w:r w:rsidR="004637A0">
          <w:rPr>
            <w:noProof/>
            <w:webHidden/>
          </w:rPr>
          <w:tab/>
        </w:r>
        <w:r w:rsidR="004637A0">
          <w:rPr>
            <w:noProof/>
            <w:webHidden/>
          </w:rPr>
          <w:fldChar w:fldCharType="begin"/>
        </w:r>
        <w:r w:rsidR="004637A0">
          <w:rPr>
            <w:noProof/>
            <w:webHidden/>
          </w:rPr>
          <w:instrText xml:space="preserve"> PAGEREF _Toc132355351 \h </w:instrText>
        </w:r>
        <w:r w:rsidR="004637A0">
          <w:rPr>
            <w:noProof/>
            <w:webHidden/>
          </w:rPr>
        </w:r>
        <w:r w:rsidR="004637A0">
          <w:rPr>
            <w:noProof/>
            <w:webHidden/>
          </w:rPr>
          <w:fldChar w:fldCharType="separate"/>
        </w:r>
        <w:r w:rsidR="00C4184C">
          <w:rPr>
            <w:noProof/>
            <w:webHidden/>
          </w:rPr>
          <w:t>59</w:t>
        </w:r>
        <w:r w:rsidR="004637A0">
          <w:rPr>
            <w:noProof/>
            <w:webHidden/>
          </w:rPr>
          <w:fldChar w:fldCharType="end"/>
        </w:r>
      </w:hyperlink>
    </w:p>
    <w:p w14:paraId="3BB40CD1" w14:textId="017302CE" w:rsidR="004637A0" w:rsidRDefault="00000000">
      <w:pPr>
        <w:pStyle w:val="TOC2"/>
        <w:tabs>
          <w:tab w:val="left" w:pos="1134"/>
        </w:tabs>
        <w:rPr>
          <w:rFonts w:asciiTheme="minorHAnsi" w:eastAsiaTheme="minorEastAsia" w:hAnsiTheme="minorHAnsi" w:cstheme="minorBidi"/>
          <w:noProof/>
          <w:sz w:val="22"/>
          <w:szCs w:val="22"/>
          <w:lang w:eastAsia="en-NZ"/>
        </w:rPr>
      </w:pPr>
      <w:hyperlink w:anchor="_Toc132355352" w:history="1">
        <w:r w:rsidR="004637A0" w:rsidRPr="00734D37">
          <w:rPr>
            <w:rStyle w:val="Hyperlink"/>
            <w:noProof/>
          </w:rPr>
          <w:t>9.6</w:t>
        </w:r>
        <w:r w:rsidR="004637A0">
          <w:rPr>
            <w:rFonts w:asciiTheme="minorHAnsi" w:eastAsiaTheme="minorEastAsia" w:hAnsiTheme="minorHAnsi" w:cstheme="minorBidi"/>
            <w:noProof/>
            <w:sz w:val="22"/>
            <w:szCs w:val="22"/>
            <w:lang w:eastAsia="en-NZ"/>
          </w:rPr>
          <w:tab/>
        </w:r>
        <w:r w:rsidR="004637A0" w:rsidRPr="00734D37">
          <w:rPr>
            <w:rStyle w:val="Hyperlink"/>
            <w:noProof/>
          </w:rPr>
          <w:t>Complaints</w:t>
        </w:r>
        <w:r w:rsidR="004637A0">
          <w:rPr>
            <w:noProof/>
            <w:webHidden/>
          </w:rPr>
          <w:tab/>
        </w:r>
        <w:r w:rsidR="004637A0">
          <w:rPr>
            <w:noProof/>
            <w:webHidden/>
          </w:rPr>
          <w:fldChar w:fldCharType="begin"/>
        </w:r>
        <w:r w:rsidR="004637A0">
          <w:rPr>
            <w:noProof/>
            <w:webHidden/>
          </w:rPr>
          <w:instrText xml:space="preserve"> PAGEREF _Toc132355352 \h </w:instrText>
        </w:r>
        <w:r w:rsidR="004637A0">
          <w:rPr>
            <w:noProof/>
            <w:webHidden/>
          </w:rPr>
        </w:r>
        <w:r w:rsidR="004637A0">
          <w:rPr>
            <w:noProof/>
            <w:webHidden/>
          </w:rPr>
          <w:fldChar w:fldCharType="separate"/>
        </w:r>
        <w:r w:rsidR="00C4184C">
          <w:rPr>
            <w:noProof/>
            <w:webHidden/>
          </w:rPr>
          <w:t>59</w:t>
        </w:r>
        <w:r w:rsidR="004637A0">
          <w:rPr>
            <w:noProof/>
            <w:webHidden/>
          </w:rPr>
          <w:fldChar w:fldCharType="end"/>
        </w:r>
      </w:hyperlink>
    </w:p>
    <w:p w14:paraId="055C811A" w14:textId="78E9E70E" w:rsidR="004637A0" w:rsidRDefault="00000000">
      <w:pPr>
        <w:pStyle w:val="TOC1"/>
        <w:rPr>
          <w:rFonts w:asciiTheme="minorHAnsi" w:eastAsiaTheme="minorEastAsia" w:hAnsiTheme="minorHAnsi" w:cstheme="minorBidi"/>
          <w:noProof/>
          <w:sz w:val="22"/>
          <w:szCs w:val="22"/>
          <w:lang w:eastAsia="en-NZ"/>
        </w:rPr>
      </w:pPr>
      <w:hyperlink w:anchor="_Toc132355353" w:history="1">
        <w:r w:rsidR="004637A0" w:rsidRPr="00734D37">
          <w:rPr>
            <w:rStyle w:val="Hyperlink"/>
            <w:noProof/>
          </w:rPr>
          <w:t>Glossary</w:t>
        </w:r>
        <w:r w:rsidR="004637A0">
          <w:rPr>
            <w:noProof/>
            <w:webHidden/>
          </w:rPr>
          <w:tab/>
        </w:r>
        <w:r w:rsidR="004637A0">
          <w:rPr>
            <w:noProof/>
            <w:webHidden/>
          </w:rPr>
          <w:fldChar w:fldCharType="begin"/>
        </w:r>
        <w:r w:rsidR="004637A0">
          <w:rPr>
            <w:noProof/>
            <w:webHidden/>
          </w:rPr>
          <w:instrText xml:space="preserve"> PAGEREF _Toc132355353 \h </w:instrText>
        </w:r>
        <w:r w:rsidR="004637A0">
          <w:rPr>
            <w:noProof/>
            <w:webHidden/>
          </w:rPr>
        </w:r>
        <w:r w:rsidR="004637A0">
          <w:rPr>
            <w:noProof/>
            <w:webHidden/>
          </w:rPr>
          <w:fldChar w:fldCharType="separate"/>
        </w:r>
        <w:r w:rsidR="00C4184C">
          <w:rPr>
            <w:noProof/>
            <w:webHidden/>
          </w:rPr>
          <w:t>60</w:t>
        </w:r>
        <w:r w:rsidR="004637A0">
          <w:rPr>
            <w:noProof/>
            <w:webHidden/>
          </w:rPr>
          <w:fldChar w:fldCharType="end"/>
        </w:r>
      </w:hyperlink>
    </w:p>
    <w:p w14:paraId="48D16762" w14:textId="2468D8F2" w:rsidR="004637A0" w:rsidRDefault="00000000">
      <w:pPr>
        <w:pStyle w:val="TOC1"/>
        <w:rPr>
          <w:rFonts w:asciiTheme="minorHAnsi" w:eastAsiaTheme="minorEastAsia" w:hAnsiTheme="minorHAnsi" w:cstheme="minorBidi"/>
          <w:noProof/>
          <w:sz w:val="22"/>
          <w:szCs w:val="22"/>
          <w:lang w:eastAsia="en-NZ"/>
        </w:rPr>
      </w:pPr>
      <w:hyperlink w:anchor="_Toc132355354" w:history="1">
        <w:r w:rsidR="004637A0" w:rsidRPr="00734D37">
          <w:rPr>
            <w:rStyle w:val="Hyperlink"/>
            <w:noProof/>
          </w:rPr>
          <w:t>Appendix A: Legislation specifically related to restraint</w:t>
        </w:r>
        <w:r w:rsidR="004637A0">
          <w:rPr>
            <w:noProof/>
            <w:webHidden/>
          </w:rPr>
          <w:tab/>
        </w:r>
        <w:r w:rsidR="004637A0">
          <w:rPr>
            <w:noProof/>
            <w:webHidden/>
          </w:rPr>
          <w:fldChar w:fldCharType="begin"/>
        </w:r>
        <w:r w:rsidR="004637A0">
          <w:rPr>
            <w:noProof/>
            <w:webHidden/>
          </w:rPr>
          <w:instrText xml:space="preserve"> PAGEREF _Toc132355354 \h </w:instrText>
        </w:r>
        <w:r w:rsidR="004637A0">
          <w:rPr>
            <w:noProof/>
            <w:webHidden/>
          </w:rPr>
        </w:r>
        <w:r w:rsidR="004637A0">
          <w:rPr>
            <w:noProof/>
            <w:webHidden/>
          </w:rPr>
          <w:fldChar w:fldCharType="separate"/>
        </w:r>
        <w:r w:rsidR="00C4184C">
          <w:rPr>
            <w:noProof/>
            <w:webHidden/>
          </w:rPr>
          <w:t>64</w:t>
        </w:r>
        <w:r w:rsidR="004637A0">
          <w:rPr>
            <w:noProof/>
            <w:webHidden/>
          </w:rPr>
          <w:fldChar w:fldCharType="end"/>
        </w:r>
      </w:hyperlink>
    </w:p>
    <w:p w14:paraId="2478097F" w14:textId="684A6AA0" w:rsidR="004637A0" w:rsidRDefault="00000000">
      <w:pPr>
        <w:pStyle w:val="TOC2"/>
        <w:rPr>
          <w:rFonts w:asciiTheme="minorHAnsi" w:eastAsiaTheme="minorEastAsia" w:hAnsiTheme="minorHAnsi" w:cstheme="minorBidi"/>
          <w:noProof/>
          <w:sz w:val="22"/>
          <w:szCs w:val="22"/>
          <w:lang w:eastAsia="en-NZ"/>
        </w:rPr>
      </w:pPr>
      <w:hyperlink w:anchor="_Toc132355355" w:history="1">
        <w:r w:rsidR="004637A0" w:rsidRPr="00734D37">
          <w:rPr>
            <w:rStyle w:val="Hyperlink"/>
            <w:noProof/>
          </w:rPr>
          <w:t>Mental Health Act</w:t>
        </w:r>
        <w:r w:rsidR="004637A0">
          <w:rPr>
            <w:noProof/>
            <w:webHidden/>
          </w:rPr>
          <w:tab/>
        </w:r>
        <w:r w:rsidR="004637A0">
          <w:rPr>
            <w:noProof/>
            <w:webHidden/>
          </w:rPr>
          <w:fldChar w:fldCharType="begin"/>
        </w:r>
        <w:r w:rsidR="004637A0">
          <w:rPr>
            <w:noProof/>
            <w:webHidden/>
          </w:rPr>
          <w:instrText xml:space="preserve"> PAGEREF _Toc132355355 \h </w:instrText>
        </w:r>
        <w:r w:rsidR="004637A0">
          <w:rPr>
            <w:noProof/>
            <w:webHidden/>
          </w:rPr>
        </w:r>
        <w:r w:rsidR="004637A0">
          <w:rPr>
            <w:noProof/>
            <w:webHidden/>
          </w:rPr>
          <w:fldChar w:fldCharType="separate"/>
        </w:r>
        <w:r w:rsidR="00C4184C">
          <w:rPr>
            <w:noProof/>
            <w:webHidden/>
          </w:rPr>
          <w:t>64</w:t>
        </w:r>
        <w:r w:rsidR="004637A0">
          <w:rPr>
            <w:noProof/>
            <w:webHidden/>
          </w:rPr>
          <w:fldChar w:fldCharType="end"/>
        </w:r>
      </w:hyperlink>
    </w:p>
    <w:p w14:paraId="2C112062" w14:textId="59E6BBA1" w:rsidR="004637A0" w:rsidRDefault="00000000">
      <w:pPr>
        <w:pStyle w:val="TOC2"/>
        <w:rPr>
          <w:rFonts w:asciiTheme="minorHAnsi" w:eastAsiaTheme="minorEastAsia" w:hAnsiTheme="minorHAnsi" w:cstheme="minorBidi"/>
          <w:noProof/>
          <w:sz w:val="22"/>
          <w:szCs w:val="22"/>
          <w:lang w:eastAsia="en-NZ"/>
        </w:rPr>
      </w:pPr>
      <w:hyperlink w:anchor="_Toc132355356" w:history="1">
        <w:r w:rsidR="004637A0" w:rsidRPr="00734D37">
          <w:rPr>
            <w:rStyle w:val="Hyperlink"/>
            <w:noProof/>
          </w:rPr>
          <w:t>Crimes Act</w:t>
        </w:r>
        <w:r w:rsidR="004637A0">
          <w:rPr>
            <w:noProof/>
            <w:webHidden/>
          </w:rPr>
          <w:tab/>
        </w:r>
        <w:r w:rsidR="004637A0">
          <w:rPr>
            <w:noProof/>
            <w:webHidden/>
          </w:rPr>
          <w:fldChar w:fldCharType="begin"/>
        </w:r>
        <w:r w:rsidR="004637A0">
          <w:rPr>
            <w:noProof/>
            <w:webHidden/>
          </w:rPr>
          <w:instrText xml:space="preserve"> PAGEREF _Toc132355356 \h </w:instrText>
        </w:r>
        <w:r w:rsidR="004637A0">
          <w:rPr>
            <w:noProof/>
            <w:webHidden/>
          </w:rPr>
        </w:r>
        <w:r w:rsidR="004637A0">
          <w:rPr>
            <w:noProof/>
            <w:webHidden/>
          </w:rPr>
          <w:fldChar w:fldCharType="separate"/>
        </w:r>
        <w:r w:rsidR="00C4184C">
          <w:rPr>
            <w:noProof/>
            <w:webHidden/>
          </w:rPr>
          <w:t>65</w:t>
        </w:r>
        <w:r w:rsidR="004637A0">
          <w:rPr>
            <w:noProof/>
            <w:webHidden/>
          </w:rPr>
          <w:fldChar w:fldCharType="end"/>
        </w:r>
      </w:hyperlink>
    </w:p>
    <w:p w14:paraId="281421E0" w14:textId="6C2EBB65" w:rsidR="004637A0" w:rsidRDefault="00000000">
      <w:pPr>
        <w:pStyle w:val="TOC1"/>
        <w:rPr>
          <w:rFonts w:asciiTheme="minorHAnsi" w:eastAsiaTheme="minorEastAsia" w:hAnsiTheme="minorHAnsi" w:cstheme="minorBidi"/>
          <w:noProof/>
          <w:sz w:val="22"/>
          <w:szCs w:val="22"/>
          <w:lang w:eastAsia="en-NZ"/>
        </w:rPr>
      </w:pPr>
      <w:hyperlink w:anchor="_Toc132355357" w:history="1">
        <w:r w:rsidR="004637A0" w:rsidRPr="00734D37">
          <w:rPr>
            <w:rStyle w:val="Hyperlink"/>
            <w:noProof/>
          </w:rPr>
          <w:t>Appendix B: Recommended guidelines and other documents</w:t>
        </w:r>
        <w:r w:rsidR="004637A0">
          <w:rPr>
            <w:noProof/>
            <w:webHidden/>
          </w:rPr>
          <w:tab/>
        </w:r>
        <w:r w:rsidR="004637A0">
          <w:rPr>
            <w:noProof/>
            <w:webHidden/>
          </w:rPr>
          <w:fldChar w:fldCharType="begin"/>
        </w:r>
        <w:r w:rsidR="004637A0">
          <w:rPr>
            <w:noProof/>
            <w:webHidden/>
          </w:rPr>
          <w:instrText xml:space="preserve"> PAGEREF _Toc132355357 \h </w:instrText>
        </w:r>
        <w:r w:rsidR="004637A0">
          <w:rPr>
            <w:noProof/>
            <w:webHidden/>
          </w:rPr>
        </w:r>
        <w:r w:rsidR="004637A0">
          <w:rPr>
            <w:noProof/>
            <w:webHidden/>
          </w:rPr>
          <w:fldChar w:fldCharType="separate"/>
        </w:r>
        <w:r w:rsidR="00C4184C">
          <w:rPr>
            <w:noProof/>
            <w:webHidden/>
          </w:rPr>
          <w:t>66</w:t>
        </w:r>
        <w:r w:rsidR="004637A0">
          <w:rPr>
            <w:noProof/>
            <w:webHidden/>
          </w:rPr>
          <w:fldChar w:fldCharType="end"/>
        </w:r>
      </w:hyperlink>
    </w:p>
    <w:p w14:paraId="4F9A8942" w14:textId="276452C9" w:rsidR="00D3124A" w:rsidRDefault="004637A0" w:rsidP="00D3124A">
      <w:r>
        <w:rPr>
          <w:rFonts w:ascii="Segoe UI Semibold" w:hAnsi="Segoe UI Semibold"/>
          <w:b/>
          <w:sz w:val="24"/>
        </w:rPr>
        <w:fldChar w:fldCharType="end"/>
      </w:r>
    </w:p>
    <w:p w14:paraId="7E8774FD" w14:textId="19D09777" w:rsidR="008A0B8F" w:rsidRDefault="008A0B8F" w:rsidP="00D3124A">
      <w:pPr>
        <w:spacing w:before="120"/>
        <w:ind w:left="992" w:right="567" w:hanging="992"/>
        <w:sectPr w:rsidR="008A0B8F" w:rsidSect="00D3124A">
          <w:headerReference w:type="even" r:id="rId21"/>
          <w:headerReference w:type="default" r:id="rId22"/>
          <w:footerReference w:type="even" r:id="rId23"/>
          <w:footerReference w:type="default" r:id="rId24"/>
          <w:pgSz w:w="11907" w:h="16840" w:code="9"/>
          <w:pgMar w:top="1418" w:right="1701" w:bottom="1134" w:left="1843" w:header="284" w:footer="425" w:gutter="284"/>
          <w:pgNumType w:fmt="lowerRoman"/>
          <w:cols w:space="720"/>
        </w:sectPr>
      </w:pPr>
    </w:p>
    <w:p w14:paraId="7E877516" w14:textId="77777777" w:rsidR="008C2973" w:rsidRPr="009E583C" w:rsidRDefault="002B7BEC" w:rsidP="003F6B0A">
      <w:pPr>
        <w:pStyle w:val="Heading1"/>
        <w:numPr>
          <w:ilvl w:val="0"/>
          <w:numId w:val="0"/>
        </w:numPr>
        <w:ind w:left="1134" w:hanging="1134"/>
      </w:pPr>
      <w:bookmarkStart w:id="3" w:name="_Toc94156142"/>
      <w:bookmarkStart w:id="4" w:name="_Toc132355302"/>
      <w:r w:rsidRPr="009E583C">
        <w:lastRenderedPageBreak/>
        <w:t>Introduction</w:t>
      </w:r>
      <w:bookmarkEnd w:id="3"/>
      <w:bookmarkEnd w:id="4"/>
    </w:p>
    <w:p w14:paraId="46BA63C0" w14:textId="4267DAD6" w:rsidR="003F6B0A" w:rsidRDefault="003F6B0A" w:rsidP="003F6B0A">
      <w:r w:rsidRPr="00181671">
        <w:t xml:space="preserve">Manatū Hauora (the Ministry of Health) has updated these </w:t>
      </w:r>
      <w:r>
        <w:t>g</w:t>
      </w:r>
      <w:r w:rsidRPr="00181671">
        <w:t>uidelines</w:t>
      </w:r>
      <w:r>
        <w:t>,</w:t>
      </w:r>
      <w:r w:rsidRPr="00181671">
        <w:t xml:space="preserve"> </w:t>
      </w:r>
      <w:r>
        <w:t xml:space="preserve">first published in 2010. </w:t>
      </w:r>
    </w:p>
    <w:p w14:paraId="25430F6C" w14:textId="77777777" w:rsidR="003F6B0A" w:rsidRDefault="003F6B0A" w:rsidP="003F6B0A"/>
    <w:p w14:paraId="77918427" w14:textId="18B3673F" w:rsidR="003F6B0A" w:rsidRDefault="003F6B0A" w:rsidP="003F6B0A">
      <w:r>
        <w:t xml:space="preserve">The guidelines </w:t>
      </w:r>
      <w:r w:rsidRPr="00181671">
        <w:t>provide best</w:t>
      </w:r>
      <w:r>
        <w:t>-</w:t>
      </w:r>
      <w:r w:rsidRPr="00181671">
        <w:t xml:space="preserve">practice alternatives to the use of seclusion and restraint </w:t>
      </w:r>
      <w:r>
        <w:t xml:space="preserve">in treating and caring for </w:t>
      </w:r>
      <w:r w:rsidRPr="00181671">
        <w:t xml:space="preserve">people </w:t>
      </w:r>
      <w:r>
        <w:t>who are subject to</w:t>
      </w:r>
      <w:r w:rsidRPr="00181671">
        <w:t xml:space="preserve"> the Mental Health </w:t>
      </w:r>
      <w:r>
        <w:t xml:space="preserve">(Compulsory Assessment and Treatment) </w:t>
      </w:r>
      <w:r w:rsidRPr="00181671">
        <w:t>Act</w:t>
      </w:r>
      <w:r>
        <w:t xml:space="preserve"> 1992 (the Mental Health Act)</w:t>
      </w:r>
      <w:r w:rsidRPr="00181671">
        <w:t xml:space="preserve">. </w:t>
      </w:r>
      <w:r>
        <w:rPr>
          <w:rFonts w:eastAsia="Calibri"/>
        </w:rPr>
        <w:t xml:space="preserve">They </w:t>
      </w:r>
      <w:r w:rsidRPr="00181671">
        <w:t>take a significantly different approach to the previous guidelines, which had</w:t>
      </w:r>
      <w:r>
        <w:t xml:space="preserve"> </w:t>
      </w:r>
      <w:r w:rsidRPr="00181671">
        <w:t>n</w:t>
      </w:r>
      <w:r>
        <w:t>o</w:t>
      </w:r>
      <w:r w:rsidRPr="00181671">
        <w:t xml:space="preserve">t kept pace </w:t>
      </w:r>
      <w:r>
        <w:t>with the research, practice, and policy in this area</w:t>
      </w:r>
      <w:r w:rsidRPr="00181671">
        <w:t>.</w:t>
      </w:r>
    </w:p>
    <w:p w14:paraId="358C9A87" w14:textId="77777777" w:rsidR="003F6B0A" w:rsidRPr="00181671" w:rsidRDefault="003F6B0A" w:rsidP="003F6B0A"/>
    <w:p w14:paraId="2487D058" w14:textId="6E11012F" w:rsidR="003F6B0A" w:rsidRDefault="003F6B0A" w:rsidP="003F6B0A">
      <w:r w:rsidRPr="00181671">
        <w:t xml:space="preserve">The updated </w:t>
      </w:r>
      <w:r>
        <w:t>g</w:t>
      </w:r>
      <w:r w:rsidRPr="00181671">
        <w:t>uidelines are grounded in person-centred approaches, human rights and Te Tiriti o Waitangi and reflect our commitment to reducing and eventually eliminating seclusion and restraint. They aim to help shift practices towards a seclusion</w:t>
      </w:r>
      <w:r>
        <w:t>- and restraint-</w:t>
      </w:r>
      <w:r w:rsidRPr="00181671">
        <w:t xml:space="preserve">free environment, which </w:t>
      </w:r>
      <w:r>
        <w:t xml:space="preserve">maintains </w:t>
      </w:r>
      <w:r w:rsidRPr="00181671">
        <w:t xml:space="preserve">people’s autonomy, dignity and mana. </w:t>
      </w:r>
    </w:p>
    <w:p w14:paraId="1D67679B" w14:textId="77777777" w:rsidR="003F6B0A" w:rsidRPr="00181671" w:rsidRDefault="003F6B0A" w:rsidP="003F6B0A"/>
    <w:p w14:paraId="09508355" w14:textId="22FE5EC8" w:rsidR="003F6B0A" w:rsidRDefault="003F6B0A" w:rsidP="003F6B0A">
      <w:r>
        <w:t xml:space="preserve">Since the current Mental Health Act came into force, there have been fundamental shifts in our understanding of how restrictive practices adversely affect tāngata whaiora. Newer person-centred, safe and evidence-based models are now available. </w:t>
      </w:r>
    </w:p>
    <w:p w14:paraId="1386DE59" w14:textId="77777777" w:rsidR="003F6B0A" w:rsidRDefault="003F6B0A" w:rsidP="003F6B0A"/>
    <w:p w14:paraId="70CB12AB" w14:textId="380CBEF2" w:rsidR="003F6B0A" w:rsidRDefault="003F6B0A" w:rsidP="003F6B0A">
      <w:r>
        <w:t xml:space="preserve">It is now recognised that seclusion and restraint have no therapeutic benefit, and in fact can be harmful and traumatic to tāngata whaiora, their </w:t>
      </w:r>
      <w:r w:rsidRPr="00153D4F">
        <w:t>whānau</w:t>
      </w:r>
      <w:r>
        <w:t xml:space="preserve"> and staff in mental health inpatient units. </w:t>
      </w:r>
    </w:p>
    <w:p w14:paraId="5C060FBF" w14:textId="77777777" w:rsidR="003F6B0A" w:rsidRDefault="003F6B0A" w:rsidP="003F6B0A"/>
    <w:p w14:paraId="39980C34" w14:textId="6F96F750" w:rsidR="003F6B0A" w:rsidRDefault="003F6B0A" w:rsidP="003F6B0A">
      <w:r>
        <w:t xml:space="preserve">Providers may lawfully use seclusion under the Mental Health Act. However, they should only use it as a last resort, to prevent harm in emergency situations, when they have tried </w:t>
      </w:r>
      <w:r w:rsidRPr="2CC988A9">
        <w:t xml:space="preserve">other </w:t>
      </w:r>
      <w:r>
        <w:t xml:space="preserve">less </w:t>
      </w:r>
      <w:r w:rsidRPr="2CC988A9">
        <w:t>restrictive strategies</w:t>
      </w:r>
      <w:r>
        <w:t xml:space="preserve">. Through application of these guidelines and alternative person-centred and culturally appropriate approaches, we expect to see the use of seclusion and restraint only rarely. </w:t>
      </w:r>
    </w:p>
    <w:p w14:paraId="0D9AAB9B" w14:textId="77777777" w:rsidR="003F6B0A" w:rsidRDefault="003F6B0A" w:rsidP="003F6B0A"/>
    <w:p w14:paraId="1918F7E4" w14:textId="01B61063" w:rsidR="003F6B0A" w:rsidRDefault="003F6B0A" w:rsidP="003F6B0A">
      <w:r>
        <w:t>K</w:t>
      </w:r>
      <w:r w:rsidRPr="00790D52">
        <w:t xml:space="preserve">ey changes </w:t>
      </w:r>
      <w:r>
        <w:t xml:space="preserve">in our approach since these guidelines were first published </w:t>
      </w:r>
      <w:r w:rsidRPr="00790D52">
        <w:t xml:space="preserve">include </w:t>
      </w:r>
      <w:r>
        <w:t xml:space="preserve">a </w:t>
      </w:r>
      <w:r w:rsidRPr="00790D52">
        <w:t xml:space="preserve">growing awareness and influence of rights-based approaches and the need to give greater emphasis to our obligations under Te Tiriti o Waitangi. </w:t>
      </w:r>
      <w:r>
        <w:t xml:space="preserve">This was highlighted in </w:t>
      </w:r>
      <w:r w:rsidRPr="00444A36">
        <w:rPr>
          <w:i/>
          <w:iCs/>
        </w:rPr>
        <w:t>He Ara Oranga: Report of the Government Inquiry into Mental Health and Addiction</w:t>
      </w:r>
      <w:r>
        <w:rPr>
          <w:rStyle w:val="FootnoteReference"/>
          <w:rFonts w:cs="Segoe UI"/>
        </w:rPr>
        <w:footnoteReference w:id="2"/>
      </w:r>
      <w:r>
        <w:t xml:space="preserve"> and</w:t>
      </w:r>
      <w:r w:rsidRPr="00790D52">
        <w:t xml:space="preserve"> through feedback </w:t>
      </w:r>
      <w:r>
        <w:t xml:space="preserve">we received </w:t>
      </w:r>
      <w:r w:rsidRPr="00790D52">
        <w:t xml:space="preserve">from people with lived experience and their families and whānau on how they experience current </w:t>
      </w:r>
      <w:r w:rsidRPr="009463DF">
        <w:t xml:space="preserve">administration of the Act. </w:t>
      </w:r>
    </w:p>
    <w:p w14:paraId="409F467C" w14:textId="77777777" w:rsidR="003F6B0A" w:rsidRPr="009463DF" w:rsidRDefault="003F6B0A" w:rsidP="003F6B0A"/>
    <w:p w14:paraId="6DEAA6DD" w14:textId="77777777" w:rsidR="003F6B0A" w:rsidRPr="00FC5190" w:rsidRDefault="003F6B0A" w:rsidP="003F6B0A">
      <w:r w:rsidRPr="009463DF">
        <w:rPr>
          <w:i/>
          <w:iCs/>
          <w:color w:val="000000"/>
        </w:rPr>
        <w:t xml:space="preserve">Kia Manawanui Aotearoa: </w:t>
      </w:r>
      <w:r w:rsidRPr="009463DF">
        <w:rPr>
          <w:i/>
          <w:iCs/>
        </w:rPr>
        <w:t>Long-term pathway to mental wellbeing</w:t>
      </w:r>
      <w:r w:rsidRPr="00C25139">
        <w:rPr>
          <w:rStyle w:val="FootnoteReference"/>
          <w:rFonts w:cs="Segoe UI"/>
        </w:rPr>
        <w:footnoteReference w:id="3"/>
      </w:r>
      <w:r w:rsidRPr="009463DF">
        <w:rPr>
          <w:i/>
          <w:iCs/>
        </w:rPr>
        <w:t xml:space="preserve"> </w:t>
      </w:r>
      <w:r w:rsidRPr="009463DF">
        <w:t xml:space="preserve">supports the shift in practice that </w:t>
      </w:r>
      <w:r w:rsidRPr="009463DF">
        <w:rPr>
          <w:i/>
          <w:iCs/>
        </w:rPr>
        <w:t>He Ara Oranga</w:t>
      </w:r>
      <w:r w:rsidRPr="009463DF">
        <w:t xml:space="preserve"> called for. </w:t>
      </w:r>
      <w:r w:rsidRPr="009463DF">
        <w:rPr>
          <w:i/>
          <w:iCs/>
        </w:rPr>
        <w:t xml:space="preserve">Kia Manawanui </w:t>
      </w:r>
      <w:r w:rsidRPr="009463DF">
        <w:t>is the</w:t>
      </w:r>
      <w:r w:rsidRPr="009463DF">
        <w:rPr>
          <w:i/>
          <w:iCs/>
        </w:rPr>
        <w:t xml:space="preserve"> </w:t>
      </w:r>
      <w:r w:rsidRPr="009463DF">
        <w:t xml:space="preserve">whole-of-government strategy and plan to transform Aotearoa’s approach to mental wellbeing. It aims to support people to stay well, while also ensuring access to help that works for tāngata whai ora, when and where they need it. These guidelines support the wellbeing approach in </w:t>
      </w:r>
      <w:r w:rsidRPr="009463DF">
        <w:rPr>
          <w:i/>
          <w:iCs/>
        </w:rPr>
        <w:t>Kia Manawanui</w:t>
      </w:r>
      <w:r w:rsidRPr="009463DF">
        <w:t xml:space="preserve">, which places greater emphasis on supporting people to proactively manage their recovery and wellbeing. </w:t>
      </w:r>
    </w:p>
    <w:p w14:paraId="2CB2A443" w14:textId="77777777" w:rsidR="003F6B0A" w:rsidRDefault="003F6B0A" w:rsidP="003F6B0A">
      <w:pPr>
        <w:rPr>
          <w:lang w:eastAsia="en-NZ"/>
        </w:rPr>
      </w:pPr>
      <w:r>
        <w:lastRenderedPageBreak/>
        <w:t xml:space="preserve">In addition, the updated </w:t>
      </w:r>
      <w:r w:rsidRPr="007F05EB">
        <w:t>Ngā Paerewa Health and Disability Services Standard</w:t>
      </w:r>
      <w:r>
        <w:t xml:space="preserve"> (NZS 8143:2021) (Ngā Paerewa) came into effect in February 2022. It </w:t>
      </w:r>
      <w:r w:rsidRPr="00CA2668">
        <w:rPr>
          <w:lang w:eastAsia="en-NZ"/>
        </w:rPr>
        <w:t>reflects</w:t>
      </w:r>
      <w:r>
        <w:rPr>
          <w:lang w:eastAsia="en-NZ"/>
        </w:rPr>
        <w:t xml:space="preserve"> </w:t>
      </w:r>
      <w:r w:rsidRPr="00CA2668">
        <w:rPr>
          <w:lang w:eastAsia="en-NZ"/>
        </w:rPr>
        <w:t>the</w:t>
      </w:r>
      <w:r>
        <w:rPr>
          <w:lang w:eastAsia="en-NZ"/>
        </w:rPr>
        <w:t xml:space="preserve"> </w:t>
      </w:r>
      <w:r w:rsidRPr="00CA2668">
        <w:rPr>
          <w:lang w:eastAsia="en-NZ"/>
        </w:rPr>
        <w:t>shift</w:t>
      </w:r>
      <w:r>
        <w:rPr>
          <w:lang w:eastAsia="en-NZ"/>
        </w:rPr>
        <w:t xml:space="preserve"> </w:t>
      </w:r>
      <w:r w:rsidRPr="00CA2668">
        <w:rPr>
          <w:lang w:eastAsia="en-NZ"/>
        </w:rPr>
        <w:t>towards</w:t>
      </w:r>
      <w:r>
        <w:rPr>
          <w:lang w:eastAsia="en-NZ"/>
        </w:rPr>
        <w:t xml:space="preserve"> </w:t>
      </w:r>
      <w:r w:rsidRPr="00CA2668">
        <w:rPr>
          <w:lang w:eastAsia="en-NZ"/>
        </w:rPr>
        <w:t>person-</w:t>
      </w:r>
      <w:r>
        <w:rPr>
          <w:lang w:eastAsia="en-NZ"/>
        </w:rPr>
        <w:t xml:space="preserve">centred </w:t>
      </w:r>
      <w:r w:rsidRPr="00CA2668">
        <w:rPr>
          <w:lang w:eastAsia="en-NZ"/>
        </w:rPr>
        <w:t>and</w:t>
      </w:r>
      <w:r>
        <w:rPr>
          <w:lang w:eastAsia="en-NZ"/>
        </w:rPr>
        <w:t xml:space="preserve"> </w:t>
      </w:r>
      <w:r w:rsidRPr="00CA2668">
        <w:rPr>
          <w:lang w:eastAsia="en-NZ"/>
        </w:rPr>
        <w:t>whānau-centred</w:t>
      </w:r>
      <w:r>
        <w:rPr>
          <w:lang w:eastAsia="en-NZ"/>
        </w:rPr>
        <w:t xml:space="preserve"> </w:t>
      </w:r>
      <w:r w:rsidRPr="00CA2668">
        <w:rPr>
          <w:lang w:eastAsia="en-NZ"/>
        </w:rPr>
        <w:t>health</w:t>
      </w:r>
      <w:r>
        <w:rPr>
          <w:lang w:eastAsia="en-NZ"/>
        </w:rPr>
        <w:t xml:space="preserve"> </w:t>
      </w:r>
      <w:r w:rsidRPr="00CA2668">
        <w:rPr>
          <w:lang w:eastAsia="en-NZ"/>
        </w:rPr>
        <w:t>and</w:t>
      </w:r>
      <w:r>
        <w:rPr>
          <w:lang w:eastAsia="en-NZ"/>
        </w:rPr>
        <w:t xml:space="preserve"> </w:t>
      </w:r>
      <w:r w:rsidRPr="00CA2668">
        <w:rPr>
          <w:lang w:eastAsia="en-NZ"/>
        </w:rPr>
        <w:t>disability</w:t>
      </w:r>
      <w:r>
        <w:rPr>
          <w:lang w:eastAsia="en-NZ"/>
        </w:rPr>
        <w:t xml:space="preserve"> </w:t>
      </w:r>
      <w:r w:rsidRPr="00CA2668">
        <w:rPr>
          <w:lang w:eastAsia="en-NZ"/>
        </w:rPr>
        <w:t>services</w:t>
      </w:r>
      <w:r>
        <w:rPr>
          <w:lang w:eastAsia="en-NZ"/>
        </w:rPr>
        <w:t>, in which p</w:t>
      </w:r>
      <w:r w:rsidRPr="00CA2668">
        <w:rPr>
          <w:lang w:eastAsia="en-NZ"/>
        </w:rPr>
        <w:t>eople</w:t>
      </w:r>
      <w:r>
        <w:rPr>
          <w:lang w:eastAsia="en-NZ"/>
        </w:rPr>
        <w:t xml:space="preserve"> </w:t>
      </w:r>
      <w:r w:rsidRPr="00CA2668">
        <w:rPr>
          <w:lang w:eastAsia="en-NZ"/>
        </w:rPr>
        <w:t>are</w:t>
      </w:r>
      <w:r>
        <w:rPr>
          <w:lang w:eastAsia="en-NZ"/>
        </w:rPr>
        <w:t xml:space="preserve"> </w:t>
      </w:r>
      <w:r w:rsidRPr="00CA2668">
        <w:rPr>
          <w:lang w:eastAsia="en-NZ"/>
        </w:rPr>
        <w:t>empowered</w:t>
      </w:r>
      <w:r>
        <w:rPr>
          <w:lang w:eastAsia="en-NZ"/>
        </w:rPr>
        <w:t xml:space="preserve"> </w:t>
      </w:r>
      <w:r w:rsidRPr="00CA2668">
        <w:rPr>
          <w:lang w:eastAsia="en-NZ"/>
        </w:rPr>
        <w:t>to</w:t>
      </w:r>
      <w:r>
        <w:rPr>
          <w:lang w:eastAsia="en-NZ"/>
        </w:rPr>
        <w:t xml:space="preserve"> </w:t>
      </w:r>
      <w:r w:rsidRPr="00CA2668">
        <w:rPr>
          <w:lang w:eastAsia="en-NZ"/>
        </w:rPr>
        <w:t>make</w:t>
      </w:r>
      <w:r>
        <w:rPr>
          <w:lang w:eastAsia="en-NZ"/>
        </w:rPr>
        <w:t xml:space="preserve"> </w:t>
      </w:r>
      <w:r w:rsidRPr="00CA2668">
        <w:rPr>
          <w:lang w:eastAsia="en-NZ"/>
        </w:rPr>
        <w:t>decisions</w:t>
      </w:r>
      <w:r>
        <w:rPr>
          <w:lang w:eastAsia="en-NZ"/>
        </w:rPr>
        <w:t xml:space="preserve"> </w:t>
      </w:r>
      <w:r w:rsidRPr="00CA2668">
        <w:rPr>
          <w:lang w:eastAsia="en-NZ"/>
        </w:rPr>
        <w:t>about</w:t>
      </w:r>
      <w:r>
        <w:rPr>
          <w:lang w:eastAsia="en-NZ"/>
        </w:rPr>
        <w:t xml:space="preserve"> </w:t>
      </w:r>
      <w:r w:rsidRPr="00CA2668">
        <w:rPr>
          <w:lang w:eastAsia="en-NZ"/>
        </w:rPr>
        <w:t>their</w:t>
      </w:r>
      <w:r>
        <w:rPr>
          <w:lang w:eastAsia="en-NZ"/>
        </w:rPr>
        <w:t xml:space="preserve"> </w:t>
      </w:r>
      <w:r w:rsidRPr="00CA2668">
        <w:rPr>
          <w:lang w:eastAsia="en-NZ"/>
        </w:rPr>
        <w:t>own</w:t>
      </w:r>
      <w:r>
        <w:rPr>
          <w:lang w:eastAsia="en-NZ"/>
        </w:rPr>
        <w:t xml:space="preserve"> </w:t>
      </w:r>
      <w:r w:rsidRPr="00CA2668">
        <w:rPr>
          <w:lang w:eastAsia="en-NZ"/>
        </w:rPr>
        <w:t>care</w:t>
      </w:r>
      <w:r>
        <w:rPr>
          <w:lang w:eastAsia="en-NZ"/>
        </w:rPr>
        <w:t xml:space="preserve"> </w:t>
      </w:r>
      <w:r w:rsidRPr="00CA2668">
        <w:rPr>
          <w:lang w:eastAsia="en-NZ"/>
        </w:rPr>
        <w:t>and</w:t>
      </w:r>
      <w:r>
        <w:rPr>
          <w:lang w:eastAsia="en-NZ"/>
        </w:rPr>
        <w:t xml:space="preserve"> </w:t>
      </w:r>
      <w:r w:rsidRPr="00CA2668">
        <w:rPr>
          <w:lang w:eastAsia="en-NZ"/>
        </w:rPr>
        <w:t>support</w:t>
      </w:r>
      <w:r>
        <w:rPr>
          <w:lang w:eastAsia="en-NZ"/>
        </w:rPr>
        <w:t xml:space="preserve"> and </w:t>
      </w:r>
      <w:r w:rsidRPr="00CA2668">
        <w:rPr>
          <w:lang w:eastAsia="en-NZ"/>
        </w:rPr>
        <w:t>to</w:t>
      </w:r>
      <w:r>
        <w:rPr>
          <w:lang w:eastAsia="en-NZ"/>
        </w:rPr>
        <w:t xml:space="preserve"> </w:t>
      </w:r>
      <w:r w:rsidRPr="00CA2668">
        <w:rPr>
          <w:lang w:eastAsia="en-NZ"/>
        </w:rPr>
        <w:t>achieve</w:t>
      </w:r>
      <w:r>
        <w:rPr>
          <w:lang w:eastAsia="en-NZ"/>
        </w:rPr>
        <w:t xml:space="preserve"> </w:t>
      </w:r>
      <w:r w:rsidRPr="00CA2668">
        <w:rPr>
          <w:lang w:eastAsia="en-NZ"/>
        </w:rPr>
        <w:t>their</w:t>
      </w:r>
      <w:r>
        <w:rPr>
          <w:lang w:eastAsia="en-NZ"/>
        </w:rPr>
        <w:t xml:space="preserve"> </w:t>
      </w:r>
      <w:r w:rsidRPr="00CA2668">
        <w:rPr>
          <w:lang w:eastAsia="en-NZ"/>
        </w:rPr>
        <w:t>goals.</w:t>
      </w:r>
      <w:r>
        <w:rPr>
          <w:lang w:eastAsia="en-NZ"/>
        </w:rPr>
        <w:t xml:space="preserve"> These guidelines align with, and will help mental health inpatient services meet, the requirements of Ngā Paerewa in relation to seclusion and restraint.</w:t>
      </w:r>
    </w:p>
    <w:p w14:paraId="5E105F99" w14:textId="395FD672" w:rsidR="003F6B0A" w:rsidRDefault="003F6B0A" w:rsidP="003F6B0A">
      <w:pPr>
        <w:rPr>
          <w:lang w:eastAsia="en-NZ"/>
        </w:rPr>
      </w:pPr>
      <w:r>
        <w:rPr>
          <w:lang w:eastAsia="en-NZ"/>
        </w:rPr>
        <w:t xml:space="preserve"> </w:t>
      </w:r>
    </w:p>
    <w:p w14:paraId="35305F67" w14:textId="5C5477CE" w:rsidR="003F6B0A" w:rsidRDefault="003F6B0A" w:rsidP="003F6B0A">
      <w:r>
        <w:rPr>
          <w:lang w:eastAsia="en-NZ"/>
        </w:rPr>
        <w:t xml:space="preserve">The Government has agreed to repeal and replace the Mental Health Act, as recommended by </w:t>
      </w:r>
      <w:r>
        <w:rPr>
          <w:i/>
          <w:iCs/>
          <w:lang w:eastAsia="en-NZ"/>
        </w:rPr>
        <w:t>He Ara Oranga</w:t>
      </w:r>
      <w:r>
        <w:rPr>
          <w:lang w:eastAsia="en-NZ"/>
        </w:rPr>
        <w:t xml:space="preserve">. This work is under way, and is guided by principles that include, among others, the need for new legislation to reflect a human rights approach, to recognise and respect Te Tiriti o Waitangi and to support people’s maximum independence and inclusion in society, as well as the safety of individuals, their whānau and the community. </w:t>
      </w:r>
      <w:r>
        <w:t xml:space="preserve">We will review these guidelines once the new legislation has been developed. </w:t>
      </w:r>
    </w:p>
    <w:p w14:paraId="2F84EF08" w14:textId="77777777" w:rsidR="003F6B0A" w:rsidRDefault="003F6B0A" w:rsidP="003F6B0A"/>
    <w:p w14:paraId="1BC8BEB3" w14:textId="19D2CD8A" w:rsidR="003F6B0A" w:rsidRDefault="003F6B0A" w:rsidP="003F6B0A">
      <w:r>
        <w:t xml:space="preserve">While longer-term work to repeal and replace the Mental Health Act progresses, we do not need to wait to improve practice under the current Act and to enhance support for tāngata whai ora currently receiving care. </w:t>
      </w:r>
      <w:r w:rsidRPr="008612F6">
        <w:t>Work is already underway to change practices and reduce the use of seclusion in mental health services. This is reflected, for example, in the Health Quality &amp; Safety Commission (HQSC)’s Zero Seclusion: Safety and Dignity for All</w:t>
      </w:r>
      <w:r w:rsidRPr="008612F6">
        <w:rPr>
          <w:i/>
          <w:iCs/>
        </w:rPr>
        <w:t xml:space="preserve"> </w:t>
      </w:r>
      <w:r w:rsidRPr="008612F6">
        <w:t xml:space="preserve">project and the Ministry’s recently updated </w:t>
      </w:r>
      <w:r w:rsidRPr="008612F6">
        <w:rPr>
          <w:i/>
          <w:iCs/>
        </w:rPr>
        <w:t xml:space="preserve">Guidelines to the Mental Health (Compulsory Assessment and Treatment) Act </w:t>
      </w:r>
      <w:r w:rsidRPr="00F63F19">
        <w:rPr>
          <w:i/>
          <w:iCs/>
        </w:rPr>
        <w:t xml:space="preserve">1992 </w:t>
      </w:r>
      <w:r w:rsidRPr="00F63F19">
        <w:t>(</w:t>
      </w:r>
      <w:r w:rsidRPr="00F63F19">
        <w:rPr>
          <w:i/>
          <w:iCs/>
        </w:rPr>
        <w:t>Guidelines to the Mental Health Act</w:t>
      </w:r>
      <w:r w:rsidRPr="00F63F19">
        <w:t>).</w:t>
      </w:r>
      <w:r w:rsidRPr="00F63F19">
        <w:rPr>
          <w:rStyle w:val="FootnoteReference"/>
          <w:rFonts w:cs="Segoe UI"/>
        </w:rPr>
        <w:footnoteReference w:id="4"/>
      </w:r>
      <w:r w:rsidRPr="004B0D3D">
        <w:rPr>
          <w:rStyle w:val="FootnoteReference"/>
          <w:rFonts w:cs="Segoe UI"/>
        </w:rPr>
        <w:t xml:space="preserve"> </w:t>
      </w:r>
      <w:r w:rsidRPr="008612F6">
        <w:t>These</w:t>
      </w:r>
      <w:r>
        <w:t xml:space="preserve"> guidelines </w:t>
      </w:r>
      <w:r w:rsidRPr="008612F6">
        <w:t xml:space="preserve">are another example </w:t>
      </w:r>
      <w:r>
        <w:t>of how we are doing this.</w:t>
      </w:r>
    </w:p>
    <w:p w14:paraId="4723F37C" w14:textId="77777777" w:rsidR="003F6B0A" w:rsidRDefault="003F6B0A" w:rsidP="003F6B0A"/>
    <w:p w14:paraId="7F48890E" w14:textId="77777777" w:rsidR="003F6B0A" w:rsidRPr="00181671" w:rsidRDefault="003F6B0A" w:rsidP="003F6B0A">
      <w:r w:rsidRPr="001C39CF" w:rsidDel="008A52DF">
        <w:t xml:space="preserve">These guidelines </w:t>
      </w:r>
      <w:r w:rsidDel="008A52DF">
        <w:t xml:space="preserve">represent an important step in the transition </w:t>
      </w:r>
      <w:r w:rsidRPr="005500B9" w:rsidDel="008A52DF">
        <w:t xml:space="preserve">towards a future that realises </w:t>
      </w:r>
      <w:r>
        <w:t>p</w:t>
      </w:r>
      <w:r w:rsidRPr="005500B9" w:rsidDel="008A52DF">
        <w:t xml:space="preserve">ae </w:t>
      </w:r>
      <w:r>
        <w:t>o</w:t>
      </w:r>
      <w:r w:rsidRPr="005500B9" w:rsidDel="008A52DF">
        <w:t>ra</w:t>
      </w:r>
      <w:r>
        <w:t>:</w:t>
      </w:r>
      <w:r>
        <w:rPr>
          <w:rStyle w:val="FootnoteReference"/>
          <w:rFonts w:cs="Segoe UI"/>
        </w:rPr>
        <w:footnoteReference w:id="5"/>
      </w:r>
      <w:r w:rsidRPr="005500B9" w:rsidDel="008A52DF">
        <w:t xml:space="preserve"> healthy futures and mental wellbeing for all.</w:t>
      </w:r>
      <w:r w:rsidDel="008A52DF">
        <w:t xml:space="preserve"> For people who receive compulsory mental health treatment, this means a system and services </w:t>
      </w:r>
      <w:r w:rsidRPr="001C39CF" w:rsidDel="008A52DF">
        <w:t xml:space="preserve">grounded in </w:t>
      </w:r>
      <w:r>
        <w:t>t</w:t>
      </w:r>
      <w:r w:rsidRPr="001C39CF" w:rsidDel="008A52DF">
        <w:t xml:space="preserve">e </w:t>
      </w:r>
      <w:r>
        <w:t>a</w:t>
      </w:r>
      <w:r w:rsidRPr="001C39CF" w:rsidDel="008A52DF">
        <w:t>o Māori and contemporary rights-based approaches</w:t>
      </w:r>
      <w:r w:rsidDel="008A52DF">
        <w:t xml:space="preserve">, in which seclusion and restraint are rarely or never used. </w:t>
      </w:r>
    </w:p>
    <w:p w14:paraId="1CBEC87D" w14:textId="77777777" w:rsidR="003F6B0A" w:rsidRPr="003F6B0A" w:rsidRDefault="003F6B0A" w:rsidP="003F6B0A">
      <w:pPr>
        <w:pStyle w:val="Heading2"/>
        <w:numPr>
          <w:ilvl w:val="0"/>
          <w:numId w:val="0"/>
        </w:numPr>
        <w:ind w:left="1134" w:hanging="1134"/>
      </w:pPr>
      <w:bookmarkStart w:id="6" w:name="_Toc131663787"/>
      <w:bookmarkStart w:id="7" w:name="_Toc132355303"/>
      <w:r w:rsidRPr="003F6B0A">
        <w:t>How to use these guidelines</w:t>
      </w:r>
      <w:bookmarkEnd w:id="6"/>
      <w:bookmarkEnd w:id="7"/>
      <w:r w:rsidRPr="003F6B0A">
        <w:t xml:space="preserve"> </w:t>
      </w:r>
    </w:p>
    <w:p w14:paraId="5E1E1430" w14:textId="4940B968" w:rsidR="003F6B0A" w:rsidRDefault="003F6B0A" w:rsidP="0013032B">
      <w:pPr>
        <w:rPr>
          <w:rFonts w:eastAsia="Calibri"/>
        </w:rPr>
      </w:pPr>
      <w:r w:rsidRPr="004E2E5A">
        <w:rPr>
          <w:rFonts w:eastAsia="Calibri"/>
        </w:rPr>
        <w:t xml:space="preserve">All </w:t>
      </w:r>
      <w:r>
        <w:rPr>
          <w:rFonts w:eastAsia="Calibri"/>
        </w:rPr>
        <w:t xml:space="preserve">inpatient </w:t>
      </w:r>
      <w:r w:rsidRPr="004E2E5A">
        <w:rPr>
          <w:rFonts w:eastAsia="Calibri"/>
        </w:rPr>
        <w:t xml:space="preserve">mental health services </w:t>
      </w:r>
      <w:r>
        <w:rPr>
          <w:rFonts w:eastAsia="Calibri"/>
        </w:rPr>
        <w:t xml:space="preserve">need </w:t>
      </w:r>
      <w:r w:rsidRPr="004E2E5A">
        <w:rPr>
          <w:rFonts w:eastAsia="Calibri"/>
        </w:rPr>
        <w:t>to have in place local policies, procedures and clinical practices that reduce and</w:t>
      </w:r>
      <w:r>
        <w:rPr>
          <w:rFonts w:eastAsia="Calibri"/>
        </w:rPr>
        <w:t>,</w:t>
      </w:r>
      <w:r w:rsidRPr="004E2E5A">
        <w:rPr>
          <w:rFonts w:eastAsia="Calibri"/>
        </w:rPr>
        <w:t xml:space="preserve"> where possible, eliminate the use of </w:t>
      </w:r>
      <w:r>
        <w:rPr>
          <w:rFonts w:eastAsia="Calibri"/>
        </w:rPr>
        <w:t xml:space="preserve">seclusion and </w:t>
      </w:r>
      <w:r w:rsidRPr="004E2E5A">
        <w:rPr>
          <w:rFonts w:eastAsia="Calibri"/>
        </w:rPr>
        <w:t>restraint</w:t>
      </w:r>
      <w:r>
        <w:rPr>
          <w:rFonts w:eastAsia="Calibri"/>
        </w:rPr>
        <w:t>. These need to</w:t>
      </w:r>
      <w:r w:rsidRPr="004E2E5A">
        <w:rPr>
          <w:rFonts w:eastAsia="Calibri"/>
        </w:rPr>
        <w:t xml:space="preserve"> consider the particular service setting, populations served</w:t>
      </w:r>
      <w:r>
        <w:rPr>
          <w:rFonts w:eastAsia="Calibri"/>
        </w:rPr>
        <w:t xml:space="preserve"> </w:t>
      </w:r>
      <w:r w:rsidRPr="004E2E5A">
        <w:rPr>
          <w:rFonts w:eastAsia="Calibri"/>
        </w:rPr>
        <w:t>and any other relevant local factors</w:t>
      </w:r>
      <w:r>
        <w:rPr>
          <w:rFonts w:eastAsia="Calibri"/>
        </w:rPr>
        <w:t>.</w:t>
      </w:r>
    </w:p>
    <w:p w14:paraId="5315B10F" w14:textId="77777777" w:rsidR="003F6B0A" w:rsidRPr="004E2E5A" w:rsidRDefault="003F6B0A" w:rsidP="0013032B">
      <w:pPr>
        <w:rPr>
          <w:rFonts w:eastAsia="Calibri"/>
        </w:rPr>
      </w:pPr>
    </w:p>
    <w:p w14:paraId="42F958CB" w14:textId="023663F8" w:rsidR="003F6B0A" w:rsidRDefault="003F6B0A" w:rsidP="0013032B">
      <w:pPr>
        <w:rPr>
          <w:rFonts w:eastAsia="Calibri"/>
        </w:rPr>
      </w:pPr>
      <w:r w:rsidRPr="004E2E5A">
        <w:rPr>
          <w:rFonts w:eastAsia="Calibri"/>
        </w:rPr>
        <w:t>Th</w:t>
      </w:r>
      <w:r>
        <w:rPr>
          <w:rFonts w:eastAsia="Calibri"/>
        </w:rPr>
        <w:t>ese</w:t>
      </w:r>
      <w:r w:rsidRPr="004E2E5A">
        <w:rPr>
          <w:rFonts w:eastAsia="Calibri"/>
        </w:rPr>
        <w:t xml:space="preserve"> guideline</w:t>
      </w:r>
      <w:r>
        <w:rPr>
          <w:rFonts w:eastAsia="Calibri"/>
        </w:rPr>
        <w:t>s</w:t>
      </w:r>
      <w:r w:rsidRPr="004E2E5A">
        <w:rPr>
          <w:rFonts w:eastAsia="Calibri"/>
        </w:rPr>
        <w:t xml:space="preserve"> set out </w:t>
      </w:r>
      <w:r>
        <w:rPr>
          <w:rFonts w:eastAsia="Calibri"/>
        </w:rPr>
        <w:t xml:space="preserve">our </w:t>
      </w:r>
      <w:r w:rsidRPr="004E2E5A">
        <w:rPr>
          <w:rFonts w:eastAsia="Calibri"/>
        </w:rPr>
        <w:t xml:space="preserve">expectations of what services </w:t>
      </w:r>
      <w:r>
        <w:rPr>
          <w:rFonts w:eastAsia="Calibri"/>
        </w:rPr>
        <w:t>should</w:t>
      </w:r>
      <w:r w:rsidRPr="004E2E5A">
        <w:rPr>
          <w:rFonts w:eastAsia="Calibri"/>
        </w:rPr>
        <w:t xml:space="preserve"> consider in establishing policies and procedures </w:t>
      </w:r>
      <w:r>
        <w:rPr>
          <w:rFonts w:eastAsia="Calibri"/>
        </w:rPr>
        <w:t>o</w:t>
      </w:r>
      <w:r w:rsidRPr="004E2E5A">
        <w:rPr>
          <w:rFonts w:eastAsia="Calibri"/>
        </w:rPr>
        <w:t xml:space="preserve">n the use of </w:t>
      </w:r>
      <w:r>
        <w:rPr>
          <w:rFonts w:eastAsia="Calibri"/>
        </w:rPr>
        <w:t>seclusion</w:t>
      </w:r>
      <w:r w:rsidRPr="004E2E5A">
        <w:rPr>
          <w:rFonts w:eastAsia="Calibri"/>
        </w:rPr>
        <w:t xml:space="preserve"> </w:t>
      </w:r>
      <w:r>
        <w:rPr>
          <w:rFonts w:eastAsia="Calibri"/>
        </w:rPr>
        <w:t xml:space="preserve">and </w:t>
      </w:r>
      <w:r w:rsidRPr="004E2E5A">
        <w:rPr>
          <w:rFonts w:eastAsia="Calibri"/>
        </w:rPr>
        <w:t>restraint</w:t>
      </w:r>
      <w:r>
        <w:rPr>
          <w:rFonts w:eastAsia="Calibri"/>
        </w:rPr>
        <w:t xml:space="preserve">, in line with </w:t>
      </w:r>
      <w:r w:rsidRPr="00145063">
        <w:rPr>
          <w:color w:val="000000"/>
        </w:rPr>
        <w:t>Ngā</w:t>
      </w:r>
      <w:r>
        <w:rPr>
          <w:color w:val="000000"/>
        </w:rPr>
        <w:t xml:space="preserve"> </w:t>
      </w:r>
      <w:r w:rsidRPr="00145063">
        <w:rPr>
          <w:color w:val="000000"/>
        </w:rPr>
        <w:t>Paerewa</w:t>
      </w:r>
      <w:r w:rsidRPr="004E2E5A">
        <w:rPr>
          <w:rFonts w:eastAsia="Calibri"/>
        </w:rPr>
        <w:t xml:space="preserve">. </w:t>
      </w:r>
    </w:p>
    <w:p w14:paraId="7BA5DA8F" w14:textId="77777777" w:rsidR="003F6B0A" w:rsidRDefault="003F6B0A" w:rsidP="0013032B">
      <w:pPr>
        <w:rPr>
          <w:rFonts w:eastAsia="Calibri"/>
        </w:rPr>
      </w:pPr>
    </w:p>
    <w:p w14:paraId="72D0380A" w14:textId="24BEAC5F" w:rsidR="003F6B0A" w:rsidRDefault="003F6B0A" w:rsidP="0013032B">
      <w:pPr>
        <w:rPr>
          <w:rFonts w:eastAsia="Calibri"/>
        </w:rPr>
      </w:pPr>
      <w:r>
        <w:rPr>
          <w:rFonts w:eastAsia="Calibri"/>
        </w:rPr>
        <w:t xml:space="preserve">We consider Māori and Pacific people to be priority populations for the purposes of these guidelines, due to the inequities we know these groups experience. While data on outcomes for people with disabilities in mental health services is limited, we note </w:t>
      </w:r>
      <w:r>
        <w:rPr>
          <w:rFonts w:eastAsia="Calibri"/>
        </w:rPr>
        <w:lastRenderedPageBreak/>
        <w:t xml:space="preserve">that service providers should also give particular consideration to ensuring that services are accessible to this group of tāngata whaiora. </w:t>
      </w:r>
    </w:p>
    <w:p w14:paraId="41E76BD6" w14:textId="77777777" w:rsidR="003F6B0A" w:rsidRDefault="003F6B0A" w:rsidP="0013032B">
      <w:pPr>
        <w:rPr>
          <w:rFonts w:eastAsia="Calibri"/>
        </w:rPr>
      </w:pPr>
    </w:p>
    <w:p w14:paraId="3902BEBC" w14:textId="6620DAD7" w:rsidR="003F6B0A" w:rsidRDefault="003F6B0A" w:rsidP="0013032B">
      <w:pPr>
        <w:rPr>
          <w:rFonts w:eastAsia="Calibri"/>
        </w:rPr>
      </w:pPr>
      <w:r>
        <w:rPr>
          <w:rFonts w:eastAsia="Calibri"/>
        </w:rPr>
        <w:t xml:space="preserve">Implementing these guidelines within mental health services is primarily the responsibility of organisation and service leaders, including executive leaders, mental health service and clinical leaders, and Directors of Area Mental Health Services (DAMHSs). However, everyone who has a role in providing treatment, care or support for people who are subject to the Mental Health Act should do so in alignment with these guidelines.  </w:t>
      </w:r>
    </w:p>
    <w:p w14:paraId="15784BBD" w14:textId="77777777" w:rsidR="003F6B0A" w:rsidRPr="004E2E5A" w:rsidRDefault="003F6B0A" w:rsidP="0013032B">
      <w:pPr>
        <w:rPr>
          <w:rFonts w:eastAsia="Calibri"/>
        </w:rPr>
      </w:pPr>
    </w:p>
    <w:p w14:paraId="395C09BD" w14:textId="42FE5F23" w:rsidR="003F6B0A" w:rsidRDefault="003F6B0A" w:rsidP="0013032B">
      <w:pPr>
        <w:rPr>
          <w:rFonts w:eastAsia="Calibri"/>
        </w:rPr>
      </w:pPr>
      <w:r w:rsidRPr="004E2E5A">
        <w:rPr>
          <w:rFonts w:eastAsia="Calibri"/>
        </w:rPr>
        <w:t xml:space="preserve">Services should ensure an adequate level and mix of staffing to implement these guidelines. This includes </w:t>
      </w:r>
      <w:r>
        <w:rPr>
          <w:rFonts w:eastAsia="Calibri"/>
        </w:rPr>
        <w:t xml:space="preserve">kaimahi </w:t>
      </w:r>
      <w:r w:rsidRPr="004E2E5A">
        <w:rPr>
          <w:rFonts w:eastAsia="Calibri"/>
        </w:rPr>
        <w:t xml:space="preserve">Māori </w:t>
      </w:r>
      <w:r>
        <w:rPr>
          <w:rFonts w:eastAsia="Calibri"/>
        </w:rPr>
        <w:t xml:space="preserve">and staff with a peer or lived experience role. </w:t>
      </w:r>
    </w:p>
    <w:p w14:paraId="33949483" w14:textId="77777777" w:rsidR="003F6B0A" w:rsidRPr="004E2E5A" w:rsidRDefault="003F6B0A" w:rsidP="0013032B">
      <w:pPr>
        <w:rPr>
          <w:rFonts w:eastAsia="Calibri"/>
        </w:rPr>
      </w:pPr>
    </w:p>
    <w:p w14:paraId="1AEE7087" w14:textId="77777777" w:rsidR="003F6B0A" w:rsidRPr="00451E63" w:rsidRDefault="003F6B0A" w:rsidP="0013032B">
      <w:pPr>
        <w:rPr>
          <w:rFonts w:eastAsia="Calibri"/>
        </w:rPr>
      </w:pPr>
      <w:r w:rsidRPr="00451E63">
        <w:rPr>
          <w:rFonts w:eastAsia="Calibri"/>
        </w:rPr>
        <w:t xml:space="preserve">Services must also ensure that all staff are appropriately </w:t>
      </w:r>
      <w:r>
        <w:rPr>
          <w:rFonts w:eastAsia="Calibri"/>
        </w:rPr>
        <w:t xml:space="preserve">skilled and </w:t>
      </w:r>
      <w:r w:rsidRPr="00451E63">
        <w:rPr>
          <w:rFonts w:eastAsia="Calibri"/>
        </w:rPr>
        <w:t>trained in</w:t>
      </w:r>
      <w:r>
        <w:rPr>
          <w:rFonts w:eastAsia="Calibri"/>
        </w:rPr>
        <w:t xml:space="preserve"> the approaches outlined in these guidelines, including</w:t>
      </w:r>
      <w:r w:rsidRPr="00451E63">
        <w:rPr>
          <w:rFonts w:eastAsia="Calibri"/>
        </w:rPr>
        <w:t>:</w:t>
      </w:r>
    </w:p>
    <w:p w14:paraId="485FAEDA" w14:textId="77777777" w:rsidR="003F6B0A" w:rsidRPr="004E2E5A" w:rsidRDefault="003F6B0A" w:rsidP="003F6B0A">
      <w:pPr>
        <w:pStyle w:val="Bullet"/>
        <w:rPr>
          <w:rFonts w:eastAsia="Calibri"/>
        </w:rPr>
      </w:pPr>
      <w:r>
        <w:rPr>
          <w:rFonts w:eastAsia="Calibri"/>
        </w:rPr>
        <w:t>w</w:t>
      </w:r>
      <w:r w:rsidRPr="004E2E5A">
        <w:rPr>
          <w:rFonts w:eastAsia="Calibri"/>
        </w:rPr>
        <w:t xml:space="preserve">orking with tāngata whaiora Māori </w:t>
      </w:r>
    </w:p>
    <w:p w14:paraId="19C3C9CC" w14:textId="77777777" w:rsidR="003F6B0A" w:rsidRPr="004E2E5A" w:rsidRDefault="003F6B0A" w:rsidP="003F6B0A">
      <w:pPr>
        <w:pStyle w:val="Bullet"/>
        <w:rPr>
          <w:rFonts w:eastAsia="Calibri"/>
        </w:rPr>
      </w:pPr>
      <w:r>
        <w:rPr>
          <w:rFonts w:eastAsia="Calibri"/>
        </w:rPr>
        <w:t>c</w:t>
      </w:r>
      <w:r w:rsidRPr="004E2E5A">
        <w:rPr>
          <w:rFonts w:eastAsia="Calibri"/>
        </w:rPr>
        <w:t>ultural safety</w:t>
      </w:r>
      <w:r>
        <w:rPr>
          <w:rFonts w:eastAsia="Calibri"/>
        </w:rPr>
        <w:t xml:space="preserve"> and understanding racism and bias</w:t>
      </w:r>
    </w:p>
    <w:p w14:paraId="07216078" w14:textId="77777777" w:rsidR="003F6B0A" w:rsidRPr="004E2E5A" w:rsidRDefault="003F6B0A" w:rsidP="003F6B0A">
      <w:pPr>
        <w:pStyle w:val="Bullet"/>
        <w:rPr>
          <w:rFonts w:eastAsia="Calibri"/>
        </w:rPr>
      </w:pPr>
      <w:r>
        <w:rPr>
          <w:rFonts w:eastAsia="Calibri"/>
        </w:rPr>
        <w:t>a</w:t>
      </w:r>
      <w:r w:rsidRPr="004E2E5A">
        <w:rPr>
          <w:rFonts w:eastAsia="Calibri"/>
        </w:rPr>
        <w:t xml:space="preserve"> human rights approach</w:t>
      </w:r>
      <w:r>
        <w:rPr>
          <w:rFonts w:eastAsia="Calibri"/>
        </w:rPr>
        <w:t>, including Te Pou’s Mental Health Act e-learning modules</w:t>
      </w:r>
      <w:r>
        <w:rPr>
          <w:rStyle w:val="FootnoteReference"/>
          <w:rFonts w:eastAsia="Calibri" w:cs="Segoe UI"/>
          <w:szCs w:val="21"/>
        </w:rPr>
        <w:footnoteReference w:id="6"/>
      </w:r>
      <w:r>
        <w:rPr>
          <w:rFonts w:eastAsia="Calibri"/>
        </w:rPr>
        <w:t xml:space="preserve"> </w:t>
      </w:r>
    </w:p>
    <w:p w14:paraId="267E8867" w14:textId="77777777" w:rsidR="003F6B0A" w:rsidRPr="004E2E5A" w:rsidRDefault="003F6B0A" w:rsidP="003F6B0A">
      <w:pPr>
        <w:pStyle w:val="Bullet"/>
        <w:rPr>
          <w:rFonts w:eastAsiaTheme="minorEastAsia"/>
        </w:rPr>
      </w:pPr>
      <w:r>
        <w:rPr>
          <w:rFonts w:eastAsiaTheme="minorEastAsia"/>
        </w:rPr>
        <w:t>t</w:t>
      </w:r>
      <w:r w:rsidRPr="00CA2ABD">
        <w:rPr>
          <w:rFonts w:eastAsiaTheme="minorEastAsia"/>
        </w:rPr>
        <w:t>rauma-informed approaches</w:t>
      </w:r>
    </w:p>
    <w:p w14:paraId="5F43A2B8" w14:textId="77777777" w:rsidR="003F6B0A" w:rsidRDefault="003F6B0A" w:rsidP="003F6B0A">
      <w:pPr>
        <w:pStyle w:val="Bullet"/>
        <w:rPr>
          <w:rFonts w:eastAsia="Calibri"/>
        </w:rPr>
      </w:pPr>
      <w:r>
        <w:rPr>
          <w:rFonts w:eastAsia="Calibri"/>
        </w:rPr>
        <w:t>best-practice r</w:t>
      </w:r>
      <w:r w:rsidRPr="004E2E5A">
        <w:rPr>
          <w:rFonts w:eastAsia="Calibri"/>
        </w:rPr>
        <w:t>estraint minimisation (</w:t>
      </w:r>
      <w:r>
        <w:rPr>
          <w:rFonts w:eastAsia="Calibri"/>
        </w:rPr>
        <w:t xml:space="preserve">through training </w:t>
      </w:r>
      <w:r w:rsidRPr="004E2E5A">
        <w:rPr>
          <w:rFonts w:eastAsia="Calibri"/>
        </w:rPr>
        <w:t>such as the Safe Practice Effective Communication or equivalent training programme)</w:t>
      </w:r>
    </w:p>
    <w:p w14:paraId="40C65BBD" w14:textId="77777777" w:rsidR="003F6B0A" w:rsidRDefault="003F6B0A" w:rsidP="003F6B0A">
      <w:pPr>
        <w:pStyle w:val="Bullet"/>
        <w:rPr>
          <w:rFonts w:eastAsia="Calibri"/>
        </w:rPr>
      </w:pPr>
      <w:r>
        <w:rPr>
          <w:rFonts w:eastAsia="Calibri"/>
        </w:rPr>
        <w:t>sensory modulation</w:t>
      </w:r>
      <w:r w:rsidRPr="004E2E5A">
        <w:rPr>
          <w:rFonts w:eastAsia="Calibri"/>
        </w:rPr>
        <w:t>.</w:t>
      </w:r>
    </w:p>
    <w:p w14:paraId="6371A3A4" w14:textId="77777777" w:rsidR="003F6B0A" w:rsidRDefault="003F6B0A" w:rsidP="003F6B0A">
      <w:pPr>
        <w:spacing w:line="257" w:lineRule="auto"/>
        <w:rPr>
          <w:rFonts w:eastAsia="Calibri" w:cs="Segoe UI"/>
        </w:rPr>
      </w:pPr>
    </w:p>
    <w:p w14:paraId="14BA34E9" w14:textId="6612346A" w:rsidR="003F6B0A" w:rsidRPr="0084166E" w:rsidRDefault="003F6B0A" w:rsidP="0013032B">
      <w:pPr>
        <w:rPr>
          <w:rFonts w:eastAsia="Calibri"/>
        </w:rPr>
      </w:pPr>
      <w:r>
        <w:rPr>
          <w:rFonts w:eastAsia="Calibri"/>
        </w:rPr>
        <w:t xml:space="preserve">To allow time for mental health services to make necessary changes to their policies and procedures, these guidelines will come into effect from 1 July 2023. However, services should make every effort to give effect to these guidelines as soon as possible. </w:t>
      </w:r>
    </w:p>
    <w:p w14:paraId="468C7A8D" w14:textId="77777777" w:rsidR="003F6B0A" w:rsidRPr="003F6B0A" w:rsidRDefault="003F6B0A" w:rsidP="003F6B0A">
      <w:pPr>
        <w:pStyle w:val="Heading2"/>
        <w:numPr>
          <w:ilvl w:val="0"/>
          <w:numId w:val="0"/>
        </w:numPr>
        <w:ind w:left="1134" w:hanging="1134"/>
      </w:pPr>
      <w:bookmarkStart w:id="8" w:name="_Toc103152092"/>
      <w:bookmarkStart w:id="9" w:name="_Toc105770613"/>
      <w:bookmarkStart w:id="10" w:name="_Toc131663788"/>
      <w:bookmarkStart w:id="11" w:name="_Toc132355304"/>
      <w:r w:rsidRPr="003F6B0A">
        <w:t>Some notes on terminology</w:t>
      </w:r>
      <w:bookmarkEnd w:id="8"/>
      <w:bookmarkEnd w:id="9"/>
      <w:bookmarkEnd w:id="10"/>
      <w:bookmarkEnd w:id="11"/>
    </w:p>
    <w:p w14:paraId="16465E00" w14:textId="77777777" w:rsidR="003F6B0A" w:rsidRPr="00B6194E" w:rsidRDefault="003F6B0A" w:rsidP="003F6B0A">
      <w:pPr>
        <w:pStyle w:val="Heading3"/>
        <w:numPr>
          <w:ilvl w:val="0"/>
          <w:numId w:val="0"/>
        </w:numPr>
        <w:ind w:left="1134" w:hanging="1134"/>
      </w:pPr>
      <w:r w:rsidRPr="00B6194E">
        <w:t xml:space="preserve">Use of the term ‘patient’ </w:t>
      </w:r>
    </w:p>
    <w:p w14:paraId="2490D342" w14:textId="199FC251" w:rsidR="003F6B0A" w:rsidRDefault="003F6B0A" w:rsidP="0013032B">
      <w:r w:rsidRPr="0029285F">
        <w:t>Manatū Hauora</w:t>
      </w:r>
      <w:r>
        <w:t xml:space="preserve"> </w:t>
      </w:r>
      <w:r w:rsidRPr="000D7DA6">
        <w:t xml:space="preserve">acknowledges that many people </w:t>
      </w:r>
      <w:r>
        <w:t xml:space="preserve">in </w:t>
      </w:r>
      <w:r w:rsidRPr="000D7DA6">
        <w:t xml:space="preserve">Aotearoa New Zealand disagree with </w:t>
      </w:r>
      <w:r>
        <w:t xml:space="preserve">use of </w:t>
      </w:r>
      <w:r w:rsidRPr="000D7DA6">
        <w:t>the term</w:t>
      </w:r>
      <w:r>
        <w:t>s</w:t>
      </w:r>
      <w:r w:rsidRPr="000D7DA6">
        <w:t xml:space="preserve"> ‘patient’</w:t>
      </w:r>
      <w:r>
        <w:t xml:space="preserve"> and ‘proposed patient’</w:t>
      </w:r>
      <w:r w:rsidRPr="00C243CD">
        <w:t xml:space="preserve">. </w:t>
      </w:r>
      <w:r w:rsidRPr="007218FE">
        <w:t>This view is understandable</w:t>
      </w:r>
      <w:r>
        <w:t>:</w:t>
      </w:r>
      <w:r w:rsidRPr="007218FE">
        <w:t xml:space="preserve"> such terms can reflect a stigmatisation of people who experience mental </w:t>
      </w:r>
      <w:r>
        <w:t xml:space="preserve">distress. Such people </w:t>
      </w:r>
      <w:r w:rsidRPr="007218FE">
        <w:t xml:space="preserve">are at risk of being managed through medical treatment, rather than </w:t>
      </w:r>
      <w:r>
        <w:t xml:space="preserve">being treated </w:t>
      </w:r>
      <w:r w:rsidRPr="007218FE">
        <w:t xml:space="preserve">as individuals with choices and autonomy. </w:t>
      </w:r>
    </w:p>
    <w:p w14:paraId="20EE5AF2" w14:textId="77777777" w:rsidR="003F6B0A" w:rsidRDefault="003F6B0A" w:rsidP="0013032B"/>
    <w:p w14:paraId="630559B9" w14:textId="77777777" w:rsidR="003F6B0A" w:rsidRDefault="003F6B0A" w:rsidP="0013032B">
      <w:r>
        <w:t>T</w:t>
      </w:r>
      <w:r w:rsidRPr="000D7DA6">
        <w:t>hese guidelines use the word ‘patient’ when referring to a specific part of the Mental Health Act in which ‘patient’ and ‘proposed patient’ have a specific legal meaning</w:t>
      </w:r>
      <w:r>
        <w:t xml:space="preserve"> and confer certain rights and responsibilities under the Act</w:t>
      </w:r>
      <w:r w:rsidRPr="000D7DA6">
        <w:t xml:space="preserve">. </w:t>
      </w:r>
      <w:r>
        <w:t>These guidelines</w:t>
      </w:r>
      <w:r w:rsidRPr="000D7DA6">
        <w:t xml:space="preserve"> </w:t>
      </w:r>
      <w:r>
        <w:t xml:space="preserve">also </w:t>
      </w:r>
      <w:r w:rsidRPr="000D7DA6">
        <w:t>use the terms ‘person with lived experience’</w:t>
      </w:r>
      <w:r>
        <w:t xml:space="preserve"> (which </w:t>
      </w:r>
      <w:r w:rsidRPr="00CA2668">
        <w:rPr>
          <w:lang w:eastAsia="en-NZ"/>
        </w:rPr>
        <w:t>Ngā</w:t>
      </w:r>
      <w:r>
        <w:rPr>
          <w:lang w:eastAsia="en-NZ"/>
        </w:rPr>
        <w:t xml:space="preserve"> </w:t>
      </w:r>
      <w:r w:rsidRPr="00CA2668">
        <w:rPr>
          <w:lang w:eastAsia="en-NZ"/>
        </w:rPr>
        <w:t>Paerewa</w:t>
      </w:r>
      <w:r>
        <w:rPr>
          <w:lang w:eastAsia="en-NZ"/>
        </w:rPr>
        <w:t xml:space="preserve"> uses)</w:t>
      </w:r>
      <w:r>
        <w:t xml:space="preserve"> and</w:t>
      </w:r>
      <w:r w:rsidRPr="000D7DA6">
        <w:t xml:space="preserve"> ‘</w:t>
      </w:r>
      <w:r w:rsidRPr="00C243CD">
        <w:t>t</w:t>
      </w:r>
      <w:r>
        <w:t>ā</w:t>
      </w:r>
      <w:r w:rsidRPr="00C243CD">
        <w:t>ngata whaiora’</w:t>
      </w:r>
      <w:r>
        <w:t xml:space="preserve"> to refer to people who experience mental distress.</w:t>
      </w:r>
    </w:p>
    <w:p w14:paraId="5F500ABC" w14:textId="77777777" w:rsidR="003F6B0A" w:rsidRPr="00FF29F9" w:rsidRDefault="003F6B0A" w:rsidP="003F6B0A">
      <w:pPr>
        <w:pStyle w:val="Heading3"/>
        <w:numPr>
          <w:ilvl w:val="0"/>
          <w:numId w:val="0"/>
        </w:numPr>
        <w:ind w:left="1134" w:hanging="1134"/>
      </w:pPr>
      <w:r>
        <w:lastRenderedPageBreak/>
        <w:t>Use of</w:t>
      </w:r>
      <w:r w:rsidRPr="00FF29F9">
        <w:t xml:space="preserve"> the term </w:t>
      </w:r>
      <w:r>
        <w:t>‘</w:t>
      </w:r>
      <w:r w:rsidRPr="00FF29F9">
        <w:t>seclusion</w:t>
      </w:r>
      <w:r>
        <w:t>’</w:t>
      </w:r>
    </w:p>
    <w:p w14:paraId="1CB8CA28" w14:textId="77777777" w:rsidR="003F6B0A" w:rsidRDefault="003F6B0A" w:rsidP="0013032B">
      <w:pPr>
        <w:rPr>
          <w:b/>
          <w:color w:val="4472C4"/>
          <w:sz w:val="28"/>
        </w:rPr>
      </w:pPr>
      <w:r w:rsidRPr="0029285F">
        <w:t>Manatū Hauora</w:t>
      </w:r>
      <w:r>
        <w:t xml:space="preserve"> </w:t>
      </w:r>
      <w:r w:rsidRPr="000D7DA6">
        <w:t xml:space="preserve">acknowledges that </w:t>
      </w:r>
      <w:r>
        <w:t xml:space="preserve">some people believe that ‘solitary confinement’ is a more appropriate term to use than ‘seclusion’. These guidelines are issued under the Mental Health Act, which uses the term seclusion. In addition, </w:t>
      </w:r>
      <w:r w:rsidRPr="00145063">
        <w:rPr>
          <w:color w:val="000000"/>
        </w:rPr>
        <w:t>Ngā</w:t>
      </w:r>
      <w:r>
        <w:rPr>
          <w:color w:val="000000"/>
        </w:rPr>
        <w:t xml:space="preserve"> </w:t>
      </w:r>
      <w:r w:rsidRPr="00145063">
        <w:rPr>
          <w:color w:val="000000"/>
        </w:rPr>
        <w:t>Paerewa</w:t>
      </w:r>
      <w:r>
        <w:rPr>
          <w:color w:val="000000"/>
        </w:rPr>
        <w:t xml:space="preserve"> provides a definition of seclusion and sets criteria for the use of seclusion in the health and disability sector. Therefore, these guidelines also use the term ‘seclusion’ for the sake of consistency. </w:t>
      </w:r>
      <w:r>
        <w:rPr>
          <w:b/>
          <w:color w:val="4472C4"/>
          <w:sz w:val="28"/>
        </w:rPr>
        <w:t xml:space="preserve"> </w:t>
      </w:r>
    </w:p>
    <w:p w14:paraId="78301DAB" w14:textId="77777777" w:rsidR="003F6B0A" w:rsidRPr="004717AE" w:rsidRDefault="003F6B0A" w:rsidP="003F6B0A">
      <w:pPr>
        <w:pStyle w:val="Heading3"/>
        <w:numPr>
          <w:ilvl w:val="0"/>
          <w:numId w:val="0"/>
        </w:numPr>
        <w:ind w:left="1134" w:hanging="1134"/>
      </w:pPr>
      <w:r w:rsidRPr="004717AE">
        <w:t>Use of the term ‘lived experience’</w:t>
      </w:r>
    </w:p>
    <w:p w14:paraId="68EF31B7" w14:textId="77777777" w:rsidR="003F6B0A" w:rsidRPr="00166825" w:rsidRDefault="003F6B0A" w:rsidP="0013032B">
      <w:r w:rsidRPr="0029285F">
        <w:t>Manatū Hauora</w:t>
      </w:r>
      <w:r>
        <w:t xml:space="preserve"> </w:t>
      </w:r>
      <w:r w:rsidRPr="000D7DA6">
        <w:t xml:space="preserve">acknowledges </w:t>
      </w:r>
      <w:r w:rsidRPr="00166825">
        <w:t xml:space="preserve">that there are different preferences for referring to people’s experience of mental distress, including ‘mental health condition’ and ‘crisis’. For the purpose of these guidelines, </w:t>
      </w:r>
      <w:r>
        <w:t xml:space="preserve">and after consulting with individuals with lived experience, </w:t>
      </w:r>
      <w:r w:rsidRPr="00166825">
        <w:t xml:space="preserve">we have </w:t>
      </w:r>
      <w:r>
        <w:t xml:space="preserve">decided to </w:t>
      </w:r>
      <w:r w:rsidRPr="00166825">
        <w:t xml:space="preserve">use </w:t>
      </w:r>
      <w:r>
        <w:t xml:space="preserve">the terms </w:t>
      </w:r>
      <w:r w:rsidRPr="00166825">
        <w:t xml:space="preserve">‘mental distress’ or ‘period of acute mental distress’. </w:t>
      </w:r>
    </w:p>
    <w:p w14:paraId="3B53186A" w14:textId="77777777" w:rsidR="003F6B0A" w:rsidRPr="00FF29F9" w:rsidRDefault="003F6B0A" w:rsidP="003F6B0A">
      <w:pPr>
        <w:spacing w:line="276" w:lineRule="auto"/>
        <w:rPr>
          <w:rFonts w:eastAsiaTheme="majorEastAsia" w:cstheme="majorBidi"/>
          <w:b/>
          <w:color w:val="4472C4"/>
          <w:sz w:val="28"/>
          <w:szCs w:val="32"/>
        </w:rPr>
      </w:pPr>
      <w:r w:rsidRPr="00FF29F9">
        <w:rPr>
          <w:b/>
          <w:color w:val="4472C4"/>
          <w:sz w:val="28"/>
        </w:rPr>
        <w:br w:type="page"/>
      </w:r>
    </w:p>
    <w:p w14:paraId="549A9054" w14:textId="50C2D6BD" w:rsidR="001A719A" w:rsidRPr="003F6B0A" w:rsidRDefault="001A719A" w:rsidP="00110CAA">
      <w:pPr>
        <w:pStyle w:val="Heading1-nonumbering"/>
        <w:rPr>
          <w:rFonts w:eastAsiaTheme="majorEastAsia"/>
        </w:rPr>
      </w:pPr>
      <w:bookmarkStart w:id="12" w:name="_Toc5897707"/>
      <w:bookmarkStart w:id="13" w:name="_Toc132355305"/>
      <w:bookmarkStart w:id="14" w:name="_Toc68182075"/>
      <w:bookmarkStart w:id="15" w:name="_Toc94156143"/>
      <w:bookmarkStart w:id="16" w:name="_Toc10554001"/>
      <w:bookmarkEnd w:id="12"/>
      <w:r w:rsidRPr="003F6B0A">
        <w:lastRenderedPageBreak/>
        <w:t>Part One: Purpose and</w:t>
      </w:r>
      <w:r w:rsidR="003F6B0A">
        <w:t xml:space="preserve"> </w:t>
      </w:r>
      <w:r w:rsidRPr="003F6B0A">
        <w:t>context of the guidelines</w:t>
      </w:r>
      <w:bookmarkEnd w:id="13"/>
    </w:p>
    <w:p w14:paraId="62306A2C" w14:textId="53B0800B" w:rsidR="00CF2956" w:rsidRPr="00A45DF0" w:rsidRDefault="00CF2956" w:rsidP="002C663E">
      <w:pPr>
        <w:pStyle w:val="Heading1"/>
        <w:pageBreakBefore w:val="0"/>
        <w:numPr>
          <w:ilvl w:val="0"/>
          <w:numId w:val="8"/>
        </w:numPr>
        <w:rPr>
          <w:rFonts w:eastAsiaTheme="majorEastAsia"/>
          <w:sz w:val="64"/>
          <w:szCs w:val="64"/>
        </w:rPr>
      </w:pPr>
      <w:bookmarkStart w:id="17" w:name="_Toc132355306"/>
      <w:r w:rsidRPr="00A45DF0">
        <w:rPr>
          <w:rFonts w:eastAsiaTheme="majorEastAsia"/>
          <w:sz w:val="64"/>
          <w:szCs w:val="64"/>
        </w:rPr>
        <w:t>Purpose</w:t>
      </w:r>
      <w:bookmarkEnd w:id="17"/>
    </w:p>
    <w:p w14:paraId="39AC78C6" w14:textId="352D0588" w:rsidR="003F6B0A" w:rsidRPr="00CA2668" w:rsidRDefault="00A45DF0" w:rsidP="003F6B0A">
      <w:r w:rsidRPr="00131A76">
        <w:rPr>
          <w:rFonts w:cs="Segoe UI"/>
          <w:noProof/>
        </w:rPr>
        <mc:AlternateContent>
          <mc:Choice Requires="wps">
            <w:drawing>
              <wp:anchor distT="45720" distB="45720" distL="114300" distR="114300" simplePos="0" relativeHeight="251658240" behindDoc="0" locked="0" layoutInCell="1" hidden="0" allowOverlap="1" wp14:anchorId="65A1036C" wp14:editId="1F640BF5">
                <wp:simplePos x="0" y="0"/>
                <wp:positionH relativeFrom="column">
                  <wp:posOffset>3256915</wp:posOffset>
                </wp:positionH>
                <wp:positionV relativeFrom="paragraph">
                  <wp:posOffset>28575</wp:posOffset>
                </wp:positionV>
                <wp:extent cx="1873885" cy="1541780"/>
                <wp:effectExtent l="0" t="0" r="12065" b="2032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73885" cy="1541780"/>
                        </a:xfrm>
                        <a:prstGeom prst="rect">
                          <a:avLst/>
                        </a:prstGeom>
                        <a:solidFill>
                          <a:srgbClr val="FFFFFF"/>
                        </a:solidFill>
                        <a:ln w="12700" cap="flat" cmpd="sng">
                          <a:solidFill>
                            <a:schemeClr val="accent1"/>
                          </a:solidFill>
                          <a:prstDash val="solid"/>
                          <a:miter lim="800000"/>
                          <a:headEnd type="none" w="sm" len="sm"/>
                          <a:tailEnd type="none" w="sm" len="sm"/>
                        </a:ln>
                      </wps:spPr>
                      <wps:txbx>
                        <w:txbxContent>
                          <w:p w14:paraId="616FFDF2" w14:textId="77777777" w:rsidR="00A26CD1" w:rsidRPr="002B544F" w:rsidRDefault="00A26CD1" w:rsidP="003F6B0A">
                            <w:pPr>
                              <w:textDirection w:val="btLr"/>
                              <w:rPr>
                                <w:rFonts w:cs="Segoe UI"/>
                              </w:rPr>
                            </w:pPr>
                            <w:r w:rsidRPr="002B544F">
                              <w:rPr>
                                <w:rFonts w:eastAsia="Quattrocento Sans" w:cs="Segoe UI"/>
                                <w:color w:val="000000"/>
                              </w:rPr>
                              <w:t xml:space="preserve">‘Services shall aim for a restraint and seclusion free environment, in which people’s dignity and mana are maintained’ </w:t>
                            </w:r>
                            <w:r w:rsidRPr="002B544F">
                              <w:rPr>
                                <w:rFonts w:cs="Segoe UI"/>
                                <w:color w:val="000000"/>
                                <w:sz w:val="29"/>
                              </w:rPr>
                              <w:br/>
                            </w:r>
                            <w:r w:rsidRPr="000F564C">
                              <w:rPr>
                                <w:rFonts w:cs="Segoe UI"/>
                                <w:iCs/>
                                <w:color w:val="4472C4"/>
                              </w:rPr>
                              <w:t xml:space="preserve">Ngā Paerewa, </w:t>
                            </w:r>
                            <w:r>
                              <w:rPr>
                                <w:rFonts w:cs="Segoe UI"/>
                                <w:iCs/>
                                <w:color w:val="4472C4"/>
                              </w:rPr>
                              <w:t>‘</w:t>
                            </w:r>
                            <w:r w:rsidRPr="000F564C">
                              <w:rPr>
                                <w:rFonts w:cs="Segoe UI"/>
                                <w:iCs/>
                                <w:color w:val="4472C4"/>
                              </w:rPr>
                              <w:t>Here Taratahi</w:t>
                            </w:r>
                            <w:r>
                              <w:rPr>
                                <w:rFonts w:cs="Segoe UI"/>
                                <w:iCs/>
                                <w:color w:val="4472C4"/>
                              </w:rPr>
                              <w:t xml:space="preserve"> Restraint and Seclusion’</w:t>
                            </w:r>
                            <w:r w:rsidRPr="000F564C">
                              <w:rPr>
                                <w:rFonts w:cs="Segoe UI"/>
                                <w:iCs/>
                                <w:color w:val="4472C4"/>
                              </w:rPr>
                              <w:t>, Outcome 6</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C861C9">
              <v:rect id="Rectangle 226" style="position:absolute;margin-left:256.45pt;margin-top:2.25pt;width:147.55pt;height:121.4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spid="_x0000_s1026" strokecolor="#4f81bd [3204]" strokeweight="1pt" w14:anchorId="65A10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">
                <v:stroke startarrowwidth="narrow" startarrowlength="short" endarrowwidth="narrow" endarrowlength="short"/>
                <v:textbox inset="2.53958mm,1.2694mm,2.53958mm,1.2694mm">
                  <w:txbxContent>
                    <w:p w:rsidRPr="002B544F" w:rsidR="00A26CD1" w:rsidP="003F6B0A" w:rsidRDefault="00A26CD1" w14:paraId="7B6E9CC3" w14:textId="77777777">
                      <w:pPr>
                        <w:textDirection w:val="btLr"/>
                        <w:rPr>
                          <w:rFonts w:cs="Segoe UI"/>
                        </w:rPr>
                      </w:pPr>
                      <w:r w:rsidRPr="002B544F">
                        <w:rPr>
                          <w:rFonts w:eastAsia="Quattrocento Sans" w:cs="Segoe UI"/>
                          <w:color w:val="000000"/>
                        </w:rPr>
                        <w:t xml:space="preserve">‘Services shall aim for a restraint and seclusion free environment, in which people’s dignity and mana are maintained’ </w:t>
                      </w:r>
                      <w:r w:rsidRPr="002B544F">
                        <w:rPr>
                          <w:rFonts w:cs="Segoe UI"/>
                          <w:color w:val="000000"/>
                          <w:sz w:val="29"/>
                        </w:rPr>
                        <w:br/>
                      </w:r>
                      <w:r w:rsidRPr="000F564C">
                        <w:rPr>
                          <w:rFonts w:cs="Segoe UI"/>
                          <w:iCs/>
                          <w:color w:val="4472C4"/>
                        </w:rPr>
                        <w:t xml:space="preserve">Ngā Paerewa, </w:t>
                      </w:r>
                      <w:r>
                        <w:rPr>
                          <w:rFonts w:cs="Segoe UI"/>
                          <w:iCs/>
                          <w:color w:val="4472C4"/>
                        </w:rPr>
                        <w:t>‘</w:t>
                      </w:r>
                      <w:r w:rsidRPr="000F564C">
                        <w:rPr>
                          <w:rFonts w:cs="Segoe UI"/>
                          <w:iCs/>
                          <w:color w:val="4472C4"/>
                        </w:rPr>
                        <w:t>Here Taratahi</w:t>
                      </w:r>
                      <w:r>
                        <w:rPr>
                          <w:rFonts w:cs="Segoe UI"/>
                          <w:iCs/>
                          <w:color w:val="4472C4"/>
                        </w:rPr>
                        <w:t xml:space="preserve"> Restraint and Seclusion’</w:t>
                      </w:r>
                      <w:r w:rsidRPr="000F564C">
                        <w:rPr>
                          <w:rFonts w:cs="Segoe UI"/>
                          <w:iCs/>
                          <w:color w:val="4472C4"/>
                        </w:rPr>
                        <w:t>, Outcome 6</w:t>
                      </w:r>
                    </w:p>
                  </w:txbxContent>
                </v:textbox>
                <w10:wrap type="square"/>
              </v:rect>
            </w:pict>
          </mc:Fallback>
        </mc:AlternateContent>
      </w:r>
      <w:r w:rsidR="003F6B0A" w:rsidRPr="00CA2668">
        <w:t>The</w:t>
      </w:r>
      <w:r w:rsidR="003F6B0A">
        <w:t xml:space="preserve"> </w:t>
      </w:r>
      <w:r w:rsidR="003F6B0A" w:rsidRPr="00CA2668">
        <w:t>purpose</w:t>
      </w:r>
      <w:r w:rsidR="003F6B0A">
        <w:t xml:space="preserve"> </w:t>
      </w:r>
      <w:r w:rsidR="003F6B0A" w:rsidRPr="00CA2668">
        <w:t>of</w:t>
      </w:r>
      <w:r w:rsidR="003F6B0A">
        <w:t xml:space="preserve"> </w:t>
      </w:r>
      <w:r w:rsidR="003F6B0A" w:rsidRPr="00CA2668">
        <w:t>th</w:t>
      </w:r>
      <w:r w:rsidR="003F6B0A">
        <w:t xml:space="preserve">ese </w:t>
      </w:r>
      <w:r w:rsidR="003F6B0A" w:rsidRPr="00131A76">
        <w:rPr>
          <w:rFonts w:eastAsia="Quattrocento Sans"/>
        </w:rPr>
        <w:t>guideline</w:t>
      </w:r>
      <w:sdt>
        <w:sdtPr>
          <w:tag w:val="goog_rdk_0"/>
          <w:id w:val="1969008259"/>
        </w:sdtPr>
        <w:sdtContent>
          <w:r w:rsidR="003F6B0A" w:rsidRPr="00131A76">
            <w:rPr>
              <w:rFonts w:eastAsia="Quattrocento Sans"/>
            </w:rPr>
            <w:t>s</w:t>
          </w:r>
        </w:sdtContent>
      </w:sdt>
      <w:r w:rsidR="003F6B0A">
        <w:t xml:space="preserve"> </w:t>
      </w:r>
      <w:r w:rsidR="003F6B0A" w:rsidRPr="00CA2668">
        <w:t>is</w:t>
      </w:r>
      <w:r w:rsidR="003F6B0A">
        <w:t>:</w:t>
      </w:r>
    </w:p>
    <w:p w14:paraId="28A22557" w14:textId="263002A2" w:rsidR="003F6B0A" w:rsidRPr="00145063" w:rsidRDefault="003F6B0A" w:rsidP="003F6B0A">
      <w:pPr>
        <w:pStyle w:val="Bullet"/>
      </w:pPr>
      <w:r>
        <w:t xml:space="preserve">to </w:t>
      </w:r>
      <w:r w:rsidRPr="00145063">
        <w:t>support</w:t>
      </w:r>
      <w:r>
        <w:t xml:space="preserve"> </w:t>
      </w:r>
      <w:r w:rsidRPr="00145063">
        <w:t>the</w:t>
      </w:r>
      <w:r>
        <w:t xml:space="preserve"> safe </w:t>
      </w:r>
      <w:r w:rsidRPr="00145063">
        <w:t>reduction</w:t>
      </w:r>
      <w:r>
        <w:t xml:space="preserve"> </w:t>
      </w:r>
      <w:r w:rsidRPr="00145063">
        <w:t>and</w:t>
      </w:r>
      <w:r>
        <w:t xml:space="preserve"> </w:t>
      </w:r>
      <w:r w:rsidRPr="00145063">
        <w:t>elimination</w:t>
      </w:r>
      <w:r>
        <w:t xml:space="preserve"> </w:t>
      </w:r>
      <w:r w:rsidRPr="00145063">
        <w:t>of</w:t>
      </w:r>
      <w:r>
        <w:t xml:space="preserve"> </w:t>
      </w:r>
      <w:r w:rsidRPr="00145063">
        <w:t>seclusion</w:t>
      </w:r>
      <w:r>
        <w:t xml:space="preserve"> </w:t>
      </w:r>
      <w:r w:rsidRPr="00145063">
        <w:t>and</w:t>
      </w:r>
      <w:r>
        <w:t xml:space="preserve"> </w:t>
      </w:r>
      <w:r w:rsidRPr="00145063">
        <w:t>restraint</w:t>
      </w:r>
      <w:r>
        <w:t xml:space="preserve"> </w:t>
      </w:r>
      <w:r w:rsidRPr="00145063">
        <w:t>for</w:t>
      </w:r>
      <w:r>
        <w:t xml:space="preserve"> </w:t>
      </w:r>
      <w:r w:rsidRPr="00145063">
        <w:t>people</w:t>
      </w:r>
      <w:r>
        <w:t xml:space="preserve"> </w:t>
      </w:r>
      <w:r w:rsidRPr="00145063">
        <w:t>under</w:t>
      </w:r>
      <w:r>
        <w:t xml:space="preserve"> </w:t>
      </w:r>
      <w:r w:rsidRPr="00145063">
        <w:t>the</w:t>
      </w:r>
      <w:r>
        <w:t xml:space="preserve"> </w:t>
      </w:r>
      <w:r w:rsidRPr="00655DCB">
        <w:t xml:space="preserve">Mental Health </w:t>
      </w:r>
      <w:r w:rsidRPr="00145063">
        <w:t>Act,</w:t>
      </w:r>
      <w:r>
        <w:t xml:space="preserve"> </w:t>
      </w:r>
      <w:r w:rsidRPr="00145063">
        <w:t>and</w:t>
      </w:r>
    </w:p>
    <w:p w14:paraId="6F7F332C" w14:textId="77777777" w:rsidR="003F6B0A" w:rsidRPr="00145063" w:rsidRDefault="003F6B0A" w:rsidP="003F6B0A">
      <w:pPr>
        <w:pStyle w:val="Bullet"/>
      </w:pPr>
      <w:r w:rsidRPr="00145063">
        <w:t>when</w:t>
      </w:r>
      <w:r>
        <w:t xml:space="preserve"> </w:t>
      </w:r>
      <w:r w:rsidRPr="00145063">
        <w:t>it</w:t>
      </w:r>
      <w:r>
        <w:t xml:space="preserve"> </w:t>
      </w:r>
      <w:r w:rsidRPr="00145063">
        <w:t>has</w:t>
      </w:r>
      <w:r>
        <w:t xml:space="preserve"> </w:t>
      </w:r>
      <w:r w:rsidRPr="00145063">
        <w:t>not</w:t>
      </w:r>
      <w:r>
        <w:t xml:space="preserve"> </w:t>
      </w:r>
      <w:r w:rsidRPr="00145063">
        <w:t>been</w:t>
      </w:r>
      <w:r>
        <w:t xml:space="preserve"> </w:t>
      </w:r>
      <w:r w:rsidRPr="00145063">
        <w:t>possible</w:t>
      </w:r>
      <w:r>
        <w:t xml:space="preserve"> </w:t>
      </w:r>
      <w:r w:rsidRPr="00145063">
        <w:t>to</w:t>
      </w:r>
      <w:r>
        <w:t xml:space="preserve"> </w:t>
      </w:r>
      <w:r w:rsidRPr="00145063">
        <w:t>avoid</w:t>
      </w:r>
      <w:r>
        <w:t xml:space="preserve"> </w:t>
      </w:r>
      <w:r w:rsidRPr="00145063">
        <w:t>the</w:t>
      </w:r>
      <w:r>
        <w:t xml:space="preserve"> </w:t>
      </w:r>
      <w:r w:rsidRPr="00145063">
        <w:t>use</w:t>
      </w:r>
      <w:r>
        <w:t xml:space="preserve"> </w:t>
      </w:r>
      <w:r w:rsidRPr="00145063">
        <w:t>of</w:t>
      </w:r>
      <w:r>
        <w:t xml:space="preserve"> </w:t>
      </w:r>
      <w:r w:rsidRPr="00145063">
        <w:t>seclusion</w:t>
      </w:r>
      <w:r>
        <w:t xml:space="preserve"> </w:t>
      </w:r>
      <w:r w:rsidRPr="00145063">
        <w:t>and</w:t>
      </w:r>
      <w:r>
        <w:t xml:space="preserve"> </w:t>
      </w:r>
      <w:r w:rsidRPr="00145063">
        <w:t>restraint,</w:t>
      </w:r>
      <w:r>
        <w:t xml:space="preserve"> </w:t>
      </w:r>
      <w:r w:rsidRPr="00145063">
        <w:t>to</w:t>
      </w:r>
      <w:r>
        <w:t xml:space="preserve"> </w:t>
      </w:r>
      <w:r w:rsidRPr="00145063">
        <w:t>identify</w:t>
      </w:r>
      <w:r>
        <w:t xml:space="preserve"> </w:t>
      </w:r>
      <w:r w:rsidRPr="00145063">
        <w:t>best</w:t>
      </w:r>
      <w:r>
        <w:t>-</w:t>
      </w:r>
      <w:r w:rsidRPr="00145063">
        <w:t>practice</w:t>
      </w:r>
      <w:r>
        <w:t xml:space="preserve"> </w:t>
      </w:r>
      <w:r w:rsidRPr="00145063">
        <w:t>methods</w:t>
      </w:r>
      <w:r>
        <w:t xml:space="preserve"> </w:t>
      </w:r>
      <w:r w:rsidRPr="00145063">
        <w:t>for</w:t>
      </w:r>
      <w:r>
        <w:t xml:space="preserve"> </w:t>
      </w:r>
      <w:r w:rsidRPr="00145063">
        <w:t>use</w:t>
      </w:r>
      <w:r>
        <w:t xml:space="preserve"> </w:t>
      </w:r>
      <w:r w:rsidRPr="00145063">
        <w:t>in</w:t>
      </w:r>
      <w:r>
        <w:t xml:space="preserve"> </w:t>
      </w:r>
      <w:r w:rsidRPr="00145063">
        <w:t>mental</w:t>
      </w:r>
      <w:r>
        <w:t xml:space="preserve"> </w:t>
      </w:r>
      <w:r w:rsidRPr="00145063">
        <w:t>health</w:t>
      </w:r>
      <w:r>
        <w:t xml:space="preserve"> </w:t>
      </w:r>
      <w:r w:rsidRPr="00145063">
        <w:t>inpatient</w:t>
      </w:r>
      <w:r>
        <w:t xml:space="preserve"> </w:t>
      </w:r>
      <w:r w:rsidRPr="00145063">
        <w:t>units</w:t>
      </w:r>
      <w:r>
        <w:t xml:space="preserve"> (including forensic mental health inpatient units) that align </w:t>
      </w:r>
      <w:r w:rsidRPr="00145063">
        <w:t>with</w:t>
      </w:r>
      <w:r>
        <w:t xml:space="preserve"> </w:t>
      </w:r>
      <w:r w:rsidRPr="00145063">
        <w:t>the</w:t>
      </w:r>
      <w:r>
        <w:t xml:space="preserve"> </w:t>
      </w:r>
      <w:r w:rsidRPr="00145063">
        <w:t>specifications</w:t>
      </w:r>
      <w:r>
        <w:t xml:space="preserve"> </w:t>
      </w:r>
      <w:r w:rsidRPr="00145063">
        <w:t>set</w:t>
      </w:r>
      <w:r>
        <w:t xml:space="preserve"> </w:t>
      </w:r>
      <w:r w:rsidRPr="00145063">
        <w:t>out</w:t>
      </w:r>
      <w:r>
        <w:t xml:space="preserve"> </w:t>
      </w:r>
      <w:r w:rsidRPr="00145063">
        <w:t>in</w:t>
      </w:r>
      <w:r>
        <w:t xml:space="preserve"> </w:t>
      </w:r>
      <w:r w:rsidRPr="00145063">
        <w:t>Ngā</w:t>
      </w:r>
      <w:r>
        <w:t xml:space="preserve"> </w:t>
      </w:r>
      <w:r w:rsidRPr="00145063">
        <w:t>Paerewa</w:t>
      </w:r>
      <w:r>
        <w:t>.</w:t>
      </w:r>
    </w:p>
    <w:p w14:paraId="302C2C90" w14:textId="77777777" w:rsidR="003F6B0A" w:rsidRDefault="003F6B0A" w:rsidP="003F6B0A"/>
    <w:p w14:paraId="7DDB2481" w14:textId="20CE94B8" w:rsidR="003F6B0A" w:rsidRPr="00B4276E" w:rsidRDefault="003F6B0A" w:rsidP="003F6B0A">
      <w:r w:rsidRPr="00CA2668">
        <w:t>This</w:t>
      </w:r>
      <w:r>
        <w:t xml:space="preserve"> </w:t>
      </w:r>
      <w:r w:rsidRPr="00CA2668">
        <w:t>document</w:t>
      </w:r>
      <w:r>
        <w:t xml:space="preserve"> </w:t>
      </w:r>
      <w:r w:rsidRPr="00CA2668">
        <w:t>should</w:t>
      </w:r>
      <w:r>
        <w:t xml:space="preserve"> </w:t>
      </w:r>
      <w:r w:rsidRPr="00CA2668">
        <w:t>be</w:t>
      </w:r>
      <w:r>
        <w:t xml:space="preserve"> </w:t>
      </w:r>
      <w:r w:rsidRPr="00CA2668">
        <w:t>read</w:t>
      </w:r>
      <w:r>
        <w:t xml:space="preserve"> </w:t>
      </w:r>
      <w:r w:rsidRPr="00CA2668">
        <w:t>within</w:t>
      </w:r>
      <w:r>
        <w:t xml:space="preserve"> </w:t>
      </w:r>
      <w:r w:rsidRPr="00CA2668">
        <w:t>the</w:t>
      </w:r>
      <w:r>
        <w:t xml:space="preserve"> </w:t>
      </w:r>
      <w:r w:rsidRPr="00CA2668">
        <w:t>context</w:t>
      </w:r>
      <w:r>
        <w:t xml:space="preserve"> </w:t>
      </w:r>
      <w:r w:rsidRPr="00CA2668">
        <w:t>of</w:t>
      </w:r>
      <w:r>
        <w:t xml:space="preserve"> other relevant </w:t>
      </w:r>
      <w:r w:rsidRPr="00CA2668">
        <w:t>legislation,</w:t>
      </w:r>
      <w:r>
        <w:t xml:space="preserve"> </w:t>
      </w:r>
      <w:r w:rsidRPr="00CA2668">
        <w:t>regulations</w:t>
      </w:r>
      <w:r>
        <w:t xml:space="preserve"> </w:t>
      </w:r>
      <w:r w:rsidRPr="00CA2668">
        <w:t>and</w:t>
      </w:r>
      <w:r>
        <w:t xml:space="preserve"> </w:t>
      </w:r>
      <w:r w:rsidRPr="00CA2668">
        <w:t>guidelines</w:t>
      </w:r>
      <w:r>
        <w:t xml:space="preserve">, including: </w:t>
      </w:r>
    </w:p>
    <w:p w14:paraId="5B145D13" w14:textId="77777777" w:rsidR="003F6B0A" w:rsidRDefault="003F6B0A" w:rsidP="003F6B0A">
      <w:pPr>
        <w:pStyle w:val="Bullet"/>
        <w:rPr>
          <w:color w:val="000000"/>
        </w:rPr>
      </w:pPr>
      <w:r>
        <w:t xml:space="preserve">the </w:t>
      </w:r>
      <w:r w:rsidRPr="683CDF80">
        <w:t>Care of Children Act 2004</w:t>
      </w:r>
    </w:p>
    <w:p w14:paraId="3743979E" w14:textId="77777777" w:rsidR="003F6B0A" w:rsidRPr="006F2B02" w:rsidRDefault="003F6B0A" w:rsidP="003F6B0A">
      <w:pPr>
        <w:pStyle w:val="Bullet"/>
        <w:rPr>
          <w:rFonts w:cs="Segoe UI"/>
          <w:color w:val="000000"/>
        </w:rPr>
      </w:pPr>
      <w:r>
        <w:rPr>
          <w:rFonts w:cs="Segoe UI"/>
        </w:rPr>
        <w:t xml:space="preserve">the </w:t>
      </w:r>
      <w:r w:rsidRPr="683CDF80">
        <w:rPr>
          <w:rFonts w:cs="Segoe UI"/>
        </w:rPr>
        <w:t>Declaration on the Rights of Indigenous Peoples</w:t>
      </w:r>
    </w:p>
    <w:p w14:paraId="371C4996" w14:textId="77777777" w:rsidR="003F6B0A" w:rsidRPr="00FB512E" w:rsidRDefault="003F6B0A" w:rsidP="003F6B0A">
      <w:pPr>
        <w:pStyle w:val="Bullet"/>
        <w:rPr>
          <w:rFonts w:cs="Segoe UI"/>
        </w:rPr>
      </w:pPr>
      <w:r w:rsidRPr="00DD58FB">
        <w:rPr>
          <w:rFonts w:cs="Segoe UI"/>
          <w:i/>
        </w:rPr>
        <w:t xml:space="preserve">Guidelines for the </w:t>
      </w:r>
      <w:r w:rsidRPr="00DD58FB">
        <w:rPr>
          <w:rFonts w:cs="Segoe UI"/>
          <w:i/>
          <w:iCs/>
        </w:rPr>
        <w:t>Safe Transport</w:t>
      </w:r>
      <w:r w:rsidRPr="00DD58FB">
        <w:rPr>
          <w:rFonts w:cs="Segoe UI"/>
          <w:i/>
        </w:rPr>
        <w:t xml:space="preserve"> of </w:t>
      </w:r>
      <w:r w:rsidRPr="00DD58FB">
        <w:rPr>
          <w:rFonts w:cs="Segoe UI"/>
          <w:i/>
          <w:iCs/>
        </w:rPr>
        <w:t>Special Patients</w:t>
      </w:r>
      <w:r w:rsidRPr="00DD58FB">
        <w:rPr>
          <w:rFonts w:cs="Segoe UI"/>
          <w:i/>
        </w:rPr>
        <w:t xml:space="preserve"> in the </w:t>
      </w:r>
      <w:r w:rsidRPr="00DD58FB">
        <w:rPr>
          <w:rFonts w:cs="Segoe UI"/>
          <w:i/>
          <w:iCs/>
        </w:rPr>
        <w:t>Care</w:t>
      </w:r>
      <w:r w:rsidRPr="00DD58FB">
        <w:rPr>
          <w:rFonts w:cs="Segoe UI"/>
          <w:i/>
        </w:rPr>
        <w:t xml:space="preserve"> of Regional Forensic Mental Health Services</w:t>
      </w:r>
      <w:r w:rsidRPr="00FB512E">
        <w:rPr>
          <w:rStyle w:val="FootnoteReference"/>
          <w:rFonts w:cs="Segoe UI"/>
        </w:rPr>
        <w:footnoteReference w:id="7"/>
      </w:r>
    </w:p>
    <w:p w14:paraId="533FDA61" w14:textId="77777777" w:rsidR="003F6B0A" w:rsidRPr="00FB512E" w:rsidRDefault="003F6B0A" w:rsidP="003F6B0A">
      <w:pPr>
        <w:pStyle w:val="Bullet"/>
        <w:rPr>
          <w:rFonts w:cs="Segoe UI"/>
        </w:rPr>
      </w:pPr>
      <w:r w:rsidRPr="00DD58FB">
        <w:rPr>
          <w:rFonts w:cs="Segoe UI"/>
          <w:i/>
        </w:rPr>
        <w:t xml:space="preserve">Guidelines to the Mental Health </w:t>
      </w:r>
      <w:r w:rsidRPr="00DD58FB">
        <w:rPr>
          <w:rFonts w:cs="Segoe UI"/>
          <w:i/>
          <w:iCs/>
        </w:rPr>
        <w:t>Act</w:t>
      </w:r>
      <w:r w:rsidRPr="00DD58FB" w:rsidDel="006027C7">
        <w:rPr>
          <w:rFonts w:cs="Segoe UI"/>
          <w:i/>
        </w:rPr>
        <w:t xml:space="preserve"> </w:t>
      </w:r>
      <w:r w:rsidRPr="00DD58FB">
        <w:rPr>
          <w:rFonts w:cs="Segoe UI"/>
        </w:rPr>
        <w:t>and</w:t>
      </w:r>
      <w:r w:rsidRPr="00DD58FB">
        <w:rPr>
          <w:rFonts w:cs="Segoe UI"/>
          <w:i/>
        </w:rPr>
        <w:t xml:space="preserve"> Human Rights and the Mental Health (Compulsory Assessment and Treatment) Act 1992</w:t>
      </w:r>
      <w:r w:rsidRPr="00FB512E">
        <w:rPr>
          <w:rStyle w:val="FootnoteReference"/>
          <w:rFonts w:cs="Segoe UI"/>
        </w:rPr>
        <w:footnoteReference w:id="8"/>
      </w:r>
    </w:p>
    <w:p w14:paraId="53A9A1BD" w14:textId="77777777" w:rsidR="003F6B0A" w:rsidRPr="00B6194E" w:rsidRDefault="003F6B0A" w:rsidP="003F6B0A">
      <w:pPr>
        <w:pStyle w:val="Bullet"/>
      </w:pPr>
      <w:r>
        <w:t xml:space="preserve">the </w:t>
      </w:r>
      <w:r w:rsidRPr="009519F0">
        <w:rPr>
          <w:iCs/>
        </w:rPr>
        <w:t>Code of Health and Disability Services Consumers’ Rights</w:t>
      </w:r>
    </w:p>
    <w:p w14:paraId="2DAEBC15" w14:textId="77777777" w:rsidR="003F6B0A" w:rsidRPr="00FB512E" w:rsidRDefault="003F6B0A" w:rsidP="003F6B0A">
      <w:pPr>
        <w:pStyle w:val="Bullet"/>
        <w:rPr>
          <w:rFonts w:cs="Segoe UI"/>
        </w:rPr>
      </w:pPr>
      <w:r w:rsidRPr="00FB512E">
        <w:rPr>
          <w:rFonts w:cs="Segoe UI"/>
        </w:rPr>
        <w:t>the United Nations Convention on the Rights of Persons with Disabilities</w:t>
      </w:r>
    </w:p>
    <w:p w14:paraId="2372451A" w14:textId="77777777" w:rsidR="003F6B0A" w:rsidRPr="00FB512E" w:rsidRDefault="003F6B0A" w:rsidP="003F6B0A">
      <w:pPr>
        <w:pStyle w:val="Bullet"/>
        <w:rPr>
          <w:rFonts w:cs="Segoe UI"/>
        </w:rPr>
      </w:pPr>
      <w:r w:rsidRPr="00FB512E">
        <w:rPr>
          <w:rFonts w:cs="Segoe UI"/>
        </w:rPr>
        <w:t>United Nations Declaration on the Rights of Indigenous Peoples</w:t>
      </w:r>
    </w:p>
    <w:p w14:paraId="71D1B741" w14:textId="77777777" w:rsidR="003F6B0A" w:rsidRPr="00FB512E" w:rsidRDefault="003F6B0A" w:rsidP="003F6B0A">
      <w:pPr>
        <w:pStyle w:val="Bullet"/>
        <w:rPr>
          <w:rFonts w:cs="Segoe UI"/>
        </w:rPr>
      </w:pPr>
      <w:r w:rsidRPr="00FB512E">
        <w:rPr>
          <w:rFonts w:cs="Segoe UI"/>
        </w:rPr>
        <w:t>the HQSC’s</w:t>
      </w:r>
      <w:r>
        <w:t xml:space="preserve"> </w:t>
      </w:r>
      <w:r w:rsidRPr="00DD58FB">
        <w:rPr>
          <w:iCs/>
        </w:rPr>
        <w:t>Code of expectations for health entities’ engagement with consumers and wh</w:t>
      </w:r>
      <w:r w:rsidRPr="00DD58FB">
        <w:rPr>
          <w:rFonts w:cs="Segoe UI"/>
          <w:iCs/>
        </w:rPr>
        <w:t>ā</w:t>
      </w:r>
      <w:r w:rsidRPr="00DD58FB">
        <w:rPr>
          <w:iCs/>
        </w:rPr>
        <w:t>nau</w:t>
      </w:r>
    </w:p>
    <w:p w14:paraId="15703D64" w14:textId="77777777" w:rsidR="003F6B0A" w:rsidRPr="00FB512E" w:rsidRDefault="003F6B0A" w:rsidP="003F6B0A">
      <w:pPr>
        <w:pStyle w:val="Bullet"/>
      </w:pPr>
      <w:r w:rsidRPr="00FB512E">
        <w:t>the Health and Safety at Work Act 2015</w:t>
      </w:r>
    </w:p>
    <w:p w14:paraId="0DEFD3B6" w14:textId="77777777" w:rsidR="003F6B0A" w:rsidRPr="00FB512E" w:rsidRDefault="003F6B0A" w:rsidP="003F6B0A">
      <w:pPr>
        <w:pStyle w:val="Bullet"/>
      </w:pPr>
      <w:r w:rsidRPr="00FB512E">
        <w:lastRenderedPageBreak/>
        <w:t>the Health and Safety at Work (General Risk and Workplace Management) Regulations 2016</w:t>
      </w:r>
    </w:p>
    <w:p w14:paraId="4499B14D" w14:textId="77777777" w:rsidR="003F6B0A" w:rsidRPr="00FB512E" w:rsidRDefault="003F6B0A" w:rsidP="003F6B0A">
      <w:pPr>
        <w:pStyle w:val="Bullet"/>
      </w:pPr>
      <w:r w:rsidRPr="00FB512E">
        <w:t>the Mental Health Act</w:t>
      </w:r>
    </w:p>
    <w:p w14:paraId="5733BC0D" w14:textId="77777777" w:rsidR="003F6B0A" w:rsidRPr="00FB512E" w:rsidRDefault="003F6B0A" w:rsidP="003F6B0A">
      <w:pPr>
        <w:pStyle w:val="Bullet"/>
      </w:pPr>
      <w:r w:rsidRPr="00FB512E">
        <w:t>Ngā Paerewa</w:t>
      </w:r>
    </w:p>
    <w:p w14:paraId="76C219D5" w14:textId="77777777" w:rsidR="003F6B0A" w:rsidRPr="006114AD" w:rsidRDefault="003F6B0A" w:rsidP="003F6B0A">
      <w:pPr>
        <w:pStyle w:val="Bullet"/>
        <w:rPr>
          <w:rFonts w:cs="Segoe UI"/>
        </w:rPr>
      </w:pPr>
      <w:r w:rsidRPr="00FB512E">
        <w:t>the Oranga Tamariki Act 1989</w:t>
      </w:r>
    </w:p>
    <w:p w14:paraId="0F65FBCA" w14:textId="77777777" w:rsidR="003F6B0A" w:rsidRPr="006114AD" w:rsidRDefault="003F6B0A" w:rsidP="003F6B0A">
      <w:pPr>
        <w:pStyle w:val="Bullet"/>
        <w:rPr>
          <w:rFonts w:cs="Segoe UI"/>
        </w:rPr>
      </w:pPr>
      <w:r w:rsidRPr="00FB512E">
        <w:t>the Pae Ora (Healthy Futures) Act 2022</w:t>
      </w:r>
    </w:p>
    <w:p w14:paraId="56792E27" w14:textId="77777777" w:rsidR="003F6B0A" w:rsidRPr="00166825" w:rsidRDefault="003F6B0A" w:rsidP="003F6B0A">
      <w:pPr>
        <w:pStyle w:val="Bullet"/>
      </w:pPr>
      <w:r w:rsidRPr="00FB512E">
        <w:t>Te Pou’s</w:t>
      </w:r>
      <w:r>
        <w:t xml:space="preserve"> </w:t>
      </w:r>
      <w:r w:rsidRPr="00DD58FB">
        <w:t>Six Core Strategies© for reducing seclusion and restraint</w:t>
      </w:r>
      <w:r w:rsidRPr="00FB512E">
        <w:rPr>
          <w:rStyle w:val="FootnoteReference"/>
        </w:rPr>
        <w:footnoteReference w:id="9"/>
      </w:r>
    </w:p>
    <w:p w14:paraId="01EC69BC" w14:textId="723324EE" w:rsidR="003F6B0A" w:rsidRPr="00110CAA" w:rsidRDefault="003F6B0A" w:rsidP="003F6B0A">
      <w:pPr>
        <w:pStyle w:val="Bullet"/>
      </w:pPr>
      <w:r w:rsidRPr="00DD58FB">
        <w:rPr>
          <w:i/>
        </w:rPr>
        <w:t>Special Patients and Restricted Patients: Guidelines for Regional Forensic Mental Health Service</w:t>
      </w:r>
      <w:r w:rsidRPr="00FB512E">
        <w:rPr>
          <w:rStyle w:val="FootnoteReference"/>
        </w:rPr>
        <w:footnoteReference w:id="10"/>
      </w:r>
    </w:p>
    <w:p w14:paraId="7D412C20" w14:textId="77777777" w:rsidR="00110CAA" w:rsidRPr="004D4CE1" w:rsidDel="00B567E7" w:rsidRDefault="00110CAA" w:rsidP="00110CAA">
      <w:pPr>
        <w:pStyle w:val="Bullet"/>
      </w:pPr>
      <w:r w:rsidRPr="00FB5BD9">
        <w:t>Te Tiriti o Waitangi</w:t>
      </w:r>
    </w:p>
    <w:p w14:paraId="2F1CC1BD" w14:textId="1698AA31" w:rsidR="00110CAA" w:rsidRPr="00110CAA" w:rsidRDefault="00110CAA" w:rsidP="00110CAA">
      <w:pPr>
        <w:pStyle w:val="Bullet"/>
        <w:rPr>
          <w:color w:val="000000"/>
        </w:rPr>
      </w:pPr>
      <w:r w:rsidRPr="000729FE">
        <w:rPr>
          <w:rFonts w:cs="Segoe UI"/>
          <w:color w:val="000000"/>
        </w:rPr>
        <w:t>the HQSC’s</w:t>
      </w:r>
      <w:r>
        <w:t xml:space="preserve"> </w:t>
      </w:r>
      <w:r w:rsidRPr="00DD58FB">
        <w:t xml:space="preserve">Zero </w:t>
      </w:r>
      <w:r w:rsidRPr="00DD58FB">
        <w:rPr>
          <w:iCs/>
        </w:rPr>
        <w:t>Seclusion</w:t>
      </w:r>
      <w:r w:rsidRPr="00DD58FB">
        <w:t xml:space="preserve">: Safety and </w:t>
      </w:r>
      <w:r w:rsidRPr="00DD58FB">
        <w:rPr>
          <w:iCs/>
        </w:rPr>
        <w:t>Dignity</w:t>
      </w:r>
      <w:r w:rsidRPr="00DD58FB">
        <w:t xml:space="preserve"> for </w:t>
      </w:r>
      <w:r w:rsidRPr="00DD58FB">
        <w:rPr>
          <w:iCs/>
        </w:rPr>
        <w:t xml:space="preserve">All </w:t>
      </w:r>
      <w:r w:rsidRPr="00DD58FB">
        <w:t>resources: change package, cultural kete and clinical bundle.</w:t>
      </w:r>
      <w:r w:rsidRPr="00DD58FB">
        <w:rPr>
          <w:rStyle w:val="FootnoteReference"/>
        </w:rPr>
        <w:footnoteReference w:id="11"/>
      </w:r>
      <w:r w:rsidRPr="00DD58FB">
        <w:t xml:space="preserve"> </w:t>
      </w:r>
    </w:p>
    <w:p w14:paraId="01417A6B" w14:textId="4801FCD0" w:rsidR="00110CAA" w:rsidRDefault="00110CAA" w:rsidP="00110CAA"/>
    <w:p w14:paraId="61F1FC2B" w14:textId="34B3C352" w:rsidR="003F6B0A" w:rsidRDefault="00110CAA" w:rsidP="00110CAA">
      <w:pPr>
        <w:rPr>
          <w:rFonts w:eastAsiaTheme="majorEastAsia"/>
        </w:rPr>
      </w:pPr>
      <w:r w:rsidRPr="00110CAA">
        <w:rPr>
          <w:rFonts w:eastAsiaTheme="majorEastAsia"/>
        </w:rPr>
        <w:t>Note that these guidelines do not apply to the application of the Intellectual Disability (Compulsory Care and Rehabilitation) Act 2003. There are separate guidelines for the use of seclusion under that Act.</w:t>
      </w:r>
    </w:p>
    <w:p w14:paraId="2AA0AE69" w14:textId="77777777" w:rsidR="00110CAA" w:rsidRDefault="00110CAA" w:rsidP="003F6B0A">
      <w:pPr>
        <w:rPr>
          <w:rFonts w:eastAsiaTheme="majorEastAsia"/>
        </w:rPr>
        <w:sectPr w:rsidR="00110CAA" w:rsidSect="00A45DF0">
          <w:pgSz w:w="11906" w:h="16838"/>
          <w:pgMar w:top="1418" w:right="1701" w:bottom="1134" w:left="1843" w:header="709" w:footer="454" w:gutter="284"/>
          <w:pgNumType w:start="1"/>
          <w:cols w:space="708"/>
          <w:docGrid w:linePitch="360"/>
        </w:sectPr>
      </w:pPr>
    </w:p>
    <w:p w14:paraId="2CFC587A" w14:textId="42382C71" w:rsidR="00110CAA" w:rsidRPr="00A45DF0" w:rsidRDefault="00110CAA" w:rsidP="00110CAA">
      <w:pPr>
        <w:pStyle w:val="Heading1"/>
        <w:rPr>
          <w:rFonts w:eastAsiaTheme="majorEastAsia"/>
          <w:sz w:val="64"/>
          <w:szCs w:val="64"/>
        </w:rPr>
      </w:pPr>
      <w:r w:rsidRPr="00A45DF0">
        <w:rPr>
          <w:rFonts w:eastAsiaTheme="majorEastAsia"/>
          <w:sz w:val="64"/>
          <w:szCs w:val="64"/>
        </w:rPr>
        <w:lastRenderedPageBreak/>
        <w:tab/>
      </w:r>
      <w:bookmarkStart w:id="18" w:name="_Toc132355307"/>
      <w:r w:rsidRPr="00A45DF0">
        <w:rPr>
          <w:rFonts w:eastAsiaTheme="majorEastAsia"/>
          <w:sz w:val="64"/>
          <w:szCs w:val="64"/>
        </w:rPr>
        <w:t>Context</w:t>
      </w:r>
      <w:bookmarkEnd w:id="18"/>
      <w:r w:rsidRPr="00A45DF0">
        <w:rPr>
          <w:rFonts w:eastAsiaTheme="majorEastAsia"/>
          <w:sz w:val="64"/>
          <w:szCs w:val="64"/>
        </w:rPr>
        <w:t xml:space="preserve"> </w:t>
      </w:r>
    </w:p>
    <w:p w14:paraId="6F58EDE3" w14:textId="39090A39" w:rsidR="00110CAA" w:rsidRDefault="00110CAA" w:rsidP="00110CAA">
      <w:pPr>
        <w:pStyle w:val="Heading2"/>
        <w:rPr>
          <w:rFonts w:eastAsiaTheme="majorEastAsia"/>
        </w:rPr>
      </w:pPr>
      <w:r w:rsidRPr="00110CAA">
        <w:rPr>
          <w:rFonts w:eastAsiaTheme="majorEastAsia"/>
        </w:rPr>
        <w:tab/>
      </w:r>
      <w:bookmarkStart w:id="19" w:name="_Toc132355308"/>
      <w:r w:rsidRPr="00110CAA">
        <w:rPr>
          <w:rFonts w:eastAsiaTheme="majorEastAsia"/>
        </w:rPr>
        <w:t>The commitment to reducing and eliminating seclusion and restraint</w:t>
      </w:r>
      <w:bookmarkEnd w:id="19"/>
    </w:p>
    <w:p w14:paraId="0BA6643C" w14:textId="03FD6088" w:rsidR="00110CAA" w:rsidRDefault="00110CAA" w:rsidP="00110CAA">
      <w:r w:rsidRPr="00C24694">
        <w:rPr>
          <w:noProof/>
        </w:rPr>
        <mc:AlternateContent>
          <mc:Choice Requires="wps">
            <w:drawing>
              <wp:anchor distT="45720" distB="45720" distL="114300" distR="114300" simplePos="0" relativeHeight="251658241" behindDoc="0" locked="0" layoutInCell="1" allowOverlap="1" wp14:anchorId="41869952" wp14:editId="1C937F00">
                <wp:simplePos x="0" y="0"/>
                <wp:positionH relativeFrom="margin">
                  <wp:posOffset>3354705</wp:posOffset>
                </wp:positionH>
                <wp:positionV relativeFrom="paragraph">
                  <wp:posOffset>48895</wp:posOffset>
                </wp:positionV>
                <wp:extent cx="1751330" cy="1257300"/>
                <wp:effectExtent l="0" t="0" r="20320" b="19050"/>
                <wp:wrapSquare wrapText="bothSides"/>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1257300"/>
                        </a:xfrm>
                        <a:prstGeom prst="rect">
                          <a:avLst/>
                        </a:prstGeom>
                        <a:solidFill>
                          <a:srgbClr val="FFFFFF"/>
                        </a:solidFill>
                        <a:ln w="12700">
                          <a:solidFill>
                            <a:schemeClr val="accent1"/>
                          </a:solidFill>
                          <a:miter lim="800000"/>
                          <a:headEnd/>
                          <a:tailEnd/>
                        </a:ln>
                      </wps:spPr>
                      <wps:txbx>
                        <w:txbxContent>
                          <w:p w14:paraId="2F66938A" w14:textId="77777777" w:rsidR="00A26CD1" w:rsidRPr="00EF1A50" w:rsidRDefault="00A26CD1" w:rsidP="00110CAA">
                            <w:pPr>
                              <w:rPr>
                                <w:vertAlign w:val="superscript"/>
                              </w:rPr>
                            </w:pPr>
                            <w:r>
                              <w:rPr>
                                <w:rFonts w:cs="Segoe UI"/>
                              </w:rPr>
                              <w:t>S</w:t>
                            </w:r>
                            <w:r w:rsidRPr="00CA2668">
                              <w:rPr>
                                <w:rFonts w:cs="Segoe UI"/>
                              </w:rPr>
                              <w:t xml:space="preserve">eclusion and restraint have no therapeutic benefit and can be harmful both for </w:t>
                            </w:r>
                            <w:r>
                              <w:rPr>
                                <w:rFonts w:cs="Segoe UI"/>
                              </w:rPr>
                              <w:t xml:space="preserve">people experiencing mental distress and for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BDBDE2">
              <v:shapetype id="_x0000_t202" coordsize="21600,21600" o:spt="202" path="m,l,21600r21600,l21600,xe" w14:anchorId="41869952">
                <v:stroke joinstyle="miter"/>
                <v:path gradientshapeok="t" o:connecttype="rect"/>
              </v:shapetype>
              <v:shape id="Text Box 229" style="position:absolute;margin-left:264.15pt;margin-top:3.85pt;width:137.9pt;height:9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color="#4f81bd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">
                <v:textbox>
                  <w:txbxContent>
                    <w:p w:rsidRPr="00EF1A50" w:rsidR="00A26CD1" w:rsidP="00110CAA" w:rsidRDefault="00A26CD1" w14:paraId="4E290744" w14:textId="77777777">
                      <w:pPr>
                        <w:rPr>
                          <w:vertAlign w:val="superscript"/>
                        </w:rPr>
                      </w:pPr>
                      <w:r>
                        <w:rPr>
                          <w:rFonts w:cs="Segoe UI"/>
                        </w:rPr>
                        <w:t>S</w:t>
                      </w:r>
                      <w:r w:rsidRPr="00CA2668">
                        <w:rPr>
                          <w:rFonts w:cs="Segoe UI"/>
                        </w:rPr>
                        <w:t xml:space="preserve">eclusion and restraint have no therapeutic benefit and can be harmful both for </w:t>
                      </w:r>
                      <w:r>
                        <w:rPr>
                          <w:rFonts w:cs="Segoe UI"/>
                        </w:rPr>
                        <w:t xml:space="preserve">people experiencing mental distress and for staff. </w:t>
                      </w:r>
                    </w:p>
                  </w:txbxContent>
                </v:textbox>
                <w10:wrap type="square" anchorx="margin"/>
              </v:shape>
            </w:pict>
          </mc:Fallback>
        </mc:AlternateContent>
      </w:r>
      <w:r w:rsidRPr="003E0DF2">
        <w:t>Manatū Hauora</w:t>
      </w:r>
      <w:r>
        <w:t xml:space="preserve"> supports the </w:t>
      </w:r>
      <w:r w:rsidRPr="00CA2668">
        <w:t>reduc</w:t>
      </w:r>
      <w:r>
        <w:t xml:space="preserve">tion </w:t>
      </w:r>
      <w:r w:rsidRPr="00CA2668">
        <w:t>and</w:t>
      </w:r>
      <w:r>
        <w:t xml:space="preserve"> </w:t>
      </w:r>
      <w:r w:rsidRPr="00CA2668">
        <w:t>eliminati</w:t>
      </w:r>
      <w:r>
        <w:t>o</w:t>
      </w:r>
      <w:r w:rsidRPr="00CA2668">
        <w:t>n</w:t>
      </w:r>
      <w:r>
        <w:t xml:space="preserve"> of </w:t>
      </w:r>
      <w:r w:rsidRPr="00CA2668">
        <w:t>seclusion</w:t>
      </w:r>
      <w:r>
        <w:t xml:space="preserve"> </w:t>
      </w:r>
      <w:r w:rsidRPr="00CA2668">
        <w:t>and</w:t>
      </w:r>
      <w:r>
        <w:t xml:space="preserve"> </w:t>
      </w:r>
      <w:r w:rsidRPr="00CA2668">
        <w:t>restraint</w:t>
      </w:r>
      <w:r>
        <w:t xml:space="preserve"> </w:t>
      </w:r>
      <w:r w:rsidRPr="00CA2668">
        <w:t>in</w:t>
      </w:r>
      <w:r>
        <w:t xml:space="preserve"> </w:t>
      </w:r>
      <w:r w:rsidRPr="00CA2668">
        <w:t>mental</w:t>
      </w:r>
      <w:r>
        <w:t xml:space="preserve"> </w:t>
      </w:r>
      <w:r w:rsidRPr="00CA2668">
        <w:t>health</w:t>
      </w:r>
      <w:r>
        <w:t xml:space="preserve"> </w:t>
      </w:r>
      <w:r w:rsidRPr="00CA2668">
        <w:t>services</w:t>
      </w:r>
      <w:r>
        <w:t>.</w:t>
      </w:r>
      <w:r w:rsidRPr="00685B05">
        <w:rPr>
          <w:rStyle w:val="FootnoteReference"/>
          <w:rFonts w:cs="Segoe UI"/>
        </w:rPr>
        <w:footnoteReference w:id="12"/>
      </w:r>
      <w:r>
        <w:t xml:space="preserve"> </w:t>
      </w:r>
    </w:p>
    <w:p w14:paraId="2A6CE406" w14:textId="77777777" w:rsidR="00110CAA" w:rsidRDefault="00110CAA" w:rsidP="00110CAA"/>
    <w:p w14:paraId="095FF6AA" w14:textId="77777777" w:rsidR="00110CAA" w:rsidRDefault="00110CAA" w:rsidP="00110CAA">
      <w:r>
        <w:t xml:space="preserve">We </w:t>
      </w:r>
      <w:r w:rsidRPr="00CA2668">
        <w:t>recognise</w:t>
      </w:r>
      <w:r>
        <w:t xml:space="preserve"> </w:t>
      </w:r>
      <w:r w:rsidRPr="00CA2668">
        <w:t>that</w:t>
      </w:r>
      <w:r>
        <w:t xml:space="preserve"> </w:t>
      </w:r>
      <w:r w:rsidRPr="00CA2668">
        <w:t>seclusion</w:t>
      </w:r>
      <w:r>
        <w:t xml:space="preserve"> </w:t>
      </w:r>
      <w:r w:rsidRPr="00CA2668">
        <w:t>and</w:t>
      </w:r>
      <w:r>
        <w:t xml:space="preserve"> </w:t>
      </w:r>
      <w:r w:rsidRPr="00CA2668">
        <w:t>restraint</w:t>
      </w:r>
      <w:r>
        <w:t xml:space="preserve"> </w:t>
      </w:r>
      <w:r w:rsidRPr="00CA2668">
        <w:t>have</w:t>
      </w:r>
      <w:r>
        <w:t xml:space="preserve"> </w:t>
      </w:r>
      <w:r w:rsidRPr="00CA2668">
        <w:t>no</w:t>
      </w:r>
      <w:r>
        <w:t xml:space="preserve"> </w:t>
      </w:r>
      <w:r w:rsidRPr="00CA2668">
        <w:t>therapeutic</w:t>
      </w:r>
      <w:r>
        <w:t xml:space="preserve"> </w:t>
      </w:r>
      <w:r w:rsidRPr="00CA2668">
        <w:t>benefit</w:t>
      </w:r>
      <w:r>
        <w:t xml:space="preserve"> </w:t>
      </w:r>
      <w:r w:rsidRPr="00CA2668">
        <w:t>and</w:t>
      </w:r>
      <w:r>
        <w:t xml:space="preserve"> </w:t>
      </w:r>
      <w:r w:rsidRPr="00CA2668">
        <w:t>can</w:t>
      </w:r>
      <w:r>
        <w:t xml:space="preserve"> </w:t>
      </w:r>
      <w:r w:rsidRPr="00CA2668">
        <w:t>be</w:t>
      </w:r>
      <w:r>
        <w:t xml:space="preserve"> </w:t>
      </w:r>
      <w:r w:rsidRPr="00CA2668">
        <w:t>harmful</w:t>
      </w:r>
      <w:r>
        <w:t xml:space="preserve"> </w:t>
      </w:r>
      <w:r w:rsidRPr="00CA2668">
        <w:t>both</w:t>
      </w:r>
      <w:r>
        <w:t xml:space="preserve"> </w:t>
      </w:r>
      <w:r w:rsidRPr="00CA2668">
        <w:t>for</w:t>
      </w:r>
      <w:r>
        <w:t xml:space="preserve"> tāngata whaiora </w:t>
      </w:r>
      <w:r w:rsidRPr="00CA2668">
        <w:t>and</w:t>
      </w:r>
      <w:r>
        <w:t xml:space="preserve"> </w:t>
      </w:r>
      <w:r w:rsidRPr="00CA2668">
        <w:t>staff</w:t>
      </w:r>
      <w:r>
        <w:t>.</w:t>
      </w:r>
      <w:r>
        <w:rPr>
          <w:rStyle w:val="FootnoteReference"/>
          <w:rFonts w:cs="Segoe UI"/>
        </w:rPr>
        <w:footnoteReference w:id="13"/>
      </w:r>
      <w:r w:rsidRPr="00A42A52">
        <w:rPr>
          <w:vertAlign w:val="superscript"/>
        </w:rPr>
        <w:t>,</w:t>
      </w:r>
      <w:r>
        <w:rPr>
          <w:rStyle w:val="FootnoteReference"/>
          <w:rFonts w:cs="Segoe UI"/>
        </w:rPr>
        <w:footnoteReference w:id="14"/>
      </w:r>
      <w:r>
        <w:t xml:space="preserve"> </w:t>
      </w:r>
      <w:r w:rsidRPr="00CA2668">
        <w:t>The</w:t>
      </w:r>
      <w:r>
        <w:t xml:space="preserve"> </w:t>
      </w:r>
      <w:r w:rsidRPr="00CA2668">
        <w:t>types</w:t>
      </w:r>
      <w:r>
        <w:t xml:space="preserve"> </w:t>
      </w:r>
      <w:r w:rsidRPr="00CA2668">
        <w:t>of</w:t>
      </w:r>
      <w:r>
        <w:t xml:space="preserve"> </w:t>
      </w:r>
      <w:r w:rsidRPr="00CA2668">
        <w:t>harm</w:t>
      </w:r>
      <w:r>
        <w:t xml:space="preserve"> caused to tāngata whaiora </w:t>
      </w:r>
      <w:r w:rsidRPr="00CA2668">
        <w:t>include</w:t>
      </w:r>
      <w:r>
        <w:t xml:space="preserve"> </w:t>
      </w:r>
      <w:r w:rsidRPr="00CA2668">
        <w:t>psychological</w:t>
      </w:r>
      <w:r>
        <w:t xml:space="preserve"> </w:t>
      </w:r>
      <w:r w:rsidRPr="00CA2668">
        <w:t>trauma</w:t>
      </w:r>
      <w:r>
        <w:t xml:space="preserve"> </w:t>
      </w:r>
      <w:r w:rsidRPr="00CA2668">
        <w:t>(</w:t>
      </w:r>
      <w:r>
        <w:t xml:space="preserve">for example, through </w:t>
      </w:r>
      <w:r w:rsidRPr="00CA2668">
        <w:t>re</w:t>
      </w:r>
      <w:r>
        <w:t>-</w:t>
      </w:r>
      <w:r w:rsidRPr="00CA2668">
        <w:t>triggering</w:t>
      </w:r>
      <w:r>
        <w:t xml:space="preserve"> </w:t>
      </w:r>
      <w:r w:rsidRPr="00CA2668">
        <w:t>existing</w:t>
      </w:r>
      <w:r>
        <w:t xml:space="preserve"> </w:t>
      </w:r>
      <w:r w:rsidRPr="00CA2668">
        <w:t>traumas),</w:t>
      </w:r>
      <w:r>
        <w:t xml:space="preserve"> </w:t>
      </w:r>
      <w:r w:rsidRPr="00CA2668">
        <w:t>physical</w:t>
      </w:r>
      <w:r>
        <w:t xml:space="preserve"> </w:t>
      </w:r>
      <w:r w:rsidRPr="00CA2668">
        <w:t>injury</w:t>
      </w:r>
      <w:r>
        <w:t xml:space="preserve"> including death, cultural harm</w:t>
      </w:r>
      <w:r>
        <w:rPr>
          <w:rStyle w:val="FootnoteReference"/>
          <w:rFonts w:cs="Segoe UI"/>
        </w:rPr>
        <w:footnoteReference w:id="15"/>
      </w:r>
      <w:r>
        <w:t xml:space="preserve"> and </w:t>
      </w:r>
      <w:r w:rsidRPr="00CA2668">
        <w:t>damage</w:t>
      </w:r>
      <w:r>
        <w:t xml:space="preserve"> </w:t>
      </w:r>
      <w:r w:rsidRPr="00CA2668">
        <w:t>to</w:t>
      </w:r>
      <w:r>
        <w:t xml:space="preserve"> </w:t>
      </w:r>
      <w:r w:rsidRPr="00CA2668">
        <w:t>therapeutic</w:t>
      </w:r>
      <w:r>
        <w:t xml:space="preserve"> </w:t>
      </w:r>
      <w:r w:rsidRPr="00CA2668">
        <w:t>relationships</w:t>
      </w:r>
      <w:r>
        <w:t>.</w:t>
      </w:r>
      <w:r>
        <w:rPr>
          <w:rStyle w:val="FootnoteReference"/>
          <w:rFonts w:cs="Segoe UI"/>
        </w:rPr>
        <w:footnoteReference w:id="16"/>
      </w:r>
      <w:r w:rsidRPr="007154F0">
        <w:rPr>
          <w:vertAlign w:val="superscript"/>
        </w:rPr>
        <w:t>,</w:t>
      </w:r>
      <w:r w:rsidRPr="00145063">
        <w:rPr>
          <w:vertAlign w:val="superscript"/>
        </w:rPr>
        <w:footnoteReference w:id="17"/>
      </w:r>
      <w:r>
        <w:t xml:space="preserve"> Seclusion and restraint are damaging to </w:t>
      </w:r>
      <w:r w:rsidRPr="00CA2668">
        <w:t>autonomy,</w:t>
      </w:r>
      <w:r>
        <w:t xml:space="preserve"> </w:t>
      </w:r>
      <w:r w:rsidRPr="00CA2668">
        <w:t>mana</w:t>
      </w:r>
      <w:r>
        <w:t xml:space="preserve"> </w:t>
      </w:r>
      <w:r w:rsidRPr="00CA2668">
        <w:t>and</w:t>
      </w:r>
      <w:r>
        <w:t xml:space="preserve"> </w:t>
      </w:r>
      <w:r w:rsidRPr="00CA2668">
        <w:t>dignity.</w:t>
      </w:r>
      <w:r w:rsidRPr="00145063">
        <w:rPr>
          <w:vertAlign w:val="superscript"/>
        </w:rPr>
        <w:footnoteReference w:id="18"/>
      </w:r>
      <w:r>
        <w:t xml:space="preserve"> As Māori and Pacific people are more likely to experience seclusion and restraint,</w:t>
      </w:r>
      <w:r>
        <w:rPr>
          <w:rStyle w:val="FootnoteReference"/>
          <w:rFonts w:cs="Segoe UI"/>
        </w:rPr>
        <w:footnoteReference w:id="19"/>
      </w:r>
      <w:r>
        <w:t xml:space="preserve"> they bear a disproportionate amount of the harm New Zealanders experience from seclusion and restraint. The risk of physical injury during restraint appears to be higher for children and adolescents and for people with physical health challenges.</w:t>
      </w:r>
      <w:r w:rsidRPr="00145063">
        <w:rPr>
          <w:vertAlign w:val="superscript"/>
        </w:rPr>
        <w:footnoteReference w:id="20"/>
      </w:r>
      <w:r>
        <w:t xml:space="preserve"> </w:t>
      </w:r>
    </w:p>
    <w:p w14:paraId="2ADA0546" w14:textId="77777777" w:rsidR="00110CAA" w:rsidRPr="00110CAA" w:rsidRDefault="00110CAA" w:rsidP="00110CAA">
      <w:pPr>
        <w:rPr>
          <w:rFonts w:eastAsiaTheme="majorEastAsia"/>
        </w:rPr>
      </w:pPr>
    </w:p>
    <w:p w14:paraId="223646A5" w14:textId="77777777" w:rsidR="00CF2956" w:rsidRPr="00CF2956" w:rsidRDefault="00CF2956" w:rsidP="00CF2956"/>
    <w:p w14:paraId="26D89125" w14:textId="77777777" w:rsidR="001A719A" w:rsidRPr="001A719A" w:rsidRDefault="001A719A" w:rsidP="00CF2956">
      <w:pPr>
        <w:rPr>
          <w:rFonts w:eastAsiaTheme="majorEastAsia"/>
        </w:rPr>
      </w:pPr>
    </w:p>
    <w:p w14:paraId="4B52AF02" w14:textId="0F027F11" w:rsidR="00B0292E" w:rsidRDefault="00B0292E" w:rsidP="00B0292E">
      <w:r>
        <w:lastRenderedPageBreak/>
        <w:t>The use of seclusion and restraint can also cause</w:t>
      </w:r>
      <w:r w:rsidRPr="009D578E">
        <w:t xml:space="preserve"> distress or harm to other tāngata whaiora </w:t>
      </w:r>
      <w:r>
        <w:t xml:space="preserve">and staff </w:t>
      </w:r>
      <w:r w:rsidRPr="009D578E">
        <w:t xml:space="preserve">who witness </w:t>
      </w:r>
      <w:r>
        <w:t>it</w:t>
      </w:r>
      <w:r w:rsidRPr="009D578E">
        <w:t>.</w:t>
      </w:r>
      <w:r>
        <w:t xml:space="preserve"> </w:t>
      </w:r>
    </w:p>
    <w:p w14:paraId="6DD175AE" w14:textId="77777777" w:rsidR="00B0292E" w:rsidRDefault="00B0292E" w:rsidP="00B0292E"/>
    <w:p w14:paraId="3E10CE19" w14:textId="77777777" w:rsidR="00B0292E" w:rsidRDefault="00B0292E" w:rsidP="00B0292E">
      <w:r>
        <w:t xml:space="preserve">Experience from overseas and locally </w:t>
      </w:r>
      <w:r w:rsidRPr="00BF559F">
        <w:t>suggests it is possible to</w:t>
      </w:r>
      <w:r>
        <w:t xml:space="preserve"> stop using seclusion</w:t>
      </w:r>
      <w:r w:rsidRPr="00BF559F">
        <w:t xml:space="preserve"> and minimise restraint</w:t>
      </w:r>
      <w:r>
        <w:t xml:space="preserve"> in mental health services</w:t>
      </w:r>
      <w:r w:rsidRPr="00BF559F">
        <w:t xml:space="preserve">. </w:t>
      </w:r>
      <w:r>
        <w:t>Evidence from</w:t>
      </w:r>
      <w:r w:rsidRPr="00BF559F">
        <w:t xml:space="preserve"> </w:t>
      </w:r>
      <w:r>
        <w:t xml:space="preserve">Aotearoa </w:t>
      </w:r>
      <w:r w:rsidRPr="00BF559F">
        <w:t>New Zealand</w:t>
      </w:r>
      <w:r>
        <w:t xml:space="preserve"> </w:t>
      </w:r>
      <w:r w:rsidRPr="00BF559F">
        <w:t>also suggests the key factors in supporting the reduction of</w:t>
      </w:r>
      <w:r>
        <w:t xml:space="preserve"> seclusion and restraint</w:t>
      </w:r>
      <w:r w:rsidRPr="00BF559F">
        <w:t xml:space="preserve"> are related to organisational culture, including service delivery</w:t>
      </w:r>
      <w:r>
        <w:t xml:space="preserve"> </w:t>
      </w:r>
      <w:r w:rsidRPr="00BF559F">
        <w:t>models and practice approaches, rather than factors intrinsic to tāngata whaiora.</w:t>
      </w:r>
      <w:r>
        <w:t xml:space="preserve"> </w:t>
      </w:r>
      <w:r w:rsidRPr="00BF559F">
        <w:t xml:space="preserve">This means concerted efforts from </w:t>
      </w:r>
      <w:r>
        <w:t xml:space="preserve">services and </w:t>
      </w:r>
      <w:r w:rsidRPr="00BF559F">
        <w:t>practitioners can truly make change.</w:t>
      </w:r>
      <w:r>
        <w:rPr>
          <w:rStyle w:val="FootnoteReference"/>
          <w:rFonts w:cs="Segoe UI"/>
        </w:rPr>
        <w:footnoteReference w:id="21"/>
      </w:r>
      <w:r w:rsidRPr="002D3D23">
        <w:rPr>
          <w:vertAlign w:val="superscript"/>
        </w:rPr>
        <w:t>,</w:t>
      </w:r>
      <w:r>
        <w:rPr>
          <w:rStyle w:val="FootnoteReference"/>
          <w:rFonts w:cs="Segoe UI"/>
        </w:rPr>
        <w:footnoteReference w:id="22"/>
      </w:r>
      <w:r>
        <w:t xml:space="preserve"> </w:t>
      </w:r>
    </w:p>
    <w:p w14:paraId="25BF5DEA" w14:textId="77777777" w:rsidR="00B0292E" w:rsidRPr="00C24694" w:rsidRDefault="00B0292E" w:rsidP="00B0292E">
      <w:pPr>
        <w:pStyle w:val="Heading2"/>
      </w:pPr>
      <w:bookmarkStart w:id="20" w:name="_Toc103152095"/>
      <w:bookmarkStart w:id="21" w:name="_Toc105770616"/>
      <w:bookmarkStart w:id="22" w:name="_Toc131663793"/>
      <w:bookmarkStart w:id="23" w:name="_Toc132355309"/>
      <w:r w:rsidRPr="00C24694">
        <w:t>Upholding</w:t>
      </w:r>
      <w:r>
        <w:t xml:space="preserve"> </w:t>
      </w:r>
      <w:r w:rsidRPr="00C24694">
        <w:t>Te</w:t>
      </w:r>
      <w:r>
        <w:t xml:space="preserve"> </w:t>
      </w:r>
      <w:r w:rsidRPr="00C24694">
        <w:t>Tiriti</w:t>
      </w:r>
      <w:r>
        <w:t xml:space="preserve"> </w:t>
      </w:r>
      <w:r w:rsidRPr="00C24694">
        <w:t>o</w:t>
      </w:r>
      <w:r>
        <w:t xml:space="preserve"> </w:t>
      </w:r>
      <w:r w:rsidRPr="00C24694">
        <w:t>Waitangi</w:t>
      </w:r>
      <w:r>
        <w:t xml:space="preserve"> </w:t>
      </w:r>
      <w:r w:rsidRPr="00C24694">
        <w:t>and</w:t>
      </w:r>
      <w:r>
        <w:t xml:space="preserve"> </w:t>
      </w:r>
      <w:r w:rsidRPr="00C24694">
        <w:t>people’s</w:t>
      </w:r>
      <w:r>
        <w:t xml:space="preserve"> </w:t>
      </w:r>
      <w:r w:rsidRPr="00C24694">
        <w:t>rights</w:t>
      </w:r>
      <w:bookmarkEnd w:id="20"/>
      <w:bookmarkEnd w:id="21"/>
      <w:bookmarkEnd w:id="22"/>
      <w:bookmarkEnd w:id="23"/>
    </w:p>
    <w:p w14:paraId="3982A2C4" w14:textId="77777777" w:rsidR="00B0292E" w:rsidRPr="006563E7" w:rsidRDefault="00B0292E" w:rsidP="00B0292E">
      <w:pPr>
        <w:pStyle w:val="Heading3"/>
      </w:pPr>
      <w:bookmarkStart w:id="24" w:name="_Toc103152096"/>
      <w:bookmarkStart w:id="25" w:name="_Toc105770617"/>
      <w:bookmarkStart w:id="26" w:name="_Toc131663794"/>
      <w:r w:rsidRPr="006563E7">
        <w:t>Te</w:t>
      </w:r>
      <w:r>
        <w:t xml:space="preserve"> </w:t>
      </w:r>
      <w:r w:rsidRPr="006563E7">
        <w:t>Tiriti</w:t>
      </w:r>
      <w:r>
        <w:t xml:space="preserve"> </w:t>
      </w:r>
      <w:r w:rsidRPr="006563E7">
        <w:t>o</w:t>
      </w:r>
      <w:r>
        <w:t xml:space="preserve"> </w:t>
      </w:r>
      <w:r w:rsidRPr="006563E7">
        <w:t>Waitangi</w:t>
      </w:r>
      <w:bookmarkEnd w:id="24"/>
      <w:bookmarkEnd w:id="25"/>
      <w:bookmarkEnd w:id="26"/>
      <w:r>
        <w:t xml:space="preserve"> </w:t>
      </w:r>
    </w:p>
    <w:p w14:paraId="63AAFAFD" w14:textId="179C917E" w:rsidR="00B0292E" w:rsidRDefault="00B0292E" w:rsidP="00B0292E">
      <w:r w:rsidRPr="006B55A5">
        <w:t>Manatū Hauora</w:t>
      </w:r>
      <w:r>
        <w:t xml:space="preserve"> </w:t>
      </w:r>
      <w:r w:rsidRPr="00CA2668">
        <w:t>and</w:t>
      </w:r>
      <w:r>
        <w:t xml:space="preserve"> </w:t>
      </w:r>
      <w:r w:rsidRPr="00CA2668">
        <w:t>public</w:t>
      </w:r>
      <w:r>
        <w:t xml:space="preserve"> </w:t>
      </w:r>
      <w:r w:rsidRPr="00CA2668">
        <w:t>mental</w:t>
      </w:r>
      <w:r>
        <w:t xml:space="preserve"> </w:t>
      </w:r>
      <w:r w:rsidRPr="00CA2668">
        <w:t>health</w:t>
      </w:r>
      <w:r>
        <w:t xml:space="preserve"> </w:t>
      </w:r>
      <w:r w:rsidRPr="00CA2668">
        <w:t>service</w:t>
      </w:r>
      <w:r>
        <w:t xml:space="preserve"> </w:t>
      </w:r>
      <w:r w:rsidRPr="00CA2668">
        <w:t>providers</w:t>
      </w:r>
      <w:r>
        <w:t xml:space="preserve"> </w:t>
      </w:r>
      <w:r w:rsidRPr="00CA2668">
        <w:t>have</w:t>
      </w:r>
      <w:r>
        <w:t xml:space="preserve"> </w:t>
      </w:r>
      <w:r w:rsidRPr="00CA2668">
        <w:t>a</w:t>
      </w:r>
      <w:r>
        <w:t xml:space="preserve"> </w:t>
      </w:r>
      <w:r w:rsidRPr="00CA2668">
        <w:t>responsibility</w:t>
      </w:r>
      <w:r>
        <w:t xml:space="preserve"> </w:t>
      </w:r>
      <w:r w:rsidRPr="00CA2668">
        <w:t>to</w:t>
      </w:r>
      <w:r>
        <w:t xml:space="preserve"> </w:t>
      </w:r>
      <w:r w:rsidRPr="00CA2668">
        <w:t>contribute</w:t>
      </w:r>
      <w:r>
        <w:t xml:space="preserve"> </w:t>
      </w:r>
      <w:r w:rsidRPr="00CA2668">
        <w:t>to</w:t>
      </w:r>
      <w:r>
        <w:t xml:space="preserve"> </w:t>
      </w:r>
      <w:r w:rsidRPr="00CA2668">
        <w:t>the</w:t>
      </w:r>
      <w:r>
        <w:t xml:space="preserve"> </w:t>
      </w:r>
      <w:r w:rsidRPr="00CA2668">
        <w:t>Crown</w:t>
      </w:r>
      <w:r>
        <w:t xml:space="preserve"> </w:t>
      </w:r>
      <w:r w:rsidRPr="00CA2668">
        <w:t>meeting</w:t>
      </w:r>
      <w:r>
        <w:t xml:space="preserve"> </w:t>
      </w:r>
      <w:r w:rsidRPr="00CA2668">
        <w:t>its</w:t>
      </w:r>
      <w:r>
        <w:t xml:space="preserve"> </w:t>
      </w:r>
      <w:r w:rsidRPr="00CA2668">
        <w:t>obligations</w:t>
      </w:r>
      <w:r>
        <w:t xml:space="preserve"> </w:t>
      </w:r>
      <w:r w:rsidRPr="00CA2668">
        <w:t>under</w:t>
      </w:r>
      <w:r>
        <w:t xml:space="preserve"> </w:t>
      </w:r>
      <w:r w:rsidRPr="00CA2668">
        <w:t>Te</w:t>
      </w:r>
      <w:r>
        <w:t xml:space="preserve"> </w:t>
      </w:r>
      <w:r w:rsidRPr="00CA2668">
        <w:t>Tiriti</w:t>
      </w:r>
      <w:r>
        <w:t xml:space="preserve"> o Waitangi</w:t>
      </w:r>
      <w:r w:rsidRPr="00CA2668">
        <w:t>.</w:t>
      </w:r>
      <w:r>
        <w:t xml:space="preserve"> </w:t>
      </w:r>
      <w:r w:rsidRPr="00CA2668">
        <w:t>The</w:t>
      </w:r>
      <w:r>
        <w:t xml:space="preserve"> </w:t>
      </w:r>
      <w:r w:rsidRPr="00CA2668">
        <w:t>principles</w:t>
      </w:r>
      <w:r>
        <w:t xml:space="preserve"> </w:t>
      </w:r>
      <w:r w:rsidRPr="00CA2668">
        <w:t>of</w:t>
      </w:r>
      <w:r>
        <w:t xml:space="preserve"> </w:t>
      </w:r>
      <w:r w:rsidRPr="00CA2668">
        <w:t>Te</w:t>
      </w:r>
      <w:r>
        <w:t xml:space="preserve"> </w:t>
      </w:r>
      <w:r w:rsidRPr="00CA2668">
        <w:t>Tiriti</w:t>
      </w:r>
      <w:r>
        <w:t xml:space="preserve"> </w:t>
      </w:r>
      <w:r w:rsidRPr="00CA2668">
        <w:t>provide</w:t>
      </w:r>
      <w:r>
        <w:t xml:space="preserve"> </w:t>
      </w:r>
      <w:r w:rsidRPr="00CA2668">
        <w:t>the</w:t>
      </w:r>
      <w:r>
        <w:t xml:space="preserve"> </w:t>
      </w:r>
      <w:r w:rsidRPr="00CA2668">
        <w:t>framework</w:t>
      </w:r>
      <w:r>
        <w:t xml:space="preserve"> </w:t>
      </w:r>
      <w:r w:rsidRPr="00CA2668">
        <w:t>for</w:t>
      </w:r>
      <w:r>
        <w:t xml:space="preserve"> </w:t>
      </w:r>
      <w:r w:rsidRPr="00CA2668">
        <w:t>meet</w:t>
      </w:r>
      <w:r>
        <w:t xml:space="preserve">ing </w:t>
      </w:r>
      <w:r w:rsidRPr="00CA2668">
        <w:t>our</w:t>
      </w:r>
      <w:r>
        <w:t xml:space="preserve"> </w:t>
      </w:r>
      <w:r w:rsidRPr="00CA2668">
        <w:t>obligations</w:t>
      </w:r>
      <w:r>
        <w:t xml:space="preserve"> </w:t>
      </w:r>
      <w:r w:rsidRPr="00CA2668">
        <w:t>under</w:t>
      </w:r>
      <w:r>
        <w:t xml:space="preserve"> </w:t>
      </w:r>
      <w:r w:rsidRPr="00CA2668">
        <w:t>Te</w:t>
      </w:r>
      <w:r>
        <w:t xml:space="preserve"> </w:t>
      </w:r>
      <w:r w:rsidRPr="00CA2668">
        <w:t>Tiriti</w:t>
      </w:r>
      <w:r>
        <w:t xml:space="preserve"> </w:t>
      </w:r>
      <w:r w:rsidRPr="00CA2668">
        <w:t>in</w:t>
      </w:r>
      <w:r>
        <w:t xml:space="preserve"> </w:t>
      </w:r>
      <w:r w:rsidRPr="00CA2668">
        <w:t>our</w:t>
      </w:r>
      <w:r>
        <w:t xml:space="preserve"> </w:t>
      </w:r>
      <w:r w:rsidRPr="00CA2668">
        <w:t>day-to-day</w:t>
      </w:r>
      <w:r>
        <w:t xml:space="preserve"> </w:t>
      </w:r>
      <w:r w:rsidRPr="00CA2668">
        <w:t>work.</w:t>
      </w:r>
      <w:r>
        <w:t xml:space="preserve"> </w:t>
      </w:r>
    </w:p>
    <w:p w14:paraId="6C865D39" w14:textId="77777777" w:rsidR="00B0292E" w:rsidRDefault="00B0292E" w:rsidP="00B0292E"/>
    <w:p w14:paraId="316BA82F" w14:textId="77777777" w:rsidR="00B0292E" w:rsidRDefault="00B0292E" w:rsidP="00B0292E">
      <w:r>
        <w:t xml:space="preserve">The Pae Ora (Healthy Futures) Act 2022 requires the health sector, in </w:t>
      </w:r>
      <w:r w:rsidRPr="00AE4359">
        <w:t>provid</w:t>
      </w:r>
      <w:r>
        <w:t>ing</w:t>
      </w:r>
      <w:r w:rsidRPr="00AE4359">
        <w:t xml:space="preserve"> for the Crown’s intention to give effect to the principles of </w:t>
      </w:r>
      <w:r>
        <w:t>T</w:t>
      </w:r>
      <w:r w:rsidRPr="00AE4359">
        <w:t>e Tiriti</w:t>
      </w:r>
      <w:r>
        <w:t xml:space="preserve">, to be guided by the health sector principles (section 6(a)), which include equity of access and outcomes for Māori (section 7(1)(a)), engaging with Māori on service delivery </w:t>
      </w:r>
      <w:r w:rsidRPr="007C520D">
        <w:t>to improve hauora Māori outcomes</w:t>
      </w:r>
      <w:r>
        <w:t xml:space="preserve"> (section 7(1)(b)) and provision of quality services to Māori (section 7(1)(d)).  </w:t>
      </w:r>
    </w:p>
    <w:p w14:paraId="6853CE89" w14:textId="77777777" w:rsidR="0019333A" w:rsidRDefault="0019333A" w:rsidP="00B0292E"/>
    <w:p w14:paraId="0A1FD89C" w14:textId="6B81A996" w:rsidR="00B0292E" w:rsidRPr="00CA2668" w:rsidRDefault="00B0292E" w:rsidP="00B0292E">
      <w:r w:rsidRPr="00CA2668">
        <w:t>The</w:t>
      </w:r>
      <w:r>
        <w:t xml:space="preserve"> </w:t>
      </w:r>
      <w:r w:rsidRPr="00CA2668">
        <w:t>following</w:t>
      </w:r>
      <w:r>
        <w:t xml:space="preserve"> </w:t>
      </w:r>
      <w:r w:rsidRPr="00CA2668">
        <w:t>principles</w:t>
      </w:r>
      <w:r>
        <w:t xml:space="preserve"> </w:t>
      </w:r>
      <w:r w:rsidRPr="00CA2668">
        <w:t>will</w:t>
      </w:r>
      <w:r>
        <w:t xml:space="preserve"> </w:t>
      </w:r>
      <w:r w:rsidRPr="00CA2668">
        <w:t>help</w:t>
      </w:r>
      <w:r>
        <w:t xml:space="preserve"> </w:t>
      </w:r>
      <w:r w:rsidRPr="00CA2668">
        <w:t>services</w:t>
      </w:r>
      <w:r>
        <w:t xml:space="preserve"> </w:t>
      </w:r>
      <w:r w:rsidRPr="00CA2668">
        <w:t>apply</w:t>
      </w:r>
      <w:r>
        <w:t xml:space="preserve"> </w:t>
      </w:r>
      <w:r w:rsidRPr="00CA2668">
        <w:t>these</w:t>
      </w:r>
      <w:r>
        <w:t xml:space="preserve"> </w:t>
      </w:r>
      <w:r w:rsidRPr="00CA2668">
        <w:t>guidelines</w:t>
      </w:r>
      <w:r>
        <w:t xml:space="preserve"> </w:t>
      </w:r>
      <w:r w:rsidRPr="00CA2668">
        <w:t>in</w:t>
      </w:r>
      <w:r>
        <w:t xml:space="preserve"> </w:t>
      </w:r>
      <w:r w:rsidRPr="00CA2668">
        <w:t>line</w:t>
      </w:r>
      <w:r>
        <w:t xml:space="preserve"> </w:t>
      </w:r>
      <w:r w:rsidRPr="00CA2668">
        <w:t>with</w:t>
      </w:r>
      <w:r>
        <w:t xml:space="preserve"> </w:t>
      </w:r>
      <w:r w:rsidRPr="00CA2668">
        <w:t>Te</w:t>
      </w:r>
      <w:r>
        <w:t xml:space="preserve"> </w:t>
      </w:r>
      <w:r w:rsidRPr="00CA2668">
        <w:t>Tiriti.</w:t>
      </w:r>
      <w:r w:rsidRPr="00145063">
        <w:rPr>
          <w:vertAlign w:val="superscript"/>
        </w:rPr>
        <w:footnoteReference w:id="23"/>
      </w:r>
    </w:p>
    <w:p w14:paraId="02C5A1BB" w14:textId="77777777" w:rsidR="00B0292E" w:rsidRPr="00CA2668" w:rsidRDefault="00B0292E" w:rsidP="00B0292E">
      <w:pPr>
        <w:pStyle w:val="Bullet"/>
      </w:pPr>
      <w:r w:rsidRPr="00CA2668">
        <w:rPr>
          <w:b/>
        </w:rPr>
        <w:t>Tino</w:t>
      </w:r>
      <w:r>
        <w:rPr>
          <w:b/>
        </w:rPr>
        <w:t xml:space="preserve"> </w:t>
      </w:r>
      <w:r w:rsidRPr="00CA2668">
        <w:rPr>
          <w:b/>
        </w:rPr>
        <w:t>rangatiratanga</w:t>
      </w:r>
      <w:r w:rsidRPr="00CA2668">
        <w:t>:</w:t>
      </w:r>
      <w:r>
        <w:t xml:space="preserve"> </w:t>
      </w:r>
      <w:r w:rsidRPr="00CA2668">
        <w:t>The</w:t>
      </w:r>
      <w:r>
        <w:t xml:space="preserve"> </w:t>
      </w:r>
      <w:r w:rsidRPr="00CA2668">
        <w:t>guarantee</w:t>
      </w:r>
      <w:r>
        <w:t xml:space="preserve"> </w:t>
      </w:r>
      <w:r w:rsidRPr="00CA2668">
        <w:t>of</w:t>
      </w:r>
      <w:r>
        <w:t xml:space="preserve"> </w:t>
      </w:r>
      <w:r w:rsidRPr="00CA2668">
        <w:t>tino</w:t>
      </w:r>
      <w:r>
        <w:t xml:space="preserve"> </w:t>
      </w:r>
      <w:r w:rsidRPr="00CA2668">
        <w:t>rangatiratanga</w:t>
      </w:r>
      <w:r>
        <w:t xml:space="preserve"> </w:t>
      </w:r>
      <w:r w:rsidRPr="00CA2668">
        <w:t>provides</w:t>
      </w:r>
      <w:r>
        <w:t xml:space="preserve"> </w:t>
      </w:r>
      <w:r w:rsidRPr="00CA2668">
        <w:t>for</w:t>
      </w:r>
      <w:r>
        <w:t xml:space="preserve"> </w:t>
      </w:r>
      <w:r w:rsidRPr="00CA2668">
        <w:t>Māori</w:t>
      </w:r>
      <w:r>
        <w:t xml:space="preserve"> </w:t>
      </w:r>
      <w:r w:rsidRPr="00CA2668">
        <w:t>self-determination</w:t>
      </w:r>
      <w:r>
        <w:t xml:space="preserve"> </w:t>
      </w:r>
      <w:r w:rsidRPr="00CA2668">
        <w:t>and</w:t>
      </w:r>
      <w:r>
        <w:t xml:space="preserve"> </w:t>
      </w:r>
      <w:r w:rsidRPr="00CA2668">
        <w:t>mana</w:t>
      </w:r>
      <w:r>
        <w:t xml:space="preserve"> </w:t>
      </w:r>
      <w:r w:rsidRPr="00CA2668">
        <w:t>motuhake</w:t>
      </w:r>
      <w:r>
        <w:t xml:space="preserve"> </w:t>
      </w:r>
      <w:r w:rsidRPr="00CA2668">
        <w:t>in</w:t>
      </w:r>
      <w:r>
        <w:t xml:space="preserve"> </w:t>
      </w:r>
      <w:r w:rsidRPr="00CA2668">
        <w:t>the</w:t>
      </w:r>
      <w:r>
        <w:t xml:space="preserve"> </w:t>
      </w:r>
      <w:r w:rsidRPr="00CA2668">
        <w:t>design,</w:t>
      </w:r>
      <w:r>
        <w:t xml:space="preserve"> </w:t>
      </w:r>
      <w:r w:rsidRPr="00CA2668">
        <w:t>delivery</w:t>
      </w:r>
      <w:r>
        <w:t xml:space="preserve"> </w:t>
      </w:r>
      <w:r w:rsidRPr="00CA2668">
        <w:t>and</w:t>
      </w:r>
      <w:r>
        <w:t xml:space="preserve"> </w:t>
      </w:r>
      <w:r w:rsidRPr="00CA2668">
        <w:t>monitoring</w:t>
      </w:r>
      <w:r>
        <w:t xml:space="preserve"> </w:t>
      </w:r>
      <w:r w:rsidRPr="00CA2668">
        <w:t>of</w:t>
      </w:r>
      <w:r>
        <w:t xml:space="preserve"> </w:t>
      </w:r>
      <w:r w:rsidRPr="00CA2668">
        <w:t>health</w:t>
      </w:r>
      <w:r>
        <w:t xml:space="preserve"> </w:t>
      </w:r>
      <w:r w:rsidRPr="00CA2668">
        <w:t>and</w:t>
      </w:r>
      <w:r>
        <w:t xml:space="preserve"> </w:t>
      </w:r>
      <w:r w:rsidRPr="00CA2668">
        <w:t>disability</w:t>
      </w:r>
      <w:r>
        <w:t xml:space="preserve"> </w:t>
      </w:r>
      <w:r w:rsidRPr="00CA2668">
        <w:t>services.</w:t>
      </w:r>
    </w:p>
    <w:p w14:paraId="72DA3A3A" w14:textId="77777777" w:rsidR="00B0292E" w:rsidRPr="00CA2668" w:rsidRDefault="00B0292E" w:rsidP="00B0292E">
      <w:pPr>
        <w:pStyle w:val="Bullet"/>
      </w:pPr>
      <w:r w:rsidRPr="00CA2668">
        <w:rPr>
          <w:b/>
        </w:rPr>
        <w:t>Equity</w:t>
      </w:r>
      <w:r w:rsidRPr="00CA2668">
        <w:t>:</w:t>
      </w:r>
      <w:r>
        <w:t xml:space="preserve"> </w:t>
      </w:r>
      <w:r w:rsidRPr="00CA2668">
        <w:t>The</w:t>
      </w:r>
      <w:r>
        <w:t xml:space="preserve"> </w:t>
      </w:r>
      <w:r w:rsidRPr="00CA2668">
        <w:t>principle</w:t>
      </w:r>
      <w:r>
        <w:t xml:space="preserve"> </w:t>
      </w:r>
      <w:r w:rsidRPr="00CA2668">
        <w:t>of</w:t>
      </w:r>
      <w:r>
        <w:t xml:space="preserve"> </w:t>
      </w:r>
      <w:r w:rsidRPr="00CA2668">
        <w:t>equity</w:t>
      </w:r>
      <w:r>
        <w:t xml:space="preserve"> </w:t>
      </w:r>
      <w:r w:rsidRPr="00CA2668">
        <w:t>requires</w:t>
      </w:r>
      <w:r>
        <w:t xml:space="preserve"> </w:t>
      </w:r>
      <w:r w:rsidRPr="00CA2668">
        <w:t>the</w:t>
      </w:r>
      <w:r>
        <w:t xml:space="preserve"> </w:t>
      </w:r>
      <w:r w:rsidRPr="00CA2668">
        <w:t>Crown</w:t>
      </w:r>
      <w:r>
        <w:t xml:space="preserve"> </w:t>
      </w:r>
      <w:r w:rsidRPr="00CA2668">
        <w:t>to</w:t>
      </w:r>
      <w:r>
        <w:t xml:space="preserve"> </w:t>
      </w:r>
      <w:r w:rsidRPr="00CA2668">
        <w:t>commit</w:t>
      </w:r>
      <w:r>
        <w:t xml:space="preserve"> </w:t>
      </w:r>
      <w:r w:rsidRPr="00CA2668">
        <w:t>to</w:t>
      </w:r>
      <w:r>
        <w:t xml:space="preserve"> </w:t>
      </w:r>
      <w:r w:rsidRPr="00CA2668">
        <w:t>achieving</w:t>
      </w:r>
      <w:r>
        <w:t xml:space="preserve"> </w:t>
      </w:r>
      <w:r w:rsidRPr="00CA2668">
        <w:t>equitable</w:t>
      </w:r>
      <w:r>
        <w:t xml:space="preserve"> </w:t>
      </w:r>
      <w:r w:rsidRPr="00CA2668">
        <w:t>health</w:t>
      </w:r>
      <w:r>
        <w:t xml:space="preserve"> </w:t>
      </w:r>
      <w:r w:rsidRPr="00CA2668">
        <w:t>outcomes</w:t>
      </w:r>
      <w:r>
        <w:t xml:space="preserve"> </w:t>
      </w:r>
      <w:r w:rsidRPr="00CA2668">
        <w:t>for</w:t>
      </w:r>
      <w:r>
        <w:t xml:space="preserve"> </w:t>
      </w:r>
      <w:r w:rsidRPr="00CA2668">
        <w:t>Māori.</w:t>
      </w:r>
    </w:p>
    <w:p w14:paraId="38F8C539" w14:textId="77777777" w:rsidR="00B0292E" w:rsidRPr="00CA2668" w:rsidRDefault="00B0292E" w:rsidP="00B0292E">
      <w:pPr>
        <w:pStyle w:val="Bullet"/>
      </w:pPr>
      <w:r w:rsidRPr="00CA2668">
        <w:rPr>
          <w:b/>
        </w:rPr>
        <w:t>Active</w:t>
      </w:r>
      <w:r>
        <w:rPr>
          <w:b/>
        </w:rPr>
        <w:t xml:space="preserve"> </w:t>
      </w:r>
      <w:r w:rsidRPr="00CA2668">
        <w:rPr>
          <w:b/>
        </w:rPr>
        <w:t>protection</w:t>
      </w:r>
      <w:r w:rsidRPr="00CA2668">
        <w:t>:</w:t>
      </w:r>
      <w:r>
        <w:t xml:space="preserve"> </w:t>
      </w:r>
      <w:r w:rsidRPr="00CA2668">
        <w:t>The</w:t>
      </w:r>
      <w:r>
        <w:t xml:space="preserve"> </w:t>
      </w:r>
      <w:r w:rsidRPr="00CA2668">
        <w:t>principle</w:t>
      </w:r>
      <w:r>
        <w:t xml:space="preserve"> </w:t>
      </w:r>
      <w:r w:rsidRPr="00CA2668">
        <w:t>of</w:t>
      </w:r>
      <w:r>
        <w:t xml:space="preserve"> </w:t>
      </w:r>
      <w:r w:rsidRPr="00CA2668">
        <w:t>active</w:t>
      </w:r>
      <w:r>
        <w:t xml:space="preserve"> </w:t>
      </w:r>
      <w:r w:rsidRPr="00CA2668">
        <w:t>protection</w:t>
      </w:r>
      <w:r>
        <w:t xml:space="preserve"> </w:t>
      </w:r>
      <w:r w:rsidRPr="00CA2668">
        <w:t>requires</w:t>
      </w:r>
      <w:r>
        <w:t xml:space="preserve"> </w:t>
      </w:r>
      <w:r w:rsidRPr="00CA2668">
        <w:t>the</w:t>
      </w:r>
      <w:r>
        <w:t xml:space="preserve"> </w:t>
      </w:r>
      <w:r w:rsidRPr="00CA2668">
        <w:t>Crown</w:t>
      </w:r>
      <w:r>
        <w:t xml:space="preserve"> </w:t>
      </w:r>
      <w:r w:rsidRPr="00CA2668">
        <w:t>to</w:t>
      </w:r>
      <w:r>
        <w:t xml:space="preserve"> </w:t>
      </w:r>
      <w:r w:rsidRPr="00CA2668">
        <w:t>act,</w:t>
      </w:r>
      <w:r>
        <w:t xml:space="preserve"> </w:t>
      </w:r>
      <w:r w:rsidRPr="00CA2668">
        <w:t>to</w:t>
      </w:r>
      <w:r>
        <w:t xml:space="preserve"> </w:t>
      </w:r>
      <w:r w:rsidRPr="00CA2668">
        <w:t>the</w:t>
      </w:r>
      <w:r>
        <w:t xml:space="preserve"> </w:t>
      </w:r>
      <w:r w:rsidRPr="00CA2668">
        <w:t>fullest</w:t>
      </w:r>
      <w:r>
        <w:t xml:space="preserve"> </w:t>
      </w:r>
      <w:r w:rsidRPr="00CA2668">
        <w:t>extent</w:t>
      </w:r>
      <w:r>
        <w:t xml:space="preserve"> </w:t>
      </w:r>
      <w:r w:rsidRPr="00CA2668">
        <w:t>practicable,</w:t>
      </w:r>
      <w:r>
        <w:t xml:space="preserve"> </w:t>
      </w:r>
      <w:r w:rsidRPr="00CA2668">
        <w:t>to</w:t>
      </w:r>
      <w:r>
        <w:t xml:space="preserve"> </w:t>
      </w:r>
      <w:r w:rsidRPr="00CA2668">
        <w:t>achieve</w:t>
      </w:r>
      <w:r>
        <w:t xml:space="preserve"> </w:t>
      </w:r>
      <w:r w:rsidRPr="00CA2668">
        <w:t>equitable</w:t>
      </w:r>
      <w:r>
        <w:t xml:space="preserve"> </w:t>
      </w:r>
      <w:r w:rsidRPr="00CA2668">
        <w:t>health</w:t>
      </w:r>
      <w:r>
        <w:t xml:space="preserve"> </w:t>
      </w:r>
      <w:r w:rsidRPr="00CA2668">
        <w:t>outcomes</w:t>
      </w:r>
      <w:r>
        <w:t xml:space="preserve"> </w:t>
      </w:r>
      <w:r w:rsidRPr="00CA2668">
        <w:t>for</w:t>
      </w:r>
      <w:r>
        <w:t xml:space="preserve"> </w:t>
      </w:r>
      <w:r w:rsidRPr="00CA2668">
        <w:t>Māori.</w:t>
      </w:r>
      <w:r>
        <w:t xml:space="preserve"> </w:t>
      </w:r>
      <w:r w:rsidRPr="00CA2668">
        <w:t>This</w:t>
      </w:r>
      <w:r>
        <w:t xml:space="preserve"> </w:t>
      </w:r>
      <w:r w:rsidRPr="00CA2668">
        <w:t>includes</w:t>
      </w:r>
      <w:r>
        <w:t xml:space="preserve"> </w:t>
      </w:r>
      <w:r w:rsidRPr="00CA2668">
        <w:t>ensuring</w:t>
      </w:r>
      <w:r>
        <w:t xml:space="preserve"> </w:t>
      </w:r>
      <w:r w:rsidRPr="00CA2668">
        <w:t>that</w:t>
      </w:r>
      <w:r>
        <w:t xml:space="preserve"> the Crown</w:t>
      </w:r>
      <w:r w:rsidRPr="00CA2668">
        <w:t>,</w:t>
      </w:r>
      <w:r>
        <w:t xml:space="preserve"> </w:t>
      </w:r>
      <w:r w:rsidRPr="00CA2668">
        <w:t>its</w:t>
      </w:r>
      <w:r>
        <w:t xml:space="preserve"> </w:t>
      </w:r>
      <w:r w:rsidRPr="00CA2668">
        <w:t>agents,</w:t>
      </w:r>
      <w:r>
        <w:t xml:space="preserve"> </w:t>
      </w:r>
      <w:r w:rsidRPr="00CA2668">
        <w:t>and</w:t>
      </w:r>
      <w:r>
        <w:t xml:space="preserve"> </w:t>
      </w:r>
      <w:r w:rsidRPr="00CA2668">
        <w:t>its</w:t>
      </w:r>
      <w:r>
        <w:t xml:space="preserve"> </w:t>
      </w:r>
      <w:r w:rsidRPr="00CA2668">
        <w:t>Treaty</w:t>
      </w:r>
      <w:r>
        <w:t xml:space="preserve"> </w:t>
      </w:r>
      <w:r w:rsidRPr="00CA2668">
        <w:t>partner</w:t>
      </w:r>
      <w:r>
        <w:t xml:space="preserve"> </w:t>
      </w:r>
      <w:r w:rsidRPr="00CA2668">
        <w:t>are</w:t>
      </w:r>
      <w:r>
        <w:t xml:space="preserve"> </w:t>
      </w:r>
      <w:r w:rsidRPr="00CA2668">
        <w:t>well</w:t>
      </w:r>
      <w:r>
        <w:t xml:space="preserve"> </w:t>
      </w:r>
      <w:r w:rsidRPr="00CA2668">
        <w:t>informed</w:t>
      </w:r>
      <w:r>
        <w:t xml:space="preserve"> </w:t>
      </w:r>
      <w:r w:rsidRPr="00CA2668">
        <w:t>on</w:t>
      </w:r>
      <w:r>
        <w:t xml:space="preserve"> </w:t>
      </w:r>
      <w:r w:rsidRPr="00CA2668">
        <w:t>the</w:t>
      </w:r>
      <w:r>
        <w:t xml:space="preserve"> </w:t>
      </w:r>
      <w:r w:rsidRPr="00CA2668">
        <w:t>extent</w:t>
      </w:r>
      <w:r>
        <w:t xml:space="preserve"> </w:t>
      </w:r>
      <w:r w:rsidRPr="00CA2668">
        <w:t>and</w:t>
      </w:r>
      <w:r>
        <w:t xml:space="preserve"> </w:t>
      </w:r>
      <w:r w:rsidRPr="00CA2668">
        <w:t>nature</w:t>
      </w:r>
      <w:r>
        <w:t xml:space="preserve"> </w:t>
      </w:r>
      <w:r w:rsidRPr="00CA2668">
        <w:t>of</w:t>
      </w:r>
      <w:r>
        <w:t xml:space="preserve"> </w:t>
      </w:r>
      <w:r w:rsidRPr="00CA2668">
        <w:t>both</w:t>
      </w:r>
      <w:r>
        <w:t xml:space="preserve"> </w:t>
      </w:r>
      <w:r w:rsidRPr="00CA2668">
        <w:t>Māori</w:t>
      </w:r>
      <w:r>
        <w:t xml:space="preserve"> </w:t>
      </w:r>
      <w:r w:rsidRPr="00CA2668">
        <w:t>health</w:t>
      </w:r>
      <w:r>
        <w:t xml:space="preserve"> </w:t>
      </w:r>
      <w:r w:rsidRPr="00CA2668">
        <w:t>outcomes</w:t>
      </w:r>
      <w:r>
        <w:t xml:space="preserve">, </w:t>
      </w:r>
      <w:r w:rsidRPr="00CA2668">
        <w:t>and</w:t>
      </w:r>
      <w:r>
        <w:t xml:space="preserve"> </w:t>
      </w:r>
      <w:r w:rsidRPr="00CA2668">
        <w:t>efforts</w:t>
      </w:r>
      <w:r>
        <w:t xml:space="preserve"> </w:t>
      </w:r>
      <w:r w:rsidRPr="00CA2668">
        <w:t>to</w:t>
      </w:r>
      <w:r>
        <w:t xml:space="preserve"> </w:t>
      </w:r>
      <w:r w:rsidRPr="00CA2668">
        <w:t>achieve</w:t>
      </w:r>
      <w:r>
        <w:t xml:space="preserve"> </w:t>
      </w:r>
      <w:r w:rsidRPr="00CA2668">
        <w:t>Māori</w:t>
      </w:r>
      <w:r>
        <w:t xml:space="preserve"> </w:t>
      </w:r>
      <w:r w:rsidRPr="00CA2668">
        <w:t>health</w:t>
      </w:r>
      <w:r>
        <w:t xml:space="preserve"> </w:t>
      </w:r>
      <w:r w:rsidRPr="00CA2668">
        <w:t>equity.</w:t>
      </w:r>
    </w:p>
    <w:p w14:paraId="3AB2F9BE" w14:textId="77777777" w:rsidR="00B0292E" w:rsidRPr="00CA2668" w:rsidRDefault="00B0292E" w:rsidP="00B0292E">
      <w:pPr>
        <w:pStyle w:val="Bullet"/>
      </w:pPr>
      <w:r w:rsidRPr="00CA2668">
        <w:rPr>
          <w:b/>
        </w:rPr>
        <w:t>Options</w:t>
      </w:r>
      <w:r w:rsidRPr="00CA2668">
        <w:t>:</w:t>
      </w:r>
      <w:r>
        <w:t xml:space="preserve"> </w:t>
      </w:r>
      <w:r w:rsidRPr="00CA2668">
        <w:t>The</w:t>
      </w:r>
      <w:r>
        <w:t xml:space="preserve"> </w:t>
      </w:r>
      <w:r w:rsidRPr="00CA2668">
        <w:t>principle</w:t>
      </w:r>
      <w:r>
        <w:t xml:space="preserve"> </w:t>
      </w:r>
      <w:r w:rsidRPr="00CA2668">
        <w:t>of</w:t>
      </w:r>
      <w:r>
        <w:t xml:space="preserve"> </w:t>
      </w:r>
      <w:r w:rsidRPr="00CA2668">
        <w:t>options</w:t>
      </w:r>
      <w:r>
        <w:t xml:space="preserve"> </w:t>
      </w:r>
      <w:r w:rsidRPr="00CA2668">
        <w:t>requires</w:t>
      </w:r>
      <w:r>
        <w:t xml:space="preserve"> </w:t>
      </w:r>
      <w:r w:rsidRPr="00CA2668">
        <w:t>the</w:t>
      </w:r>
      <w:r>
        <w:t xml:space="preserve"> </w:t>
      </w:r>
      <w:r w:rsidRPr="00CA2668">
        <w:t>Crown</w:t>
      </w:r>
      <w:r>
        <w:t xml:space="preserve"> </w:t>
      </w:r>
      <w:r w:rsidRPr="00CA2668">
        <w:t>to</w:t>
      </w:r>
      <w:r>
        <w:t xml:space="preserve"> </w:t>
      </w:r>
      <w:r w:rsidRPr="00CA2668">
        <w:t>provide</w:t>
      </w:r>
      <w:r>
        <w:t xml:space="preserve"> </w:t>
      </w:r>
      <w:r w:rsidRPr="00CA2668">
        <w:t>for</w:t>
      </w:r>
      <w:r>
        <w:t xml:space="preserve"> </w:t>
      </w:r>
      <w:r w:rsidRPr="00CA2668">
        <w:t>and</w:t>
      </w:r>
      <w:r>
        <w:t xml:space="preserve"> </w:t>
      </w:r>
      <w:r w:rsidRPr="00CA2668">
        <w:t>properly</w:t>
      </w:r>
      <w:r>
        <w:t xml:space="preserve"> </w:t>
      </w:r>
      <w:r w:rsidRPr="00CA2668">
        <w:t>resource</w:t>
      </w:r>
      <w:r>
        <w:t xml:space="preserve"> </w:t>
      </w:r>
      <w:r w:rsidRPr="00CA2668">
        <w:t>kaupapa</w:t>
      </w:r>
      <w:r>
        <w:t xml:space="preserve"> </w:t>
      </w:r>
      <w:r w:rsidRPr="00CA2668">
        <w:t>Māori</w:t>
      </w:r>
      <w:r>
        <w:t xml:space="preserve"> </w:t>
      </w:r>
      <w:r w:rsidRPr="00CA2668">
        <w:t>health</w:t>
      </w:r>
      <w:r>
        <w:t xml:space="preserve"> </w:t>
      </w:r>
      <w:r w:rsidRPr="00CA2668">
        <w:t>and</w:t>
      </w:r>
      <w:r>
        <w:t xml:space="preserve"> </w:t>
      </w:r>
      <w:r w:rsidRPr="00CA2668">
        <w:t>disability</w:t>
      </w:r>
      <w:r>
        <w:t xml:space="preserve"> </w:t>
      </w:r>
      <w:r w:rsidRPr="00CA2668">
        <w:t>services.</w:t>
      </w:r>
      <w:r>
        <w:t xml:space="preserve"> </w:t>
      </w:r>
      <w:r w:rsidRPr="00CA2668">
        <w:t>Furthermore,</w:t>
      </w:r>
      <w:r>
        <w:t xml:space="preserve"> </w:t>
      </w:r>
      <w:r w:rsidRPr="00CA2668">
        <w:t>the</w:t>
      </w:r>
      <w:r>
        <w:t xml:space="preserve"> </w:t>
      </w:r>
      <w:r w:rsidRPr="00CA2668">
        <w:t>Crown</w:t>
      </w:r>
      <w:r>
        <w:t xml:space="preserve"> </w:t>
      </w:r>
      <w:r w:rsidRPr="00CA2668">
        <w:t>is</w:t>
      </w:r>
      <w:r>
        <w:t xml:space="preserve"> </w:t>
      </w:r>
      <w:r w:rsidRPr="00CA2668">
        <w:t>obliged</w:t>
      </w:r>
      <w:r>
        <w:t xml:space="preserve"> </w:t>
      </w:r>
      <w:r w:rsidRPr="00CA2668">
        <w:t>to</w:t>
      </w:r>
      <w:r>
        <w:t xml:space="preserve"> </w:t>
      </w:r>
      <w:r w:rsidRPr="00CA2668">
        <w:t>ensure</w:t>
      </w:r>
      <w:r>
        <w:t xml:space="preserve"> </w:t>
      </w:r>
      <w:r w:rsidRPr="00CA2668">
        <w:t>that</w:t>
      </w:r>
      <w:r>
        <w:t xml:space="preserve"> </w:t>
      </w:r>
      <w:r w:rsidRPr="00CA2668">
        <w:t>all</w:t>
      </w:r>
      <w:r>
        <w:t xml:space="preserve"> </w:t>
      </w:r>
      <w:r w:rsidRPr="00CA2668">
        <w:t>health</w:t>
      </w:r>
      <w:r>
        <w:t xml:space="preserve"> </w:t>
      </w:r>
      <w:r w:rsidRPr="00CA2668">
        <w:t>and</w:t>
      </w:r>
      <w:r>
        <w:t xml:space="preserve"> </w:t>
      </w:r>
      <w:r w:rsidRPr="00CA2668">
        <w:t>disability</w:t>
      </w:r>
      <w:r>
        <w:t xml:space="preserve"> </w:t>
      </w:r>
      <w:r w:rsidRPr="00CA2668">
        <w:t>services</w:t>
      </w:r>
      <w:r>
        <w:t xml:space="preserve"> </w:t>
      </w:r>
      <w:r w:rsidRPr="00CA2668">
        <w:t>are</w:t>
      </w:r>
      <w:r>
        <w:t xml:space="preserve"> </w:t>
      </w:r>
      <w:r w:rsidRPr="00CA2668">
        <w:t>provided</w:t>
      </w:r>
      <w:r>
        <w:t xml:space="preserve"> </w:t>
      </w:r>
      <w:r w:rsidRPr="00CA2668">
        <w:t>in</w:t>
      </w:r>
      <w:r>
        <w:t xml:space="preserve"> </w:t>
      </w:r>
      <w:r w:rsidRPr="00CA2668">
        <w:t>a</w:t>
      </w:r>
      <w:r>
        <w:t xml:space="preserve"> </w:t>
      </w:r>
      <w:r w:rsidRPr="00CA2668">
        <w:t>culturally</w:t>
      </w:r>
      <w:r>
        <w:t xml:space="preserve"> </w:t>
      </w:r>
      <w:r w:rsidRPr="00CA2668">
        <w:lastRenderedPageBreak/>
        <w:t>appropriate</w:t>
      </w:r>
      <w:r>
        <w:t xml:space="preserve"> </w:t>
      </w:r>
      <w:r w:rsidRPr="00CA2668">
        <w:t>way</w:t>
      </w:r>
      <w:r>
        <w:t xml:space="preserve"> </w:t>
      </w:r>
      <w:r w:rsidRPr="00CA2668">
        <w:t>that</w:t>
      </w:r>
      <w:r>
        <w:t xml:space="preserve"> </w:t>
      </w:r>
      <w:r w:rsidRPr="00CA2668">
        <w:t>recognises</w:t>
      </w:r>
      <w:r>
        <w:t xml:space="preserve"> </w:t>
      </w:r>
      <w:r w:rsidRPr="00CA2668">
        <w:t>and</w:t>
      </w:r>
      <w:r>
        <w:t xml:space="preserve"> </w:t>
      </w:r>
      <w:r w:rsidRPr="00CA2668">
        <w:t>supports</w:t>
      </w:r>
      <w:r>
        <w:t xml:space="preserve"> </w:t>
      </w:r>
      <w:r w:rsidRPr="00CA2668">
        <w:t>the</w:t>
      </w:r>
      <w:r>
        <w:t xml:space="preserve"> </w:t>
      </w:r>
      <w:r w:rsidRPr="00CA2668">
        <w:t>expression</w:t>
      </w:r>
      <w:r>
        <w:t xml:space="preserve"> </w:t>
      </w:r>
      <w:r w:rsidRPr="00CA2668">
        <w:t>of</w:t>
      </w:r>
      <w:r>
        <w:t xml:space="preserve"> </w:t>
      </w:r>
      <w:r w:rsidRPr="00CA2668">
        <w:t>hauora</w:t>
      </w:r>
      <w:r>
        <w:t xml:space="preserve"> </w:t>
      </w:r>
      <w:r w:rsidRPr="00CA2668">
        <w:t>Māori</w:t>
      </w:r>
      <w:r>
        <w:t xml:space="preserve"> </w:t>
      </w:r>
      <w:r w:rsidRPr="00CA2668">
        <w:t>models</w:t>
      </w:r>
      <w:r>
        <w:t xml:space="preserve"> </w:t>
      </w:r>
      <w:r w:rsidRPr="00CA2668">
        <w:t>of</w:t>
      </w:r>
      <w:r>
        <w:t xml:space="preserve"> </w:t>
      </w:r>
      <w:r w:rsidRPr="00CA2668">
        <w:t>care.</w:t>
      </w:r>
    </w:p>
    <w:p w14:paraId="7F23C649" w14:textId="77777777" w:rsidR="00B0292E" w:rsidRPr="007022F9" w:rsidRDefault="00B0292E" w:rsidP="00B0292E">
      <w:pPr>
        <w:pStyle w:val="Bullet"/>
      </w:pPr>
      <w:r w:rsidRPr="007022F9">
        <w:rPr>
          <w:b/>
        </w:rPr>
        <w:t>Partnership</w:t>
      </w:r>
      <w:r w:rsidRPr="007022F9">
        <w:t xml:space="preserve">: The principle of partnership requires the Crown and Māori to work in partnership in the governance, design, delivery and monitoring of health and disability services. </w:t>
      </w:r>
    </w:p>
    <w:p w14:paraId="6AECB9E9" w14:textId="77777777" w:rsidR="00B0292E" w:rsidRDefault="00B0292E" w:rsidP="00B0292E"/>
    <w:p w14:paraId="1A7ADDAD" w14:textId="210448C0" w:rsidR="00B0292E" w:rsidRPr="007022F9" w:rsidRDefault="00B0292E" w:rsidP="00B0292E">
      <w:r>
        <w:t xml:space="preserve">All staff within mental health services need a good understanding of Te Tiriti. Services should support staff to develop their cultural competency and cultural safety through training. </w:t>
      </w:r>
      <w:r w:rsidRPr="007022F9">
        <w:t xml:space="preserve">The </w:t>
      </w:r>
      <w:r w:rsidRPr="007022F9">
        <w:rPr>
          <w:i/>
        </w:rPr>
        <w:t>Guidelines to the Mental Health Act</w:t>
      </w:r>
      <w:r w:rsidRPr="000D6680">
        <w:rPr>
          <w:iCs/>
          <w:vertAlign w:val="superscript"/>
        </w:rPr>
        <w:footnoteReference w:id="24"/>
      </w:r>
      <w:r w:rsidRPr="007022F9">
        <w:rPr>
          <w:i/>
        </w:rPr>
        <w:t xml:space="preserve"> </w:t>
      </w:r>
      <w:r w:rsidRPr="007022F9">
        <w:t>describe how Te Tiriti</w:t>
      </w:r>
      <w:r>
        <w:t xml:space="preserve"> </w:t>
      </w:r>
      <w:r w:rsidRPr="007022F9">
        <w:t xml:space="preserve">and its principles relate </w:t>
      </w:r>
      <w:r w:rsidRPr="00FB0DC9">
        <w:t>to</w:t>
      </w:r>
      <w:r w:rsidRPr="009F5571">
        <w:t xml:space="preserve"> the application of </w:t>
      </w:r>
      <w:r w:rsidRPr="003736AC">
        <w:t>the</w:t>
      </w:r>
      <w:r w:rsidRPr="00010895">
        <w:t xml:space="preserve"> </w:t>
      </w:r>
      <w:r w:rsidRPr="00FB0DC9">
        <w:t xml:space="preserve">Mental Health Act and outlines how clinicians and services can align their practices with these principles.  </w:t>
      </w:r>
    </w:p>
    <w:p w14:paraId="7696F2C3" w14:textId="4B7155F0" w:rsidR="00B0292E" w:rsidRPr="00B0292E" w:rsidRDefault="00B0292E" w:rsidP="00B0292E">
      <w:pPr>
        <w:pStyle w:val="Heading3"/>
      </w:pPr>
      <w:bookmarkStart w:id="27" w:name="_Toc120713405"/>
      <w:bookmarkStart w:id="28" w:name="_Toc120715554"/>
      <w:bookmarkStart w:id="29" w:name="_Toc120862174"/>
      <w:bookmarkStart w:id="30" w:name="_Toc120713406"/>
      <w:bookmarkStart w:id="31" w:name="_Toc120715555"/>
      <w:bookmarkStart w:id="32" w:name="_Toc120862175"/>
      <w:bookmarkStart w:id="33" w:name="_Toc120713407"/>
      <w:bookmarkStart w:id="34" w:name="_Toc120715556"/>
      <w:bookmarkStart w:id="35" w:name="_Toc120862176"/>
      <w:bookmarkStart w:id="36" w:name="_Toc120713408"/>
      <w:bookmarkStart w:id="37" w:name="_Toc120715557"/>
      <w:bookmarkStart w:id="38" w:name="_Toc120862177"/>
      <w:bookmarkStart w:id="39" w:name="_Toc120713409"/>
      <w:bookmarkStart w:id="40" w:name="_Toc120715558"/>
      <w:bookmarkStart w:id="41" w:name="_Toc120862178"/>
      <w:bookmarkStart w:id="42" w:name="_Toc120713410"/>
      <w:bookmarkStart w:id="43" w:name="_Toc120715559"/>
      <w:bookmarkStart w:id="44" w:name="_Toc120862179"/>
      <w:bookmarkStart w:id="45" w:name="_Toc120713411"/>
      <w:bookmarkStart w:id="46" w:name="_Toc120715560"/>
      <w:bookmarkStart w:id="47" w:name="_Toc120862180"/>
      <w:bookmarkStart w:id="48" w:name="_Toc120713412"/>
      <w:bookmarkStart w:id="49" w:name="_Toc120715561"/>
      <w:bookmarkStart w:id="50" w:name="_Toc120862181"/>
      <w:bookmarkStart w:id="51" w:name="_Toc120713413"/>
      <w:bookmarkStart w:id="52" w:name="_Toc120715562"/>
      <w:bookmarkStart w:id="53" w:name="_Toc120862182"/>
      <w:bookmarkStart w:id="54" w:name="_Toc120713414"/>
      <w:bookmarkStart w:id="55" w:name="_Toc120715563"/>
      <w:bookmarkStart w:id="56" w:name="_Toc120862183"/>
      <w:bookmarkStart w:id="57" w:name="_Toc103152098"/>
      <w:bookmarkStart w:id="58" w:name="_Toc105770619"/>
      <w:bookmarkStart w:id="59" w:name="_Toc13166379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0292E">
        <w:t>Achieving equity</w:t>
      </w:r>
      <w:bookmarkEnd w:id="57"/>
      <w:bookmarkEnd w:id="58"/>
      <w:bookmarkEnd w:id="59"/>
      <w:r w:rsidRPr="00B0292E">
        <w:t xml:space="preserve"> </w:t>
      </w:r>
    </w:p>
    <w:p w14:paraId="17EC1688" w14:textId="3E0083C4" w:rsidR="00B0292E" w:rsidRDefault="00B0292E" w:rsidP="00B0292E">
      <w:r>
        <w:rPr>
          <w:noProof/>
        </w:rPr>
        <mc:AlternateContent>
          <mc:Choice Requires="wps">
            <w:drawing>
              <wp:anchor distT="45720" distB="45720" distL="114300" distR="114300" simplePos="0" relativeHeight="251658242" behindDoc="0" locked="0" layoutInCell="1" allowOverlap="1" wp14:anchorId="342EE709" wp14:editId="0747CDBC">
                <wp:simplePos x="0" y="0"/>
                <wp:positionH relativeFrom="column">
                  <wp:posOffset>3126105</wp:posOffset>
                </wp:positionH>
                <wp:positionV relativeFrom="paragraph">
                  <wp:posOffset>45085</wp:posOffset>
                </wp:positionV>
                <wp:extent cx="2360930" cy="1933575"/>
                <wp:effectExtent l="0" t="0" r="2476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33575"/>
                        </a:xfrm>
                        <a:prstGeom prst="rect">
                          <a:avLst/>
                        </a:prstGeom>
                        <a:solidFill>
                          <a:srgbClr val="FFFFFF"/>
                        </a:solidFill>
                        <a:ln w="12700">
                          <a:solidFill>
                            <a:schemeClr val="accent1"/>
                          </a:solidFill>
                          <a:miter lim="800000"/>
                          <a:headEnd/>
                          <a:tailEnd/>
                        </a:ln>
                      </wps:spPr>
                      <wps:txbx>
                        <w:txbxContent>
                          <w:p w14:paraId="00DDFD8C" w14:textId="77777777" w:rsidR="00A26CD1" w:rsidRDefault="00A26CD1" w:rsidP="00B0292E">
                            <w:r w:rsidRPr="00451E63">
                              <w:rPr>
                                <w:rFonts w:cs="Segoe UI"/>
                              </w:rPr>
                              <w:t>‘The Treaty principles of equity and active protection […] require the Crown to make every reasonable effort to eliminate barriers to services that may contribute to inequitable health outcomes’.</w:t>
                            </w:r>
                            <w:r>
                              <w:t xml:space="preserve"> </w:t>
                            </w:r>
                            <w:r w:rsidRPr="004E5809">
                              <w:rPr>
                                <w:i/>
                              </w:rPr>
                              <w:t>Hauora</w:t>
                            </w:r>
                            <w:r>
                              <w:rPr>
                                <w:i/>
                              </w:rPr>
                              <w:t>:</w:t>
                            </w:r>
                            <w:r w:rsidRPr="004E5809">
                              <w:rPr>
                                <w:i/>
                              </w:rPr>
                              <w:t xml:space="preserve"> Report on </w:t>
                            </w:r>
                            <w:r>
                              <w:rPr>
                                <w:i/>
                              </w:rPr>
                              <w:t>s</w:t>
                            </w:r>
                            <w:r w:rsidRPr="004E5809">
                              <w:rPr>
                                <w:i/>
                              </w:rPr>
                              <w:t xml:space="preserve">tage </w:t>
                            </w:r>
                            <w:r>
                              <w:rPr>
                                <w:i/>
                              </w:rPr>
                              <w:t>o</w:t>
                            </w:r>
                            <w:r w:rsidRPr="004E5809">
                              <w:rPr>
                                <w:i/>
                              </w:rPr>
                              <w:t xml:space="preserve">ne of the </w:t>
                            </w:r>
                            <w:r>
                              <w:rPr>
                                <w:i/>
                              </w:rPr>
                              <w:t>h</w:t>
                            </w:r>
                            <w:r w:rsidRPr="004E5809">
                              <w:rPr>
                                <w:i/>
                              </w:rPr>
                              <w:t xml:space="preserve">ealth </w:t>
                            </w:r>
                            <w:r>
                              <w:rPr>
                                <w:i/>
                              </w:rPr>
                              <w:t>s</w:t>
                            </w:r>
                            <w:r w:rsidRPr="004E5809">
                              <w:rPr>
                                <w:i/>
                              </w:rPr>
                              <w:t xml:space="preserve">ervices and </w:t>
                            </w:r>
                            <w:r>
                              <w:rPr>
                                <w:i/>
                              </w:rPr>
                              <w:t>o</w:t>
                            </w:r>
                            <w:r w:rsidRPr="004E5809">
                              <w:rPr>
                                <w:i/>
                              </w:rPr>
                              <w:t xml:space="preserve">utcomes </w:t>
                            </w:r>
                            <w:r>
                              <w:rPr>
                                <w:i/>
                              </w:rPr>
                              <w:t>k</w:t>
                            </w:r>
                            <w:r w:rsidRPr="004E5809">
                              <w:rPr>
                                <w:i/>
                              </w:rPr>
                              <w:t xml:space="preserve">aupapa </w:t>
                            </w:r>
                            <w:r>
                              <w:rPr>
                                <w:i/>
                              </w:rPr>
                              <w:t>i</w:t>
                            </w:r>
                            <w:r w:rsidRPr="004E5809">
                              <w:rPr>
                                <w:i/>
                              </w:rPr>
                              <w:t>nquiry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1E7EC3">
              <v:shape id="Text Box 217" style="position:absolute;margin-left:246.15pt;margin-top:3.55pt;width:185.9pt;height:152.25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8" strokecolor="#4f81bd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" w14:anchorId="342EE709">
                <v:textbox>
                  <w:txbxContent>
                    <w:p w:rsidR="00A26CD1" w:rsidP="00B0292E" w:rsidRDefault="00A26CD1" w14:paraId="6073E916" w14:textId="77777777">
                      <w:r w:rsidRPr="00451E63">
                        <w:rPr>
                          <w:rFonts w:cs="Segoe UI"/>
                        </w:rPr>
                        <w:t>‘The Treaty principles of equity and active protection […] require the Crown to make every reasonable effort to eliminate barriers to services that may contribute to inequitable health outcomes’.</w:t>
                      </w:r>
                      <w:r>
                        <w:t xml:space="preserve"> </w:t>
                      </w:r>
                      <w:r w:rsidRPr="004E5809">
                        <w:rPr>
                          <w:i/>
                        </w:rPr>
                        <w:t>Hauora</w:t>
                      </w:r>
                      <w:r>
                        <w:rPr>
                          <w:i/>
                        </w:rPr>
                        <w:t>:</w:t>
                      </w:r>
                      <w:r w:rsidRPr="004E5809">
                        <w:rPr>
                          <w:i/>
                        </w:rPr>
                        <w:t xml:space="preserve"> Report on </w:t>
                      </w:r>
                      <w:r>
                        <w:rPr>
                          <w:i/>
                        </w:rPr>
                        <w:t>s</w:t>
                      </w:r>
                      <w:r w:rsidRPr="004E5809">
                        <w:rPr>
                          <w:i/>
                        </w:rPr>
                        <w:t xml:space="preserve">tage </w:t>
                      </w:r>
                      <w:r>
                        <w:rPr>
                          <w:i/>
                        </w:rPr>
                        <w:t>o</w:t>
                      </w:r>
                      <w:r w:rsidRPr="004E5809">
                        <w:rPr>
                          <w:i/>
                        </w:rPr>
                        <w:t xml:space="preserve">ne of the </w:t>
                      </w:r>
                      <w:r>
                        <w:rPr>
                          <w:i/>
                        </w:rPr>
                        <w:t>h</w:t>
                      </w:r>
                      <w:r w:rsidRPr="004E5809">
                        <w:rPr>
                          <w:i/>
                        </w:rPr>
                        <w:t xml:space="preserve">ealth </w:t>
                      </w:r>
                      <w:r>
                        <w:rPr>
                          <w:i/>
                        </w:rPr>
                        <w:t>s</w:t>
                      </w:r>
                      <w:r w:rsidRPr="004E5809">
                        <w:rPr>
                          <w:i/>
                        </w:rPr>
                        <w:t xml:space="preserve">ervices and </w:t>
                      </w:r>
                      <w:r>
                        <w:rPr>
                          <w:i/>
                        </w:rPr>
                        <w:t>o</w:t>
                      </w:r>
                      <w:r w:rsidRPr="004E5809">
                        <w:rPr>
                          <w:i/>
                        </w:rPr>
                        <w:t xml:space="preserve">utcomes </w:t>
                      </w:r>
                      <w:r>
                        <w:rPr>
                          <w:i/>
                        </w:rPr>
                        <w:t>k</w:t>
                      </w:r>
                      <w:r w:rsidRPr="004E5809">
                        <w:rPr>
                          <w:i/>
                        </w:rPr>
                        <w:t xml:space="preserve">aupapa </w:t>
                      </w:r>
                      <w:r>
                        <w:rPr>
                          <w:i/>
                        </w:rPr>
                        <w:t>i</w:t>
                      </w:r>
                      <w:r w:rsidRPr="004E5809">
                        <w:rPr>
                          <w:i/>
                        </w:rPr>
                        <w:t>nquiry</w:t>
                      </w:r>
                    </w:p>
                  </w:txbxContent>
                </v:textbox>
                <w10:wrap type="square"/>
              </v:shape>
            </w:pict>
          </mc:Fallback>
        </mc:AlternateContent>
      </w:r>
      <w:r w:rsidRPr="000B7F86">
        <w:t xml:space="preserve">In Aotearoa New Zealand, people </w:t>
      </w:r>
      <w:r>
        <w:t xml:space="preserve">experience </w:t>
      </w:r>
      <w:r w:rsidRPr="000B7F86">
        <w:t xml:space="preserve">differences in health </w:t>
      </w:r>
      <w:r>
        <w:t xml:space="preserve">outcomes </w:t>
      </w:r>
      <w:r w:rsidRPr="000B7F86">
        <w:t>that are not only avoidable</w:t>
      </w:r>
      <w:r w:rsidRPr="000B7F86">
        <w:rPr>
          <w:rFonts w:cs="Segoe UI"/>
          <w:shd w:val="clear" w:color="auto" w:fill="FFFFFF"/>
        </w:rPr>
        <w:t>,</w:t>
      </w:r>
      <w:r w:rsidRPr="000B7F86">
        <w:t xml:space="preserve"> but </w:t>
      </w:r>
      <w:r>
        <w:t xml:space="preserve">also </w:t>
      </w:r>
      <w:r w:rsidRPr="000B7F86">
        <w:t xml:space="preserve">unfair and unjust. </w:t>
      </w:r>
      <w:r>
        <w:t>To prioritise e</w:t>
      </w:r>
      <w:r w:rsidRPr="000B7F86">
        <w:t xml:space="preserve">quity </w:t>
      </w:r>
      <w:r>
        <w:t xml:space="preserve">is to </w:t>
      </w:r>
      <w:r w:rsidRPr="000B7F86">
        <w:t xml:space="preserve">recognise that different people with different levels of advantage require different approaches and resources to </w:t>
      </w:r>
      <w:r w:rsidRPr="000B7F86">
        <w:rPr>
          <w:rFonts w:cs="Segoe UI"/>
          <w:shd w:val="clear" w:color="auto" w:fill="FFFFFF"/>
        </w:rPr>
        <w:t>achieve</w:t>
      </w:r>
      <w:r w:rsidRPr="000B7F86">
        <w:t xml:space="preserve"> equitable health outcomes.</w:t>
      </w:r>
      <w:r w:rsidRPr="000B7F86">
        <w:rPr>
          <w:vertAlign w:val="superscript"/>
        </w:rPr>
        <w:footnoteReference w:id="25"/>
      </w:r>
      <w:r w:rsidRPr="000B7F86">
        <w:t xml:space="preserve"> Additionally, </w:t>
      </w:r>
      <w:r>
        <w:rPr>
          <w:highlight w:val="white"/>
        </w:rPr>
        <w:t>tāngata whaiora</w:t>
      </w:r>
      <w:r w:rsidRPr="000B7F86">
        <w:rPr>
          <w:highlight w:val="white"/>
        </w:rPr>
        <w:t xml:space="preserve"> </w:t>
      </w:r>
      <w:r>
        <w:rPr>
          <w:highlight w:val="white"/>
        </w:rPr>
        <w:t xml:space="preserve">who are </w:t>
      </w:r>
      <w:r w:rsidRPr="000B7F86">
        <w:rPr>
          <w:highlight w:val="white"/>
        </w:rPr>
        <w:t>Māori</w:t>
      </w:r>
      <w:r>
        <w:rPr>
          <w:highlight w:val="white"/>
        </w:rPr>
        <w:t xml:space="preserve"> and Pacific peoples experience inequitable differences in treatment and care</w:t>
      </w:r>
      <w:r w:rsidRPr="000B7F86">
        <w:rPr>
          <w:highlight w:val="white"/>
        </w:rPr>
        <w:t xml:space="preserve">. </w:t>
      </w:r>
      <w:r>
        <w:t>We recognise that racism and the effects of colonisation contribute to these inequitable outcomes.</w:t>
      </w:r>
      <w:r>
        <w:rPr>
          <w:rStyle w:val="FootnoteReference"/>
          <w:szCs w:val="21"/>
        </w:rPr>
        <w:footnoteReference w:id="26"/>
      </w:r>
      <w:r w:rsidRPr="001B7E3F">
        <w:rPr>
          <w:vertAlign w:val="superscript"/>
        </w:rPr>
        <w:t>,</w:t>
      </w:r>
      <w:r>
        <w:rPr>
          <w:rStyle w:val="FootnoteReference"/>
          <w:szCs w:val="21"/>
        </w:rPr>
        <w:footnoteReference w:id="27"/>
      </w:r>
      <w:r>
        <w:t xml:space="preserve">  </w:t>
      </w:r>
    </w:p>
    <w:p w14:paraId="34CBDE5B" w14:textId="77777777" w:rsidR="00B0292E" w:rsidRPr="000B7F86" w:rsidRDefault="00B0292E" w:rsidP="00B0292E">
      <w:pPr>
        <w:rPr>
          <w:highlight w:val="white"/>
        </w:rPr>
      </w:pPr>
    </w:p>
    <w:p w14:paraId="57292444" w14:textId="0C1E0EF8" w:rsidR="00B0292E" w:rsidRDefault="00B0292E" w:rsidP="00B0292E">
      <w:r w:rsidRPr="007022F9">
        <w:t>Māori and Pacific people</w:t>
      </w:r>
      <w:r>
        <w:t>s</w:t>
      </w:r>
      <w:r w:rsidRPr="007022F9">
        <w:t xml:space="preserve"> are significantly more likely to experience seclusion and restraint than </w:t>
      </w:r>
      <w:r>
        <w:t xml:space="preserve">people of </w:t>
      </w:r>
      <w:r w:rsidRPr="007022F9">
        <w:t>other ethnicities.</w:t>
      </w:r>
      <w:r w:rsidRPr="007022F9">
        <w:rPr>
          <w:vertAlign w:val="superscript"/>
        </w:rPr>
        <w:footnoteReference w:id="28"/>
      </w:r>
      <w:r w:rsidRPr="007022F9">
        <w:t xml:space="preserve"> These inequities are unacceptable</w:t>
      </w:r>
      <w:r>
        <w:t>,</w:t>
      </w:r>
      <w:r w:rsidRPr="007022F9">
        <w:t xml:space="preserve"> and </w:t>
      </w:r>
      <w:r>
        <w:t xml:space="preserve">mental health services </w:t>
      </w:r>
      <w:r w:rsidRPr="007022F9">
        <w:t xml:space="preserve">must address </w:t>
      </w:r>
      <w:r>
        <w:t xml:space="preserve">them </w:t>
      </w:r>
      <w:r w:rsidRPr="007022F9">
        <w:t xml:space="preserve">with urgency. </w:t>
      </w:r>
    </w:p>
    <w:p w14:paraId="783105A0" w14:textId="77777777" w:rsidR="00B0292E" w:rsidRPr="007022F9" w:rsidRDefault="00B0292E" w:rsidP="00B0292E"/>
    <w:p w14:paraId="60611BC5" w14:textId="0BB1BA8C" w:rsidR="00B0292E" w:rsidRDefault="00B0292E" w:rsidP="00B0292E">
      <w:pPr>
        <w:rPr>
          <w:rFonts w:cs="Segoe UI"/>
          <w:color w:val="000000"/>
        </w:rPr>
      </w:pPr>
      <w:r w:rsidRPr="00BB1EF0">
        <w:rPr>
          <w:rFonts w:cs="Segoe UI"/>
        </w:rPr>
        <w:t xml:space="preserve">The </w:t>
      </w:r>
      <w:r w:rsidRPr="00B6194E">
        <w:rPr>
          <w:i/>
        </w:rPr>
        <w:t>Guidelines to the Mental Health Act</w:t>
      </w:r>
      <w:r w:rsidRPr="00BB1EF0">
        <w:rPr>
          <w:rFonts w:cs="Segoe UI"/>
        </w:rPr>
        <w:t xml:space="preserve"> reiterate Right 1(3) of the Code of Health and Disability Services Consumers' Rights,</w:t>
      </w:r>
      <w:r>
        <w:rPr>
          <w:rFonts w:cs="Segoe UI"/>
        </w:rPr>
        <w:t xml:space="preserve"> stating</w:t>
      </w:r>
      <w:r w:rsidRPr="00BB1EF0">
        <w:rPr>
          <w:rFonts w:cs="Segoe UI"/>
        </w:rPr>
        <w:t xml:space="preserve"> that </w:t>
      </w:r>
      <w:r w:rsidRPr="00BB1EF0">
        <w:rPr>
          <w:rFonts w:cs="Segoe UI"/>
          <w:color w:val="000000"/>
        </w:rPr>
        <w:t>every person accessing services ‘has the right to be provided with services that take into account the needs, values, and beliefs of different cultural, religious, social, and ethnic groups, including the needs, values, and beliefs of Māori.’</w:t>
      </w:r>
    </w:p>
    <w:p w14:paraId="3C4E443B" w14:textId="77777777" w:rsidR="00B0292E" w:rsidRPr="00BB1EF0" w:rsidRDefault="00B0292E" w:rsidP="00B0292E">
      <w:pPr>
        <w:rPr>
          <w:rFonts w:cs="Segoe UI"/>
          <w:color w:val="000000"/>
        </w:rPr>
      </w:pPr>
    </w:p>
    <w:p w14:paraId="087330F5" w14:textId="219C6E31" w:rsidR="00B0292E" w:rsidRDefault="00B0292E" w:rsidP="00B0292E">
      <w:pPr>
        <w:rPr>
          <w:rFonts w:cs="Segoe UI"/>
        </w:rPr>
      </w:pPr>
      <w:r w:rsidRPr="00BB1EF0">
        <w:rPr>
          <w:rFonts w:cs="Segoe UI"/>
        </w:rPr>
        <w:t xml:space="preserve">In relation to restraint, the </w:t>
      </w:r>
      <w:r w:rsidRPr="00B6194E">
        <w:rPr>
          <w:i/>
        </w:rPr>
        <w:t xml:space="preserve">Guidelines </w:t>
      </w:r>
      <w:r w:rsidRPr="00B6194E">
        <w:rPr>
          <w:rFonts w:cs="Segoe UI"/>
          <w:i/>
          <w:iCs/>
        </w:rPr>
        <w:t>to the Mental Health Act</w:t>
      </w:r>
      <w:r>
        <w:rPr>
          <w:rFonts w:cs="Segoe UI"/>
        </w:rPr>
        <w:t xml:space="preserve"> </w:t>
      </w:r>
      <w:r w:rsidRPr="00BB1EF0">
        <w:rPr>
          <w:rFonts w:cs="Segoe UI"/>
        </w:rPr>
        <w:t xml:space="preserve">state that services must receive training and implement operational policies and strategies in culturally </w:t>
      </w:r>
      <w:r w:rsidRPr="00BB1EF0">
        <w:rPr>
          <w:rFonts w:cs="Segoe UI"/>
        </w:rPr>
        <w:lastRenderedPageBreak/>
        <w:t xml:space="preserve">competent best-practice approaches that positively and authentically address the high rates of restraint </w:t>
      </w:r>
      <w:r>
        <w:rPr>
          <w:rFonts w:cs="Segoe UI"/>
        </w:rPr>
        <w:t xml:space="preserve">that </w:t>
      </w:r>
      <w:r w:rsidRPr="00BB1EF0">
        <w:rPr>
          <w:rFonts w:cs="Segoe UI"/>
        </w:rPr>
        <w:t xml:space="preserve">Māori and Pacific </w:t>
      </w:r>
      <w:r>
        <w:rPr>
          <w:rFonts w:cs="Segoe UI"/>
        </w:rPr>
        <w:t>tāngata whaiora experience</w:t>
      </w:r>
      <w:r w:rsidRPr="00BB1EF0">
        <w:rPr>
          <w:rFonts w:cs="Segoe UI"/>
        </w:rPr>
        <w:t xml:space="preserve">. </w:t>
      </w:r>
    </w:p>
    <w:p w14:paraId="093C10B7" w14:textId="77777777" w:rsidR="00B0292E" w:rsidRDefault="00B0292E" w:rsidP="00B0292E">
      <w:pPr>
        <w:rPr>
          <w:rFonts w:cs="Segoe UI"/>
        </w:rPr>
      </w:pPr>
    </w:p>
    <w:p w14:paraId="4629D90E" w14:textId="77777777" w:rsidR="00B0292E" w:rsidRPr="00BB1EF0" w:rsidRDefault="00B0292E" w:rsidP="00B0292E">
      <w:pPr>
        <w:rPr>
          <w:rFonts w:cs="Segoe UI"/>
        </w:rPr>
      </w:pPr>
      <w:r>
        <w:rPr>
          <w:rFonts w:cs="Segoe UI"/>
        </w:rPr>
        <w:t>Tikanga-informed best practice</w:t>
      </w:r>
      <w:r w:rsidRPr="00BB1EF0">
        <w:rPr>
          <w:rFonts w:cs="Segoe UI"/>
        </w:rPr>
        <w:t xml:space="preserve"> is an important part of </w:t>
      </w:r>
      <w:r>
        <w:rPr>
          <w:rFonts w:cs="Segoe UI"/>
        </w:rPr>
        <w:t xml:space="preserve">cultural competence and </w:t>
      </w:r>
      <w:r w:rsidRPr="00BB1EF0">
        <w:rPr>
          <w:rFonts w:cs="Segoe UI"/>
        </w:rPr>
        <w:t>achieving equity. The</w:t>
      </w:r>
      <w:r>
        <w:rPr>
          <w:rFonts w:cs="Segoe UI"/>
        </w:rPr>
        <w:t xml:space="preserve"> Waitangi Tribunal’s report</w:t>
      </w:r>
      <w:r w:rsidRPr="00BB1EF0">
        <w:rPr>
          <w:rFonts w:cs="Segoe UI"/>
        </w:rPr>
        <w:t xml:space="preserve"> </w:t>
      </w:r>
      <w:r w:rsidRPr="006844E3">
        <w:rPr>
          <w:rFonts w:cs="Segoe UI"/>
          <w:i/>
          <w:iCs/>
        </w:rPr>
        <w:t>Hauora</w:t>
      </w:r>
      <w:r>
        <w:rPr>
          <w:rFonts w:cs="Segoe UI"/>
          <w:i/>
          <w:iCs/>
        </w:rPr>
        <w:t>:</w:t>
      </w:r>
      <w:r w:rsidRPr="006844E3">
        <w:rPr>
          <w:rFonts w:cs="Segoe UI"/>
          <w:i/>
          <w:iCs/>
        </w:rPr>
        <w:t xml:space="preserve"> Report on </w:t>
      </w:r>
      <w:r>
        <w:rPr>
          <w:rFonts w:cs="Segoe UI"/>
          <w:i/>
          <w:iCs/>
        </w:rPr>
        <w:t>s</w:t>
      </w:r>
      <w:r w:rsidRPr="006844E3">
        <w:rPr>
          <w:rFonts w:cs="Segoe UI"/>
          <w:i/>
          <w:iCs/>
        </w:rPr>
        <w:t xml:space="preserve">tage </w:t>
      </w:r>
      <w:r>
        <w:rPr>
          <w:rFonts w:cs="Segoe UI"/>
          <w:i/>
          <w:iCs/>
        </w:rPr>
        <w:t>o</w:t>
      </w:r>
      <w:r w:rsidRPr="006844E3">
        <w:rPr>
          <w:rFonts w:cs="Segoe UI"/>
          <w:i/>
          <w:iCs/>
        </w:rPr>
        <w:t xml:space="preserve">ne of the </w:t>
      </w:r>
      <w:r>
        <w:rPr>
          <w:rFonts w:cs="Segoe UI"/>
          <w:i/>
          <w:iCs/>
        </w:rPr>
        <w:t>h</w:t>
      </w:r>
      <w:r w:rsidRPr="006844E3">
        <w:rPr>
          <w:rFonts w:cs="Segoe UI"/>
          <w:i/>
          <w:iCs/>
        </w:rPr>
        <w:t xml:space="preserve">ealth </w:t>
      </w:r>
      <w:r>
        <w:rPr>
          <w:rFonts w:cs="Segoe UI"/>
          <w:i/>
          <w:iCs/>
        </w:rPr>
        <w:t>s</w:t>
      </w:r>
      <w:r w:rsidRPr="006844E3">
        <w:rPr>
          <w:rFonts w:cs="Segoe UI"/>
          <w:i/>
          <w:iCs/>
        </w:rPr>
        <w:t xml:space="preserve">ervices and </w:t>
      </w:r>
      <w:r>
        <w:rPr>
          <w:rFonts w:cs="Segoe UI"/>
          <w:i/>
          <w:iCs/>
        </w:rPr>
        <w:t>o</w:t>
      </w:r>
      <w:r w:rsidRPr="006844E3">
        <w:rPr>
          <w:rFonts w:cs="Segoe UI"/>
          <w:i/>
          <w:iCs/>
        </w:rPr>
        <w:t xml:space="preserve">utcomes </w:t>
      </w:r>
      <w:r>
        <w:rPr>
          <w:rFonts w:cs="Segoe UI"/>
          <w:i/>
          <w:iCs/>
        </w:rPr>
        <w:t>k</w:t>
      </w:r>
      <w:r w:rsidRPr="006844E3">
        <w:rPr>
          <w:rFonts w:cs="Segoe UI"/>
          <w:i/>
          <w:iCs/>
        </w:rPr>
        <w:t xml:space="preserve">aupapa </w:t>
      </w:r>
      <w:r>
        <w:rPr>
          <w:rFonts w:cs="Segoe UI"/>
          <w:i/>
          <w:iCs/>
        </w:rPr>
        <w:t>i</w:t>
      </w:r>
      <w:r w:rsidRPr="006844E3">
        <w:rPr>
          <w:rFonts w:cs="Segoe UI"/>
          <w:i/>
          <w:iCs/>
        </w:rPr>
        <w:t>nquiry</w:t>
      </w:r>
      <w:r w:rsidRPr="00BB1EF0">
        <w:rPr>
          <w:rFonts w:cs="Segoe UI"/>
        </w:rPr>
        <w:t xml:space="preserve"> explains the importance of culturally appropriate care, stating:  </w:t>
      </w:r>
    </w:p>
    <w:p w14:paraId="325690DF" w14:textId="77777777" w:rsidR="00B0292E" w:rsidRDefault="00B0292E" w:rsidP="00B0292E">
      <w:pPr>
        <w:ind w:left="567"/>
        <w:rPr>
          <w:rFonts w:cs="Segoe UI"/>
        </w:rPr>
      </w:pPr>
    </w:p>
    <w:p w14:paraId="4E78D4D0" w14:textId="0A171392" w:rsidR="00B0292E" w:rsidRPr="00CF1CF8" w:rsidRDefault="00B0292E" w:rsidP="00B0292E">
      <w:pPr>
        <w:ind w:left="567"/>
        <w:rPr>
          <w:rFonts w:cs="Segoe UI"/>
        </w:rPr>
      </w:pPr>
      <w:r w:rsidRPr="00CF1CF8">
        <w:rPr>
          <w:rFonts w:cs="Segoe UI"/>
        </w:rPr>
        <w:t xml:space="preserve">The Crown has a Treaty obligation to ensure that health services are culturally appropriate. This is important because […] providing care in a way that respects and understands Māori sociocultural paradigms is a care access issue, and impacts on the quality of health care received or, indeed, dictates whether care is received at all. </w:t>
      </w:r>
      <w:r w:rsidRPr="003E0E16">
        <w:rPr>
          <w:rFonts w:cs="Segoe UI"/>
        </w:rPr>
        <w:t>[…] As such, ensuring care is culturally appropriate ensures equitable access to care.</w:t>
      </w:r>
      <w:r w:rsidRPr="00CF1CF8">
        <w:rPr>
          <w:rFonts w:cs="Segoe UI"/>
          <w:vertAlign w:val="superscript"/>
        </w:rPr>
        <w:footnoteReference w:id="29"/>
      </w:r>
      <w:r w:rsidRPr="00CF1CF8">
        <w:rPr>
          <w:rFonts w:cs="Segoe UI"/>
        </w:rPr>
        <w:t xml:space="preserve"> </w:t>
      </w:r>
    </w:p>
    <w:p w14:paraId="0C890A87" w14:textId="77777777" w:rsidR="00B0292E" w:rsidRPr="0023476E" w:rsidRDefault="00B0292E" w:rsidP="0023476E">
      <w:pPr>
        <w:pStyle w:val="Heading3"/>
      </w:pPr>
      <w:bookmarkStart w:id="60" w:name="_Toc120713416"/>
      <w:bookmarkStart w:id="61" w:name="_Toc120715565"/>
      <w:bookmarkStart w:id="62" w:name="_Toc120862185"/>
      <w:bookmarkStart w:id="63" w:name="_Toc131663796"/>
      <w:bookmarkStart w:id="64" w:name="_Toc103152099"/>
      <w:bookmarkStart w:id="65" w:name="_Toc105770620"/>
      <w:bookmarkEnd w:id="60"/>
      <w:bookmarkEnd w:id="61"/>
      <w:bookmarkEnd w:id="62"/>
      <w:r w:rsidRPr="0023476E">
        <w:t>Taking a rights-based approach</w:t>
      </w:r>
      <w:bookmarkEnd w:id="63"/>
    </w:p>
    <w:p w14:paraId="0065A427" w14:textId="193CA650" w:rsidR="00B0292E" w:rsidRDefault="00B0292E" w:rsidP="00B0292E">
      <w:pPr>
        <w:rPr>
          <w:rFonts w:cs="Segoe UI"/>
        </w:rPr>
      </w:pPr>
      <w:r w:rsidRPr="00451E63">
        <w:rPr>
          <w:rFonts w:cs="Segoe UI"/>
        </w:rPr>
        <w:t>A rights-based approach to mental health promotes and protects human rights in policy and in services, including a person’s right to autonomy, dignity, self-determination and tino rangatiratanga. A rights-based approach to mental health means that a person remains central to all decisions that affect them, including decisions about their treatment and care.</w:t>
      </w:r>
    </w:p>
    <w:p w14:paraId="46C5188A" w14:textId="77777777" w:rsidR="0023476E" w:rsidRDefault="0023476E" w:rsidP="00B0292E">
      <w:pPr>
        <w:rPr>
          <w:rFonts w:cs="Segoe UI"/>
        </w:rPr>
      </w:pPr>
    </w:p>
    <w:p w14:paraId="56572E1B" w14:textId="124B38EF" w:rsidR="00B0292E" w:rsidRDefault="00B0292E" w:rsidP="00B0292E">
      <w:pPr>
        <w:rPr>
          <w:rFonts w:cs="Segoe UI"/>
        </w:rPr>
      </w:pPr>
      <w:r w:rsidRPr="00451E63">
        <w:rPr>
          <w:rFonts w:cs="Segoe UI"/>
        </w:rPr>
        <w:t xml:space="preserve">Compulsory treatment does not mean that people lose their human rights. Rather, decisions about compulsory treatment require clinicians to balance an individual’s rights against the need for coercive interventions permitted under the Mental Health Act. To avoid unnecessarily infringing on people’s human rights, </w:t>
      </w:r>
      <w:r>
        <w:rPr>
          <w:rFonts w:cs="Segoe UI"/>
        </w:rPr>
        <w:t xml:space="preserve">services should provide </w:t>
      </w:r>
      <w:r w:rsidRPr="00451E63">
        <w:rPr>
          <w:rFonts w:cs="Segoe UI"/>
        </w:rPr>
        <w:t xml:space="preserve">compulsory treatment in a manner that is consistent with the </w:t>
      </w:r>
      <w:r w:rsidRPr="00CA2668">
        <w:rPr>
          <w:rFonts w:cs="Segoe UI"/>
        </w:rPr>
        <w:t>New</w:t>
      </w:r>
      <w:r>
        <w:rPr>
          <w:rFonts w:cs="Segoe UI"/>
        </w:rPr>
        <w:t xml:space="preserve"> </w:t>
      </w:r>
      <w:r w:rsidRPr="00CA2668">
        <w:rPr>
          <w:rFonts w:cs="Segoe UI"/>
        </w:rPr>
        <w:t>Zealand</w:t>
      </w:r>
      <w:r>
        <w:rPr>
          <w:rFonts w:cs="Segoe UI"/>
        </w:rPr>
        <w:t xml:space="preserve"> </w:t>
      </w:r>
      <w:r w:rsidRPr="00CA2668">
        <w:rPr>
          <w:rFonts w:cs="Segoe UI"/>
        </w:rPr>
        <w:t>Bill</w:t>
      </w:r>
      <w:r>
        <w:rPr>
          <w:rFonts w:cs="Segoe UI"/>
        </w:rPr>
        <w:t xml:space="preserve"> </w:t>
      </w:r>
      <w:r w:rsidRPr="00CA2668">
        <w:rPr>
          <w:rFonts w:cs="Segoe UI"/>
        </w:rPr>
        <w:t>of</w:t>
      </w:r>
      <w:r>
        <w:rPr>
          <w:rFonts w:cs="Segoe UI"/>
        </w:rPr>
        <w:t xml:space="preserve"> </w:t>
      </w:r>
      <w:r w:rsidRPr="00CA2668">
        <w:rPr>
          <w:rFonts w:cs="Segoe UI"/>
        </w:rPr>
        <w:t>Rights</w:t>
      </w:r>
      <w:r>
        <w:rPr>
          <w:rFonts w:cs="Segoe UI"/>
        </w:rPr>
        <w:t xml:space="preserve"> </w:t>
      </w:r>
      <w:r w:rsidRPr="00CA2668">
        <w:rPr>
          <w:rFonts w:cs="Segoe UI"/>
        </w:rPr>
        <w:t>Act</w:t>
      </w:r>
      <w:r>
        <w:rPr>
          <w:rFonts w:cs="Segoe UI"/>
        </w:rPr>
        <w:t xml:space="preserve"> </w:t>
      </w:r>
      <w:r w:rsidRPr="00CA2668">
        <w:rPr>
          <w:rFonts w:cs="Segoe UI"/>
        </w:rPr>
        <w:t>1990</w:t>
      </w:r>
      <w:r w:rsidRPr="00451E63">
        <w:rPr>
          <w:rFonts w:cs="Segoe UI"/>
        </w:rPr>
        <w:t>, the Health and Disability Code of Patient Rights and Te Tiriti principles to the greatest extent possible, and in the least restrictive way.</w:t>
      </w:r>
      <w:r>
        <w:rPr>
          <w:rFonts w:cs="Segoe UI"/>
        </w:rPr>
        <w:t xml:space="preserve"> The human rights mechanisms discussed below also set out important rights and protections for people receiving compulsory mental health treatment. </w:t>
      </w:r>
    </w:p>
    <w:p w14:paraId="6AD3D149" w14:textId="77777777" w:rsidR="0023476E" w:rsidRDefault="0023476E" w:rsidP="00B0292E">
      <w:pPr>
        <w:rPr>
          <w:rFonts w:cs="Segoe UI"/>
        </w:rPr>
      </w:pPr>
    </w:p>
    <w:p w14:paraId="699095A7" w14:textId="77777777" w:rsidR="00B0292E" w:rsidRDefault="00B0292E" w:rsidP="00B0292E">
      <w:pPr>
        <w:rPr>
          <w:rFonts w:cs="Segoe UI"/>
        </w:rPr>
      </w:pPr>
      <w:r>
        <w:rPr>
          <w:rFonts w:cs="Segoe UI"/>
        </w:rPr>
        <w:t xml:space="preserve">The Human Rights Commission has released </w:t>
      </w:r>
      <w:r w:rsidRPr="00480ED0">
        <w:rPr>
          <w:rFonts w:cs="Segoe UI"/>
        </w:rPr>
        <w:t>guidance to help health professionals understand the human rights to health</w:t>
      </w:r>
      <w:r>
        <w:rPr>
          <w:rFonts w:cs="Segoe UI"/>
        </w:rPr>
        <w:t xml:space="preserve"> </w:t>
      </w:r>
      <w:r w:rsidRPr="00480ED0">
        <w:rPr>
          <w:rFonts w:cs="Segoe UI"/>
        </w:rPr>
        <w:t>care and health protection</w:t>
      </w:r>
      <w:r>
        <w:rPr>
          <w:rFonts w:cs="Segoe UI"/>
        </w:rPr>
        <w:t xml:space="preserve">: </w:t>
      </w:r>
      <w:r w:rsidRPr="00480ED0">
        <w:rPr>
          <w:rFonts w:cs="Segoe UI"/>
        </w:rPr>
        <w:t xml:space="preserve">the </w:t>
      </w:r>
      <w:r w:rsidRPr="00480ED0">
        <w:rPr>
          <w:rFonts w:cs="Segoe UI"/>
          <w:i/>
          <w:iCs/>
        </w:rPr>
        <w:t>Guide to the rights to healthcare and health protection in Aotearoa New Zealand</w:t>
      </w:r>
      <w:r w:rsidRPr="00480ED0">
        <w:rPr>
          <w:rFonts w:cs="Segoe UI"/>
        </w:rPr>
        <w:t xml:space="preserve"> is available on </w:t>
      </w:r>
      <w:r>
        <w:rPr>
          <w:rFonts w:cs="Segoe UI"/>
        </w:rPr>
        <w:t xml:space="preserve">its </w:t>
      </w:r>
      <w:r w:rsidRPr="00480ED0">
        <w:rPr>
          <w:rFonts w:cs="Segoe UI"/>
        </w:rPr>
        <w:t>website.</w:t>
      </w:r>
      <w:r w:rsidRPr="00480ED0">
        <w:rPr>
          <w:rStyle w:val="FootnoteReference"/>
          <w:rFonts w:cs="Segoe UI"/>
        </w:rPr>
        <w:footnoteReference w:id="30"/>
      </w:r>
    </w:p>
    <w:p w14:paraId="6ACA19B5" w14:textId="77777777" w:rsidR="00B0292E" w:rsidRPr="0023476E" w:rsidRDefault="00B0292E" w:rsidP="0023476E">
      <w:pPr>
        <w:pStyle w:val="Heading3"/>
      </w:pPr>
      <w:bookmarkStart w:id="66" w:name="_Toc131663797"/>
      <w:r w:rsidRPr="0023476E">
        <w:t>International human rights agreements</w:t>
      </w:r>
      <w:bookmarkEnd w:id="64"/>
      <w:bookmarkEnd w:id="65"/>
      <w:bookmarkEnd w:id="66"/>
    </w:p>
    <w:p w14:paraId="66492020" w14:textId="77777777" w:rsidR="00B0292E" w:rsidRPr="00CA2668" w:rsidRDefault="00B0292E" w:rsidP="0023476E">
      <w:r w:rsidRPr="00CA2668">
        <w:t>Aotearoa</w:t>
      </w:r>
      <w:r>
        <w:t xml:space="preserve"> </w:t>
      </w:r>
      <w:r w:rsidRPr="00CA2668">
        <w:t>New</w:t>
      </w:r>
      <w:r>
        <w:t xml:space="preserve"> </w:t>
      </w:r>
      <w:r w:rsidRPr="00CA2668">
        <w:t>Zealand</w:t>
      </w:r>
      <w:r>
        <w:t xml:space="preserve"> </w:t>
      </w:r>
      <w:r w:rsidRPr="00CA2668">
        <w:t>has</w:t>
      </w:r>
      <w:r>
        <w:t xml:space="preserve"> </w:t>
      </w:r>
      <w:r w:rsidRPr="00CA2668">
        <w:t>obligations</w:t>
      </w:r>
      <w:r>
        <w:t xml:space="preserve"> under </w:t>
      </w:r>
      <w:r w:rsidRPr="00CA2668">
        <w:t>international</w:t>
      </w:r>
      <w:r>
        <w:t xml:space="preserve"> </w:t>
      </w:r>
      <w:r w:rsidRPr="00CA2668">
        <w:t>human</w:t>
      </w:r>
      <w:r>
        <w:t xml:space="preserve"> </w:t>
      </w:r>
      <w:r w:rsidRPr="00CA2668">
        <w:t>rights</w:t>
      </w:r>
      <w:r>
        <w:t xml:space="preserve"> agreements</w:t>
      </w:r>
      <w:r w:rsidRPr="00CA2668">
        <w:t>.</w:t>
      </w:r>
      <w:r>
        <w:t xml:space="preserve"> </w:t>
      </w:r>
      <w:r w:rsidRPr="00CA2668">
        <w:t>The</w:t>
      </w:r>
      <w:r>
        <w:t xml:space="preserve"> </w:t>
      </w:r>
      <w:r w:rsidRPr="00CA2668">
        <w:t>most</w:t>
      </w:r>
      <w:r>
        <w:t xml:space="preserve"> </w:t>
      </w:r>
      <w:r w:rsidRPr="00CA2668">
        <w:t>relevant</w:t>
      </w:r>
      <w:r>
        <w:t xml:space="preserve"> </w:t>
      </w:r>
      <w:r w:rsidRPr="00CA2668">
        <w:t>to</w:t>
      </w:r>
      <w:r>
        <w:t xml:space="preserve"> </w:t>
      </w:r>
      <w:r w:rsidRPr="00CA2668">
        <w:t>the</w:t>
      </w:r>
      <w:r>
        <w:t xml:space="preserve"> </w:t>
      </w:r>
      <w:r w:rsidRPr="00CA2668">
        <w:t>rights</w:t>
      </w:r>
      <w:r>
        <w:t xml:space="preserve"> </w:t>
      </w:r>
      <w:r w:rsidRPr="00CA2668">
        <w:t>of</w:t>
      </w:r>
      <w:r>
        <w:t xml:space="preserve"> </w:t>
      </w:r>
      <w:r w:rsidRPr="00CA2668">
        <w:t>people</w:t>
      </w:r>
      <w:r>
        <w:t xml:space="preserve"> </w:t>
      </w:r>
      <w:r w:rsidRPr="00CA2668">
        <w:t>receiving</w:t>
      </w:r>
      <w:r>
        <w:t xml:space="preserve"> </w:t>
      </w:r>
      <w:r w:rsidRPr="00CA2668">
        <w:t>compulsory</w:t>
      </w:r>
      <w:r>
        <w:t xml:space="preserve"> </w:t>
      </w:r>
      <w:r w:rsidRPr="00CA2668">
        <w:t>mental</w:t>
      </w:r>
      <w:r>
        <w:t xml:space="preserve"> </w:t>
      </w:r>
      <w:r w:rsidRPr="00CA2668">
        <w:t>health</w:t>
      </w:r>
      <w:r>
        <w:t xml:space="preserve"> </w:t>
      </w:r>
      <w:r w:rsidRPr="00CA2668">
        <w:t>treatment</w:t>
      </w:r>
      <w:r>
        <w:t xml:space="preserve"> </w:t>
      </w:r>
      <w:r w:rsidRPr="00CA2668">
        <w:t>include:</w:t>
      </w:r>
    </w:p>
    <w:p w14:paraId="1E6250B5" w14:textId="77777777" w:rsidR="00B0292E" w:rsidRPr="0023476E" w:rsidRDefault="00B0292E" w:rsidP="0023476E">
      <w:pPr>
        <w:pStyle w:val="Bullet"/>
      </w:pPr>
      <w:r w:rsidRPr="0023476E">
        <w:t>the United Nations Convention Against Torture and Other Cruel, Inhuman or Degrading Treatment or Punishment</w:t>
      </w:r>
    </w:p>
    <w:p w14:paraId="3CBEE481" w14:textId="77777777" w:rsidR="00B0292E" w:rsidRPr="0023476E" w:rsidRDefault="00B0292E" w:rsidP="0023476E">
      <w:pPr>
        <w:pStyle w:val="Bullet"/>
      </w:pPr>
      <w:r w:rsidRPr="0023476E">
        <w:lastRenderedPageBreak/>
        <w:t xml:space="preserve">the United Nations Convention on the Rights of Persons with Disabilities </w:t>
      </w:r>
    </w:p>
    <w:p w14:paraId="0250FDE9" w14:textId="77777777" w:rsidR="00B0292E" w:rsidRPr="0023476E" w:rsidRDefault="00B0292E" w:rsidP="0023476E">
      <w:pPr>
        <w:pStyle w:val="Bullet"/>
      </w:pPr>
      <w:r w:rsidRPr="0023476E">
        <w:t>the United Nations Convention on the Rights of the Child</w:t>
      </w:r>
    </w:p>
    <w:p w14:paraId="78298D56" w14:textId="77777777" w:rsidR="00B0292E" w:rsidRPr="0023476E" w:rsidRDefault="00B0292E" w:rsidP="0023476E">
      <w:pPr>
        <w:pStyle w:val="Bullet"/>
      </w:pPr>
      <w:r w:rsidRPr="0023476E">
        <w:t>the United Nations Declaration on the Rights of Indigenous Peoples</w:t>
      </w:r>
    </w:p>
    <w:p w14:paraId="6D201733" w14:textId="77777777" w:rsidR="00B0292E" w:rsidRPr="0023476E" w:rsidRDefault="00B0292E" w:rsidP="0023476E">
      <w:pPr>
        <w:pStyle w:val="Bullet"/>
      </w:pPr>
      <w:r w:rsidRPr="0023476E">
        <w:t>the International Convention on the Elimination of all forms of Racial Discrimination.</w:t>
      </w:r>
    </w:p>
    <w:p w14:paraId="2E5A06D2" w14:textId="77777777" w:rsidR="0023476E" w:rsidRDefault="0023476E" w:rsidP="0023476E"/>
    <w:p w14:paraId="0326F325" w14:textId="3645C9C3" w:rsidR="00B0292E" w:rsidRPr="00EE462B" w:rsidRDefault="00B0292E" w:rsidP="0023476E">
      <w:r w:rsidRPr="00EE462B">
        <w:t xml:space="preserve">Information about these human rights agreements and how they relate to the Mental Health Act is provided in </w:t>
      </w:r>
      <w:r w:rsidRPr="00B6194E">
        <w:rPr>
          <w:i/>
        </w:rPr>
        <w:t>Human Rights and the Mental Health (Compulsory Assessment and Treatment) Act 1992</w:t>
      </w:r>
      <w:r w:rsidRPr="00B62062">
        <w:rPr>
          <w:iCs/>
        </w:rPr>
        <w:t>,</w:t>
      </w:r>
      <w:r w:rsidRPr="006E6F49">
        <w:rPr>
          <w:rStyle w:val="FootnoteReference"/>
          <w:iCs/>
        </w:rPr>
        <w:footnoteReference w:id="31"/>
      </w:r>
      <w:r w:rsidRPr="00EE462B">
        <w:t xml:space="preserve"> a guidance document issued by Manatū Hauora. </w:t>
      </w:r>
    </w:p>
    <w:p w14:paraId="084A9069" w14:textId="77777777" w:rsidR="00B0292E" w:rsidRPr="0023476E" w:rsidRDefault="00B0292E" w:rsidP="0023476E">
      <w:pPr>
        <w:pStyle w:val="Heading3"/>
      </w:pPr>
      <w:bookmarkStart w:id="67" w:name="_Toc120862188"/>
      <w:bookmarkStart w:id="68" w:name="_Toc131663798"/>
      <w:r w:rsidRPr="0023476E">
        <w:t>Providing a safe environment for all</w:t>
      </w:r>
      <w:bookmarkEnd w:id="67"/>
      <w:bookmarkEnd w:id="68"/>
    </w:p>
    <w:p w14:paraId="2F92C7F1" w14:textId="77777777" w:rsidR="00B0292E" w:rsidRPr="00EA1765" w:rsidRDefault="00B0292E" w:rsidP="0023476E">
      <w:pPr>
        <w:rPr>
          <w:color w:val="31849B" w:themeColor="accent5" w:themeShade="BF"/>
          <w:sz w:val="22"/>
          <w:szCs w:val="22"/>
        </w:rPr>
      </w:pPr>
      <w:r>
        <w:t xml:space="preserve">Services are obliged to protect the people in their care from harm in an inpatient environment. They are also obliged to provide a safe environment for the staff responsible for caring for those people.   </w:t>
      </w:r>
    </w:p>
    <w:p w14:paraId="2D0D3113" w14:textId="77777777" w:rsidR="00B0292E" w:rsidRPr="0023476E" w:rsidRDefault="00B0292E" w:rsidP="0023476E">
      <w:pPr>
        <w:pStyle w:val="Heading3"/>
      </w:pPr>
      <w:bookmarkStart w:id="69" w:name="_Toc131663799"/>
      <w:r w:rsidRPr="0023476E">
        <w:t>Health and safety at work</w:t>
      </w:r>
      <w:bookmarkEnd w:id="69"/>
      <w:r w:rsidRPr="0023476E">
        <w:t xml:space="preserve"> </w:t>
      </w:r>
    </w:p>
    <w:p w14:paraId="6E2069E6" w14:textId="667C0422" w:rsidR="00B0292E" w:rsidRDefault="00B0292E" w:rsidP="0023476E">
      <w:r w:rsidRPr="001D0338">
        <w:t>The</w:t>
      </w:r>
      <w:r>
        <w:t xml:space="preserve"> </w:t>
      </w:r>
      <w:r w:rsidRPr="001D0338">
        <w:t>Health</w:t>
      </w:r>
      <w:r>
        <w:t xml:space="preserve"> </w:t>
      </w:r>
      <w:r w:rsidRPr="001D0338">
        <w:t>and</w:t>
      </w:r>
      <w:r>
        <w:t xml:space="preserve"> </w:t>
      </w:r>
      <w:r w:rsidRPr="001D0338">
        <w:t>Safety</w:t>
      </w:r>
      <w:r>
        <w:t xml:space="preserve"> </w:t>
      </w:r>
      <w:r w:rsidRPr="001D0338">
        <w:t>at</w:t>
      </w:r>
      <w:r>
        <w:t xml:space="preserve"> </w:t>
      </w:r>
      <w:r w:rsidRPr="001D0338">
        <w:t>Work</w:t>
      </w:r>
      <w:r>
        <w:t xml:space="preserve"> </w:t>
      </w:r>
      <w:r w:rsidRPr="001D0338">
        <w:t>Act</w:t>
      </w:r>
      <w:r>
        <w:t xml:space="preserve"> </w:t>
      </w:r>
      <w:r w:rsidRPr="001D0338">
        <w:t>2015</w:t>
      </w:r>
      <w:r>
        <w:t xml:space="preserve"> </w:t>
      </w:r>
      <w:r w:rsidRPr="001D0338">
        <w:t>and</w:t>
      </w:r>
      <w:r>
        <w:t xml:space="preserve"> </w:t>
      </w:r>
      <w:r w:rsidRPr="001D0338">
        <w:t>related</w:t>
      </w:r>
      <w:r>
        <w:t xml:space="preserve"> </w:t>
      </w:r>
      <w:r w:rsidRPr="001D0338">
        <w:t>regulations</w:t>
      </w:r>
      <w:r>
        <w:t xml:space="preserve"> </w:t>
      </w:r>
      <w:r w:rsidRPr="001D0338">
        <w:t>require</w:t>
      </w:r>
      <w:r>
        <w:t xml:space="preserve"> </w:t>
      </w:r>
      <w:r w:rsidRPr="001D0338">
        <w:t>that</w:t>
      </w:r>
      <w:r>
        <w:t xml:space="preserve"> </w:t>
      </w:r>
      <w:r w:rsidRPr="001D0338">
        <w:t>workers</w:t>
      </w:r>
      <w:r>
        <w:t xml:space="preserve"> </w:t>
      </w:r>
      <w:r w:rsidRPr="001D0338">
        <w:t>and</w:t>
      </w:r>
      <w:r>
        <w:t xml:space="preserve"> </w:t>
      </w:r>
      <w:r w:rsidRPr="001D0338">
        <w:t>others</w:t>
      </w:r>
      <w:r>
        <w:t xml:space="preserve"> </w:t>
      </w:r>
      <w:r w:rsidRPr="001D0338">
        <w:t>are</w:t>
      </w:r>
      <w:r>
        <w:t xml:space="preserve"> </w:t>
      </w:r>
      <w:r w:rsidRPr="001D0338">
        <w:t>given</w:t>
      </w:r>
      <w:r>
        <w:t xml:space="preserve"> </w:t>
      </w:r>
      <w:r w:rsidRPr="001D0338">
        <w:t>the</w:t>
      </w:r>
      <w:r>
        <w:t xml:space="preserve"> </w:t>
      </w:r>
      <w:r w:rsidRPr="001D0338">
        <w:t>highest</w:t>
      </w:r>
      <w:r>
        <w:t xml:space="preserve"> </w:t>
      </w:r>
      <w:r w:rsidRPr="001D0338">
        <w:t>level</w:t>
      </w:r>
      <w:r>
        <w:t xml:space="preserve"> </w:t>
      </w:r>
      <w:r w:rsidRPr="001D0338">
        <w:t>of</w:t>
      </w:r>
      <w:r>
        <w:t xml:space="preserve"> </w:t>
      </w:r>
      <w:r w:rsidRPr="001D0338">
        <w:t>protection</w:t>
      </w:r>
      <w:r>
        <w:t xml:space="preserve"> </w:t>
      </w:r>
      <w:r w:rsidRPr="001D0338">
        <w:t>from</w:t>
      </w:r>
      <w:r>
        <w:t xml:space="preserve"> </w:t>
      </w:r>
      <w:r w:rsidRPr="001D0338">
        <w:t>workplace</w:t>
      </w:r>
      <w:r>
        <w:t xml:space="preserve"> </w:t>
      </w:r>
      <w:r w:rsidRPr="001D0338">
        <w:t>health</w:t>
      </w:r>
      <w:r>
        <w:t xml:space="preserve"> </w:t>
      </w:r>
      <w:r w:rsidRPr="001D0338">
        <w:t>and</w:t>
      </w:r>
      <w:r>
        <w:t xml:space="preserve"> </w:t>
      </w:r>
      <w:r w:rsidRPr="001D0338">
        <w:t>safety</w:t>
      </w:r>
      <w:r>
        <w:t xml:space="preserve"> </w:t>
      </w:r>
      <w:r w:rsidRPr="001D0338">
        <w:t>risks,</w:t>
      </w:r>
      <w:r>
        <w:t xml:space="preserve"> </w:t>
      </w:r>
      <w:r w:rsidRPr="001D0338">
        <w:t>so</w:t>
      </w:r>
      <w:r>
        <w:t xml:space="preserve"> </w:t>
      </w:r>
      <w:r w:rsidRPr="001D0338">
        <w:t>far</w:t>
      </w:r>
      <w:r>
        <w:t xml:space="preserve"> </w:t>
      </w:r>
      <w:r w:rsidRPr="001D0338">
        <w:t>as</w:t>
      </w:r>
      <w:r>
        <w:t xml:space="preserve"> </w:t>
      </w:r>
      <w:r w:rsidRPr="001D0338">
        <w:t>is</w:t>
      </w:r>
      <w:r>
        <w:t xml:space="preserve"> </w:t>
      </w:r>
      <w:r w:rsidRPr="001D0338">
        <w:t>reasonably</w:t>
      </w:r>
      <w:r>
        <w:t xml:space="preserve"> </w:t>
      </w:r>
      <w:r w:rsidRPr="001D0338">
        <w:t>practicable.</w:t>
      </w:r>
      <w:r>
        <w:t xml:space="preserve"> </w:t>
      </w:r>
      <w:r w:rsidRPr="001D0338">
        <w:t>This</w:t>
      </w:r>
      <w:r>
        <w:t xml:space="preserve"> </w:t>
      </w:r>
      <w:r w:rsidRPr="001D0338">
        <w:t>includes</w:t>
      </w:r>
      <w:r>
        <w:t xml:space="preserve"> </w:t>
      </w:r>
      <w:r w:rsidRPr="001D0338">
        <w:t>risks</w:t>
      </w:r>
      <w:r>
        <w:t xml:space="preserve"> </w:t>
      </w:r>
      <w:r w:rsidRPr="001D0338">
        <w:t>to</w:t>
      </w:r>
      <w:r>
        <w:t xml:space="preserve"> </w:t>
      </w:r>
      <w:r w:rsidRPr="001D0338">
        <w:t>both</w:t>
      </w:r>
      <w:r>
        <w:t xml:space="preserve"> </w:t>
      </w:r>
      <w:r w:rsidRPr="001D0338">
        <w:t>physical</w:t>
      </w:r>
      <w:r>
        <w:t xml:space="preserve"> </w:t>
      </w:r>
      <w:r w:rsidRPr="001D0338">
        <w:t>and</w:t>
      </w:r>
      <w:r>
        <w:t xml:space="preserve"> </w:t>
      </w:r>
      <w:r w:rsidRPr="001D0338">
        <w:t>mental</w:t>
      </w:r>
      <w:r>
        <w:t xml:space="preserve"> </w:t>
      </w:r>
      <w:r w:rsidRPr="001D0338">
        <w:t>health.</w:t>
      </w:r>
    </w:p>
    <w:p w14:paraId="3EB780A4" w14:textId="77777777" w:rsidR="0023476E" w:rsidRDefault="0023476E" w:rsidP="0023476E"/>
    <w:p w14:paraId="6C8B8364" w14:textId="77777777" w:rsidR="00B0292E" w:rsidRPr="00F22CED" w:rsidRDefault="00B0292E" w:rsidP="0023476E">
      <w:r w:rsidRPr="2CC988A9">
        <w:t xml:space="preserve">Services are required to ensure that the workplace meets required health and safety standards, </w:t>
      </w:r>
      <w:r>
        <w:t>and provide a combination of relational, environmental, and procedural security. For example, services are required to</w:t>
      </w:r>
      <w:r w:rsidRPr="2CC988A9">
        <w:t xml:space="preserve"> ensure agreed minimum staffing ratios in each workplace. </w:t>
      </w:r>
      <w:r>
        <w:t xml:space="preserve">They should implement </w:t>
      </w:r>
      <w:r w:rsidRPr="2CC988A9">
        <w:t>agreements to increase staffing levels when the</w:t>
      </w:r>
      <w:r>
        <w:t>re are early warning signs of</w:t>
      </w:r>
      <w:r w:rsidRPr="2CC988A9">
        <w:t xml:space="preserve"> acuity in</w:t>
      </w:r>
      <w:r>
        <w:t xml:space="preserve">creasing </w:t>
      </w:r>
      <w:r w:rsidRPr="2CC988A9">
        <w:t xml:space="preserve">to a point that </w:t>
      </w:r>
      <w:r>
        <w:t>will compromise the</w:t>
      </w:r>
      <w:r w:rsidRPr="2CC988A9">
        <w:t xml:space="preserve"> safe</w:t>
      </w:r>
      <w:r>
        <w:t>ty</w:t>
      </w:r>
      <w:r w:rsidRPr="2CC988A9">
        <w:t xml:space="preserve"> </w:t>
      </w:r>
      <w:r>
        <w:t>of</w:t>
      </w:r>
      <w:r w:rsidRPr="2CC988A9">
        <w:t xml:space="preserve"> staff and people using the service.</w:t>
      </w:r>
    </w:p>
    <w:p w14:paraId="3F3C8C0A" w14:textId="77777777" w:rsidR="00B0292E" w:rsidRPr="0023476E" w:rsidRDefault="00B0292E" w:rsidP="0023476E">
      <w:pPr>
        <w:pStyle w:val="Heading3"/>
      </w:pPr>
      <w:bookmarkStart w:id="70" w:name="_Toc103152100"/>
      <w:bookmarkStart w:id="71" w:name="_Toc105770621"/>
      <w:bookmarkStart w:id="72" w:name="_Toc131663800"/>
      <w:r w:rsidRPr="0023476E">
        <w:t>New Zealand Bill of Rights Act and Health and Disability Code of Patient Rights</w:t>
      </w:r>
      <w:bookmarkEnd w:id="70"/>
      <w:bookmarkEnd w:id="71"/>
      <w:bookmarkEnd w:id="72"/>
    </w:p>
    <w:p w14:paraId="10D52717" w14:textId="1648466D" w:rsidR="00B0292E" w:rsidRDefault="00B0292E" w:rsidP="0023476E">
      <w:r w:rsidRPr="00CA2668">
        <w:t>The</w:t>
      </w:r>
      <w:r>
        <w:rPr>
          <w:color w:val="0070C0"/>
        </w:rPr>
        <w:t xml:space="preserve"> </w:t>
      </w:r>
      <w:r w:rsidRPr="00CA2668">
        <w:t>New</w:t>
      </w:r>
      <w:r>
        <w:t xml:space="preserve"> </w:t>
      </w:r>
      <w:r w:rsidRPr="00CA2668">
        <w:t>Zealand</w:t>
      </w:r>
      <w:r>
        <w:t xml:space="preserve"> </w:t>
      </w:r>
      <w:r w:rsidRPr="00CA2668">
        <w:t>Bill</w:t>
      </w:r>
      <w:r>
        <w:t xml:space="preserve"> </w:t>
      </w:r>
      <w:r w:rsidRPr="00CA2668">
        <w:t>of</w:t>
      </w:r>
      <w:r>
        <w:t xml:space="preserve"> </w:t>
      </w:r>
      <w:r w:rsidRPr="00CA2668">
        <w:t>Rights</w:t>
      </w:r>
      <w:r>
        <w:t xml:space="preserve"> </w:t>
      </w:r>
      <w:r w:rsidRPr="00CA2668">
        <w:t>Act</w:t>
      </w:r>
      <w:r>
        <w:t xml:space="preserve"> </w:t>
      </w:r>
      <w:r w:rsidRPr="00CA2668">
        <w:t>1990</w:t>
      </w:r>
      <w:r>
        <w:t xml:space="preserve"> </w:t>
      </w:r>
      <w:r w:rsidRPr="00CA2668">
        <w:t>and</w:t>
      </w:r>
      <w:r>
        <w:t xml:space="preserve"> </w:t>
      </w:r>
      <w:r w:rsidRPr="00CA2668">
        <w:t>the</w:t>
      </w:r>
      <w:r>
        <w:t xml:space="preserve"> </w:t>
      </w:r>
      <w:r w:rsidRPr="00CA2668">
        <w:t>Human</w:t>
      </w:r>
      <w:r>
        <w:t xml:space="preserve"> </w:t>
      </w:r>
      <w:r w:rsidRPr="00CA2668">
        <w:t>Rights</w:t>
      </w:r>
      <w:r>
        <w:t xml:space="preserve"> </w:t>
      </w:r>
      <w:r w:rsidRPr="00CA2668">
        <w:t>Act</w:t>
      </w:r>
      <w:r>
        <w:t xml:space="preserve"> </w:t>
      </w:r>
      <w:r w:rsidRPr="00CA2668">
        <w:t>1993</w:t>
      </w:r>
      <w:r>
        <w:t xml:space="preserve"> </w:t>
      </w:r>
      <w:r w:rsidRPr="00CA2668">
        <w:t>give</w:t>
      </w:r>
      <w:r>
        <w:t xml:space="preserve"> </w:t>
      </w:r>
      <w:r w:rsidRPr="00CA2668">
        <w:t>expression</w:t>
      </w:r>
      <w:r>
        <w:t xml:space="preserve"> </w:t>
      </w:r>
      <w:r w:rsidRPr="00CA2668">
        <w:t>to</w:t>
      </w:r>
      <w:r>
        <w:t xml:space="preserve"> </w:t>
      </w:r>
      <w:r w:rsidRPr="00CA2668">
        <w:t>New</w:t>
      </w:r>
      <w:r>
        <w:t xml:space="preserve"> </w:t>
      </w:r>
      <w:r w:rsidRPr="00CA2668">
        <w:t>Zealand’s</w:t>
      </w:r>
      <w:r>
        <w:t xml:space="preserve"> </w:t>
      </w:r>
      <w:r w:rsidRPr="00CA2668">
        <w:t>international</w:t>
      </w:r>
      <w:r>
        <w:t xml:space="preserve"> human rights </w:t>
      </w:r>
      <w:r w:rsidRPr="00CA2668">
        <w:t>obligations.</w:t>
      </w:r>
      <w:r>
        <w:t xml:space="preserve"> Under s</w:t>
      </w:r>
      <w:r w:rsidRPr="00500ADD">
        <w:t>ection 19 of the New Zealand Bill of Rights</w:t>
      </w:r>
      <w:r>
        <w:t>, e</w:t>
      </w:r>
      <w:r w:rsidRPr="00141842">
        <w:t xml:space="preserve">veryone has the right to freedom from discrimination on the grounds of discrimination </w:t>
      </w:r>
      <w:r w:rsidRPr="00EE462B">
        <w:t xml:space="preserve">in the </w:t>
      </w:r>
      <w:r w:rsidRPr="005A27B8">
        <w:t>Human Rights Act 1993</w:t>
      </w:r>
      <w:r>
        <w:t>, including freedom from discrimination on the grounds of ethnicity</w:t>
      </w:r>
      <w:r w:rsidRPr="00500ADD">
        <w:t>.</w:t>
      </w:r>
      <w:r>
        <w:t xml:space="preserve"> Under section 23(5) of the New Zealand Bill of Rights Act, everyone deprived of liberty shall be treated with humanity and with respect for the dignity of the person.</w:t>
      </w:r>
    </w:p>
    <w:p w14:paraId="6DC2731A" w14:textId="77777777" w:rsidR="0023476E" w:rsidRDefault="0023476E" w:rsidP="0023476E"/>
    <w:p w14:paraId="5C494D75" w14:textId="41DFAC18" w:rsidR="00B0292E" w:rsidRDefault="00B0292E" w:rsidP="0023476E">
      <w:r>
        <w:t xml:space="preserve">The </w:t>
      </w:r>
      <w:r w:rsidRPr="00CA2668">
        <w:t>Code</w:t>
      </w:r>
      <w:r>
        <w:t xml:space="preserve"> </w:t>
      </w:r>
      <w:r w:rsidRPr="00CA2668">
        <w:t>of</w:t>
      </w:r>
      <w:r>
        <w:t xml:space="preserve"> </w:t>
      </w:r>
      <w:r w:rsidRPr="00CA2668">
        <w:t>Rights</w:t>
      </w:r>
      <w:r>
        <w:t xml:space="preserve"> </w:t>
      </w:r>
      <w:r w:rsidRPr="00CA2668">
        <w:t>is</w:t>
      </w:r>
      <w:r>
        <w:t xml:space="preserve"> New Zealand’s </w:t>
      </w:r>
      <w:r w:rsidRPr="00CA2668">
        <w:t>mechanism</w:t>
      </w:r>
      <w:r>
        <w:t xml:space="preserve"> </w:t>
      </w:r>
      <w:r w:rsidRPr="00CA2668">
        <w:t>for</w:t>
      </w:r>
      <w:r>
        <w:t xml:space="preserve"> </w:t>
      </w:r>
      <w:r w:rsidRPr="00CA2668">
        <w:t>protecting</w:t>
      </w:r>
      <w:r>
        <w:t xml:space="preserve"> </w:t>
      </w:r>
      <w:r w:rsidRPr="00CA2668">
        <w:t>people’s</w:t>
      </w:r>
      <w:r>
        <w:t xml:space="preserve"> </w:t>
      </w:r>
      <w:r w:rsidRPr="00CA2668">
        <w:t>rights</w:t>
      </w:r>
      <w:r>
        <w:t xml:space="preserve"> </w:t>
      </w:r>
      <w:r w:rsidRPr="00CA2668">
        <w:t>in</w:t>
      </w:r>
      <w:r>
        <w:t xml:space="preserve"> </w:t>
      </w:r>
      <w:r w:rsidRPr="00CA2668">
        <w:t>relation</w:t>
      </w:r>
      <w:r>
        <w:t xml:space="preserve"> </w:t>
      </w:r>
      <w:r w:rsidRPr="00CA2668">
        <w:t>to</w:t>
      </w:r>
      <w:r>
        <w:t xml:space="preserve"> </w:t>
      </w:r>
      <w:r w:rsidRPr="00CA2668">
        <w:t>health</w:t>
      </w:r>
      <w:r>
        <w:t xml:space="preserve"> </w:t>
      </w:r>
      <w:r w:rsidRPr="00CA2668">
        <w:t>and</w:t>
      </w:r>
      <w:r>
        <w:t xml:space="preserve"> </w:t>
      </w:r>
      <w:r w:rsidRPr="00CA2668">
        <w:t>disability</w:t>
      </w:r>
      <w:r>
        <w:t xml:space="preserve"> </w:t>
      </w:r>
      <w:r w:rsidRPr="00CA2668">
        <w:t>care.</w:t>
      </w:r>
      <w:r>
        <w:t xml:space="preserve"> </w:t>
      </w:r>
    </w:p>
    <w:p w14:paraId="3CD9FD8B" w14:textId="77777777" w:rsidR="0023476E" w:rsidRPr="00CA2668" w:rsidRDefault="0023476E" w:rsidP="0023476E"/>
    <w:p w14:paraId="032D72E0" w14:textId="11E09BC2" w:rsidR="00B0292E" w:rsidRDefault="00B0292E" w:rsidP="0023476E">
      <w:r w:rsidRPr="00CA2668">
        <w:lastRenderedPageBreak/>
        <w:t>Rights</w:t>
      </w:r>
      <w:r>
        <w:t xml:space="preserve"> </w:t>
      </w:r>
      <w:r w:rsidRPr="00CA2668">
        <w:t>set</w:t>
      </w:r>
      <w:r>
        <w:t xml:space="preserve"> </w:t>
      </w:r>
      <w:r w:rsidRPr="00CA2668">
        <w:t>out</w:t>
      </w:r>
      <w:r>
        <w:t xml:space="preserve"> </w:t>
      </w:r>
      <w:r w:rsidRPr="00CA2668">
        <w:t>in</w:t>
      </w:r>
      <w:r>
        <w:t xml:space="preserve"> </w:t>
      </w:r>
      <w:r w:rsidRPr="00CA2668">
        <w:t>the</w:t>
      </w:r>
      <w:r>
        <w:t xml:space="preserve"> </w:t>
      </w:r>
      <w:r w:rsidRPr="00CA2668">
        <w:t>Code</w:t>
      </w:r>
      <w:r>
        <w:t xml:space="preserve"> </w:t>
      </w:r>
      <w:r w:rsidRPr="00CA2668">
        <w:t>of</w:t>
      </w:r>
      <w:r>
        <w:t xml:space="preserve"> </w:t>
      </w:r>
      <w:r w:rsidRPr="00CA2668">
        <w:t>Rights</w:t>
      </w:r>
      <w:r>
        <w:t xml:space="preserve"> </w:t>
      </w:r>
      <w:r w:rsidRPr="00CA2668">
        <w:t>apply</w:t>
      </w:r>
      <w:r>
        <w:t xml:space="preserve"> </w:t>
      </w:r>
      <w:r w:rsidRPr="00CA2668">
        <w:t>alongside</w:t>
      </w:r>
      <w:r>
        <w:t xml:space="preserve"> </w:t>
      </w:r>
      <w:r w:rsidRPr="00CA2668">
        <w:t>the</w:t>
      </w:r>
      <w:r>
        <w:t xml:space="preserve"> </w:t>
      </w:r>
      <w:r w:rsidRPr="00CA2668">
        <w:t>Mental</w:t>
      </w:r>
      <w:r>
        <w:t xml:space="preserve"> </w:t>
      </w:r>
      <w:r w:rsidRPr="00CA2668">
        <w:t>Health</w:t>
      </w:r>
      <w:r>
        <w:t xml:space="preserve"> </w:t>
      </w:r>
      <w:r w:rsidRPr="00CA2668">
        <w:t>Act,</w:t>
      </w:r>
      <w:r>
        <w:t xml:space="preserve"> </w:t>
      </w:r>
      <w:r w:rsidRPr="00CA2668">
        <w:t>except</w:t>
      </w:r>
      <w:r>
        <w:t xml:space="preserve"> </w:t>
      </w:r>
      <w:r w:rsidRPr="00CA2668">
        <w:t>where</w:t>
      </w:r>
      <w:r>
        <w:t xml:space="preserve"> </w:t>
      </w:r>
      <w:r w:rsidRPr="00CA2668">
        <w:t>a</w:t>
      </w:r>
      <w:r>
        <w:t xml:space="preserve"> </w:t>
      </w:r>
      <w:r w:rsidRPr="00CA2668">
        <w:t>legal</w:t>
      </w:r>
      <w:r>
        <w:t xml:space="preserve"> </w:t>
      </w:r>
      <w:r w:rsidRPr="00CA2668">
        <w:t>obligation,</w:t>
      </w:r>
      <w:r>
        <w:t xml:space="preserve"> </w:t>
      </w:r>
      <w:r w:rsidRPr="00CA2668">
        <w:t>duty</w:t>
      </w:r>
      <w:r>
        <w:t xml:space="preserve"> </w:t>
      </w:r>
      <w:r w:rsidRPr="00CA2668">
        <w:t>or</w:t>
      </w:r>
      <w:r>
        <w:t xml:space="preserve"> </w:t>
      </w:r>
      <w:r w:rsidRPr="00CA2668">
        <w:t>authorised</w:t>
      </w:r>
      <w:r>
        <w:t xml:space="preserve"> </w:t>
      </w:r>
      <w:r w:rsidRPr="00CA2668">
        <w:t>act</w:t>
      </w:r>
      <w:r>
        <w:t xml:space="preserve"> </w:t>
      </w:r>
      <w:r w:rsidRPr="00CA2668">
        <w:t>expressly</w:t>
      </w:r>
      <w:r>
        <w:t xml:space="preserve"> </w:t>
      </w:r>
      <w:r w:rsidRPr="00CA2668">
        <w:t>overrides</w:t>
      </w:r>
      <w:r>
        <w:t xml:space="preserve"> </w:t>
      </w:r>
      <w:r w:rsidRPr="00CA2668">
        <w:t>them.</w:t>
      </w:r>
      <w:r>
        <w:t xml:space="preserve"> It is important to note that being subject to the Mental Health Act</w:t>
      </w:r>
      <w:r w:rsidRPr="00D136B3">
        <w:t xml:space="preserve"> does not override someone’s rights under the Code entirely, but only as much as is necessary for the </w:t>
      </w:r>
      <w:r>
        <w:t>express</w:t>
      </w:r>
      <w:r w:rsidRPr="00D136B3">
        <w:t xml:space="preserve"> exclusion. </w:t>
      </w:r>
    </w:p>
    <w:p w14:paraId="70C42848" w14:textId="77777777" w:rsidR="0023476E" w:rsidRPr="00D136B3" w:rsidRDefault="0023476E" w:rsidP="0023476E"/>
    <w:p w14:paraId="019CA809" w14:textId="304A44F3" w:rsidR="00B0292E" w:rsidRDefault="00B0292E" w:rsidP="0023476E">
      <w:r>
        <w:t>A</w:t>
      </w:r>
      <w:r w:rsidRPr="00D136B3">
        <w:t xml:space="preserve"> person’s rights under the Code of Rights should be seen in their entirety, rather than in isolation. For example, if someone’s right to consent to treatment is overridden to mandate treatment, then their other rights become even more essential</w:t>
      </w:r>
      <w:r>
        <w:t xml:space="preserve">; for example, </w:t>
      </w:r>
      <w:r w:rsidRPr="00D136B3">
        <w:t xml:space="preserve">the right to effective communication and to care of an appropriate standard which meets their needs. </w:t>
      </w:r>
    </w:p>
    <w:p w14:paraId="2C43DC3F" w14:textId="77777777" w:rsidR="0023476E" w:rsidRPr="00D136B3" w:rsidRDefault="0023476E" w:rsidP="0023476E"/>
    <w:p w14:paraId="71E71EA3" w14:textId="77777777" w:rsidR="00B0292E" w:rsidRDefault="00B0292E" w:rsidP="0023476E">
      <w:r>
        <w:t xml:space="preserve">When </w:t>
      </w:r>
      <w:r w:rsidRPr="00D136B3">
        <w:t>a person who is subject to a compulsory mental health assessment and treatment has their right to refuse treatment temporarily overridden, they still have the right to express their preferences in relation to that treatment</w:t>
      </w:r>
      <w:r>
        <w:t xml:space="preserve"> and have their preferences taken into consideration</w:t>
      </w:r>
      <w:r w:rsidRPr="00D136B3">
        <w:t xml:space="preserve">. </w:t>
      </w:r>
      <w:r w:rsidRPr="00CA2668">
        <w:t>More</w:t>
      </w:r>
      <w:r>
        <w:t xml:space="preserve"> </w:t>
      </w:r>
      <w:r w:rsidRPr="00CA2668">
        <w:t>guidance</w:t>
      </w:r>
      <w:r>
        <w:t xml:space="preserve"> </w:t>
      </w:r>
      <w:r w:rsidRPr="00CA2668">
        <w:t>on</w:t>
      </w:r>
      <w:r>
        <w:t xml:space="preserve"> </w:t>
      </w:r>
      <w:r w:rsidRPr="00CA2668">
        <w:t>how</w:t>
      </w:r>
      <w:r>
        <w:t xml:space="preserve"> </w:t>
      </w:r>
      <w:r w:rsidRPr="00CA2668">
        <w:t>to</w:t>
      </w:r>
      <w:r>
        <w:t xml:space="preserve"> </w:t>
      </w:r>
      <w:r w:rsidRPr="00CA2668">
        <w:t>think</w:t>
      </w:r>
      <w:r>
        <w:t xml:space="preserve"> </w:t>
      </w:r>
      <w:r w:rsidRPr="00CA2668">
        <w:t>about</w:t>
      </w:r>
      <w:r>
        <w:t xml:space="preserve"> </w:t>
      </w:r>
      <w:r w:rsidRPr="00CA2668">
        <w:t>and</w:t>
      </w:r>
      <w:r>
        <w:t xml:space="preserve"> </w:t>
      </w:r>
      <w:r w:rsidRPr="00CA2668">
        <w:t>apply</w:t>
      </w:r>
      <w:r>
        <w:t xml:space="preserve"> </w:t>
      </w:r>
      <w:r w:rsidRPr="00CA2668">
        <w:t>human</w:t>
      </w:r>
      <w:r>
        <w:t xml:space="preserve"> </w:t>
      </w:r>
      <w:r w:rsidRPr="00CA2668">
        <w:t>rights,</w:t>
      </w:r>
      <w:r>
        <w:t xml:space="preserve"> </w:t>
      </w:r>
      <w:r w:rsidRPr="00CA2668">
        <w:t>recovery</w:t>
      </w:r>
      <w:r>
        <w:t xml:space="preserve"> </w:t>
      </w:r>
      <w:r w:rsidRPr="00CA2668">
        <w:t>approaches</w:t>
      </w:r>
      <w:r>
        <w:t xml:space="preserve"> </w:t>
      </w:r>
      <w:r w:rsidRPr="00CA2668">
        <w:t>and</w:t>
      </w:r>
      <w:r>
        <w:t xml:space="preserve"> </w:t>
      </w:r>
      <w:r w:rsidRPr="00CA2668">
        <w:t>supported</w:t>
      </w:r>
      <w:r>
        <w:t xml:space="preserve"> </w:t>
      </w:r>
      <w:r w:rsidRPr="00CA2668">
        <w:t>decision-making</w:t>
      </w:r>
      <w:r>
        <w:t xml:space="preserve"> </w:t>
      </w:r>
      <w:r w:rsidRPr="00CA2668">
        <w:t>when</w:t>
      </w:r>
      <w:r>
        <w:t xml:space="preserve"> </w:t>
      </w:r>
      <w:r w:rsidRPr="00CA2668">
        <w:t>implementing</w:t>
      </w:r>
      <w:r>
        <w:t xml:space="preserve"> </w:t>
      </w:r>
      <w:r w:rsidRPr="00CA2668">
        <w:t>the</w:t>
      </w:r>
      <w:r>
        <w:t xml:space="preserve"> </w:t>
      </w:r>
      <w:r w:rsidRPr="00CA2668">
        <w:t>Mental</w:t>
      </w:r>
      <w:r>
        <w:t xml:space="preserve"> </w:t>
      </w:r>
      <w:r w:rsidRPr="00CA2668">
        <w:t>Health</w:t>
      </w:r>
      <w:r>
        <w:t xml:space="preserve"> </w:t>
      </w:r>
      <w:r w:rsidRPr="00CA2668">
        <w:t>Act</w:t>
      </w:r>
      <w:r>
        <w:t xml:space="preserve"> </w:t>
      </w:r>
      <w:r w:rsidRPr="00CA2668">
        <w:t>is</w:t>
      </w:r>
      <w:r>
        <w:t xml:space="preserve"> </w:t>
      </w:r>
      <w:r w:rsidRPr="00CA2668">
        <w:t>provided</w:t>
      </w:r>
      <w:r>
        <w:t xml:space="preserve"> </w:t>
      </w:r>
      <w:r w:rsidRPr="00CA2668">
        <w:t>in</w:t>
      </w:r>
      <w:r>
        <w:t xml:space="preserve"> </w:t>
      </w:r>
      <w:r w:rsidRPr="2CC988A9">
        <w:rPr>
          <w:i/>
        </w:rPr>
        <w:t>Human Rights and the Mental Health (Compulsory Assessment and Treatment) Act 1992</w:t>
      </w:r>
      <w:r w:rsidRPr="00CA2668">
        <w:t>.</w:t>
      </w:r>
      <w:r w:rsidRPr="00145063">
        <w:rPr>
          <w:vertAlign w:val="superscript"/>
        </w:rPr>
        <w:footnoteReference w:id="32"/>
      </w:r>
    </w:p>
    <w:p w14:paraId="4A8F3AFC" w14:textId="77777777" w:rsidR="00B0292E" w:rsidRPr="0023476E" w:rsidRDefault="00B0292E" w:rsidP="0023476E">
      <w:pPr>
        <w:pStyle w:val="Heading3"/>
      </w:pPr>
      <w:bookmarkStart w:id="73" w:name="_Toc131663801"/>
      <w:r w:rsidRPr="0023476E">
        <w:t>District inspectors</w:t>
      </w:r>
      <w:bookmarkEnd w:id="73"/>
      <w:r w:rsidRPr="0023476E">
        <w:t xml:space="preserve"> </w:t>
      </w:r>
    </w:p>
    <w:p w14:paraId="73D6B23B" w14:textId="77777777" w:rsidR="00B0292E" w:rsidRPr="00EE462B" w:rsidRDefault="00B0292E" w:rsidP="0023476E">
      <w:r w:rsidRPr="00EE462B">
        <w:t xml:space="preserve">District </w:t>
      </w:r>
      <w:r>
        <w:t>i</w:t>
      </w:r>
      <w:r w:rsidRPr="00EE462B">
        <w:t>nspectors are lawyers appointed under the Mental Health Act to uphold the rights of people who are subject to the Mental Health Act and to receive complaints about breaches of rights</w:t>
      </w:r>
      <w:r>
        <w:t xml:space="preserve"> specified in Part 6 of that Act</w:t>
      </w:r>
      <w:r w:rsidRPr="00EE462B">
        <w:t xml:space="preserve">. District inspectors have a key role in advising tāngata whaiora of their rights during the assessment process and when the responsible clinician requests a compulsory treatment order. </w:t>
      </w:r>
      <w:r>
        <w:t xml:space="preserve">People </w:t>
      </w:r>
      <w:r w:rsidRPr="00EE462B">
        <w:t xml:space="preserve">have the right to </w:t>
      </w:r>
      <w:r>
        <w:t>make a complaint to</w:t>
      </w:r>
      <w:r w:rsidRPr="00EE462B">
        <w:t xml:space="preserve"> a district inspector if they consider </w:t>
      </w:r>
      <w:r>
        <w:t xml:space="preserve">that </w:t>
      </w:r>
      <w:r w:rsidRPr="00EE462B">
        <w:t xml:space="preserve">their rights </w:t>
      </w:r>
      <w:r>
        <w:t xml:space="preserve">under the Act </w:t>
      </w:r>
      <w:r w:rsidRPr="00EE462B">
        <w:t xml:space="preserve">have been breached during a seclusion or restraint event. </w:t>
      </w:r>
      <w:r>
        <w:t xml:space="preserve">Where district inspector considers that a complaint has substance, he or she must report the breach to the DAMHS and may make recommendations for action. The DAMHS must take all steps to remedy the matter. </w:t>
      </w:r>
    </w:p>
    <w:p w14:paraId="0E8075BA" w14:textId="77777777" w:rsidR="00B0292E" w:rsidRPr="0023476E" w:rsidRDefault="00B0292E" w:rsidP="0023476E">
      <w:pPr>
        <w:pStyle w:val="Heading3"/>
        <w:rPr>
          <w:i/>
          <w:iCs/>
        </w:rPr>
      </w:pPr>
      <w:bookmarkStart w:id="74" w:name="_Toc119659455"/>
      <w:bookmarkStart w:id="75" w:name="_Toc119662444"/>
      <w:bookmarkStart w:id="76" w:name="_Toc119682054"/>
      <w:bookmarkStart w:id="77" w:name="_Toc119683436"/>
      <w:bookmarkStart w:id="78" w:name="_Toc120282905"/>
      <w:bookmarkStart w:id="79" w:name="_Toc120703907"/>
      <w:bookmarkStart w:id="80" w:name="_Toc120713422"/>
      <w:bookmarkStart w:id="81" w:name="_Toc120715571"/>
      <w:bookmarkStart w:id="82" w:name="_Toc120862191"/>
      <w:bookmarkStart w:id="83" w:name="_Toc103152101"/>
      <w:bookmarkStart w:id="84" w:name="_Toc105770622"/>
      <w:bookmarkStart w:id="85" w:name="_Toc131663802"/>
      <w:bookmarkEnd w:id="74"/>
      <w:bookmarkEnd w:id="75"/>
      <w:bookmarkEnd w:id="76"/>
      <w:bookmarkEnd w:id="77"/>
      <w:bookmarkEnd w:id="78"/>
      <w:bookmarkEnd w:id="79"/>
      <w:bookmarkEnd w:id="80"/>
      <w:bookmarkEnd w:id="81"/>
      <w:bookmarkEnd w:id="82"/>
      <w:r w:rsidRPr="0023476E">
        <w:rPr>
          <w:i/>
          <w:iCs/>
        </w:rPr>
        <w:t>He Ara Oranga</w:t>
      </w:r>
      <w:bookmarkEnd w:id="83"/>
      <w:bookmarkEnd w:id="84"/>
      <w:bookmarkEnd w:id="85"/>
      <w:r w:rsidRPr="0023476E">
        <w:rPr>
          <w:i/>
          <w:iCs/>
        </w:rPr>
        <w:t xml:space="preserve"> </w:t>
      </w:r>
    </w:p>
    <w:p w14:paraId="71311072" w14:textId="68F1B775" w:rsidR="00B0292E" w:rsidRDefault="00B0292E" w:rsidP="0023476E">
      <w:r w:rsidRPr="00CA2668">
        <w:rPr>
          <w:i/>
        </w:rPr>
        <w:t>He</w:t>
      </w:r>
      <w:r>
        <w:rPr>
          <w:i/>
        </w:rPr>
        <w:t xml:space="preserve"> </w:t>
      </w:r>
      <w:r w:rsidRPr="00CA2668">
        <w:rPr>
          <w:i/>
        </w:rPr>
        <w:t>Ara</w:t>
      </w:r>
      <w:r>
        <w:rPr>
          <w:i/>
        </w:rPr>
        <w:t xml:space="preserve"> </w:t>
      </w:r>
      <w:r w:rsidRPr="00CA2668">
        <w:rPr>
          <w:i/>
        </w:rPr>
        <w:t>Oranga:</w:t>
      </w:r>
      <w:r>
        <w:rPr>
          <w:i/>
        </w:rPr>
        <w:t xml:space="preserve"> </w:t>
      </w:r>
      <w:r w:rsidRPr="00CA2668">
        <w:rPr>
          <w:i/>
        </w:rPr>
        <w:t>Report</w:t>
      </w:r>
      <w:r>
        <w:rPr>
          <w:i/>
        </w:rPr>
        <w:t xml:space="preserve"> </w:t>
      </w:r>
      <w:r w:rsidRPr="00CA2668">
        <w:rPr>
          <w:i/>
        </w:rPr>
        <w:t>of</w:t>
      </w:r>
      <w:r>
        <w:rPr>
          <w:i/>
        </w:rPr>
        <w:t xml:space="preserve"> </w:t>
      </w:r>
      <w:r w:rsidRPr="00CA2668">
        <w:rPr>
          <w:i/>
        </w:rPr>
        <w:t>the</w:t>
      </w:r>
      <w:r>
        <w:rPr>
          <w:i/>
        </w:rPr>
        <w:t xml:space="preserve"> </w:t>
      </w:r>
      <w:r w:rsidRPr="00CA2668">
        <w:rPr>
          <w:i/>
        </w:rPr>
        <w:t>Government</w:t>
      </w:r>
      <w:r>
        <w:rPr>
          <w:i/>
        </w:rPr>
        <w:t xml:space="preserve"> </w:t>
      </w:r>
      <w:r w:rsidRPr="00CA2668">
        <w:rPr>
          <w:i/>
        </w:rPr>
        <w:t>Inquiry</w:t>
      </w:r>
      <w:r>
        <w:rPr>
          <w:i/>
        </w:rPr>
        <w:t xml:space="preserve"> </w:t>
      </w:r>
      <w:r w:rsidRPr="00CA2668">
        <w:rPr>
          <w:i/>
        </w:rPr>
        <w:t>into</w:t>
      </w:r>
      <w:r>
        <w:rPr>
          <w:i/>
        </w:rPr>
        <w:t xml:space="preserve"> </w:t>
      </w:r>
      <w:r w:rsidRPr="00CA2668">
        <w:rPr>
          <w:i/>
        </w:rPr>
        <w:t>Mental</w:t>
      </w:r>
      <w:r>
        <w:rPr>
          <w:i/>
        </w:rPr>
        <w:t xml:space="preserve"> </w:t>
      </w:r>
      <w:r w:rsidRPr="00CA2668">
        <w:rPr>
          <w:i/>
        </w:rPr>
        <w:t>Health</w:t>
      </w:r>
      <w:r>
        <w:rPr>
          <w:i/>
        </w:rPr>
        <w:t xml:space="preserve"> </w:t>
      </w:r>
      <w:r w:rsidRPr="00CA2668">
        <w:rPr>
          <w:i/>
        </w:rPr>
        <w:t>and</w:t>
      </w:r>
      <w:r>
        <w:rPr>
          <w:i/>
        </w:rPr>
        <w:t xml:space="preserve"> </w:t>
      </w:r>
      <w:r w:rsidRPr="00CA2668">
        <w:rPr>
          <w:i/>
        </w:rPr>
        <w:t>Addiction</w:t>
      </w:r>
      <w:r w:rsidRPr="00DE78F9">
        <w:rPr>
          <w:rStyle w:val="FootnoteReference"/>
          <w:rFonts w:cs="Segoe UI"/>
          <w:iCs/>
        </w:rPr>
        <w:footnoteReference w:id="33"/>
      </w:r>
      <w:r>
        <w:t xml:space="preserve"> </w:t>
      </w:r>
      <w:r w:rsidRPr="00CA2668">
        <w:t>set</w:t>
      </w:r>
      <w:r>
        <w:t xml:space="preserve"> </w:t>
      </w:r>
      <w:r w:rsidRPr="00CA2668">
        <w:t>a</w:t>
      </w:r>
      <w:r>
        <w:t xml:space="preserve"> </w:t>
      </w:r>
      <w:r w:rsidRPr="00CA2668">
        <w:t>direction</w:t>
      </w:r>
      <w:r>
        <w:t xml:space="preserve"> </w:t>
      </w:r>
      <w:r w:rsidRPr="00CA2668">
        <w:t>for</w:t>
      </w:r>
      <w:r>
        <w:t xml:space="preserve"> </w:t>
      </w:r>
      <w:r w:rsidRPr="00CA2668">
        <w:t>mental</w:t>
      </w:r>
      <w:r>
        <w:t xml:space="preserve"> </w:t>
      </w:r>
      <w:r w:rsidRPr="00CA2668">
        <w:t>health</w:t>
      </w:r>
      <w:r>
        <w:t xml:space="preserve"> </w:t>
      </w:r>
      <w:r w:rsidRPr="00CA2668">
        <w:t>and</w:t>
      </w:r>
      <w:r>
        <w:t xml:space="preserve"> </w:t>
      </w:r>
      <w:r w:rsidRPr="00CA2668">
        <w:t>addiction</w:t>
      </w:r>
      <w:r>
        <w:t xml:space="preserve"> services </w:t>
      </w:r>
      <w:r w:rsidRPr="00CA2668">
        <w:t>based</w:t>
      </w:r>
      <w:r>
        <w:t xml:space="preserve"> </w:t>
      </w:r>
      <w:r w:rsidRPr="00CA2668">
        <w:t>on</w:t>
      </w:r>
      <w:r>
        <w:t xml:space="preserve"> </w:t>
      </w:r>
      <w:r w:rsidRPr="00CA2668">
        <w:t>equity</w:t>
      </w:r>
      <w:r>
        <w:t xml:space="preserve"> </w:t>
      </w:r>
      <w:r w:rsidRPr="00CA2668">
        <w:t>and</w:t>
      </w:r>
      <w:r>
        <w:t xml:space="preserve"> </w:t>
      </w:r>
      <w:r w:rsidRPr="00CA2668">
        <w:t>wellbeing,</w:t>
      </w:r>
      <w:r>
        <w:t xml:space="preserve"> </w:t>
      </w:r>
      <w:r w:rsidRPr="00CA2668">
        <w:t>recognising</w:t>
      </w:r>
      <w:r>
        <w:t xml:space="preserve"> </w:t>
      </w:r>
      <w:r w:rsidRPr="00CA2668">
        <w:t>the</w:t>
      </w:r>
      <w:r>
        <w:t xml:space="preserve"> </w:t>
      </w:r>
      <w:r w:rsidRPr="00CA2668">
        <w:t>importance</w:t>
      </w:r>
      <w:r>
        <w:t xml:space="preserve"> </w:t>
      </w:r>
      <w:r w:rsidRPr="00CA2668">
        <w:t>of</w:t>
      </w:r>
      <w:r>
        <w:t xml:space="preserve"> </w:t>
      </w:r>
      <w:r w:rsidRPr="00CA2668">
        <w:t>social</w:t>
      </w:r>
      <w:r>
        <w:t xml:space="preserve"> </w:t>
      </w:r>
      <w:r w:rsidRPr="00CA2668">
        <w:t>determinants,</w:t>
      </w:r>
      <w:r>
        <w:t xml:space="preserve"> </w:t>
      </w:r>
      <w:r w:rsidRPr="00CA2668">
        <w:t>and</w:t>
      </w:r>
      <w:r>
        <w:t xml:space="preserve"> </w:t>
      </w:r>
      <w:r w:rsidRPr="00CA2668">
        <w:t>providing</w:t>
      </w:r>
      <w:r>
        <w:t xml:space="preserve"> </w:t>
      </w:r>
      <w:r w:rsidRPr="00CA2668">
        <w:t>readily</w:t>
      </w:r>
      <w:r>
        <w:t xml:space="preserve"> </w:t>
      </w:r>
      <w:r w:rsidRPr="00CA2668">
        <w:t>accessible</w:t>
      </w:r>
      <w:r>
        <w:t xml:space="preserve"> </w:t>
      </w:r>
      <w:r w:rsidRPr="00CA2668">
        <w:t>support</w:t>
      </w:r>
      <w:r>
        <w:t xml:space="preserve"> </w:t>
      </w:r>
      <w:r w:rsidRPr="00CA2668">
        <w:t>for</w:t>
      </w:r>
      <w:r>
        <w:t xml:space="preserve"> </w:t>
      </w:r>
      <w:r w:rsidRPr="00CA2668">
        <w:t>all.</w:t>
      </w:r>
    </w:p>
    <w:p w14:paraId="1C17ECEE" w14:textId="77777777" w:rsidR="0023476E" w:rsidRPr="00CA2668" w:rsidRDefault="0023476E" w:rsidP="0023476E"/>
    <w:p w14:paraId="0250E83E" w14:textId="451A787F" w:rsidR="00B0292E" w:rsidRDefault="00B0292E" w:rsidP="0023476E">
      <w:r w:rsidRPr="00DE78F9">
        <w:rPr>
          <w:i/>
          <w:iCs/>
        </w:rPr>
        <w:t>He Ara Oranga</w:t>
      </w:r>
      <w:r>
        <w:t xml:space="preserve"> </w:t>
      </w:r>
      <w:r w:rsidRPr="00CA2668">
        <w:t>recommends</w:t>
      </w:r>
      <w:r>
        <w:t xml:space="preserve"> </w:t>
      </w:r>
      <w:r w:rsidRPr="00CA2668">
        <w:t>new</w:t>
      </w:r>
      <w:r>
        <w:t xml:space="preserve"> </w:t>
      </w:r>
      <w:r w:rsidRPr="00CA2668">
        <w:t>mental</w:t>
      </w:r>
      <w:r>
        <w:t xml:space="preserve"> </w:t>
      </w:r>
      <w:r w:rsidRPr="00CA2668">
        <w:t>health</w:t>
      </w:r>
      <w:r>
        <w:t xml:space="preserve"> </w:t>
      </w:r>
      <w:r w:rsidRPr="00CA2668">
        <w:t>l</w:t>
      </w:r>
      <w:r>
        <w:t>egislation ‘</w:t>
      </w:r>
      <w:r w:rsidRPr="00CA2668">
        <w:t>to</w:t>
      </w:r>
      <w:r>
        <w:t xml:space="preserve"> </w:t>
      </w:r>
      <w:r w:rsidRPr="00CA2668">
        <w:t>reflect</w:t>
      </w:r>
      <w:r>
        <w:t xml:space="preserve"> </w:t>
      </w:r>
      <w:r w:rsidRPr="00CA2668">
        <w:t>a</w:t>
      </w:r>
      <w:r>
        <w:t xml:space="preserve"> </w:t>
      </w:r>
      <w:r w:rsidRPr="00CA2668">
        <w:t>human</w:t>
      </w:r>
      <w:r>
        <w:t xml:space="preserve"> </w:t>
      </w:r>
      <w:r w:rsidRPr="00CA2668">
        <w:t>rights</w:t>
      </w:r>
      <w:r>
        <w:t xml:space="preserve"> </w:t>
      </w:r>
      <w:r w:rsidRPr="00CA2668">
        <w:t>approach,</w:t>
      </w:r>
      <w:r>
        <w:t xml:space="preserve"> </w:t>
      </w:r>
      <w:r w:rsidRPr="00CA2668">
        <w:t>promote</w:t>
      </w:r>
      <w:r>
        <w:t xml:space="preserve"> </w:t>
      </w:r>
      <w:r w:rsidRPr="00CA2668">
        <w:t>supported</w:t>
      </w:r>
      <w:r>
        <w:t xml:space="preserve"> </w:t>
      </w:r>
      <w:r w:rsidRPr="00CA2668">
        <w:t>decision-making</w:t>
      </w:r>
      <w:r>
        <w:t xml:space="preserve"> </w:t>
      </w:r>
      <w:r w:rsidRPr="00CA2668">
        <w:t>and</w:t>
      </w:r>
      <w:r>
        <w:t xml:space="preserve"> </w:t>
      </w:r>
      <w:r w:rsidRPr="00CA2668">
        <w:t>align</w:t>
      </w:r>
      <w:r>
        <w:t xml:space="preserve"> </w:t>
      </w:r>
      <w:r w:rsidRPr="00CA2668">
        <w:t>with</w:t>
      </w:r>
      <w:r>
        <w:t xml:space="preserve"> </w:t>
      </w:r>
      <w:r w:rsidRPr="00CA2668">
        <w:t>a</w:t>
      </w:r>
      <w:r>
        <w:t xml:space="preserve"> </w:t>
      </w:r>
      <w:r w:rsidRPr="00CA2668">
        <w:t>recovery</w:t>
      </w:r>
      <w:r>
        <w:t xml:space="preserve"> </w:t>
      </w:r>
      <w:r w:rsidRPr="00CA2668">
        <w:t>and</w:t>
      </w:r>
      <w:r>
        <w:t xml:space="preserve"> </w:t>
      </w:r>
      <w:r w:rsidRPr="00CA2668">
        <w:t>wellbeing</w:t>
      </w:r>
      <w:r>
        <w:t xml:space="preserve"> </w:t>
      </w:r>
      <w:r w:rsidRPr="00CA2668">
        <w:t>model,</w:t>
      </w:r>
      <w:r>
        <w:t xml:space="preserve"> </w:t>
      </w:r>
      <w:r w:rsidRPr="00CA2668">
        <w:t>and</w:t>
      </w:r>
      <w:r>
        <w:t xml:space="preserve"> </w:t>
      </w:r>
      <w:r w:rsidRPr="00CA2668">
        <w:t>minimise</w:t>
      </w:r>
      <w:r>
        <w:t xml:space="preserve"> </w:t>
      </w:r>
      <w:r w:rsidRPr="00CA2668">
        <w:t>compulsory</w:t>
      </w:r>
      <w:r>
        <w:t xml:space="preserve"> </w:t>
      </w:r>
      <w:r w:rsidRPr="00CA2668">
        <w:t>or</w:t>
      </w:r>
      <w:r>
        <w:t xml:space="preserve"> </w:t>
      </w:r>
      <w:r w:rsidRPr="00CA2668">
        <w:t>coercive</w:t>
      </w:r>
      <w:r>
        <w:t xml:space="preserve"> </w:t>
      </w:r>
      <w:r w:rsidRPr="00CA2668">
        <w:t>treatment</w:t>
      </w:r>
      <w:r>
        <w:t>’.</w:t>
      </w:r>
      <w:r w:rsidRPr="00145063">
        <w:rPr>
          <w:vertAlign w:val="superscript"/>
        </w:rPr>
        <w:footnoteReference w:id="34"/>
      </w:r>
      <w:r>
        <w:t xml:space="preserve"> </w:t>
      </w:r>
      <w:r w:rsidRPr="00CA2668">
        <w:t>The</w:t>
      </w:r>
      <w:r>
        <w:t xml:space="preserve"> </w:t>
      </w:r>
      <w:r w:rsidRPr="00CA2668">
        <w:t>Government</w:t>
      </w:r>
      <w:r>
        <w:t xml:space="preserve"> </w:t>
      </w:r>
      <w:r w:rsidRPr="00CA2668">
        <w:t>has</w:t>
      </w:r>
      <w:r>
        <w:t xml:space="preserve"> </w:t>
      </w:r>
      <w:r w:rsidRPr="00CA2668">
        <w:t>accepted</w:t>
      </w:r>
      <w:r>
        <w:t xml:space="preserve"> </w:t>
      </w:r>
      <w:r w:rsidRPr="00CA2668">
        <w:t>the</w:t>
      </w:r>
      <w:r>
        <w:t xml:space="preserve"> </w:t>
      </w:r>
      <w:r w:rsidRPr="00CA2668">
        <w:t>recommendation</w:t>
      </w:r>
      <w:r>
        <w:t xml:space="preserve"> </w:t>
      </w:r>
      <w:r w:rsidRPr="00CA2668">
        <w:t>to</w:t>
      </w:r>
      <w:r>
        <w:t xml:space="preserve"> </w:t>
      </w:r>
      <w:r w:rsidRPr="00CA2668">
        <w:t>repeal</w:t>
      </w:r>
      <w:r>
        <w:t xml:space="preserve"> </w:t>
      </w:r>
      <w:r w:rsidRPr="00CA2668">
        <w:t>and</w:t>
      </w:r>
      <w:r>
        <w:t xml:space="preserve"> </w:t>
      </w:r>
      <w:r w:rsidRPr="00CA2668">
        <w:t>replace</w:t>
      </w:r>
      <w:r>
        <w:t xml:space="preserve"> </w:t>
      </w:r>
      <w:r w:rsidRPr="00CA2668">
        <w:t>the</w:t>
      </w:r>
      <w:r>
        <w:t xml:space="preserve"> </w:t>
      </w:r>
      <w:r w:rsidRPr="00CA2668">
        <w:t>Mental</w:t>
      </w:r>
      <w:r>
        <w:t xml:space="preserve"> </w:t>
      </w:r>
      <w:r w:rsidRPr="00CA2668">
        <w:t>Health</w:t>
      </w:r>
      <w:r>
        <w:t xml:space="preserve"> </w:t>
      </w:r>
      <w:r w:rsidRPr="00CA2668">
        <w:t>Act,</w:t>
      </w:r>
      <w:r>
        <w:t xml:space="preserve"> </w:t>
      </w:r>
      <w:r w:rsidRPr="00CA2668">
        <w:t>and</w:t>
      </w:r>
      <w:r>
        <w:t xml:space="preserve"> </w:t>
      </w:r>
      <w:r w:rsidRPr="00CA2668">
        <w:t>this</w:t>
      </w:r>
      <w:r>
        <w:t xml:space="preserve"> </w:t>
      </w:r>
      <w:r w:rsidRPr="00CA2668">
        <w:t>work</w:t>
      </w:r>
      <w:r>
        <w:t xml:space="preserve"> </w:t>
      </w:r>
      <w:r w:rsidRPr="00CA2668">
        <w:t>is</w:t>
      </w:r>
      <w:r>
        <w:t xml:space="preserve"> </w:t>
      </w:r>
      <w:r w:rsidRPr="00CA2668">
        <w:t>under</w:t>
      </w:r>
      <w:r>
        <w:t xml:space="preserve"> </w:t>
      </w:r>
      <w:r w:rsidRPr="00CA2668">
        <w:t>way.</w:t>
      </w:r>
    </w:p>
    <w:p w14:paraId="238D684B" w14:textId="77777777" w:rsidR="0023476E" w:rsidRPr="00CA2668" w:rsidRDefault="0023476E" w:rsidP="0023476E"/>
    <w:p w14:paraId="74EA4BB1" w14:textId="77777777" w:rsidR="00B0292E" w:rsidRDefault="00B0292E" w:rsidP="0023476E">
      <w:r w:rsidRPr="00CA2668">
        <w:t>Submitters</w:t>
      </w:r>
      <w:r>
        <w:t xml:space="preserve"> </w:t>
      </w:r>
      <w:r w:rsidRPr="00CA2668">
        <w:t>to</w:t>
      </w:r>
      <w:r>
        <w:t xml:space="preserve"> </w:t>
      </w:r>
      <w:r w:rsidRPr="005302EB">
        <w:rPr>
          <w:i/>
          <w:iCs/>
        </w:rPr>
        <w:t>He Ara Oranga</w:t>
      </w:r>
      <w:r>
        <w:t xml:space="preserve"> </w:t>
      </w:r>
      <w:r w:rsidRPr="00CA2668">
        <w:t>described</w:t>
      </w:r>
      <w:r>
        <w:t xml:space="preserve"> ‘</w:t>
      </w:r>
      <w:r w:rsidRPr="00CA2668">
        <w:t>the</w:t>
      </w:r>
      <w:r>
        <w:t xml:space="preserve"> </w:t>
      </w:r>
      <w:r w:rsidRPr="00CA2668">
        <w:t>trauma</w:t>
      </w:r>
      <w:r>
        <w:t xml:space="preserve"> </w:t>
      </w:r>
      <w:r w:rsidRPr="00CA2668">
        <w:t>of</w:t>
      </w:r>
      <w:r>
        <w:t xml:space="preserve"> </w:t>
      </w:r>
      <w:r w:rsidRPr="00CA2668">
        <w:t>compulsory</w:t>
      </w:r>
      <w:r>
        <w:t xml:space="preserve"> </w:t>
      </w:r>
      <w:r w:rsidRPr="00CA2668">
        <w:t>detention</w:t>
      </w:r>
      <w:r>
        <w:t xml:space="preserve"> </w:t>
      </w:r>
      <w:r w:rsidRPr="00CA2668">
        <w:t>and</w:t>
      </w:r>
      <w:r>
        <w:t xml:space="preserve"> </w:t>
      </w:r>
      <w:r w:rsidRPr="00CA2668">
        <w:t>treatment,</w:t>
      </w:r>
      <w:r>
        <w:t xml:space="preserve"> </w:t>
      </w:r>
      <w:r w:rsidRPr="00CA2668">
        <w:t>the</w:t>
      </w:r>
      <w:r>
        <w:t xml:space="preserve"> </w:t>
      </w:r>
      <w:r w:rsidRPr="00CA2668">
        <w:t>loss</w:t>
      </w:r>
      <w:r>
        <w:t xml:space="preserve"> </w:t>
      </w:r>
      <w:r w:rsidRPr="00CA2668">
        <w:t>of</w:t>
      </w:r>
      <w:r>
        <w:t xml:space="preserve"> </w:t>
      </w:r>
      <w:r w:rsidRPr="00CA2668">
        <w:t>their</w:t>
      </w:r>
      <w:r>
        <w:t xml:space="preserve"> </w:t>
      </w:r>
      <w:r w:rsidRPr="00CA2668">
        <w:t>right</w:t>
      </w:r>
      <w:r>
        <w:t xml:space="preserve"> </w:t>
      </w:r>
      <w:r w:rsidRPr="00CA2668">
        <w:t>to</w:t>
      </w:r>
      <w:r>
        <w:t xml:space="preserve"> </w:t>
      </w:r>
      <w:r w:rsidRPr="00CA2668">
        <w:t>participate</w:t>
      </w:r>
      <w:r>
        <w:t xml:space="preserve"> </w:t>
      </w:r>
      <w:r w:rsidRPr="00CA2668">
        <w:t>in</w:t>
      </w:r>
      <w:r>
        <w:t xml:space="preserve"> </w:t>
      </w:r>
      <w:r w:rsidRPr="00CA2668">
        <w:t>decisions</w:t>
      </w:r>
      <w:r>
        <w:t xml:space="preserve"> </w:t>
      </w:r>
      <w:r w:rsidRPr="00CA2668">
        <w:t>about</w:t>
      </w:r>
      <w:r>
        <w:t xml:space="preserve"> </w:t>
      </w:r>
      <w:r w:rsidRPr="00CA2668">
        <w:t>their</w:t>
      </w:r>
      <w:r>
        <w:t xml:space="preserve"> </w:t>
      </w:r>
      <w:r w:rsidRPr="00CA2668">
        <w:t>treatment</w:t>
      </w:r>
      <w:r>
        <w:t xml:space="preserve"> </w:t>
      </w:r>
      <w:r w:rsidRPr="00CA2668">
        <w:t>and</w:t>
      </w:r>
      <w:r>
        <w:t xml:space="preserve"> </w:t>
      </w:r>
      <w:r w:rsidRPr="00CA2668">
        <w:t>recovery,</w:t>
      </w:r>
      <w:r>
        <w:t xml:space="preserve"> </w:t>
      </w:r>
      <w:r w:rsidRPr="00CA2668">
        <w:t>the</w:t>
      </w:r>
      <w:r>
        <w:t xml:space="preserve"> </w:t>
      </w:r>
      <w:r w:rsidRPr="00CA2668">
        <w:t>adverse</w:t>
      </w:r>
      <w:r>
        <w:t xml:space="preserve"> </w:t>
      </w:r>
      <w:r w:rsidRPr="00CA2668">
        <w:t>impacts</w:t>
      </w:r>
      <w:r>
        <w:t xml:space="preserve"> </w:t>
      </w:r>
      <w:r w:rsidRPr="00CA2668">
        <w:t>of</w:t>
      </w:r>
      <w:r>
        <w:t xml:space="preserve"> </w:t>
      </w:r>
      <w:r w:rsidRPr="00CA2668">
        <w:t>forced</w:t>
      </w:r>
      <w:r>
        <w:t xml:space="preserve"> </w:t>
      </w:r>
      <w:r w:rsidRPr="00CA2668">
        <w:t>medication,</w:t>
      </w:r>
      <w:r>
        <w:t xml:space="preserve"> </w:t>
      </w:r>
      <w:r w:rsidRPr="00CA2668">
        <w:t>and</w:t>
      </w:r>
      <w:r>
        <w:t xml:space="preserve"> </w:t>
      </w:r>
      <w:r w:rsidRPr="00CA2668">
        <w:t>the</w:t>
      </w:r>
      <w:r>
        <w:t xml:space="preserve"> </w:t>
      </w:r>
      <w:r w:rsidRPr="00CA2668">
        <w:t>harm</w:t>
      </w:r>
      <w:r>
        <w:t xml:space="preserve"> </w:t>
      </w:r>
      <w:r w:rsidRPr="00CA2668">
        <w:t>and</w:t>
      </w:r>
      <w:r>
        <w:t xml:space="preserve"> </w:t>
      </w:r>
      <w:r w:rsidRPr="00CA2668">
        <w:t>powerlessness</w:t>
      </w:r>
      <w:r>
        <w:t xml:space="preserve"> </w:t>
      </w:r>
      <w:r w:rsidRPr="00CA2668">
        <w:t>they</w:t>
      </w:r>
      <w:r>
        <w:t xml:space="preserve"> </w:t>
      </w:r>
      <w:r w:rsidRPr="00CA2668">
        <w:t>experienced</w:t>
      </w:r>
      <w:r>
        <w:t xml:space="preserve"> </w:t>
      </w:r>
      <w:r w:rsidRPr="00CA2668">
        <w:t>through</w:t>
      </w:r>
      <w:r>
        <w:t xml:space="preserve"> </w:t>
      </w:r>
      <w:r w:rsidRPr="00CA2668">
        <w:t>practices</w:t>
      </w:r>
      <w:r>
        <w:t xml:space="preserve"> </w:t>
      </w:r>
      <w:r w:rsidRPr="00CA2668">
        <w:t>of</w:t>
      </w:r>
      <w:r>
        <w:t xml:space="preserve"> </w:t>
      </w:r>
      <w:r w:rsidRPr="00CA2668">
        <w:t>seclusion</w:t>
      </w:r>
      <w:r>
        <w:t xml:space="preserve"> </w:t>
      </w:r>
      <w:r w:rsidRPr="00CA2668">
        <w:t>and</w:t>
      </w:r>
      <w:r>
        <w:t xml:space="preserve"> </w:t>
      </w:r>
      <w:r w:rsidRPr="00CA2668">
        <w:t>restraint</w:t>
      </w:r>
      <w:r>
        <w:t xml:space="preserve"> </w:t>
      </w:r>
      <w:r w:rsidRPr="00CA2668">
        <w:t>and</w:t>
      </w:r>
      <w:r>
        <w:t xml:space="preserve"> </w:t>
      </w:r>
      <w:r w:rsidRPr="00CA2668">
        <w:t>prolonged</w:t>
      </w:r>
      <w:r>
        <w:t xml:space="preserve"> </w:t>
      </w:r>
      <w:r w:rsidRPr="00CA2668">
        <w:t>use</w:t>
      </w:r>
      <w:r>
        <w:t xml:space="preserve"> </w:t>
      </w:r>
      <w:r w:rsidRPr="00CA2668">
        <w:t>of</w:t>
      </w:r>
      <w:r>
        <w:t xml:space="preserve"> </w:t>
      </w:r>
      <w:r w:rsidRPr="00CA2668">
        <w:t>the</w:t>
      </w:r>
      <w:r>
        <w:t xml:space="preserve"> </w:t>
      </w:r>
      <w:r w:rsidRPr="00CA2668">
        <w:t>Mental</w:t>
      </w:r>
      <w:r>
        <w:t xml:space="preserve"> </w:t>
      </w:r>
      <w:r w:rsidRPr="00CA2668">
        <w:t>Health</w:t>
      </w:r>
      <w:r>
        <w:t xml:space="preserve"> </w:t>
      </w:r>
      <w:r w:rsidRPr="00CA2668">
        <w:t>Act</w:t>
      </w:r>
      <w:r>
        <w:t>’.</w:t>
      </w:r>
      <w:r w:rsidRPr="00145063">
        <w:rPr>
          <w:vertAlign w:val="superscript"/>
        </w:rPr>
        <w:footnoteReference w:id="35"/>
      </w:r>
      <w:r>
        <w:t xml:space="preserve"> </w:t>
      </w:r>
    </w:p>
    <w:p w14:paraId="5B66B5D8" w14:textId="77777777" w:rsidR="00B0292E" w:rsidRPr="0023476E" w:rsidRDefault="00B0292E" w:rsidP="0023476E">
      <w:pPr>
        <w:pStyle w:val="Heading3"/>
      </w:pPr>
      <w:bookmarkStart w:id="86" w:name="_Toc131663803"/>
      <w:r w:rsidRPr="0023476E">
        <w:t>Kia Manawanui Aotearoa: Long-term pathway to mental wellbeing</w:t>
      </w:r>
      <w:bookmarkEnd w:id="86"/>
    </w:p>
    <w:p w14:paraId="0E5B09A5" w14:textId="77777777" w:rsidR="00B0292E" w:rsidRPr="00CB6BA1" w:rsidRDefault="00B0292E" w:rsidP="0023476E">
      <w:r w:rsidRPr="00A324F9">
        <w:rPr>
          <w:i/>
          <w:iCs/>
        </w:rPr>
        <w:t>Kia Manawanui</w:t>
      </w:r>
      <w:r>
        <w:rPr>
          <w:rStyle w:val="FootnoteReference"/>
          <w:rFonts w:cs="Segoe UI"/>
          <w:i/>
          <w:iCs/>
        </w:rPr>
        <w:footnoteReference w:id="36"/>
      </w:r>
      <w:r w:rsidRPr="00A324F9">
        <w:t xml:space="preserve"> </w:t>
      </w:r>
      <w:r w:rsidRPr="008B5AA8">
        <w:t xml:space="preserve">is the </w:t>
      </w:r>
      <w:r w:rsidRPr="003C709A">
        <w:t>long-term pathway for</w:t>
      </w:r>
      <w:r>
        <w:t xml:space="preserve"> </w:t>
      </w:r>
      <w:r w:rsidRPr="003C709A">
        <w:t>transforming New Zealand’s approach to</w:t>
      </w:r>
      <w:r>
        <w:t xml:space="preserve"> </w:t>
      </w:r>
      <w:r w:rsidRPr="003C709A">
        <w:t>mental wellbeing</w:t>
      </w:r>
      <w:r w:rsidRPr="0042140F">
        <w:t xml:space="preserve"> </w:t>
      </w:r>
      <w:r>
        <w:t xml:space="preserve">so that </w:t>
      </w:r>
      <w:r w:rsidRPr="001C6323">
        <w:t>people are supported to stay well, and have access to help that works for them, when and where they need it</w:t>
      </w:r>
      <w:r>
        <w:t xml:space="preserve">. It </w:t>
      </w:r>
      <w:r w:rsidRPr="00CB6BA1">
        <w:t xml:space="preserve">supports the agenda set by </w:t>
      </w:r>
      <w:r w:rsidRPr="00CB6BA1">
        <w:rPr>
          <w:i/>
          <w:iCs/>
        </w:rPr>
        <w:t>He Ara Oranga</w:t>
      </w:r>
      <w:r w:rsidRPr="00CB6BA1">
        <w:t xml:space="preserve"> and seeks to both build on the strengths of our existing systems and services and to create new and different approaches to supporting mental wellbeing taking a whole-of-government approach. </w:t>
      </w:r>
    </w:p>
    <w:p w14:paraId="558DC12D" w14:textId="77777777" w:rsidR="00B0292E" w:rsidRPr="0023476E" w:rsidRDefault="00B0292E" w:rsidP="0023476E">
      <w:pPr>
        <w:pStyle w:val="Heading2"/>
      </w:pPr>
      <w:bookmarkStart w:id="87" w:name="_Toc103152103"/>
      <w:bookmarkStart w:id="88" w:name="_Toc105770624"/>
      <w:bookmarkStart w:id="89" w:name="_Toc131663804"/>
      <w:bookmarkStart w:id="90" w:name="_Toc132355310"/>
      <w:r w:rsidRPr="0023476E">
        <w:t>Ngā Paerewa Health and Disability Services Standard</w:t>
      </w:r>
      <w:bookmarkEnd w:id="87"/>
      <w:bookmarkEnd w:id="88"/>
      <w:r w:rsidRPr="0023476E">
        <w:t xml:space="preserve"> (NZS 8134:2021)</w:t>
      </w:r>
      <w:bookmarkEnd w:id="89"/>
      <w:bookmarkEnd w:id="90"/>
    </w:p>
    <w:p w14:paraId="3A38CB11" w14:textId="60D5AAC1" w:rsidR="00B0292E" w:rsidRDefault="00B0292E" w:rsidP="0023476E">
      <w:pPr>
        <w:rPr>
          <w:lang w:eastAsia="en-NZ"/>
        </w:rPr>
      </w:pPr>
      <w:r w:rsidRPr="00CA2668">
        <w:rPr>
          <w:lang w:eastAsia="en-NZ"/>
        </w:rPr>
        <w:t>Ngā</w:t>
      </w:r>
      <w:r>
        <w:rPr>
          <w:lang w:eastAsia="en-NZ"/>
        </w:rPr>
        <w:t xml:space="preserve"> </w:t>
      </w:r>
      <w:r w:rsidRPr="00CA2668">
        <w:rPr>
          <w:lang w:eastAsia="en-NZ"/>
        </w:rPr>
        <w:t>Paerewa</w:t>
      </w:r>
      <w:r>
        <w:rPr>
          <w:lang w:eastAsia="en-NZ"/>
        </w:rPr>
        <w:t xml:space="preserve"> </w:t>
      </w:r>
      <w:r w:rsidRPr="00CA2668">
        <w:rPr>
          <w:lang w:eastAsia="en-NZ"/>
        </w:rPr>
        <w:t>sets</w:t>
      </w:r>
      <w:r>
        <w:rPr>
          <w:lang w:eastAsia="en-NZ"/>
        </w:rPr>
        <w:t xml:space="preserve"> </w:t>
      </w:r>
      <w:r w:rsidRPr="00CA2668">
        <w:rPr>
          <w:lang w:eastAsia="en-NZ"/>
        </w:rPr>
        <w:t>out</w:t>
      </w:r>
      <w:r>
        <w:rPr>
          <w:lang w:eastAsia="en-NZ"/>
        </w:rPr>
        <w:t xml:space="preserve"> </w:t>
      </w:r>
      <w:r w:rsidRPr="00CA2668">
        <w:rPr>
          <w:lang w:eastAsia="en-NZ"/>
        </w:rPr>
        <w:t>the</w:t>
      </w:r>
      <w:r>
        <w:rPr>
          <w:lang w:eastAsia="en-NZ"/>
        </w:rPr>
        <w:t xml:space="preserve"> minimum </w:t>
      </w:r>
      <w:r w:rsidRPr="00CA2668">
        <w:rPr>
          <w:lang w:eastAsia="en-NZ"/>
        </w:rPr>
        <w:t>requirements</w:t>
      </w:r>
      <w:r>
        <w:rPr>
          <w:lang w:eastAsia="en-NZ"/>
        </w:rPr>
        <w:t xml:space="preserve"> </w:t>
      </w:r>
      <w:r w:rsidRPr="00CA2668">
        <w:rPr>
          <w:lang w:eastAsia="en-NZ"/>
        </w:rPr>
        <w:t>for</w:t>
      </w:r>
      <w:r>
        <w:rPr>
          <w:lang w:eastAsia="en-NZ"/>
        </w:rPr>
        <w:t xml:space="preserve"> </w:t>
      </w:r>
      <w:r w:rsidRPr="00CA2668">
        <w:rPr>
          <w:lang w:eastAsia="en-NZ"/>
        </w:rPr>
        <w:t>providers</w:t>
      </w:r>
      <w:r>
        <w:rPr>
          <w:lang w:eastAsia="en-NZ"/>
        </w:rPr>
        <w:t xml:space="preserve"> </w:t>
      </w:r>
      <w:r w:rsidRPr="00CA2668">
        <w:rPr>
          <w:lang w:eastAsia="en-NZ"/>
        </w:rPr>
        <w:t>of</w:t>
      </w:r>
      <w:r>
        <w:rPr>
          <w:lang w:eastAsia="en-NZ"/>
        </w:rPr>
        <w:t xml:space="preserve"> </w:t>
      </w:r>
      <w:r w:rsidRPr="00CA2668">
        <w:rPr>
          <w:lang w:eastAsia="en-NZ"/>
        </w:rPr>
        <w:t>health</w:t>
      </w:r>
      <w:r>
        <w:rPr>
          <w:lang w:eastAsia="en-NZ"/>
        </w:rPr>
        <w:t xml:space="preserve"> </w:t>
      </w:r>
      <w:r w:rsidRPr="00CA2668">
        <w:rPr>
          <w:lang w:eastAsia="en-NZ"/>
        </w:rPr>
        <w:t>and</w:t>
      </w:r>
      <w:r>
        <w:rPr>
          <w:lang w:eastAsia="en-NZ"/>
        </w:rPr>
        <w:t xml:space="preserve"> </w:t>
      </w:r>
      <w:r w:rsidRPr="00CA2668">
        <w:rPr>
          <w:lang w:eastAsia="en-NZ"/>
        </w:rPr>
        <w:t>disability</w:t>
      </w:r>
      <w:r>
        <w:rPr>
          <w:lang w:eastAsia="en-NZ"/>
        </w:rPr>
        <w:t xml:space="preserve"> </w:t>
      </w:r>
      <w:r w:rsidRPr="00CA2668">
        <w:rPr>
          <w:lang w:eastAsia="en-NZ"/>
        </w:rPr>
        <w:t>services.</w:t>
      </w:r>
      <w:r w:rsidRPr="00145063">
        <w:rPr>
          <w:vertAlign w:val="superscript"/>
        </w:rPr>
        <w:footnoteReference w:id="37"/>
      </w:r>
      <w:r>
        <w:rPr>
          <w:lang w:eastAsia="en-NZ"/>
        </w:rPr>
        <w:t xml:space="preserve"> </w:t>
      </w:r>
    </w:p>
    <w:p w14:paraId="00049AEA" w14:textId="77777777" w:rsidR="0023476E" w:rsidRPr="00CA2668" w:rsidRDefault="0023476E" w:rsidP="0023476E">
      <w:pPr>
        <w:rPr>
          <w:lang w:eastAsia="en-NZ"/>
        </w:rPr>
      </w:pPr>
    </w:p>
    <w:p w14:paraId="2FD31E59" w14:textId="4BB7AC98" w:rsidR="00B0292E" w:rsidRDefault="00B0292E" w:rsidP="0023476E">
      <w:pPr>
        <w:rPr>
          <w:lang w:eastAsia="en-NZ"/>
        </w:rPr>
      </w:pPr>
      <w:r w:rsidRPr="00CA2668">
        <w:rPr>
          <w:lang w:eastAsia="en-NZ"/>
        </w:rPr>
        <w:t>Ngā</w:t>
      </w:r>
      <w:r>
        <w:rPr>
          <w:lang w:eastAsia="en-NZ"/>
        </w:rPr>
        <w:t xml:space="preserve"> </w:t>
      </w:r>
      <w:r w:rsidRPr="00CA2668">
        <w:rPr>
          <w:lang w:eastAsia="en-NZ"/>
        </w:rPr>
        <w:t>Paerewa</w:t>
      </w:r>
      <w:r>
        <w:rPr>
          <w:lang w:eastAsia="en-NZ"/>
        </w:rPr>
        <w:t xml:space="preserve"> </w:t>
      </w:r>
      <w:r w:rsidRPr="00CA2668">
        <w:rPr>
          <w:lang w:eastAsia="en-NZ"/>
        </w:rPr>
        <w:t>reflects</w:t>
      </w:r>
      <w:r>
        <w:rPr>
          <w:lang w:eastAsia="en-NZ"/>
        </w:rPr>
        <w:t xml:space="preserve"> </w:t>
      </w:r>
      <w:r w:rsidRPr="00CA2668">
        <w:rPr>
          <w:lang w:eastAsia="en-NZ"/>
        </w:rPr>
        <w:t>the</w:t>
      </w:r>
      <w:r>
        <w:rPr>
          <w:lang w:eastAsia="en-NZ"/>
        </w:rPr>
        <w:t xml:space="preserve"> </w:t>
      </w:r>
      <w:r w:rsidRPr="00CA2668">
        <w:rPr>
          <w:lang w:eastAsia="en-NZ"/>
        </w:rPr>
        <w:t>shift</w:t>
      </w:r>
      <w:r>
        <w:rPr>
          <w:lang w:eastAsia="en-NZ"/>
        </w:rPr>
        <w:t xml:space="preserve"> </w:t>
      </w:r>
      <w:r w:rsidRPr="00CA2668">
        <w:rPr>
          <w:lang w:eastAsia="en-NZ"/>
        </w:rPr>
        <w:t>towards</w:t>
      </w:r>
      <w:r>
        <w:rPr>
          <w:lang w:eastAsia="en-NZ"/>
        </w:rPr>
        <w:t xml:space="preserve"> </w:t>
      </w:r>
      <w:r w:rsidRPr="00CA2668">
        <w:rPr>
          <w:lang w:eastAsia="en-NZ"/>
        </w:rPr>
        <w:t>person-</w:t>
      </w:r>
      <w:r>
        <w:rPr>
          <w:lang w:eastAsia="en-NZ"/>
        </w:rPr>
        <w:t xml:space="preserve">centred </w:t>
      </w:r>
      <w:r w:rsidRPr="00CA2668">
        <w:rPr>
          <w:lang w:eastAsia="en-NZ"/>
        </w:rPr>
        <w:t>and</w:t>
      </w:r>
      <w:r>
        <w:rPr>
          <w:lang w:eastAsia="en-NZ"/>
        </w:rPr>
        <w:t xml:space="preserve"> </w:t>
      </w:r>
      <w:r w:rsidRPr="00CA2668">
        <w:rPr>
          <w:lang w:eastAsia="en-NZ"/>
        </w:rPr>
        <w:t>whānau-centred</w:t>
      </w:r>
      <w:r>
        <w:rPr>
          <w:lang w:eastAsia="en-NZ"/>
        </w:rPr>
        <w:t xml:space="preserve"> </w:t>
      </w:r>
      <w:r w:rsidRPr="00CA2668">
        <w:rPr>
          <w:lang w:eastAsia="en-NZ"/>
        </w:rPr>
        <w:t>health</w:t>
      </w:r>
      <w:r>
        <w:rPr>
          <w:lang w:eastAsia="en-NZ"/>
        </w:rPr>
        <w:t xml:space="preserve"> </w:t>
      </w:r>
      <w:r w:rsidRPr="00CA2668">
        <w:rPr>
          <w:lang w:eastAsia="en-NZ"/>
        </w:rPr>
        <w:t>and</w:t>
      </w:r>
      <w:r>
        <w:rPr>
          <w:lang w:eastAsia="en-NZ"/>
        </w:rPr>
        <w:t xml:space="preserve"> </w:t>
      </w:r>
      <w:r w:rsidRPr="00CA2668">
        <w:rPr>
          <w:lang w:eastAsia="en-NZ"/>
        </w:rPr>
        <w:t>disability</w:t>
      </w:r>
      <w:r>
        <w:rPr>
          <w:lang w:eastAsia="en-NZ"/>
        </w:rPr>
        <w:t xml:space="preserve"> </w:t>
      </w:r>
      <w:r w:rsidRPr="00CA2668">
        <w:rPr>
          <w:lang w:eastAsia="en-NZ"/>
        </w:rPr>
        <w:t>services.</w:t>
      </w:r>
      <w:r>
        <w:rPr>
          <w:lang w:eastAsia="en-NZ"/>
        </w:rPr>
        <w:t xml:space="preserve"> It aims to empower p</w:t>
      </w:r>
      <w:r w:rsidRPr="00CA2668">
        <w:rPr>
          <w:lang w:eastAsia="en-NZ"/>
        </w:rPr>
        <w:t>eople</w:t>
      </w:r>
      <w:r>
        <w:rPr>
          <w:lang w:eastAsia="en-NZ"/>
        </w:rPr>
        <w:t xml:space="preserve"> </w:t>
      </w:r>
      <w:r w:rsidRPr="00CA2668">
        <w:rPr>
          <w:lang w:eastAsia="en-NZ"/>
        </w:rPr>
        <w:t>to</w:t>
      </w:r>
      <w:r>
        <w:rPr>
          <w:lang w:eastAsia="en-NZ"/>
        </w:rPr>
        <w:t xml:space="preserve"> </w:t>
      </w:r>
      <w:r w:rsidRPr="00CA2668">
        <w:rPr>
          <w:lang w:eastAsia="en-NZ"/>
        </w:rPr>
        <w:t>make</w:t>
      </w:r>
      <w:r>
        <w:rPr>
          <w:lang w:eastAsia="en-NZ"/>
        </w:rPr>
        <w:t xml:space="preserve"> </w:t>
      </w:r>
      <w:r w:rsidRPr="00CA2668">
        <w:rPr>
          <w:lang w:eastAsia="en-NZ"/>
        </w:rPr>
        <w:t>decisions</w:t>
      </w:r>
      <w:r>
        <w:rPr>
          <w:lang w:eastAsia="en-NZ"/>
        </w:rPr>
        <w:t xml:space="preserve"> </w:t>
      </w:r>
      <w:r w:rsidRPr="00CA2668">
        <w:rPr>
          <w:lang w:eastAsia="en-NZ"/>
        </w:rPr>
        <w:t>about</w:t>
      </w:r>
      <w:r>
        <w:rPr>
          <w:lang w:eastAsia="en-NZ"/>
        </w:rPr>
        <w:t xml:space="preserve"> </w:t>
      </w:r>
      <w:r w:rsidRPr="00CA2668">
        <w:rPr>
          <w:lang w:eastAsia="en-NZ"/>
        </w:rPr>
        <w:t>their</w:t>
      </w:r>
      <w:r>
        <w:rPr>
          <w:lang w:eastAsia="en-NZ"/>
        </w:rPr>
        <w:t xml:space="preserve"> </w:t>
      </w:r>
      <w:r w:rsidRPr="00CA2668">
        <w:rPr>
          <w:lang w:eastAsia="en-NZ"/>
        </w:rPr>
        <w:t>own</w:t>
      </w:r>
      <w:r>
        <w:rPr>
          <w:lang w:eastAsia="en-NZ"/>
        </w:rPr>
        <w:t xml:space="preserve"> </w:t>
      </w:r>
      <w:r w:rsidRPr="00CA2668">
        <w:rPr>
          <w:lang w:eastAsia="en-NZ"/>
        </w:rPr>
        <w:t>care</w:t>
      </w:r>
      <w:r>
        <w:rPr>
          <w:lang w:eastAsia="en-NZ"/>
        </w:rPr>
        <w:t xml:space="preserve"> </w:t>
      </w:r>
      <w:r w:rsidRPr="00CA2668">
        <w:rPr>
          <w:lang w:eastAsia="en-NZ"/>
        </w:rPr>
        <w:t>and</w:t>
      </w:r>
      <w:r>
        <w:rPr>
          <w:lang w:eastAsia="en-NZ"/>
        </w:rPr>
        <w:t xml:space="preserve"> </w:t>
      </w:r>
      <w:r w:rsidRPr="00CA2668">
        <w:rPr>
          <w:lang w:eastAsia="en-NZ"/>
        </w:rPr>
        <w:t>support</w:t>
      </w:r>
      <w:r>
        <w:rPr>
          <w:lang w:eastAsia="en-NZ"/>
        </w:rPr>
        <w:t xml:space="preserve"> and </w:t>
      </w:r>
      <w:r w:rsidRPr="00CA2668">
        <w:rPr>
          <w:lang w:eastAsia="en-NZ"/>
        </w:rPr>
        <w:t>to</w:t>
      </w:r>
      <w:r>
        <w:rPr>
          <w:lang w:eastAsia="en-NZ"/>
        </w:rPr>
        <w:t xml:space="preserve"> </w:t>
      </w:r>
      <w:r w:rsidRPr="00CA2668">
        <w:rPr>
          <w:lang w:eastAsia="en-NZ"/>
        </w:rPr>
        <w:t>achieve</w:t>
      </w:r>
      <w:r>
        <w:rPr>
          <w:lang w:eastAsia="en-NZ"/>
        </w:rPr>
        <w:t xml:space="preserve"> </w:t>
      </w:r>
      <w:r w:rsidRPr="00CA2668">
        <w:rPr>
          <w:lang w:eastAsia="en-NZ"/>
        </w:rPr>
        <w:t>their</w:t>
      </w:r>
      <w:r>
        <w:rPr>
          <w:lang w:eastAsia="en-NZ"/>
        </w:rPr>
        <w:t xml:space="preserve"> </w:t>
      </w:r>
      <w:r w:rsidRPr="00CA2668">
        <w:rPr>
          <w:lang w:eastAsia="en-NZ"/>
        </w:rPr>
        <w:t>goals</w:t>
      </w:r>
      <w:r>
        <w:rPr>
          <w:lang w:eastAsia="en-NZ"/>
        </w:rPr>
        <w:t>, w</w:t>
      </w:r>
      <w:r w:rsidRPr="00CA2668">
        <w:rPr>
          <w:lang w:eastAsia="en-NZ"/>
        </w:rPr>
        <w:t>ith</w:t>
      </w:r>
      <w:r>
        <w:rPr>
          <w:lang w:eastAsia="en-NZ"/>
        </w:rPr>
        <w:t xml:space="preserve"> </w:t>
      </w:r>
      <w:r w:rsidRPr="00CA2668">
        <w:rPr>
          <w:lang w:eastAsia="en-NZ"/>
        </w:rPr>
        <w:t>a</w:t>
      </w:r>
      <w:r>
        <w:rPr>
          <w:lang w:eastAsia="en-NZ"/>
        </w:rPr>
        <w:t xml:space="preserve"> </w:t>
      </w:r>
      <w:r w:rsidRPr="00CA2668">
        <w:rPr>
          <w:lang w:eastAsia="en-NZ"/>
        </w:rPr>
        <w:t>stronger</w:t>
      </w:r>
      <w:r>
        <w:rPr>
          <w:lang w:eastAsia="en-NZ"/>
        </w:rPr>
        <w:t xml:space="preserve"> </w:t>
      </w:r>
      <w:r w:rsidRPr="00CA2668">
        <w:rPr>
          <w:lang w:eastAsia="en-NZ"/>
        </w:rPr>
        <w:t>focus</w:t>
      </w:r>
      <w:r>
        <w:rPr>
          <w:lang w:eastAsia="en-NZ"/>
        </w:rPr>
        <w:t xml:space="preserve"> </w:t>
      </w:r>
      <w:r w:rsidRPr="00CA2668">
        <w:rPr>
          <w:lang w:eastAsia="en-NZ"/>
        </w:rPr>
        <w:t>on</w:t>
      </w:r>
      <w:r>
        <w:rPr>
          <w:lang w:eastAsia="en-NZ"/>
        </w:rPr>
        <w:t xml:space="preserve"> </w:t>
      </w:r>
      <w:r w:rsidRPr="00CA2668">
        <w:rPr>
          <w:lang w:eastAsia="en-NZ"/>
        </w:rPr>
        <w:t>outcomes</w:t>
      </w:r>
      <w:r>
        <w:rPr>
          <w:lang w:eastAsia="en-NZ"/>
        </w:rPr>
        <w:t xml:space="preserve"> </w:t>
      </w:r>
      <w:r w:rsidRPr="00CA2668">
        <w:rPr>
          <w:lang w:eastAsia="en-NZ"/>
        </w:rPr>
        <w:t>for</w:t>
      </w:r>
      <w:r>
        <w:rPr>
          <w:lang w:eastAsia="en-NZ"/>
        </w:rPr>
        <w:t xml:space="preserve"> </w:t>
      </w:r>
      <w:r w:rsidRPr="00CA2668">
        <w:rPr>
          <w:lang w:eastAsia="en-NZ"/>
        </w:rPr>
        <w:t>people</w:t>
      </w:r>
      <w:r>
        <w:rPr>
          <w:lang w:eastAsia="en-NZ"/>
        </w:rPr>
        <w:t xml:space="preserve"> </w:t>
      </w:r>
      <w:r w:rsidRPr="00CA2668">
        <w:rPr>
          <w:lang w:eastAsia="en-NZ"/>
        </w:rPr>
        <w:t>receiving</w:t>
      </w:r>
      <w:r>
        <w:rPr>
          <w:lang w:eastAsia="en-NZ"/>
        </w:rPr>
        <w:t xml:space="preserve"> </w:t>
      </w:r>
      <w:r w:rsidRPr="00CA2668">
        <w:rPr>
          <w:lang w:eastAsia="en-NZ"/>
        </w:rPr>
        <w:t>support.</w:t>
      </w:r>
      <w:r>
        <w:rPr>
          <w:lang w:eastAsia="en-NZ"/>
        </w:rPr>
        <w:t xml:space="preserve"> </w:t>
      </w:r>
    </w:p>
    <w:p w14:paraId="606515CA" w14:textId="77777777" w:rsidR="0023476E" w:rsidRDefault="0023476E" w:rsidP="0023476E">
      <w:pPr>
        <w:rPr>
          <w:lang w:eastAsia="en-NZ"/>
        </w:rPr>
      </w:pPr>
    </w:p>
    <w:p w14:paraId="514007A2" w14:textId="2101D488" w:rsidR="00B0292E" w:rsidRDefault="00B0292E" w:rsidP="0023476E">
      <w:pPr>
        <w:rPr>
          <w:lang w:eastAsia="en-NZ"/>
        </w:rPr>
      </w:pPr>
      <w:r>
        <w:rPr>
          <w:lang w:eastAsia="en-NZ"/>
        </w:rPr>
        <w:t xml:space="preserve">The principles of Te Tiriti underpin Ngā Paerewa and are reflected in the outcome statements and criteria. </w:t>
      </w:r>
    </w:p>
    <w:p w14:paraId="5E431954" w14:textId="77777777" w:rsidR="0023476E" w:rsidRPr="00CA2668" w:rsidRDefault="0023476E" w:rsidP="0023476E">
      <w:pPr>
        <w:rPr>
          <w:lang w:eastAsia="en-NZ"/>
        </w:rPr>
      </w:pPr>
    </w:p>
    <w:p w14:paraId="2071C0BF" w14:textId="4F2FA6FF" w:rsidR="00B0292E" w:rsidRDefault="00B0292E" w:rsidP="0023476E">
      <w:pPr>
        <w:rPr>
          <w:color w:val="000000"/>
        </w:rPr>
      </w:pPr>
      <w:bookmarkStart w:id="91" w:name="_Hlk130979692"/>
      <w:r w:rsidRPr="00CA2668">
        <w:rPr>
          <w:lang w:eastAsia="en-NZ"/>
        </w:rPr>
        <w:t>Outcome</w:t>
      </w:r>
      <w:r>
        <w:rPr>
          <w:lang w:eastAsia="en-NZ"/>
        </w:rPr>
        <w:t xml:space="preserve"> </w:t>
      </w:r>
      <w:r w:rsidRPr="00CA2668">
        <w:rPr>
          <w:lang w:eastAsia="en-NZ"/>
        </w:rPr>
        <w:t>6</w:t>
      </w:r>
      <w:r>
        <w:rPr>
          <w:lang w:eastAsia="en-NZ"/>
        </w:rPr>
        <w:t xml:space="preserve"> </w:t>
      </w:r>
      <w:r w:rsidRPr="00CA2668">
        <w:rPr>
          <w:lang w:eastAsia="en-NZ"/>
        </w:rPr>
        <w:t>‘Here</w:t>
      </w:r>
      <w:r>
        <w:rPr>
          <w:lang w:eastAsia="en-NZ"/>
        </w:rPr>
        <w:t xml:space="preserve"> </w:t>
      </w:r>
      <w:r w:rsidRPr="00CA2668">
        <w:rPr>
          <w:lang w:eastAsia="en-NZ"/>
        </w:rPr>
        <w:t>Taratahi</w:t>
      </w:r>
      <w:r>
        <w:rPr>
          <w:lang w:eastAsia="en-NZ"/>
        </w:rPr>
        <w:t xml:space="preserve"> Restraint and Seclusion</w:t>
      </w:r>
      <w:r w:rsidRPr="00CA2668">
        <w:rPr>
          <w:lang w:eastAsia="en-NZ"/>
        </w:rPr>
        <w:t>’</w:t>
      </w:r>
      <w:r>
        <w:rPr>
          <w:lang w:eastAsia="en-NZ"/>
        </w:rPr>
        <w:t xml:space="preserve"> in Ngā Paerewa </w:t>
      </w:r>
      <w:bookmarkEnd w:id="91"/>
      <w:r>
        <w:rPr>
          <w:lang w:eastAsia="en-NZ"/>
        </w:rPr>
        <w:t xml:space="preserve">states </w:t>
      </w:r>
      <w:r w:rsidRPr="00CA2668">
        <w:rPr>
          <w:lang w:eastAsia="en-NZ"/>
        </w:rPr>
        <w:t>‘</w:t>
      </w:r>
      <w:r w:rsidRPr="00CA2668">
        <w:rPr>
          <w:color w:val="000000"/>
        </w:rPr>
        <w:t>Services</w:t>
      </w:r>
      <w:r>
        <w:rPr>
          <w:color w:val="000000"/>
        </w:rPr>
        <w:t xml:space="preserve"> </w:t>
      </w:r>
      <w:r w:rsidRPr="00CA2668">
        <w:rPr>
          <w:color w:val="000000"/>
        </w:rPr>
        <w:t>shall</w:t>
      </w:r>
      <w:r>
        <w:rPr>
          <w:color w:val="000000"/>
        </w:rPr>
        <w:t xml:space="preserve"> </w:t>
      </w:r>
      <w:r w:rsidRPr="00CA2668">
        <w:rPr>
          <w:color w:val="000000"/>
        </w:rPr>
        <w:t>aim</w:t>
      </w:r>
      <w:r>
        <w:rPr>
          <w:color w:val="000000"/>
        </w:rPr>
        <w:t xml:space="preserve"> </w:t>
      </w:r>
      <w:r w:rsidRPr="00CA2668">
        <w:rPr>
          <w:color w:val="000000"/>
        </w:rPr>
        <w:t>for</w:t>
      </w:r>
      <w:r>
        <w:rPr>
          <w:color w:val="000000"/>
        </w:rPr>
        <w:t xml:space="preserve"> </w:t>
      </w:r>
      <w:r w:rsidRPr="00CA2668">
        <w:rPr>
          <w:color w:val="000000"/>
        </w:rPr>
        <w:t>a</w:t>
      </w:r>
      <w:r>
        <w:rPr>
          <w:color w:val="000000"/>
        </w:rPr>
        <w:t xml:space="preserve"> </w:t>
      </w:r>
      <w:r w:rsidRPr="00CA2668">
        <w:rPr>
          <w:color w:val="000000"/>
        </w:rPr>
        <w:t>restraint</w:t>
      </w:r>
      <w:r>
        <w:rPr>
          <w:color w:val="000000"/>
        </w:rPr>
        <w:t xml:space="preserve"> </w:t>
      </w:r>
      <w:r w:rsidRPr="00CA2668">
        <w:rPr>
          <w:color w:val="000000"/>
        </w:rPr>
        <w:t>and</w:t>
      </w:r>
      <w:r>
        <w:rPr>
          <w:color w:val="000000"/>
        </w:rPr>
        <w:t xml:space="preserve"> </w:t>
      </w:r>
      <w:r w:rsidRPr="00CA2668">
        <w:rPr>
          <w:color w:val="000000"/>
        </w:rPr>
        <w:t>seclusion</w:t>
      </w:r>
      <w:r>
        <w:rPr>
          <w:color w:val="000000"/>
        </w:rPr>
        <w:t xml:space="preserve"> </w:t>
      </w:r>
      <w:r w:rsidRPr="00CA2668">
        <w:rPr>
          <w:color w:val="000000"/>
        </w:rPr>
        <w:t>free</w:t>
      </w:r>
      <w:r>
        <w:rPr>
          <w:color w:val="000000"/>
        </w:rPr>
        <w:t xml:space="preserve"> </w:t>
      </w:r>
      <w:r w:rsidRPr="00CA2668">
        <w:rPr>
          <w:color w:val="000000"/>
        </w:rPr>
        <w:t>environment,</w:t>
      </w:r>
      <w:r>
        <w:rPr>
          <w:color w:val="000000"/>
        </w:rPr>
        <w:t xml:space="preserve"> </w:t>
      </w:r>
      <w:r w:rsidRPr="00CA2668">
        <w:rPr>
          <w:color w:val="000000"/>
        </w:rPr>
        <w:t>in</w:t>
      </w:r>
      <w:r>
        <w:rPr>
          <w:color w:val="000000"/>
        </w:rPr>
        <w:t xml:space="preserve"> </w:t>
      </w:r>
      <w:r w:rsidRPr="00CA2668">
        <w:rPr>
          <w:color w:val="000000"/>
        </w:rPr>
        <w:t>which</w:t>
      </w:r>
      <w:r>
        <w:rPr>
          <w:color w:val="000000"/>
        </w:rPr>
        <w:t xml:space="preserve"> </w:t>
      </w:r>
      <w:r w:rsidRPr="00CA2668">
        <w:rPr>
          <w:color w:val="000000"/>
        </w:rPr>
        <w:t>people’s</w:t>
      </w:r>
      <w:r>
        <w:rPr>
          <w:color w:val="000000"/>
        </w:rPr>
        <w:t xml:space="preserve"> </w:t>
      </w:r>
      <w:r w:rsidRPr="00CA2668">
        <w:rPr>
          <w:color w:val="000000"/>
        </w:rPr>
        <w:t>dignity</w:t>
      </w:r>
      <w:r>
        <w:rPr>
          <w:color w:val="000000"/>
        </w:rPr>
        <w:t xml:space="preserve"> </w:t>
      </w:r>
      <w:r w:rsidRPr="00CA2668">
        <w:rPr>
          <w:color w:val="000000"/>
        </w:rPr>
        <w:t>and</w:t>
      </w:r>
      <w:r>
        <w:rPr>
          <w:color w:val="000000"/>
        </w:rPr>
        <w:t xml:space="preserve"> </w:t>
      </w:r>
      <w:r w:rsidRPr="00CA2668">
        <w:rPr>
          <w:color w:val="000000"/>
        </w:rPr>
        <w:t>mana</w:t>
      </w:r>
      <w:r>
        <w:rPr>
          <w:color w:val="000000"/>
        </w:rPr>
        <w:t xml:space="preserve"> </w:t>
      </w:r>
      <w:r w:rsidRPr="00CA2668">
        <w:rPr>
          <w:color w:val="000000"/>
        </w:rPr>
        <w:t>are</w:t>
      </w:r>
      <w:r>
        <w:rPr>
          <w:color w:val="000000"/>
        </w:rPr>
        <w:t xml:space="preserve"> </w:t>
      </w:r>
      <w:r w:rsidRPr="00CA2668">
        <w:rPr>
          <w:color w:val="000000"/>
        </w:rPr>
        <w:t>maintained.’</w:t>
      </w:r>
      <w:r>
        <w:rPr>
          <w:color w:val="000000"/>
        </w:rPr>
        <w:t xml:space="preserve"> </w:t>
      </w:r>
    </w:p>
    <w:p w14:paraId="72266BA9" w14:textId="77777777" w:rsidR="0023476E" w:rsidRDefault="0023476E" w:rsidP="0023476E">
      <w:pPr>
        <w:rPr>
          <w:color w:val="000000"/>
        </w:rPr>
      </w:pPr>
    </w:p>
    <w:p w14:paraId="46FC32A2" w14:textId="65C74769" w:rsidR="00B0292E" w:rsidRDefault="00B0292E" w:rsidP="00B7548E">
      <w:pPr>
        <w:rPr>
          <w:lang w:eastAsia="en-NZ"/>
        </w:rPr>
      </w:pPr>
      <w:bookmarkStart w:id="92" w:name="_Hlk130979742"/>
      <w:r w:rsidRPr="00CA2668">
        <w:rPr>
          <w:lang w:eastAsia="en-NZ"/>
        </w:rPr>
        <w:t>There</w:t>
      </w:r>
      <w:r>
        <w:rPr>
          <w:lang w:eastAsia="en-NZ"/>
        </w:rPr>
        <w:t xml:space="preserve"> </w:t>
      </w:r>
      <w:r w:rsidRPr="00CA2668">
        <w:rPr>
          <w:lang w:eastAsia="en-NZ"/>
        </w:rPr>
        <w:t>are</w:t>
      </w:r>
      <w:r>
        <w:rPr>
          <w:lang w:eastAsia="en-NZ"/>
        </w:rPr>
        <w:t xml:space="preserve"> 4 </w:t>
      </w:r>
      <w:r w:rsidRPr="00CA2668">
        <w:rPr>
          <w:lang w:eastAsia="en-NZ"/>
        </w:rPr>
        <w:t>sets</w:t>
      </w:r>
      <w:r>
        <w:rPr>
          <w:lang w:eastAsia="en-NZ"/>
        </w:rPr>
        <w:t xml:space="preserve"> </w:t>
      </w:r>
      <w:r w:rsidRPr="00CA2668">
        <w:rPr>
          <w:lang w:eastAsia="en-NZ"/>
        </w:rPr>
        <w:t>of</w:t>
      </w:r>
      <w:r>
        <w:rPr>
          <w:lang w:eastAsia="en-NZ"/>
        </w:rPr>
        <w:t xml:space="preserve"> </w:t>
      </w:r>
      <w:r w:rsidRPr="00CA2668">
        <w:rPr>
          <w:lang w:eastAsia="en-NZ"/>
        </w:rPr>
        <w:t>criteria</w:t>
      </w:r>
      <w:r>
        <w:rPr>
          <w:lang w:eastAsia="en-NZ"/>
        </w:rPr>
        <w:t xml:space="preserve"> </w:t>
      </w:r>
      <w:r w:rsidRPr="00CA2668">
        <w:rPr>
          <w:lang w:eastAsia="en-NZ"/>
        </w:rPr>
        <w:t>under</w:t>
      </w:r>
      <w:r>
        <w:rPr>
          <w:lang w:eastAsia="en-NZ"/>
        </w:rPr>
        <w:t xml:space="preserve"> O</w:t>
      </w:r>
      <w:r w:rsidRPr="00CA2668">
        <w:rPr>
          <w:lang w:eastAsia="en-NZ"/>
        </w:rPr>
        <w:t>utcome</w:t>
      </w:r>
      <w:r>
        <w:rPr>
          <w:lang w:eastAsia="en-NZ"/>
        </w:rPr>
        <w:t xml:space="preserve"> </w:t>
      </w:r>
      <w:r w:rsidRPr="00CA2668">
        <w:rPr>
          <w:lang w:eastAsia="en-NZ"/>
        </w:rPr>
        <w:t>6</w:t>
      </w:r>
      <w:r>
        <w:rPr>
          <w:lang w:eastAsia="en-NZ"/>
        </w:rPr>
        <w:t xml:space="preserve">: </w:t>
      </w:r>
      <w:r w:rsidRPr="00CA2668">
        <w:rPr>
          <w:lang w:eastAsia="en-NZ"/>
        </w:rPr>
        <w:t>restraint</w:t>
      </w:r>
      <w:r>
        <w:rPr>
          <w:lang w:eastAsia="en-NZ"/>
        </w:rPr>
        <w:t xml:space="preserve"> </w:t>
      </w:r>
      <w:r w:rsidRPr="00CA2668">
        <w:rPr>
          <w:lang w:eastAsia="en-NZ"/>
        </w:rPr>
        <w:t>processes</w:t>
      </w:r>
      <w:r>
        <w:rPr>
          <w:lang w:eastAsia="en-NZ"/>
        </w:rPr>
        <w:t xml:space="preserve"> (section 6.1)</w:t>
      </w:r>
      <w:r w:rsidRPr="00CA2668">
        <w:rPr>
          <w:lang w:eastAsia="en-NZ"/>
        </w:rPr>
        <w:t>,</w:t>
      </w:r>
      <w:r>
        <w:rPr>
          <w:lang w:eastAsia="en-NZ"/>
        </w:rPr>
        <w:t xml:space="preserve"> </w:t>
      </w:r>
      <w:r w:rsidRPr="00CA2668">
        <w:rPr>
          <w:lang w:eastAsia="en-NZ"/>
        </w:rPr>
        <w:t>safe</w:t>
      </w:r>
      <w:r>
        <w:rPr>
          <w:lang w:eastAsia="en-NZ"/>
        </w:rPr>
        <w:t xml:space="preserve"> </w:t>
      </w:r>
      <w:r w:rsidRPr="00CA2668">
        <w:rPr>
          <w:lang w:eastAsia="en-NZ"/>
        </w:rPr>
        <w:t>restraint</w:t>
      </w:r>
      <w:r>
        <w:rPr>
          <w:lang w:eastAsia="en-NZ"/>
        </w:rPr>
        <w:t xml:space="preserve"> (section 6.2)</w:t>
      </w:r>
      <w:r w:rsidRPr="00CA2668">
        <w:rPr>
          <w:lang w:eastAsia="en-NZ"/>
        </w:rPr>
        <w:t>,</w:t>
      </w:r>
      <w:r>
        <w:rPr>
          <w:lang w:eastAsia="en-NZ"/>
        </w:rPr>
        <w:t xml:space="preserve"> </w:t>
      </w:r>
      <w:r w:rsidRPr="00CA2668">
        <w:rPr>
          <w:lang w:eastAsia="en-NZ"/>
        </w:rPr>
        <w:t>quality</w:t>
      </w:r>
      <w:r>
        <w:rPr>
          <w:lang w:eastAsia="en-NZ"/>
        </w:rPr>
        <w:t xml:space="preserve"> </w:t>
      </w:r>
      <w:bookmarkEnd w:id="92"/>
      <w:r w:rsidRPr="00CA2668">
        <w:rPr>
          <w:lang w:eastAsia="en-NZ"/>
        </w:rPr>
        <w:t>review</w:t>
      </w:r>
      <w:r>
        <w:rPr>
          <w:lang w:eastAsia="en-NZ"/>
        </w:rPr>
        <w:t xml:space="preserve"> (section 6.3) </w:t>
      </w:r>
      <w:r w:rsidRPr="00CA2668">
        <w:rPr>
          <w:lang w:eastAsia="en-NZ"/>
        </w:rPr>
        <w:t>and</w:t>
      </w:r>
      <w:r>
        <w:rPr>
          <w:lang w:eastAsia="en-NZ"/>
        </w:rPr>
        <w:t xml:space="preserve"> </w:t>
      </w:r>
      <w:r w:rsidRPr="00CA2668">
        <w:rPr>
          <w:lang w:eastAsia="en-NZ"/>
        </w:rPr>
        <w:t>seclusion</w:t>
      </w:r>
      <w:r>
        <w:rPr>
          <w:lang w:eastAsia="en-NZ"/>
        </w:rPr>
        <w:t xml:space="preserve"> (section 6.4)</w:t>
      </w:r>
      <w:r w:rsidRPr="00CA2668">
        <w:rPr>
          <w:lang w:eastAsia="en-NZ"/>
        </w:rPr>
        <w:t>.</w:t>
      </w:r>
      <w:r>
        <w:rPr>
          <w:lang w:eastAsia="en-NZ"/>
        </w:rPr>
        <w:t xml:space="preserve"> These c</w:t>
      </w:r>
      <w:r w:rsidRPr="00CA2668">
        <w:rPr>
          <w:lang w:eastAsia="en-NZ"/>
        </w:rPr>
        <w:t>riteria</w:t>
      </w:r>
      <w:r>
        <w:rPr>
          <w:lang w:eastAsia="en-NZ"/>
        </w:rPr>
        <w:t xml:space="preserve"> </w:t>
      </w:r>
      <w:r w:rsidRPr="00CA2668">
        <w:rPr>
          <w:lang w:eastAsia="en-NZ"/>
        </w:rPr>
        <w:t>include</w:t>
      </w:r>
      <w:r>
        <w:rPr>
          <w:lang w:eastAsia="en-NZ"/>
        </w:rPr>
        <w:t xml:space="preserve"> </w:t>
      </w:r>
      <w:r w:rsidRPr="00CA2668">
        <w:rPr>
          <w:lang w:eastAsia="en-NZ"/>
        </w:rPr>
        <w:t>a</w:t>
      </w:r>
      <w:r>
        <w:rPr>
          <w:lang w:eastAsia="en-NZ"/>
        </w:rPr>
        <w:t xml:space="preserve"> </w:t>
      </w:r>
      <w:r w:rsidRPr="00CA2668">
        <w:rPr>
          <w:lang w:eastAsia="en-NZ"/>
        </w:rPr>
        <w:t>greater</w:t>
      </w:r>
      <w:r>
        <w:rPr>
          <w:lang w:eastAsia="en-NZ"/>
        </w:rPr>
        <w:t xml:space="preserve"> </w:t>
      </w:r>
      <w:r w:rsidRPr="00CA2668">
        <w:rPr>
          <w:lang w:eastAsia="en-NZ"/>
        </w:rPr>
        <w:t>emphasis</w:t>
      </w:r>
      <w:r>
        <w:rPr>
          <w:lang w:eastAsia="en-NZ"/>
        </w:rPr>
        <w:t xml:space="preserve"> </w:t>
      </w:r>
      <w:r w:rsidRPr="00CA2668">
        <w:rPr>
          <w:lang w:eastAsia="en-NZ"/>
        </w:rPr>
        <w:t>on</w:t>
      </w:r>
      <w:r>
        <w:rPr>
          <w:lang w:eastAsia="en-NZ"/>
        </w:rPr>
        <w:t xml:space="preserve"> </w:t>
      </w:r>
      <w:r w:rsidRPr="00CA2668">
        <w:rPr>
          <w:lang w:eastAsia="en-NZ"/>
        </w:rPr>
        <w:t>governance,</w:t>
      </w:r>
      <w:r>
        <w:rPr>
          <w:lang w:eastAsia="en-NZ"/>
        </w:rPr>
        <w:t xml:space="preserve"> </w:t>
      </w:r>
      <w:r w:rsidRPr="00CA2668">
        <w:rPr>
          <w:lang w:eastAsia="en-NZ"/>
        </w:rPr>
        <w:t>leadership</w:t>
      </w:r>
      <w:r>
        <w:rPr>
          <w:lang w:eastAsia="en-NZ"/>
        </w:rPr>
        <w:t xml:space="preserve"> </w:t>
      </w:r>
      <w:r w:rsidRPr="00CA2668">
        <w:rPr>
          <w:lang w:eastAsia="en-NZ"/>
        </w:rPr>
        <w:t>and</w:t>
      </w:r>
      <w:r>
        <w:rPr>
          <w:lang w:eastAsia="en-NZ"/>
        </w:rPr>
        <w:t xml:space="preserve"> </w:t>
      </w:r>
      <w:r w:rsidRPr="00CA2668">
        <w:rPr>
          <w:lang w:eastAsia="en-NZ"/>
        </w:rPr>
        <w:t>monitoring,</w:t>
      </w:r>
      <w:r>
        <w:rPr>
          <w:lang w:eastAsia="en-NZ"/>
        </w:rPr>
        <w:t xml:space="preserve"> </w:t>
      </w:r>
      <w:r w:rsidRPr="00CA2668">
        <w:rPr>
          <w:lang w:eastAsia="en-NZ"/>
        </w:rPr>
        <w:t>and</w:t>
      </w:r>
      <w:r>
        <w:rPr>
          <w:lang w:eastAsia="en-NZ"/>
        </w:rPr>
        <w:t xml:space="preserve"> </w:t>
      </w:r>
      <w:r w:rsidRPr="00CA2668">
        <w:rPr>
          <w:lang w:eastAsia="en-NZ"/>
        </w:rPr>
        <w:lastRenderedPageBreak/>
        <w:t>debriefing</w:t>
      </w:r>
      <w:r>
        <w:rPr>
          <w:lang w:eastAsia="en-NZ"/>
        </w:rPr>
        <w:t xml:space="preserve"> </w:t>
      </w:r>
      <w:r w:rsidRPr="00CA2668">
        <w:rPr>
          <w:lang w:eastAsia="en-NZ"/>
        </w:rPr>
        <w:t>following</w:t>
      </w:r>
      <w:r>
        <w:rPr>
          <w:lang w:eastAsia="en-NZ"/>
        </w:rPr>
        <w:t xml:space="preserve"> </w:t>
      </w:r>
      <w:r w:rsidRPr="00CA2668">
        <w:rPr>
          <w:lang w:eastAsia="en-NZ"/>
        </w:rPr>
        <w:t>a</w:t>
      </w:r>
      <w:r>
        <w:rPr>
          <w:lang w:eastAsia="en-NZ"/>
        </w:rPr>
        <w:t xml:space="preserve"> seclusion or </w:t>
      </w:r>
      <w:r w:rsidRPr="00CA2668">
        <w:rPr>
          <w:lang w:eastAsia="en-NZ"/>
        </w:rPr>
        <w:t>restraint</w:t>
      </w:r>
      <w:r>
        <w:rPr>
          <w:lang w:eastAsia="en-NZ"/>
        </w:rPr>
        <w:t xml:space="preserve"> </w:t>
      </w:r>
      <w:r w:rsidRPr="00CA2668">
        <w:rPr>
          <w:lang w:eastAsia="en-NZ"/>
        </w:rPr>
        <w:t>event,</w:t>
      </w:r>
      <w:r>
        <w:rPr>
          <w:lang w:eastAsia="en-NZ"/>
        </w:rPr>
        <w:t xml:space="preserve"> </w:t>
      </w:r>
      <w:r w:rsidRPr="00CA2668">
        <w:rPr>
          <w:lang w:eastAsia="en-NZ"/>
        </w:rPr>
        <w:t>compared</w:t>
      </w:r>
      <w:r>
        <w:rPr>
          <w:lang w:eastAsia="en-NZ"/>
        </w:rPr>
        <w:t xml:space="preserve"> </w:t>
      </w:r>
      <w:r w:rsidRPr="00CA2668">
        <w:rPr>
          <w:lang w:eastAsia="en-NZ"/>
        </w:rPr>
        <w:t>with</w:t>
      </w:r>
      <w:r>
        <w:rPr>
          <w:lang w:eastAsia="en-NZ"/>
        </w:rPr>
        <w:t xml:space="preserve"> </w:t>
      </w:r>
      <w:r w:rsidRPr="00CA2668">
        <w:rPr>
          <w:lang w:eastAsia="en-NZ"/>
        </w:rPr>
        <w:t>the</w:t>
      </w:r>
      <w:r>
        <w:rPr>
          <w:lang w:eastAsia="en-NZ"/>
        </w:rPr>
        <w:t xml:space="preserve"> </w:t>
      </w:r>
      <w:r w:rsidRPr="00CA2668">
        <w:rPr>
          <w:lang w:eastAsia="en-NZ"/>
        </w:rPr>
        <w:t>previous</w:t>
      </w:r>
      <w:r>
        <w:rPr>
          <w:lang w:eastAsia="en-NZ"/>
        </w:rPr>
        <w:t xml:space="preserve"> </w:t>
      </w:r>
      <w:r w:rsidRPr="00CA2668">
        <w:rPr>
          <w:lang w:eastAsia="en-NZ"/>
        </w:rPr>
        <w:t>set</w:t>
      </w:r>
      <w:r>
        <w:rPr>
          <w:lang w:eastAsia="en-NZ"/>
        </w:rPr>
        <w:t xml:space="preserve"> </w:t>
      </w:r>
      <w:r w:rsidRPr="00CA2668">
        <w:rPr>
          <w:lang w:eastAsia="en-NZ"/>
        </w:rPr>
        <w:t>of</w:t>
      </w:r>
      <w:r>
        <w:rPr>
          <w:lang w:eastAsia="en-NZ"/>
        </w:rPr>
        <w:t xml:space="preserve"> </w:t>
      </w:r>
      <w:r w:rsidRPr="00CA2668">
        <w:rPr>
          <w:lang w:eastAsia="en-NZ"/>
        </w:rPr>
        <w:t>health</w:t>
      </w:r>
      <w:r>
        <w:rPr>
          <w:lang w:eastAsia="en-NZ"/>
        </w:rPr>
        <w:t xml:space="preserve"> </w:t>
      </w:r>
      <w:r w:rsidRPr="00CA2668">
        <w:rPr>
          <w:lang w:eastAsia="en-NZ"/>
        </w:rPr>
        <w:t>and</w:t>
      </w:r>
      <w:r>
        <w:rPr>
          <w:lang w:eastAsia="en-NZ"/>
        </w:rPr>
        <w:t xml:space="preserve"> </w:t>
      </w:r>
      <w:r w:rsidRPr="00CA2668">
        <w:rPr>
          <w:lang w:eastAsia="en-NZ"/>
        </w:rPr>
        <w:t>disability</w:t>
      </w:r>
      <w:r>
        <w:rPr>
          <w:lang w:eastAsia="en-NZ"/>
        </w:rPr>
        <w:t xml:space="preserve"> </w:t>
      </w:r>
      <w:r w:rsidRPr="00CA2668">
        <w:rPr>
          <w:lang w:eastAsia="en-NZ"/>
        </w:rPr>
        <w:t>standards.</w:t>
      </w:r>
      <w:r>
        <w:rPr>
          <w:lang w:eastAsia="en-NZ"/>
        </w:rPr>
        <w:t xml:space="preserve"> </w:t>
      </w:r>
    </w:p>
    <w:p w14:paraId="290B6B2D" w14:textId="77777777" w:rsidR="0023476E" w:rsidRPr="00CA2668" w:rsidRDefault="0023476E" w:rsidP="00B7548E">
      <w:pPr>
        <w:rPr>
          <w:lang w:eastAsia="en-NZ"/>
        </w:rPr>
      </w:pPr>
    </w:p>
    <w:p w14:paraId="542F431F" w14:textId="702D8042" w:rsidR="00B0292E" w:rsidRDefault="00B0292E" w:rsidP="00B7548E">
      <w:pPr>
        <w:rPr>
          <w:lang w:eastAsia="en-NZ"/>
        </w:rPr>
      </w:pPr>
      <w:r w:rsidRPr="00CA2668">
        <w:rPr>
          <w:lang w:eastAsia="en-NZ"/>
        </w:rPr>
        <w:t>The</w:t>
      </w:r>
      <w:r>
        <w:rPr>
          <w:lang w:eastAsia="en-NZ"/>
        </w:rPr>
        <w:t xml:space="preserve"> </w:t>
      </w:r>
      <w:r w:rsidRPr="00CA2668">
        <w:rPr>
          <w:lang w:eastAsia="en-NZ"/>
        </w:rPr>
        <w:t>intention</w:t>
      </w:r>
      <w:r>
        <w:rPr>
          <w:lang w:eastAsia="en-NZ"/>
        </w:rPr>
        <w:t xml:space="preserve"> </w:t>
      </w:r>
      <w:r w:rsidRPr="00CA2668">
        <w:rPr>
          <w:lang w:eastAsia="en-NZ"/>
        </w:rPr>
        <w:t>of</w:t>
      </w:r>
      <w:r>
        <w:rPr>
          <w:lang w:eastAsia="en-NZ"/>
        </w:rPr>
        <w:t xml:space="preserve"> </w:t>
      </w:r>
      <w:r w:rsidRPr="00CA2668">
        <w:rPr>
          <w:lang w:eastAsia="en-NZ"/>
        </w:rPr>
        <w:t>these</w:t>
      </w:r>
      <w:r>
        <w:rPr>
          <w:lang w:eastAsia="en-NZ"/>
        </w:rPr>
        <w:t xml:space="preserve"> </w:t>
      </w:r>
      <w:r w:rsidRPr="00CA2668">
        <w:rPr>
          <w:lang w:eastAsia="en-NZ"/>
        </w:rPr>
        <w:t>guidelines</w:t>
      </w:r>
      <w:r>
        <w:rPr>
          <w:lang w:eastAsia="en-NZ"/>
        </w:rPr>
        <w:t xml:space="preserve"> </w:t>
      </w:r>
      <w:r w:rsidRPr="00CA2668">
        <w:rPr>
          <w:lang w:eastAsia="en-NZ"/>
        </w:rPr>
        <w:t>is</w:t>
      </w:r>
      <w:r>
        <w:rPr>
          <w:lang w:eastAsia="en-NZ"/>
        </w:rPr>
        <w:t xml:space="preserve"> </w:t>
      </w:r>
      <w:r w:rsidRPr="00CA2668">
        <w:rPr>
          <w:lang w:eastAsia="en-NZ"/>
        </w:rPr>
        <w:t>to</w:t>
      </w:r>
      <w:r>
        <w:rPr>
          <w:lang w:eastAsia="en-NZ"/>
        </w:rPr>
        <w:t xml:space="preserve"> </w:t>
      </w:r>
      <w:r w:rsidRPr="00CA2668">
        <w:rPr>
          <w:lang w:eastAsia="en-NZ"/>
        </w:rPr>
        <w:t>help</w:t>
      </w:r>
      <w:r>
        <w:rPr>
          <w:lang w:eastAsia="en-NZ"/>
        </w:rPr>
        <w:t xml:space="preserve"> inpatient mental health </w:t>
      </w:r>
      <w:r w:rsidRPr="00CA2668">
        <w:rPr>
          <w:lang w:eastAsia="en-NZ"/>
        </w:rPr>
        <w:t>services</w:t>
      </w:r>
      <w:r>
        <w:rPr>
          <w:lang w:eastAsia="en-NZ"/>
        </w:rPr>
        <w:t xml:space="preserve"> </w:t>
      </w:r>
      <w:r w:rsidRPr="00CA2668">
        <w:rPr>
          <w:lang w:eastAsia="en-NZ"/>
        </w:rPr>
        <w:t>meet</w:t>
      </w:r>
      <w:r>
        <w:rPr>
          <w:lang w:eastAsia="en-NZ"/>
        </w:rPr>
        <w:t xml:space="preserve"> </w:t>
      </w:r>
      <w:r w:rsidRPr="00CA2668">
        <w:rPr>
          <w:lang w:eastAsia="en-NZ"/>
        </w:rPr>
        <w:t>the</w:t>
      </w:r>
      <w:r>
        <w:rPr>
          <w:lang w:eastAsia="en-NZ"/>
        </w:rPr>
        <w:t xml:space="preserve"> </w:t>
      </w:r>
      <w:r w:rsidRPr="00CA2668">
        <w:rPr>
          <w:lang w:eastAsia="en-NZ"/>
        </w:rPr>
        <w:t>requirements</w:t>
      </w:r>
      <w:r>
        <w:rPr>
          <w:lang w:eastAsia="en-NZ"/>
        </w:rPr>
        <w:t xml:space="preserve"> </w:t>
      </w:r>
      <w:r w:rsidRPr="00CA2668">
        <w:rPr>
          <w:lang w:eastAsia="en-NZ"/>
        </w:rPr>
        <w:t>of</w:t>
      </w:r>
      <w:r>
        <w:rPr>
          <w:lang w:eastAsia="en-NZ"/>
        </w:rPr>
        <w:t xml:space="preserve"> </w:t>
      </w:r>
      <w:r w:rsidRPr="00CA2668">
        <w:rPr>
          <w:lang w:eastAsia="en-NZ"/>
        </w:rPr>
        <w:t>Ngā</w:t>
      </w:r>
      <w:r>
        <w:rPr>
          <w:lang w:eastAsia="en-NZ"/>
        </w:rPr>
        <w:t xml:space="preserve"> </w:t>
      </w:r>
      <w:r w:rsidRPr="00CA2668">
        <w:rPr>
          <w:lang w:eastAsia="en-NZ"/>
        </w:rPr>
        <w:t>Paerewa</w:t>
      </w:r>
      <w:r>
        <w:rPr>
          <w:lang w:eastAsia="en-NZ"/>
        </w:rPr>
        <w:t xml:space="preserve"> </w:t>
      </w:r>
      <w:r w:rsidRPr="00CA2668">
        <w:rPr>
          <w:lang w:eastAsia="en-NZ"/>
        </w:rPr>
        <w:t>set</w:t>
      </w:r>
      <w:r>
        <w:rPr>
          <w:lang w:eastAsia="en-NZ"/>
        </w:rPr>
        <w:t xml:space="preserve"> </w:t>
      </w:r>
      <w:r w:rsidRPr="00CA2668">
        <w:rPr>
          <w:lang w:eastAsia="en-NZ"/>
        </w:rPr>
        <w:t>out</w:t>
      </w:r>
      <w:r>
        <w:rPr>
          <w:lang w:eastAsia="en-NZ"/>
        </w:rPr>
        <w:t xml:space="preserve"> </w:t>
      </w:r>
      <w:r w:rsidRPr="00CA2668">
        <w:rPr>
          <w:lang w:eastAsia="en-NZ"/>
        </w:rPr>
        <w:t>in</w:t>
      </w:r>
      <w:r>
        <w:rPr>
          <w:lang w:eastAsia="en-NZ"/>
        </w:rPr>
        <w:t xml:space="preserve"> </w:t>
      </w:r>
      <w:r w:rsidRPr="00CA2668">
        <w:rPr>
          <w:lang w:eastAsia="en-NZ"/>
        </w:rPr>
        <w:t>Outcome</w:t>
      </w:r>
      <w:r>
        <w:rPr>
          <w:lang w:eastAsia="en-NZ"/>
        </w:rPr>
        <w:t xml:space="preserve"> </w:t>
      </w:r>
      <w:r w:rsidRPr="00CA2668">
        <w:rPr>
          <w:lang w:eastAsia="en-NZ"/>
        </w:rPr>
        <w:t>6.</w:t>
      </w:r>
      <w:r>
        <w:rPr>
          <w:lang w:eastAsia="en-NZ"/>
        </w:rPr>
        <w:t xml:space="preserve"> </w:t>
      </w:r>
      <w:r w:rsidRPr="00CA2668">
        <w:rPr>
          <w:lang w:eastAsia="en-NZ"/>
        </w:rPr>
        <w:t>Ngā</w:t>
      </w:r>
      <w:r>
        <w:rPr>
          <w:lang w:eastAsia="en-NZ"/>
        </w:rPr>
        <w:t xml:space="preserve"> </w:t>
      </w:r>
      <w:r w:rsidRPr="00CA2668">
        <w:rPr>
          <w:lang w:eastAsia="en-NZ"/>
        </w:rPr>
        <w:t>Paerewa</w:t>
      </w:r>
      <w:r>
        <w:rPr>
          <w:lang w:eastAsia="en-NZ"/>
        </w:rPr>
        <w:t xml:space="preserve"> ‘should be </w:t>
      </w:r>
      <w:r w:rsidRPr="00CA2668">
        <w:rPr>
          <w:lang w:eastAsia="en-NZ"/>
        </w:rPr>
        <w:t>interpreted</w:t>
      </w:r>
      <w:r>
        <w:rPr>
          <w:lang w:eastAsia="en-NZ"/>
        </w:rPr>
        <w:t xml:space="preserve"> </w:t>
      </w:r>
      <w:r w:rsidRPr="00CA2668">
        <w:rPr>
          <w:lang w:eastAsia="en-NZ"/>
        </w:rPr>
        <w:t>in</w:t>
      </w:r>
      <w:r>
        <w:rPr>
          <w:lang w:eastAsia="en-NZ"/>
        </w:rPr>
        <w:t xml:space="preserve"> </w:t>
      </w:r>
      <w:r w:rsidRPr="00CA2668">
        <w:rPr>
          <w:lang w:eastAsia="en-NZ"/>
        </w:rPr>
        <w:t>a</w:t>
      </w:r>
      <w:r>
        <w:rPr>
          <w:lang w:eastAsia="en-NZ"/>
        </w:rPr>
        <w:t xml:space="preserve"> </w:t>
      </w:r>
      <w:r w:rsidRPr="00CA2668">
        <w:rPr>
          <w:lang w:eastAsia="en-NZ"/>
        </w:rPr>
        <w:t>ma</w:t>
      </w:r>
      <w:r>
        <w:rPr>
          <w:lang w:eastAsia="en-NZ"/>
        </w:rPr>
        <w:t>nn</w:t>
      </w:r>
      <w:r w:rsidRPr="00CA2668">
        <w:rPr>
          <w:lang w:eastAsia="en-NZ"/>
        </w:rPr>
        <w:t>er</w:t>
      </w:r>
      <w:r>
        <w:rPr>
          <w:lang w:eastAsia="en-NZ"/>
        </w:rPr>
        <w:t xml:space="preserve"> </w:t>
      </w:r>
      <w:r w:rsidRPr="00CA2668">
        <w:rPr>
          <w:lang w:eastAsia="en-NZ"/>
        </w:rPr>
        <w:t>that</w:t>
      </w:r>
      <w:r>
        <w:rPr>
          <w:lang w:eastAsia="en-NZ"/>
        </w:rPr>
        <w:t xml:space="preserve"> </w:t>
      </w:r>
      <w:r w:rsidRPr="00CA2668">
        <w:rPr>
          <w:lang w:eastAsia="en-NZ"/>
        </w:rPr>
        <w:t>is</w:t>
      </w:r>
      <w:r>
        <w:rPr>
          <w:lang w:eastAsia="en-NZ"/>
        </w:rPr>
        <w:t xml:space="preserve"> </w:t>
      </w:r>
      <w:r w:rsidRPr="00CA2668">
        <w:rPr>
          <w:lang w:eastAsia="en-NZ"/>
        </w:rPr>
        <w:t>consistent</w:t>
      </w:r>
      <w:r>
        <w:rPr>
          <w:lang w:eastAsia="en-NZ"/>
        </w:rPr>
        <w:t xml:space="preserve"> </w:t>
      </w:r>
      <w:r w:rsidRPr="00CA2668">
        <w:rPr>
          <w:lang w:eastAsia="en-NZ"/>
        </w:rPr>
        <w:t>with</w:t>
      </w:r>
      <w:r>
        <w:rPr>
          <w:lang w:eastAsia="en-NZ"/>
        </w:rPr>
        <w:t xml:space="preserve"> </w:t>
      </w:r>
      <w:r w:rsidRPr="00CA2668">
        <w:rPr>
          <w:lang w:eastAsia="en-NZ"/>
        </w:rPr>
        <w:t>Te</w:t>
      </w:r>
      <w:r>
        <w:rPr>
          <w:lang w:eastAsia="en-NZ"/>
        </w:rPr>
        <w:t xml:space="preserve"> </w:t>
      </w:r>
      <w:r w:rsidRPr="00CA2668">
        <w:rPr>
          <w:lang w:eastAsia="en-NZ"/>
        </w:rPr>
        <w:t>Tiriti</w:t>
      </w:r>
      <w:r>
        <w:rPr>
          <w:lang w:eastAsia="en-NZ"/>
        </w:rPr>
        <w:t xml:space="preserve"> </w:t>
      </w:r>
      <w:r w:rsidRPr="00CA2668">
        <w:rPr>
          <w:lang w:eastAsia="en-NZ"/>
        </w:rPr>
        <w:t>obligations</w:t>
      </w:r>
      <w:r>
        <w:rPr>
          <w:lang w:eastAsia="en-NZ"/>
        </w:rPr>
        <w:t xml:space="preserve">, </w:t>
      </w:r>
      <w:r w:rsidRPr="00CA2668">
        <w:rPr>
          <w:lang w:eastAsia="en-NZ"/>
        </w:rPr>
        <w:t>people’s</w:t>
      </w:r>
      <w:r>
        <w:rPr>
          <w:lang w:eastAsia="en-NZ"/>
        </w:rPr>
        <w:t xml:space="preserve"> </w:t>
      </w:r>
      <w:r w:rsidRPr="00CA2668">
        <w:rPr>
          <w:lang w:eastAsia="en-NZ"/>
        </w:rPr>
        <w:t>rights</w:t>
      </w:r>
      <w:r>
        <w:rPr>
          <w:lang w:eastAsia="en-NZ"/>
        </w:rPr>
        <w:t xml:space="preserve"> </w:t>
      </w:r>
      <w:r w:rsidRPr="00CA2668">
        <w:rPr>
          <w:lang w:eastAsia="en-NZ"/>
        </w:rPr>
        <w:t>and</w:t>
      </w:r>
      <w:r>
        <w:rPr>
          <w:lang w:eastAsia="en-NZ"/>
        </w:rPr>
        <w:t xml:space="preserve"> </w:t>
      </w:r>
      <w:r w:rsidRPr="00CA2668">
        <w:rPr>
          <w:lang w:eastAsia="en-NZ"/>
        </w:rPr>
        <w:t>service</w:t>
      </w:r>
      <w:r>
        <w:rPr>
          <w:lang w:eastAsia="en-NZ"/>
        </w:rPr>
        <w:t xml:space="preserve"> </w:t>
      </w:r>
      <w:r w:rsidRPr="00CA2668">
        <w:rPr>
          <w:lang w:eastAsia="en-NZ"/>
        </w:rPr>
        <w:t>provider</w:t>
      </w:r>
      <w:r>
        <w:rPr>
          <w:lang w:eastAsia="en-NZ"/>
        </w:rPr>
        <w:t xml:space="preserve"> </w:t>
      </w:r>
      <w:r w:rsidRPr="00CA2668">
        <w:rPr>
          <w:lang w:eastAsia="en-NZ"/>
        </w:rPr>
        <w:t>obligations</w:t>
      </w:r>
      <w:r>
        <w:rPr>
          <w:lang w:eastAsia="en-NZ"/>
        </w:rPr>
        <w:t xml:space="preserve"> </w:t>
      </w:r>
      <w:r w:rsidRPr="00CA2668">
        <w:rPr>
          <w:lang w:eastAsia="en-NZ"/>
        </w:rPr>
        <w:t>under</w:t>
      </w:r>
      <w:r>
        <w:rPr>
          <w:lang w:eastAsia="en-NZ"/>
        </w:rPr>
        <w:t xml:space="preserve"> </w:t>
      </w:r>
      <w:r w:rsidRPr="00CA2668">
        <w:rPr>
          <w:lang w:eastAsia="en-NZ"/>
        </w:rPr>
        <w:t>the</w:t>
      </w:r>
      <w:r>
        <w:rPr>
          <w:lang w:eastAsia="en-NZ"/>
        </w:rPr>
        <w:t xml:space="preserve"> </w:t>
      </w:r>
      <w:r w:rsidRPr="00CA2668">
        <w:rPr>
          <w:lang w:eastAsia="en-NZ"/>
        </w:rPr>
        <w:t>Code</w:t>
      </w:r>
      <w:r>
        <w:rPr>
          <w:lang w:eastAsia="en-NZ"/>
        </w:rPr>
        <w:t xml:space="preserve"> </w:t>
      </w:r>
      <w:r w:rsidRPr="00CA2668">
        <w:rPr>
          <w:lang w:eastAsia="en-NZ"/>
        </w:rPr>
        <w:t>of</w:t>
      </w:r>
      <w:r>
        <w:rPr>
          <w:lang w:eastAsia="en-NZ"/>
        </w:rPr>
        <w:t xml:space="preserve"> </w:t>
      </w:r>
      <w:r w:rsidRPr="00CA2668">
        <w:rPr>
          <w:lang w:eastAsia="en-NZ"/>
        </w:rPr>
        <w:t>Health</w:t>
      </w:r>
      <w:r>
        <w:rPr>
          <w:lang w:eastAsia="en-NZ"/>
        </w:rPr>
        <w:t xml:space="preserve"> </w:t>
      </w:r>
      <w:r w:rsidRPr="00CA2668">
        <w:rPr>
          <w:lang w:eastAsia="en-NZ"/>
        </w:rPr>
        <w:t>and</w:t>
      </w:r>
      <w:r>
        <w:rPr>
          <w:lang w:eastAsia="en-NZ"/>
        </w:rPr>
        <w:t xml:space="preserve"> </w:t>
      </w:r>
      <w:r w:rsidRPr="00CA2668">
        <w:rPr>
          <w:lang w:eastAsia="en-NZ"/>
        </w:rPr>
        <w:t>Disability</w:t>
      </w:r>
      <w:r>
        <w:rPr>
          <w:lang w:eastAsia="en-NZ"/>
        </w:rPr>
        <w:t xml:space="preserve"> </w:t>
      </w:r>
      <w:r w:rsidRPr="00CA2668">
        <w:rPr>
          <w:lang w:eastAsia="en-NZ"/>
        </w:rPr>
        <w:t>Services</w:t>
      </w:r>
      <w:r>
        <w:rPr>
          <w:lang w:eastAsia="en-NZ"/>
        </w:rPr>
        <w:t xml:space="preserve"> </w:t>
      </w:r>
      <w:r w:rsidRPr="00CA2668">
        <w:rPr>
          <w:lang w:eastAsia="en-NZ"/>
        </w:rPr>
        <w:t>Consumers’</w:t>
      </w:r>
      <w:r>
        <w:rPr>
          <w:lang w:eastAsia="en-NZ"/>
        </w:rPr>
        <w:t xml:space="preserve"> </w:t>
      </w:r>
      <w:r w:rsidRPr="00CA2668">
        <w:rPr>
          <w:lang w:eastAsia="en-NZ"/>
        </w:rPr>
        <w:t>Rights</w:t>
      </w:r>
      <w:r>
        <w:rPr>
          <w:lang w:eastAsia="en-NZ"/>
        </w:rPr>
        <w:t xml:space="preserve">’ </w:t>
      </w:r>
      <w:r w:rsidRPr="00CA2668">
        <w:rPr>
          <w:lang w:eastAsia="en-NZ"/>
        </w:rPr>
        <w:t>(</w:t>
      </w:r>
      <w:bookmarkStart w:id="93" w:name="_Hlk130979777"/>
      <w:r w:rsidRPr="00CA2668">
        <w:rPr>
          <w:lang w:eastAsia="en-NZ"/>
        </w:rPr>
        <w:t>Ngā</w:t>
      </w:r>
      <w:r>
        <w:rPr>
          <w:lang w:eastAsia="en-NZ"/>
        </w:rPr>
        <w:t xml:space="preserve"> </w:t>
      </w:r>
      <w:r w:rsidRPr="00CA2668">
        <w:rPr>
          <w:lang w:eastAsia="en-NZ"/>
        </w:rPr>
        <w:t>Paerewa,</w:t>
      </w:r>
      <w:r>
        <w:rPr>
          <w:lang w:eastAsia="en-NZ"/>
        </w:rPr>
        <w:t xml:space="preserve"> </w:t>
      </w:r>
      <w:r w:rsidRPr="00CA2668">
        <w:rPr>
          <w:lang w:eastAsia="en-NZ"/>
        </w:rPr>
        <w:t>0.1.2</w:t>
      </w:r>
      <w:r>
        <w:rPr>
          <w:lang w:eastAsia="en-NZ"/>
        </w:rPr>
        <w:t xml:space="preserve"> </w:t>
      </w:r>
      <w:r w:rsidRPr="00CA2668">
        <w:rPr>
          <w:lang w:eastAsia="en-NZ"/>
        </w:rPr>
        <w:t>Application)</w:t>
      </w:r>
      <w:bookmarkEnd w:id="93"/>
      <w:r w:rsidRPr="00CA2668">
        <w:rPr>
          <w:lang w:eastAsia="en-NZ"/>
        </w:rPr>
        <w:t>.</w:t>
      </w:r>
      <w:r>
        <w:rPr>
          <w:lang w:eastAsia="en-NZ"/>
        </w:rPr>
        <w:t xml:space="preserve"> </w:t>
      </w:r>
    </w:p>
    <w:p w14:paraId="1C9E5964" w14:textId="01D81D16" w:rsidR="0023476E" w:rsidRDefault="0023476E" w:rsidP="00B7548E">
      <w:pPr>
        <w:rPr>
          <w:lang w:eastAsia="en-NZ"/>
        </w:rPr>
      </w:pPr>
    </w:p>
    <w:p w14:paraId="37C0C337" w14:textId="337ACF30" w:rsidR="0023476E" w:rsidRDefault="0023476E" w:rsidP="00B7548E">
      <w:pPr>
        <w:rPr>
          <w:rFonts w:cs="Segoe UI"/>
        </w:rPr>
      </w:pPr>
      <w:r w:rsidRPr="004A7471">
        <w:rPr>
          <w:rFonts w:cs="Segoe UI"/>
        </w:rPr>
        <w:t>The</w:t>
      </w:r>
      <w:r>
        <w:rPr>
          <w:rFonts w:cs="Segoe UI"/>
        </w:rPr>
        <w:t xml:space="preserve"> </w:t>
      </w:r>
      <w:r w:rsidRPr="004A7471">
        <w:rPr>
          <w:rFonts w:cs="Segoe UI"/>
        </w:rPr>
        <w:t>outcome</w:t>
      </w:r>
      <w:r>
        <w:rPr>
          <w:rFonts w:cs="Segoe UI"/>
        </w:rPr>
        <w:t xml:space="preserve"> </w:t>
      </w:r>
      <w:r w:rsidRPr="004A7471">
        <w:rPr>
          <w:rFonts w:cs="Segoe UI"/>
        </w:rPr>
        <w:t>statements</w:t>
      </w:r>
      <w:r>
        <w:rPr>
          <w:rFonts w:cs="Segoe UI"/>
        </w:rPr>
        <w:t xml:space="preserve"> </w:t>
      </w:r>
      <w:r w:rsidRPr="004A7471">
        <w:rPr>
          <w:rFonts w:cs="Segoe UI"/>
        </w:rPr>
        <w:t>of</w:t>
      </w:r>
      <w:r>
        <w:rPr>
          <w:rFonts w:cs="Segoe UI"/>
        </w:rPr>
        <w:t xml:space="preserve"> </w:t>
      </w:r>
      <w:r w:rsidRPr="004A7471">
        <w:rPr>
          <w:rFonts w:cs="Segoe UI"/>
        </w:rPr>
        <w:t>Ngā</w:t>
      </w:r>
      <w:r>
        <w:rPr>
          <w:rFonts w:cs="Segoe UI"/>
        </w:rPr>
        <w:t xml:space="preserve"> P</w:t>
      </w:r>
      <w:r w:rsidRPr="004A7471">
        <w:rPr>
          <w:rFonts w:cs="Segoe UI"/>
        </w:rPr>
        <w:t>aerewa</w:t>
      </w:r>
      <w:r>
        <w:rPr>
          <w:rFonts w:cs="Segoe UI"/>
        </w:rPr>
        <w:t xml:space="preserve"> s</w:t>
      </w:r>
      <w:r w:rsidRPr="004A7471">
        <w:rPr>
          <w:rFonts w:cs="Segoe UI"/>
        </w:rPr>
        <w:t>ection</w:t>
      </w:r>
      <w:r>
        <w:rPr>
          <w:rFonts w:cs="Segoe UI"/>
        </w:rPr>
        <w:t xml:space="preserve"> </w:t>
      </w:r>
      <w:r w:rsidRPr="004A7471">
        <w:rPr>
          <w:rFonts w:cs="Segoe UI"/>
        </w:rPr>
        <w:t>6</w:t>
      </w:r>
      <w:r>
        <w:rPr>
          <w:rFonts w:cs="Segoe UI"/>
        </w:rPr>
        <w:t xml:space="preserve"> </w:t>
      </w:r>
      <w:r w:rsidRPr="004A7471">
        <w:rPr>
          <w:rFonts w:cs="Segoe UI"/>
        </w:rPr>
        <w:t>are</w:t>
      </w:r>
      <w:r>
        <w:rPr>
          <w:rFonts w:cs="Segoe UI"/>
        </w:rPr>
        <w:t xml:space="preserve"> as follows.</w:t>
      </w:r>
    </w:p>
    <w:p w14:paraId="05B6872C" w14:textId="58F8022D" w:rsidR="00B7548E" w:rsidRDefault="00B7548E" w:rsidP="00B7548E">
      <w:pPr>
        <w:rPr>
          <w:rFonts w:cs="Segoe UI"/>
        </w:rPr>
      </w:pPr>
    </w:p>
    <w:tbl>
      <w:tblPr>
        <w:tblStyle w:val="TableGrid"/>
        <w:tblW w:w="0" w:type="auto"/>
        <w:tblInd w:w="0" w:type="dxa"/>
        <w:tblBorders>
          <w:top w:val="single" w:sz="8" w:space="0" w:color="0A6AB4"/>
          <w:left w:val="single" w:sz="8" w:space="0" w:color="0A6AB4"/>
          <w:bottom w:val="single" w:sz="8" w:space="0" w:color="0A6AB4"/>
          <w:right w:val="single" w:sz="8" w:space="0" w:color="0A6AB4"/>
          <w:insideH w:val="single" w:sz="8" w:space="0" w:color="0A6AB4"/>
          <w:insideV w:val="single" w:sz="8" w:space="0" w:color="0A6AB4"/>
        </w:tblBorders>
        <w:tblLook w:val="04A0" w:firstRow="1" w:lastRow="0" w:firstColumn="1" w:lastColumn="0" w:noHBand="0" w:noVBand="1"/>
      </w:tblPr>
      <w:tblGrid>
        <w:gridCol w:w="2689"/>
        <w:gridCol w:w="2689"/>
        <w:gridCol w:w="2690"/>
      </w:tblGrid>
      <w:tr w:rsidR="00B7548E" w14:paraId="79403E2A" w14:textId="77777777" w:rsidTr="00B7548E">
        <w:tc>
          <w:tcPr>
            <w:tcW w:w="2689" w:type="dxa"/>
          </w:tcPr>
          <w:p w14:paraId="5B5F8EFE" w14:textId="77777777" w:rsidR="00B7548E" w:rsidRPr="00B7548E" w:rsidRDefault="00B7548E" w:rsidP="00B7548E">
            <w:pPr>
              <w:spacing w:before="100"/>
              <w:textDirection w:val="btLr"/>
              <w:rPr>
                <w:rFonts w:eastAsia="Quattrocento Sans" w:cs="Segoe UI"/>
                <w:b/>
                <w:color w:val="000000"/>
              </w:rPr>
            </w:pPr>
            <w:r w:rsidRPr="007022F9">
              <w:rPr>
                <w:rFonts w:eastAsia="Quattrocento Sans" w:cs="Segoe UI"/>
                <w:b/>
                <w:color w:val="000000"/>
              </w:rPr>
              <w:t xml:space="preserve">The </w:t>
            </w:r>
            <w:r>
              <w:rPr>
                <w:rFonts w:eastAsia="Quattrocento Sans" w:cs="Segoe UI"/>
                <w:b/>
                <w:color w:val="000000"/>
              </w:rPr>
              <w:t>p</w:t>
            </w:r>
            <w:r w:rsidRPr="007022F9">
              <w:rPr>
                <w:rFonts w:eastAsia="Quattrocento Sans" w:cs="Segoe UI"/>
                <w:b/>
                <w:color w:val="000000"/>
              </w:rPr>
              <w:t>eople:</w:t>
            </w:r>
            <w:r w:rsidRPr="00B7548E">
              <w:rPr>
                <w:rFonts w:eastAsia="Quattrocento Sans" w:cs="Segoe UI"/>
                <w:b/>
                <w:color w:val="000000"/>
              </w:rPr>
              <w:t xml:space="preserve"> </w:t>
            </w:r>
          </w:p>
          <w:p w14:paraId="7BFD9E0B" w14:textId="77777777" w:rsidR="00B7548E" w:rsidRPr="00DD58FB" w:rsidRDefault="00B7548E" w:rsidP="00B7548E">
            <w:pPr>
              <w:pStyle w:val="Bullet"/>
            </w:pPr>
            <w:r w:rsidRPr="00DD58FB">
              <w:rPr>
                <w:rFonts w:eastAsia="Quattrocento Sans"/>
              </w:rPr>
              <w:t>I trust the service provider is committed to improving policies, systems and processes to ensure I am free from restrictions</w:t>
            </w:r>
            <w:r>
              <w:rPr>
                <w:rFonts w:eastAsia="Quattrocento Sans"/>
              </w:rPr>
              <w:t>.</w:t>
            </w:r>
          </w:p>
          <w:p w14:paraId="4BA50694" w14:textId="77777777" w:rsidR="00B7548E" w:rsidRPr="008176AE" w:rsidRDefault="00B7548E" w:rsidP="00B7548E">
            <w:pPr>
              <w:pStyle w:val="Bullet"/>
            </w:pPr>
            <w:r>
              <w:rPr>
                <w:rFonts w:eastAsia="Quattrocento Sans"/>
              </w:rPr>
              <w:t>I h</w:t>
            </w:r>
            <w:r w:rsidRPr="008176AE">
              <w:rPr>
                <w:rFonts w:eastAsia="Quattrocento Sans"/>
              </w:rPr>
              <w:t xml:space="preserve">ave options that enable </w:t>
            </w:r>
            <w:r>
              <w:rPr>
                <w:rFonts w:eastAsia="Quattrocento Sans"/>
              </w:rPr>
              <w:t>my</w:t>
            </w:r>
            <w:r w:rsidRPr="00E073E0">
              <w:rPr>
                <w:rFonts w:eastAsia="Quattrocento Sans"/>
              </w:rPr>
              <w:t xml:space="preserve"> freedom and ensure </w:t>
            </w:r>
            <w:r>
              <w:rPr>
                <w:rFonts w:eastAsia="Quattrocento Sans"/>
              </w:rPr>
              <w:t>my</w:t>
            </w:r>
            <w:r w:rsidRPr="00E073E0">
              <w:rPr>
                <w:rFonts w:eastAsia="Quattrocento Sans"/>
              </w:rPr>
              <w:t xml:space="preserve"> care and support adapts when </w:t>
            </w:r>
            <w:r>
              <w:rPr>
                <w:rFonts w:eastAsia="Quattrocento Sans"/>
              </w:rPr>
              <w:t xml:space="preserve">my </w:t>
            </w:r>
            <w:r w:rsidRPr="008176AE">
              <w:rPr>
                <w:rFonts w:eastAsia="Quattrocento Sans"/>
              </w:rPr>
              <w:t>need</w:t>
            </w:r>
            <w:r w:rsidRPr="008176AE" w:rsidDel="00CD0B80">
              <w:rPr>
                <w:rFonts w:eastAsia="Quattrocento Sans"/>
              </w:rPr>
              <w:t>s change</w:t>
            </w:r>
            <w:r w:rsidRPr="008176AE">
              <w:rPr>
                <w:rFonts w:eastAsia="Quattrocento Sans"/>
              </w:rPr>
              <w:t>, and</w:t>
            </w:r>
            <w:r>
              <w:rPr>
                <w:rFonts w:eastAsia="Quattrocento Sans"/>
              </w:rPr>
              <w:t xml:space="preserve"> I</w:t>
            </w:r>
            <w:r w:rsidRPr="008176AE">
              <w:rPr>
                <w:rFonts w:eastAsia="Quattrocento Sans"/>
              </w:rPr>
              <w:t xml:space="preserve"> trust that the least restrictive options are used first</w:t>
            </w:r>
            <w:r>
              <w:rPr>
                <w:rFonts w:eastAsia="Quattrocento Sans"/>
              </w:rPr>
              <w:t>.</w:t>
            </w:r>
          </w:p>
          <w:p w14:paraId="14FA3BE7" w14:textId="77777777" w:rsidR="00B7548E" w:rsidRPr="004268BD" w:rsidRDefault="00B7548E" w:rsidP="00B7548E">
            <w:pPr>
              <w:pStyle w:val="Bullet"/>
            </w:pPr>
            <w:r>
              <w:rPr>
                <w:rFonts w:eastAsia="Quattrocento Sans"/>
              </w:rPr>
              <w:t>I f</w:t>
            </w:r>
            <w:r w:rsidRPr="008176AE">
              <w:rPr>
                <w:rFonts w:eastAsia="Quattrocento Sans"/>
              </w:rPr>
              <w:t xml:space="preserve">eel safe to share </w:t>
            </w:r>
            <w:r>
              <w:rPr>
                <w:rFonts w:eastAsia="Quattrocento Sans"/>
              </w:rPr>
              <w:t>my</w:t>
            </w:r>
            <w:r w:rsidRPr="004268BD">
              <w:rPr>
                <w:rFonts w:eastAsia="Quattrocento Sans"/>
              </w:rPr>
              <w:t xml:space="preserve"> experiences of restraint so they can influence least restrictive practice</w:t>
            </w:r>
            <w:r>
              <w:rPr>
                <w:rFonts w:eastAsia="Quattrocento Sans"/>
              </w:rPr>
              <w:t>.</w:t>
            </w:r>
          </w:p>
          <w:p w14:paraId="5ED8C21E" w14:textId="77777777" w:rsidR="00B7548E" w:rsidRPr="004268BD" w:rsidRDefault="00B7548E" w:rsidP="00B7548E">
            <w:pPr>
              <w:pStyle w:val="Bullet"/>
            </w:pPr>
            <w:r>
              <w:rPr>
                <w:rFonts w:eastAsia="Quattrocento Sans"/>
              </w:rPr>
              <w:t>I t</w:t>
            </w:r>
            <w:r w:rsidRPr="004268BD">
              <w:rPr>
                <w:rFonts w:eastAsia="Quattrocento Sans"/>
              </w:rPr>
              <w:t xml:space="preserve">rust that service providers do all that they can to enable health care and support workers to explore all other options so that </w:t>
            </w:r>
            <w:r>
              <w:rPr>
                <w:rFonts w:eastAsia="Quattrocento Sans"/>
              </w:rPr>
              <w:t>I am</w:t>
            </w:r>
            <w:r w:rsidRPr="004268BD">
              <w:rPr>
                <w:rFonts w:eastAsia="Quattrocento Sans"/>
              </w:rPr>
              <w:t xml:space="preserve"> not secluded</w:t>
            </w:r>
            <w:r>
              <w:rPr>
                <w:rFonts w:eastAsia="Quattrocento Sans"/>
              </w:rPr>
              <w:t>.</w:t>
            </w:r>
          </w:p>
          <w:p w14:paraId="437D37FA" w14:textId="77777777" w:rsidR="00B7548E" w:rsidRDefault="00B7548E" w:rsidP="00B7548E">
            <w:pPr>
              <w:rPr>
                <w:rFonts w:cs="Segoe UI"/>
              </w:rPr>
            </w:pPr>
          </w:p>
        </w:tc>
        <w:tc>
          <w:tcPr>
            <w:tcW w:w="2689" w:type="dxa"/>
          </w:tcPr>
          <w:p w14:paraId="4107A982" w14:textId="77777777" w:rsidR="00B7548E" w:rsidRDefault="00B7548E" w:rsidP="00B7548E">
            <w:pPr>
              <w:spacing w:before="100"/>
              <w:textDirection w:val="btLr"/>
              <w:rPr>
                <w:rFonts w:eastAsia="Quattrocento Sans" w:cs="Segoe UI"/>
                <w:color w:val="000000"/>
              </w:rPr>
            </w:pPr>
            <w:r w:rsidRPr="007022F9">
              <w:rPr>
                <w:rFonts w:eastAsia="Quattrocento Sans" w:cs="Segoe UI"/>
                <w:b/>
                <w:color w:val="000000"/>
              </w:rPr>
              <w:t>Te Tiriti:</w:t>
            </w:r>
            <w:r>
              <w:rPr>
                <w:rFonts w:eastAsia="Quattrocento Sans" w:cs="Segoe UI"/>
                <w:color w:val="000000"/>
              </w:rPr>
              <w:t xml:space="preserve"> </w:t>
            </w:r>
          </w:p>
          <w:p w14:paraId="5DFEB0C6" w14:textId="77777777" w:rsidR="00B7548E" w:rsidRPr="004268BD" w:rsidRDefault="00B7548E" w:rsidP="00B7548E">
            <w:pPr>
              <w:pStyle w:val="Bullet"/>
              <w:rPr>
                <w:rFonts w:eastAsia="Quattrocento Sans"/>
              </w:rPr>
            </w:pPr>
            <w:r>
              <w:rPr>
                <w:rFonts w:eastAsia="Quattrocento Sans"/>
              </w:rPr>
              <w:t>S</w:t>
            </w:r>
            <w:r w:rsidRPr="004268BD">
              <w:rPr>
                <w:rFonts w:eastAsia="Quattrocento Sans"/>
              </w:rPr>
              <w:t>ervice providers work in partnership with Māori to ensure services are mana enhancing and use least restrictive practices</w:t>
            </w:r>
            <w:r>
              <w:rPr>
                <w:rFonts w:eastAsia="Quattrocento Sans"/>
              </w:rPr>
              <w:t>.</w:t>
            </w:r>
          </w:p>
          <w:p w14:paraId="0ED07FE3" w14:textId="77777777" w:rsidR="00B7548E" w:rsidRPr="004268BD" w:rsidRDefault="00B7548E" w:rsidP="00B7548E">
            <w:pPr>
              <w:pStyle w:val="Bullet"/>
              <w:rPr>
                <w:rFonts w:eastAsia="Quattrocento Sans"/>
              </w:rPr>
            </w:pPr>
            <w:r>
              <w:rPr>
                <w:rFonts w:eastAsia="Quattrocento Sans"/>
              </w:rPr>
              <w:t>S</w:t>
            </w:r>
            <w:r w:rsidRPr="004268BD">
              <w:rPr>
                <w:rFonts w:eastAsia="Quattrocento Sans"/>
              </w:rPr>
              <w:t>ervice providers work in partnership with Māori to ensure that any form of restraint is always the last resort</w:t>
            </w:r>
            <w:r>
              <w:rPr>
                <w:rFonts w:eastAsia="Quattrocento Sans"/>
              </w:rPr>
              <w:t>.</w:t>
            </w:r>
          </w:p>
          <w:p w14:paraId="6FC6E6C7" w14:textId="77777777" w:rsidR="00B7548E" w:rsidRPr="004268BD" w:rsidRDefault="00B7548E" w:rsidP="00B7548E">
            <w:pPr>
              <w:pStyle w:val="Bullet"/>
              <w:rPr>
                <w:rFonts w:eastAsia="Quattrocento Sans"/>
              </w:rPr>
            </w:pPr>
            <w:r>
              <w:rPr>
                <w:rFonts w:eastAsia="Quattrocento Sans"/>
              </w:rPr>
              <w:t>M</w:t>
            </w:r>
            <w:r w:rsidRPr="004268BD">
              <w:rPr>
                <w:rFonts w:eastAsia="Quattrocento Sans"/>
              </w:rPr>
              <w:t>onitoring and quality review focus on a commitment to reducing inequities in the rate of restrictive practices experienced by Māori and implementing solutions</w:t>
            </w:r>
            <w:r>
              <w:rPr>
                <w:rFonts w:eastAsia="Quattrocento Sans"/>
              </w:rPr>
              <w:t>.</w:t>
            </w:r>
          </w:p>
          <w:p w14:paraId="35D95BB2" w14:textId="3C904CCA" w:rsidR="00B7548E" w:rsidRDefault="00B7548E" w:rsidP="00B7548E">
            <w:pPr>
              <w:pStyle w:val="Bullet"/>
            </w:pPr>
            <w:r>
              <w:rPr>
                <w:rFonts w:eastAsia="Quattrocento Sans"/>
              </w:rPr>
              <w:t>S</w:t>
            </w:r>
            <w:r w:rsidRPr="004268BD">
              <w:rPr>
                <w:rFonts w:eastAsia="Quattrocento Sans"/>
              </w:rPr>
              <w:t>ervice providers take a person</w:t>
            </w:r>
            <w:r>
              <w:rPr>
                <w:rFonts w:eastAsia="Quattrocento Sans"/>
              </w:rPr>
              <w:t>-</w:t>
            </w:r>
            <w:r w:rsidRPr="004268BD">
              <w:rPr>
                <w:rFonts w:eastAsia="Quattrocento Sans"/>
              </w:rPr>
              <w:t xml:space="preserve"> and wh</w:t>
            </w:r>
            <w:r w:rsidRPr="004268BD">
              <w:rPr>
                <w:lang w:eastAsia="en-NZ"/>
              </w:rPr>
              <w:t>ā</w:t>
            </w:r>
            <w:r w:rsidRPr="004268BD">
              <w:rPr>
                <w:rFonts w:eastAsia="Quattrocento Sans"/>
              </w:rPr>
              <w:t>nau</w:t>
            </w:r>
            <w:r>
              <w:rPr>
                <w:rFonts w:eastAsia="Quattrocento Sans"/>
              </w:rPr>
              <w:t>-</w:t>
            </w:r>
            <w:r w:rsidRPr="004268BD">
              <w:rPr>
                <w:rFonts w:eastAsia="Quattrocento Sans"/>
              </w:rPr>
              <w:t>centred approach, to ensure there is no seclusion</w:t>
            </w:r>
          </w:p>
        </w:tc>
        <w:tc>
          <w:tcPr>
            <w:tcW w:w="2690" w:type="dxa"/>
          </w:tcPr>
          <w:p w14:paraId="0AA625AA" w14:textId="77777777" w:rsidR="00B7548E" w:rsidRPr="004268BD" w:rsidRDefault="00B7548E" w:rsidP="00B7548E">
            <w:pPr>
              <w:spacing w:before="100"/>
              <w:textDirection w:val="btLr"/>
              <w:rPr>
                <w:rFonts w:eastAsia="Quattrocento Sans" w:cs="Segoe UI"/>
                <w:color w:val="000000"/>
              </w:rPr>
            </w:pPr>
            <w:r w:rsidRPr="004268BD">
              <w:rPr>
                <w:rFonts w:eastAsia="Quattrocento Sans" w:cs="Segoe UI"/>
                <w:b/>
                <w:color w:val="000000"/>
              </w:rPr>
              <w:t xml:space="preserve">Service </w:t>
            </w:r>
            <w:r>
              <w:rPr>
                <w:rFonts w:eastAsia="Quattrocento Sans" w:cs="Segoe UI"/>
                <w:b/>
                <w:color w:val="000000"/>
              </w:rPr>
              <w:t>p</w:t>
            </w:r>
            <w:r w:rsidRPr="004268BD">
              <w:rPr>
                <w:rFonts w:eastAsia="Quattrocento Sans" w:cs="Segoe UI"/>
                <w:b/>
                <w:color w:val="000000"/>
              </w:rPr>
              <w:t>roviders:</w:t>
            </w:r>
            <w:r w:rsidRPr="004268BD">
              <w:rPr>
                <w:rFonts w:eastAsia="Quattrocento Sans" w:cs="Segoe UI"/>
                <w:color w:val="000000"/>
              </w:rPr>
              <w:t xml:space="preserve"> </w:t>
            </w:r>
          </w:p>
          <w:p w14:paraId="22FFA9ED" w14:textId="77777777" w:rsidR="00B7548E" w:rsidRPr="00A45645" w:rsidRDefault="00B7548E" w:rsidP="00B7548E">
            <w:pPr>
              <w:pStyle w:val="Bullet"/>
            </w:pPr>
            <w:r>
              <w:rPr>
                <w:rFonts w:eastAsia="Quattrocento Sans"/>
              </w:rPr>
              <w:t>We d</w:t>
            </w:r>
            <w:r w:rsidRPr="004268BD">
              <w:rPr>
                <w:rFonts w:eastAsia="Quattrocento Sans"/>
              </w:rPr>
              <w:t>emonstrate the rationale for the use of restraint in the context of aiming for elimination</w:t>
            </w:r>
            <w:r>
              <w:rPr>
                <w:rFonts w:eastAsia="Quattrocento Sans"/>
              </w:rPr>
              <w:t>.</w:t>
            </w:r>
          </w:p>
          <w:p w14:paraId="4526A14B" w14:textId="77777777" w:rsidR="00B7548E" w:rsidRPr="00A45645" w:rsidRDefault="00B7548E" w:rsidP="00B7548E">
            <w:pPr>
              <w:pStyle w:val="Bullet"/>
            </w:pPr>
            <w:r>
              <w:rPr>
                <w:rFonts w:eastAsia="Quattrocento Sans"/>
              </w:rPr>
              <w:t>We</w:t>
            </w:r>
            <w:r w:rsidRPr="004268BD">
              <w:rPr>
                <w:rFonts w:eastAsia="Quattrocento Sans"/>
              </w:rPr>
              <w:t xml:space="preserve"> </w:t>
            </w:r>
            <w:r w:rsidRPr="00A45645">
              <w:rPr>
                <w:rFonts w:eastAsia="Quattrocento Sans"/>
              </w:rPr>
              <w:t>consider least restrictive practices, implement de-escalation techniques and alternative interventions, and only use approved restraint as the last resort</w:t>
            </w:r>
            <w:r>
              <w:rPr>
                <w:rFonts w:eastAsia="Quattrocento Sans"/>
              </w:rPr>
              <w:t>.</w:t>
            </w:r>
          </w:p>
          <w:p w14:paraId="76069CEC" w14:textId="77777777" w:rsidR="00B7548E" w:rsidRPr="004268BD" w:rsidRDefault="00B7548E" w:rsidP="00B7548E">
            <w:pPr>
              <w:pStyle w:val="Bullet"/>
            </w:pPr>
            <w:r>
              <w:t>We m</w:t>
            </w:r>
            <w:r w:rsidRPr="004268BD">
              <w:t>aintain or are working towards a restraint-free environment by collecting, monitoring and reviewing data and implementing</w:t>
            </w:r>
            <w:r>
              <w:t xml:space="preserve"> </w:t>
            </w:r>
            <w:r w:rsidRPr="004268BD">
              <w:t>improvement activities</w:t>
            </w:r>
            <w:r>
              <w:t>.</w:t>
            </w:r>
          </w:p>
          <w:p w14:paraId="76BF1267" w14:textId="77777777" w:rsidR="00B7548E" w:rsidRPr="004268BD" w:rsidRDefault="00B7548E" w:rsidP="00B7548E">
            <w:pPr>
              <w:pStyle w:val="Bullet"/>
            </w:pPr>
            <w:r>
              <w:t>We n</w:t>
            </w:r>
            <w:r w:rsidRPr="004268BD">
              <w:t>o longer consider seclusion a therapeutic intervention</w:t>
            </w:r>
            <w:r>
              <w:t>, and</w:t>
            </w:r>
            <w:r w:rsidRPr="004268BD">
              <w:t xml:space="preserve"> it only occurs when </w:t>
            </w:r>
            <w:r>
              <w:t xml:space="preserve">our </w:t>
            </w:r>
            <w:r w:rsidRPr="004268BD">
              <w:t>environment is not conducive to the elimination of seclusion</w:t>
            </w:r>
            <w:r>
              <w:t>.</w:t>
            </w:r>
          </w:p>
          <w:p w14:paraId="6E9F8863" w14:textId="77777777" w:rsidR="00B7548E" w:rsidRDefault="00B7548E" w:rsidP="00B7548E">
            <w:pPr>
              <w:rPr>
                <w:rFonts w:cs="Segoe UI"/>
              </w:rPr>
            </w:pPr>
          </w:p>
        </w:tc>
      </w:tr>
    </w:tbl>
    <w:p w14:paraId="7D0DC151" w14:textId="0ACE1671" w:rsidR="00B7548E" w:rsidRDefault="00B7548E" w:rsidP="00B7548E">
      <w:pPr>
        <w:rPr>
          <w:rFonts w:cs="Segoe UI"/>
        </w:rPr>
      </w:pPr>
    </w:p>
    <w:p w14:paraId="790DE440" w14:textId="2A767518" w:rsidR="0023476E" w:rsidRDefault="0023476E" w:rsidP="0023476E">
      <w:pPr>
        <w:spacing w:line="276" w:lineRule="auto"/>
        <w:rPr>
          <w:rFonts w:cs="Segoe UI"/>
          <w:lang w:eastAsia="en-NZ"/>
        </w:rPr>
      </w:pPr>
    </w:p>
    <w:p w14:paraId="24FA7233" w14:textId="44763B4E" w:rsidR="0023476E" w:rsidRPr="00B7548E" w:rsidRDefault="0023476E" w:rsidP="00B7548E">
      <w:pPr>
        <w:pStyle w:val="Heading2"/>
      </w:pPr>
      <w:bookmarkStart w:id="94" w:name="_Toc105770625"/>
      <w:bookmarkStart w:id="95" w:name="_Toc103152104"/>
      <w:bookmarkStart w:id="96" w:name="_Toc131663805"/>
      <w:bookmarkStart w:id="97" w:name="_Toc132355311"/>
      <w:r w:rsidRPr="00B7548E">
        <w:lastRenderedPageBreak/>
        <w:t>Definitions of restraint and seclusion</w:t>
      </w:r>
      <w:bookmarkEnd w:id="94"/>
      <w:bookmarkEnd w:id="95"/>
      <w:bookmarkEnd w:id="96"/>
      <w:bookmarkEnd w:id="97"/>
    </w:p>
    <w:p w14:paraId="36FBC740" w14:textId="3BF98778" w:rsidR="0023476E" w:rsidRPr="00B7548E" w:rsidRDefault="0023476E" w:rsidP="00B7548E">
      <w:pPr>
        <w:pStyle w:val="Heading3"/>
      </w:pPr>
      <w:bookmarkStart w:id="98" w:name="_Restraint"/>
      <w:bookmarkStart w:id="99" w:name="_Toc103152105"/>
      <w:bookmarkStart w:id="100" w:name="_Toc105770626"/>
      <w:bookmarkStart w:id="101" w:name="_Toc131663806"/>
      <w:bookmarkEnd w:id="98"/>
      <w:r w:rsidRPr="00B7548E">
        <w:t>Restraint</w:t>
      </w:r>
      <w:bookmarkEnd w:id="99"/>
      <w:bookmarkEnd w:id="100"/>
      <w:bookmarkEnd w:id="101"/>
    </w:p>
    <w:p w14:paraId="7417A8FB" w14:textId="778A2367" w:rsidR="0023476E" w:rsidRPr="00CA2668" w:rsidRDefault="0023476E" w:rsidP="00B7548E">
      <w:r w:rsidRPr="00CA2668">
        <w:t>Ngā</w:t>
      </w:r>
      <w:r>
        <w:t xml:space="preserve"> </w:t>
      </w:r>
      <w:r w:rsidRPr="00CA2668">
        <w:t>Paerewa</w:t>
      </w:r>
      <w:r>
        <w:t xml:space="preserve"> </w:t>
      </w:r>
      <w:r w:rsidRPr="00CA2668">
        <w:t>defines</w:t>
      </w:r>
      <w:r>
        <w:t xml:space="preserve"> </w:t>
      </w:r>
      <w:r w:rsidRPr="00CA2668">
        <w:t>restraint</w:t>
      </w:r>
      <w:r>
        <w:t xml:space="preserve"> </w:t>
      </w:r>
      <w:r w:rsidRPr="00CA2668">
        <w:t>as:</w:t>
      </w:r>
      <w:r>
        <w:t xml:space="preserve"> ‘</w:t>
      </w:r>
      <w:r w:rsidRPr="00655DCB">
        <w:t>The</w:t>
      </w:r>
      <w:r>
        <w:t xml:space="preserve"> </w:t>
      </w:r>
      <w:r w:rsidRPr="00CA2668">
        <w:t>use</w:t>
      </w:r>
      <w:r>
        <w:t xml:space="preserve"> </w:t>
      </w:r>
      <w:r w:rsidRPr="00CA2668">
        <w:t>of</w:t>
      </w:r>
      <w:r>
        <w:t xml:space="preserve"> </w:t>
      </w:r>
      <w:r w:rsidRPr="00CA2668">
        <w:t>any</w:t>
      </w:r>
      <w:r>
        <w:t xml:space="preserve"> </w:t>
      </w:r>
      <w:r w:rsidRPr="00CA2668">
        <w:t>intervention</w:t>
      </w:r>
      <w:r>
        <w:t xml:space="preserve"> </w:t>
      </w:r>
      <w:r w:rsidRPr="00CA2668">
        <w:t>by</w:t>
      </w:r>
      <w:r>
        <w:t xml:space="preserve"> </w:t>
      </w:r>
      <w:r w:rsidRPr="00CA2668">
        <w:t>a</w:t>
      </w:r>
      <w:r>
        <w:t xml:space="preserve"> </w:t>
      </w:r>
      <w:r w:rsidRPr="00CA2668">
        <w:t>service</w:t>
      </w:r>
      <w:r>
        <w:t xml:space="preserve"> </w:t>
      </w:r>
      <w:r w:rsidRPr="00CA2668">
        <w:t>provider</w:t>
      </w:r>
      <w:r>
        <w:t xml:space="preserve"> </w:t>
      </w:r>
      <w:r w:rsidRPr="00CA2668">
        <w:t>that</w:t>
      </w:r>
      <w:r>
        <w:t xml:space="preserve"> </w:t>
      </w:r>
      <w:r w:rsidRPr="00CA2668">
        <w:t>limits</w:t>
      </w:r>
      <w:r>
        <w:t xml:space="preserve"> </w:t>
      </w:r>
      <w:r w:rsidRPr="00CA2668">
        <w:t>a</w:t>
      </w:r>
      <w:r>
        <w:t xml:space="preserve"> </w:t>
      </w:r>
      <w:r w:rsidRPr="00CA2668">
        <w:t>person’s</w:t>
      </w:r>
      <w:r>
        <w:t xml:space="preserve"> </w:t>
      </w:r>
      <w:r w:rsidRPr="00CA2668">
        <w:t>normal</w:t>
      </w:r>
      <w:r>
        <w:t xml:space="preserve"> </w:t>
      </w:r>
      <w:r w:rsidRPr="00CA2668">
        <w:t>freedom</w:t>
      </w:r>
      <w:r>
        <w:t xml:space="preserve"> </w:t>
      </w:r>
      <w:r w:rsidRPr="00CA2668">
        <w:t>of</w:t>
      </w:r>
      <w:r>
        <w:t xml:space="preserve"> </w:t>
      </w:r>
      <w:r w:rsidRPr="00CA2668">
        <w:t>movement.</w:t>
      </w:r>
      <w:r>
        <w:t xml:space="preserve"> </w:t>
      </w:r>
      <w:r w:rsidRPr="00CA2668">
        <w:t>Where</w:t>
      </w:r>
      <w:r>
        <w:t xml:space="preserve"> </w:t>
      </w:r>
      <w:r w:rsidRPr="00CA2668">
        <w:t>restraint</w:t>
      </w:r>
      <w:r>
        <w:t xml:space="preserve"> </w:t>
      </w:r>
      <w:r w:rsidRPr="00CA2668">
        <w:t>is</w:t>
      </w:r>
      <w:r>
        <w:t xml:space="preserve"> </w:t>
      </w:r>
      <w:r w:rsidRPr="00CA2668">
        <w:t>consented</w:t>
      </w:r>
      <w:r>
        <w:t xml:space="preserve"> </w:t>
      </w:r>
      <w:r w:rsidRPr="00CA2668">
        <w:t>to</w:t>
      </w:r>
      <w:r>
        <w:t xml:space="preserve"> </w:t>
      </w:r>
      <w:r w:rsidRPr="00CA2668">
        <w:t>by</w:t>
      </w:r>
      <w:r>
        <w:t xml:space="preserve"> </w:t>
      </w:r>
      <w:r w:rsidRPr="00CA2668">
        <w:t>a</w:t>
      </w:r>
      <w:r>
        <w:t xml:space="preserve"> </w:t>
      </w:r>
      <w:r w:rsidRPr="00CA2668">
        <w:t>third</w:t>
      </w:r>
      <w:r>
        <w:t xml:space="preserve"> </w:t>
      </w:r>
      <w:r w:rsidRPr="00CA2668">
        <w:t>party,</w:t>
      </w:r>
      <w:r>
        <w:t xml:space="preserve"> </w:t>
      </w:r>
      <w:r w:rsidRPr="00CA2668">
        <w:t>it</w:t>
      </w:r>
      <w:r>
        <w:t xml:space="preserve"> </w:t>
      </w:r>
      <w:r w:rsidRPr="00CA2668">
        <w:t>is</w:t>
      </w:r>
      <w:r>
        <w:t xml:space="preserve"> </w:t>
      </w:r>
      <w:r w:rsidRPr="00CA2668">
        <w:t>always</w:t>
      </w:r>
      <w:r>
        <w:t xml:space="preserve"> </w:t>
      </w:r>
      <w:r w:rsidRPr="00655DCB">
        <w:t>restraint</w:t>
      </w:r>
      <w:r>
        <w:t xml:space="preserve">’ </w:t>
      </w:r>
      <w:r w:rsidRPr="00CA2668">
        <w:t>(Ng</w:t>
      </w:r>
      <w:r>
        <w:t xml:space="preserve">ā </w:t>
      </w:r>
      <w:r w:rsidRPr="00CA2668">
        <w:t>Paerewa,</w:t>
      </w:r>
      <w:r>
        <w:t xml:space="preserve"> section </w:t>
      </w:r>
      <w:r w:rsidRPr="00CA2668">
        <w:t>0.3).</w:t>
      </w:r>
      <w:r>
        <w:t xml:space="preserve"> </w:t>
      </w:r>
    </w:p>
    <w:p w14:paraId="66ACA069" w14:textId="77777777" w:rsidR="0019333A" w:rsidRDefault="0019333A" w:rsidP="00B7548E"/>
    <w:p w14:paraId="4ABA9101" w14:textId="72273F19" w:rsidR="0023476E" w:rsidRPr="00CA2668" w:rsidRDefault="0023476E" w:rsidP="00B7548E">
      <w:r w:rsidRPr="00CA2668">
        <w:t>For</w:t>
      </w:r>
      <w:r>
        <w:t xml:space="preserve"> </w:t>
      </w:r>
      <w:r w:rsidRPr="00CA2668">
        <w:t>the</w:t>
      </w:r>
      <w:r>
        <w:t xml:space="preserve"> </w:t>
      </w:r>
      <w:r w:rsidRPr="00CA2668">
        <w:t>purposes</w:t>
      </w:r>
      <w:r>
        <w:t xml:space="preserve"> </w:t>
      </w:r>
      <w:r w:rsidRPr="00CA2668">
        <w:t>of</w:t>
      </w:r>
      <w:r>
        <w:t xml:space="preserve"> </w:t>
      </w:r>
      <w:r w:rsidRPr="00CA2668">
        <w:t>these</w:t>
      </w:r>
      <w:r>
        <w:t xml:space="preserve"> </w:t>
      </w:r>
      <w:r w:rsidRPr="00CA2668">
        <w:t>guidelines,</w:t>
      </w:r>
      <w:r>
        <w:t xml:space="preserve"> </w:t>
      </w:r>
      <w:r w:rsidRPr="00CA2668">
        <w:t>the</w:t>
      </w:r>
      <w:r>
        <w:t xml:space="preserve"> </w:t>
      </w:r>
      <w:r w:rsidRPr="00CA2668">
        <w:t>following</w:t>
      </w:r>
      <w:r>
        <w:t xml:space="preserve"> </w:t>
      </w:r>
      <w:r w:rsidRPr="00CA2668">
        <w:t>definitions</w:t>
      </w:r>
      <w:r>
        <w:t xml:space="preserve"> </w:t>
      </w:r>
      <w:r w:rsidRPr="00CA2668">
        <w:t>of</w:t>
      </w:r>
      <w:r>
        <w:t xml:space="preserve"> </w:t>
      </w:r>
      <w:r w:rsidRPr="00CA2668">
        <w:t>restraint</w:t>
      </w:r>
      <w:r>
        <w:t xml:space="preserve"> apply.</w:t>
      </w:r>
      <w:r w:rsidRPr="00145063">
        <w:rPr>
          <w:vertAlign w:val="superscript"/>
        </w:rPr>
        <w:footnoteReference w:id="38"/>
      </w:r>
    </w:p>
    <w:p w14:paraId="7259BBE3" w14:textId="77777777" w:rsidR="0023476E" w:rsidRPr="00405243" w:rsidRDefault="0023476E" w:rsidP="00B7548E">
      <w:pPr>
        <w:pStyle w:val="Bullet"/>
      </w:pPr>
      <w:r w:rsidRPr="00405243">
        <w:rPr>
          <w:b/>
        </w:rPr>
        <w:t>Personal</w:t>
      </w:r>
      <w:r>
        <w:rPr>
          <w:b/>
        </w:rPr>
        <w:t xml:space="preserve"> restraint</w:t>
      </w:r>
      <w:r w:rsidRPr="00405243">
        <w:rPr>
          <w:rStyle w:val="FootnoteReference"/>
          <w:color w:val="000000"/>
          <w:szCs w:val="21"/>
        </w:rPr>
        <w:footnoteReference w:id="39"/>
      </w:r>
      <w:r>
        <w:rPr>
          <w:b/>
        </w:rPr>
        <w:t xml:space="preserve"> </w:t>
      </w:r>
      <w:r w:rsidRPr="00451E63">
        <w:t>is</w:t>
      </w:r>
      <w:r w:rsidRPr="00405243">
        <w:t xml:space="preserve"> where a service provider uses their own body to intentionally limit </w:t>
      </w:r>
      <w:r>
        <w:t xml:space="preserve">a person’s </w:t>
      </w:r>
      <w:r w:rsidRPr="00405243">
        <w:t>movement</w:t>
      </w:r>
      <w:r>
        <w:t>.</w:t>
      </w:r>
    </w:p>
    <w:p w14:paraId="7789DC36" w14:textId="77777777" w:rsidR="0023476E" w:rsidRDefault="0023476E" w:rsidP="00B7548E">
      <w:pPr>
        <w:pStyle w:val="Bullet"/>
      </w:pPr>
      <w:r w:rsidRPr="00405243">
        <w:rPr>
          <w:b/>
        </w:rPr>
        <w:t>Physical</w:t>
      </w:r>
      <w:r w:rsidRPr="27BB7230">
        <w:rPr>
          <w:b/>
        </w:rPr>
        <w:t>/</w:t>
      </w:r>
      <w:r w:rsidRPr="774F307D">
        <w:rPr>
          <w:b/>
        </w:rPr>
        <w:t>mechanical</w:t>
      </w:r>
      <w:r w:rsidRPr="27BB7230">
        <w:rPr>
          <w:b/>
          <w:color w:val="000000" w:themeColor="text1"/>
        </w:rPr>
        <w:t xml:space="preserve"> restraint</w:t>
      </w:r>
      <w:r w:rsidRPr="00405243">
        <w:rPr>
          <w:rStyle w:val="FootnoteReference"/>
          <w:color w:val="000000"/>
          <w:szCs w:val="21"/>
        </w:rPr>
        <w:footnoteReference w:id="40"/>
      </w:r>
      <w:r w:rsidRPr="27BB7230">
        <w:rPr>
          <w:color w:val="000000" w:themeColor="text1"/>
        </w:rPr>
        <w:t xml:space="preserve"> is</w:t>
      </w:r>
      <w:r w:rsidRPr="00405243">
        <w:t xml:space="preserve"> where a service provider uses equipment, devices or furniture that limits </w:t>
      </w:r>
      <w:r>
        <w:t xml:space="preserve">a person’s </w:t>
      </w:r>
      <w:r w:rsidRPr="00405243">
        <w:t>normal freedom of movement</w:t>
      </w:r>
      <w:r>
        <w:t>.</w:t>
      </w:r>
    </w:p>
    <w:p w14:paraId="7ED2016B" w14:textId="77777777" w:rsidR="0023476E" w:rsidRPr="00451E63" w:rsidRDefault="0023476E" w:rsidP="00B7548E">
      <w:pPr>
        <w:pStyle w:val="Bullet"/>
        <w:rPr>
          <w:rFonts w:cs="Segoe UI"/>
        </w:rPr>
      </w:pPr>
      <w:r w:rsidRPr="00451E63">
        <w:rPr>
          <w:rFonts w:cs="Segoe UI"/>
          <w:b/>
        </w:rPr>
        <w:t>Environmental restraint</w:t>
      </w:r>
      <w:r w:rsidRPr="00451E63">
        <w:rPr>
          <w:rFonts w:cs="Segoe UI"/>
        </w:rPr>
        <w:t xml:space="preserve"> is where a service provider intentionally restricts a person’s normal access to their environment</w:t>
      </w:r>
      <w:r>
        <w:rPr>
          <w:rFonts w:cs="Segoe UI"/>
        </w:rPr>
        <w:t>: f</w:t>
      </w:r>
      <w:r w:rsidRPr="00451E63">
        <w:rPr>
          <w:rFonts w:cs="Segoe UI"/>
        </w:rPr>
        <w:t xml:space="preserve">or example, where a </w:t>
      </w:r>
      <w:r>
        <w:rPr>
          <w:rFonts w:cs="Segoe UI"/>
        </w:rPr>
        <w:t>person’s</w:t>
      </w:r>
      <w:r w:rsidRPr="00451E63">
        <w:rPr>
          <w:rFonts w:cs="Segoe UI"/>
        </w:rPr>
        <w:t xml:space="preserve"> normal access to their environment is intentionally restricted by locking </w:t>
      </w:r>
      <w:r w:rsidRPr="00D46953">
        <w:rPr>
          <w:rFonts w:cs="Segoe UI"/>
        </w:rPr>
        <w:t>or blocking</w:t>
      </w:r>
      <w:r w:rsidRPr="00215DB4">
        <w:rPr>
          <w:rFonts w:cs="Segoe UI"/>
        </w:rPr>
        <w:t xml:space="preserve"> </w:t>
      </w:r>
      <w:r w:rsidRPr="00451E63">
        <w:rPr>
          <w:rFonts w:cs="Segoe UI"/>
        </w:rPr>
        <w:t>doors</w:t>
      </w:r>
      <w:r>
        <w:rPr>
          <w:rFonts w:cs="Segoe UI"/>
        </w:rPr>
        <w:t>.</w:t>
      </w:r>
    </w:p>
    <w:p w14:paraId="206F3A34" w14:textId="77777777" w:rsidR="0023476E" w:rsidRPr="00B7548E" w:rsidRDefault="0023476E" w:rsidP="00B7548E">
      <w:pPr>
        <w:pStyle w:val="Heading3"/>
      </w:pPr>
      <w:bookmarkStart w:id="102" w:name="_Toc102739035"/>
      <w:bookmarkStart w:id="103" w:name="_Toc102739132"/>
      <w:bookmarkStart w:id="104" w:name="_Toc102739235"/>
      <w:bookmarkStart w:id="105" w:name="_Toc102741027"/>
      <w:bookmarkStart w:id="106" w:name="_Toc103152106"/>
      <w:bookmarkStart w:id="107" w:name="_Toc103152107"/>
      <w:bookmarkStart w:id="108" w:name="_Toc105770627"/>
      <w:bookmarkStart w:id="109" w:name="_Toc131663807"/>
      <w:bookmarkEnd w:id="102"/>
      <w:bookmarkEnd w:id="103"/>
      <w:bookmarkEnd w:id="104"/>
      <w:bookmarkEnd w:id="105"/>
      <w:bookmarkEnd w:id="106"/>
      <w:r w:rsidRPr="00B7548E">
        <w:t>Seclusion</w:t>
      </w:r>
      <w:bookmarkEnd w:id="107"/>
      <w:bookmarkEnd w:id="108"/>
      <w:bookmarkEnd w:id="109"/>
    </w:p>
    <w:p w14:paraId="6618A1F9" w14:textId="1C15EE26" w:rsidR="0023476E" w:rsidRDefault="0023476E" w:rsidP="00B7548E">
      <w:r w:rsidRPr="00A4237E">
        <w:t>Ngā</w:t>
      </w:r>
      <w:r>
        <w:t xml:space="preserve"> </w:t>
      </w:r>
      <w:r w:rsidRPr="00A4237E">
        <w:t>Paerewa</w:t>
      </w:r>
      <w:r>
        <w:t xml:space="preserve"> </w:t>
      </w:r>
      <w:r w:rsidRPr="00A4237E">
        <w:t>defines</w:t>
      </w:r>
      <w:r>
        <w:t xml:space="preserve"> </w:t>
      </w:r>
      <w:r w:rsidRPr="00A4237E">
        <w:t>seclusion</w:t>
      </w:r>
      <w:r>
        <w:t xml:space="preserve"> </w:t>
      </w:r>
      <w:r w:rsidRPr="00A4237E">
        <w:t>as</w:t>
      </w:r>
      <w:r>
        <w:t xml:space="preserve"> </w:t>
      </w:r>
      <w:r w:rsidRPr="00A4237E">
        <w:t>‘a</w:t>
      </w:r>
      <w:r>
        <w:t xml:space="preserve"> </w:t>
      </w:r>
      <w:r w:rsidRPr="00A4237E">
        <w:t>type</w:t>
      </w:r>
      <w:r>
        <w:t xml:space="preserve"> </w:t>
      </w:r>
      <w:r w:rsidRPr="00A4237E">
        <w:t>of</w:t>
      </w:r>
      <w:r>
        <w:t xml:space="preserve"> </w:t>
      </w:r>
      <w:r w:rsidRPr="00A4237E">
        <w:t>restraint</w:t>
      </w:r>
      <w:r>
        <w:t xml:space="preserve"> </w:t>
      </w:r>
      <w:r w:rsidRPr="00A4237E">
        <w:t>where</w:t>
      </w:r>
      <w:r>
        <w:t xml:space="preserve"> </w:t>
      </w:r>
      <w:r w:rsidRPr="00A4237E">
        <w:t>a</w:t>
      </w:r>
      <w:r>
        <w:t xml:space="preserve"> </w:t>
      </w:r>
      <w:r w:rsidRPr="00A4237E">
        <w:t>person</w:t>
      </w:r>
      <w:r>
        <w:t xml:space="preserve"> </w:t>
      </w:r>
      <w:r w:rsidRPr="00A4237E">
        <w:t>is</w:t>
      </w:r>
      <w:r>
        <w:t xml:space="preserve"> </w:t>
      </w:r>
      <w:r w:rsidRPr="00A4237E">
        <w:t>placed</w:t>
      </w:r>
      <w:r>
        <w:t xml:space="preserve"> </w:t>
      </w:r>
      <w:r w:rsidRPr="00A4237E">
        <w:t>alone</w:t>
      </w:r>
      <w:r>
        <w:t xml:space="preserve"> </w:t>
      </w:r>
      <w:r w:rsidRPr="00A4237E">
        <w:t>in</w:t>
      </w:r>
      <w:r>
        <w:t xml:space="preserve"> </w:t>
      </w:r>
      <w:r w:rsidRPr="00A4237E">
        <w:t>a</w:t>
      </w:r>
      <w:r>
        <w:t xml:space="preserve"> </w:t>
      </w:r>
      <w:r w:rsidRPr="00A4237E">
        <w:t>room</w:t>
      </w:r>
      <w:r>
        <w:t xml:space="preserve"> </w:t>
      </w:r>
      <w:r w:rsidRPr="00A4237E">
        <w:t>or</w:t>
      </w:r>
      <w:r>
        <w:t xml:space="preserve"> </w:t>
      </w:r>
      <w:r w:rsidRPr="00A4237E">
        <w:t>area,</w:t>
      </w:r>
      <w:r>
        <w:t xml:space="preserve"> </w:t>
      </w:r>
      <w:r w:rsidRPr="00A4237E">
        <w:t>at</w:t>
      </w:r>
      <w:r>
        <w:t xml:space="preserve"> </w:t>
      </w:r>
      <w:r w:rsidRPr="00A4237E">
        <w:t>any</w:t>
      </w:r>
      <w:r>
        <w:t xml:space="preserve"> </w:t>
      </w:r>
      <w:r w:rsidRPr="00A4237E">
        <w:t>time</w:t>
      </w:r>
      <w:r>
        <w:t xml:space="preserve"> </w:t>
      </w:r>
      <w:r w:rsidRPr="00A4237E">
        <w:t>and</w:t>
      </w:r>
      <w:r>
        <w:t xml:space="preserve"> </w:t>
      </w:r>
      <w:r w:rsidRPr="00A4237E">
        <w:t>for</w:t>
      </w:r>
      <w:r>
        <w:t xml:space="preserve"> </w:t>
      </w:r>
      <w:r w:rsidRPr="00A4237E">
        <w:t>any</w:t>
      </w:r>
      <w:r>
        <w:t xml:space="preserve"> </w:t>
      </w:r>
      <w:r w:rsidRPr="00A4237E">
        <w:t>duration,</w:t>
      </w:r>
      <w:r>
        <w:t xml:space="preserve"> </w:t>
      </w:r>
      <w:r w:rsidRPr="00A4237E">
        <w:t>from</w:t>
      </w:r>
      <w:r>
        <w:t xml:space="preserve"> </w:t>
      </w:r>
      <w:r w:rsidRPr="00A4237E">
        <w:t>which</w:t>
      </w:r>
      <w:r>
        <w:t xml:space="preserve"> </w:t>
      </w:r>
      <w:r w:rsidRPr="00A4237E">
        <w:t>they</w:t>
      </w:r>
      <w:r>
        <w:t xml:space="preserve"> </w:t>
      </w:r>
      <w:r w:rsidRPr="00A4237E">
        <w:t>cannot</w:t>
      </w:r>
      <w:r>
        <w:t xml:space="preserve"> </w:t>
      </w:r>
      <w:r w:rsidRPr="00A4237E">
        <w:t>freely</w:t>
      </w:r>
      <w:r>
        <w:t xml:space="preserve"> </w:t>
      </w:r>
      <w:r w:rsidRPr="00A4237E">
        <w:t>exit’</w:t>
      </w:r>
      <w:r>
        <w:t xml:space="preserve"> </w:t>
      </w:r>
      <w:r w:rsidRPr="00A4237E">
        <w:t>(Ng</w:t>
      </w:r>
      <w:r>
        <w:t xml:space="preserve">ā </w:t>
      </w:r>
      <w:r w:rsidRPr="00A4237E">
        <w:t>Paerewa,</w:t>
      </w:r>
      <w:r>
        <w:t xml:space="preserve"> </w:t>
      </w:r>
      <w:r w:rsidRPr="00A4237E">
        <w:t>0.3).</w:t>
      </w:r>
      <w:r>
        <w:t xml:space="preserve"> </w:t>
      </w:r>
    </w:p>
    <w:p w14:paraId="105DE925" w14:textId="77777777" w:rsidR="00B7548E" w:rsidRPr="00A4237E" w:rsidRDefault="00B7548E" w:rsidP="00B7548E"/>
    <w:p w14:paraId="5A0AB96D" w14:textId="7DC5F2E6" w:rsidR="0023476E" w:rsidRDefault="0023476E" w:rsidP="00B7548E">
      <w:r w:rsidRPr="28CA1EB0">
        <w:t>Section</w:t>
      </w:r>
      <w:r>
        <w:t xml:space="preserve"> </w:t>
      </w:r>
      <w:r w:rsidRPr="28CA1EB0">
        <w:t>71</w:t>
      </w:r>
      <w:r>
        <w:t xml:space="preserve"> </w:t>
      </w:r>
      <w:r w:rsidRPr="28CA1EB0">
        <w:t>of</w:t>
      </w:r>
      <w:r>
        <w:t xml:space="preserve"> </w:t>
      </w:r>
      <w:r w:rsidRPr="28CA1EB0">
        <w:t>the</w:t>
      </w:r>
      <w:r>
        <w:t xml:space="preserve"> </w:t>
      </w:r>
      <w:r w:rsidRPr="28CA1EB0">
        <w:t>Mental</w:t>
      </w:r>
      <w:r>
        <w:t xml:space="preserve"> </w:t>
      </w:r>
      <w:r w:rsidRPr="28CA1EB0">
        <w:t>Health</w:t>
      </w:r>
      <w:r>
        <w:t xml:space="preserve"> </w:t>
      </w:r>
      <w:r w:rsidRPr="28CA1EB0">
        <w:t>Act</w:t>
      </w:r>
      <w:r>
        <w:t xml:space="preserve"> </w:t>
      </w:r>
      <w:r w:rsidRPr="28CA1EB0">
        <w:t>relates</w:t>
      </w:r>
      <w:r>
        <w:t xml:space="preserve"> </w:t>
      </w:r>
      <w:r w:rsidRPr="28CA1EB0">
        <w:t>to</w:t>
      </w:r>
      <w:r>
        <w:t xml:space="preserve"> </w:t>
      </w:r>
      <w:r w:rsidRPr="28CA1EB0">
        <w:t>seclusion</w:t>
      </w:r>
      <w:r>
        <w:t xml:space="preserve">, </w:t>
      </w:r>
      <w:r w:rsidRPr="28CA1EB0">
        <w:t>and</w:t>
      </w:r>
      <w:r>
        <w:t xml:space="preserve"> provides </w:t>
      </w:r>
      <w:r w:rsidRPr="28CA1EB0">
        <w:t>that</w:t>
      </w:r>
      <w:r>
        <w:t xml:space="preserve"> e</w:t>
      </w:r>
      <w:r w:rsidRPr="28CA1EB0">
        <w:t>very</w:t>
      </w:r>
      <w:r>
        <w:t xml:space="preserve"> </w:t>
      </w:r>
      <w:r w:rsidRPr="28CA1EB0">
        <w:t>patient</w:t>
      </w:r>
      <w:r>
        <w:t xml:space="preserve"> </w:t>
      </w:r>
      <w:r w:rsidRPr="28CA1EB0">
        <w:t>is</w:t>
      </w:r>
      <w:r>
        <w:t xml:space="preserve"> </w:t>
      </w:r>
      <w:r w:rsidRPr="28CA1EB0">
        <w:t>entitled</w:t>
      </w:r>
      <w:r>
        <w:t xml:space="preserve"> </w:t>
      </w:r>
      <w:r w:rsidRPr="28CA1EB0">
        <w:t>to</w:t>
      </w:r>
      <w:r>
        <w:t xml:space="preserve"> </w:t>
      </w:r>
      <w:r w:rsidRPr="28CA1EB0">
        <w:t>the</w:t>
      </w:r>
      <w:r>
        <w:t xml:space="preserve"> </w:t>
      </w:r>
      <w:r w:rsidRPr="28CA1EB0">
        <w:t>company</w:t>
      </w:r>
      <w:r>
        <w:t xml:space="preserve"> </w:t>
      </w:r>
      <w:r w:rsidRPr="28CA1EB0">
        <w:t>of</w:t>
      </w:r>
      <w:r>
        <w:t xml:space="preserve"> </w:t>
      </w:r>
      <w:r w:rsidRPr="28CA1EB0">
        <w:t>others,</w:t>
      </w:r>
      <w:r>
        <w:t xml:space="preserve"> </w:t>
      </w:r>
      <w:r w:rsidRPr="28CA1EB0">
        <w:t>except</w:t>
      </w:r>
      <w:r>
        <w:t xml:space="preserve"> </w:t>
      </w:r>
      <w:r w:rsidRPr="28CA1EB0">
        <w:t>where</w:t>
      </w:r>
      <w:r>
        <w:t xml:space="preserve">, and for as long as, seclusion </w:t>
      </w:r>
      <w:r w:rsidRPr="28CA1EB0">
        <w:t>is</w:t>
      </w:r>
      <w:r>
        <w:t xml:space="preserve"> </w:t>
      </w:r>
      <w:r w:rsidRPr="28CA1EB0">
        <w:t>necessary</w:t>
      </w:r>
      <w:r>
        <w:t xml:space="preserve"> </w:t>
      </w:r>
      <w:r w:rsidRPr="28CA1EB0">
        <w:t>for</w:t>
      </w:r>
      <w:r>
        <w:t xml:space="preserve"> </w:t>
      </w:r>
      <w:r w:rsidRPr="28CA1EB0">
        <w:t>the</w:t>
      </w:r>
      <w:r>
        <w:t xml:space="preserve"> </w:t>
      </w:r>
      <w:r w:rsidRPr="28CA1EB0">
        <w:t>care</w:t>
      </w:r>
      <w:r>
        <w:t xml:space="preserve"> </w:t>
      </w:r>
      <w:r w:rsidRPr="28CA1EB0">
        <w:t>or</w:t>
      </w:r>
      <w:r>
        <w:t xml:space="preserve"> </w:t>
      </w:r>
      <w:r w:rsidRPr="28CA1EB0">
        <w:t>treatment</w:t>
      </w:r>
      <w:r>
        <w:t xml:space="preserve"> </w:t>
      </w:r>
      <w:r w:rsidRPr="28CA1EB0">
        <w:t>of</w:t>
      </w:r>
      <w:r>
        <w:t xml:space="preserve"> </w:t>
      </w:r>
      <w:r w:rsidRPr="28CA1EB0">
        <w:t>the</w:t>
      </w:r>
      <w:r>
        <w:t xml:space="preserve"> </w:t>
      </w:r>
      <w:r w:rsidRPr="28CA1EB0">
        <w:t>patient,</w:t>
      </w:r>
      <w:r>
        <w:t xml:space="preserve"> </w:t>
      </w:r>
      <w:r w:rsidRPr="28CA1EB0">
        <w:t>or</w:t>
      </w:r>
      <w:r>
        <w:t xml:space="preserve"> </w:t>
      </w:r>
      <w:r w:rsidRPr="28CA1EB0">
        <w:t>the</w:t>
      </w:r>
      <w:r>
        <w:t xml:space="preserve"> </w:t>
      </w:r>
      <w:r w:rsidRPr="28CA1EB0">
        <w:t>protection</w:t>
      </w:r>
      <w:r>
        <w:t xml:space="preserve"> </w:t>
      </w:r>
      <w:r w:rsidRPr="28CA1EB0">
        <w:t>of</w:t>
      </w:r>
      <w:r>
        <w:t xml:space="preserve"> </w:t>
      </w:r>
      <w:r w:rsidRPr="28CA1EB0">
        <w:t>other</w:t>
      </w:r>
      <w:r>
        <w:t xml:space="preserve"> </w:t>
      </w:r>
      <w:r w:rsidRPr="00655DCB">
        <w:t>patients</w:t>
      </w:r>
      <w:r w:rsidRPr="28CA1EB0">
        <w:t>.</w:t>
      </w:r>
      <w:r>
        <w:t xml:space="preserve"> </w:t>
      </w:r>
    </w:p>
    <w:p w14:paraId="2E04662E" w14:textId="77777777" w:rsidR="00B7548E" w:rsidRDefault="00B7548E" w:rsidP="00B7548E"/>
    <w:p w14:paraId="687880FB" w14:textId="79D0B9AA" w:rsidR="0023476E" w:rsidRDefault="0023476E" w:rsidP="00B7548E">
      <w:r>
        <w:t>For the purposes of these guidelines, seclusion is viewed as the most restrictive form of environmental restraint under the Mental Health Act.</w:t>
      </w:r>
    </w:p>
    <w:p w14:paraId="576FAF7C" w14:textId="77777777" w:rsidR="00B7548E" w:rsidRPr="00145063" w:rsidRDefault="00B7548E" w:rsidP="00B7548E"/>
    <w:p w14:paraId="71F91D15" w14:textId="77777777" w:rsidR="0023476E" w:rsidRPr="00145063" w:rsidRDefault="0023476E" w:rsidP="00B7548E">
      <w:r>
        <w:t xml:space="preserve">While section 71 of the Mental Health Act does not explicitly say so, in practice seclusion is </w:t>
      </w:r>
      <w:r w:rsidRPr="001533E5">
        <w:t xml:space="preserve">used to manage the safety </w:t>
      </w:r>
      <w:r>
        <w:t xml:space="preserve">of </w:t>
      </w:r>
      <w:r w:rsidRPr="001533E5">
        <w:t>tāngata whaiora</w:t>
      </w:r>
      <w:r>
        <w:t xml:space="preserve"> and </w:t>
      </w:r>
      <w:r w:rsidRPr="001533E5">
        <w:t xml:space="preserve">staff </w:t>
      </w:r>
      <w:r w:rsidRPr="626D4737">
        <w:t xml:space="preserve">and protect </w:t>
      </w:r>
      <w:r>
        <w:t xml:space="preserve">them </w:t>
      </w:r>
      <w:r w:rsidRPr="7E665EAD">
        <w:t>from harm</w:t>
      </w:r>
      <w:r w:rsidRPr="001533E5">
        <w:t>.</w:t>
      </w:r>
      <w:r>
        <w:t xml:space="preserve"> See section 2.2.6 above. </w:t>
      </w:r>
    </w:p>
    <w:p w14:paraId="7CDDB127" w14:textId="77777777" w:rsidR="0023476E" w:rsidRPr="00B7548E" w:rsidRDefault="0023476E" w:rsidP="00B7548E">
      <w:pPr>
        <w:pStyle w:val="Heading3"/>
      </w:pPr>
      <w:bookmarkStart w:id="110" w:name="_Toc103152108"/>
      <w:bookmarkStart w:id="111" w:name="_Toc105770628"/>
      <w:bookmarkStart w:id="112" w:name="_Toc131663808"/>
      <w:r w:rsidRPr="00B7548E">
        <w:t xml:space="preserve">Sedative </w:t>
      </w:r>
      <w:bookmarkEnd w:id="110"/>
      <w:bookmarkEnd w:id="111"/>
      <w:r w:rsidRPr="00B7548E">
        <w:t>medication</w:t>
      </w:r>
      <w:bookmarkEnd w:id="112"/>
      <w:r w:rsidRPr="00B7548E">
        <w:t xml:space="preserve"> </w:t>
      </w:r>
    </w:p>
    <w:p w14:paraId="5FE20F31" w14:textId="72AC0448" w:rsidR="0023476E" w:rsidRDefault="0023476E" w:rsidP="00B7548E">
      <w:r>
        <w:t xml:space="preserve">Prescribed medications offer a range of beneficial or therapeutic effects. </w:t>
      </w:r>
    </w:p>
    <w:p w14:paraId="4C2D2EFF" w14:textId="77777777" w:rsidR="00B7548E" w:rsidRPr="00451E63" w:rsidRDefault="00B7548E" w:rsidP="00B7548E"/>
    <w:p w14:paraId="7E6DA589" w14:textId="7C70DBC1" w:rsidR="0023476E" w:rsidRDefault="0023476E" w:rsidP="00B7548E">
      <w:r w:rsidRPr="2CC988A9">
        <w:t xml:space="preserve">The prescribing of sedative medications is a matter of clinical decision-making and is outside the scope of these guidelines. However, </w:t>
      </w:r>
      <w:r>
        <w:t xml:space="preserve">we </w:t>
      </w:r>
      <w:r w:rsidRPr="2CC988A9">
        <w:t xml:space="preserve">recognise that the use of sedation to </w:t>
      </w:r>
      <w:r w:rsidRPr="2CC988A9">
        <w:lastRenderedPageBreak/>
        <w:t xml:space="preserve">control </w:t>
      </w:r>
      <w:r>
        <w:t>or manage</w:t>
      </w:r>
      <w:r w:rsidRPr="2CC988A9">
        <w:t xml:space="preserve"> behaviour is a very </w:t>
      </w:r>
      <w:r>
        <w:t>significant</w:t>
      </w:r>
      <w:r w:rsidRPr="2CC988A9">
        <w:t xml:space="preserve"> intervention, </w:t>
      </w:r>
      <w:r>
        <w:t xml:space="preserve">which has </w:t>
      </w:r>
      <w:r w:rsidRPr="2CC988A9">
        <w:t>potentially serious consequences for the person being sedated</w:t>
      </w:r>
      <w:r>
        <w:t>, and potential effects on staff and whānau</w:t>
      </w:r>
      <w:r w:rsidRPr="2CC988A9">
        <w:t xml:space="preserve">. </w:t>
      </w:r>
      <w:r>
        <w:t xml:space="preserve">The following information aims to assist services to ensure that medication is used safely and appropriately. </w:t>
      </w:r>
    </w:p>
    <w:p w14:paraId="10AB6344" w14:textId="77777777" w:rsidR="00B7548E" w:rsidRDefault="00B7548E" w:rsidP="00B7548E"/>
    <w:p w14:paraId="4F7477B3" w14:textId="198EDF6B" w:rsidR="0023476E" w:rsidRDefault="0023476E" w:rsidP="00B7548E">
      <w:r>
        <w:t>Subsection 3.4 of Ngā Paerewa sets out the criteria for the prescribing of medication. Manatū Hauora gives the sector the following guidance on compliance with Ngā Paerewa criterion 3.4.2.</w:t>
      </w:r>
    </w:p>
    <w:p w14:paraId="56AD254F" w14:textId="77777777" w:rsidR="00B7548E" w:rsidRDefault="00B7548E" w:rsidP="00B7548E"/>
    <w:p w14:paraId="4220DC7A" w14:textId="40598118" w:rsidR="0023476E" w:rsidRDefault="0023476E" w:rsidP="00B7548E">
      <w:pPr>
        <w:ind w:left="567"/>
      </w:pPr>
      <w:r w:rsidRPr="00451E63">
        <w:t>Service providers prescribe and use all medications for valid therapeutic indications. They never use medications to force compliance or render a person incapable of resistance; use of medications in this way could be classed as chemical restraint and is in breach of this standard.</w:t>
      </w:r>
      <w:r>
        <w:rPr>
          <w:rStyle w:val="FootnoteReference"/>
          <w:rFonts w:cs="Segoe UI"/>
        </w:rPr>
        <w:footnoteReference w:id="41"/>
      </w:r>
    </w:p>
    <w:p w14:paraId="1E04A90E" w14:textId="3A0AD1BE" w:rsidR="00B7548E" w:rsidRPr="00451E63" w:rsidRDefault="00B7548E" w:rsidP="00B7548E">
      <w:pPr>
        <w:ind w:left="567"/>
      </w:pPr>
    </w:p>
    <w:p w14:paraId="01B714FB" w14:textId="710CDB2E" w:rsidR="0023476E" w:rsidRDefault="0023476E" w:rsidP="00B7548E">
      <w:r w:rsidRPr="00E1513F">
        <w:t>In</w:t>
      </w:r>
      <w:r>
        <w:t xml:space="preserve"> </w:t>
      </w:r>
      <w:r w:rsidRPr="00E1513F">
        <w:t>2019,</w:t>
      </w:r>
      <w:r>
        <w:t xml:space="preserve"> </w:t>
      </w:r>
      <w:r w:rsidRPr="00E1513F">
        <w:t>the</w:t>
      </w:r>
      <w:r>
        <w:t xml:space="preserve"> </w:t>
      </w:r>
      <w:r w:rsidRPr="00E1513F">
        <w:t>Royal</w:t>
      </w:r>
      <w:r>
        <w:t xml:space="preserve"> </w:t>
      </w:r>
      <w:r w:rsidRPr="00E1513F">
        <w:t>Australian</w:t>
      </w:r>
      <w:r>
        <w:t xml:space="preserve"> </w:t>
      </w:r>
      <w:r w:rsidRPr="00E1513F">
        <w:t>and</w:t>
      </w:r>
      <w:r>
        <w:t xml:space="preserve"> </w:t>
      </w:r>
      <w:r w:rsidRPr="00E1513F">
        <w:t>New</w:t>
      </w:r>
      <w:r>
        <w:t xml:space="preserve"> </w:t>
      </w:r>
      <w:r w:rsidRPr="00E1513F">
        <w:t>Zealand</w:t>
      </w:r>
      <w:r>
        <w:t xml:space="preserve"> </w:t>
      </w:r>
      <w:r w:rsidRPr="00E1513F">
        <w:t>College</w:t>
      </w:r>
      <w:r>
        <w:t xml:space="preserve"> </w:t>
      </w:r>
      <w:r w:rsidRPr="00E1513F">
        <w:t>of</w:t>
      </w:r>
      <w:r>
        <w:t xml:space="preserve"> </w:t>
      </w:r>
      <w:r w:rsidRPr="00E1513F">
        <w:t>Psychiatrists</w:t>
      </w:r>
      <w:r>
        <w:t xml:space="preserve"> (RANZCP) </w:t>
      </w:r>
      <w:r w:rsidRPr="00E1513F">
        <w:t>endorsed</w:t>
      </w:r>
      <w:r>
        <w:t xml:space="preserve"> </w:t>
      </w:r>
      <w:r w:rsidRPr="00E1513F">
        <w:t>a</w:t>
      </w:r>
      <w:r>
        <w:t xml:space="preserve"> ‘</w:t>
      </w:r>
      <w:r w:rsidRPr="00760BB4">
        <w:rPr>
          <w:iCs/>
        </w:rPr>
        <w:t>Guideline for safe care for patients sedated in health care facilities for acute behavioural disturbance</w:t>
      </w:r>
      <w:r>
        <w:t>’</w:t>
      </w:r>
      <w:r w:rsidRPr="004226AE">
        <w:t>.</w:t>
      </w:r>
      <w:r w:rsidRPr="004226AE">
        <w:rPr>
          <w:vertAlign w:val="superscript"/>
        </w:rPr>
        <w:footnoteReference w:id="42"/>
      </w:r>
      <w:r>
        <w:t xml:space="preserve"> The document </w:t>
      </w:r>
      <w:r w:rsidRPr="007F5B87">
        <w:t>sets</w:t>
      </w:r>
      <w:r>
        <w:t xml:space="preserve"> </w:t>
      </w:r>
      <w:r w:rsidRPr="007F5B87">
        <w:t>the</w:t>
      </w:r>
      <w:r>
        <w:t xml:space="preserve"> </w:t>
      </w:r>
      <w:r w:rsidRPr="007F5B87">
        <w:t>minimum</w:t>
      </w:r>
      <w:r>
        <w:t xml:space="preserve"> </w:t>
      </w:r>
      <w:r w:rsidRPr="007F5B87">
        <w:t>safety</w:t>
      </w:r>
      <w:r>
        <w:t xml:space="preserve"> </w:t>
      </w:r>
      <w:r w:rsidRPr="007F5B87">
        <w:t>standards</w:t>
      </w:r>
      <w:r>
        <w:t xml:space="preserve"> </w:t>
      </w:r>
      <w:r w:rsidRPr="007F5B87">
        <w:t>required</w:t>
      </w:r>
      <w:r>
        <w:t xml:space="preserve"> </w:t>
      </w:r>
      <w:r w:rsidRPr="007F5B87">
        <w:t>in</w:t>
      </w:r>
      <w:r>
        <w:t xml:space="preserve"> </w:t>
      </w:r>
      <w:r w:rsidRPr="007F5B87">
        <w:t>caring</w:t>
      </w:r>
      <w:r>
        <w:t xml:space="preserve"> </w:t>
      </w:r>
      <w:r w:rsidRPr="007F5B87">
        <w:t>for</w:t>
      </w:r>
      <w:r>
        <w:t xml:space="preserve"> people </w:t>
      </w:r>
      <w:r w:rsidRPr="007F5B87">
        <w:t>where</w:t>
      </w:r>
      <w:r>
        <w:t xml:space="preserve"> </w:t>
      </w:r>
      <w:r w:rsidRPr="007F5B87">
        <w:t>sedation</w:t>
      </w:r>
      <w:r>
        <w:t xml:space="preserve"> </w:t>
      </w:r>
      <w:r w:rsidRPr="007F5B87">
        <w:t>is</w:t>
      </w:r>
      <w:r>
        <w:t xml:space="preserve"> </w:t>
      </w:r>
      <w:r w:rsidRPr="007F5B87">
        <w:t>used</w:t>
      </w:r>
      <w:r>
        <w:t xml:space="preserve"> </w:t>
      </w:r>
      <w:r w:rsidRPr="007F5B87">
        <w:t>to</w:t>
      </w:r>
      <w:r>
        <w:t xml:space="preserve"> </w:t>
      </w:r>
      <w:r w:rsidRPr="007F5B87">
        <w:t>control</w:t>
      </w:r>
      <w:r>
        <w:t xml:space="preserve"> behaviour that is ’</w:t>
      </w:r>
      <w:r w:rsidRPr="00544F8A">
        <w:t>judged</w:t>
      </w:r>
      <w:r>
        <w:t xml:space="preserve"> </w:t>
      </w:r>
      <w:r w:rsidRPr="00544F8A">
        <w:t>to</w:t>
      </w:r>
      <w:r>
        <w:t xml:space="preserve"> </w:t>
      </w:r>
      <w:r w:rsidRPr="00544F8A">
        <w:t>have</w:t>
      </w:r>
      <w:r>
        <w:t xml:space="preserve"> </w:t>
      </w:r>
      <w:r w:rsidRPr="00544F8A">
        <w:t>the</w:t>
      </w:r>
      <w:r>
        <w:t xml:space="preserve"> </w:t>
      </w:r>
      <w:r w:rsidRPr="00544F8A">
        <w:t>potential</w:t>
      </w:r>
      <w:r>
        <w:t xml:space="preserve"> </w:t>
      </w:r>
      <w:r w:rsidRPr="00544F8A">
        <w:t>to</w:t>
      </w:r>
      <w:r>
        <w:t xml:space="preserve"> </w:t>
      </w:r>
      <w:r w:rsidRPr="00544F8A">
        <w:t>result</w:t>
      </w:r>
      <w:r>
        <w:t xml:space="preserve"> </w:t>
      </w:r>
      <w:r w:rsidRPr="00544F8A">
        <w:t>in</w:t>
      </w:r>
      <w:r>
        <w:t xml:space="preserve"> </w:t>
      </w:r>
      <w:r w:rsidRPr="00544F8A">
        <w:t>significant</w:t>
      </w:r>
      <w:r>
        <w:t xml:space="preserve"> </w:t>
      </w:r>
      <w:r w:rsidRPr="00544F8A">
        <w:t>harm</w:t>
      </w:r>
      <w:r>
        <w:t xml:space="preserve"> </w:t>
      </w:r>
      <w:r w:rsidRPr="00544F8A">
        <w:t>to</w:t>
      </w:r>
      <w:r>
        <w:t xml:space="preserve"> </w:t>
      </w:r>
      <w:r w:rsidRPr="00544F8A">
        <w:t>the</w:t>
      </w:r>
      <w:r>
        <w:t xml:space="preserve"> </w:t>
      </w:r>
      <w:r w:rsidRPr="00544F8A">
        <w:t>individual</w:t>
      </w:r>
      <w:r>
        <w:t xml:space="preserve"> </w:t>
      </w:r>
      <w:r w:rsidRPr="00544F8A">
        <w:t>themselves,</w:t>
      </w:r>
      <w:r>
        <w:t xml:space="preserve"> </w:t>
      </w:r>
      <w:r w:rsidRPr="00544F8A">
        <w:t>other</w:t>
      </w:r>
      <w:r>
        <w:t xml:space="preserve"> </w:t>
      </w:r>
      <w:r w:rsidRPr="00544F8A">
        <w:t>individuals</w:t>
      </w:r>
      <w:r>
        <w:t xml:space="preserve"> </w:t>
      </w:r>
      <w:r w:rsidRPr="00544F8A">
        <w:t>or</w:t>
      </w:r>
      <w:r>
        <w:t xml:space="preserve"> </w:t>
      </w:r>
      <w:r w:rsidRPr="00544F8A">
        <w:t>property</w:t>
      </w:r>
      <w:r>
        <w:t xml:space="preserve">.’ </w:t>
      </w:r>
      <w:r w:rsidRPr="00E473E0">
        <w:t xml:space="preserve">The guideline notes </w:t>
      </w:r>
      <w:r>
        <w:t xml:space="preserve">at paragraph 6.1 </w:t>
      </w:r>
      <w:r w:rsidRPr="00E473E0">
        <w:t>that</w:t>
      </w:r>
      <w:r w:rsidRPr="00324835">
        <w:t xml:space="preserve"> the </w:t>
      </w:r>
      <w:r>
        <w:t>’</w:t>
      </w:r>
      <w:r w:rsidRPr="005622E8">
        <w:t>primary goal of drug administration for [acute behavioural disturbance] is not specifically to induce sedation but rather to safely manage and modify the disturbed behaviour.</w:t>
      </w:r>
      <w:r>
        <w:t>’</w:t>
      </w:r>
    </w:p>
    <w:p w14:paraId="3B0D14ED" w14:textId="41D885E9" w:rsidR="00B7548E" w:rsidRDefault="00B7548E" w:rsidP="00B7548E"/>
    <w:p w14:paraId="67ACA0CC" w14:textId="2D0F96D2" w:rsidR="0023476E" w:rsidRDefault="0023476E" w:rsidP="00B7548E">
      <w:r w:rsidRPr="2CC988A9">
        <w:t xml:space="preserve">Section 66 of the Mental Health Act </w:t>
      </w:r>
      <w:r>
        <w:t xml:space="preserve">provides that every patient is entitled to </w:t>
      </w:r>
      <w:r w:rsidRPr="2CC988A9">
        <w:t xml:space="preserve">medical treatment and other health care appropriate to </w:t>
      </w:r>
      <w:r>
        <w:t>their</w:t>
      </w:r>
      <w:r w:rsidRPr="2CC988A9">
        <w:t xml:space="preserve"> condition. After the compulsory assessment period and the first month of compulsory treatment, further treatment cannot be given without a person’s consent </w:t>
      </w:r>
      <w:r>
        <w:t>o</w:t>
      </w:r>
      <w:r w:rsidRPr="2CC988A9">
        <w:t xml:space="preserve">r, if they do not or cannot consent, without a supportive second opinion from a psychiatrist who has been approved by the Mental Health Review Tribunal to provide such opinions under section 59 of the Mental Health Act. </w:t>
      </w:r>
    </w:p>
    <w:p w14:paraId="184C0060" w14:textId="5EF44C26" w:rsidR="00B7548E" w:rsidRDefault="00B7548E" w:rsidP="00B7548E"/>
    <w:p w14:paraId="64A1941E" w14:textId="7E3C933B" w:rsidR="0023476E" w:rsidRDefault="0023476E" w:rsidP="00B7548E">
      <w:r>
        <w:t xml:space="preserve">If a person who has received treatment under the Mental Health Act believes that any medication, including sedative medication, has been prescribed to them in a way that is not therapeutic, they may make a complaint to a district inspector or the Health and Disability Commissioner. It is important that providers support people, especially children or young people, to make a complaint. </w:t>
      </w:r>
    </w:p>
    <w:p w14:paraId="25BC23DC" w14:textId="74AC0226" w:rsidR="0023476E" w:rsidRPr="00B7548E" w:rsidRDefault="0023476E" w:rsidP="00B7548E">
      <w:pPr>
        <w:pStyle w:val="Heading2"/>
      </w:pPr>
      <w:bookmarkStart w:id="113" w:name="_Toc120862198"/>
      <w:bookmarkStart w:id="114" w:name="_Toc131663809"/>
      <w:bookmarkStart w:id="115" w:name="_Toc132355312"/>
      <w:bookmarkEnd w:id="113"/>
      <w:r w:rsidRPr="00B7548E">
        <w:lastRenderedPageBreak/>
        <w:t>Leadership and governance</w:t>
      </w:r>
      <w:bookmarkEnd w:id="114"/>
      <w:bookmarkEnd w:id="115"/>
    </w:p>
    <w:p w14:paraId="3DB8640C" w14:textId="351AE3F0" w:rsidR="0023476E" w:rsidRDefault="00B7548E" w:rsidP="00B7548E">
      <w:r w:rsidRPr="00B7548E">
        <w:rPr>
          <w:noProof/>
        </w:rPr>
        <mc:AlternateContent>
          <mc:Choice Requires="wps">
            <w:drawing>
              <wp:anchor distT="0" distB="0" distL="114300" distR="114300" simplePos="0" relativeHeight="251658243" behindDoc="0" locked="0" layoutInCell="1" allowOverlap="1" wp14:anchorId="235A68E0" wp14:editId="4CF0D7C6">
                <wp:simplePos x="0" y="0"/>
                <wp:positionH relativeFrom="column">
                  <wp:posOffset>2961640</wp:posOffset>
                </wp:positionH>
                <wp:positionV relativeFrom="paragraph">
                  <wp:posOffset>53975</wp:posOffset>
                </wp:positionV>
                <wp:extent cx="2210435" cy="1978660"/>
                <wp:effectExtent l="0" t="0" r="18415" b="21590"/>
                <wp:wrapSquare wrapText="bothSides"/>
                <wp:docPr id="1054681689" name="Rectangle 1054681689"/>
                <wp:cNvGraphicFramePr/>
                <a:graphic xmlns:a="http://schemas.openxmlformats.org/drawingml/2006/main">
                  <a:graphicData uri="http://schemas.microsoft.com/office/word/2010/wordprocessingShape">
                    <wps:wsp>
                      <wps:cNvSpPr/>
                      <wps:spPr>
                        <a:xfrm>
                          <a:off x="0" y="0"/>
                          <a:ext cx="2210435" cy="1978660"/>
                        </a:xfrm>
                        <a:prstGeom prst="rect">
                          <a:avLst/>
                        </a:prstGeom>
                        <a:solidFill>
                          <a:srgbClr val="FFFFFF"/>
                        </a:solidFill>
                        <a:ln w="12700" cap="flat" cmpd="sng">
                          <a:solidFill>
                            <a:srgbClr val="0A6AB4"/>
                          </a:solidFill>
                          <a:prstDash val="solid"/>
                          <a:miter lim="800000"/>
                          <a:headEnd type="none" w="sm" len="sm"/>
                          <a:tailEnd type="none" w="sm" len="sm"/>
                        </a:ln>
                      </wps:spPr>
                      <wps:txbx>
                        <w:txbxContent>
                          <w:p w14:paraId="06059F97" w14:textId="77777777" w:rsidR="00A26CD1" w:rsidRPr="002B544F" w:rsidRDefault="00A26CD1" w:rsidP="0023476E">
                            <w:pPr>
                              <w:textDirection w:val="btLr"/>
                              <w:rPr>
                                <w:rFonts w:cs="Segoe UI"/>
                              </w:rPr>
                            </w:pPr>
                            <w:r w:rsidRPr="002B544F">
                              <w:rPr>
                                <w:rFonts w:eastAsia="Quattrocento Sans" w:cs="Segoe UI"/>
                                <w:color w:val="000000"/>
                              </w:rPr>
                              <w:t>Working towards minimising and</w:t>
                            </w:r>
                            <w:r>
                              <w:rPr>
                                <w:rFonts w:eastAsia="Quattrocento Sans" w:cs="Segoe UI"/>
                                <w:color w:val="000000"/>
                              </w:rPr>
                              <w:t>,</w:t>
                            </w:r>
                            <w:r w:rsidRPr="002B544F">
                              <w:rPr>
                                <w:rFonts w:eastAsia="Quattrocento Sans" w:cs="Segoe UI"/>
                                <w:color w:val="000000"/>
                              </w:rPr>
                              <w:t xml:space="preserve"> where possible, eliminating the use of seclusion and restraint requires commitment and leadership to changing practices and continuing investment in the delivery of high-quality care. </w:t>
                            </w:r>
                            <w:r w:rsidRPr="008B6844">
                              <w:rPr>
                                <w:rFonts w:eastAsia="Quattrocento Sans" w:cs="Segoe UI"/>
                                <w:i/>
                                <w:color w:val="0070C0"/>
                              </w:rPr>
                              <w:t>Royal Australian and New Zealand College of Psychiatrists</w:t>
                            </w:r>
                            <w:r w:rsidRPr="002B544F">
                              <w:rPr>
                                <w:rFonts w:eastAsia="Quattrocento Sans" w:cs="Segoe UI"/>
                                <w:i/>
                                <w:color w:val="0070C0"/>
                              </w:rPr>
                              <w:t xml:space="preserve"> Position Statement 61. August 2021</w:t>
                            </w:r>
                            <w:r>
                              <w:rPr>
                                <w:rFonts w:eastAsia="Quattrocento Sans" w:cs="Segoe UI"/>
                                <w:i/>
                                <w:color w:val="0070C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6D73DE1">
              <v:rect id="Rectangle 1054681689" style="position:absolute;margin-left:233.2pt;margin-top:4.25pt;width:174.05pt;height:15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color="#0a6ab4" strokeweight="1pt" w14:anchorId="235A6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">
                <v:stroke startarrowwidth="narrow" startarrowlength="short" endarrowwidth="narrow" endarrowlength="short"/>
                <v:textbox inset="2.53958mm,1.2694mm,2.53958mm,1.2694mm">
                  <w:txbxContent>
                    <w:p w:rsidRPr="002B544F" w:rsidR="00A26CD1" w:rsidP="0023476E" w:rsidRDefault="00A26CD1" w14:paraId="20538DCC" w14:textId="77777777">
                      <w:pPr>
                        <w:textDirection w:val="btLr"/>
                        <w:rPr>
                          <w:rFonts w:cs="Segoe UI"/>
                        </w:rPr>
                      </w:pPr>
                      <w:r w:rsidRPr="002B544F">
                        <w:rPr>
                          <w:rFonts w:eastAsia="Quattrocento Sans" w:cs="Segoe UI"/>
                          <w:color w:val="000000"/>
                        </w:rPr>
                        <w:t>Working towards minimising and</w:t>
                      </w:r>
                      <w:r>
                        <w:rPr>
                          <w:rFonts w:eastAsia="Quattrocento Sans" w:cs="Segoe UI"/>
                          <w:color w:val="000000"/>
                        </w:rPr>
                        <w:t>,</w:t>
                      </w:r>
                      <w:r w:rsidRPr="002B544F">
                        <w:rPr>
                          <w:rFonts w:eastAsia="Quattrocento Sans" w:cs="Segoe UI"/>
                          <w:color w:val="000000"/>
                        </w:rPr>
                        <w:t xml:space="preserve"> where possible, eliminating the use of seclusion and restraint requires commitment and leadership to changing practices and continuing investment in the delivery of high-quality care. </w:t>
                      </w:r>
                      <w:r w:rsidRPr="008B6844">
                        <w:rPr>
                          <w:rFonts w:eastAsia="Quattrocento Sans" w:cs="Segoe UI"/>
                          <w:i/>
                          <w:color w:val="0070C0"/>
                        </w:rPr>
                        <w:t>Royal Australian and New Zealand College of Psychiatrists</w:t>
                      </w:r>
                      <w:r w:rsidRPr="002B544F">
                        <w:rPr>
                          <w:rFonts w:eastAsia="Quattrocento Sans" w:cs="Segoe UI"/>
                          <w:i/>
                          <w:color w:val="0070C0"/>
                        </w:rPr>
                        <w:t xml:space="preserve"> Position Statement 61. August 2021</w:t>
                      </w:r>
                      <w:r>
                        <w:rPr>
                          <w:rFonts w:eastAsia="Quattrocento Sans" w:cs="Segoe UI"/>
                          <w:i/>
                          <w:color w:val="0070C0"/>
                        </w:rPr>
                        <w:t>.</w:t>
                      </w:r>
                    </w:p>
                  </w:txbxContent>
                </v:textbox>
                <w10:wrap type="square"/>
              </v:rect>
            </w:pict>
          </mc:Fallback>
        </mc:AlternateContent>
      </w:r>
      <w:r w:rsidR="0023476E">
        <w:t xml:space="preserve">Leadership and governance at the executive level are essential for services to achieve a seclusion and restraint-free environment. Leadership is one of the </w:t>
      </w:r>
      <w:r w:rsidR="0023476E" w:rsidRPr="005A27B8">
        <w:t>Six Core Strategies©</w:t>
      </w:r>
      <w:r w:rsidR="0023476E">
        <w:t xml:space="preserve"> for reducing seclusion and restraint. Effective leadership is needed to shift culture and attitudes from risk-averse practice to supportive and culturally safe practice. In line with Te Tiriti, leadership and governance need to include Māori representation. </w:t>
      </w:r>
    </w:p>
    <w:p w14:paraId="63A73C09" w14:textId="77777777" w:rsidR="00B7548E" w:rsidRDefault="00B7548E" w:rsidP="00B7548E"/>
    <w:p w14:paraId="65E2F1E1" w14:textId="77777777" w:rsidR="0023476E" w:rsidRDefault="0023476E" w:rsidP="00B7548E">
      <w:r w:rsidRPr="002333AF">
        <w:t>Ngā</w:t>
      </w:r>
      <w:r>
        <w:t xml:space="preserve"> </w:t>
      </w:r>
      <w:r w:rsidRPr="002333AF">
        <w:t>Paerewa</w:t>
      </w:r>
      <w:r>
        <w:t xml:space="preserve"> </w:t>
      </w:r>
      <w:r w:rsidRPr="002333AF">
        <w:t>includes</w:t>
      </w:r>
      <w:r>
        <w:t xml:space="preserve"> criteria for governance and executive leadership, stating that: </w:t>
      </w:r>
    </w:p>
    <w:p w14:paraId="4E66368E" w14:textId="354082A0" w:rsidR="0023476E" w:rsidRPr="001807E8" w:rsidRDefault="0023476E" w:rsidP="00B7548E">
      <w:pPr>
        <w:pStyle w:val="Bullet"/>
      </w:pPr>
      <w:r>
        <w:t>g</w:t>
      </w:r>
      <w:r w:rsidRPr="00451E63">
        <w:t xml:space="preserve">overnance bodies shall demonstrate commitment towards eliminating restraint (Ngā Paerewa </w:t>
      </w:r>
      <w:r>
        <w:t>criterion </w:t>
      </w:r>
      <w:r w:rsidRPr="00451E63">
        <w:t>6.1.1)</w:t>
      </w:r>
    </w:p>
    <w:p w14:paraId="4247BC0E" w14:textId="07C53F52" w:rsidR="0023476E" w:rsidRPr="001807E8" w:rsidRDefault="0023476E" w:rsidP="00B7548E">
      <w:pPr>
        <w:pStyle w:val="Bullet"/>
      </w:pPr>
      <w:r>
        <w:t>s</w:t>
      </w:r>
      <w:r w:rsidRPr="00451E63">
        <w:t xml:space="preserve">ervices providers shall demonstrate a commitment to ensuring that the voice of people </w:t>
      </w:r>
      <w:r>
        <w:t>with lived experience</w:t>
      </w:r>
      <w:r w:rsidRPr="00451E63">
        <w:t xml:space="preserve">, Māori and whānau </w:t>
      </w:r>
      <w:r>
        <w:t>is</w:t>
      </w:r>
      <w:r w:rsidRPr="00451E63">
        <w:t xml:space="preserve"> evident in restraint oversight </w:t>
      </w:r>
      <w:sdt>
        <w:sdtPr>
          <w:tag w:val="goog_rdk_24"/>
          <w:id w:val="-1129475313"/>
          <w:showingPlcHdr/>
        </w:sdtPr>
        <w:sdtContent>
          <w:r w:rsidR="00B7548E">
            <w:t xml:space="preserve">     </w:t>
          </w:r>
        </w:sdtContent>
      </w:sdt>
      <w:r w:rsidRPr="00451E63">
        <w:t xml:space="preserve">groups (Ngā Paerewa </w:t>
      </w:r>
      <w:r>
        <w:t>criterion </w:t>
      </w:r>
      <w:r w:rsidRPr="00451E63">
        <w:t>6.1.2)</w:t>
      </w:r>
    </w:p>
    <w:p w14:paraId="55063017" w14:textId="77777777" w:rsidR="0023476E" w:rsidRPr="001807E8" w:rsidRDefault="0023476E" w:rsidP="00B7548E">
      <w:pPr>
        <w:pStyle w:val="Bullet"/>
      </w:pPr>
      <w:r>
        <w:t>t</w:t>
      </w:r>
      <w:r w:rsidRPr="00451E63">
        <w:t xml:space="preserve">here shall be an executive leader who is responsible for ensuring the commitment to restraint minimisation and elimination is implemented and maintained (Ngā Paerewa </w:t>
      </w:r>
      <w:r>
        <w:t>criterion </w:t>
      </w:r>
      <w:r w:rsidRPr="00451E63">
        <w:t>6.1.3).</w:t>
      </w:r>
    </w:p>
    <w:p w14:paraId="51BA525F" w14:textId="77777777" w:rsidR="00B7548E" w:rsidRDefault="00B7548E" w:rsidP="00B7548E"/>
    <w:p w14:paraId="696FB560" w14:textId="1AC9FB4C" w:rsidR="0023476E" w:rsidRDefault="0023476E" w:rsidP="00B7548E">
      <w:r>
        <w:t xml:space="preserve">Additionally, the </w:t>
      </w:r>
      <w:r w:rsidRPr="00B6194E">
        <w:rPr>
          <w:i/>
        </w:rPr>
        <w:t>Guidelines to the Mental Health Act</w:t>
      </w:r>
      <w:r>
        <w:rPr>
          <w:rStyle w:val="FootnoteReference"/>
          <w:rFonts w:cs="Segoe UI"/>
        </w:rPr>
        <w:footnoteReference w:id="43"/>
      </w:r>
      <w:r>
        <w:t xml:space="preserve"> state that services should:</w:t>
      </w:r>
    </w:p>
    <w:p w14:paraId="7D8E079A" w14:textId="77777777" w:rsidR="0023476E" w:rsidRPr="00321F06" w:rsidRDefault="0023476E" w:rsidP="00B7548E">
      <w:pPr>
        <w:pStyle w:val="Bullet"/>
      </w:pPr>
      <w:r w:rsidRPr="00321F06">
        <w:t>address systemic issues that drive the use of restraint. These include organisational skills and experience, workplace culture and workforce practices</w:t>
      </w:r>
    </w:p>
    <w:p w14:paraId="4CC69615" w14:textId="77777777" w:rsidR="0023476E" w:rsidRPr="00697F17" w:rsidRDefault="0023476E" w:rsidP="00B7548E">
      <w:pPr>
        <w:pStyle w:val="Bullet"/>
        <w:rPr>
          <w:rFonts w:eastAsiaTheme="minorEastAsia"/>
        </w:rPr>
      </w:pPr>
      <w:r w:rsidRPr="00DF29FA">
        <w:t>address the environmental issues that drive the use of restraint. These may include building design, noise levels, line of sight and other issues.</w:t>
      </w:r>
      <w:r w:rsidRPr="00697F17">
        <w:br/>
      </w:r>
      <w:r w:rsidRPr="00697F17">
        <w:br w:type="page"/>
      </w:r>
    </w:p>
    <w:p w14:paraId="0A643E93" w14:textId="60A4A868" w:rsidR="00B7548E" w:rsidRDefault="00B7548E" w:rsidP="00B7548E">
      <w:pPr>
        <w:pStyle w:val="Heading1"/>
        <w:pageBreakBefore w:val="0"/>
        <w:numPr>
          <w:ilvl w:val="0"/>
          <w:numId w:val="0"/>
        </w:numPr>
      </w:pPr>
      <w:bookmarkStart w:id="116" w:name="_Toc131663810"/>
      <w:bookmarkStart w:id="117" w:name="_Toc132355313"/>
      <w:r w:rsidRPr="00B7548E">
        <w:lastRenderedPageBreak/>
        <w:t>Part Two: Preventing seclusion and restraint</w:t>
      </w:r>
      <w:bookmarkEnd w:id="116"/>
      <w:bookmarkEnd w:id="117"/>
    </w:p>
    <w:p w14:paraId="42C13351" w14:textId="7EADC783" w:rsidR="00B7548E" w:rsidRPr="00B7548E" w:rsidRDefault="00B7548E" w:rsidP="00B7548E">
      <w:pPr>
        <w:pStyle w:val="Heading1"/>
        <w:pageBreakBefore w:val="0"/>
        <w:rPr>
          <w:sz w:val="64"/>
          <w:szCs w:val="64"/>
        </w:rPr>
      </w:pPr>
      <w:bookmarkStart w:id="118" w:name="_Toc131663811"/>
      <w:bookmarkStart w:id="119" w:name="_Toc132355314"/>
      <w:r w:rsidRPr="00B7548E">
        <w:rPr>
          <w:sz w:val="64"/>
          <w:szCs w:val="64"/>
        </w:rPr>
        <w:t>Initiatives to reduce and eliminate seclusion and restraint</w:t>
      </w:r>
      <w:bookmarkEnd w:id="118"/>
      <w:bookmarkEnd w:id="119"/>
    </w:p>
    <w:p w14:paraId="08DA80D2" w14:textId="6BCBE153" w:rsidR="00B7548E" w:rsidRPr="001F5A9E" w:rsidRDefault="00E108A1" w:rsidP="00B7548E">
      <w:pPr>
        <w:rPr>
          <w:color w:val="0070C0"/>
        </w:rPr>
      </w:pPr>
      <w:r w:rsidRPr="00B7548E">
        <w:rPr>
          <w:noProof/>
        </w:rPr>
        <mc:AlternateContent>
          <mc:Choice Requires="wps">
            <w:drawing>
              <wp:anchor distT="45720" distB="45720" distL="114300" distR="114300" simplePos="0" relativeHeight="251658244" behindDoc="1" locked="0" layoutInCell="1" hidden="0" allowOverlap="1" wp14:anchorId="17DFDD1D" wp14:editId="654336C9">
                <wp:simplePos x="0" y="0"/>
                <wp:positionH relativeFrom="margin">
                  <wp:posOffset>3242310</wp:posOffset>
                </wp:positionH>
                <wp:positionV relativeFrom="paragraph">
                  <wp:posOffset>-76200</wp:posOffset>
                </wp:positionV>
                <wp:extent cx="1986915" cy="1579880"/>
                <wp:effectExtent l="0" t="0" r="13335" b="20320"/>
                <wp:wrapTight wrapText="bothSides">
                  <wp:wrapPolygon edited="0">
                    <wp:start x="0" y="0"/>
                    <wp:lineTo x="0" y="21617"/>
                    <wp:lineTo x="21538" y="21617"/>
                    <wp:lineTo x="21538" y="0"/>
                    <wp:lineTo x="0" y="0"/>
                  </wp:wrapPolygon>
                </wp:wrapTight>
                <wp:docPr id="228" name="Rectangle 228"/>
                <wp:cNvGraphicFramePr/>
                <a:graphic xmlns:a="http://schemas.openxmlformats.org/drawingml/2006/main">
                  <a:graphicData uri="http://schemas.microsoft.com/office/word/2010/wordprocessingShape">
                    <wps:wsp>
                      <wps:cNvSpPr/>
                      <wps:spPr>
                        <a:xfrm>
                          <a:off x="0" y="0"/>
                          <a:ext cx="1986915" cy="1579880"/>
                        </a:xfrm>
                        <a:prstGeom prst="rect">
                          <a:avLst/>
                        </a:prstGeom>
                        <a:solidFill>
                          <a:srgbClr val="FFFFFF"/>
                        </a:solidFill>
                        <a:ln w="12700" cap="flat" cmpd="sng">
                          <a:solidFill>
                            <a:srgbClr val="0A6AB4"/>
                          </a:solidFill>
                          <a:prstDash val="solid"/>
                          <a:miter lim="800000"/>
                          <a:headEnd type="none" w="sm" len="sm"/>
                          <a:tailEnd type="none" w="sm" len="sm"/>
                        </a:ln>
                      </wps:spPr>
                      <wps:txbx>
                        <w:txbxContent>
                          <w:p w14:paraId="346B4575" w14:textId="77777777" w:rsidR="00A26CD1" w:rsidRPr="002B544F" w:rsidRDefault="00A26CD1" w:rsidP="00B7548E">
                            <w:pPr>
                              <w:textDirection w:val="btLr"/>
                              <w:rPr>
                                <w:rFonts w:cs="Segoe UI"/>
                              </w:rPr>
                            </w:pPr>
                            <w:r w:rsidRPr="002B544F">
                              <w:rPr>
                                <w:rFonts w:eastAsia="Quattrocento Sans" w:cs="Segoe UI"/>
                                <w:color w:val="000000"/>
                              </w:rPr>
                              <w:t xml:space="preserve">People with lived experience </w:t>
                            </w:r>
                            <w:r>
                              <w:rPr>
                                <w:rFonts w:eastAsia="Quattrocento Sans" w:cs="Segoe UI"/>
                                <w:color w:val="000000"/>
                              </w:rPr>
                              <w:t>‘</w:t>
                            </w:r>
                            <w:r w:rsidRPr="002B544F">
                              <w:rPr>
                                <w:rFonts w:eastAsia="Quattrocento Sans" w:cs="Segoe UI"/>
                                <w:color w:val="000000"/>
                              </w:rPr>
                              <w:t xml:space="preserve">trust the service provider is committed to improving policies, systems and processes to ensure </w:t>
                            </w:r>
                            <w:r>
                              <w:rPr>
                                <w:rFonts w:eastAsia="Quattrocento Sans" w:cs="Segoe UI"/>
                                <w:color w:val="000000"/>
                              </w:rPr>
                              <w:t xml:space="preserve">[they are] </w:t>
                            </w:r>
                            <w:r w:rsidRPr="002B544F">
                              <w:rPr>
                                <w:rFonts w:eastAsia="Quattrocento Sans" w:cs="Segoe UI"/>
                                <w:color w:val="000000"/>
                              </w:rPr>
                              <w:t>free from restrictions.</w:t>
                            </w:r>
                            <w:r>
                              <w:rPr>
                                <w:rFonts w:eastAsia="Quattrocento Sans" w:cs="Segoe UI"/>
                                <w:color w:val="000000"/>
                              </w:rPr>
                              <w:t>’</w:t>
                            </w:r>
                          </w:p>
                          <w:p w14:paraId="125477D7" w14:textId="77777777" w:rsidR="00A26CD1" w:rsidRPr="002B544F" w:rsidRDefault="00A26CD1" w:rsidP="00B7548E">
                            <w:pPr>
                              <w:textDirection w:val="btLr"/>
                              <w:rPr>
                                <w:rFonts w:cs="Segoe UI"/>
                              </w:rPr>
                            </w:pPr>
                            <w:r w:rsidRPr="002B544F">
                              <w:rPr>
                                <w:rFonts w:eastAsia="Quattrocento Sans" w:cs="Segoe UI"/>
                                <w:i/>
                                <w:color w:val="0070C0"/>
                              </w:rPr>
                              <w:t xml:space="preserve">Ngā Paerewa </w:t>
                            </w:r>
                            <w:r>
                              <w:rPr>
                                <w:rFonts w:eastAsia="Quattrocento Sans" w:cs="Segoe UI"/>
                                <w:i/>
                                <w:color w:val="0070C0"/>
                              </w:rPr>
                              <w:t>outcome statement, subsection 6.1</w:t>
                            </w:r>
                          </w:p>
                          <w:p w14:paraId="4D8640E1" w14:textId="77777777" w:rsidR="00A26CD1" w:rsidRDefault="00A26CD1" w:rsidP="00B7548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580D01">
              <v:rect id="Rectangle 228" style="position:absolute;margin-left:255.3pt;margin-top:-6pt;width:156.45pt;height:124.4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strokecolor="#0a6ab4" strokeweight="1pt" w14:anchorId="17DFD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">
                <v:stroke startarrowwidth="narrow" startarrowlength="short" endarrowwidth="narrow" endarrowlength="short"/>
                <v:textbox inset="2.53958mm,1.2694mm,2.53958mm,1.2694mm">
                  <w:txbxContent>
                    <w:p w:rsidRPr="002B544F" w:rsidR="00A26CD1" w:rsidP="00B7548E" w:rsidRDefault="00A26CD1" w14:paraId="345EEA50" w14:textId="77777777">
                      <w:pPr>
                        <w:textDirection w:val="btLr"/>
                        <w:rPr>
                          <w:rFonts w:cs="Segoe UI"/>
                        </w:rPr>
                      </w:pPr>
                      <w:r w:rsidRPr="002B544F">
                        <w:rPr>
                          <w:rFonts w:eastAsia="Quattrocento Sans" w:cs="Segoe UI"/>
                          <w:color w:val="000000"/>
                        </w:rPr>
                        <w:t xml:space="preserve">People with lived experience </w:t>
                      </w:r>
                      <w:r>
                        <w:rPr>
                          <w:rFonts w:eastAsia="Quattrocento Sans" w:cs="Segoe UI"/>
                          <w:color w:val="000000"/>
                        </w:rPr>
                        <w:t>‘</w:t>
                      </w:r>
                      <w:r w:rsidRPr="002B544F">
                        <w:rPr>
                          <w:rFonts w:eastAsia="Quattrocento Sans" w:cs="Segoe UI"/>
                          <w:color w:val="000000"/>
                        </w:rPr>
                        <w:t xml:space="preserve">trust the service provider is committed to improving policies, systems and processes to ensure </w:t>
                      </w:r>
                      <w:r>
                        <w:rPr>
                          <w:rFonts w:eastAsia="Quattrocento Sans" w:cs="Segoe UI"/>
                          <w:color w:val="000000"/>
                        </w:rPr>
                        <w:t xml:space="preserve">[they are] </w:t>
                      </w:r>
                      <w:r w:rsidRPr="002B544F">
                        <w:rPr>
                          <w:rFonts w:eastAsia="Quattrocento Sans" w:cs="Segoe UI"/>
                          <w:color w:val="000000"/>
                        </w:rPr>
                        <w:t>free from restrictions.</w:t>
                      </w:r>
                      <w:r>
                        <w:rPr>
                          <w:rFonts w:eastAsia="Quattrocento Sans" w:cs="Segoe UI"/>
                          <w:color w:val="000000"/>
                        </w:rPr>
                        <w:t>’</w:t>
                      </w:r>
                    </w:p>
                    <w:p w:rsidRPr="002B544F" w:rsidR="00A26CD1" w:rsidP="00B7548E" w:rsidRDefault="00A26CD1" w14:paraId="6F457335" w14:textId="77777777">
                      <w:pPr>
                        <w:textDirection w:val="btLr"/>
                        <w:rPr>
                          <w:rFonts w:cs="Segoe UI"/>
                        </w:rPr>
                      </w:pPr>
                      <w:r w:rsidRPr="002B544F">
                        <w:rPr>
                          <w:rFonts w:eastAsia="Quattrocento Sans" w:cs="Segoe UI"/>
                          <w:i/>
                          <w:color w:val="0070C0"/>
                        </w:rPr>
                        <w:t xml:space="preserve">Ngā Paerewa </w:t>
                      </w:r>
                      <w:r>
                        <w:rPr>
                          <w:rFonts w:eastAsia="Quattrocento Sans" w:cs="Segoe UI"/>
                          <w:i/>
                          <w:color w:val="0070C0"/>
                        </w:rPr>
                        <w:t>outcome statement, subsection 6.1</w:t>
                      </w:r>
                    </w:p>
                    <w:p w:rsidR="00A26CD1" w:rsidP="00B7548E" w:rsidRDefault="00A26CD1" w14:paraId="672A6659" w14:textId="77777777">
                      <w:pPr>
                        <w:textDirection w:val="btLr"/>
                      </w:pPr>
                    </w:p>
                  </w:txbxContent>
                </v:textbox>
                <w10:wrap type="tight" anchorx="margin"/>
              </v:rect>
            </w:pict>
          </mc:Fallback>
        </mc:AlternateContent>
      </w:r>
      <w:r w:rsidR="00B7548E" w:rsidRPr="001F5A9E">
        <w:t>This</w:t>
      </w:r>
      <w:r w:rsidR="00B7548E">
        <w:t xml:space="preserve"> </w:t>
      </w:r>
      <w:r w:rsidR="00B7548E" w:rsidRPr="001F5A9E">
        <w:t>section</w:t>
      </w:r>
      <w:r w:rsidR="00B7548E">
        <w:t xml:space="preserve"> </w:t>
      </w:r>
      <w:r w:rsidR="00B7548E" w:rsidRPr="000A3EE9">
        <w:t>sets out the ev</w:t>
      </w:r>
      <w:r w:rsidR="00B7548E">
        <w:t xml:space="preserve">idence-based initiatives and resources that have been developed by, and for, mental health and addiction service providers to support least restrictive practice and the reduction and elimination of seclusion and restraint in partnership with Māori, whānau and people with lived experience of mental distress. This is not an exhaustive list but sets out key actions to reduce and eliminate seclusion and restraint. </w:t>
      </w:r>
    </w:p>
    <w:p w14:paraId="418CBC53" w14:textId="77777777" w:rsidR="00B7548E" w:rsidRPr="00B7548E" w:rsidRDefault="00B7548E" w:rsidP="00B7548E">
      <w:pPr>
        <w:pStyle w:val="Heading2"/>
      </w:pPr>
      <w:bookmarkStart w:id="120" w:name="_Six_Core_Strategies"/>
      <w:bookmarkStart w:id="121" w:name="_Toc103152111"/>
      <w:bookmarkStart w:id="122" w:name="_Toc105770631"/>
      <w:bookmarkStart w:id="123" w:name="_Toc131663812"/>
      <w:bookmarkStart w:id="124" w:name="_Toc132355315"/>
      <w:bookmarkEnd w:id="120"/>
      <w:r w:rsidRPr="00B7548E">
        <w:t>Six Core Strategies</w:t>
      </w:r>
      <w:bookmarkEnd w:id="121"/>
      <w:bookmarkEnd w:id="122"/>
      <w:bookmarkEnd w:id="123"/>
      <w:bookmarkEnd w:id="124"/>
    </w:p>
    <w:p w14:paraId="4F21934B" w14:textId="07902D5C" w:rsidR="00B7548E" w:rsidRDefault="00B7548E" w:rsidP="00E108A1">
      <w:r w:rsidRPr="001F5A9E">
        <w:t>The</w:t>
      </w:r>
      <w:r>
        <w:t xml:space="preserve"> </w:t>
      </w:r>
      <w:r w:rsidRPr="001F5A9E">
        <w:t>Six</w:t>
      </w:r>
      <w:r>
        <w:t xml:space="preserve"> </w:t>
      </w:r>
      <w:r w:rsidRPr="001F5A9E">
        <w:t>Core</w:t>
      </w:r>
      <w:r>
        <w:t xml:space="preserve"> </w:t>
      </w:r>
      <w:r w:rsidRPr="001F5A9E">
        <w:t>Strategies©</w:t>
      </w:r>
      <w:r>
        <w:t xml:space="preserve"> </w:t>
      </w:r>
      <w:r w:rsidRPr="001F5A9E">
        <w:t>are</w:t>
      </w:r>
      <w:r>
        <w:t xml:space="preserve"> </w:t>
      </w:r>
      <w:r w:rsidRPr="001F5A9E">
        <w:t>evidence-informed</w:t>
      </w:r>
      <w:r>
        <w:t xml:space="preserve">, effective </w:t>
      </w:r>
      <w:r w:rsidRPr="001F5A9E">
        <w:t>approaches</w:t>
      </w:r>
      <w:r>
        <w:t xml:space="preserve"> to reduce </w:t>
      </w:r>
      <w:r w:rsidRPr="001F5A9E">
        <w:t>seclusion</w:t>
      </w:r>
      <w:r>
        <w:t xml:space="preserve"> </w:t>
      </w:r>
      <w:r w:rsidRPr="001F5A9E">
        <w:t>and</w:t>
      </w:r>
      <w:r>
        <w:t xml:space="preserve"> </w:t>
      </w:r>
      <w:r w:rsidRPr="001F5A9E">
        <w:t>restraint</w:t>
      </w:r>
      <w:r>
        <w:t xml:space="preserve"> </w:t>
      </w:r>
      <w:r w:rsidRPr="001F5A9E">
        <w:t>events</w:t>
      </w:r>
      <w:r>
        <w:t xml:space="preserve"> for both adults and young people</w:t>
      </w:r>
      <w:r w:rsidRPr="001F5A9E">
        <w:t>.</w:t>
      </w:r>
      <w:r w:rsidRPr="00145063">
        <w:rPr>
          <w:vertAlign w:val="superscript"/>
        </w:rPr>
        <w:footnoteReference w:id="44"/>
      </w:r>
      <w:r w:rsidRPr="00407BF1">
        <w:rPr>
          <w:vertAlign w:val="superscript"/>
        </w:rPr>
        <w:t>,</w:t>
      </w:r>
      <w:r>
        <w:rPr>
          <w:rStyle w:val="FootnoteReference"/>
          <w:rFonts w:cs="Segoe UI"/>
        </w:rPr>
        <w:footnoteReference w:id="45"/>
      </w:r>
      <w:r>
        <w:t xml:space="preserve"> </w:t>
      </w:r>
      <w:r w:rsidRPr="001F5A9E">
        <w:t>Te</w:t>
      </w:r>
      <w:r>
        <w:t xml:space="preserve"> </w:t>
      </w:r>
      <w:r w:rsidRPr="001F5A9E">
        <w:t>Pou</w:t>
      </w:r>
      <w:r>
        <w:t xml:space="preserve"> </w:t>
      </w:r>
      <w:r w:rsidRPr="001F5A9E">
        <w:t>has</w:t>
      </w:r>
      <w:r>
        <w:t xml:space="preserve"> </w:t>
      </w:r>
      <w:r w:rsidRPr="001F5A9E">
        <w:t>adapted</w:t>
      </w:r>
      <w:r>
        <w:t xml:space="preserve"> </w:t>
      </w:r>
      <w:r w:rsidRPr="001F5A9E">
        <w:t>the</w:t>
      </w:r>
      <w:r>
        <w:t xml:space="preserve"> </w:t>
      </w:r>
      <w:r w:rsidRPr="001F5A9E">
        <w:t>Six</w:t>
      </w:r>
      <w:r>
        <w:t xml:space="preserve"> </w:t>
      </w:r>
      <w:r w:rsidRPr="001F5A9E">
        <w:t>Core</w:t>
      </w:r>
      <w:r>
        <w:t xml:space="preserve"> </w:t>
      </w:r>
      <w:r w:rsidRPr="001F5A9E">
        <w:t>Strategies©</w:t>
      </w:r>
      <w:r>
        <w:t xml:space="preserve"> and </w:t>
      </w:r>
      <w:r w:rsidRPr="001F5A9E">
        <w:t>support</w:t>
      </w:r>
      <w:r w:rsidRPr="0051706F">
        <w:t>s</w:t>
      </w:r>
      <w:r>
        <w:t xml:space="preserve"> </w:t>
      </w:r>
      <w:r w:rsidRPr="001F5A9E">
        <w:t>services</w:t>
      </w:r>
      <w:r>
        <w:t xml:space="preserve"> </w:t>
      </w:r>
      <w:r w:rsidRPr="001F5A9E">
        <w:t>to</w:t>
      </w:r>
      <w:r>
        <w:t xml:space="preserve"> </w:t>
      </w:r>
      <w:r w:rsidRPr="001F5A9E">
        <w:t>implement</w:t>
      </w:r>
      <w:r>
        <w:t xml:space="preserve"> </w:t>
      </w:r>
      <w:r w:rsidRPr="001F5A9E">
        <w:t>the</w:t>
      </w:r>
      <w:r>
        <w:t xml:space="preserve">m </w:t>
      </w:r>
      <w:r w:rsidRPr="001F5A9E">
        <w:t>within</w:t>
      </w:r>
      <w:r>
        <w:t xml:space="preserve"> an </w:t>
      </w:r>
      <w:r w:rsidRPr="001F5A9E">
        <w:t>Aotearoa</w:t>
      </w:r>
      <w:r>
        <w:t xml:space="preserve"> </w:t>
      </w:r>
      <w:r w:rsidRPr="001F5A9E">
        <w:t>New</w:t>
      </w:r>
      <w:r>
        <w:t xml:space="preserve"> </w:t>
      </w:r>
      <w:r w:rsidRPr="001F5A9E">
        <w:t>Zealand</w:t>
      </w:r>
      <w:r>
        <w:t xml:space="preserve"> context</w:t>
      </w:r>
      <w:r w:rsidRPr="001F5A9E">
        <w:t>.</w:t>
      </w:r>
      <w:r>
        <w:t xml:space="preserve"> </w:t>
      </w:r>
    </w:p>
    <w:p w14:paraId="4128CDCE" w14:textId="77777777" w:rsidR="00E108A1" w:rsidRPr="001F5A9E" w:rsidRDefault="00E108A1" w:rsidP="00E108A1"/>
    <w:p w14:paraId="561C879A" w14:textId="77777777" w:rsidR="00B7548E" w:rsidRPr="001F5A9E" w:rsidRDefault="00B7548E" w:rsidP="00E108A1">
      <w:r w:rsidRPr="001F5A9E">
        <w:t>The</w:t>
      </w:r>
      <w:r>
        <w:t xml:space="preserve"> </w:t>
      </w:r>
      <w:r w:rsidRPr="001F5A9E">
        <w:t>Six</w:t>
      </w:r>
      <w:r>
        <w:t xml:space="preserve"> </w:t>
      </w:r>
      <w:r w:rsidRPr="001F5A9E">
        <w:t>Core</w:t>
      </w:r>
      <w:r>
        <w:t xml:space="preserve"> </w:t>
      </w:r>
      <w:r w:rsidRPr="001F5A9E">
        <w:t>Strategies©</w:t>
      </w:r>
      <w:r>
        <w:t xml:space="preserve"> </w:t>
      </w:r>
      <w:r w:rsidRPr="001F5A9E">
        <w:t>service</w:t>
      </w:r>
      <w:r>
        <w:t xml:space="preserve"> </w:t>
      </w:r>
      <w:r w:rsidRPr="001F5A9E">
        <w:t>review</w:t>
      </w:r>
      <w:r>
        <w:t xml:space="preserve"> </w:t>
      </w:r>
      <w:r w:rsidRPr="001F5A9E">
        <w:t>tool</w:t>
      </w:r>
      <w:r>
        <w:t xml:space="preserve"> </w:t>
      </w:r>
      <w:r w:rsidRPr="001F5A9E">
        <w:t>(2020)</w:t>
      </w:r>
      <w:r w:rsidRPr="00145063">
        <w:rPr>
          <w:vertAlign w:val="superscript"/>
        </w:rPr>
        <w:footnoteReference w:id="46"/>
      </w:r>
      <w:r>
        <w:t xml:space="preserve"> </w:t>
      </w:r>
      <w:r w:rsidRPr="001F5A9E">
        <w:t>aims</w:t>
      </w:r>
      <w:r>
        <w:t xml:space="preserve"> </w:t>
      </w:r>
      <w:r w:rsidRPr="001F5A9E">
        <w:t>to</w:t>
      </w:r>
      <w:r>
        <w:t xml:space="preserve"> </w:t>
      </w:r>
      <w:r w:rsidRPr="001F5A9E">
        <w:t>support</w:t>
      </w:r>
      <w:r>
        <w:t xml:space="preserve"> </w:t>
      </w:r>
      <w:r w:rsidRPr="001F5A9E">
        <w:t>leaders</w:t>
      </w:r>
      <w:r>
        <w:t xml:space="preserve"> </w:t>
      </w:r>
      <w:r w:rsidRPr="001F5A9E">
        <w:t>and</w:t>
      </w:r>
      <w:r>
        <w:t xml:space="preserve"> </w:t>
      </w:r>
      <w:r w:rsidRPr="001F5A9E">
        <w:t>managers</w:t>
      </w:r>
      <w:r>
        <w:t xml:space="preserve"> </w:t>
      </w:r>
      <w:r w:rsidRPr="001F5A9E">
        <w:t>in</w:t>
      </w:r>
      <w:r>
        <w:t xml:space="preserve"> </w:t>
      </w:r>
      <w:r w:rsidRPr="001F5A9E">
        <w:t>implementing</w:t>
      </w:r>
      <w:r>
        <w:t xml:space="preserve"> </w:t>
      </w:r>
      <w:r w:rsidRPr="001F5A9E">
        <w:t>the</w:t>
      </w:r>
      <w:r>
        <w:t xml:space="preserve"> </w:t>
      </w:r>
      <w:r w:rsidRPr="001F5A9E">
        <w:t>Six</w:t>
      </w:r>
      <w:r>
        <w:t xml:space="preserve"> </w:t>
      </w:r>
      <w:r w:rsidRPr="001F5A9E">
        <w:t>Core</w:t>
      </w:r>
      <w:r>
        <w:t xml:space="preserve"> </w:t>
      </w:r>
      <w:r w:rsidRPr="001F5A9E">
        <w:t>Strategies©</w:t>
      </w:r>
      <w:r>
        <w:t xml:space="preserve"> </w:t>
      </w:r>
      <w:r w:rsidRPr="001F5A9E">
        <w:t>in</w:t>
      </w:r>
      <w:r>
        <w:t xml:space="preserve"> </w:t>
      </w:r>
      <w:r w:rsidRPr="001F5A9E">
        <w:t>mental</w:t>
      </w:r>
      <w:r>
        <w:t xml:space="preserve"> </w:t>
      </w:r>
      <w:r w:rsidRPr="001F5A9E">
        <w:t>health</w:t>
      </w:r>
      <w:r>
        <w:t xml:space="preserve"> </w:t>
      </w:r>
      <w:r w:rsidRPr="001F5A9E">
        <w:t>services.</w:t>
      </w:r>
      <w:r>
        <w:t xml:space="preserve"> </w:t>
      </w:r>
      <w:r w:rsidRPr="001F5A9E">
        <w:t>The</w:t>
      </w:r>
      <w:r>
        <w:t xml:space="preserve"> </w:t>
      </w:r>
      <w:r w:rsidRPr="001F5A9E">
        <w:t>tool</w:t>
      </w:r>
      <w:r>
        <w:t xml:space="preserve"> </w:t>
      </w:r>
      <w:r w:rsidRPr="001F5A9E">
        <w:t>is</w:t>
      </w:r>
      <w:r>
        <w:t xml:space="preserve"> </w:t>
      </w:r>
      <w:r w:rsidRPr="001F5A9E">
        <w:t>designed</w:t>
      </w:r>
      <w:r>
        <w:t xml:space="preserve"> </w:t>
      </w:r>
      <w:r w:rsidRPr="001F5A9E">
        <w:t>to</w:t>
      </w:r>
      <w:r>
        <w:t xml:space="preserve"> </w:t>
      </w:r>
      <w:r w:rsidRPr="001F5A9E">
        <w:t>help</w:t>
      </w:r>
      <w:r>
        <w:t xml:space="preserve"> </w:t>
      </w:r>
      <w:r w:rsidRPr="001F5A9E">
        <w:t>services</w:t>
      </w:r>
      <w:r>
        <w:t xml:space="preserve"> </w:t>
      </w:r>
      <w:r w:rsidRPr="001F5A9E">
        <w:t>to</w:t>
      </w:r>
      <w:r>
        <w:t xml:space="preserve"> </w:t>
      </w:r>
      <w:r w:rsidRPr="001F5A9E">
        <w:t>regularly</w:t>
      </w:r>
      <w:r>
        <w:t xml:space="preserve"> </w:t>
      </w:r>
      <w:r w:rsidRPr="001F5A9E">
        <w:t>review</w:t>
      </w:r>
      <w:r>
        <w:t xml:space="preserve"> </w:t>
      </w:r>
      <w:r w:rsidRPr="001F5A9E">
        <w:t>their</w:t>
      </w:r>
      <w:r>
        <w:t xml:space="preserve"> </w:t>
      </w:r>
      <w:r w:rsidRPr="001F5A9E">
        <w:t>progress</w:t>
      </w:r>
      <w:r>
        <w:t xml:space="preserve"> </w:t>
      </w:r>
      <w:r w:rsidRPr="001F5A9E">
        <w:t>in</w:t>
      </w:r>
      <w:r>
        <w:t xml:space="preserve"> </w:t>
      </w:r>
      <w:r w:rsidRPr="001F5A9E">
        <w:t>shifting</w:t>
      </w:r>
      <w:r>
        <w:t xml:space="preserve"> </w:t>
      </w:r>
      <w:r w:rsidRPr="001F5A9E">
        <w:t>towards</w:t>
      </w:r>
      <w:r>
        <w:t xml:space="preserve"> </w:t>
      </w:r>
      <w:r w:rsidRPr="001F5A9E">
        <w:t>least</w:t>
      </w:r>
      <w:r>
        <w:t xml:space="preserve"> </w:t>
      </w:r>
      <w:r w:rsidRPr="001F5A9E">
        <w:t>restrictive</w:t>
      </w:r>
      <w:r>
        <w:t xml:space="preserve"> </w:t>
      </w:r>
      <w:r w:rsidRPr="0051706F">
        <w:t>practices</w:t>
      </w:r>
      <w:r>
        <w:t xml:space="preserve"> </w:t>
      </w:r>
      <w:r w:rsidRPr="001F5A9E">
        <w:t>through</w:t>
      </w:r>
      <w:r>
        <w:t xml:space="preserve"> </w:t>
      </w:r>
      <w:r w:rsidRPr="001F5A9E">
        <w:t>identifying</w:t>
      </w:r>
      <w:r>
        <w:t xml:space="preserve"> </w:t>
      </w:r>
      <w:r w:rsidRPr="001F5A9E">
        <w:t>key</w:t>
      </w:r>
      <w:r>
        <w:t xml:space="preserve"> </w:t>
      </w:r>
      <w:r w:rsidRPr="001F5A9E">
        <w:t>priorities</w:t>
      </w:r>
      <w:r>
        <w:t xml:space="preserve"> </w:t>
      </w:r>
      <w:r w:rsidRPr="001F5A9E">
        <w:t>and</w:t>
      </w:r>
      <w:r>
        <w:t xml:space="preserve"> </w:t>
      </w:r>
      <w:r w:rsidRPr="001F5A9E">
        <w:t>supporting</w:t>
      </w:r>
      <w:r>
        <w:t xml:space="preserve"> </w:t>
      </w:r>
      <w:r w:rsidRPr="001F5A9E">
        <w:t>ongoing</w:t>
      </w:r>
      <w:r>
        <w:t xml:space="preserve"> </w:t>
      </w:r>
      <w:r w:rsidRPr="001F5A9E">
        <w:t>quality</w:t>
      </w:r>
      <w:r>
        <w:t xml:space="preserve"> </w:t>
      </w:r>
      <w:r w:rsidRPr="001F5A9E">
        <w:t>improvement</w:t>
      </w:r>
      <w:r>
        <w:t xml:space="preserve"> </w:t>
      </w:r>
      <w:r w:rsidRPr="001F5A9E">
        <w:t>and</w:t>
      </w:r>
      <w:r>
        <w:t xml:space="preserve"> </w:t>
      </w:r>
      <w:r w:rsidRPr="001F5A9E">
        <w:t>systems</w:t>
      </w:r>
      <w:r>
        <w:t xml:space="preserve"> </w:t>
      </w:r>
      <w:r w:rsidRPr="001F5A9E">
        <w:t>change.</w:t>
      </w:r>
    </w:p>
    <w:p w14:paraId="1F8AF33E" w14:textId="77777777" w:rsidR="00B7548E" w:rsidRDefault="00B7548E" w:rsidP="00E108A1">
      <w:r w:rsidRPr="001F5A9E">
        <w:lastRenderedPageBreak/>
        <w:t>The</w:t>
      </w:r>
      <w:r>
        <w:t xml:space="preserve"> </w:t>
      </w:r>
      <w:r w:rsidRPr="001F5A9E">
        <w:t>Six</w:t>
      </w:r>
      <w:r>
        <w:t xml:space="preserve"> </w:t>
      </w:r>
      <w:r w:rsidRPr="001F5A9E">
        <w:t>Core</w:t>
      </w:r>
      <w:r>
        <w:t xml:space="preserve"> </w:t>
      </w:r>
      <w:r w:rsidRPr="001F5A9E">
        <w:t>Strategies©</w:t>
      </w:r>
      <w:r>
        <w:t xml:space="preserve"> </w:t>
      </w:r>
      <w:r w:rsidRPr="001F5A9E">
        <w:t>resources</w:t>
      </w:r>
      <w:r>
        <w:t xml:space="preserve"> </w:t>
      </w:r>
      <w:r w:rsidRPr="001F5A9E">
        <w:t>are</w:t>
      </w:r>
      <w:r>
        <w:t xml:space="preserve"> </w:t>
      </w:r>
      <w:r w:rsidRPr="001F5A9E">
        <w:t>available</w:t>
      </w:r>
      <w:r>
        <w:t xml:space="preserve"> </w:t>
      </w:r>
      <w:r w:rsidRPr="001F5A9E">
        <w:t>on</w:t>
      </w:r>
      <w:r>
        <w:t xml:space="preserve"> </w:t>
      </w:r>
      <w:r w:rsidRPr="00131A76">
        <w:rPr>
          <w:rFonts w:eastAsia="Quattrocento Sans"/>
        </w:rPr>
        <w:t>th</w:t>
      </w:r>
      <w:sdt>
        <w:sdtPr>
          <w:tag w:val="goog_rdk_11"/>
          <w:id w:val="-1884627572"/>
        </w:sdtPr>
        <w:sdtContent>
          <w:r w:rsidRPr="00131A76">
            <w:rPr>
              <w:rFonts w:eastAsia="Quattrocento Sans"/>
            </w:rPr>
            <w:t>e</w:t>
          </w:r>
        </w:sdtContent>
      </w:sdt>
      <w:r>
        <w:t xml:space="preserve"> </w:t>
      </w:r>
      <w:r w:rsidRPr="001F5A9E">
        <w:t>Te</w:t>
      </w:r>
      <w:r>
        <w:t xml:space="preserve"> </w:t>
      </w:r>
      <w:r w:rsidRPr="001F5A9E">
        <w:t>Pou</w:t>
      </w:r>
      <w:r>
        <w:t xml:space="preserve"> </w:t>
      </w:r>
      <w:r w:rsidRPr="001F5A9E">
        <w:t>website.</w:t>
      </w:r>
      <w:r w:rsidRPr="00145063">
        <w:rPr>
          <w:vertAlign w:val="superscript"/>
        </w:rPr>
        <w:footnoteReference w:id="47"/>
      </w:r>
      <w:r>
        <w:t xml:space="preserve"> </w:t>
      </w:r>
      <w:r w:rsidRPr="001F5A9E">
        <w:t>The</w:t>
      </w:r>
      <w:r>
        <w:t xml:space="preserve"> </w:t>
      </w:r>
      <w:r w:rsidRPr="001F5A9E">
        <w:t>tool</w:t>
      </w:r>
      <w:r>
        <w:t xml:space="preserve"> </w:t>
      </w:r>
      <w:r w:rsidRPr="001F5A9E">
        <w:t>includes</w:t>
      </w:r>
      <w:r>
        <w:t xml:space="preserve"> </w:t>
      </w:r>
      <w:r w:rsidRPr="001F5A9E">
        <w:t>a</w:t>
      </w:r>
      <w:r>
        <w:t xml:space="preserve"> </w:t>
      </w:r>
      <w:r w:rsidRPr="001F5A9E">
        <w:t>commitment</w:t>
      </w:r>
      <w:r>
        <w:t xml:space="preserve"> </w:t>
      </w:r>
      <w:r w:rsidRPr="001F5A9E">
        <w:t>to</w:t>
      </w:r>
      <w:r>
        <w:t xml:space="preserve"> </w:t>
      </w:r>
      <w:r w:rsidRPr="001F5A9E">
        <w:t>the</w:t>
      </w:r>
      <w:r>
        <w:t xml:space="preserve"> </w:t>
      </w:r>
      <w:r w:rsidRPr="001F5A9E">
        <w:t>principles</w:t>
      </w:r>
      <w:r>
        <w:t xml:space="preserve"> </w:t>
      </w:r>
      <w:r w:rsidRPr="001F5A9E">
        <w:t>of</w:t>
      </w:r>
      <w:r>
        <w:t xml:space="preserve"> </w:t>
      </w:r>
      <w:r w:rsidRPr="001F5A9E">
        <w:t>Te</w:t>
      </w:r>
      <w:r>
        <w:t xml:space="preserve"> </w:t>
      </w:r>
      <w:r w:rsidRPr="001F5A9E">
        <w:t>Tiriti</w:t>
      </w:r>
      <w:r>
        <w:t xml:space="preserve"> </w:t>
      </w:r>
      <w:r w:rsidRPr="001F5A9E">
        <w:t>and</w:t>
      </w:r>
      <w:r>
        <w:t xml:space="preserve"> </w:t>
      </w:r>
      <w:r w:rsidRPr="001F5A9E">
        <w:t>cultural</w:t>
      </w:r>
      <w:r>
        <w:t xml:space="preserve">, human-rights and trauma </w:t>
      </w:r>
      <w:r w:rsidRPr="001F5A9E">
        <w:t>informed</w:t>
      </w:r>
      <w:r>
        <w:t xml:space="preserve"> </w:t>
      </w:r>
      <w:r w:rsidRPr="001F5A9E">
        <w:t>approaches.</w:t>
      </w:r>
      <w:r>
        <w:t xml:space="preserve"> The 6 core strategy areas are:</w:t>
      </w:r>
    </w:p>
    <w:p w14:paraId="30A25243" w14:textId="77777777" w:rsidR="00B7548E" w:rsidRPr="00D66D5C" w:rsidRDefault="00B7548E" w:rsidP="00E108A1">
      <w:pPr>
        <w:pStyle w:val="Bullet"/>
      </w:pPr>
      <w:r>
        <w:t>l</w:t>
      </w:r>
      <w:r w:rsidRPr="00D66D5C">
        <w:t>eadership towards organisational change</w:t>
      </w:r>
    </w:p>
    <w:p w14:paraId="5E3AABC8" w14:textId="77777777" w:rsidR="00B7548E" w:rsidRPr="00D66D5C" w:rsidRDefault="00B7548E" w:rsidP="00E108A1">
      <w:pPr>
        <w:pStyle w:val="Bullet"/>
      </w:pPr>
      <w:r>
        <w:t>f</w:t>
      </w:r>
      <w:r w:rsidRPr="00D66D5C">
        <w:t xml:space="preserve">ull inclusion of </w:t>
      </w:r>
      <w:r w:rsidRPr="00A938F8">
        <w:t>lived experience</w:t>
      </w:r>
    </w:p>
    <w:p w14:paraId="0BDCF086" w14:textId="77777777" w:rsidR="00B7548E" w:rsidRPr="00D66D5C" w:rsidRDefault="00B7548E" w:rsidP="00E108A1">
      <w:pPr>
        <w:pStyle w:val="Bullet"/>
      </w:pPr>
      <w:r>
        <w:t>u</w:t>
      </w:r>
      <w:r w:rsidRPr="00D66D5C">
        <w:t>sing data to inform practice</w:t>
      </w:r>
    </w:p>
    <w:p w14:paraId="3604087E" w14:textId="77777777" w:rsidR="00B7548E" w:rsidRPr="00D66D5C" w:rsidRDefault="00B7548E" w:rsidP="00E108A1">
      <w:pPr>
        <w:pStyle w:val="Bullet"/>
      </w:pPr>
      <w:r>
        <w:t>w</w:t>
      </w:r>
      <w:r w:rsidRPr="00D66D5C">
        <w:t>orkforce development</w:t>
      </w:r>
    </w:p>
    <w:p w14:paraId="53C68C02" w14:textId="77777777" w:rsidR="00B7548E" w:rsidRPr="00D66D5C" w:rsidRDefault="00B7548E" w:rsidP="00E108A1">
      <w:pPr>
        <w:pStyle w:val="Bullet"/>
      </w:pPr>
      <w:r>
        <w:t>u</w:t>
      </w:r>
      <w:r w:rsidRPr="00D66D5C">
        <w:t>se of seclusion and restraint reduction tools</w:t>
      </w:r>
    </w:p>
    <w:p w14:paraId="02F61873" w14:textId="77777777" w:rsidR="00B7548E" w:rsidRPr="00D66D5C" w:rsidRDefault="00B7548E" w:rsidP="00E108A1">
      <w:pPr>
        <w:pStyle w:val="Bullet"/>
      </w:pPr>
      <w:r>
        <w:t>d</w:t>
      </w:r>
      <w:r w:rsidRPr="00D66D5C">
        <w:t>ebriefing techniques</w:t>
      </w:r>
      <w:r>
        <w:t>.</w:t>
      </w:r>
    </w:p>
    <w:p w14:paraId="3614A096" w14:textId="77777777" w:rsidR="00B7548E" w:rsidRPr="00E108A1" w:rsidRDefault="00B7548E" w:rsidP="00E108A1">
      <w:pPr>
        <w:pStyle w:val="Heading2"/>
      </w:pPr>
      <w:bookmarkStart w:id="125" w:name="_Toc103152112"/>
      <w:bookmarkStart w:id="126" w:name="_Toc105770632"/>
      <w:bookmarkStart w:id="127" w:name="_Toc131663813"/>
      <w:bookmarkStart w:id="128" w:name="_Toc132355316"/>
      <w:r w:rsidRPr="00E108A1">
        <w:t>Zero seclusion: Safety and dignity for all | Aukatia te noho punanga: Noho haumanu, tū rangatira mō te tokomaha</w:t>
      </w:r>
      <w:bookmarkEnd w:id="125"/>
      <w:bookmarkEnd w:id="126"/>
      <w:bookmarkEnd w:id="127"/>
      <w:bookmarkEnd w:id="128"/>
      <w:r w:rsidRPr="00E108A1">
        <w:t xml:space="preserve"> </w:t>
      </w:r>
    </w:p>
    <w:p w14:paraId="506165CC" w14:textId="33754332" w:rsidR="00B7548E" w:rsidRDefault="00B7548E" w:rsidP="00E108A1">
      <w:r w:rsidRPr="001F5A9E">
        <w:t>The</w:t>
      </w:r>
      <w:r>
        <w:t xml:space="preserve"> </w:t>
      </w:r>
      <w:r w:rsidRPr="001F5A9E">
        <w:t>Zero</w:t>
      </w:r>
      <w:r>
        <w:t xml:space="preserve"> </w:t>
      </w:r>
      <w:r w:rsidRPr="001F5A9E">
        <w:t>Seclusion:</w:t>
      </w:r>
      <w:r>
        <w:t xml:space="preserve"> </w:t>
      </w:r>
      <w:r w:rsidRPr="001F5A9E">
        <w:t>Safety</w:t>
      </w:r>
      <w:r>
        <w:t xml:space="preserve"> </w:t>
      </w:r>
      <w:r w:rsidRPr="001F5A9E">
        <w:t>and</w:t>
      </w:r>
      <w:r>
        <w:t xml:space="preserve"> </w:t>
      </w:r>
      <w:r w:rsidRPr="001F5A9E">
        <w:t>Dignity</w:t>
      </w:r>
      <w:r>
        <w:t xml:space="preserve"> </w:t>
      </w:r>
      <w:r w:rsidRPr="001F5A9E">
        <w:t>for</w:t>
      </w:r>
      <w:r>
        <w:t xml:space="preserve"> </w:t>
      </w:r>
      <w:r w:rsidRPr="001F5A9E">
        <w:t>All</w:t>
      </w:r>
      <w:r>
        <w:t xml:space="preserve"> </w:t>
      </w:r>
      <w:r w:rsidRPr="001F5A9E">
        <w:t>project</w:t>
      </w:r>
      <w:r>
        <w:t xml:space="preserve">, which began in early 2019, </w:t>
      </w:r>
      <w:r w:rsidRPr="001F5A9E">
        <w:t>focuses</w:t>
      </w:r>
      <w:r>
        <w:t xml:space="preserve"> </w:t>
      </w:r>
      <w:r w:rsidRPr="001F5A9E">
        <w:t>on</w:t>
      </w:r>
      <w:r>
        <w:t xml:space="preserve"> </w:t>
      </w:r>
      <w:r w:rsidRPr="001F5A9E">
        <w:t>eliminating</w:t>
      </w:r>
      <w:r>
        <w:t xml:space="preserve"> </w:t>
      </w:r>
      <w:r w:rsidRPr="001F5A9E">
        <w:t>seclusion</w:t>
      </w:r>
      <w:r>
        <w:t xml:space="preserve"> </w:t>
      </w:r>
      <w:r w:rsidRPr="001F5A9E">
        <w:t>in</w:t>
      </w:r>
      <w:r>
        <w:t xml:space="preserve"> </w:t>
      </w:r>
      <w:r w:rsidRPr="001F5A9E">
        <w:t>Aotearoa</w:t>
      </w:r>
      <w:r>
        <w:t xml:space="preserve"> </w:t>
      </w:r>
      <w:r w:rsidRPr="001F5A9E">
        <w:t>New</w:t>
      </w:r>
      <w:r>
        <w:t xml:space="preserve"> </w:t>
      </w:r>
      <w:r w:rsidRPr="001F5A9E">
        <w:t>Zealand.</w:t>
      </w:r>
      <w:r>
        <w:t xml:space="preserve"> </w:t>
      </w:r>
      <w:r w:rsidRPr="001F5A9E">
        <w:t>The</w:t>
      </w:r>
      <w:r>
        <w:t xml:space="preserve"> </w:t>
      </w:r>
      <w:r w:rsidRPr="001F5A9E">
        <w:t>project</w:t>
      </w:r>
      <w:r>
        <w:t xml:space="preserve"> </w:t>
      </w:r>
      <w:r w:rsidRPr="001F5A9E">
        <w:t>is</w:t>
      </w:r>
      <w:r>
        <w:t xml:space="preserve"> </w:t>
      </w:r>
      <w:r w:rsidRPr="001F5A9E">
        <w:t>part</w:t>
      </w:r>
      <w:r>
        <w:t xml:space="preserve"> </w:t>
      </w:r>
      <w:r w:rsidRPr="001F5A9E">
        <w:t>of</w:t>
      </w:r>
      <w:r>
        <w:t xml:space="preserve"> </w:t>
      </w:r>
      <w:r w:rsidRPr="001F5A9E">
        <w:t>the</w:t>
      </w:r>
      <w:r>
        <w:t xml:space="preserve"> </w:t>
      </w:r>
      <w:r w:rsidRPr="001F5A9E">
        <w:t>HQSC’s</w:t>
      </w:r>
      <w:r>
        <w:t xml:space="preserve"> </w:t>
      </w:r>
      <w:r w:rsidRPr="001F5A9E">
        <w:t>wider</w:t>
      </w:r>
      <w:r>
        <w:t xml:space="preserve"> </w:t>
      </w:r>
      <w:r w:rsidRPr="001F5A9E">
        <w:t>mental</w:t>
      </w:r>
      <w:r>
        <w:t xml:space="preserve"> </w:t>
      </w:r>
      <w:r w:rsidRPr="001F5A9E">
        <w:t>health</w:t>
      </w:r>
      <w:r>
        <w:t xml:space="preserve"> </w:t>
      </w:r>
      <w:r w:rsidRPr="001F5A9E">
        <w:t>and</w:t>
      </w:r>
      <w:r>
        <w:t xml:space="preserve"> </w:t>
      </w:r>
      <w:r w:rsidRPr="001F5A9E">
        <w:t>addiction</w:t>
      </w:r>
      <w:r>
        <w:t xml:space="preserve"> </w:t>
      </w:r>
      <w:r w:rsidRPr="001F5A9E">
        <w:t>quality</w:t>
      </w:r>
      <w:r>
        <w:t xml:space="preserve"> </w:t>
      </w:r>
      <w:r w:rsidRPr="001F5A9E">
        <w:t>improvement</w:t>
      </w:r>
      <w:r>
        <w:t xml:space="preserve"> </w:t>
      </w:r>
      <w:r w:rsidRPr="001F5A9E">
        <w:t>programme,</w:t>
      </w:r>
      <w:r>
        <w:t xml:space="preserve"> </w:t>
      </w:r>
      <w:r w:rsidRPr="001F5A9E">
        <w:t>funded</w:t>
      </w:r>
      <w:r>
        <w:t xml:space="preserve"> </w:t>
      </w:r>
      <w:r w:rsidRPr="001F5A9E">
        <w:t>by</w:t>
      </w:r>
      <w:r>
        <w:t xml:space="preserve"> Te Whatu Ora – Health New Zealand</w:t>
      </w:r>
      <w:r w:rsidRPr="001F5A9E">
        <w:t>.</w:t>
      </w:r>
      <w:r>
        <w:t xml:space="preserve"> </w:t>
      </w:r>
      <w:r w:rsidRPr="001F5A9E">
        <w:t>All</w:t>
      </w:r>
      <w:r>
        <w:t xml:space="preserve"> </w:t>
      </w:r>
      <w:r w:rsidRPr="001F5A9E">
        <w:t>inpatient</w:t>
      </w:r>
      <w:r>
        <w:t xml:space="preserve"> mental health services </w:t>
      </w:r>
      <w:r w:rsidRPr="001F5A9E">
        <w:t>are</w:t>
      </w:r>
      <w:r>
        <w:t xml:space="preserve"> </w:t>
      </w:r>
      <w:r w:rsidRPr="001F5A9E">
        <w:t>part</w:t>
      </w:r>
      <w:r>
        <w:t xml:space="preserve"> </w:t>
      </w:r>
      <w:r w:rsidRPr="001F5A9E">
        <w:t>of</w:t>
      </w:r>
      <w:r>
        <w:t xml:space="preserve"> </w:t>
      </w:r>
      <w:r w:rsidRPr="001F5A9E">
        <w:t>the</w:t>
      </w:r>
      <w:r>
        <w:t xml:space="preserve"> </w:t>
      </w:r>
      <w:r w:rsidRPr="001F5A9E">
        <w:t>project.</w:t>
      </w:r>
      <w:r>
        <w:t xml:space="preserve"> </w:t>
      </w:r>
    </w:p>
    <w:p w14:paraId="349F9D9F" w14:textId="77777777" w:rsidR="00E108A1" w:rsidRPr="001F5A9E" w:rsidRDefault="00E108A1" w:rsidP="00E108A1"/>
    <w:p w14:paraId="438B22A5" w14:textId="77777777" w:rsidR="00B7548E" w:rsidRDefault="00B7548E" w:rsidP="00E108A1">
      <w:r w:rsidRPr="001F5A9E">
        <w:t>The</w:t>
      </w:r>
      <w:r>
        <w:t xml:space="preserve"> </w:t>
      </w:r>
      <w:r w:rsidRPr="001F5A9E">
        <w:t>Zero</w:t>
      </w:r>
      <w:r>
        <w:t xml:space="preserve"> </w:t>
      </w:r>
      <w:r w:rsidRPr="001F5A9E">
        <w:t>Seclusion</w:t>
      </w:r>
      <w:r>
        <w:t xml:space="preserve"> </w:t>
      </w:r>
      <w:r w:rsidRPr="001F5A9E">
        <w:t>project</w:t>
      </w:r>
      <w:r>
        <w:t xml:space="preserve"> </w:t>
      </w:r>
      <w:r w:rsidRPr="001F5A9E">
        <w:t>aims</w:t>
      </w:r>
      <w:r>
        <w:t xml:space="preserve"> </w:t>
      </w:r>
      <w:r w:rsidRPr="001F5A9E">
        <w:t>to</w:t>
      </w:r>
      <w:r>
        <w:t xml:space="preserve"> </w:t>
      </w:r>
      <w:r w:rsidRPr="001F5A9E">
        <w:t>improve</w:t>
      </w:r>
      <w:r>
        <w:t xml:space="preserve"> </w:t>
      </w:r>
      <w:r w:rsidRPr="001F5A9E">
        <w:t>the</w:t>
      </w:r>
      <w:r>
        <w:t xml:space="preserve"> </w:t>
      </w:r>
      <w:r w:rsidRPr="001F5A9E">
        <w:t>experience</w:t>
      </w:r>
      <w:r>
        <w:t xml:space="preserve"> </w:t>
      </w:r>
      <w:r w:rsidRPr="001F5A9E">
        <w:t>of</w:t>
      </w:r>
      <w:r>
        <w:t xml:space="preserve"> </w:t>
      </w:r>
      <w:r w:rsidRPr="001F5A9E">
        <w:t>care</w:t>
      </w:r>
      <w:r>
        <w:t xml:space="preserve"> </w:t>
      </w:r>
      <w:r w:rsidRPr="001F5A9E">
        <w:t>for</w:t>
      </w:r>
      <w:r>
        <w:t xml:space="preserve"> tāngata whaiora </w:t>
      </w:r>
      <w:r w:rsidRPr="001F5A9E">
        <w:t>by</w:t>
      </w:r>
      <w:r>
        <w:t xml:space="preserve"> further </w:t>
      </w:r>
      <w:r w:rsidRPr="001F5A9E">
        <w:t>reducing</w:t>
      </w:r>
      <w:r>
        <w:t xml:space="preserve"> </w:t>
      </w:r>
      <w:r w:rsidRPr="001F5A9E">
        <w:t>seclusion</w:t>
      </w:r>
      <w:r>
        <w:t xml:space="preserve"> </w:t>
      </w:r>
      <w:r w:rsidRPr="001F5A9E">
        <w:t>rates</w:t>
      </w:r>
      <w:r>
        <w:t xml:space="preserve"> </w:t>
      </w:r>
      <w:r w:rsidRPr="001F5A9E">
        <w:t>in</w:t>
      </w:r>
      <w:r>
        <w:t xml:space="preserve"> </w:t>
      </w:r>
      <w:r w:rsidRPr="001F5A9E">
        <w:t>all</w:t>
      </w:r>
      <w:r>
        <w:t xml:space="preserve"> </w:t>
      </w:r>
      <w:r w:rsidRPr="001F5A9E">
        <w:t>mental</w:t>
      </w:r>
      <w:r>
        <w:t xml:space="preserve"> </w:t>
      </w:r>
      <w:r w:rsidRPr="001F5A9E">
        <w:t>health</w:t>
      </w:r>
      <w:r>
        <w:t xml:space="preserve"> </w:t>
      </w:r>
      <w:r w:rsidRPr="001F5A9E">
        <w:t>units</w:t>
      </w:r>
      <w:r>
        <w:t>, with a goal of elimination</w:t>
      </w:r>
      <w:r w:rsidRPr="001F5A9E">
        <w:t>.</w:t>
      </w:r>
      <w:r>
        <w:t xml:space="preserve"> </w:t>
      </w:r>
    </w:p>
    <w:p w14:paraId="4BBCDE1F" w14:textId="6A6EA909" w:rsidR="00B7548E" w:rsidRDefault="00B7548E" w:rsidP="00E108A1">
      <w:r w:rsidRPr="001F5A9E">
        <w:t>The</w:t>
      </w:r>
      <w:r>
        <w:t xml:space="preserve"> HQSC </w:t>
      </w:r>
      <w:r w:rsidRPr="001F5A9E">
        <w:t>supports</w:t>
      </w:r>
      <w:r>
        <w:t xml:space="preserve"> mental health services</w:t>
      </w:r>
      <w:r w:rsidRPr="00655DCB">
        <w:t xml:space="preserve"> </w:t>
      </w:r>
      <w:r w:rsidRPr="001F5A9E">
        <w:t>to</w:t>
      </w:r>
      <w:r>
        <w:t xml:space="preserve"> </w:t>
      </w:r>
      <w:r w:rsidRPr="001F5A9E">
        <w:t>find</w:t>
      </w:r>
      <w:r>
        <w:t xml:space="preserve"> </w:t>
      </w:r>
      <w:r w:rsidRPr="001F5A9E">
        <w:t>other</w:t>
      </w:r>
      <w:r>
        <w:t xml:space="preserve"> </w:t>
      </w:r>
      <w:r w:rsidRPr="001F5A9E">
        <w:t>ways</w:t>
      </w:r>
      <w:r>
        <w:t xml:space="preserve"> </w:t>
      </w:r>
      <w:r w:rsidRPr="001F5A9E">
        <w:t>to</w:t>
      </w:r>
      <w:r>
        <w:t xml:space="preserve"> </w:t>
      </w:r>
      <w:r w:rsidRPr="001F5A9E">
        <w:t>help</w:t>
      </w:r>
      <w:r>
        <w:t xml:space="preserve"> </w:t>
      </w:r>
      <w:r w:rsidRPr="001F5A9E">
        <w:t>people</w:t>
      </w:r>
      <w:r>
        <w:t xml:space="preserve"> </w:t>
      </w:r>
      <w:r w:rsidRPr="001F5A9E">
        <w:t>in</w:t>
      </w:r>
      <w:r>
        <w:t xml:space="preserve"> </w:t>
      </w:r>
      <w:r w:rsidRPr="001F5A9E">
        <w:t>distress,</w:t>
      </w:r>
      <w:r>
        <w:t xml:space="preserve"> </w:t>
      </w:r>
      <w:r w:rsidRPr="001F5A9E">
        <w:t>as</w:t>
      </w:r>
      <w:r>
        <w:t xml:space="preserve"> </w:t>
      </w:r>
      <w:r w:rsidRPr="001F5A9E">
        <w:t>alternatives</w:t>
      </w:r>
      <w:r>
        <w:t xml:space="preserve"> </w:t>
      </w:r>
      <w:r w:rsidRPr="001F5A9E">
        <w:t>to</w:t>
      </w:r>
      <w:r>
        <w:t xml:space="preserve"> </w:t>
      </w:r>
      <w:r w:rsidRPr="001F5A9E">
        <w:t>seclusion.</w:t>
      </w:r>
      <w:r>
        <w:t xml:space="preserve"> </w:t>
      </w:r>
    </w:p>
    <w:p w14:paraId="3257BB07" w14:textId="77777777" w:rsidR="00E108A1" w:rsidRPr="001F5A9E" w:rsidRDefault="00E108A1" w:rsidP="00E108A1"/>
    <w:p w14:paraId="27A21E5C" w14:textId="77777777" w:rsidR="00B7548E" w:rsidRPr="001F5A9E" w:rsidRDefault="00B7548E" w:rsidP="00E108A1">
      <w:r>
        <w:t>The project uses q</w:t>
      </w:r>
      <w:r w:rsidRPr="001F5A9E">
        <w:t>uality</w:t>
      </w:r>
      <w:r>
        <w:t xml:space="preserve"> </w:t>
      </w:r>
      <w:r w:rsidRPr="001F5A9E">
        <w:t>improvement</w:t>
      </w:r>
      <w:r>
        <w:t xml:space="preserve"> </w:t>
      </w:r>
      <w:r w:rsidRPr="001F5A9E">
        <w:t>methodology</w:t>
      </w:r>
      <w:r>
        <w:t xml:space="preserve"> </w:t>
      </w:r>
      <w:r w:rsidRPr="001F5A9E">
        <w:t>to</w:t>
      </w:r>
      <w:r>
        <w:t xml:space="preserve"> </w:t>
      </w:r>
      <w:r w:rsidRPr="001F5A9E">
        <w:t>develop</w:t>
      </w:r>
      <w:r>
        <w:t xml:space="preserve"> </w:t>
      </w:r>
      <w:r w:rsidRPr="001F5A9E">
        <w:t>and</w:t>
      </w:r>
      <w:r>
        <w:t xml:space="preserve"> </w:t>
      </w:r>
      <w:r w:rsidRPr="001F5A9E">
        <w:t>test</w:t>
      </w:r>
      <w:r>
        <w:t xml:space="preserve"> </w:t>
      </w:r>
      <w:r w:rsidRPr="001F5A9E">
        <w:t>what</w:t>
      </w:r>
      <w:r>
        <w:t xml:space="preserve"> </w:t>
      </w:r>
      <w:r w:rsidRPr="001F5A9E">
        <w:t>works</w:t>
      </w:r>
      <w:r>
        <w:t xml:space="preserve"> </w:t>
      </w:r>
      <w:r w:rsidRPr="001F5A9E">
        <w:t>best</w:t>
      </w:r>
      <w:r>
        <w:t xml:space="preserve"> </w:t>
      </w:r>
      <w:r w:rsidRPr="001F5A9E">
        <w:t>for</w:t>
      </w:r>
      <w:r>
        <w:t xml:space="preserve"> </w:t>
      </w:r>
      <w:r w:rsidRPr="001F5A9E">
        <w:t>the</w:t>
      </w:r>
      <w:r>
        <w:t xml:space="preserve"> people </w:t>
      </w:r>
      <w:r w:rsidRPr="001F5A9E">
        <w:t>and</w:t>
      </w:r>
      <w:r>
        <w:t xml:space="preserve"> </w:t>
      </w:r>
      <w:r w:rsidRPr="001F5A9E">
        <w:t>staff</w:t>
      </w:r>
      <w:r>
        <w:t xml:space="preserve"> </w:t>
      </w:r>
      <w:r w:rsidRPr="001F5A9E">
        <w:t>of</w:t>
      </w:r>
      <w:r>
        <w:t xml:space="preserve"> </w:t>
      </w:r>
      <w:r w:rsidRPr="001F5A9E">
        <w:t>a</w:t>
      </w:r>
      <w:r>
        <w:t xml:space="preserve"> </w:t>
      </w:r>
      <w:r w:rsidRPr="001F5A9E">
        <w:t>particular</w:t>
      </w:r>
      <w:r>
        <w:t xml:space="preserve"> </w:t>
      </w:r>
      <w:r w:rsidRPr="001F5A9E">
        <w:t>service.</w:t>
      </w:r>
      <w:r>
        <w:t xml:space="preserve"> It </w:t>
      </w:r>
      <w:r w:rsidRPr="001F5A9E">
        <w:t>has</w:t>
      </w:r>
      <w:r>
        <w:t xml:space="preserve"> </w:t>
      </w:r>
      <w:r w:rsidRPr="001F5A9E">
        <w:t>produced</w:t>
      </w:r>
      <w:r>
        <w:t xml:space="preserve"> </w:t>
      </w:r>
      <w:r w:rsidRPr="001F5A9E">
        <w:t>a</w:t>
      </w:r>
      <w:r>
        <w:t xml:space="preserve"> </w:t>
      </w:r>
      <w:r w:rsidRPr="001F5A9E">
        <w:t>range</w:t>
      </w:r>
      <w:r>
        <w:t xml:space="preserve"> </w:t>
      </w:r>
      <w:r w:rsidRPr="001F5A9E">
        <w:t>of</w:t>
      </w:r>
      <w:r>
        <w:t xml:space="preserve"> </w:t>
      </w:r>
      <w:r w:rsidRPr="001F5A9E">
        <w:t>evidence-based</w:t>
      </w:r>
      <w:r>
        <w:t xml:space="preserve"> </w:t>
      </w:r>
      <w:r w:rsidRPr="001F5A9E">
        <w:t>resources</w:t>
      </w:r>
      <w:r>
        <w:t xml:space="preserve"> </w:t>
      </w:r>
      <w:r w:rsidRPr="001F5A9E">
        <w:t>to</w:t>
      </w:r>
      <w:r>
        <w:t xml:space="preserve"> </w:t>
      </w:r>
      <w:r w:rsidRPr="001F5A9E">
        <w:t>support</w:t>
      </w:r>
      <w:r>
        <w:t xml:space="preserve"> </w:t>
      </w:r>
      <w:r w:rsidRPr="001F5A9E">
        <w:t>services</w:t>
      </w:r>
      <w:r>
        <w:t xml:space="preserve"> </w:t>
      </w:r>
      <w:r w:rsidRPr="001F5A9E">
        <w:t>to</w:t>
      </w:r>
      <w:r>
        <w:t xml:space="preserve"> </w:t>
      </w:r>
      <w:r w:rsidRPr="001F5A9E">
        <w:t>reduce</w:t>
      </w:r>
      <w:r>
        <w:t xml:space="preserve"> </w:t>
      </w:r>
      <w:r w:rsidRPr="001F5A9E">
        <w:t>and</w:t>
      </w:r>
      <w:r>
        <w:t xml:space="preserve"> </w:t>
      </w:r>
      <w:r w:rsidRPr="001F5A9E">
        <w:t>eliminate</w:t>
      </w:r>
      <w:r>
        <w:t xml:space="preserve"> </w:t>
      </w:r>
      <w:r w:rsidRPr="001F5A9E">
        <w:t>seclusion,</w:t>
      </w:r>
      <w:r>
        <w:t xml:space="preserve"> </w:t>
      </w:r>
      <w:r w:rsidRPr="001F5A9E">
        <w:t>available</w:t>
      </w:r>
      <w:r>
        <w:t xml:space="preserve"> </w:t>
      </w:r>
      <w:r w:rsidRPr="001F5A9E">
        <w:t>on</w:t>
      </w:r>
      <w:r>
        <w:t xml:space="preserve"> </w:t>
      </w:r>
      <w:r w:rsidRPr="001F5A9E">
        <w:t>the</w:t>
      </w:r>
      <w:r>
        <w:t xml:space="preserve"> </w:t>
      </w:r>
      <w:r w:rsidRPr="001F5A9E">
        <w:t>HQSC’s</w:t>
      </w:r>
      <w:r>
        <w:t xml:space="preserve"> </w:t>
      </w:r>
      <w:r w:rsidRPr="001F5A9E">
        <w:t>website</w:t>
      </w:r>
      <w:r>
        <w:t>.</w:t>
      </w:r>
      <w:r>
        <w:rPr>
          <w:rStyle w:val="FootnoteReference"/>
          <w:rFonts w:cs="Segoe UI"/>
        </w:rPr>
        <w:footnoteReference w:id="48"/>
      </w:r>
      <w:r>
        <w:t xml:space="preserve"> </w:t>
      </w:r>
      <w:r w:rsidRPr="001F5A9E">
        <w:t>These</w:t>
      </w:r>
      <w:r>
        <w:t xml:space="preserve"> </w:t>
      </w:r>
      <w:r w:rsidRPr="001F5A9E">
        <w:t>include:</w:t>
      </w:r>
    </w:p>
    <w:p w14:paraId="117373C2" w14:textId="77777777" w:rsidR="00B7548E" w:rsidRPr="00145063" w:rsidRDefault="00B7548E" w:rsidP="00E108A1">
      <w:pPr>
        <w:pStyle w:val="Bullet"/>
        <w:rPr>
          <w:color w:val="000000"/>
        </w:rPr>
      </w:pPr>
      <w:r>
        <w:t xml:space="preserve">a change package which comprises a </w:t>
      </w:r>
      <w:r w:rsidRPr="00EA192A">
        <w:rPr>
          <w:bCs/>
          <w:color w:val="000000" w:themeColor="text1"/>
        </w:rPr>
        <w:t xml:space="preserve">cultural </w:t>
      </w:r>
      <w:r w:rsidRPr="00EA192A">
        <w:rPr>
          <w:bCs/>
        </w:rPr>
        <w:t>kete</w:t>
      </w:r>
      <w:r>
        <w:t xml:space="preserve"> </w:t>
      </w:r>
      <w:r w:rsidRPr="007022F9">
        <w:rPr>
          <w:color w:val="000000" w:themeColor="text1"/>
        </w:rPr>
        <w:t xml:space="preserve">and </w:t>
      </w:r>
      <w:r w:rsidRPr="00EA192A">
        <w:rPr>
          <w:bCs/>
          <w:color w:val="000000" w:themeColor="text1"/>
        </w:rPr>
        <w:t>clinical bundle,</w:t>
      </w:r>
      <w:r>
        <w:t xml:space="preserve"> based on practice evidence of what has been shown to work well </w:t>
      </w:r>
    </w:p>
    <w:p w14:paraId="152CA622" w14:textId="77777777" w:rsidR="00B7548E" w:rsidRPr="00145063" w:rsidRDefault="00B7548E" w:rsidP="00E108A1">
      <w:pPr>
        <w:pStyle w:val="Bullet"/>
        <w:rPr>
          <w:color w:val="000000"/>
        </w:rPr>
      </w:pPr>
      <w:r w:rsidRPr="2CC988A9">
        <w:rPr>
          <w:color w:val="000000" w:themeColor="text1"/>
        </w:rPr>
        <w:t>case studies showing how mental health inpatient services have successfully further reduced their use of seclusion</w:t>
      </w:r>
      <w:r>
        <w:rPr>
          <w:color w:val="000000" w:themeColor="text1"/>
        </w:rPr>
        <w:t>;</w:t>
      </w:r>
      <w:r w:rsidRPr="2CC988A9">
        <w:rPr>
          <w:color w:val="000000" w:themeColor="text1"/>
        </w:rPr>
        <w:t xml:space="preserve"> some </w:t>
      </w:r>
      <w:r>
        <w:rPr>
          <w:color w:val="000000" w:themeColor="text1"/>
        </w:rPr>
        <w:t xml:space="preserve">have </w:t>
      </w:r>
      <w:r w:rsidRPr="2CC988A9">
        <w:rPr>
          <w:color w:val="000000" w:themeColor="text1"/>
        </w:rPr>
        <w:t>achiev</w:t>
      </w:r>
      <w:r>
        <w:rPr>
          <w:color w:val="000000" w:themeColor="text1"/>
        </w:rPr>
        <w:t>ed</w:t>
      </w:r>
      <w:r w:rsidRPr="2CC988A9">
        <w:rPr>
          <w:color w:val="000000" w:themeColor="text1"/>
        </w:rPr>
        <w:t xml:space="preserve"> zero seclusion for periods of time</w:t>
      </w:r>
    </w:p>
    <w:p w14:paraId="6CEE12DB" w14:textId="77777777" w:rsidR="00B7548E" w:rsidRPr="0013418B" w:rsidRDefault="00B7548E" w:rsidP="00E108A1">
      <w:pPr>
        <w:pStyle w:val="Bullet"/>
        <w:rPr>
          <w:color w:val="000000"/>
        </w:rPr>
      </w:pPr>
      <w:r w:rsidRPr="2CC988A9">
        <w:t>pono consumer and whānau video narratives</w:t>
      </w:r>
      <w:r>
        <w:t>.</w:t>
      </w:r>
      <w:r w:rsidRPr="2CC988A9">
        <w:rPr>
          <w:rStyle w:val="FootnoteReference"/>
          <w:rFonts w:cs="Segoe UI"/>
        </w:rPr>
        <w:footnoteReference w:id="49"/>
      </w:r>
    </w:p>
    <w:p w14:paraId="045657B8" w14:textId="77777777" w:rsidR="00B7548E" w:rsidRPr="00E108A1" w:rsidRDefault="00B7548E" w:rsidP="00E108A1">
      <w:pPr>
        <w:pStyle w:val="Heading2"/>
      </w:pPr>
      <w:bookmarkStart w:id="129" w:name="_Toc103152113"/>
      <w:bookmarkStart w:id="130" w:name="_Toc105770633"/>
      <w:bookmarkStart w:id="131" w:name="_Toc131663814"/>
      <w:bookmarkStart w:id="132" w:name="_Toc132355317"/>
      <w:r w:rsidRPr="00E108A1">
        <w:lastRenderedPageBreak/>
        <w:t xml:space="preserve">Safe Practice Effective </w:t>
      </w:r>
      <w:sdt>
        <w:sdtPr>
          <w:tag w:val="goog_rdk_15"/>
          <w:id w:val="-1392578848"/>
        </w:sdtPr>
        <w:sdtContent/>
      </w:sdt>
      <w:sdt>
        <w:sdtPr>
          <w:tag w:val="goog_rdk_16"/>
          <w:id w:val="2065059684"/>
        </w:sdtPr>
        <w:sdtContent/>
      </w:sdt>
      <w:r w:rsidRPr="00E108A1">
        <w:t>Communication</w:t>
      </w:r>
      <w:bookmarkEnd w:id="129"/>
      <w:bookmarkEnd w:id="130"/>
      <w:bookmarkEnd w:id="131"/>
      <w:bookmarkEnd w:id="132"/>
    </w:p>
    <w:p w14:paraId="7F6FE091" w14:textId="6C234741" w:rsidR="00B7548E" w:rsidRDefault="00B7548E" w:rsidP="00E108A1">
      <w:r>
        <w:t xml:space="preserve">Manatū Hauora expects services to provide regular and ongoing training of staff authorised to use seclusion and restraint. It is not acceptable for untrained staff, or staff whose training is out of date, to be involved in the seclusion and restraint of tāngata whaiora. </w:t>
      </w:r>
    </w:p>
    <w:p w14:paraId="20718A17" w14:textId="77777777" w:rsidR="00E108A1" w:rsidRDefault="00E108A1" w:rsidP="00E108A1"/>
    <w:p w14:paraId="020719C2" w14:textId="565F6599" w:rsidR="00B7548E" w:rsidRDefault="00B7548E" w:rsidP="00E108A1">
      <w:r w:rsidRPr="00D01C36">
        <w:t>Safe</w:t>
      </w:r>
      <w:r>
        <w:t xml:space="preserve"> </w:t>
      </w:r>
      <w:r w:rsidRPr="00D01C36">
        <w:t>Practice</w:t>
      </w:r>
      <w:r>
        <w:t xml:space="preserve"> </w:t>
      </w:r>
      <w:r w:rsidRPr="00D01C36">
        <w:t>Effective</w:t>
      </w:r>
      <w:r>
        <w:t xml:space="preserve"> </w:t>
      </w:r>
      <w:r w:rsidRPr="00D01C36">
        <w:t>Communication</w:t>
      </w:r>
      <w:r>
        <w:t xml:space="preserve"> </w:t>
      </w:r>
      <w:r w:rsidRPr="00D01C36">
        <w:t>(SPEC)</w:t>
      </w:r>
      <w:r>
        <w:t xml:space="preserve"> </w:t>
      </w:r>
      <w:r w:rsidRPr="00D01C36">
        <w:t>is</w:t>
      </w:r>
      <w:r>
        <w:t xml:space="preserve"> </w:t>
      </w:r>
      <w:r w:rsidRPr="00D01C36">
        <w:t>a</w:t>
      </w:r>
      <w:r>
        <w:t xml:space="preserve"> </w:t>
      </w:r>
      <w:r w:rsidRPr="00D01C36">
        <w:t>national</w:t>
      </w:r>
      <w:r>
        <w:t xml:space="preserve"> </w:t>
      </w:r>
      <w:r w:rsidRPr="00D01C36">
        <w:t>training</w:t>
      </w:r>
      <w:r>
        <w:t xml:space="preserve"> </w:t>
      </w:r>
      <w:r w:rsidRPr="00D01C36">
        <w:t>course</w:t>
      </w:r>
      <w:r>
        <w:t xml:space="preserve"> that </w:t>
      </w:r>
      <w:r w:rsidRPr="00D01C36">
        <w:t>supports</w:t>
      </w:r>
      <w:r>
        <w:t xml:space="preserve"> </w:t>
      </w:r>
      <w:r w:rsidRPr="00D01C36">
        <w:t>best</w:t>
      </w:r>
      <w:r>
        <w:t xml:space="preserve"> </w:t>
      </w:r>
      <w:r w:rsidRPr="00D01C36">
        <w:t>and</w:t>
      </w:r>
      <w:r>
        <w:t xml:space="preserve"> </w:t>
      </w:r>
      <w:r w:rsidRPr="00D01C36">
        <w:t>least</w:t>
      </w:r>
      <w:r>
        <w:t xml:space="preserve"> </w:t>
      </w:r>
      <w:r w:rsidRPr="00D01C36">
        <w:t>restrictive</w:t>
      </w:r>
      <w:r>
        <w:t xml:space="preserve"> </w:t>
      </w:r>
      <w:r w:rsidRPr="00D01C36">
        <w:t>practice</w:t>
      </w:r>
      <w:r>
        <w:t xml:space="preserve"> </w:t>
      </w:r>
      <w:r w:rsidRPr="00D01C36">
        <w:t>in</w:t>
      </w:r>
      <w:r>
        <w:t xml:space="preserve"> </w:t>
      </w:r>
      <w:r w:rsidRPr="00D01C36">
        <w:t>mental</w:t>
      </w:r>
      <w:r>
        <w:t xml:space="preserve"> </w:t>
      </w:r>
      <w:r w:rsidRPr="00D01C36">
        <w:t>health</w:t>
      </w:r>
      <w:r>
        <w:t xml:space="preserve"> </w:t>
      </w:r>
      <w:r w:rsidRPr="00D01C36">
        <w:t>inpatient</w:t>
      </w:r>
      <w:r>
        <w:t xml:space="preserve"> </w:t>
      </w:r>
      <w:r w:rsidRPr="00D01C36">
        <w:t>units.</w:t>
      </w:r>
      <w:r>
        <w:t xml:space="preserve"> </w:t>
      </w:r>
      <w:r w:rsidRPr="00D01C36">
        <w:t>Th</w:t>
      </w:r>
      <w:r>
        <w:t xml:space="preserve">e </w:t>
      </w:r>
      <w:r w:rsidRPr="00D01C36">
        <w:t>course</w:t>
      </w:r>
      <w:r>
        <w:t xml:space="preserve"> </w:t>
      </w:r>
      <w:r w:rsidRPr="00D01C36">
        <w:t>includes</w:t>
      </w:r>
      <w:r>
        <w:t xml:space="preserve"> </w:t>
      </w:r>
      <w:r w:rsidRPr="00215D6F">
        <w:t>communication, de-escalation, collaborative ways of working, training in restraint minimisation, and the teaching of personal restraint and breakaway techniques</w:t>
      </w:r>
      <w:r w:rsidRPr="00D01C36">
        <w:t>.</w:t>
      </w:r>
      <w:r>
        <w:t xml:space="preserve"> The principles of </w:t>
      </w:r>
      <w:r w:rsidRPr="00EE462B">
        <w:t>SPEC are person-centred, least restrictive and trauma-informed</w:t>
      </w:r>
      <w:r>
        <w:t>,</w:t>
      </w:r>
      <w:r w:rsidRPr="00EE462B">
        <w:t xml:space="preserve"> and are underpinned by </w:t>
      </w:r>
      <w:r>
        <w:t xml:space="preserve">the </w:t>
      </w:r>
      <w:r w:rsidRPr="00EE462B">
        <w:t>principles of Te Tiriti.</w:t>
      </w:r>
      <w:r w:rsidRPr="00EE462B">
        <w:rPr>
          <w:rStyle w:val="FootnoteReference"/>
          <w:rFonts w:cs="Segoe UI"/>
        </w:rPr>
        <w:footnoteReference w:id="50"/>
      </w:r>
    </w:p>
    <w:p w14:paraId="24C98BE8" w14:textId="77777777" w:rsidR="00E108A1" w:rsidRPr="006A6A64" w:rsidRDefault="00E108A1" w:rsidP="00E108A1"/>
    <w:p w14:paraId="6573DD59" w14:textId="6308F748" w:rsidR="00B7548E" w:rsidRDefault="00B7548E" w:rsidP="00E108A1">
      <w:r>
        <w:t xml:space="preserve">The </w:t>
      </w:r>
      <w:r w:rsidRPr="00B6194E">
        <w:rPr>
          <w:i/>
        </w:rPr>
        <w:t>Guidelines to the Mental Health Act</w:t>
      </w:r>
      <w:r>
        <w:t xml:space="preserve"> endorse current SPEC training principles,</w:t>
      </w:r>
      <w:r>
        <w:rPr>
          <w:rStyle w:val="FootnoteReference"/>
          <w:rFonts w:cs="Segoe UI"/>
        </w:rPr>
        <w:footnoteReference w:id="51"/>
      </w:r>
      <w:r>
        <w:t xml:space="preserve"> to optimise the physical safety of tāngata whaiora</w:t>
      </w:r>
      <w:r w:rsidDel="007B096D">
        <w:t xml:space="preserve"> </w:t>
      </w:r>
      <w:r>
        <w:t>being restrained. The training principles do not include flexion-based (painful) techniques and avoid, wherever possible, the use of prone positioning (lying the person face down) due to the increased risk of injury or death.</w:t>
      </w:r>
      <w:r>
        <w:rPr>
          <w:rStyle w:val="FootnoteReference"/>
          <w:rFonts w:cs="Segoe UI"/>
        </w:rPr>
        <w:footnoteReference w:id="52"/>
      </w:r>
      <w:r>
        <w:t xml:space="preserve"> Such techniques also degrade the person’s mana and dignity.</w:t>
      </w:r>
    </w:p>
    <w:p w14:paraId="6A03613E" w14:textId="77777777" w:rsidR="00E108A1" w:rsidRDefault="00E108A1" w:rsidP="00E108A1"/>
    <w:p w14:paraId="28FF902E" w14:textId="1EB66A6E" w:rsidR="00B7548E" w:rsidRDefault="00B7548E" w:rsidP="00E108A1">
      <w:r>
        <w:t xml:space="preserve">The SPEC training includes a requirement to demonstrate </w:t>
      </w:r>
      <w:r w:rsidRPr="0038772E">
        <w:t>responsiveness</w:t>
      </w:r>
      <w:r>
        <w:t xml:space="preserve"> </w:t>
      </w:r>
      <w:r w:rsidRPr="0038772E">
        <w:t>to</w:t>
      </w:r>
      <w:r>
        <w:t xml:space="preserve"> </w:t>
      </w:r>
      <w:r w:rsidRPr="0038772E">
        <w:t>Māori</w:t>
      </w:r>
      <w:r>
        <w:t xml:space="preserve"> </w:t>
      </w:r>
      <w:r w:rsidRPr="0038772E">
        <w:t>and</w:t>
      </w:r>
      <w:r>
        <w:t xml:space="preserve"> </w:t>
      </w:r>
      <w:r w:rsidRPr="0038772E">
        <w:t>Pa</w:t>
      </w:r>
      <w:r>
        <w:t>c</w:t>
      </w:r>
      <w:r w:rsidRPr="0038772E">
        <w:t>ifi</w:t>
      </w:r>
      <w:r>
        <w:t>c people; for example, by em</w:t>
      </w:r>
      <w:r w:rsidRPr="00520CFF">
        <w:t>phasis</w:t>
      </w:r>
      <w:r>
        <w:t xml:space="preserve">ing </w:t>
      </w:r>
      <w:r w:rsidRPr="00520CFF">
        <w:t>the</w:t>
      </w:r>
      <w:r>
        <w:t xml:space="preserve"> </w:t>
      </w:r>
      <w:r w:rsidRPr="00520CFF">
        <w:t>importance</w:t>
      </w:r>
      <w:r>
        <w:t xml:space="preserve"> </w:t>
      </w:r>
      <w:r w:rsidRPr="00520CFF">
        <w:t>of</w:t>
      </w:r>
      <w:r>
        <w:t xml:space="preserve"> </w:t>
      </w:r>
      <w:r w:rsidRPr="00520CFF">
        <w:t>incorporating</w:t>
      </w:r>
      <w:r>
        <w:t xml:space="preserve"> </w:t>
      </w:r>
      <w:r w:rsidRPr="00520CFF">
        <w:t>Māori</w:t>
      </w:r>
      <w:r>
        <w:t xml:space="preserve"> and Pacific </w:t>
      </w:r>
      <w:r w:rsidRPr="00520CFF">
        <w:t>values</w:t>
      </w:r>
      <w:r>
        <w:t xml:space="preserve"> </w:t>
      </w:r>
      <w:r w:rsidRPr="00520CFF">
        <w:t>and</w:t>
      </w:r>
      <w:r>
        <w:t xml:space="preserve"> </w:t>
      </w:r>
      <w:r w:rsidRPr="00520CFF">
        <w:t>models</w:t>
      </w:r>
      <w:r>
        <w:t xml:space="preserve"> </w:t>
      </w:r>
      <w:r w:rsidRPr="00520CFF">
        <w:t>of</w:t>
      </w:r>
      <w:r>
        <w:t xml:space="preserve"> </w:t>
      </w:r>
      <w:r w:rsidRPr="00520CFF">
        <w:t>health</w:t>
      </w:r>
      <w:r>
        <w:t xml:space="preserve"> </w:t>
      </w:r>
      <w:r w:rsidRPr="00520CFF">
        <w:t>into</w:t>
      </w:r>
      <w:r>
        <w:t xml:space="preserve"> </w:t>
      </w:r>
      <w:r w:rsidRPr="00520CFF">
        <w:t>practice</w:t>
      </w:r>
      <w:r>
        <w:t xml:space="preserve"> </w:t>
      </w:r>
      <w:r w:rsidRPr="00520CFF">
        <w:t>when</w:t>
      </w:r>
      <w:r>
        <w:t xml:space="preserve"> </w:t>
      </w:r>
      <w:r w:rsidRPr="00520CFF">
        <w:t>working</w:t>
      </w:r>
      <w:r>
        <w:t xml:space="preserve"> </w:t>
      </w:r>
      <w:r w:rsidRPr="00520CFF">
        <w:t>with</w:t>
      </w:r>
      <w:r>
        <w:t xml:space="preserve"> </w:t>
      </w:r>
      <w:r w:rsidRPr="00520CFF">
        <w:t>Māori</w:t>
      </w:r>
      <w:r>
        <w:t xml:space="preserve"> and Pacific </w:t>
      </w:r>
      <w:r w:rsidRPr="00520CFF">
        <w:t>tāngata</w:t>
      </w:r>
      <w:r>
        <w:t xml:space="preserve"> </w:t>
      </w:r>
      <w:r w:rsidRPr="00520CFF">
        <w:t>whaiora</w:t>
      </w:r>
      <w:r>
        <w:t xml:space="preserve"> </w:t>
      </w:r>
      <w:r w:rsidRPr="00520CFF">
        <w:t>and</w:t>
      </w:r>
      <w:r>
        <w:t xml:space="preserve"> </w:t>
      </w:r>
      <w:r w:rsidRPr="00520CFF">
        <w:t>their</w:t>
      </w:r>
      <w:r>
        <w:t xml:space="preserve"> </w:t>
      </w:r>
      <w:r w:rsidRPr="00520CFF">
        <w:t>whānau</w:t>
      </w:r>
      <w:r>
        <w:t>/aiga</w:t>
      </w:r>
      <w:r w:rsidRPr="00520CFF">
        <w:t>.</w:t>
      </w:r>
    </w:p>
    <w:p w14:paraId="571DCECF" w14:textId="77777777" w:rsidR="00E108A1" w:rsidRDefault="00E108A1" w:rsidP="00E108A1"/>
    <w:p w14:paraId="6F4AEDF4" w14:textId="77777777" w:rsidR="00B7548E" w:rsidRPr="004416E0" w:rsidRDefault="00B7548E" w:rsidP="00E108A1">
      <w:pPr>
        <w:rPr>
          <w:color w:val="000000"/>
        </w:rPr>
      </w:pPr>
      <w:r w:rsidRPr="00635900">
        <w:t>More</w:t>
      </w:r>
      <w:r>
        <w:t xml:space="preserve"> </w:t>
      </w:r>
      <w:r w:rsidRPr="00635900">
        <w:t>information</w:t>
      </w:r>
      <w:r>
        <w:t xml:space="preserve"> </w:t>
      </w:r>
      <w:r w:rsidRPr="00635900">
        <w:t>about</w:t>
      </w:r>
      <w:r>
        <w:t xml:space="preserve"> </w:t>
      </w:r>
      <w:r w:rsidRPr="00635900">
        <w:t>SPEC</w:t>
      </w:r>
      <w:r>
        <w:t xml:space="preserve"> </w:t>
      </w:r>
      <w:r w:rsidRPr="00635900">
        <w:t>training</w:t>
      </w:r>
      <w:r>
        <w:t xml:space="preserve"> </w:t>
      </w:r>
      <w:r w:rsidRPr="00635900">
        <w:t>is</w:t>
      </w:r>
      <w:r>
        <w:t xml:space="preserve"> </w:t>
      </w:r>
      <w:r w:rsidRPr="00635900">
        <w:t>available</w:t>
      </w:r>
      <w:r>
        <w:t xml:space="preserve"> </w:t>
      </w:r>
      <w:r w:rsidRPr="00635900">
        <w:t>on</w:t>
      </w:r>
      <w:r>
        <w:t xml:space="preserve"> </w:t>
      </w:r>
      <w:r w:rsidRPr="00635900">
        <w:t>Te</w:t>
      </w:r>
      <w:r>
        <w:t xml:space="preserve"> </w:t>
      </w:r>
      <w:r w:rsidRPr="00635900">
        <w:t>Pou’s</w:t>
      </w:r>
      <w:r>
        <w:t xml:space="preserve"> </w:t>
      </w:r>
      <w:r w:rsidRPr="00635900">
        <w:t>website</w:t>
      </w:r>
      <w:r>
        <w:t>.</w:t>
      </w:r>
      <w:r>
        <w:rPr>
          <w:rStyle w:val="FootnoteReference"/>
          <w:rFonts w:cs="Segoe UI"/>
        </w:rPr>
        <w:footnoteReference w:id="53"/>
      </w:r>
      <w:r>
        <w:t xml:space="preserve"> </w:t>
      </w:r>
    </w:p>
    <w:p w14:paraId="2897A127" w14:textId="77777777" w:rsidR="00B7548E" w:rsidRPr="00E108A1" w:rsidRDefault="00B7548E" w:rsidP="00B7548E">
      <w:pPr>
        <w:pStyle w:val="Heading1"/>
        <w:rPr>
          <w:sz w:val="64"/>
          <w:szCs w:val="64"/>
        </w:rPr>
      </w:pPr>
      <w:bookmarkStart w:id="133" w:name="_Person-centred_approaches_"/>
      <w:bookmarkStart w:id="134" w:name="_Toc103152115"/>
      <w:bookmarkStart w:id="135" w:name="_Toc105770635"/>
      <w:bookmarkStart w:id="136" w:name="_Toc131663815"/>
      <w:bookmarkStart w:id="137" w:name="_Toc132355318"/>
      <w:bookmarkEnd w:id="133"/>
      <w:r w:rsidRPr="00E108A1">
        <w:rPr>
          <w:sz w:val="64"/>
          <w:szCs w:val="64"/>
        </w:rPr>
        <w:lastRenderedPageBreak/>
        <w:t>Person-centred approaches to preventing seclusion and restraint</w:t>
      </w:r>
      <w:bookmarkEnd w:id="134"/>
      <w:bookmarkEnd w:id="135"/>
      <w:bookmarkEnd w:id="136"/>
      <w:bookmarkEnd w:id="137"/>
    </w:p>
    <w:p w14:paraId="5C0E2437" w14:textId="655992B9" w:rsidR="00B7548E" w:rsidRDefault="00B7548E" w:rsidP="00E108A1">
      <w:r w:rsidRPr="000A44DC">
        <w:t>This</w:t>
      </w:r>
      <w:r>
        <w:t xml:space="preserve"> </w:t>
      </w:r>
      <w:r w:rsidRPr="000A44DC">
        <w:t>section</w:t>
      </w:r>
      <w:r>
        <w:t xml:space="preserve"> </w:t>
      </w:r>
      <w:r w:rsidRPr="000A44DC">
        <w:t>presents</w:t>
      </w:r>
      <w:r>
        <w:t xml:space="preserve"> </w:t>
      </w:r>
      <w:r w:rsidRPr="000A44DC">
        <w:t>methods</w:t>
      </w:r>
      <w:r>
        <w:t xml:space="preserve"> </w:t>
      </w:r>
      <w:r w:rsidRPr="000A44DC">
        <w:t>of</w:t>
      </w:r>
      <w:r>
        <w:t xml:space="preserve"> </w:t>
      </w:r>
      <w:r w:rsidRPr="000A44DC">
        <w:t>working</w:t>
      </w:r>
      <w:r>
        <w:t xml:space="preserve"> </w:t>
      </w:r>
      <w:r w:rsidRPr="000A44DC">
        <w:t>with</w:t>
      </w:r>
      <w:r>
        <w:t xml:space="preserve"> </w:t>
      </w:r>
      <w:r w:rsidRPr="000A44DC">
        <w:t>people</w:t>
      </w:r>
      <w:r>
        <w:t xml:space="preserve"> </w:t>
      </w:r>
      <w:r w:rsidRPr="000A44DC">
        <w:t>in</w:t>
      </w:r>
      <w:r>
        <w:t xml:space="preserve"> a period of acute </w:t>
      </w:r>
      <w:r w:rsidRPr="000A44DC">
        <w:t>mental</w:t>
      </w:r>
      <w:r>
        <w:t xml:space="preserve"> </w:t>
      </w:r>
      <w:r w:rsidRPr="000A44DC">
        <w:t>distress</w:t>
      </w:r>
      <w:r>
        <w:t xml:space="preserve"> </w:t>
      </w:r>
      <w:r w:rsidRPr="000A44DC">
        <w:t>that</w:t>
      </w:r>
      <w:r>
        <w:t xml:space="preserve"> </w:t>
      </w:r>
      <w:r w:rsidRPr="000A44DC">
        <w:t>have</w:t>
      </w:r>
      <w:r>
        <w:t xml:space="preserve"> </w:t>
      </w:r>
      <w:r w:rsidRPr="000A44DC">
        <w:t>been</w:t>
      </w:r>
      <w:r>
        <w:t xml:space="preserve"> </w:t>
      </w:r>
      <w:r w:rsidRPr="000A44DC">
        <w:t>shown</w:t>
      </w:r>
      <w:r>
        <w:t xml:space="preserve"> </w:t>
      </w:r>
      <w:r w:rsidRPr="000A44DC">
        <w:t>to</w:t>
      </w:r>
      <w:r>
        <w:t xml:space="preserve"> </w:t>
      </w:r>
      <w:r w:rsidRPr="000A44DC">
        <w:t>be</w:t>
      </w:r>
      <w:r>
        <w:t xml:space="preserve"> </w:t>
      </w:r>
      <w:r w:rsidRPr="000A44DC">
        <w:t>effective</w:t>
      </w:r>
      <w:r>
        <w:t xml:space="preserve"> </w:t>
      </w:r>
      <w:r w:rsidRPr="000A44DC">
        <w:t>at</w:t>
      </w:r>
      <w:r>
        <w:t xml:space="preserve"> </w:t>
      </w:r>
      <w:r w:rsidRPr="000A44DC">
        <w:t>minimising</w:t>
      </w:r>
      <w:r>
        <w:t xml:space="preserve"> </w:t>
      </w:r>
      <w:r w:rsidRPr="000A44DC">
        <w:t>the</w:t>
      </w:r>
      <w:r>
        <w:t xml:space="preserve"> </w:t>
      </w:r>
      <w:r w:rsidRPr="000A44DC">
        <w:t>use</w:t>
      </w:r>
      <w:r>
        <w:t xml:space="preserve"> </w:t>
      </w:r>
      <w:r w:rsidRPr="000A44DC">
        <w:t>of</w:t>
      </w:r>
      <w:r>
        <w:t xml:space="preserve"> </w:t>
      </w:r>
      <w:r w:rsidRPr="000A44DC">
        <w:t>seclusion</w:t>
      </w:r>
      <w:r>
        <w:t xml:space="preserve"> </w:t>
      </w:r>
      <w:r w:rsidRPr="000A44DC">
        <w:t>and</w:t>
      </w:r>
      <w:r>
        <w:t xml:space="preserve"> </w:t>
      </w:r>
      <w:r w:rsidRPr="000A44DC">
        <w:t>restraint.</w:t>
      </w:r>
      <w:r>
        <w:t xml:space="preserve"> Manatū Hauora expects services </w:t>
      </w:r>
      <w:r w:rsidRPr="0051706F">
        <w:t xml:space="preserve">to </w:t>
      </w:r>
      <w:r>
        <w:t xml:space="preserve">already be using these approaches as part of their </w:t>
      </w:r>
      <w:r w:rsidRPr="0051706F">
        <w:t>models</w:t>
      </w:r>
      <w:r>
        <w:t xml:space="preserve"> of care. </w:t>
      </w:r>
    </w:p>
    <w:p w14:paraId="385EAC2F" w14:textId="77777777" w:rsidR="00E108A1" w:rsidRDefault="00E108A1" w:rsidP="00E108A1"/>
    <w:p w14:paraId="392C4A08" w14:textId="77777777" w:rsidR="00E108A1" w:rsidRDefault="00B7548E" w:rsidP="00E108A1">
      <w:r>
        <w:t>Services need to demonstrate that they are routinely using these approaches and show progress towards implementing any that are not currently part of their model of care.</w:t>
      </w:r>
    </w:p>
    <w:p w14:paraId="25904406" w14:textId="75D2F5CA" w:rsidR="00B7548E" w:rsidRDefault="00B7548E" w:rsidP="00E108A1">
      <w:r>
        <w:t xml:space="preserve"> </w:t>
      </w:r>
    </w:p>
    <w:p w14:paraId="2A8E5F31" w14:textId="7320F44A" w:rsidR="00B7548E" w:rsidRDefault="00B7548E" w:rsidP="00E108A1">
      <w:r>
        <w:t>Ngā Paerewa defines ‘person-centred’ as ‘focusing care on the needs of the individual; ensuring that people’s preferences, needs, and values guide clinical decisions or disability support; and providing care that is respectful of and responsive to them.’</w:t>
      </w:r>
      <w:r>
        <w:rPr>
          <w:rStyle w:val="FootnoteReference"/>
          <w:rFonts w:cs="Segoe UI"/>
        </w:rPr>
        <w:footnoteReference w:id="54"/>
      </w:r>
      <w:r>
        <w:t xml:space="preserve"> A person-centred approach requires staff to work in a compassionate, relational, and supportive manner to help a person feel safe and supported.</w:t>
      </w:r>
    </w:p>
    <w:p w14:paraId="52489D7D" w14:textId="77777777" w:rsidR="00E108A1" w:rsidRDefault="00E108A1" w:rsidP="00E108A1"/>
    <w:p w14:paraId="32E69971" w14:textId="77777777" w:rsidR="00B7548E" w:rsidRDefault="00B7548E" w:rsidP="00E108A1">
      <w:r>
        <w:t xml:space="preserve">The following paragraphs describe some important person-centred approaches that Manatū Hauora expects services to incorporate in their models of care, and indicates where to find more information about them. </w:t>
      </w:r>
    </w:p>
    <w:p w14:paraId="53995832" w14:textId="63EA31AB" w:rsidR="00B7548E" w:rsidRPr="00E108A1" w:rsidRDefault="00B7548E" w:rsidP="00E108A1">
      <w:pPr>
        <w:pStyle w:val="Heading2"/>
      </w:pPr>
      <w:bookmarkStart w:id="138" w:name="_Toc131663816"/>
      <w:bookmarkStart w:id="139" w:name="_Toc132355319"/>
      <w:r w:rsidRPr="00E108A1">
        <w:t>Working in partnership with Māori</w:t>
      </w:r>
      <w:bookmarkEnd w:id="138"/>
      <w:bookmarkEnd w:id="139"/>
    </w:p>
    <w:p w14:paraId="3CD94F54" w14:textId="2A8046F6" w:rsidR="00B7548E" w:rsidRDefault="005B674E" w:rsidP="00E108A1">
      <w:r w:rsidRPr="006563E7">
        <w:rPr>
          <w:noProof/>
          <w:color w:val="31849B" w:themeColor="accent5" w:themeShade="BF"/>
          <w:sz w:val="22"/>
          <w:szCs w:val="22"/>
        </w:rPr>
        <mc:AlternateContent>
          <mc:Choice Requires="wps">
            <w:drawing>
              <wp:anchor distT="45720" distB="45720" distL="114300" distR="114300" simplePos="0" relativeHeight="251658246" behindDoc="0" locked="0" layoutInCell="1" hidden="0" allowOverlap="1" wp14:anchorId="60BA7CD6" wp14:editId="5BE12E8B">
                <wp:simplePos x="0" y="0"/>
                <wp:positionH relativeFrom="margin">
                  <wp:posOffset>3443605</wp:posOffset>
                </wp:positionH>
                <wp:positionV relativeFrom="paragraph">
                  <wp:posOffset>37713</wp:posOffset>
                </wp:positionV>
                <wp:extent cx="1774825" cy="1383030"/>
                <wp:effectExtent l="0" t="0" r="15875" b="2667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774825" cy="1383030"/>
                        </a:xfrm>
                        <a:prstGeom prst="rect">
                          <a:avLst/>
                        </a:prstGeom>
                        <a:solidFill>
                          <a:srgbClr val="FFFFFF"/>
                        </a:solidFill>
                        <a:ln w="12700" cap="flat" cmpd="sng">
                          <a:solidFill>
                            <a:srgbClr val="0A6AB4"/>
                          </a:solidFill>
                          <a:prstDash val="solid"/>
                          <a:miter lim="800000"/>
                          <a:headEnd type="none" w="sm" len="sm"/>
                          <a:tailEnd type="none" w="sm" len="sm"/>
                        </a:ln>
                      </wps:spPr>
                      <wps:txbx>
                        <w:txbxContent>
                          <w:p w14:paraId="3273E669" w14:textId="77777777" w:rsidR="00A26CD1" w:rsidRPr="002B544F" w:rsidRDefault="00A26CD1" w:rsidP="00B7548E">
                            <w:pPr>
                              <w:textDirection w:val="btLr"/>
                              <w:rPr>
                                <w:rFonts w:cs="Segoe UI"/>
                              </w:rPr>
                            </w:pPr>
                            <w:r w:rsidRPr="002B544F">
                              <w:rPr>
                                <w:rFonts w:cs="Segoe UI"/>
                                <w:color w:val="000000"/>
                              </w:rPr>
                              <w:t xml:space="preserve">‘Service providers work in partnership with Māori to ensure services are mana enhancing and use least restrictive practices.’ </w:t>
                            </w:r>
                            <w:r w:rsidRPr="002B544F">
                              <w:rPr>
                                <w:rFonts w:eastAsia="Quattrocento Sans" w:cs="Segoe UI"/>
                                <w:i/>
                                <w:color w:val="0070C0"/>
                              </w:rPr>
                              <w:t>Ngā Pa</w:t>
                            </w:r>
                            <w:r>
                              <w:rPr>
                                <w:rFonts w:eastAsia="Quattrocento Sans" w:cs="Segoe UI"/>
                                <w:i/>
                                <w:color w:val="0070C0"/>
                              </w:rPr>
                              <w:t>e</w:t>
                            </w:r>
                            <w:r w:rsidRPr="002B544F">
                              <w:rPr>
                                <w:rFonts w:eastAsia="Quattrocento Sans" w:cs="Segoe UI"/>
                                <w:i/>
                                <w:color w:val="0070C0"/>
                              </w:rPr>
                              <w:t xml:space="preserve">rewa </w:t>
                            </w:r>
                            <w:r>
                              <w:rPr>
                                <w:rFonts w:eastAsia="Quattrocento Sans" w:cs="Segoe UI"/>
                                <w:i/>
                                <w:color w:val="0070C0"/>
                              </w:rPr>
                              <w:t>outcome statement,</w:t>
                            </w:r>
                            <w:r w:rsidRPr="002B544F">
                              <w:rPr>
                                <w:rFonts w:eastAsia="Quattrocento Sans" w:cs="Segoe UI"/>
                                <w:i/>
                                <w:color w:val="0070C0"/>
                              </w:rPr>
                              <w:t xml:space="preserve"> </w:t>
                            </w:r>
                            <w:r>
                              <w:rPr>
                                <w:rFonts w:eastAsia="Quattrocento Sans" w:cs="Segoe UI"/>
                                <w:i/>
                                <w:color w:val="0070C0"/>
                              </w:rPr>
                              <w:t xml:space="preserve">subsection </w:t>
                            </w:r>
                            <w:r w:rsidRPr="002B544F">
                              <w:rPr>
                                <w:rFonts w:eastAsia="Quattrocento Sans" w:cs="Segoe UI"/>
                                <w:i/>
                                <w:color w:val="0070C0"/>
                              </w:rPr>
                              <w:t>6.1</w:t>
                            </w:r>
                            <w:r>
                              <w:rPr>
                                <w:rFonts w:eastAsia="Quattrocento Sans" w:cs="Segoe UI"/>
                                <w:i/>
                                <w:color w:val="0070C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D74D6A0">
              <v:rect id="Rectangle 1" style="position:absolute;margin-left:271.15pt;margin-top:2.95pt;width:139.75pt;height:108.9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strokecolor="#0a6ab4" strokeweight="1pt" w14:anchorId="60BA7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">
                <v:stroke startarrowwidth="narrow" startarrowlength="short" endarrowwidth="narrow" endarrowlength="short"/>
                <v:textbox inset="2.53958mm,1.2694mm,2.53958mm,1.2694mm">
                  <w:txbxContent>
                    <w:p w:rsidRPr="002B544F" w:rsidR="00A26CD1" w:rsidP="00B7548E" w:rsidRDefault="00A26CD1" w14:paraId="0DD16120" w14:textId="77777777">
                      <w:pPr>
                        <w:textDirection w:val="btLr"/>
                        <w:rPr>
                          <w:rFonts w:cs="Segoe UI"/>
                        </w:rPr>
                      </w:pPr>
                      <w:r w:rsidRPr="002B544F">
                        <w:rPr>
                          <w:rFonts w:cs="Segoe UI"/>
                          <w:color w:val="000000"/>
                        </w:rPr>
                        <w:t xml:space="preserve">‘Service providers work in partnership with Māori to ensure services are mana enhancing and use least restrictive practices.’ </w:t>
                      </w:r>
                      <w:r w:rsidRPr="002B544F">
                        <w:rPr>
                          <w:rFonts w:eastAsia="Quattrocento Sans" w:cs="Segoe UI"/>
                          <w:i/>
                          <w:color w:val="0070C0"/>
                        </w:rPr>
                        <w:t>Ngā Pa</w:t>
                      </w:r>
                      <w:r>
                        <w:rPr>
                          <w:rFonts w:eastAsia="Quattrocento Sans" w:cs="Segoe UI"/>
                          <w:i/>
                          <w:color w:val="0070C0"/>
                        </w:rPr>
                        <w:t>e</w:t>
                      </w:r>
                      <w:r w:rsidRPr="002B544F">
                        <w:rPr>
                          <w:rFonts w:eastAsia="Quattrocento Sans" w:cs="Segoe UI"/>
                          <w:i/>
                          <w:color w:val="0070C0"/>
                        </w:rPr>
                        <w:t xml:space="preserve">rewa </w:t>
                      </w:r>
                      <w:r>
                        <w:rPr>
                          <w:rFonts w:eastAsia="Quattrocento Sans" w:cs="Segoe UI"/>
                          <w:i/>
                          <w:color w:val="0070C0"/>
                        </w:rPr>
                        <w:t>outcome statement,</w:t>
                      </w:r>
                      <w:r w:rsidRPr="002B544F">
                        <w:rPr>
                          <w:rFonts w:eastAsia="Quattrocento Sans" w:cs="Segoe UI"/>
                          <w:i/>
                          <w:color w:val="0070C0"/>
                        </w:rPr>
                        <w:t xml:space="preserve"> </w:t>
                      </w:r>
                      <w:r>
                        <w:rPr>
                          <w:rFonts w:eastAsia="Quattrocento Sans" w:cs="Segoe UI"/>
                          <w:i/>
                          <w:color w:val="0070C0"/>
                        </w:rPr>
                        <w:t xml:space="preserve">subsection </w:t>
                      </w:r>
                      <w:r w:rsidRPr="002B544F">
                        <w:rPr>
                          <w:rFonts w:eastAsia="Quattrocento Sans" w:cs="Segoe UI"/>
                          <w:i/>
                          <w:color w:val="0070C0"/>
                        </w:rPr>
                        <w:t>6.1</w:t>
                      </w:r>
                      <w:r>
                        <w:rPr>
                          <w:rFonts w:eastAsia="Quattrocento Sans" w:cs="Segoe UI"/>
                          <w:i/>
                          <w:color w:val="0070C0"/>
                        </w:rPr>
                        <w:t>.</w:t>
                      </w:r>
                    </w:p>
                  </w:txbxContent>
                </v:textbox>
                <w10:wrap type="square" anchorx="margin"/>
              </v:rect>
            </w:pict>
          </mc:Fallback>
        </mc:AlternateContent>
      </w:r>
      <w:r w:rsidR="00B7548E">
        <w:t>Further to section 2.2 of these guidelines</w:t>
      </w:r>
      <w:r w:rsidR="00B7548E" w:rsidRPr="00860046">
        <w:t>,</w:t>
      </w:r>
      <w:r w:rsidR="00B7548E">
        <w:t xml:space="preserve"> we expect </w:t>
      </w:r>
      <w:r w:rsidR="00B7548E" w:rsidRPr="00860046">
        <w:t>services</w:t>
      </w:r>
      <w:r w:rsidR="00B7548E">
        <w:t xml:space="preserve"> </w:t>
      </w:r>
      <w:r w:rsidR="00B7548E" w:rsidRPr="00860046">
        <w:t>to</w:t>
      </w:r>
      <w:r w:rsidR="00B7548E">
        <w:t xml:space="preserve"> </w:t>
      </w:r>
      <w:r w:rsidR="00B7548E" w:rsidRPr="00860046">
        <w:t>work</w:t>
      </w:r>
      <w:r w:rsidR="00B7548E">
        <w:t xml:space="preserve"> </w:t>
      </w:r>
      <w:r w:rsidR="00B7548E" w:rsidRPr="00860046">
        <w:t>in</w:t>
      </w:r>
      <w:r w:rsidR="00B7548E">
        <w:t xml:space="preserve"> </w:t>
      </w:r>
      <w:r w:rsidR="00B7548E" w:rsidRPr="00860046">
        <w:t>partnership</w:t>
      </w:r>
      <w:r w:rsidR="00B7548E">
        <w:t xml:space="preserve"> </w:t>
      </w:r>
      <w:r w:rsidR="00B7548E" w:rsidRPr="00860046">
        <w:t>with</w:t>
      </w:r>
      <w:r w:rsidR="00B7548E">
        <w:t xml:space="preserve"> tāngata whaiora</w:t>
      </w:r>
      <w:r w:rsidR="00B7548E" w:rsidRPr="003F0518">
        <w:t xml:space="preserve"> </w:t>
      </w:r>
      <w:r w:rsidR="00B7548E" w:rsidRPr="00860046">
        <w:t>Māori</w:t>
      </w:r>
      <w:r w:rsidR="00B7548E">
        <w:t xml:space="preserve">, </w:t>
      </w:r>
      <w:r w:rsidR="00B7548E" w:rsidRPr="00860046">
        <w:t>their</w:t>
      </w:r>
      <w:r w:rsidR="00B7548E">
        <w:t xml:space="preserve"> </w:t>
      </w:r>
      <w:r w:rsidR="00B7548E" w:rsidRPr="00860046">
        <w:t>whānau</w:t>
      </w:r>
      <w:r w:rsidR="00B7548E">
        <w:t xml:space="preserve"> and their local iwi and hapū</w:t>
      </w:r>
      <w:r w:rsidR="00B7548E" w:rsidRPr="00860046">
        <w:t>.</w:t>
      </w:r>
      <w:r w:rsidR="00B7548E">
        <w:t xml:space="preserve"> This is both an approach and a principle that should be applied across all aspects of care and treatment for tāngata whaiora Māori. Services should refer to Māori models of health,</w:t>
      </w:r>
      <w:r w:rsidR="00B7548E">
        <w:rPr>
          <w:rStyle w:val="FootnoteReference"/>
          <w:rFonts w:cs="Segoe UI"/>
        </w:rPr>
        <w:footnoteReference w:id="55"/>
      </w:r>
      <w:r w:rsidR="00B7548E">
        <w:t xml:space="preserve"> such as Te Whare Tapa Whā,</w:t>
      </w:r>
      <w:r w:rsidR="00B7548E">
        <w:rPr>
          <w:rStyle w:val="FootnoteReference"/>
          <w:rFonts w:cs="Segoe UI"/>
        </w:rPr>
        <w:footnoteReference w:id="56"/>
      </w:r>
      <w:r w:rsidR="00B7548E">
        <w:t xml:space="preserve"> to inform service development and delivery for tāngata whaiora Māori. </w:t>
      </w:r>
    </w:p>
    <w:p w14:paraId="7FD34C55" w14:textId="77777777" w:rsidR="00E108A1" w:rsidRDefault="00E108A1" w:rsidP="00E108A1"/>
    <w:p w14:paraId="77C52932" w14:textId="682452EF" w:rsidR="00B7548E" w:rsidRDefault="00B7548E" w:rsidP="00E108A1">
      <w:r w:rsidRPr="006359AB">
        <w:lastRenderedPageBreak/>
        <w:t xml:space="preserve">Service providers should work in partnership with whānau, </w:t>
      </w:r>
      <w:r w:rsidRPr="00860046">
        <w:t>kaimahi</w:t>
      </w:r>
      <w:r>
        <w:t xml:space="preserve"> </w:t>
      </w:r>
      <w:r w:rsidRPr="00860046">
        <w:t>Māori,</w:t>
      </w:r>
      <w:r>
        <w:t xml:space="preserve"> </w:t>
      </w:r>
      <w:r w:rsidRPr="00860046">
        <w:t>cultural</w:t>
      </w:r>
      <w:r>
        <w:t xml:space="preserve"> </w:t>
      </w:r>
      <w:r w:rsidRPr="00860046">
        <w:t>advisors,</w:t>
      </w:r>
      <w:r>
        <w:t xml:space="preserve"> </w:t>
      </w:r>
      <w:r w:rsidRPr="00860046">
        <w:t>kaumātua</w:t>
      </w:r>
      <w:r>
        <w:t xml:space="preserve"> </w:t>
      </w:r>
      <w:r w:rsidRPr="00860046">
        <w:t>and</w:t>
      </w:r>
      <w:r>
        <w:t xml:space="preserve"> </w:t>
      </w:r>
      <w:r w:rsidRPr="00860046">
        <w:t>tohunga</w:t>
      </w:r>
      <w:r>
        <w:t xml:space="preserve"> </w:t>
      </w:r>
      <w:r w:rsidRPr="00860046">
        <w:t>(where</w:t>
      </w:r>
      <w:r>
        <w:t xml:space="preserve"> </w:t>
      </w:r>
      <w:r w:rsidRPr="00860046">
        <w:t>available)</w:t>
      </w:r>
      <w:r>
        <w:t xml:space="preserve"> </w:t>
      </w:r>
      <w:r w:rsidRPr="006359AB">
        <w:t>to promote</w:t>
      </w:r>
      <w:r>
        <w:t xml:space="preserve"> </w:t>
      </w:r>
      <w:r w:rsidRPr="00860046">
        <w:t>least</w:t>
      </w:r>
      <w:r>
        <w:t xml:space="preserve"> </w:t>
      </w:r>
      <w:r w:rsidRPr="00860046">
        <w:t>restrictive</w:t>
      </w:r>
      <w:r>
        <w:t xml:space="preserve"> </w:t>
      </w:r>
      <w:r w:rsidRPr="00860046">
        <w:t>best</w:t>
      </w:r>
      <w:r>
        <w:t xml:space="preserve"> </w:t>
      </w:r>
      <w:r w:rsidRPr="00860046">
        <w:t>practice</w:t>
      </w:r>
      <w:r w:rsidRPr="006359AB">
        <w:t>.</w:t>
      </w:r>
      <w:r>
        <w:rPr>
          <w:rStyle w:val="FootnoteReference"/>
          <w:rFonts w:cs="Segoe UI"/>
        </w:rPr>
        <w:footnoteReference w:id="57"/>
      </w:r>
      <w:r w:rsidRPr="006359AB">
        <w:t xml:space="preserve"> Staff</w:t>
      </w:r>
      <w:r>
        <w:t xml:space="preserve"> </w:t>
      </w:r>
      <w:r w:rsidRPr="00860046">
        <w:t>should</w:t>
      </w:r>
      <w:r>
        <w:t xml:space="preserve"> </w:t>
      </w:r>
      <w:r w:rsidRPr="006359AB">
        <w:t>engage</w:t>
      </w:r>
      <w:r>
        <w:t xml:space="preserve"> </w:t>
      </w:r>
      <w:r w:rsidRPr="00860046">
        <w:t>these</w:t>
      </w:r>
      <w:r>
        <w:t xml:space="preserve"> people </w:t>
      </w:r>
      <w:r w:rsidRPr="006359AB">
        <w:t xml:space="preserve">in the first instance </w:t>
      </w:r>
      <w:r w:rsidRPr="00860046">
        <w:t>wherever</w:t>
      </w:r>
      <w:r>
        <w:t xml:space="preserve"> </w:t>
      </w:r>
      <w:r w:rsidRPr="00860046">
        <w:t>practicable</w:t>
      </w:r>
      <w:r>
        <w:t xml:space="preserve"> </w:t>
      </w:r>
      <w:r w:rsidRPr="00860046">
        <w:t>before</w:t>
      </w:r>
      <w:r>
        <w:t xml:space="preserve"> </w:t>
      </w:r>
      <w:r w:rsidRPr="00860046">
        <w:t>considering</w:t>
      </w:r>
      <w:r>
        <w:t xml:space="preserve"> </w:t>
      </w:r>
      <w:r w:rsidRPr="006359AB">
        <w:t xml:space="preserve">using </w:t>
      </w:r>
      <w:r>
        <w:t xml:space="preserve">seclusion and </w:t>
      </w:r>
      <w:r w:rsidRPr="006359AB">
        <w:t xml:space="preserve">restraint. </w:t>
      </w:r>
      <w:r>
        <w:t xml:space="preserve">They </w:t>
      </w:r>
      <w:r w:rsidRPr="006359AB">
        <w:t xml:space="preserve">should offer </w:t>
      </w:r>
      <w:r>
        <w:t xml:space="preserve">people in these roles </w:t>
      </w:r>
      <w:r w:rsidRPr="006359AB">
        <w:t xml:space="preserve">as advocates when </w:t>
      </w:r>
      <w:r>
        <w:t xml:space="preserve">seclusion or </w:t>
      </w:r>
      <w:r w:rsidRPr="006359AB">
        <w:t>restraint occurs and</w:t>
      </w:r>
      <w:r>
        <w:t xml:space="preserve">, if </w:t>
      </w:r>
      <w:r w:rsidRPr="006359AB">
        <w:t>tāngata whaiora</w:t>
      </w:r>
      <w:r>
        <w:t xml:space="preserve"> wish, </w:t>
      </w:r>
      <w:r w:rsidRPr="006359AB">
        <w:t xml:space="preserve">involve </w:t>
      </w:r>
      <w:r>
        <w:t xml:space="preserve">them </w:t>
      </w:r>
      <w:r w:rsidRPr="006359AB">
        <w:t>in</w:t>
      </w:r>
      <w:r>
        <w:t xml:space="preserve"> a</w:t>
      </w:r>
      <w:r w:rsidRPr="006359AB">
        <w:t xml:space="preserve"> person-centred debrief after </w:t>
      </w:r>
      <w:r>
        <w:t>a</w:t>
      </w:r>
      <w:r w:rsidRPr="006359AB">
        <w:t xml:space="preserve"> </w:t>
      </w:r>
      <w:r>
        <w:t xml:space="preserve">seclusion or </w:t>
      </w:r>
      <w:r w:rsidRPr="006359AB">
        <w:t>restraint event.</w:t>
      </w:r>
      <w:r>
        <w:t xml:space="preserve"> </w:t>
      </w:r>
    </w:p>
    <w:p w14:paraId="548E96FB" w14:textId="77777777" w:rsidR="00E108A1" w:rsidRDefault="00E108A1" w:rsidP="00E108A1"/>
    <w:p w14:paraId="61CA61A4" w14:textId="77777777" w:rsidR="00B7548E" w:rsidRPr="002F2BA6" w:rsidRDefault="00B7548E" w:rsidP="00E108A1">
      <w:r w:rsidRPr="002F2BA6">
        <w:t xml:space="preserve">Te </w:t>
      </w:r>
      <w:r w:rsidRPr="000200CF">
        <w:t>Pou</w:t>
      </w:r>
      <w:r>
        <w:t>’</w:t>
      </w:r>
      <w:r w:rsidRPr="000200CF">
        <w:t xml:space="preserve">s </w:t>
      </w:r>
      <w:r w:rsidRPr="000200CF">
        <w:rPr>
          <w:i/>
          <w:iCs/>
        </w:rPr>
        <w:t>Evidence update</w:t>
      </w:r>
      <w:r w:rsidRPr="00B6194E">
        <w:t xml:space="preserve"> for least restrictive practice in Aotearoa New Zealand </w:t>
      </w:r>
      <w:r>
        <w:t>(</w:t>
      </w:r>
      <w:r w:rsidRPr="00B6194E">
        <w:t>November 2022</w:t>
      </w:r>
      <w:r>
        <w:t xml:space="preserve">) </w:t>
      </w:r>
      <w:r w:rsidRPr="002F2BA6">
        <w:t xml:space="preserve">provides </w:t>
      </w:r>
      <w:r>
        <w:t xml:space="preserve">a </w:t>
      </w:r>
      <w:r w:rsidRPr="002F2BA6">
        <w:t>Māori perspective on relevant research to identify the actions needed to eliminate the use of seclusion for tāngata whaiora Māori</w:t>
      </w:r>
      <w:r>
        <w:t>. It is a useful resource that will assist services to comply with the above guidelines</w:t>
      </w:r>
      <w:r w:rsidRPr="002F2BA6">
        <w:t>.</w:t>
      </w:r>
      <w:r w:rsidRPr="002F2BA6">
        <w:rPr>
          <w:rStyle w:val="FootnoteReference"/>
          <w:rFonts w:cs="Segoe UI"/>
        </w:rPr>
        <w:footnoteReference w:id="58"/>
      </w:r>
    </w:p>
    <w:p w14:paraId="2C10C1CC" w14:textId="77777777" w:rsidR="00B7548E" w:rsidRPr="00671B64" w:rsidRDefault="00B7548E" w:rsidP="00E108A1">
      <w:pPr>
        <w:pStyle w:val="Heading2"/>
      </w:pPr>
      <w:bookmarkStart w:id="140" w:name="_Supported_decision-making"/>
      <w:bookmarkStart w:id="141" w:name="_Toc103152116"/>
      <w:bookmarkStart w:id="142" w:name="_Toc105770636"/>
      <w:bookmarkStart w:id="143" w:name="_Toc131663817"/>
      <w:bookmarkStart w:id="144" w:name="_Toc132355320"/>
      <w:bookmarkEnd w:id="140"/>
      <w:r w:rsidRPr="2CC988A9">
        <w:t>Supported decision-making</w:t>
      </w:r>
      <w:bookmarkEnd w:id="141"/>
      <w:bookmarkEnd w:id="142"/>
      <w:bookmarkEnd w:id="143"/>
      <w:bookmarkEnd w:id="144"/>
    </w:p>
    <w:p w14:paraId="19E77432" w14:textId="7D42F432" w:rsidR="00B7548E" w:rsidRDefault="00B7548E" w:rsidP="00E108A1">
      <w:r w:rsidRPr="00F3616A">
        <w:t xml:space="preserve">Supported decision-making is a process that helps people to make their own decisions based on their will and preferences, so they have control of their life. The objective of supported decision making is to enable all people to exercise </w:t>
      </w:r>
      <w:r>
        <w:t xml:space="preserve">their </w:t>
      </w:r>
      <w:r w:rsidRPr="00F3616A">
        <w:t>full legal capacity, no matter what their cognitive status.</w:t>
      </w:r>
      <w:r>
        <w:rPr>
          <w:rStyle w:val="FootnoteReference"/>
        </w:rPr>
        <w:footnoteReference w:id="59"/>
      </w:r>
    </w:p>
    <w:p w14:paraId="0C9F1A47" w14:textId="77777777" w:rsidR="00E108A1" w:rsidRPr="00893593" w:rsidRDefault="00E108A1" w:rsidP="00E108A1"/>
    <w:p w14:paraId="5F6167C5" w14:textId="4EBFCFDD" w:rsidR="00B7548E" w:rsidRDefault="00B7548E" w:rsidP="00E108A1">
      <w:r w:rsidRPr="00242DDC">
        <w:t>A supported decision-making approach</w:t>
      </w:r>
      <w:r>
        <w:t xml:space="preserve"> </w:t>
      </w:r>
      <w:r w:rsidRPr="00242DDC">
        <w:t>assumes that all adults (with limited exceptions) have some level of ability to make</w:t>
      </w:r>
      <w:r>
        <w:t xml:space="preserve"> </w:t>
      </w:r>
      <w:r w:rsidRPr="00242DDC">
        <w:t xml:space="preserve">decisions </w:t>
      </w:r>
      <w:r>
        <w:t xml:space="preserve">and that </w:t>
      </w:r>
      <w:r w:rsidRPr="00242DDC">
        <w:t>we all, at times, may need varying levels of support to make a decision</w:t>
      </w:r>
      <w:r>
        <w:t xml:space="preserve"> </w:t>
      </w:r>
      <w:r w:rsidRPr="00242DDC">
        <w:t xml:space="preserve">or to express our will and preferences. </w:t>
      </w:r>
    </w:p>
    <w:p w14:paraId="2F96225C" w14:textId="77777777" w:rsidR="00E108A1" w:rsidRDefault="00E108A1" w:rsidP="00E108A1"/>
    <w:p w14:paraId="36D6E6F4" w14:textId="77777777" w:rsidR="00B7548E" w:rsidRPr="006A309D" w:rsidRDefault="00B7548E" w:rsidP="00E108A1">
      <w:r w:rsidRPr="00C26D10">
        <w:t>Supported</w:t>
      </w:r>
      <w:r>
        <w:t xml:space="preserve"> </w:t>
      </w:r>
      <w:r w:rsidRPr="00C26D10">
        <w:t>decision-making</w:t>
      </w:r>
      <w:r>
        <w:t xml:space="preserve"> </w:t>
      </w:r>
      <w:r w:rsidRPr="00676DE4">
        <w:t>is</w:t>
      </w:r>
      <w:r>
        <w:t xml:space="preserve"> </w:t>
      </w:r>
      <w:r w:rsidRPr="00676DE4">
        <w:t>a</w:t>
      </w:r>
      <w:r>
        <w:t xml:space="preserve"> </w:t>
      </w:r>
      <w:r w:rsidRPr="00676DE4">
        <w:t>central</w:t>
      </w:r>
      <w:r>
        <w:t xml:space="preserve"> </w:t>
      </w:r>
      <w:r w:rsidRPr="00676DE4">
        <w:t>concept</w:t>
      </w:r>
      <w:r>
        <w:t xml:space="preserve"> </w:t>
      </w:r>
      <w:r w:rsidRPr="00676DE4">
        <w:t>in</w:t>
      </w:r>
      <w:r>
        <w:t xml:space="preserve"> </w:t>
      </w:r>
      <w:r w:rsidRPr="00676DE4">
        <w:t>the</w:t>
      </w:r>
      <w:r>
        <w:t xml:space="preserve"> </w:t>
      </w:r>
      <w:r w:rsidRPr="0034724D">
        <w:rPr>
          <w:color w:val="000000"/>
        </w:rPr>
        <w:t>United Nations Convention on the Rights of Persons with Disabilities</w:t>
      </w:r>
      <w:r>
        <w:t xml:space="preserve">. Article 12 of that Convention (equal recognition before the law) </w:t>
      </w:r>
      <w:r w:rsidRPr="00676DE4">
        <w:t>requires</w:t>
      </w:r>
      <w:r>
        <w:t xml:space="preserve"> Aotearoa New Zealand </w:t>
      </w:r>
      <w:r w:rsidRPr="00676DE4">
        <w:t>to</w:t>
      </w:r>
      <w:r>
        <w:t xml:space="preserve"> take appropriate measures to provide </w:t>
      </w:r>
      <w:r w:rsidRPr="0051706F">
        <w:t xml:space="preserve">persons with disabilities </w:t>
      </w:r>
      <w:r>
        <w:t xml:space="preserve">with access </w:t>
      </w:r>
      <w:r w:rsidRPr="0051706F">
        <w:t xml:space="preserve">to the support that they </w:t>
      </w:r>
      <w:r>
        <w:t xml:space="preserve">need to </w:t>
      </w:r>
      <w:r w:rsidRPr="0051706F">
        <w:t>exercis</w:t>
      </w:r>
      <w:r>
        <w:t>e</w:t>
      </w:r>
      <w:r w:rsidRPr="0051706F">
        <w:t xml:space="preserve"> their legal capacity</w:t>
      </w:r>
      <w:r>
        <w:t xml:space="preserve">.  Supported decision-making also </w:t>
      </w:r>
      <w:r w:rsidRPr="009F1884">
        <w:t>gives effect to:</w:t>
      </w:r>
      <w:r w:rsidRPr="006A309D">
        <w:t xml:space="preserve"> </w:t>
      </w:r>
    </w:p>
    <w:p w14:paraId="6D66F82D" w14:textId="77777777" w:rsidR="00B7548E" w:rsidRPr="006A309D" w:rsidRDefault="00B7548E" w:rsidP="00E108A1">
      <w:pPr>
        <w:pStyle w:val="Bullet"/>
      </w:pPr>
      <w:r w:rsidRPr="006A309D">
        <w:t>the principles of Te Tiriti</w:t>
      </w:r>
    </w:p>
    <w:p w14:paraId="224BD8E0" w14:textId="77777777" w:rsidR="00B7548E" w:rsidRPr="006A309D" w:rsidRDefault="00B7548E" w:rsidP="00E108A1">
      <w:pPr>
        <w:pStyle w:val="Bullet"/>
      </w:pPr>
      <w:r>
        <w:t>R</w:t>
      </w:r>
      <w:r w:rsidRPr="006A309D">
        <w:t>ight 7 of the Code of Rights, the r</w:t>
      </w:r>
      <w:r w:rsidRPr="006A309D">
        <w:rPr>
          <w:color w:val="000000"/>
        </w:rPr>
        <w:t>ight to make an informed choice and give informed consent)</w:t>
      </w:r>
      <w:r w:rsidRPr="006A309D">
        <w:rPr>
          <w:rStyle w:val="FootnoteReference"/>
          <w:rFonts w:cs="Segoe UI"/>
          <w:szCs w:val="21"/>
        </w:rPr>
        <w:footnoteReference w:id="60"/>
      </w:r>
      <w:r w:rsidRPr="006A309D">
        <w:t xml:space="preserve"> </w:t>
      </w:r>
    </w:p>
    <w:p w14:paraId="52CBCD09" w14:textId="77777777" w:rsidR="00B7548E" w:rsidRPr="006A309D" w:rsidRDefault="00B7548E" w:rsidP="00E108A1">
      <w:pPr>
        <w:pStyle w:val="Bullet"/>
      </w:pPr>
      <w:r>
        <w:t>R</w:t>
      </w:r>
      <w:r w:rsidRPr="006A309D">
        <w:t>ight 8 of the Code</w:t>
      </w:r>
      <w:r>
        <w:t xml:space="preserve"> of Rights</w:t>
      </w:r>
      <w:r w:rsidRPr="006A309D">
        <w:t xml:space="preserve">, the right to </w:t>
      </w:r>
      <w:r>
        <w:t>support</w:t>
      </w:r>
    </w:p>
    <w:p w14:paraId="6F85ACEE" w14:textId="77777777" w:rsidR="00B7548E" w:rsidRPr="006A309D" w:rsidRDefault="00B7548E" w:rsidP="00E108A1">
      <w:pPr>
        <w:pStyle w:val="Bullet"/>
      </w:pPr>
      <w:r>
        <w:t xml:space="preserve">for psychiatrists, </w:t>
      </w:r>
      <w:r w:rsidRPr="006A309D">
        <w:t xml:space="preserve">principles 5.6 and 5.7 of </w:t>
      </w:r>
      <w:r w:rsidRPr="004C1814">
        <w:t>the RANZC</w:t>
      </w:r>
      <w:r w:rsidRPr="006A309D">
        <w:t>P Code of Ethics.</w:t>
      </w:r>
      <w:r w:rsidRPr="006A309D">
        <w:rPr>
          <w:rStyle w:val="FootnoteReference"/>
          <w:rFonts w:cs="Segoe UI"/>
          <w:szCs w:val="21"/>
        </w:rPr>
        <w:footnoteReference w:id="61"/>
      </w:r>
      <w:r w:rsidRPr="006A309D">
        <w:t xml:space="preserve"> </w:t>
      </w:r>
    </w:p>
    <w:p w14:paraId="1FCE0DD5" w14:textId="77777777" w:rsidR="00E108A1" w:rsidRDefault="00E108A1" w:rsidP="00E108A1"/>
    <w:p w14:paraId="76481E6B" w14:textId="3EF5796C" w:rsidR="00B7548E" w:rsidRDefault="00B7548E" w:rsidP="00E108A1">
      <w:r w:rsidRPr="00BB1EF0">
        <w:t xml:space="preserve">People with experience of mental illness or distress can make decisions by themselves and for themselves, with support if needed. Sometimes having a serious mental illness </w:t>
      </w:r>
      <w:r w:rsidRPr="00BB1EF0">
        <w:lastRenderedPageBreak/>
        <w:t xml:space="preserve">can </w:t>
      </w:r>
      <w:r>
        <w:t xml:space="preserve">affect people’s </w:t>
      </w:r>
      <w:r w:rsidRPr="00BB1EF0">
        <w:t xml:space="preserve">cognitive ability or make it harder to make some decisions or to express a decision. Supported decision-making focuses on practical ways of providing the type and level of support </w:t>
      </w:r>
      <w:r w:rsidRPr="0051706F">
        <w:t xml:space="preserve">that people </w:t>
      </w:r>
      <w:r w:rsidRPr="00BB1EF0">
        <w:t xml:space="preserve">might need to make decisions. </w:t>
      </w:r>
    </w:p>
    <w:p w14:paraId="6A40044A" w14:textId="77777777" w:rsidR="00E108A1" w:rsidRDefault="00E108A1" w:rsidP="00E108A1"/>
    <w:p w14:paraId="47C3E7BB" w14:textId="34F185D7" w:rsidR="00B7548E" w:rsidRDefault="00B7548E" w:rsidP="00E108A1">
      <w:r>
        <w:t>T</w:t>
      </w:r>
      <w:r w:rsidRPr="009F1884">
        <w:t xml:space="preserve">reating teams should </w:t>
      </w:r>
      <w:r>
        <w:t xml:space="preserve">facilitate a collaborative process with a </w:t>
      </w:r>
      <w:r w:rsidRPr="0051706F">
        <w:t>tangata</w:t>
      </w:r>
      <w:r>
        <w:t xml:space="preserve"> whaiora </w:t>
      </w:r>
      <w:r w:rsidRPr="009F1884">
        <w:t xml:space="preserve">to </w:t>
      </w:r>
      <w:r>
        <w:t xml:space="preserve">support them to </w:t>
      </w:r>
      <w:r w:rsidRPr="009F1884">
        <w:t>express their wishes</w:t>
      </w:r>
      <w:r>
        <w:t>, ideally</w:t>
      </w:r>
      <w:r w:rsidRPr="009F1884">
        <w:t xml:space="preserve"> when the</w:t>
      </w:r>
      <w:r>
        <w:t xml:space="preserve"> person is</w:t>
      </w:r>
      <w:r w:rsidRPr="009F1884">
        <w:t xml:space="preserve"> well. Teams should also enable discussion with family or whānau about such plans</w:t>
      </w:r>
      <w:r>
        <w:t>,</w:t>
      </w:r>
      <w:r w:rsidRPr="009F1884">
        <w:t xml:space="preserve"> to increase the chances of acting on wishes that</w:t>
      </w:r>
      <w:r w:rsidRPr="001D329B">
        <w:t xml:space="preserve"> </w:t>
      </w:r>
      <w:r>
        <w:t xml:space="preserve">the person </w:t>
      </w:r>
      <w:r w:rsidRPr="001D329B">
        <w:t>expressed competently in the past</w:t>
      </w:r>
      <w:r>
        <w:t>.</w:t>
      </w:r>
      <w:r w:rsidRPr="001D329B">
        <w:rPr>
          <w:rStyle w:val="FootnoteReference"/>
          <w:rFonts w:cs="Segoe UI"/>
        </w:rPr>
        <w:footnoteReference w:id="62"/>
      </w:r>
      <w:r>
        <w:t xml:space="preserve"> Discussions should include </w:t>
      </w:r>
      <w:r w:rsidRPr="0051416B">
        <w:t>consider</w:t>
      </w:r>
      <w:r>
        <w:t>ation of</w:t>
      </w:r>
      <w:r w:rsidRPr="0051416B">
        <w:t xml:space="preserve"> cultural</w:t>
      </w:r>
      <w:r>
        <w:t xml:space="preserve">ly appropriate care, especially for tāngata whaiora Māori. </w:t>
      </w:r>
    </w:p>
    <w:p w14:paraId="30A865B8" w14:textId="77777777" w:rsidR="00E108A1" w:rsidRDefault="00E108A1" w:rsidP="00E108A1"/>
    <w:p w14:paraId="419DCA53" w14:textId="77777777" w:rsidR="00B7548E" w:rsidRPr="00537F2A" w:rsidRDefault="00B7548E" w:rsidP="00E108A1">
      <w:r w:rsidRPr="00537F2A">
        <w:t>Some practical ways of bolstering a person’s capacity to determine and communicate a choice are to:</w:t>
      </w:r>
    </w:p>
    <w:p w14:paraId="5D67A060" w14:textId="77777777" w:rsidR="00B7548E" w:rsidRPr="00BC12F4" w:rsidRDefault="00B7548E" w:rsidP="00E108A1">
      <w:pPr>
        <w:pStyle w:val="Bullet"/>
      </w:pPr>
      <w:r w:rsidRPr="00BC12F4">
        <w:t>use communication aids (for example, list options on a piece of paper with the person, including risks and benefits, and allow adequate time for the person to consider and discuss the options, including their concerns and preferences)</w:t>
      </w:r>
    </w:p>
    <w:p w14:paraId="6B8074FD" w14:textId="77777777" w:rsidR="00B7548E" w:rsidRPr="00BC12F4" w:rsidRDefault="00B7548E" w:rsidP="00E108A1">
      <w:pPr>
        <w:pStyle w:val="Bullet"/>
      </w:pPr>
      <w:r w:rsidRPr="00BC12F4">
        <w:t>develop advance directives or a joint crisis plan</w:t>
      </w:r>
    </w:p>
    <w:p w14:paraId="3A150040" w14:textId="77777777" w:rsidR="00B7548E" w:rsidRPr="00BC12F4" w:rsidRDefault="00B7548E" w:rsidP="00E108A1">
      <w:pPr>
        <w:pStyle w:val="Bullet"/>
      </w:pPr>
      <w:r w:rsidRPr="00BC12F4">
        <w:t>involve informal supporters such as one or more trusted whānau or family members, friends or peer support people.</w:t>
      </w:r>
      <w:r w:rsidRPr="00BC12F4">
        <w:rPr>
          <w:rStyle w:val="FootnoteReference"/>
          <w:rFonts w:cs="Segoe UI"/>
          <w:szCs w:val="21"/>
        </w:rPr>
        <w:footnoteReference w:id="63"/>
      </w:r>
      <w:r w:rsidRPr="00BC12F4">
        <w:t xml:space="preserve"> </w:t>
      </w:r>
    </w:p>
    <w:p w14:paraId="57D234D6" w14:textId="77777777" w:rsidR="00E108A1" w:rsidRDefault="00E108A1" w:rsidP="00B7548E">
      <w:pPr>
        <w:spacing w:line="276" w:lineRule="auto"/>
        <w:rPr>
          <w:rFonts w:cs="Segoe UI"/>
        </w:rPr>
      </w:pPr>
    </w:p>
    <w:p w14:paraId="52B77848" w14:textId="3641D1D4" w:rsidR="00B7548E" w:rsidRDefault="00B7548E" w:rsidP="00E108A1">
      <w:pPr>
        <w:rPr>
          <w:iCs/>
          <w:shd w:val="clear" w:color="auto" w:fill="FFFFFF"/>
        </w:rPr>
      </w:pPr>
      <w:r>
        <w:t xml:space="preserve">The concept and practice of supported decision-making and how it relates to the Mental Health Act are detailed </w:t>
      </w:r>
      <w:r w:rsidRPr="009320BD">
        <w:t>in</w:t>
      </w:r>
      <w:r>
        <w:t xml:space="preserve"> </w:t>
      </w:r>
      <w:r w:rsidRPr="00655DCB">
        <w:rPr>
          <w:i/>
          <w:shd w:val="clear" w:color="auto" w:fill="FFFFFF"/>
        </w:rPr>
        <w:t>Human Rights and the Mental Health (Compulsory Assessment and Treatment) Act 1992</w:t>
      </w:r>
      <w:r w:rsidRPr="0036501D">
        <w:rPr>
          <w:iCs/>
          <w:shd w:val="clear" w:color="auto" w:fill="FFFFFF"/>
        </w:rPr>
        <w:t>.</w:t>
      </w:r>
      <w:r w:rsidRPr="0036501D">
        <w:rPr>
          <w:rStyle w:val="FootnoteReference"/>
          <w:rFonts w:cs="Segoe UI"/>
          <w:iCs/>
          <w:shd w:val="clear" w:color="auto" w:fill="FFFFFF"/>
        </w:rPr>
        <w:footnoteReference w:id="64"/>
      </w:r>
      <w:r w:rsidRPr="0036501D">
        <w:rPr>
          <w:iCs/>
          <w:shd w:val="clear" w:color="auto" w:fill="FFFFFF"/>
        </w:rPr>
        <w:t xml:space="preserve"> </w:t>
      </w:r>
    </w:p>
    <w:p w14:paraId="161B94ED" w14:textId="77777777" w:rsidR="00E108A1" w:rsidRDefault="00E108A1" w:rsidP="00E108A1">
      <w:pPr>
        <w:rPr>
          <w:i/>
          <w:shd w:val="clear" w:color="auto" w:fill="FFFFFF"/>
        </w:rPr>
      </w:pPr>
    </w:p>
    <w:p w14:paraId="638E449C" w14:textId="77777777" w:rsidR="00B7548E" w:rsidRPr="00960E52" w:rsidRDefault="00B7548E" w:rsidP="00E108A1">
      <w:r>
        <w:t>The Ministry of Social Development</w:t>
      </w:r>
      <w:r>
        <w:rPr>
          <w:rStyle w:val="FootnoteReference"/>
          <w:rFonts w:cs="Segoe UI"/>
        </w:rPr>
        <w:footnoteReference w:id="65"/>
      </w:r>
      <w:r>
        <w:t xml:space="preserve"> website also has useful information and resources about supported decision-making. </w:t>
      </w:r>
    </w:p>
    <w:p w14:paraId="63EB086F" w14:textId="77777777" w:rsidR="00B7548E" w:rsidRPr="00E108A1" w:rsidRDefault="00B7548E" w:rsidP="00E108A1">
      <w:pPr>
        <w:pStyle w:val="Heading2"/>
      </w:pPr>
      <w:bookmarkStart w:id="145" w:name="_Toc119584184"/>
      <w:bookmarkStart w:id="146" w:name="_Toc119659471"/>
      <w:bookmarkStart w:id="147" w:name="_Toc119662460"/>
      <w:bookmarkStart w:id="148" w:name="_Toc119682071"/>
      <w:bookmarkStart w:id="149" w:name="_Toc119683452"/>
      <w:bookmarkStart w:id="150" w:name="_Toc120282921"/>
      <w:bookmarkStart w:id="151" w:name="_Toc120703923"/>
      <w:bookmarkStart w:id="152" w:name="_Toc120713438"/>
      <w:bookmarkStart w:id="153" w:name="_Toc120715587"/>
      <w:bookmarkStart w:id="154" w:name="_Toc120862208"/>
      <w:bookmarkStart w:id="155" w:name="_Toc103152117"/>
      <w:bookmarkStart w:id="156" w:name="_Toc105770637"/>
      <w:bookmarkStart w:id="157" w:name="_Toc131663818"/>
      <w:bookmarkStart w:id="158" w:name="_Toc132355321"/>
      <w:bookmarkEnd w:id="145"/>
      <w:bookmarkEnd w:id="146"/>
      <w:bookmarkEnd w:id="147"/>
      <w:bookmarkEnd w:id="148"/>
      <w:bookmarkEnd w:id="149"/>
      <w:bookmarkEnd w:id="150"/>
      <w:bookmarkEnd w:id="151"/>
      <w:bookmarkEnd w:id="152"/>
      <w:bookmarkEnd w:id="153"/>
      <w:bookmarkEnd w:id="154"/>
      <w:r w:rsidRPr="00E108A1">
        <w:t>Advance directives</w:t>
      </w:r>
      <w:bookmarkEnd w:id="155"/>
      <w:bookmarkEnd w:id="156"/>
      <w:bookmarkEnd w:id="157"/>
      <w:bookmarkEnd w:id="158"/>
    </w:p>
    <w:p w14:paraId="4AAF7C84" w14:textId="628CF769" w:rsidR="00B7548E" w:rsidRDefault="00B7548E" w:rsidP="00E108A1">
      <w:r w:rsidRPr="000A44DC">
        <w:t>Advance</w:t>
      </w:r>
      <w:r>
        <w:t xml:space="preserve"> </w:t>
      </w:r>
      <w:r w:rsidRPr="000A44DC">
        <w:t>directives</w:t>
      </w:r>
      <w:r>
        <w:t xml:space="preserve"> </w:t>
      </w:r>
      <w:r w:rsidRPr="000A44DC">
        <w:t>are</w:t>
      </w:r>
      <w:r>
        <w:t xml:space="preserve"> </w:t>
      </w:r>
      <w:r w:rsidRPr="000A44DC">
        <w:t>a</w:t>
      </w:r>
      <w:r>
        <w:t xml:space="preserve"> </w:t>
      </w:r>
      <w:r w:rsidRPr="000A44DC">
        <w:t>tool</w:t>
      </w:r>
      <w:r>
        <w:t xml:space="preserve"> </w:t>
      </w:r>
      <w:r w:rsidRPr="000A44DC">
        <w:t>for</w:t>
      </w:r>
      <w:r>
        <w:t xml:space="preserve"> </w:t>
      </w:r>
      <w:r w:rsidRPr="000A44DC">
        <w:t>supported</w:t>
      </w:r>
      <w:r>
        <w:t xml:space="preserve"> </w:t>
      </w:r>
      <w:r w:rsidRPr="000A44DC">
        <w:t>decision-making.</w:t>
      </w:r>
      <w:r>
        <w:t xml:space="preserve"> </w:t>
      </w:r>
      <w:r w:rsidRPr="000A44DC">
        <w:rPr>
          <w:rFonts w:eastAsiaTheme="minorHAnsi"/>
        </w:rPr>
        <w:t>An</w:t>
      </w:r>
      <w:r>
        <w:rPr>
          <w:rFonts w:eastAsiaTheme="minorHAnsi"/>
        </w:rPr>
        <w:t xml:space="preserve"> </w:t>
      </w:r>
      <w:r w:rsidRPr="000A44DC">
        <w:rPr>
          <w:rFonts w:eastAsiaTheme="minorHAnsi"/>
        </w:rPr>
        <w:t>advance</w:t>
      </w:r>
      <w:r>
        <w:rPr>
          <w:rFonts w:eastAsiaTheme="minorHAnsi"/>
        </w:rPr>
        <w:t xml:space="preserve"> </w:t>
      </w:r>
      <w:r w:rsidRPr="000A44DC">
        <w:rPr>
          <w:rFonts w:eastAsiaTheme="minorHAnsi"/>
        </w:rPr>
        <w:t>directive</w:t>
      </w:r>
      <w:r>
        <w:rPr>
          <w:rFonts w:eastAsiaTheme="minorHAnsi"/>
        </w:rPr>
        <w:t xml:space="preserve"> can be </w:t>
      </w:r>
      <w:r w:rsidRPr="000A44DC">
        <w:rPr>
          <w:rFonts w:eastAsiaTheme="minorHAnsi"/>
        </w:rPr>
        <w:t>a</w:t>
      </w:r>
      <w:r>
        <w:rPr>
          <w:rFonts w:eastAsiaTheme="minorHAnsi"/>
        </w:rPr>
        <w:t xml:space="preserve"> </w:t>
      </w:r>
      <w:r w:rsidRPr="000A44DC">
        <w:rPr>
          <w:rFonts w:eastAsiaTheme="minorHAnsi"/>
        </w:rPr>
        <w:t>written</w:t>
      </w:r>
      <w:r>
        <w:rPr>
          <w:rFonts w:eastAsiaTheme="minorHAnsi"/>
        </w:rPr>
        <w:t xml:space="preserve"> </w:t>
      </w:r>
      <w:r w:rsidRPr="000A44DC">
        <w:rPr>
          <w:rFonts w:eastAsiaTheme="minorHAnsi"/>
        </w:rPr>
        <w:t>or</w:t>
      </w:r>
      <w:r>
        <w:rPr>
          <w:rFonts w:eastAsiaTheme="minorHAnsi"/>
        </w:rPr>
        <w:t xml:space="preserve"> </w:t>
      </w:r>
      <w:r w:rsidRPr="000A44DC">
        <w:rPr>
          <w:rFonts w:eastAsiaTheme="minorHAnsi"/>
        </w:rPr>
        <w:t>oral</w:t>
      </w:r>
      <w:r>
        <w:rPr>
          <w:rFonts w:eastAsiaTheme="minorHAnsi"/>
        </w:rPr>
        <w:t xml:space="preserve"> </w:t>
      </w:r>
      <w:r w:rsidRPr="000A44DC">
        <w:rPr>
          <w:rFonts w:eastAsiaTheme="minorHAnsi"/>
        </w:rPr>
        <w:t>directive</w:t>
      </w:r>
      <w:r>
        <w:rPr>
          <w:rFonts w:eastAsiaTheme="minorHAnsi"/>
        </w:rPr>
        <w:t xml:space="preserve"> </w:t>
      </w:r>
      <w:r w:rsidRPr="000A44DC">
        <w:rPr>
          <w:rFonts w:eastAsiaTheme="minorHAnsi"/>
        </w:rPr>
        <w:t>or</w:t>
      </w:r>
      <w:r>
        <w:rPr>
          <w:rFonts w:eastAsiaTheme="minorHAnsi"/>
        </w:rPr>
        <w:t xml:space="preserve"> </w:t>
      </w:r>
      <w:r w:rsidRPr="000A44DC">
        <w:rPr>
          <w:rFonts w:eastAsiaTheme="minorHAnsi"/>
        </w:rPr>
        <w:t>instruction</w:t>
      </w:r>
      <w:r>
        <w:rPr>
          <w:rFonts w:eastAsiaTheme="minorHAnsi"/>
        </w:rPr>
        <w:t xml:space="preserve">, </w:t>
      </w:r>
      <w:r w:rsidRPr="000A44DC">
        <w:rPr>
          <w:rFonts w:eastAsiaTheme="minorHAnsi"/>
        </w:rPr>
        <w:t>in</w:t>
      </w:r>
      <w:r>
        <w:rPr>
          <w:rFonts w:eastAsiaTheme="minorHAnsi"/>
        </w:rPr>
        <w:t xml:space="preserve"> </w:t>
      </w:r>
      <w:r w:rsidRPr="000A44DC">
        <w:rPr>
          <w:rFonts w:eastAsiaTheme="minorHAnsi"/>
        </w:rPr>
        <w:t>which</w:t>
      </w:r>
      <w:r>
        <w:rPr>
          <w:rFonts w:eastAsiaTheme="minorHAnsi"/>
        </w:rPr>
        <w:t xml:space="preserve"> </w:t>
      </w:r>
      <w:r w:rsidRPr="000A44DC">
        <w:rPr>
          <w:rFonts w:eastAsiaTheme="minorHAnsi"/>
        </w:rPr>
        <w:t>a</w:t>
      </w:r>
      <w:r>
        <w:rPr>
          <w:rFonts w:eastAsiaTheme="minorHAnsi"/>
        </w:rPr>
        <w:t xml:space="preserve"> </w:t>
      </w:r>
      <w:r w:rsidRPr="000A44DC">
        <w:rPr>
          <w:rFonts w:eastAsiaTheme="minorHAnsi"/>
        </w:rPr>
        <w:t>person</w:t>
      </w:r>
      <w:r>
        <w:rPr>
          <w:rFonts w:eastAsiaTheme="minorHAnsi"/>
        </w:rPr>
        <w:t xml:space="preserve"> </w:t>
      </w:r>
      <w:r>
        <w:t xml:space="preserve">informs </w:t>
      </w:r>
      <w:r w:rsidRPr="000A44DC">
        <w:t>health</w:t>
      </w:r>
      <w:r>
        <w:t xml:space="preserve"> </w:t>
      </w:r>
      <w:r w:rsidRPr="000A44DC">
        <w:t>professionals</w:t>
      </w:r>
      <w:r>
        <w:t xml:space="preserve"> </w:t>
      </w:r>
      <w:r w:rsidRPr="000A44DC">
        <w:t>about</w:t>
      </w:r>
      <w:r>
        <w:t xml:space="preserve"> </w:t>
      </w:r>
      <w:r w:rsidRPr="000A44DC">
        <w:t>specific</w:t>
      </w:r>
      <w:r>
        <w:t xml:space="preserve"> </w:t>
      </w:r>
      <w:r w:rsidRPr="000A44DC">
        <w:t>kinds</w:t>
      </w:r>
      <w:r>
        <w:t xml:space="preserve"> </w:t>
      </w:r>
      <w:r w:rsidRPr="000A44DC">
        <w:t>of</w:t>
      </w:r>
      <w:r>
        <w:t xml:space="preserve"> </w:t>
      </w:r>
      <w:r w:rsidRPr="000A44DC">
        <w:t>treatment</w:t>
      </w:r>
      <w:r>
        <w:t xml:space="preserve"> </w:t>
      </w:r>
      <w:r w:rsidRPr="000A44DC">
        <w:t>that</w:t>
      </w:r>
      <w:r>
        <w:t xml:space="preserve"> </w:t>
      </w:r>
      <w:r w:rsidRPr="000A44DC">
        <w:t>they</w:t>
      </w:r>
      <w:r>
        <w:t xml:space="preserve"> </w:t>
      </w:r>
      <w:r w:rsidRPr="000A44DC">
        <w:t>would</w:t>
      </w:r>
      <w:r>
        <w:t xml:space="preserve"> </w:t>
      </w:r>
      <w:r w:rsidRPr="000A44DC">
        <w:t>or</w:t>
      </w:r>
      <w:r>
        <w:t xml:space="preserve"> </w:t>
      </w:r>
      <w:r w:rsidRPr="000A44DC">
        <w:t>would</w:t>
      </w:r>
      <w:r>
        <w:t xml:space="preserve"> </w:t>
      </w:r>
      <w:r w:rsidRPr="000A44DC">
        <w:t>not</w:t>
      </w:r>
      <w:r>
        <w:t xml:space="preserve"> </w:t>
      </w:r>
      <w:r w:rsidRPr="000A44DC">
        <w:t>want</w:t>
      </w:r>
      <w:r>
        <w:t xml:space="preserve"> </w:t>
      </w:r>
      <w:r w:rsidRPr="000A44DC">
        <w:t>no</w:t>
      </w:r>
      <w:r>
        <w:t xml:space="preserve"> </w:t>
      </w:r>
      <w:r w:rsidRPr="000A44DC">
        <w:t>matter</w:t>
      </w:r>
      <w:r>
        <w:t xml:space="preserve"> </w:t>
      </w:r>
      <w:r w:rsidRPr="000A44DC">
        <w:t>how</w:t>
      </w:r>
      <w:r>
        <w:t xml:space="preserve"> </w:t>
      </w:r>
      <w:r w:rsidRPr="000A44DC">
        <w:t>sick</w:t>
      </w:r>
      <w:r>
        <w:t xml:space="preserve"> </w:t>
      </w:r>
      <w:r w:rsidRPr="000A44DC">
        <w:t>they</w:t>
      </w:r>
      <w:r>
        <w:t xml:space="preserve"> </w:t>
      </w:r>
      <w:r w:rsidRPr="000A44DC">
        <w:t>are</w:t>
      </w:r>
      <w:r>
        <w:t>, or who they wish to be involved (or not involved) in their care</w:t>
      </w:r>
      <w:r w:rsidRPr="000A44DC">
        <w:t>.</w:t>
      </w:r>
      <w:r w:rsidRPr="002B60AA">
        <w:t xml:space="preserve"> </w:t>
      </w:r>
      <w:r>
        <w:t>Advance directives are an important tool for allowing people to have a say over their future treatment.</w:t>
      </w:r>
      <w:r w:rsidRPr="00986EAF">
        <w:t xml:space="preserve">  </w:t>
      </w:r>
    </w:p>
    <w:p w14:paraId="54FC6523" w14:textId="77777777" w:rsidR="00E108A1" w:rsidRPr="009261E4" w:rsidRDefault="00E108A1" w:rsidP="00E108A1"/>
    <w:p w14:paraId="4948A6E6" w14:textId="2543F738" w:rsidR="00B7548E" w:rsidRDefault="00B7548E" w:rsidP="00E108A1">
      <w:r w:rsidRPr="000A44DC">
        <w:t>Right</w:t>
      </w:r>
      <w:r>
        <w:t xml:space="preserve"> </w:t>
      </w:r>
      <w:r w:rsidRPr="000A44DC">
        <w:t>7(5)</w:t>
      </w:r>
      <w:r>
        <w:t xml:space="preserve"> </w:t>
      </w:r>
      <w:r w:rsidRPr="000A44DC">
        <w:t>of</w:t>
      </w:r>
      <w:r>
        <w:t xml:space="preserve"> </w:t>
      </w:r>
      <w:r w:rsidRPr="000A44DC">
        <w:t>the</w:t>
      </w:r>
      <w:r>
        <w:t xml:space="preserve"> </w:t>
      </w:r>
      <w:r w:rsidRPr="000A44DC">
        <w:t>Code</w:t>
      </w:r>
      <w:r>
        <w:t xml:space="preserve"> </w:t>
      </w:r>
      <w:r w:rsidRPr="000A44DC">
        <w:t>of</w:t>
      </w:r>
      <w:r>
        <w:t xml:space="preserve"> </w:t>
      </w:r>
      <w:r w:rsidRPr="000A44DC">
        <w:t>Rights</w:t>
      </w:r>
      <w:r>
        <w:t xml:space="preserve"> </w:t>
      </w:r>
      <w:r w:rsidRPr="000A44DC">
        <w:t>states</w:t>
      </w:r>
      <w:r>
        <w:t xml:space="preserve"> that </w:t>
      </w:r>
      <w:r w:rsidRPr="000A44DC">
        <w:t>‘</w:t>
      </w:r>
      <w:r>
        <w:t>e</w:t>
      </w:r>
      <w:r w:rsidRPr="000A44DC">
        <w:t>very</w:t>
      </w:r>
      <w:r>
        <w:t xml:space="preserve"> </w:t>
      </w:r>
      <w:r w:rsidRPr="000A44DC">
        <w:t>consumer</w:t>
      </w:r>
      <w:r>
        <w:t xml:space="preserve"> </w:t>
      </w:r>
      <w:r w:rsidRPr="000A44DC">
        <w:t>may</w:t>
      </w:r>
      <w:r>
        <w:t xml:space="preserve"> </w:t>
      </w:r>
      <w:r w:rsidRPr="000A44DC">
        <w:t>use</w:t>
      </w:r>
      <w:r>
        <w:t xml:space="preserve"> </w:t>
      </w:r>
      <w:r w:rsidRPr="000A44DC">
        <w:t>an</w:t>
      </w:r>
      <w:r>
        <w:t xml:space="preserve"> </w:t>
      </w:r>
      <w:r w:rsidRPr="000A44DC">
        <w:t>advance</w:t>
      </w:r>
      <w:r>
        <w:t xml:space="preserve"> </w:t>
      </w:r>
      <w:r w:rsidRPr="000A44DC">
        <w:t>directive</w:t>
      </w:r>
      <w:r>
        <w:t xml:space="preserve"> </w:t>
      </w:r>
      <w:r w:rsidRPr="000A44DC">
        <w:t>in</w:t>
      </w:r>
      <w:r>
        <w:t xml:space="preserve"> </w:t>
      </w:r>
      <w:r w:rsidRPr="000A44DC">
        <w:t>accordance</w:t>
      </w:r>
      <w:r>
        <w:t xml:space="preserve"> </w:t>
      </w:r>
      <w:r w:rsidRPr="000A44DC">
        <w:t>with</w:t>
      </w:r>
      <w:r>
        <w:t xml:space="preserve"> </w:t>
      </w:r>
      <w:r w:rsidRPr="000A44DC">
        <w:t>the</w:t>
      </w:r>
      <w:r>
        <w:t xml:space="preserve"> </w:t>
      </w:r>
      <w:r w:rsidRPr="000A44DC">
        <w:t>common</w:t>
      </w:r>
      <w:r>
        <w:t xml:space="preserve"> </w:t>
      </w:r>
      <w:r w:rsidRPr="000A44DC">
        <w:t>law’.</w:t>
      </w:r>
      <w:r>
        <w:t xml:space="preserve"> </w:t>
      </w:r>
    </w:p>
    <w:p w14:paraId="3B6FDE6F" w14:textId="77777777" w:rsidR="00E108A1" w:rsidRPr="000A44DC" w:rsidRDefault="00E108A1" w:rsidP="00E108A1"/>
    <w:p w14:paraId="0337A252" w14:textId="4DB51FEA" w:rsidR="00B7548E" w:rsidRDefault="00B7548E" w:rsidP="00E108A1">
      <w:pPr>
        <w:rPr>
          <w:rFonts w:eastAsiaTheme="minorHAnsi"/>
          <w:vertAlign w:val="superscript"/>
        </w:rPr>
      </w:pPr>
      <w:r w:rsidRPr="000A44DC">
        <w:lastRenderedPageBreak/>
        <w:t>An</w:t>
      </w:r>
      <w:r>
        <w:t xml:space="preserve"> </w:t>
      </w:r>
      <w:r w:rsidRPr="000A44DC">
        <w:t>advance</w:t>
      </w:r>
      <w:r>
        <w:t xml:space="preserve"> </w:t>
      </w:r>
      <w:r w:rsidRPr="000A44DC">
        <w:t>directive</w:t>
      </w:r>
      <w:r>
        <w:t xml:space="preserve"> </w:t>
      </w:r>
      <w:r w:rsidRPr="000A44DC">
        <w:t>is</w:t>
      </w:r>
      <w:r>
        <w:t xml:space="preserve"> </w:t>
      </w:r>
      <w:r w:rsidRPr="000A44DC">
        <w:t>also</w:t>
      </w:r>
      <w:r>
        <w:t xml:space="preserve"> </w:t>
      </w:r>
      <w:r w:rsidRPr="000A44DC">
        <w:t>sometimes</w:t>
      </w:r>
      <w:r>
        <w:t xml:space="preserve"> </w:t>
      </w:r>
      <w:r w:rsidRPr="000A44DC">
        <w:t>called</w:t>
      </w:r>
      <w:r>
        <w:t xml:space="preserve"> </w:t>
      </w:r>
      <w:r w:rsidRPr="000A44DC">
        <w:rPr>
          <w:rFonts w:eastAsiaTheme="minorHAnsi"/>
        </w:rPr>
        <w:t>a</w:t>
      </w:r>
      <w:r>
        <w:rPr>
          <w:rFonts w:eastAsiaTheme="minorHAnsi"/>
        </w:rPr>
        <w:t xml:space="preserve"> m</w:t>
      </w:r>
      <w:r w:rsidRPr="000A44DC">
        <w:rPr>
          <w:rFonts w:eastAsiaTheme="minorHAnsi"/>
        </w:rPr>
        <w:t>ental</w:t>
      </w:r>
      <w:r>
        <w:rPr>
          <w:rFonts w:eastAsiaTheme="minorHAnsi"/>
        </w:rPr>
        <w:t xml:space="preserve"> h</w:t>
      </w:r>
      <w:r w:rsidRPr="000A44DC">
        <w:rPr>
          <w:rFonts w:eastAsiaTheme="minorHAnsi"/>
        </w:rPr>
        <w:t>ealth</w:t>
      </w:r>
      <w:r>
        <w:rPr>
          <w:rFonts w:eastAsiaTheme="minorHAnsi"/>
        </w:rPr>
        <w:t xml:space="preserve"> a</w:t>
      </w:r>
      <w:r w:rsidRPr="000A44DC">
        <w:rPr>
          <w:rFonts w:eastAsiaTheme="minorHAnsi"/>
        </w:rPr>
        <w:t>dvance</w:t>
      </w:r>
      <w:r>
        <w:rPr>
          <w:rFonts w:eastAsiaTheme="minorHAnsi"/>
        </w:rPr>
        <w:t xml:space="preserve"> p</w:t>
      </w:r>
      <w:r w:rsidRPr="000A44DC">
        <w:rPr>
          <w:rFonts w:eastAsiaTheme="minorHAnsi"/>
        </w:rPr>
        <w:t>reference</w:t>
      </w:r>
      <w:r>
        <w:rPr>
          <w:rFonts w:eastAsiaTheme="minorHAnsi"/>
        </w:rPr>
        <w:t xml:space="preserve"> s</w:t>
      </w:r>
      <w:r w:rsidRPr="000A44DC">
        <w:rPr>
          <w:rFonts w:eastAsiaTheme="minorHAnsi"/>
        </w:rPr>
        <w:t>tatement</w:t>
      </w:r>
      <w:r>
        <w:rPr>
          <w:rFonts w:eastAsiaTheme="minorHAnsi"/>
        </w:rPr>
        <w:t xml:space="preserve">, </w:t>
      </w:r>
      <w:r w:rsidRPr="000A44DC">
        <w:rPr>
          <w:rFonts w:eastAsiaTheme="minorHAnsi"/>
        </w:rPr>
        <w:t>or</w:t>
      </w:r>
      <w:r>
        <w:rPr>
          <w:rFonts w:eastAsiaTheme="minorHAnsi"/>
        </w:rPr>
        <w:t xml:space="preserve"> </w:t>
      </w:r>
      <w:r w:rsidRPr="000A44DC">
        <w:rPr>
          <w:rFonts w:eastAsiaTheme="minorHAnsi"/>
        </w:rPr>
        <w:t>MAP.</w:t>
      </w:r>
      <w:r>
        <w:rPr>
          <w:rFonts w:eastAsiaTheme="minorHAnsi"/>
        </w:rPr>
        <w:t xml:space="preserve"> Te Whatu Ora – </w:t>
      </w:r>
      <w:r w:rsidRPr="000A44DC">
        <w:t>Southern</w:t>
      </w:r>
      <w:r>
        <w:t xml:space="preserve"> </w:t>
      </w:r>
      <w:r w:rsidRPr="000A44DC">
        <w:t>has</w:t>
      </w:r>
      <w:r>
        <w:t xml:space="preserve"> </w:t>
      </w:r>
      <w:r w:rsidRPr="000A44DC">
        <w:t>developed</w:t>
      </w:r>
      <w:r>
        <w:t xml:space="preserve"> </w:t>
      </w:r>
      <w:r w:rsidRPr="000A44DC">
        <w:t>and</w:t>
      </w:r>
      <w:r>
        <w:t xml:space="preserve"> </w:t>
      </w:r>
      <w:r w:rsidRPr="000A44DC">
        <w:t>trialled</w:t>
      </w:r>
      <w:r>
        <w:t xml:space="preserve"> a </w:t>
      </w:r>
      <w:r w:rsidRPr="000A44DC">
        <w:t>new</w:t>
      </w:r>
      <w:r>
        <w:t xml:space="preserve"> </w:t>
      </w:r>
      <w:r w:rsidRPr="000A44DC">
        <w:t>advance</w:t>
      </w:r>
      <w:r>
        <w:t xml:space="preserve"> </w:t>
      </w:r>
      <w:r w:rsidRPr="000A44DC">
        <w:t>directive</w:t>
      </w:r>
      <w:r>
        <w:t xml:space="preserve"> </w:t>
      </w:r>
      <w:r w:rsidRPr="000A44DC">
        <w:t>tool</w:t>
      </w:r>
      <w:r>
        <w:t xml:space="preserve"> </w:t>
      </w:r>
      <w:r w:rsidRPr="000A44DC">
        <w:t>in</w:t>
      </w:r>
      <w:r>
        <w:t xml:space="preserve"> </w:t>
      </w:r>
      <w:r w:rsidRPr="000A44DC">
        <w:t>collaboration</w:t>
      </w:r>
      <w:r>
        <w:t xml:space="preserve"> </w:t>
      </w:r>
      <w:r w:rsidRPr="000A44DC">
        <w:t>with</w:t>
      </w:r>
      <w:r>
        <w:t xml:space="preserve"> </w:t>
      </w:r>
      <w:r w:rsidRPr="000A44DC">
        <w:t>the</w:t>
      </w:r>
      <w:r>
        <w:t xml:space="preserve"> </w:t>
      </w:r>
      <w:r w:rsidRPr="000A44DC">
        <w:t>University</w:t>
      </w:r>
      <w:r>
        <w:t xml:space="preserve"> </w:t>
      </w:r>
      <w:r w:rsidRPr="000A44DC">
        <w:t>of</w:t>
      </w:r>
      <w:r>
        <w:t xml:space="preserve"> </w:t>
      </w:r>
      <w:r w:rsidRPr="000A44DC">
        <w:t>Auckland.</w:t>
      </w:r>
      <w:r w:rsidRPr="000A44DC">
        <w:rPr>
          <w:rStyle w:val="FootnoteReference"/>
          <w:rFonts w:eastAsiaTheme="minorHAnsi" w:cs="Segoe UI"/>
        </w:rPr>
        <w:footnoteReference w:id="66"/>
      </w:r>
      <w:r w:rsidRPr="00522641">
        <w:rPr>
          <w:rFonts w:eastAsiaTheme="minorHAnsi"/>
          <w:vertAlign w:val="superscript"/>
        </w:rPr>
        <w:t>,</w:t>
      </w:r>
      <w:r w:rsidRPr="00145063">
        <w:rPr>
          <w:vertAlign w:val="superscript"/>
        </w:rPr>
        <w:footnoteReference w:id="67"/>
      </w:r>
    </w:p>
    <w:p w14:paraId="38963ACF" w14:textId="77777777" w:rsidR="00E108A1" w:rsidRDefault="00E108A1" w:rsidP="00E108A1">
      <w:pPr>
        <w:rPr>
          <w:rFonts w:eastAsiaTheme="minorHAnsi"/>
        </w:rPr>
      </w:pPr>
    </w:p>
    <w:p w14:paraId="085AD253" w14:textId="765AF921" w:rsidR="00B7548E" w:rsidRDefault="00B7548E" w:rsidP="00E108A1">
      <w:pPr>
        <w:rPr>
          <w:rFonts w:eastAsiaTheme="minorHAnsi"/>
        </w:rPr>
      </w:pPr>
      <w:r>
        <w:rPr>
          <w:rFonts w:eastAsiaTheme="minorHAnsi"/>
        </w:rPr>
        <w:t>Aotearoa New Zealand research on MAPs has found that a</w:t>
      </w:r>
      <w:r w:rsidRPr="00472F62">
        <w:rPr>
          <w:rFonts w:eastAsiaTheme="minorHAnsi"/>
        </w:rPr>
        <w:t xml:space="preserve">dvance directives could increase </w:t>
      </w:r>
      <w:r>
        <w:rPr>
          <w:rFonts w:eastAsiaTheme="minorHAnsi"/>
        </w:rPr>
        <w:t>service users</w:t>
      </w:r>
      <w:r w:rsidRPr="00472F62">
        <w:rPr>
          <w:rFonts w:eastAsiaTheme="minorHAnsi"/>
        </w:rPr>
        <w:t>’ sense of autonomy and empowerment</w:t>
      </w:r>
      <w:r>
        <w:rPr>
          <w:rFonts w:eastAsiaTheme="minorHAnsi"/>
        </w:rPr>
        <w:t xml:space="preserve">, and that there is </w:t>
      </w:r>
      <w:r w:rsidRPr="006F588F">
        <w:rPr>
          <w:rFonts w:eastAsiaTheme="minorHAnsi"/>
        </w:rPr>
        <w:t>strong overall support for advance directives</w:t>
      </w:r>
      <w:r>
        <w:rPr>
          <w:rFonts w:eastAsiaTheme="minorHAnsi"/>
        </w:rPr>
        <w:t xml:space="preserve"> among both service users and service providers.</w:t>
      </w:r>
      <w:r>
        <w:rPr>
          <w:rStyle w:val="FootnoteReference"/>
          <w:rFonts w:eastAsiaTheme="minorHAnsi" w:cs="Segoe UI"/>
        </w:rPr>
        <w:footnoteReference w:id="68"/>
      </w:r>
      <w:r>
        <w:rPr>
          <w:rFonts w:eastAsiaTheme="minorHAnsi"/>
        </w:rPr>
        <w:t xml:space="preserve"> There is some evidence suggesting that advance planning can reduce coercion (compulsory admissions) in mental health service.</w:t>
      </w:r>
      <w:r>
        <w:rPr>
          <w:rStyle w:val="FootnoteReference"/>
          <w:rFonts w:eastAsiaTheme="minorHAnsi" w:cs="Segoe UI"/>
        </w:rPr>
        <w:footnoteReference w:id="69"/>
      </w:r>
      <w:r>
        <w:rPr>
          <w:rFonts w:eastAsiaTheme="minorHAnsi"/>
        </w:rPr>
        <w:t xml:space="preserve"> </w:t>
      </w:r>
    </w:p>
    <w:p w14:paraId="1B145057" w14:textId="77777777" w:rsidR="00E108A1" w:rsidRDefault="00E108A1" w:rsidP="00E108A1">
      <w:pPr>
        <w:rPr>
          <w:rFonts w:eastAsiaTheme="minorHAnsi"/>
        </w:rPr>
      </w:pPr>
    </w:p>
    <w:p w14:paraId="1F4365EA" w14:textId="77777777" w:rsidR="00B7548E" w:rsidRDefault="00B7548E" w:rsidP="00E108A1">
      <w:pPr>
        <w:rPr>
          <w:i/>
          <w:shd w:val="clear" w:color="auto" w:fill="FFFFFF"/>
        </w:rPr>
      </w:pPr>
      <w:r>
        <w:t>T</w:t>
      </w:r>
      <w:r w:rsidRPr="7830D6A9">
        <w:t>here is some evidence that advance care planning can reduce non-consensual treatment in mental health services.</w:t>
      </w:r>
      <w:r>
        <w:rPr>
          <w:rStyle w:val="FootnoteReference"/>
          <w:rFonts w:eastAsiaTheme="minorHAnsi" w:cs="Segoe UI"/>
        </w:rPr>
        <w:footnoteReference w:id="70"/>
      </w:r>
      <w:r w:rsidRPr="0097578B">
        <w:rPr>
          <w:vertAlign w:val="superscript"/>
        </w:rPr>
        <w:t>,</w:t>
      </w:r>
      <w:r>
        <w:rPr>
          <w:rStyle w:val="FootnoteReference"/>
          <w:rFonts w:eastAsiaTheme="minorHAnsi" w:cs="Segoe UI"/>
        </w:rPr>
        <w:footnoteReference w:id="71"/>
      </w:r>
      <w:r w:rsidRPr="7830D6A9">
        <w:t xml:space="preserve"> </w:t>
      </w:r>
      <w:r>
        <w:t>Further research in this area is needed, but i</w:t>
      </w:r>
      <w:r w:rsidRPr="7830D6A9">
        <w:t xml:space="preserve">t stands to reason that </w:t>
      </w:r>
      <w:r>
        <w:t xml:space="preserve">if we can foster in </w:t>
      </w:r>
      <w:r w:rsidRPr="7830D6A9">
        <w:t xml:space="preserve">tāngata whaiora </w:t>
      </w:r>
      <w:r w:rsidRPr="00637930">
        <w:rPr>
          <w:rFonts w:eastAsiaTheme="minorHAnsi"/>
        </w:rPr>
        <w:t>a greater sense</w:t>
      </w:r>
      <w:r w:rsidRPr="0029696A">
        <w:t xml:space="preserve"> of control</w:t>
      </w:r>
      <w:r>
        <w:t xml:space="preserve"> and respect, this</w:t>
      </w:r>
      <w:r w:rsidRPr="0029696A">
        <w:t xml:space="preserve"> would </w:t>
      </w:r>
      <w:r w:rsidRPr="7830D6A9">
        <w:t>support a therapeutic engagement based on trust, which in turn may help</w:t>
      </w:r>
      <w:r w:rsidRPr="00637930">
        <w:rPr>
          <w:rFonts w:eastAsiaTheme="minorHAnsi"/>
        </w:rPr>
        <w:t xml:space="preserve"> </w:t>
      </w:r>
      <w:r w:rsidRPr="00BB437D">
        <w:rPr>
          <w:rFonts w:eastAsiaTheme="minorHAnsi"/>
        </w:rPr>
        <w:t>prevent seclusion and restraint</w:t>
      </w:r>
      <w:r w:rsidRPr="7830D6A9">
        <w:t>.</w:t>
      </w:r>
      <w:r>
        <w:rPr>
          <w:rStyle w:val="FootnoteReference"/>
          <w:rFonts w:eastAsiaTheme="minorHAnsi" w:cs="Segoe UI"/>
        </w:rPr>
        <w:footnoteReference w:id="72"/>
      </w:r>
      <w:r>
        <w:t xml:space="preserve"> More information about advance directives and the Mental Health Act is available </w:t>
      </w:r>
      <w:r w:rsidRPr="009320BD">
        <w:t>in</w:t>
      </w:r>
      <w:r>
        <w:t xml:space="preserve"> </w:t>
      </w:r>
      <w:r w:rsidRPr="00655DCB">
        <w:rPr>
          <w:i/>
          <w:shd w:val="clear" w:color="auto" w:fill="FFFFFF"/>
        </w:rPr>
        <w:t>Human Rights and the Mental Health (Compulsory Assessment and Treatment) Act 1992</w:t>
      </w:r>
      <w:r w:rsidRPr="00042DA1">
        <w:rPr>
          <w:iCs/>
          <w:shd w:val="clear" w:color="auto" w:fill="FFFFFF"/>
        </w:rPr>
        <w:t>.</w:t>
      </w:r>
      <w:r w:rsidRPr="00042DA1">
        <w:rPr>
          <w:rStyle w:val="FootnoteReference"/>
          <w:rFonts w:cs="Segoe UI"/>
          <w:iCs/>
          <w:shd w:val="clear" w:color="auto" w:fill="FFFFFF"/>
        </w:rPr>
        <w:footnoteReference w:id="73"/>
      </w:r>
      <w:r>
        <w:rPr>
          <w:i/>
          <w:shd w:val="clear" w:color="auto" w:fill="FFFFFF"/>
        </w:rPr>
        <w:t xml:space="preserve"> </w:t>
      </w:r>
    </w:p>
    <w:p w14:paraId="77A98F79" w14:textId="77777777" w:rsidR="00B7548E" w:rsidRPr="00E108A1" w:rsidRDefault="00B7548E" w:rsidP="00E108A1">
      <w:pPr>
        <w:pStyle w:val="Heading2"/>
      </w:pPr>
      <w:bookmarkStart w:id="159" w:name="_Toc131663819"/>
      <w:bookmarkStart w:id="160" w:name="_Toc132355322"/>
      <w:r w:rsidRPr="00E108A1">
        <w:t>Trauma-informed approaches</w:t>
      </w:r>
      <w:bookmarkEnd w:id="159"/>
      <w:bookmarkEnd w:id="160"/>
    </w:p>
    <w:p w14:paraId="3EF1FEDE" w14:textId="77777777" w:rsidR="00B7548E" w:rsidRPr="006752F8" w:rsidRDefault="00B7548E" w:rsidP="00E108A1">
      <w:r w:rsidRPr="006752F8">
        <w:t>There</w:t>
      </w:r>
      <w:r>
        <w:t xml:space="preserve"> </w:t>
      </w:r>
      <w:r w:rsidRPr="006752F8">
        <w:t>is</w:t>
      </w:r>
      <w:r>
        <w:t xml:space="preserve"> </w:t>
      </w:r>
      <w:r w:rsidRPr="006752F8">
        <w:t>a</w:t>
      </w:r>
      <w:r>
        <w:t xml:space="preserve"> </w:t>
      </w:r>
      <w:r w:rsidRPr="006752F8">
        <w:t>growing</w:t>
      </w:r>
      <w:r>
        <w:t xml:space="preserve"> </w:t>
      </w:r>
      <w:r w:rsidRPr="006752F8">
        <w:t>awareness</w:t>
      </w:r>
      <w:r>
        <w:t xml:space="preserve"> </w:t>
      </w:r>
      <w:r w:rsidRPr="006752F8">
        <w:t>of</w:t>
      </w:r>
      <w:r>
        <w:t xml:space="preserve"> </w:t>
      </w:r>
      <w:r w:rsidRPr="006752F8">
        <w:t>the</w:t>
      </w:r>
      <w:r>
        <w:t xml:space="preserve"> </w:t>
      </w:r>
      <w:r w:rsidRPr="006752F8">
        <w:t>relationship</w:t>
      </w:r>
      <w:r>
        <w:t xml:space="preserve"> </w:t>
      </w:r>
      <w:r w:rsidRPr="006752F8">
        <w:t>between</w:t>
      </w:r>
      <w:r>
        <w:t xml:space="preserve"> </w:t>
      </w:r>
      <w:r w:rsidRPr="006752F8">
        <w:t>trauma</w:t>
      </w:r>
      <w:r>
        <w:t xml:space="preserve"> </w:t>
      </w:r>
      <w:r w:rsidRPr="006752F8">
        <w:t>and</w:t>
      </w:r>
      <w:r>
        <w:t xml:space="preserve"> </w:t>
      </w:r>
      <w:r w:rsidRPr="006752F8">
        <w:t>wellbeing.</w:t>
      </w:r>
      <w:r>
        <w:t xml:space="preserve"> D</w:t>
      </w:r>
      <w:r w:rsidRPr="006752F8">
        <w:t>efinitions</w:t>
      </w:r>
      <w:r>
        <w:t xml:space="preserve"> </w:t>
      </w:r>
      <w:r w:rsidRPr="006752F8">
        <w:t>of</w:t>
      </w:r>
      <w:r>
        <w:t xml:space="preserve"> </w:t>
      </w:r>
      <w:r w:rsidRPr="006752F8">
        <w:t>trauma</w:t>
      </w:r>
      <w:r>
        <w:t xml:space="preserve"> </w:t>
      </w:r>
      <w:r w:rsidRPr="006752F8">
        <w:t>vary</w:t>
      </w:r>
      <w:r>
        <w:t xml:space="preserve">; the national mental health and addiction </w:t>
      </w:r>
      <w:r w:rsidRPr="006752F8">
        <w:t>workforce</w:t>
      </w:r>
      <w:r>
        <w:t xml:space="preserve"> </w:t>
      </w:r>
      <w:r w:rsidRPr="006752F8">
        <w:t>development</w:t>
      </w:r>
      <w:r>
        <w:t xml:space="preserve"> </w:t>
      </w:r>
      <w:r w:rsidRPr="006752F8">
        <w:t>centres</w:t>
      </w:r>
      <w:r>
        <w:t xml:space="preserve"> </w:t>
      </w:r>
      <w:r w:rsidRPr="006752F8">
        <w:t>have</w:t>
      </w:r>
      <w:r>
        <w:t xml:space="preserve"> </w:t>
      </w:r>
      <w:r w:rsidRPr="006752F8">
        <w:t>used</w:t>
      </w:r>
      <w:r>
        <w:t xml:space="preserve"> </w:t>
      </w:r>
      <w:r w:rsidRPr="006752F8">
        <w:t>the</w:t>
      </w:r>
      <w:r>
        <w:t xml:space="preserve"> </w:t>
      </w:r>
      <w:r w:rsidRPr="006752F8">
        <w:t>following</w:t>
      </w:r>
      <w:r>
        <w:t xml:space="preserve"> </w:t>
      </w:r>
      <w:r w:rsidRPr="006752F8">
        <w:t>description.</w:t>
      </w:r>
      <w:r>
        <w:t xml:space="preserve"> </w:t>
      </w:r>
    </w:p>
    <w:p w14:paraId="6EECC134" w14:textId="77777777" w:rsidR="001A4142" w:rsidRDefault="001A4142" w:rsidP="00E108A1">
      <w:pPr>
        <w:ind w:left="567"/>
      </w:pPr>
    </w:p>
    <w:p w14:paraId="64CB6E14" w14:textId="3ADDED7E" w:rsidR="00B7548E" w:rsidRDefault="00B7548E" w:rsidP="00E108A1">
      <w:pPr>
        <w:ind w:left="567"/>
        <w:rPr>
          <w:rFonts w:eastAsiaTheme="minorHAnsi"/>
          <w:sz w:val="20"/>
        </w:rPr>
      </w:pPr>
      <w:r w:rsidRPr="006752F8">
        <w:t>Trauma</w:t>
      </w:r>
      <w:r>
        <w:t xml:space="preserve"> </w:t>
      </w:r>
      <w:r w:rsidRPr="006752F8">
        <w:t>is</w:t>
      </w:r>
      <w:r>
        <w:t xml:space="preserve"> </w:t>
      </w:r>
      <w:r w:rsidRPr="006752F8">
        <w:t>the</w:t>
      </w:r>
      <w:r>
        <w:t xml:space="preserve"> </w:t>
      </w:r>
      <w:r w:rsidRPr="006752F8">
        <w:t>lasting</w:t>
      </w:r>
      <w:r>
        <w:t xml:space="preserve"> </w:t>
      </w:r>
      <w:r w:rsidRPr="006752F8">
        <w:t>adverse</w:t>
      </w:r>
      <w:r>
        <w:t xml:space="preserve"> </w:t>
      </w:r>
      <w:r w:rsidRPr="006752F8">
        <w:t>effects</w:t>
      </w:r>
      <w:r>
        <w:t xml:space="preserve"> </w:t>
      </w:r>
      <w:r w:rsidRPr="006752F8">
        <w:t>on</w:t>
      </w:r>
      <w:r>
        <w:t xml:space="preserve"> </w:t>
      </w:r>
      <w:r w:rsidRPr="006752F8">
        <w:t>a</w:t>
      </w:r>
      <w:r>
        <w:t xml:space="preserve"> </w:t>
      </w:r>
      <w:r w:rsidRPr="006752F8">
        <w:t>person’s</w:t>
      </w:r>
      <w:r>
        <w:t xml:space="preserve"> </w:t>
      </w:r>
      <w:r w:rsidRPr="006752F8">
        <w:t>or</w:t>
      </w:r>
      <w:r>
        <w:t xml:space="preserve"> </w:t>
      </w:r>
      <w:r w:rsidRPr="006752F8">
        <w:t>collective’s</w:t>
      </w:r>
      <w:r>
        <w:t xml:space="preserve"> </w:t>
      </w:r>
      <w:r w:rsidRPr="006752F8">
        <w:t>functioning</w:t>
      </w:r>
      <w:r>
        <w:t xml:space="preserve"> </w:t>
      </w:r>
      <w:r w:rsidRPr="006752F8">
        <w:t>and</w:t>
      </w:r>
      <w:r>
        <w:t xml:space="preserve"> </w:t>
      </w:r>
      <w:r w:rsidRPr="006752F8">
        <w:t>mental,</w:t>
      </w:r>
      <w:r>
        <w:t xml:space="preserve"> </w:t>
      </w:r>
      <w:r w:rsidRPr="006752F8">
        <w:t>physical,</w:t>
      </w:r>
      <w:r>
        <w:t xml:space="preserve"> </w:t>
      </w:r>
      <w:r w:rsidRPr="006752F8">
        <w:t>social,</w:t>
      </w:r>
      <w:r>
        <w:t xml:space="preserve"> </w:t>
      </w:r>
      <w:r w:rsidRPr="006752F8">
        <w:t>emotional</w:t>
      </w:r>
      <w:r>
        <w:t xml:space="preserve"> </w:t>
      </w:r>
      <w:r w:rsidRPr="006752F8">
        <w:t>or</w:t>
      </w:r>
      <w:r>
        <w:t xml:space="preserve"> </w:t>
      </w:r>
      <w:r w:rsidRPr="006752F8">
        <w:t>spiritual</w:t>
      </w:r>
      <w:r>
        <w:t xml:space="preserve"> </w:t>
      </w:r>
      <w:r w:rsidRPr="006752F8">
        <w:t>wellbeing,</w:t>
      </w:r>
      <w:r>
        <w:t xml:space="preserve"> </w:t>
      </w:r>
      <w:r w:rsidRPr="006752F8">
        <w:t>caused</w:t>
      </w:r>
      <w:r>
        <w:t xml:space="preserve"> </w:t>
      </w:r>
      <w:r w:rsidRPr="006752F8">
        <w:t>by</w:t>
      </w:r>
      <w:r>
        <w:t xml:space="preserve"> </w:t>
      </w:r>
      <w:r w:rsidRPr="006752F8">
        <w:t>events,</w:t>
      </w:r>
      <w:r>
        <w:t xml:space="preserve"> </w:t>
      </w:r>
      <w:r w:rsidRPr="006752F8">
        <w:t>circumstances</w:t>
      </w:r>
      <w:r>
        <w:t xml:space="preserve"> </w:t>
      </w:r>
      <w:r w:rsidRPr="006752F8">
        <w:t>or</w:t>
      </w:r>
      <w:r>
        <w:t xml:space="preserve"> </w:t>
      </w:r>
      <w:r w:rsidRPr="006752F8">
        <w:t>intergenerational</w:t>
      </w:r>
      <w:r>
        <w:t xml:space="preserve"> </w:t>
      </w:r>
      <w:r w:rsidRPr="006752F8">
        <w:t>historical</w:t>
      </w:r>
      <w:r>
        <w:t xml:space="preserve"> </w:t>
      </w:r>
      <w:r w:rsidRPr="006752F8">
        <w:t>traumatic</w:t>
      </w:r>
      <w:r>
        <w:t xml:space="preserve"> </w:t>
      </w:r>
      <w:r w:rsidRPr="006752F8">
        <w:t>experiences.</w:t>
      </w:r>
      <w:r w:rsidRPr="00145063">
        <w:rPr>
          <w:sz w:val="20"/>
          <w:vertAlign w:val="superscript"/>
        </w:rPr>
        <w:footnoteReference w:id="74"/>
      </w:r>
      <w:r>
        <w:rPr>
          <w:rFonts w:eastAsiaTheme="minorHAnsi"/>
          <w:sz w:val="20"/>
        </w:rPr>
        <w:t xml:space="preserve"> </w:t>
      </w:r>
    </w:p>
    <w:p w14:paraId="291F0D4F" w14:textId="77777777" w:rsidR="00E108A1" w:rsidRDefault="00E108A1" w:rsidP="00E108A1">
      <w:pPr>
        <w:rPr>
          <w:rFonts w:eastAsiaTheme="minorHAnsi"/>
        </w:rPr>
      </w:pPr>
    </w:p>
    <w:p w14:paraId="6B4AD087" w14:textId="274E456D" w:rsidR="00B7548E" w:rsidRDefault="00B7548E" w:rsidP="00E108A1">
      <w:pPr>
        <w:rPr>
          <w:rFonts w:eastAsiaTheme="minorHAnsi"/>
        </w:rPr>
      </w:pPr>
      <w:r w:rsidRPr="006752F8">
        <w:rPr>
          <w:rFonts w:eastAsiaTheme="minorHAnsi"/>
        </w:rPr>
        <w:t>For</w:t>
      </w:r>
      <w:r>
        <w:rPr>
          <w:rFonts w:eastAsiaTheme="minorHAnsi"/>
        </w:rPr>
        <w:t xml:space="preserve"> </w:t>
      </w:r>
      <w:r w:rsidRPr="006752F8">
        <w:rPr>
          <w:rFonts w:eastAsiaTheme="minorHAnsi"/>
        </w:rPr>
        <w:t>Māori,</w:t>
      </w:r>
      <w:r>
        <w:rPr>
          <w:rFonts w:eastAsiaTheme="minorHAnsi"/>
        </w:rPr>
        <w:t xml:space="preserve"> </w:t>
      </w:r>
      <w:r w:rsidRPr="006752F8">
        <w:rPr>
          <w:rFonts w:eastAsiaTheme="minorHAnsi"/>
        </w:rPr>
        <w:t>these</w:t>
      </w:r>
      <w:r>
        <w:rPr>
          <w:rFonts w:eastAsiaTheme="minorHAnsi"/>
        </w:rPr>
        <w:t xml:space="preserve"> </w:t>
      </w:r>
      <w:r w:rsidRPr="006752F8">
        <w:rPr>
          <w:rFonts w:eastAsiaTheme="minorHAnsi"/>
        </w:rPr>
        <w:t>experiences</w:t>
      </w:r>
      <w:r>
        <w:rPr>
          <w:rFonts w:eastAsiaTheme="minorHAnsi"/>
        </w:rPr>
        <w:t xml:space="preserve"> </w:t>
      </w:r>
      <w:r w:rsidRPr="006752F8">
        <w:rPr>
          <w:rFonts w:eastAsiaTheme="minorHAnsi"/>
        </w:rPr>
        <w:t>may</w:t>
      </w:r>
      <w:r>
        <w:rPr>
          <w:rFonts w:eastAsiaTheme="minorHAnsi"/>
        </w:rPr>
        <w:t xml:space="preserve"> </w:t>
      </w:r>
      <w:r w:rsidRPr="006752F8">
        <w:rPr>
          <w:rFonts w:eastAsiaTheme="minorHAnsi"/>
        </w:rPr>
        <w:t>include</w:t>
      </w:r>
      <w:r>
        <w:rPr>
          <w:rFonts w:eastAsiaTheme="minorHAnsi"/>
        </w:rPr>
        <w:t xml:space="preserve"> </w:t>
      </w:r>
      <w:r w:rsidRPr="006752F8">
        <w:rPr>
          <w:rFonts w:eastAsiaTheme="minorHAnsi"/>
        </w:rPr>
        <w:t>colonisation,</w:t>
      </w:r>
      <w:r>
        <w:rPr>
          <w:rFonts w:eastAsiaTheme="minorHAnsi"/>
        </w:rPr>
        <w:t xml:space="preserve"> </w:t>
      </w:r>
      <w:r w:rsidRPr="006752F8">
        <w:rPr>
          <w:rFonts w:eastAsiaTheme="minorHAnsi"/>
        </w:rPr>
        <w:t>racism</w:t>
      </w:r>
      <w:r>
        <w:rPr>
          <w:rFonts w:eastAsiaTheme="minorHAnsi"/>
        </w:rPr>
        <w:t xml:space="preserve"> </w:t>
      </w:r>
      <w:r w:rsidRPr="006752F8">
        <w:rPr>
          <w:rFonts w:eastAsiaTheme="minorHAnsi"/>
        </w:rPr>
        <w:t>and</w:t>
      </w:r>
      <w:r>
        <w:rPr>
          <w:rFonts w:eastAsiaTheme="minorHAnsi"/>
        </w:rPr>
        <w:t xml:space="preserve"> </w:t>
      </w:r>
      <w:r w:rsidRPr="006752F8">
        <w:rPr>
          <w:rFonts w:eastAsiaTheme="minorHAnsi"/>
        </w:rPr>
        <w:t>discrimination,</w:t>
      </w:r>
      <w:r>
        <w:rPr>
          <w:rFonts w:eastAsiaTheme="minorHAnsi"/>
        </w:rPr>
        <w:t xml:space="preserve"> along with </w:t>
      </w:r>
      <w:r w:rsidRPr="006752F8">
        <w:rPr>
          <w:rFonts w:eastAsiaTheme="minorHAnsi"/>
        </w:rPr>
        <w:t>health</w:t>
      </w:r>
      <w:r>
        <w:rPr>
          <w:rFonts w:eastAsiaTheme="minorHAnsi"/>
        </w:rPr>
        <w:t xml:space="preserve"> </w:t>
      </w:r>
      <w:r w:rsidRPr="006752F8">
        <w:rPr>
          <w:rFonts w:eastAsiaTheme="minorHAnsi"/>
        </w:rPr>
        <w:t>or</w:t>
      </w:r>
      <w:r>
        <w:rPr>
          <w:rFonts w:eastAsiaTheme="minorHAnsi"/>
        </w:rPr>
        <w:t xml:space="preserve"> </w:t>
      </w:r>
      <w:r w:rsidRPr="006752F8">
        <w:rPr>
          <w:rFonts w:eastAsiaTheme="minorHAnsi"/>
        </w:rPr>
        <w:t>social</w:t>
      </w:r>
      <w:r>
        <w:rPr>
          <w:rFonts w:eastAsiaTheme="minorHAnsi"/>
        </w:rPr>
        <w:t xml:space="preserve"> </w:t>
      </w:r>
      <w:r w:rsidRPr="006752F8">
        <w:rPr>
          <w:rFonts w:eastAsiaTheme="minorHAnsi"/>
        </w:rPr>
        <w:t>disparities.</w:t>
      </w:r>
      <w:r w:rsidRPr="00145063">
        <w:rPr>
          <w:vertAlign w:val="superscript"/>
        </w:rPr>
        <w:footnoteReference w:id="75"/>
      </w:r>
      <w:r>
        <w:rPr>
          <w:rFonts w:eastAsiaTheme="minorHAnsi"/>
        </w:rPr>
        <w:t xml:space="preserve"> </w:t>
      </w:r>
    </w:p>
    <w:p w14:paraId="00CA2325" w14:textId="77777777" w:rsidR="00E108A1" w:rsidRPr="006259EA" w:rsidRDefault="00E108A1" w:rsidP="00E108A1">
      <w:pPr>
        <w:rPr>
          <w:rFonts w:eastAsiaTheme="minorHAnsi"/>
          <w:sz w:val="20"/>
        </w:rPr>
      </w:pPr>
    </w:p>
    <w:p w14:paraId="302EAE06" w14:textId="76F9C74B" w:rsidR="00B7548E" w:rsidRDefault="00B7548E" w:rsidP="00E108A1">
      <w:pPr>
        <w:rPr>
          <w:rFonts w:eastAsiaTheme="minorHAnsi"/>
        </w:rPr>
      </w:pPr>
      <w:r>
        <w:rPr>
          <w:rFonts w:eastAsiaTheme="minorHAnsi"/>
        </w:rPr>
        <w:lastRenderedPageBreak/>
        <w:t xml:space="preserve">We </w:t>
      </w:r>
      <w:r w:rsidRPr="006752F8">
        <w:rPr>
          <w:rFonts w:eastAsiaTheme="minorHAnsi"/>
        </w:rPr>
        <w:t>recognise</w:t>
      </w:r>
      <w:r>
        <w:rPr>
          <w:rFonts w:eastAsiaTheme="minorHAnsi"/>
        </w:rPr>
        <w:t xml:space="preserve"> </w:t>
      </w:r>
      <w:r w:rsidRPr="006752F8">
        <w:rPr>
          <w:rFonts w:eastAsiaTheme="minorHAnsi"/>
        </w:rPr>
        <w:t>that</w:t>
      </w:r>
      <w:r>
        <w:rPr>
          <w:rFonts w:eastAsiaTheme="minorHAnsi"/>
        </w:rPr>
        <w:t xml:space="preserve"> </w:t>
      </w:r>
      <w:r w:rsidRPr="006752F8">
        <w:rPr>
          <w:rFonts w:eastAsiaTheme="minorHAnsi"/>
        </w:rPr>
        <w:t>seclusion</w:t>
      </w:r>
      <w:r>
        <w:rPr>
          <w:rFonts w:eastAsiaTheme="minorHAnsi"/>
        </w:rPr>
        <w:t xml:space="preserve"> </w:t>
      </w:r>
      <w:r w:rsidRPr="006752F8">
        <w:rPr>
          <w:rFonts w:eastAsiaTheme="minorHAnsi"/>
        </w:rPr>
        <w:t>and</w:t>
      </w:r>
      <w:r>
        <w:rPr>
          <w:rFonts w:eastAsiaTheme="minorHAnsi"/>
        </w:rPr>
        <w:t xml:space="preserve"> </w:t>
      </w:r>
      <w:r w:rsidRPr="006752F8">
        <w:rPr>
          <w:rFonts w:eastAsiaTheme="minorHAnsi"/>
        </w:rPr>
        <w:t>restraint</w:t>
      </w:r>
      <w:r>
        <w:rPr>
          <w:rFonts w:eastAsiaTheme="minorHAnsi"/>
        </w:rPr>
        <w:t xml:space="preserve"> </w:t>
      </w:r>
      <w:r w:rsidR="00DF206D">
        <w:t xml:space="preserve">can be </w:t>
      </w:r>
      <w:r w:rsidRPr="006752F8">
        <w:rPr>
          <w:rFonts w:eastAsiaTheme="minorHAnsi"/>
        </w:rPr>
        <w:t>traumatising</w:t>
      </w:r>
      <w:r>
        <w:rPr>
          <w:rFonts w:eastAsiaTheme="minorHAnsi"/>
        </w:rPr>
        <w:t xml:space="preserve"> </w:t>
      </w:r>
      <w:r w:rsidRPr="006752F8">
        <w:rPr>
          <w:rFonts w:eastAsiaTheme="minorHAnsi"/>
        </w:rPr>
        <w:t>experiences</w:t>
      </w:r>
      <w:r>
        <w:rPr>
          <w:rFonts w:eastAsiaTheme="minorHAnsi"/>
        </w:rPr>
        <w:t xml:space="preserve"> </w:t>
      </w:r>
      <w:r w:rsidRPr="006752F8">
        <w:rPr>
          <w:rFonts w:eastAsiaTheme="minorHAnsi"/>
        </w:rPr>
        <w:t>for</w:t>
      </w:r>
      <w:r>
        <w:rPr>
          <w:rFonts w:eastAsiaTheme="minorHAnsi"/>
        </w:rPr>
        <w:t xml:space="preserve"> people, their whānau </w:t>
      </w:r>
      <w:r w:rsidRPr="006752F8">
        <w:rPr>
          <w:rFonts w:eastAsiaTheme="minorHAnsi"/>
        </w:rPr>
        <w:t>and</w:t>
      </w:r>
      <w:r>
        <w:rPr>
          <w:rFonts w:eastAsiaTheme="minorHAnsi"/>
        </w:rPr>
        <w:t xml:space="preserve"> </w:t>
      </w:r>
      <w:r w:rsidRPr="006752F8">
        <w:rPr>
          <w:rFonts w:eastAsiaTheme="minorHAnsi"/>
        </w:rPr>
        <w:t>staff.</w:t>
      </w:r>
      <w:r>
        <w:rPr>
          <w:rFonts w:eastAsiaTheme="minorHAnsi"/>
        </w:rPr>
        <w:t xml:space="preserve"> </w:t>
      </w:r>
    </w:p>
    <w:p w14:paraId="1C381991" w14:textId="77777777" w:rsidR="00E108A1" w:rsidRPr="006752F8" w:rsidRDefault="00E108A1" w:rsidP="00E108A1">
      <w:pPr>
        <w:rPr>
          <w:rFonts w:eastAsiaTheme="minorHAnsi"/>
        </w:rPr>
      </w:pPr>
    </w:p>
    <w:p w14:paraId="09D6F413" w14:textId="2F3989F9" w:rsidR="00B7548E" w:rsidRDefault="00B7548E" w:rsidP="00E108A1">
      <w:pPr>
        <w:rPr>
          <w:rFonts w:eastAsia="Quattrocento Sans"/>
          <w:color w:val="000000"/>
        </w:rPr>
      </w:pPr>
      <w:r w:rsidRPr="006752F8">
        <w:rPr>
          <w:rFonts w:eastAsiaTheme="minorHAnsi"/>
        </w:rPr>
        <w:t>Trauma</w:t>
      </w:r>
      <w:r>
        <w:rPr>
          <w:rFonts w:eastAsiaTheme="minorHAnsi"/>
        </w:rPr>
        <w:t>-</w:t>
      </w:r>
      <w:r w:rsidRPr="006752F8">
        <w:rPr>
          <w:rFonts w:eastAsiaTheme="minorHAnsi"/>
        </w:rPr>
        <w:t>informed</w:t>
      </w:r>
      <w:r>
        <w:rPr>
          <w:rFonts w:eastAsiaTheme="minorHAnsi"/>
        </w:rPr>
        <w:t xml:space="preserve"> </w:t>
      </w:r>
      <w:r w:rsidRPr="006752F8">
        <w:rPr>
          <w:rFonts w:eastAsiaTheme="minorHAnsi"/>
        </w:rPr>
        <w:t>approaches</w:t>
      </w:r>
      <w:r w:rsidRPr="00145063">
        <w:rPr>
          <w:vertAlign w:val="superscript"/>
        </w:rPr>
        <w:footnoteReference w:id="76"/>
      </w:r>
      <w:r>
        <w:rPr>
          <w:rFonts w:eastAsiaTheme="minorHAnsi"/>
        </w:rPr>
        <w:t xml:space="preserve"> </w:t>
      </w:r>
      <w:r w:rsidRPr="006752F8">
        <w:rPr>
          <w:rFonts w:eastAsiaTheme="minorHAnsi"/>
        </w:rPr>
        <w:t>are</w:t>
      </w:r>
      <w:r>
        <w:rPr>
          <w:rFonts w:eastAsiaTheme="minorHAnsi"/>
        </w:rPr>
        <w:t xml:space="preserve"> </w:t>
      </w:r>
      <w:r w:rsidRPr="006752F8">
        <w:rPr>
          <w:rFonts w:eastAsiaTheme="minorHAnsi"/>
        </w:rPr>
        <w:t>grounded</w:t>
      </w:r>
      <w:r>
        <w:rPr>
          <w:rFonts w:eastAsiaTheme="minorHAnsi"/>
        </w:rPr>
        <w:t xml:space="preserve"> </w:t>
      </w:r>
      <w:r w:rsidRPr="006752F8">
        <w:rPr>
          <w:rFonts w:eastAsiaTheme="minorHAnsi"/>
        </w:rPr>
        <w:t>in</w:t>
      </w:r>
      <w:r>
        <w:rPr>
          <w:rFonts w:eastAsiaTheme="minorHAnsi"/>
        </w:rPr>
        <w:t xml:space="preserve"> </w:t>
      </w:r>
      <w:r w:rsidRPr="006752F8">
        <w:rPr>
          <w:rFonts w:eastAsiaTheme="minorHAnsi"/>
        </w:rPr>
        <w:t>an</w:t>
      </w:r>
      <w:r>
        <w:rPr>
          <w:rFonts w:eastAsiaTheme="minorHAnsi"/>
        </w:rPr>
        <w:t xml:space="preserve"> </w:t>
      </w:r>
      <w:r w:rsidRPr="006752F8">
        <w:rPr>
          <w:rFonts w:eastAsiaTheme="minorHAnsi"/>
        </w:rPr>
        <w:t>understanding</w:t>
      </w:r>
      <w:r>
        <w:rPr>
          <w:rFonts w:eastAsiaTheme="minorHAnsi"/>
        </w:rPr>
        <w:t xml:space="preserve"> </w:t>
      </w:r>
      <w:r w:rsidRPr="006752F8">
        <w:rPr>
          <w:rFonts w:eastAsiaTheme="minorHAnsi"/>
        </w:rPr>
        <w:t>of</w:t>
      </w:r>
      <w:r>
        <w:rPr>
          <w:rFonts w:eastAsiaTheme="minorHAnsi"/>
        </w:rPr>
        <w:t xml:space="preserve"> </w:t>
      </w:r>
      <w:r w:rsidRPr="006752F8">
        <w:rPr>
          <w:rFonts w:eastAsiaTheme="minorHAnsi"/>
        </w:rPr>
        <w:t>and</w:t>
      </w:r>
      <w:r>
        <w:rPr>
          <w:rFonts w:eastAsiaTheme="minorHAnsi"/>
        </w:rPr>
        <w:t xml:space="preserve"> </w:t>
      </w:r>
      <w:r w:rsidRPr="006752F8">
        <w:rPr>
          <w:rFonts w:eastAsiaTheme="minorHAnsi"/>
        </w:rPr>
        <w:t>responsiveness</w:t>
      </w:r>
      <w:r>
        <w:rPr>
          <w:rFonts w:eastAsiaTheme="minorHAnsi"/>
        </w:rPr>
        <w:t xml:space="preserve"> </w:t>
      </w:r>
      <w:r w:rsidRPr="006752F8">
        <w:rPr>
          <w:rFonts w:eastAsiaTheme="minorHAnsi"/>
        </w:rPr>
        <w:t>to</w:t>
      </w:r>
      <w:r>
        <w:rPr>
          <w:rFonts w:eastAsiaTheme="minorHAnsi"/>
        </w:rPr>
        <w:t xml:space="preserve"> </w:t>
      </w:r>
      <w:r w:rsidRPr="006752F8">
        <w:rPr>
          <w:rFonts w:eastAsiaTheme="minorHAnsi"/>
        </w:rPr>
        <w:t>the</w:t>
      </w:r>
      <w:r>
        <w:rPr>
          <w:rFonts w:eastAsiaTheme="minorHAnsi"/>
        </w:rPr>
        <w:t xml:space="preserve"> </w:t>
      </w:r>
      <w:r w:rsidRPr="006752F8">
        <w:rPr>
          <w:rFonts w:eastAsiaTheme="minorHAnsi"/>
        </w:rPr>
        <w:t>impact</w:t>
      </w:r>
      <w:r>
        <w:rPr>
          <w:rFonts w:eastAsiaTheme="minorHAnsi"/>
        </w:rPr>
        <w:t xml:space="preserve"> </w:t>
      </w:r>
      <w:r w:rsidRPr="006752F8">
        <w:rPr>
          <w:rFonts w:eastAsiaTheme="minorHAnsi"/>
        </w:rPr>
        <w:t>of</w:t>
      </w:r>
      <w:r>
        <w:rPr>
          <w:rFonts w:eastAsiaTheme="minorHAnsi"/>
        </w:rPr>
        <w:t xml:space="preserve"> </w:t>
      </w:r>
      <w:r w:rsidRPr="006752F8">
        <w:rPr>
          <w:rFonts w:eastAsiaTheme="minorHAnsi"/>
        </w:rPr>
        <w:t>trauma</w:t>
      </w:r>
      <w:r>
        <w:rPr>
          <w:rFonts w:eastAsiaTheme="minorHAnsi"/>
        </w:rPr>
        <w:t xml:space="preserve"> </w:t>
      </w:r>
      <w:r w:rsidRPr="006752F8">
        <w:rPr>
          <w:rFonts w:eastAsiaTheme="minorHAnsi"/>
        </w:rPr>
        <w:t>on</w:t>
      </w:r>
      <w:r>
        <w:rPr>
          <w:rFonts w:eastAsiaTheme="minorHAnsi"/>
        </w:rPr>
        <w:t xml:space="preserve"> </w:t>
      </w:r>
      <w:r w:rsidRPr="006752F8">
        <w:rPr>
          <w:rFonts w:eastAsiaTheme="minorHAnsi"/>
        </w:rPr>
        <w:t>people’s</w:t>
      </w:r>
      <w:r>
        <w:rPr>
          <w:rFonts w:eastAsiaTheme="minorHAnsi"/>
        </w:rPr>
        <w:t xml:space="preserve"> </w:t>
      </w:r>
      <w:r w:rsidRPr="006752F8">
        <w:rPr>
          <w:rFonts w:eastAsiaTheme="minorHAnsi"/>
        </w:rPr>
        <w:t>lives.</w:t>
      </w:r>
      <w:r>
        <w:rPr>
          <w:rFonts w:eastAsiaTheme="minorHAnsi"/>
        </w:rPr>
        <w:t xml:space="preserve"> As noted by the workforce centres</w:t>
      </w:r>
      <w:r>
        <w:rPr>
          <w:rFonts w:eastAsia="Quattrocento Sans"/>
          <w:color w:val="000000"/>
        </w:rPr>
        <w:t>:</w:t>
      </w:r>
    </w:p>
    <w:p w14:paraId="4D6ED512" w14:textId="77777777" w:rsidR="00E108A1" w:rsidRDefault="00E108A1" w:rsidP="00E108A1">
      <w:pPr>
        <w:rPr>
          <w:rFonts w:eastAsia="Quattrocento Sans"/>
          <w:color w:val="000000"/>
        </w:rPr>
      </w:pPr>
    </w:p>
    <w:p w14:paraId="165E32DB" w14:textId="77777777" w:rsidR="00B7548E" w:rsidRDefault="00B7548E" w:rsidP="00E108A1">
      <w:pPr>
        <w:ind w:left="567"/>
      </w:pPr>
      <w:r>
        <w:rPr>
          <w:rFonts w:eastAsia="Quattrocento Sans"/>
          <w:color w:val="000000"/>
        </w:rPr>
        <w:t>… t</w:t>
      </w:r>
      <w:r w:rsidRPr="002B544F">
        <w:rPr>
          <w:rFonts w:eastAsia="Quattrocento Sans"/>
          <w:color w:val="000000"/>
        </w:rPr>
        <w:t>rauma informed approaches focus on recognising and validating the trauma experiences of people and their potential to heal despite these events. This approach emphasises people’s strengths and supports rather than focussing primarily on the negative outcomes or problems associated with trauma.</w:t>
      </w:r>
      <w:r>
        <w:rPr>
          <w:rStyle w:val="FootnoteReference"/>
          <w:rFonts w:eastAsia="Quattrocento Sans" w:cs="Segoe UI"/>
          <w:color w:val="000000"/>
        </w:rPr>
        <w:footnoteReference w:id="77"/>
      </w:r>
      <w:r w:rsidRPr="002B544F">
        <w:rPr>
          <w:rFonts w:eastAsia="Quattrocento Sans"/>
          <w:color w:val="000000"/>
        </w:rPr>
        <w:t xml:space="preserve"> </w:t>
      </w:r>
    </w:p>
    <w:p w14:paraId="4A08C5D0" w14:textId="77777777" w:rsidR="00E108A1" w:rsidRDefault="00E108A1" w:rsidP="00E108A1">
      <w:pPr>
        <w:rPr>
          <w:rFonts w:eastAsiaTheme="minorHAnsi"/>
        </w:rPr>
      </w:pPr>
    </w:p>
    <w:p w14:paraId="36D1A6A5" w14:textId="4D99A11E" w:rsidR="00B7548E" w:rsidRDefault="00B7548E" w:rsidP="00E108A1">
      <w:pPr>
        <w:rPr>
          <w:rFonts w:eastAsiaTheme="minorHAnsi"/>
        </w:rPr>
      </w:pPr>
      <w:r>
        <w:rPr>
          <w:rFonts w:eastAsiaTheme="minorHAnsi"/>
        </w:rPr>
        <w:t xml:space="preserve">Trauma-informed care requires integration of a multilevel approach across the health system. </w:t>
      </w:r>
      <w:r w:rsidRPr="006752F8">
        <w:rPr>
          <w:rFonts w:eastAsiaTheme="minorHAnsi"/>
        </w:rPr>
        <w:t>Cultural</w:t>
      </w:r>
      <w:r>
        <w:rPr>
          <w:rFonts w:eastAsiaTheme="minorHAnsi"/>
        </w:rPr>
        <w:t xml:space="preserve"> </w:t>
      </w:r>
      <w:r w:rsidRPr="006752F8">
        <w:rPr>
          <w:rFonts w:eastAsiaTheme="minorHAnsi"/>
        </w:rPr>
        <w:t>awareness</w:t>
      </w:r>
      <w:r>
        <w:rPr>
          <w:rFonts w:eastAsiaTheme="minorHAnsi"/>
        </w:rPr>
        <w:t xml:space="preserve"> </w:t>
      </w:r>
      <w:r w:rsidRPr="006752F8">
        <w:rPr>
          <w:rFonts w:eastAsiaTheme="minorHAnsi"/>
        </w:rPr>
        <w:t>is</w:t>
      </w:r>
      <w:r>
        <w:rPr>
          <w:rFonts w:eastAsiaTheme="minorHAnsi"/>
        </w:rPr>
        <w:t xml:space="preserve"> </w:t>
      </w:r>
      <w:r w:rsidRPr="006752F8">
        <w:rPr>
          <w:rFonts w:eastAsiaTheme="minorHAnsi"/>
        </w:rPr>
        <w:t>essential</w:t>
      </w:r>
      <w:r>
        <w:rPr>
          <w:rFonts w:eastAsiaTheme="minorHAnsi"/>
        </w:rPr>
        <w:t xml:space="preserve"> </w:t>
      </w:r>
      <w:r w:rsidRPr="006752F8">
        <w:rPr>
          <w:rFonts w:eastAsiaTheme="minorHAnsi"/>
        </w:rPr>
        <w:t>to</w:t>
      </w:r>
      <w:r>
        <w:rPr>
          <w:rFonts w:eastAsiaTheme="minorHAnsi"/>
        </w:rPr>
        <w:t xml:space="preserve"> </w:t>
      </w:r>
      <w:r w:rsidRPr="006752F8">
        <w:rPr>
          <w:rFonts w:eastAsiaTheme="minorHAnsi"/>
        </w:rPr>
        <w:t>ensure</w:t>
      </w:r>
      <w:r>
        <w:rPr>
          <w:rFonts w:eastAsiaTheme="minorHAnsi"/>
        </w:rPr>
        <w:t xml:space="preserve"> </w:t>
      </w:r>
      <w:r w:rsidRPr="006752F8">
        <w:rPr>
          <w:rFonts w:eastAsiaTheme="minorHAnsi"/>
        </w:rPr>
        <w:t>that</w:t>
      </w:r>
      <w:r>
        <w:rPr>
          <w:rFonts w:eastAsiaTheme="minorHAnsi"/>
        </w:rPr>
        <w:t xml:space="preserve"> </w:t>
      </w:r>
      <w:r w:rsidRPr="006752F8">
        <w:rPr>
          <w:rFonts w:eastAsiaTheme="minorHAnsi"/>
        </w:rPr>
        <w:t>such</w:t>
      </w:r>
      <w:r>
        <w:rPr>
          <w:rFonts w:eastAsiaTheme="minorHAnsi"/>
        </w:rPr>
        <w:t xml:space="preserve"> </w:t>
      </w:r>
      <w:r w:rsidRPr="006752F8">
        <w:rPr>
          <w:rFonts w:eastAsiaTheme="minorHAnsi"/>
        </w:rPr>
        <w:t>approaches</w:t>
      </w:r>
      <w:r>
        <w:rPr>
          <w:rFonts w:eastAsiaTheme="minorHAnsi"/>
        </w:rPr>
        <w:t xml:space="preserve"> </w:t>
      </w:r>
      <w:r w:rsidRPr="006752F8">
        <w:rPr>
          <w:rFonts w:eastAsiaTheme="minorHAnsi"/>
        </w:rPr>
        <w:t>are</w:t>
      </w:r>
      <w:r>
        <w:rPr>
          <w:rFonts w:eastAsiaTheme="minorHAnsi"/>
        </w:rPr>
        <w:t xml:space="preserve"> </w:t>
      </w:r>
      <w:r w:rsidRPr="006752F8">
        <w:rPr>
          <w:rFonts w:eastAsiaTheme="minorHAnsi"/>
        </w:rPr>
        <w:t>effective</w:t>
      </w:r>
      <w:r>
        <w:rPr>
          <w:rFonts w:eastAsiaTheme="minorHAnsi"/>
        </w:rPr>
        <w:t xml:space="preserve"> </w:t>
      </w:r>
      <w:r w:rsidRPr="006752F8">
        <w:rPr>
          <w:rFonts w:eastAsiaTheme="minorHAnsi"/>
        </w:rPr>
        <w:t>for</w:t>
      </w:r>
      <w:r>
        <w:rPr>
          <w:rFonts w:eastAsiaTheme="minorHAnsi"/>
        </w:rPr>
        <w:t xml:space="preserve"> </w:t>
      </w:r>
      <w:r w:rsidRPr="006752F8">
        <w:rPr>
          <w:rFonts w:eastAsiaTheme="minorHAnsi"/>
        </w:rPr>
        <w:t>all</w:t>
      </w:r>
      <w:r>
        <w:rPr>
          <w:rFonts w:eastAsiaTheme="minorHAnsi"/>
        </w:rPr>
        <w:t xml:space="preserve"> people</w:t>
      </w:r>
      <w:r w:rsidRPr="006752F8">
        <w:rPr>
          <w:rFonts w:eastAsiaTheme="minorHAnsi"/>
        </w:rPr>
        <w:t>.</w:t>
      </w:r>
      <w:r>
        <w:rPr>
          <w:rFonts w:eastAsiaTheme="minorHAnsi"/>
        </w:rPr>
        <w:t xml:space="preserve"> </w:t>
      </w:r>
    </w:p>
    <w:p w14:paraId="19C6CC99" w14:textId="77777777" w:rsidR="00E108A1" w:rsidRDefault="00E108A1" w:rsidP="00E108A1">
      <w:pPr>
        <w:rPr>
          <w:rFonts w:eastAsiaTheme="minorHAnsi"/>
        </w:rPr>
      </w:pPr>
    </w:p>
    <w:p w14:paraId="23F2CC6E" w14:textId="7AA3D51B" w:rsidR="00B7548E" w:rsidRDefault="00B7548E" w:rsidP="00E108A1">
      <w:r>
        <w:t>T</w:t>
      </w:r>
      <w:r w:rsidRPr="0673B9DC">
        <w:t>rauma</w:t>
      </w:r>
      <w:r>
        <w:t xml:space="preserve"> </w:t>
      </w:r>
      <w:r w:rsidRPr="0673B9DC">
        <w:t>potentially</w:t>
      </w:r>
      <w:r>
        <w:t xml:space="preserve"> affects </w:t>
      </w:r>
      <w:r w:rsidRPr="00617FF9">
        <w:t>7</w:t>
      </w:r>
      <w:r>
        <w:t xml:space="preserve"> </w:t>
      </w:r>
      <w:r w:rsidRPr="00617FF9">
        <w:t>out</w:t>
      </w:r>
      <w:r>
        <w:t xml:space="preserve"> </w:t>
      </w:r>
      <w:r w:rsidRPr="00617FF9">
        <w:t>of</w:t>
      </w:r>
      <w:r>
        <w:t xml:space="preserve"> </w:t>
      </w:r>
      <w:r w:rsidRPr="00617FF9">
        <w:t>10</w:t>
      </w:r>
      <w:r>
        <w:t xml:space="preserve"> </w:t>
      </w:r>
      <w:r w:rsidRPr="00617FF9">
        <w:t>Māori</w:t>
      </w:r>
      <w:r>
        <w:t xml:space="preserve"> </w:t>
      </w:r>
      <w:r w:rsidRPr="00617FF9">
        <w:t>people,</w:t>
      </w:r>
      <w:r>
        <w:t xml:space="preserve"> </w:t>
      </w:r>
      <w:r w:rsidRPr="006752F8">
        <w:t>8</w:t>
      </w:r>
      <w:r>
        <w:t xml:space="preserve"> </w:t>
      </w:r>
      <w:r w:rsidRPr="006752F8">
        <w:t>out</w:t>
      </w:r>
      <w:r>
        <w:t xml:space="preserve"> </w:t>
      </w:r>
      <w:r w:rsidRPr="006752F8">
        <w:t>of</w:t>
      </w:r>
      <w:r>
        <w:t xml:space="preserve"> </w:t>
      </w:r>
      <w:r w:rsidRPr="006752F8">
        <w:t>10</w:t>
      </w:r>
      <w:r>
        <w:rPr>
          <w:sz w:val="20"/>
        </w:rPr>
        <w:t xml:space="preserve"> </w:t>
      </w:r>
      <w:r w:rsidRPr="006752F8">
        <w:t>people</w:t>
      </w:r>
      <w:r>
        <w:t xml:space="preserve"> </w:t>
      </w:r>
      <w:r w:rsidRPr="006752F8">
        <w:t>in</w:t>
      </w:r>
      <w:r>
        <w:t xml:space="preserve"> </w:t>
      </w:r>
      <w:r w:rsidRPr="006752F8">
        <w:t>prison</w:t>
      </w:r>
      <w:r>
        <w:t xml:space="preserve"> </w:t>
      </w:r>
      <w:r w:rsidRPr="006752F8">
        <w:t>and</w:t>
      </w:r>
      <w:r>
        <w:t xml:space="preserve"> </w:t>
      </w:r>
      <w:r w:rsidRPr="00617FF9">
        <w:t>9</w:t>
      </w:r>
      <w:r>
        <w:t xml:space="preserve"> </w:t>
      </w:r>
      <w:r w:rsidRPr="00617FF9">
        <w:t>out</w:t>
      </w:r>
      <w:r>
        <w:t xml:space="preserve"> </w:t>
      </w:r>
      <w:r w:rsidRPr="00617FF9">
        <w:t>of</w:t>
      </w:r>
      <w:r>
        <w:t xml:space="preserve"> </w:t>
      </w:r>
      <w:r w:rsidRPr="00617FF9">
        <w:t>10</w:t>
      </w:r>
      <w:r>
        <w:t xml:space="preserve"> </w:t>
      </w:r>
      <w:r w:rsidRPr="00617FF9">
        <w:t>people</w:t>
      </w:r>
      <w:r>
        <w:t xml:space="preserve"> </w:t>
      </w:r>
      <w:r w:rsidRPr="00617FF9">
        <w:t>who</w:t>
      </w:r>
      <w:r>
        <w:t xml:space="preserve"> </w:t>
      </w:r>
      <w:r w:rsidRPr="00617FF9">
        <w:t>have</w:t>
      </w:r>
      <w:r>
        <w:t xml:space="preserve"> </w:t>
      </w:r>
      <w:r w:rsidRPr="00617FF9">
        <w:t>accessed</w:t>
      </w:r>
      <w:r>
        <w:t xml:space="preserve"> </w:t>
      </w:r>
      <w:r w:rsidRPr="00617FF9">
        <w:t>mental</w:t>
      </w:r>
      <w:r>
        <w:t xml:space="preserve"> </w:t>
      </w:r>
      <w:r w:rsidRPr="00617FF9">
        <w:t>health</w:t>
      </w:r>
      <w:r>
        <w:t xml:space="preserve"> </w:t>
      </w:r>
      <w:r w:rsidRPr="00617FF9">
        <w:t>and</w:t>
      </w:r>
      <w:r>
        <w:t xml:space="preserve"> </w:t>
      </w:r>
      <w:r w:rsidRPr="00617FF9">
        <w:t>addiction</w:t>
      </w:r>
      <w:r>
        <w:t xml:space="preserve"> </w:t>
      </w:r>
      <w:r w:rsidRPr="00617FF9">
        <w:t>services</w:t>
      </w:r>
      <w:r>
        <w:t xml:space="preserve"> </w:t>
      </w:r>
      <w:r w:rsidRPr="00617FF9">
        <w:t>(compared</w:t>
      </w:r>
      <w:r>
        <w:t xml:space="preserve"> </w:t>
      </w:r>
      <w:r w:rsidRPr="00617FF9">
        <w:t>with</w:t>
      </w:r>
      <w:r>
        <w:t xml:space="preserve"> </w:t>
      </w:r>
      <w:r w:rsidRPr="00617FF9">
        <w:t>5</w:t>
      </w:r>
      <w:r>
        <w:t xml:space="preserve"> </w:t>
      </w:r>
      <w:r w:rsidRPr="00617FF9">
        <w:t>out</w:t>
      </w:r>
      <w:r>
        <w:t xml:space="preserve"> </w:t>
      </w:r>
      <w:r w:rsidRPr="00617FF9">
        <w:t>of</w:t>
      </w:r>
      <w:r>
        <w:t xml:space="preserve"> </w:t>
      </w:r>
      <w:r w:rsidRPr="00617FF9">
        <w:t>10</w:t>
      </w:r>
      <w:r>
        <w:t xml:space="preserve"> people </w:t>
      </w:r>
      <w:r w:rsidRPr="00617FF9">
        <w:t>in</w:t>
      </w:r>
      <w:r>
        <w:t xml:space="preserve"> </w:t>
      </w:r>
      <w:r w:rsidRPr="00617FF9">
        <w:t>the</w:t>
      </w:r>
      <w:r>
        <w:t xml:space="preserve"> </w:t>
      </w:r>
      <w:r w:rsidRPr="00617FF9">
        <w:t>general</w:t>
      </w:r>
      <w:r>
        <w:t xml:space="preserve"> </w:t>
      </w:r>
      <w:r w:rsidRPr="00617FF9">
        <w:t>population</w:t>
      </w:r>
      <w:sdt>
        <w:sdtPr>
          <w:tag w:val="goog_rdk_19"/>
          <w:id w:val="1116330192"/>
        </w:sdtPr>
        <w:sdtContent/>
      </w:sdt>
      <w:r w:rsidRPr="00617FF9">
        <w:t>).</w:t>
      </w:r>
      <w:r w:rsidRPr="00145063">
        <w:rPr>
          <w:vertAlign w:val="superscript"/>
        </w:rPr>
        <w:footnoteReference w:id="78"/>
      </w:r>
      <w:r>
        <w:t xml:space="preserve"> Additionally, young people who are admitted to mental health inpatient settings are likely to have experienced trauma in their life; more than a third of one large sample had experienced sexual or physical abuse.</w:t>
      </w:r>
      <w:r>
        <w:rPr>
          <w:rStyle w:val="FootnoteReference"/>
          <w:rFonts w:cs="Segoe UI"/>
        </w:rPr>
        <w:footnoteReference w:id="79"/>
      </w:r>
    </w:p>
    <w:p w14:paraId="7A33709B" w14:textId="77777777" w:rsidR="00E108A1" w:rsidRPr="00617FF9" w:rsidRDefault="00E108A1" w:rsidP="00E108A1"/>
    <w:p w14:paraId="34994C30" w14:textId="706A0826" w:rsidR="00B7548E" w:rsidRDefault="00B7548E" w:rsidP="00E108A1">
      <w:pPr>
        <w:rPr>
          <w:rFonts w:eastAsiaTheme="minorHAnsi"/>
        </w:rPr>
      </w:pPr>
      <w:r w:rsidRPr="006752F8">
        <w:rPr>
          <w:rFonts w:eastAsiaTheme="minorHAnsi"/>
        </w:rPr>
        <w:t>Trauma-informed</w:t>
      </w:r>
      <w:r>
        <w:rPr>
          <w:rFonts w:eastAsiaTheme="minorHAnsi"/>
        </w:rPr>
        <w:t xml:space="preserve"> </w:t>
      </w:r>
      <w:r w:rsidRPr="006752F8">
        <w:rPr>
          <w:rFonts w:eastAsiaTheme="minorHAnsi"/>
        </w:rPr>
        <w:t>approaches</w:t>
      </w:r>
      <w:r>
        <w:rPr>
          <w:rFonts w:eastAsiaTheme="minorHAnsi"/>
        </w:rPr>
        <w:t xml:space="preserve"> </w:t>
      </w:r>
      <w:r w:rsidRPr="006752F8">
        <w:rPr>
          <w:rFonts w:eastAsiaTheme="minorHAnsi"/>
        </w:rPr>
        <w:t>are</w:t>
      </w:r>
      <w:r>
        <w:rPr>
          <w:rFonts w:eastAsiaTheme="minorHAnsi"/>
        </w:rPr>
        <w:t xml:space="preserve"> </w:t>
      </w:r>
      <w:r w:rsidRPr="006752F8">
        <w:rPr>
          <w:rFonts w:eastAsiaTheme="minorHAnsi"/>
        </w:rPr>
        <w:t>included</w:t>
      </w:r>
      <w:r>
        <w:rPr>
          <w:rFonts w:eastAsiaTheme="minorHAnsi"/>
        </w:rPr>
        <w:t xml:space="preserve"> </w:t>
      </w:r>
      <w:r w:rsidRPr="006752F8">
        <w:rPr>
          <w:rFonts w:eastAsiaTheme="minorHAnsi"/>
        </w:rPr>
        <w:t>in</w:t>
      </w:r>
      <w:r>
        <w:rPr>
          <w:rFonts w:eastAsiaTheme="minorHAnsi"/>
        </w:rPr>
        <w:t xml:space="preserve"> Te Pou’s 7 </w:t>
      </w:r>
      <w:r w:rsidRPr="006752F8">
        <w:rPr>
          <w:rFonts w:eastAsiaTheme="minorHAnsi"/>
        </w:rPr>
        <w:t>‘</w:t>
      </w:r>
      <w:r w:rsidRPr="006752F8">
        <w:t>Real</w:t>
      </w:r>
      <w:r>
        <w:t xml:space="preserve"> </w:t>
      </w:r>
      <w:r w:rsidRPr="006752F8">
        <w:t>Skills’</w:t>
      </w:r>
      <w:r>
        <w:t xml:space="preserve"> </w:t>
      </w:r>
      <w:r w:rsidRPr="006752F8">
        <w:t>for</w:t>
      </w:r>
      <w:r>
        <w:t xml:space="preserve"> </w:t>
      </w:r>
      <w:r w:rsidRPr="006752F8">
        <w:t>health</w:t>
      </w:r>
      <w:r>
        <w:t xml:space="preserve"> </w:t>
      </w:r>
      <w:r w:rsidRPr="006752F8">
        <w:t>professionals</w:t>
      </w:r>
      <w:r>
        <w:t xml:space="preserve"> </w:t>
      </w:r>
      <w:r w:rsidRPr="006752F8">
        <w:t>working</w:t>
      </w:r>
      <w:r>
        <w:t xml:space="preserve"> </w:t>
      </w:r>
      <w:r w:rsidRPr="006752F8">
        <w:t>with</w:t>
      </w:r>
      <w:r>
        <w:t xml:space="preserve"> </w:t>
      </w:r>
      <w:r w:rsidRPr="006752F8">
        <w:t>people</w:t>
      </w:r>
      <w:r>
        <w:t xml:space="preserve"> experiencing </w:t>
      </w:r>
      <w:r w:rsidRPr="006752F8">
        <w:t>mental</w:t>
      </w:r>
      <w:r>
        <w:t xml:space="preserve"> </w:t>
      </w:r>
      <w:r w:rsidRPr="006752F8">
        <w:t>health</w:t>
      </w:r>
      <w:r>
        <w:t xml:space="preserve"> </w:t>
      </w:r>
      <w:r w:rsidRPr="006752F8">
        <w:t>and</w:t>
      </w:r>
      <w:r>
        <w:t xml:space="preserve"> </w:t>
      </w:r>
      <w:r w:rsidRPr="006752F8">
        <w:t>addiction</w:t>
      </w:r>
      <w:r>
        <w:t xml:space="preserve"> </w:t>
      </w:r>
      <w:r w:rsidRPr="006752F8">
        <w:t>needs</w:t>
      </w:r>
      <w:r>
        <w:t xml:space="preserve"> and their whānau</w:t>
      </w:r>
      <w:r w:rsidRPr="006752F8">
        <w:t>.</w:t>
      </w:r>
      <w:r>
        <w:rPr>
          <w:rStyle w:val="FootnoteReference"/>
          <w:rFonts w:cs="Segoe UI"/>
        </w:rPr>
        <w:footnoteReference w:id="80"/>
      </w:r>
      <w:r>
        <w:t xml:space="preserve"> In addition, t</w:t>
      </w:r>
      <w:r w:rsidRPr="006752F8">
        <w:rPr>
          <w:rFonts w:eastAsiaTheme="minorHAnsi"/>
        </w:rPr>
        <w:t>he</w:t>
      </w:r>
      <w:r>
        <w:rPr>
          <w:rFonts w:eastAsiaTheme="minorHAnsi"/>
        </w:rPr>
        <w:t xml:space="preserve"> </w:t>
      </w:r>
      <w:r w:rsidRPr="006752F8">
        <w:rPr>
          <w:rFonts w:eastAsiaTheme="minorHAnsi"/>
        </w:rPr>
        <w:t>RANZCP</w:t>
      </w:r>
      <w:r>
        <w:rPr>
          <w:rFonts w:eastAsiaTheme="minorHAnsi"/>
        </w:rPr>
        <w:t xml:space="preserve"> </w:t>
      </w:r>
      <w:r w:rsidRPr="006752F8">
        <w:rPr>
          <w:rFonts w:eastAsiaTheme="minorHAnsi"/>
        </w:rPr>
        <w:t>recommends</w:t>
      </w:r>
      <w:r>
        <w:rPr>
          <w:rFonts w:eastAsiaTheme="minorHAnsi"/>
        </w:rPr>
        <w:t xml:space="preserve"> </w:t>
      </w:r>
      <w:r w:rsidRPr="006752F8">
        <w:rPr>
          <w:rFonts w:eastAsiaTheme="minorHAnsi"/>
        </w:rPr>
        <w:t>that:</w:t>
      </w:r>
    </w:p>
    <w:p w14:paraId="2EC79EF4" w14:textId="77777777" w:rsidR="00E108A1" w:rsidRPr="006752F8" w:rsidRDefault="00E108A1" w:rsidP="00E108A1">
      <w:pPr>
        <w:rPr>
          <w:lang w:eastAsia="en-NZ"/>
        </w:rPr>
      </w:pPr>
    </w:p>
    <w:p w14:paraId="780C9810" w14:textId="77777777" w:rsidR="00B7548E" w:rsidRPr="006752F8" w:rsidRDefault="00B7548E" w:rsidP="00E108A1">
      <w:pPr>
        <w:ind w:left="567"/>
        <w:rPr>
          <w:lang w:eastAsia="en-NZ"/>
        </w:rPr>
      </w:pPr>
      <w:r w:rsidRPr="006752F8">
        <w:rPr>
          <w:lang w:eastAsia="en-NZ"/>
        </w:rPr>
        <w:t>Individual</w:t>
      </w:r>
      <w:r>
        <w:rPr>
          <w:lang w:eastAsia="en-NZ"/>
        </w:rPr>
        <w:t xml:space="preserve"> </w:t>
      </w:r>
      <w:r w:rsidRPr="006752F8">
        <w:rPr>
          <w:lang w:eastAsia="en-NZ"/>
        </w:rPr>
        <w:t>psychiatrists</w:t>
      </w:r>
      <w:r>
        <w:rPr>
          <w:lang w:eastAsia="en-NZ"/>
        </w:rPr>
        <w:t xml:space="preserve"> </w:t>
      </w:r>
      <w:r w:rsidRPr="006752F8">
        <w:rPr>
          <w:lang w:eastAsia="en-NZ"/>
        </w:rPr>
        <w:t>enhance</w:t>
      </w:r>
      <w:r>
        <w:rPr>
          <w:lang w:eastAsia="en-NZ"/>
        </w:rPr>
        <w:t xml:space="preserve"> </w:t>
      </w:r>
      <w:r w:rsidRPr="006752F8">
        <w:rPr>
          <w:lang w:eastAsia="en-NZ"/>
        </w:rPr>
        <w:t>their</w:t>
      </w:r>
      <w:r>
        <w:rPr>
          <w:lang w:eastAsia="en-NZ"/>
        </w:rPr>
        <w:t xml:space="preserve"> </w:t>
      </w:r>
      <w:r w:rsidRPr="006752F8">
        <w:rPr>
          <w:lang w:eastAsia="en-NZ"/>
        </w:rPr>
        <w:t>own</w:t>
      </w:r>
      <w:r>
        <w:rPr>
          <w:lang w:eastAsia="en-NZ"/>
        </w:rPr>
        <w:t xml:space="preserve"> </w:t>
      </w:r>
      <w:r w:rsidRPr="006752F8">
        <w:rPr>
          <w:lang w:eastAsia="en-NZ"/>
        </w:rPr>
        <w:t>knowledge</w:t>
      </w:r>
      <w:r>
        <w:rPr>
          <w:lang w:eastAsia="en-NZ"/>
        </w:rPr>
        <w:t xml:space="preserve"> </w:t>
      </w:r>
      <w:r w:rsidRPr="006752F8">
        <w:rPr>
          <w:lang w:eastAsia="en-NZ"/>
        </w:rPr>
        <w:t>and</w:t>
      </w:r>
      <w:r>
        <w:rPr>
          <w:lang w:eastAsia="en-NZ"/>
        </w:rPr>
        <w:t xml:space="preserve"> </w:t>
      </w:r>
      <w:r w:rsidRPr="006752F8">
        <w:rPr>
          <w:lang w:eastAsia="en-NZ"/>
        </w:rPr>
        <w:t>skills</w:t>
      </w:r>
      <w:r>
        <w:rPr>
          <w:lang w:eastAsia="en-NZ"/>
        </w:rPr>
        <w:t xml:space="preserve"> </w:t>
      </w:r>
      <w:r w:rsidRPr="006752F8">
        <w:rPr>
          <w:lang w:eastAsia="en-NZ"/>
        </w:rPr>
        <w:t>in</w:t>
      </w:r>
      <w:r>
        <w:rPr>
          <w:lang w:eastAsia="en-NZ"/>
        </w:rPr>
        <w:t xml:space="preserve"> </w:t>
      </w:r>
      <w:r w:rsidRPr="006752F8">
        <w:rPr>
          <w:lang w:eastAsia="en-NZ"/>
        </w:rPr>
        <w:t>[</w:t>
      </w:r>
      <w:r>
        <w:rPr>
          <w:lang w:eastAsia="en-NZ"/>
        </w:rPr>
        <w:t>t</w:t>
      </w:r>
      <w:r w:rsidRPr="006752F8">
        <w:rPr>
          <w:lang w:eastAsia="en-NZ"/>
        </w:rPr>
        <w:t>rauma</w:t>
      </w:r>
      <w:r>
        <w:rPr>
          <w:lang w:eastAsia="en-NZ"/>
        </w:rPr>
        <w:t>-i</w:t>
      </w:r>
      <w:r w:rsidRPr="006752F8">
        <w:rPr>
          <w:lang w:eastAsia="en-NZ"/>
        </w:rPr>
        <w:t>nformed</w:t>
      </w:r>
      <w:r>
        <w:rPr>
          <w:lang w:eastAsia="en-NZ"/>
        </w:rPr>
        <w:t xml:space="preserve"> p</w:t>
      </w:r>
      <w:r w:rsidRPr="006752F8">
        <w:rPr>
          <w:lang w:eastAsia="en-NZ"/>
        </w:rPr>
        <w:t>ractice];</w:t>
      </w:r>
      <w:r>
        <w:rPr>
          <w:lang w:eastAsia="en-NZ"/>
        </w:rPr>
        <w:t xml:space="preserve"> </w:t>
      </w:r>
      <w:r w:rsidRPr="006752F8">
        <w:rPr>
          <w:lang w:eastAsia="en-NZ"/>
        </w:rPr>
        <w:t>in</w:t>
      </w:r>
      <w:r>
        <w:rPr>
          <w:lang w:eastAsia="en-NZ"/>
        </w:rPr>
        <w:t xml:space="preserve"> </w:t>
      </w:r>
      <w:r w:rsidRPr="006752F8">
        <w:rPr>
          <w:lang w:eastAsia="en-NZ"/>
        </w:rPr>
        <w:t>order</w:t>
      </w:r>
      <w:r>
        <w:rPr>
          <w:lang w:eastAsia="en-NZ"/>
        </w:rPr>
        <w:t xml:space="preserve"> </w:t>
      </w:r>
      <w:r w:rsidRPr="006752F8">
        <w:rPr>
          <w:lang w:eastAsia="en-NZ"/>
        </w:rPr>
        <w:t>that</w:t>
      </w:r>
      <w:r>
        <w:rPr>
          <w:lang w:eastAsia="en-NZ"/>
        </w:rPr>
        <w:t xml:space="preserve"> </w:t>
      </w:r>
      <w:r w:rsidRPr="006752F8">
        <w:rPr>
          <w:lang w:eastAsia="en-NZ"/>
        </w:rPr>
        <w:t>individuals</w:t>
      </w:r>
      <w:r>
        <w:rPr>
          <w:lang w:eastAsia="en-NZ"/>
        </w:rPr>
        <w:t xml:space="preserve"> </w:t>
      </w:r>
      <w:r w:rsidRPr="006752F8">
        <w:rPr>
          <w:lang w:eastAsia="en-NZ"/>
        </w:rPr>
        <w:t>receive</w:t>
      </w:r>
      <w:r>
        <w:rPr>
          <w:lang w:eastAsia="en-NZ"/>
        </w:rPr>
        <w:t xml:space="preserve"> </w:t>
      </w:r>
      <w:r w:rsidRPr="006752F8">
        <w:rPr>
          <w:lang w:eastAsia="en-NZ"/>
        </w:rPr>
        <w:t>care</w:t>
      </w:r>
      <w:r>
        <w:rPr>
          <w:lang w:eastAsia="en-NZ"/>
        </w:rPr>
        <w:t xml:space="preserve"> </w:t>
      </w:r>
      <w:r w:rsidRPr="006752F8">
        <w:rPr>
          <w:lang w:eastAsia="en-NZ"/>
        </w:rPr>
        <w:t>that</w:t>
      </w:r>
      <w:r>
        <w:rPr>
          <w:lang w:eastAsia="en-NZ"/>
        </w:rPr>
        <w:t xml:space="preserve"> </w:t>
      </w:r>
      <w:r w:rsidRPr="006752F8">
        <w:rPr>
          <w:lang w:eastAsia="en-NZ"/>
        </w:rPr>
        <w:t>maximises</w:t>
      </w:r>
      <w:r>
        <w:rPr>
          <w:lang w:eastAsia="en-NZ"/>
        </w:rPr>
        <w:t xml:space="preserve"> </w:t>
      </w:r>
      <w:r w:rsidRPr="006752F8">
        <w:rPr>
          <w:lang w:eastAsia="en-NZ"/>
        </w:rPr>
        <w:t>recovery</w:t>
      </w:r>
      <w:r>
        <w:rPr>
          <w:lang w:eastAsia="en-NZ"/>
        </w:rPr>
        <w:t xml:space="preserve"> </w:t>
      </w:r>
      <w:r w:rsidRPr="006752F8">
        <w:rPr>
          <w:lang w:eastAsia="en-NZ"/>
        </w:rPr>
        <w:t>potential,</w:t>
      </w:r>
      <w:r>
        <w:rPr>
          <w:lang w:eastAsia="en-NZ"/>
        </w:rPr>
        <w:t xml:space="preserve"> </w:t>
      </w:r>
      <w:r w:rsidRPr="006752F8">
        <w:rPr>
          <w:lang w:eastAsia="en-NZ"/>
        </w:rPr>
        <w:t>and</w:t>
      </w:r>
      <w:r>
        <w:rPr>
          <w:lang w:eastAsia="en-NZ"/>
        </w:rPr>
        <w:t xml:space="preserve"> </w:t>
      </w:r>
      <w:r w:rsidRPr="006752F8">
        <w:rPr>
          <w:lang w:eastAsia="en-NZ"/>
        </w:rPr>
        <w:t>minimises</w:t>
      </w:r>
      <w:r>
        <w:rPr>
          <w:lang w:eastAsia="en-NZ"/>
        </w:rPr>
        <w:t xml:space="preserve"> </w:t>
      </w:r>
      <w:r w:rsidRPr="006752F8">
        <w:rPr>
          <w:lang w:eastAsia="en-NZ"/>
        </w:rPr>
        <w:t>the</w:t>
      </w:r>
      <w:r>
        <w:rPr>
          <w:lang w:eastAsia="en-NZ"/>
        </w:rPr>
        <w:t xml:space="preserve"> </w:t>
      </w:r>
      <w:r w:rsidRPr="006752F8">
        <w:rPr>
          <w:lang w:eastAsia="en-NZ"/>
        </w:rPr>
        <w:t>risk</w:t>
      </w:r>
      <w:r>
        <w:rPr>
          <w:lang w:eastAsia="en-NZ"/>
        </w:rPr>
        <w:t xml:space="preserve"> </w:t>
      </w:r>
      <w:r w:rsidRPr="006752F8">
        <w:rPr>
          <w:lang w:eastAsia="en-NZ"/>
        </w:rPr>
        <w:t>of</w:t>
      </w:r>
      <w:r>
        <w:rPr>
          <w:lang w:eastAsia="en-NZ"/>
        </w:rPr>
        <w:t xml:space="preserve"> </w:t>
      </w:r>
      <w:r w:rsidRPr="006752F8">
        <w:rPr>
          <w:lang w:eastAsia="en-NZ"/>
        </w:rPr>
        <w:t>re</w:t>
      </w:r>
      <w:r>
        <w:rPr>
          <w:lang w:eastAsia="en-NZ"/>
        </w:rPr>
        <w:t>-</w:t>
      </w:r>
      <w:r w:rsidRPr="006752F8">
        <w:rPr>
          <w:lang w:eastAsia="en-NZ"/>
        </w:rPr>
        <w:t>traumatisation</w:t>
      </w:r>
      <w:r>
        <w:rPr>
          <w:lang w:eastAsia="en-NZ"/>
        </w:rPr>
        <w:t xml:space="preserve"> </w:t>
      </w:r>
      <w:r w:rsidRPr="006752F8">
        <w:rPr>
          <w:lang w:eastAsia="en-NZ"/>
        </w:rPr>
        <w:t>for</w:t>
      </w:r>
      <w:r>
        <w:rPr>
          <w:lang w:eastAsia="en-NZ"/>
        </w:rPr>
        <w:t xml:space="preserve"> </w:t>
      </w:r>
      <w:r w:rsidRPr="006752F8">
        <w:rPr>
          <w:lang w:eastAsia="en-NZ"/>
        </w:rPr>
        <w:t>individuals,</w:t>
      </w:r>
      <w:r>
        <w:rPr>
          <w:lang w:eastAsia="en-NZ"/>
        </w:rPr>
        <w:t xml:space="preserve"> </w:t>
      </w:r>
      <w:r w:rsidRPr="006752F8">
        <w:rPr>
          <w:lang w:eastAsia="en-NZ"/>
        </w:rPr>
        <w:t>family,</w:t>
      </w:r>
      <w:r>
        <w:rPr>
          <w:lang w:eastAsia="en-NZ"/>
        </w:rPr>
        <w:t xml:space="preserve"> </w:t>
      </w:r>
      <w:r w:rsidRPr="006752F8">
        <w:rPr>
          <w:lang w:eastAsia="en-NZ"/>
        </w:rPr>
        <w:t>carers</w:t>
      </w:r>
      <w:r>
        <w:rPr>
          <w:lang w:eastAsia="en-NZ"/>
        </w:rPr>
        <w:t xml:space="preserve"> </w:t>
      </w:r>
      <w:r w:rsidRPr="006752F8">
        <w:rPr>
          <w:lang w:eastAsia="en-NZ"/>
        </w:rPr>
        <w:t>and</w:t>
      </w:r>
      <w:r>
        <w:rPr>
          <w:lang w:eastAsia="en-NZ"/>
        </w:rPr>
        <w:t xml:space="preserve"> </w:t>
      </w:r>
      <w:r w:rsidRPr="006752F8">
        <w:rPr>
          <w:lang w:eastAsia="en-NZ"/>
        </w:rPr>
        <w:t>staff.</w:t>
      </w:r>
      <w:r w:rsidRPr="00145063">
        <w:rPr>
          <w:vertAlign w:val="superscript"/>
        </w:rPr>
        <w:footnoteReference w:id="81"/>
      </w:r>
    </w:p>
    <w:p w14:paraId="4CE81F19" w14:textId="77777777" w:rsidR="00E108A1" w:rsidRDefault="00E108A1" w:rsidP="00B7548E">
      <w:pPr>
        <w:spacing w:line="276" w:lineRule="auto"/>
        <w:rPr>
          <w:rFonts w:eastAsiaTheme="minorHAnsi" w:cs="Segoe UI"/>
        </w:rPr>
      </w:pPr>
    </w:p>
    <w:p w14:paraId="16329AB9" w14:textId="21991834" w:rsidR="00B7548E" w:rsidRDefault="00B7548E" w:rsidP="00E108A1">
      <w:pPr>
        <w:rPr>
          <w:rFonts w:eastAsiaTheme="minorHAnsi"/>
        </w:rPr>
      </w:pPr>
      <w:r>
        <w:rPr>
          <w:rFonts w:eastAsiaTheme="minorHAnsi"/>
        </w:rPr>
        <w:t xml:space="preserve">Research has shown that </w:t>
      </w:r>
      <w:r w:rsidRPr="006752F8">
        <w:rPr>
          <w:rFonts w:eastAsiaTheme="minorHAnsi"/>
        </w:rPr>
        <w:t>the</w:t>
      </w:r>
      <w:r>
        <w:rPr>
          <w:rFonts w:eastAsiaTheme="minorHAnsi"/>
        </w:rPr>
        <w:t xml:space="preserve"> </w:t>
      </w:r>
      <w:r w:rsidRPr="006752F8">
        <w:rPr>
          <w:rFonts w:eastAsiaTheme="minorHAnsi"/>
        </w:rPr>
        <w:t>benefits</w:t>
      </w:r>
      <w:r>
        <w:rPr>
          <w:rFonts w:eastAsiaTheme="minorHAnsi"/>
        </w:rPr>
        <w:t xml:space="preserve"> </w:t>
      </w:r>
      <w:r w:rsidRPr="006752F8">
        <w:rPr>
          <w:rFonts w:eastAsiaTheme="minorHAnsi"/>
        </w:rPr>
        <w:t>of</w:t>
      </w:r>
      <w:r>
        <w:rPr>
          <w:rFonts w:eastAsiaTheme="minorHAnsi"/>
        </w:rPr>
        <w:t xml:space="preserve"> </w:t>
      </w:r>
      <w:r w:rsidRPr="006752F8">
        <w:rPr>
          <w:rFonts w:eastAsiaTheme="minorHAnsi"/>
        </w:rPr>
        <w:t>a</w:t>
      </w:r>
      <w:r>
        <w:rPr>
          <w:rFonts w:eastAsiaTheme="minorHAnsi"/>
        </w:rPr>
        <w:t xml:space="preserve"> </w:t>
      </w:r>
      <w:r w:rsidRPr="006752F8">
        <w:rPr>
          <w:rFonts w:eastAsiaTheme="minorHAnsi"/>
        </w:rPr>
        <w:t>trauma-informed</w:t>
      </w:r>
      <w:r>
        <w:rPr>
          <w:rFonts w:eastAsiaTheme="minorHAnsi"/>
        </w:rPr>
        <w:t xml:space="preserve"> </w:t>
      </w:r>
      <w:r w:rsidRPr="006752F8">
        <w:rPr>
          <w:rFonts w:eastAsiaTheme="minorHAnsi"/>
        </w:rPr>
        <w:t>approach</w:t>
      </w:r>
      <w:r>
        <w:rPr>
          <w:rFonts w:eastAsiaTheme="minorHAnsi"/>
        </w:rPr>
        <w:t xml:space="preserve"> include reduction in </w:t>
      </w:r>
      <w:r w:rsidRPr="006752F8">
        <w:rPr>
          <w:rFonts w:eastAsiaTheme="minorHAnsi"/>
        </w:rPr>
        <w:t>the</w:t>
      </w:r>
      <w:r>
        <w:rPr>
          <w:rFonts w:eastAsiaTheme="minorHAnsi"/>
        </w:rPr>
        <w:t xml:space="preserve"> </w:t>
      </w:r>
      <w:r w:rsidRPr="006752F8">
        <w:rPr>
          <w:rFonts w:eastAsiaTheme="minorHAnsi"/>
        </w:rPr>
        <w:t>use</w:t>
      </w:r>
      <w:r>
        <w:rPr>
          <w:rFonts w:eastAsiaTheme="minorHAnsi"/>
        </w:rPr>
        <w:t xml:space="preserve"> </w:t>
      </w:r>
      <w:r w:rsidRPr="006752F8">
        <w:rPr>
          <w:rFonts w:eastAsiaTheme="minorHAnsi"/>
        </w:rPr>
        <w:t>of</w:t>
      </w:r>
      <w:r>
        <w:rPr>
          <w:rFonts w:eastAsiaTheme="minorHAnsi"/>
        </w:rPr>
        <w:t xml:space="preserve"> </w:t>
      </w:r>
      <w:r w:rsidRPr="006752F8">
        <w:rPr>
          <w:rFonts w:eastAsiaTheme="minorHAnsi"/>
        </w:rPr>
        <w:t>seclusion</w:t>
      </w:r>
      <w:r>
        <w:rPr>
          <w:rFonts w:eastAsiaTheme="minorHAnsi"/>
        </w:rPr>
        <w:t xml:space="preserve"> </w:t>
      </w:r>
      <w:r w:rsidRPr="006752F8">
        <w:rPr>
          <w:rFonts w:eastAsiaTheme="minorHAnsi"/>
        </w:rPr>
        <w:t>and</w:t>
      </w:r>
      <w:r>
        <w:rPr>
          <w:rFonts w:eastAsiaTheme="minorHAnsi"/>
        </w:rPr>
        <w:t xml:space="preserve"> </w:t>
      </w:r>
      <w:r w:rsidRPr="006752F8">
        <w:rPr>
          <w:rFonts w:eastAsiaTheme="minorHAnsi"/>
        </w:rPr>
        <w:t>shorten</w:t>
      </w:r>
      <w:r>
        <w:rPr>
          <w:rFonts w:eastAsiaTheme="minorHAnsi"/>
        </w:rPr>
        <w:t xml:space="preserve">ed adult </w:t>
      </w:r>
      <w:r w:rsidRPr="006752F8">
        <w:rPr>
          <w:rFonts w:eastAsiaTheme="minorHAnsi"/>
        </w:rPr>
        <w:t>inpatient</w:t>
      </w:r>
      <w:r>
        <w:rPr>
          <w:rFonts w:eastAsiaTheme="minorHAnsi"/>
        </w:rPr>
        <w:t xml:space="preserve"> </w:t>
      </w:r>
      <w:r w:rsidRPr="006752F8">
        <w:rPr>
          <w:rFonts w:eastAsiaTheme="minorHAnsi"/>
        </w:rPr>
        <w:t>stays.</w:t>
      </w:r>
      <w:r w:rsidRPr="00145063">
        <w:rPr>
          <w:vertAlign w:val="superscript"/>
        </w:rPr>
        <w:footnoteReference w:id="82"/>
      </w:r>
      <w:r w:rsidRPr="00655DCB">
        <w:rPr>
          <w:rFonts w:eastAsiaTheme="minorHAnsi"/>
        </w:rPr>
        <w:t xml:space="preserve"> </w:t>
      </w:r>
      <w:r>
        <w:rPr>
          <w:rFonts w:eastAsiaTheme="minorHAnsi"/>
        </w:rPr>
        <w:t xml:space="preserve">Additionally, a trauma-informed treatment approach with children and young people has been shown to reduce the number of physical restraints and seclusion events. </w:t>
      </w:r>
      <w:r>
        <w:rPr>
          <w:rStyle w:val="FootnoteReference"/>
          <w:rFonts w:eastAsiaTheme="minorHAnsi" w:cs="Segoe UI"/>
        </w:rPr>
        <w:footnoteReference w:id="83"/>
      </w:r>
    </w:p>
    <w:p w14:paraId="09423F49" w14:textId="77777777" w:rsidR="00E108A1" w:rsidRDefault="00E108A1" w:rsidP="00E108A1">
      <w:pPr>
        <w:rPr>
          <w:rFonts w:eastAsiaTheme="minorHAnsi"/>
        </w:rPr>
      </w:pPr>
    </w:p>
    <w:p w14:paraId="2E6656E4" w14:textId="77777777" w:rsidR="00B7548E" w:rsidRPr="006752F8" w:rsidRDefault="00B7548E" w:rsidP="00E108A1">
      <w:r>
        <w:lastRenderedPageBreak/>
        <w:t>There are t</w:t>
      </w:r>
      <w:r w:rsidRPr="006752F8">
        <w:t>raining</w:t>
      </w:r>
      <w:r>
        <w:t xml:space="preserve"> programmes </w:t>
      </w:r>
      <w:r w:rsidRPr="006752F8">
        <w:t>and</w:t>
      </w:r>
      <w:r>
        <w:t xml:space="preserve"> </w:t>
      </w:r>
      <w:r w:rsidRPr="006752F8">
        <w:t>resources</w:t>
      </w:r>
      <w:r>
        <w:t xml:space="preserve"> </w:t>
      </w:r>
      <w:r w:rsidRPr="006752F8">
        <w:t>to</w:t>
      </w:r>
      <w:r>
        <w:t xml:space="preserve"> </w:t>
      </w:r>
      <w:r w:rsidRPr="006752F8">
        <w:t>support</w:t>
      </w:r>
      <w:r>
        <w:t xml:space="preserve"> </w:t>
      </w:r>
      <w:r w:rsidRPr="006752F8">
        <w:t>mental</w:t>
      </w:r>
      <w:r>
        <w:t xml:space="preserve"> </w:t>
      </w:r>
      <w:r w:rsidRPr="006752F8">
        <w:t>health</w:t>
      </w:r>
      <w:r>
        <w:t xml:space="preserve"> </w:t>
      </w:r>
      <w:r w:rsidRPr="006752F8">
        <w:t>services</w:t>
      </w:r>
      <w:r>
        <w:t xml:space="preserve"> </w:t>
      </w:r>
      <w:r w:rsidRPr="006752F8">
        <w:t>and</w:t>
      </w:r>
      <w:r>
        <w:t xml:space="preserve"> </w:t>
      </w:r>
      <w:r w:rsidRPr="006752F8">
        <w:t>workers</w:t>
      </w:r>
      <w:r>
        <w:t xml:space="preserve"> </w:t>
      </w:r>
      <w:r w:rsidRPr="0051706F">
        <w:t xml:space="preserve">in Aotearoa New Zealand </w:t>
      </w:r>
      <w:r w:rsidRPr="006752F8">
        <w:t>to</w:t>
      </w:r>
      <w:r>
        <w:t xml:space="preserve"> </w:t>
      </w:r>
      <w:r w:rsidRPr="006752F8">
        <w:t>take</w:t>
      </w:r>
      <w:r>
        <w:t xml:space="preserve"> </w:t>
      </w:r>
      <w:r w:rsidRPr="006752F8">
        <w:t>a</w:t>
      </w:r>
      <w:r>
        <w:t xml:space="preserve"> </w:t>
      </w:r>
      <w:sdt>
        <w:sdtPr>
          <w:tag w:val="goog_rdk_20"/>
          <w:id w:val="445813307"/>
        </w:sdtPr>
        <w:sdtContent>
          <w:r w:rsidRPr="006752F8">
            <w:t>trauma</w:t>
          </w:r>
          <w:r w:rsidRPr="00131A76">
            <w:rPr>
              <w:rFonts w:eastAsia="Quattrocento Sans"/>
            </w:rPr>
            <w:t>-</w:t>
          </w:r>
          <w:r w:rsidRPr="006752F8">
            <w:t>informed</w:t>
          </w:r>
        </w:sdtContent>
      </w:sdt>
      <w:r>
        <w:t xml:space="preserve"> </w:t>
      </w:r>
      <w:r w:rsidRPr="006752F8">
        <w:t>approach,</w:t>
      </w:r>
      <w:r>
        <w:t xml:space="preserve"> </w:t>
      </w:r>
      <w:r w:rsidRPr="006752F8">
        <w:t>including</w:t>
      </w:r>
      <w:r>
        <w:t xml:space="preserve"> </w:t>
      </w:r>
      <w:r w:rsidRPr="006752F8">
        <w:t>when</w:t>
      </w:r>
      <w:r>
        <w:t xml:space="preserve"> </w:t>
      </w:r>
      <w:r w:rsidRPr="006752F8">
        <w:t>working</w:t>
      </w:r>
      <w:r>
        <w:t xml:space="preserve"> </w:t>
      </w:r>
      <w:r w:rsidRPr="006752F8">
        <w:t>with</w:t>
      </w:r>
      <w:r>
        <w:t xml:space="preserve"> </w:t>
      </w:r>
      <w:r w:rsidRPr="006752F8">
        <w:t>Māori</w:t>
      </w:r>
      <w:r>
        <w:t xml:space="preserve"> </w:t>
      </w:r>
      <w:r w:rsidRPr="006752F8">
        <w:t>and</w:t>
      </w:r>
      <w:r>
        <w:t xml:space="preserve"> </w:t>
      </w:r>
      <w:r w:rsidRPr="006752F8">
        <w:t>Pacific</w:t>
      </w:r>
      <w:r>
        <w:t xml:space="preserve"> people and rangatahi who use services</w:t>
      </w:r>
      <w:r w:rsidRPr="006752F8">
        <w:t>.</w:t>
      </w:r>
      <w:r>
        <w:t xml:space="preserve"> </w:t>
      </w:r>
      <w:r w:rsidRPr="006752F8">
        <w:t>These</w:t>
      </w:r>
      <w:r>
        <w:t xml:space="preserve"> </w:t>
      </w:r>
      <w:r w:rsidRPr="006752F8">
        <w:t>include:</w:t>
      </w:r>
    </w:p>
    <w:p w14:paraId="27203EB3" w14:textId="77777777" w:rsidR="00B7548E" w:rsidRPr="00145063" w:rsidRDefault="00B7548E" w:rsidP="00E108A1">
      <w:pPr>
        <w:pStyle w:val="Bullet"/>
      </w:pPr>
      <w:r>
        <w:rPr>
          <w:iCs/>
        </w:rPr>
        <w:t xml:space="preserve">Te Pou’s </w:t>
      </w:r>
      <w:r w:rsidRPr="00145063">
        <w:rPr>
          <w:i/>
        </w:rPr>
        <w:t>Weaving</w:t>
      </w:r>
      <w:r>
        <w:rPr>
          <w:i/>
        </w:rPr>
        <w:t xml:space="preserve"> </w:t>
      </w:r>
      <w:r w:rsidRPr="00145063">
        <w:rPr>
          <w:i/>
        </w:rPr>
        <w:t>together</w:t>
      </w:r>
      <w:r>
        <w:rPr>
          <w:i/>
        </w:rPr>
        <w:t xml:space="preserve"> </w:t>
      </w:r>
      <w:r w:rsidRPr="00145063">
        <w:rPr>
          <w:i/>
        </w:rPr>
        <w:t>knowledge</w:t>
      </w:r>
      <w:r>
        <w:rPr>
          <w:i/>
        </w:rPr>
        <w:t xml:space="preserve"> </w:t>
      </w:r>
      <w:r w:rsidRPr="00145063">
        <w:rPr>
          <w:i/>
        </w:rPr>
        <w:t>for</w:t>
      </w:r>
      <w:r>
        <w:rPr>
          <w:i/>
        </w:rPr>
        <w:t xml:space="preserve"> </w:t>
      </w:r>
      <w:r w:rsidRPr="00145063">
        <w:rPr>
          <w:i/>
        </w:rPr>
        <w:t>wellbeing</w:t>
      </w:r>
      <w:r>
        <w:rPr>
          <w:i/>
        </w:rPr>
        <w:t xml:space="preserve">: </w:t>
      </w:r>
      <w:r w:rsidRPr="00145063">
        <w:rPr>
          <w:i/>
        </w:rPr>
        <w:t>Trauma</w:t>
      </w:r>
      <w:r>
        <w:rPr>
          <w:i/>
        </w:rPr>
        <w:t xml:space="preserve"> </w:t>
      </w:r>
      <w:r w:rsidRPr="00145063">
        <w:rPr>
          <w:i/>
        </w:rPr>
        <w:t>informed</w:t>
      </w:r>
      <w:r>
        <w:rPr>
          <w:i/>
        </w:rPr>
        <w:t xml:space="preserve"> </w:t>
      </w:r>
      <w:r w:rsidRPr="00145063">
        <w:rPr>
          <w:i/>
        </w:rPr>
        <w:t>approaches:</w:t>
      </w:r>
      <w:r>
        <w:rPr>
          <w:i/>
        </w:rPr>
        <w:t xml:space="preserve"> </w:t>
      </w:r>
      <w:r w:rsidRPr="00145063">
        <w:t>Recognising,</w:t>
      </w:r>
      <w:r>
        <w:t xml:space="preserve"> </w:t>
      </w:r>
      <w:r w:rsidRPr="00145063">
        <w:t>understanding</w:t>
      </w:r>
      <w:r>
        <w:t xml:space="preserve"> </w:t>
      </w:r>
      <w:r w:rsidRPr="00145063">
        <w:t>and</w:t>
      </w:r>
      <w:r>
        <w:t xml:space="preserve"> </w:t>
      </w:r>
      <w:r w:rsidRPr="00145063">
        <w:t>responding</w:t>
      </w:r>
      <w:r>
        <w:t xml:space="preserve"> </w:t>
      </w:r>
      <w:r w:rsidRPr="00145063">
        <w:t>to</w:t>
      </w:r>
      <w:r>
        <w:t xml:space="preserve"> </w:t>
      </w:r>
      <w:r w:rsidRPr="00145063">
        <w:t>trauma</w:t>
      </w:r>
      <w:r>
        <w:t xml:space="preserve"> </w:t>
      </w:r>
      <w:r w:rsidRPr="00145063">
        <w:t>in</w:t>
      </w:r>
      <w:r>
        <w:t xml:space="preserve"> </w:t>
      </w:r>
      <w:r w:rsidRPr="00145063">
        <w:t>an</w:t>
      </w:r>
      <w:r>
        <w:t xml:space="preserve"> </w:t>
      </w:r>
      <w:r w:rsidRPr="00145063">
        <w:t>informed</w:t>
      </w:r>
      <w:r>
        <w:t xml:space="preserve"> </w:t>
      </w:r>
      <w:r w:rsidRPr="00145063">
        <w:t>way</w:t>
      </w:r>
      <w:r>
        <w:t xml:space="preserve"> </w:t>
      </w:r>
      <w:r w:rsidRPr="00145063">
        <w:t>leads</w:t>
      </w:r>
      <w:r>
        <w:t xml:space="preserve"> </w:t>
      </w:r>
      <w:r w:rsidRPr="00145063">
        <w:t>to</w:t>
      </w:r>
      <w:r>
        <w:t xml:space="preserve"> </w:t>
      </w:r>
      <w:r w:rsidRPr="00145063">
        <w:t>positive</w:t>
      </w:r>
      <w:r>
        <w:t xml:space="preserve"> </w:t>
      </w:r>
      <w:r w:rsidRPr="00145063">
        <w:t>outcomes</w:t>
      </w:r>
      <w:r>
        <w:t xml:space="preserve"> </w:t>
      </w:r>
      <w:r w:rsidRPr="00145063">
        <w:t>for</w:t>
      </w:r>
      <w:r>
        <w:t xml:space="preserve"> </w:t>
      </w:r>
      <w:r w:rsidRPr="00145063">
        <w:t>people</w:t>
      </w:r>
      <w:r>
        <w:t xml:space="preserve"> </w:t>
      </w:r>
      <w:r w:rsidRPr="00145063">
        <w:t>and</w:t>
      </w:r>
      <w:r>
        <w:t xml:space="preserve"> </w:t>
      </w:r>
      <w:r w:rsidRPr="00145063">
        <w:t>whānau</w:t>
      </w:r>
      <w:r>
        <w:t xml:space="preserve"> </w:t>
      </w:r>
      <w:r w:rsidRPr="00145063">
        <w:t>in</w:t>
      </w:r>
      <w:r>
        <w:t xml:space="preserve"> </w:t>
      </w:r>
      <w:r w:rsidRPr="00145063">
        <w:t>Aotearoa</w:t>
      </w:r>
      <w:r>
        <w:rPr>
          <w:rStyle w:val="FootnoteReference"/>
          <w:color w:val="000000"/>
        </w:rPr>
        <w:footnoteReference w:id="84"/>
      </w:r>
      <w:r>
        <w:rPr>
          <w:i/>
        </w:rPr>
        <w:t xml:space="preserve"> </w:t>
      </w:r>
    </w:p>
    <w:p w14:paraId="1B1212A6" w14:textId="77777777" w:rsidR="00B7548E" w:rsidRPr="00145063" w:rsidRDefault="00B7548E" w:rsidP="00E108A1">
      <w:pPr>
        <w:pStyle w:val="Bullet"/>
      </w:pPr>
      <w:r w:rsidRPr="00145063">
        <w:t>Te</w:t>
      </w:r>
      <w:r>
        <w:t xml:space="preserve"> </w:t>
      </w:r>
      <w:r w:rsidRPr="00145063">
        <w:t>Pou</w:t>
      </w:r>
      <w:r>
        <w:t xml:space="preserve">’s wider </w:t>
      </w:r>
      <w:r w:rsidRPr="00145063">
        <w:t>collection</w:t>
      </w:r>
      <w:r>
        <w:t xml:space="preserve"> </w:t>
      </w:r>
      <w:r w:rsidRPr="00145063">
        <w:t>of</w:t>
      </w:r>
      <w:r>
        <w:t xml:space="preserve"> </w:t>
      </w:r>
      <w:r w:rsidRPr="00145063">
        <w:t>resources</w:t>
      </w:r>
      <w:r>
        <w:t xml:space="preserve"> </w:t>
      </w:r>
      <w:r w:rsidRPr="00145063">
        <w:t>and</w:t>
      </w:r>
      <w:r>
        <w:t xml:space="preserve"> </w:t>
      </w:r>
      <w:r w:rsidRPr="00145063">
        <w:t>e-learning</w:t>
      </w:r>
      <w:r>
        <w:rPr>
          <w:rStyle w:val="FootnoteReference"/>
          <w:color w:val="000000"/>
        </w:rPr>
        <w:footnoteReference w:id="85"/>
      </w:r>
      <w:r w:rsidRPr="00145063" w:rsidDel="00DD1461">
        <w:t xml:space="preserve"> </w:t>
      </w:r>
    </w:p>
    <w:p w14:paraId="1F6237EF" w14:textId="753A865F" w:rsidR="00B7548E" w:rsidRPr="00145063" w:rsidRDefault="00B7548E" w:rsidP="00E108A1">
      <w:pPr>
        <w:pStyle w:val="Bullet"/>
      </w:pPr>
      <w:r w:rsidRPr="007022F9">
        <w:rPr>
          <w:color w:val="000000" w:themeColor="text1"/>
        </w:rPr>
        <w:t>Le Va</w:t>
      </w:r>
      <w:r>
        <w:rPr>
          <w:color w:val="000000" w:themeColor="text1"/>
        </w:rPr>
        <w:t xml:space="preserve">’s guidance on a </w:t>
      </w:r>
      <w:r w:rsidRPr="007022F9">
        <w:rPr>
          <w:color w:val="000000" w:themeColor="text1"/>
        </w:rPr>
        <w:t xml:space="preserve">trauma-informed approach when working with Pasifika people </w:t>
      </w:r>
      <w:r>
        <w:rPr>
          <w:rStyle w:val="FootnoteReference"/>
          <w:color w:val="000000" w:themeColor="text1"/>
        </w:rPr>
        <w:footnoteReference w:id="86"/>
      </w:r>
    </w:p>
    <w:p w14:paraId="16088632" w14:textId="77777777" w:rsidR="00B7548E" w:rsidRPr="00763325" w:rsidRDefault="00B7548E" w:rsidP="00E108A1">
      <w:pPr>
        <w:pStyle w:val="Bullet"/>
      </w:pPr>
      <w:r w:rsidRPr="007022F9">
        <w:rPr>
          <w:color w:val="000000" w:themeColor="text1"/>
        </w:rPr>
        <w:t>Werry Workforce Whāraurau</w:t>
      </w:r>
      <w:r>
        <w:rPr>
          <w:color w:val="000000" w:themeColor="text1"/>
        </w:rPr>
        <w:t>’s</w:t>
      </w:r>
      <w:r w:rsidRPr="007022F9">
        <w:rPr>
          <w:color w:val="000000" w:themeColor="text1"/>
        </w:rPr>
        <w:t xml:space="preserve"> training and resources focused on the needs of rangatahi/young people</w:t>
      </w:r>
      <w:r>
        <w:rPr>
          <w:rStyle w:val="FootnoteReference"/>
          <w:color w:val="000000" w:themeColor="text1"/>
        </w:rPr>
        <w:footnoteReference w:id="87"/>
      </w:r>
      <w:r w:rsidRPr="007022F9">
        <w:rPr>
          <w:color w:val="000000" w:themeColor="text1"/>
        </w:rPr>
        <w:t xml:space="preserve">  </w:t>
      </w:r>
    </w:p>
    <w:p w14:paraId="6010F2BF" w14:textId="77777777" w:rsidR="00B7548E" w:rsidRPr="00DE6244" w:rsidRDefault="00B7548E" w:rsidP="00E108A1">
      <w:pPr>
        <w:pStyle w:val="Bullet"/>
      </w:pPr>
      <w:r>
        <w:rPr>
          <w:color w:val="000000" w:themeColor="text1"/>
          <w:szCs w:val="21"/>
        </w:rPr>
        <w:t>a</w:t>
      </w:r>
      <w:r w:rsidRPr="00DD1461">
        <w:rPr>
          <w:color w:val="000000" w:themeColor="text1"/>
          <w:szCs w:val="21"/>
        </w:rPr>
        <w:t xml:space="preserve"> video by Dr Kiri Prentice </w:t>
      </w:r>
      <w:r>
        <w:rPr>
          <w:color w:val="000000" w:themeColor="text1"/>
          <w:szCs w:val="21"/>
        </w:rPr>
        <w:t xml:space="preserve">– </w:t>
      </w:r>
      <w:r w:rsidRPr="00DD1461">
        <w:rPr>
          <w:color w:val="000000" w:themeColor="text1"/>
          <w:szCs w:val="21"/>
        </w:rPr>
        <w:t xml:space="preserve">about how tikanga-informed care is part of trauma-informed care for </w:t>
      </w:r>
      <w:r>
        <w:rPr>
          <w:color w:val="000000" w:themeColor="text1"/>
          <w:szCs w:val="21"/>
        </w:rPr>
        <w:t>tāngata whaiora</w:t>
      </w:r>
      <w:r w:rsidRPr="00DD1461">
        <w:rPr>
          <w:color w:val="000000" w:themeColor="text1"/>
          <w:szCs w:val="21"/>
        </w:rPr>
        <w:t xml:space="preserve"> Māori</w:t>
      </w:r>
      <w:r>
        <w:rPr>
          <w:rStyle w:val="FootnoteReference"/>
          <w:color w:val="000000" w:themeColor="text1"/>
          <w:szCs w:val="21"/>
        </w:rPr>
        <w:footnoteReference w:id="88"/>
      </w:r>
      <w:r w:rsidRPr="00DD1461">
        <w:rPr>
          <w:color w:val="000000" w:themeColor="text1"/>
          <w:szCs w:val="21"/>
        </w:rPr>
        <w:t xml:space="preserve"> </w:t>
      </w:r>
    </w:p>
    <w:p w14:paraId="053D6747" w14:textId="77777777" w:rsidR="00B7548E" w:rsidRPr="00DE6244" w:rsidRDefault="00B7548E" w:rsidP="00E108A1">
      <w:pPr>
        <w:pStyle w:val="Bullet"/>
        <w:rPr>
          <w:rFonts w:cs="Segoe UI"/>
          <w:szCs w:val="21"/>
        </w:rPr>
      </w:pPr>
      <w:r>
        <w:rPr>
          <w:rFonts w:cs="Segoe UI"/>
          <w:szCs w:val="21"/>
        </w:rPr>
        <w:t>A presentation by Dr Linda Tuhiwai Smith on k</w:t>
      </w:r>
      <w:r w:rsidRPr="00DE6244">
        <w:rPr>
          <w:rFonts w:cs="Segoe UI"/>
          <w:szCs w:val="21"/>
        </w:rPr>
        <w:t xml:space="preserve">aupapa Māori approaches to </w:t>
      </w:r>
      <w:r>
        <w:rPr>
          <w:rFonts w:cs="Segoe UI"/>
          <w:szCs w:val="21"/>
        </w:rPr>
        <w:t>t</w:t>
      </w:r>
      <w:r w:rsidRPr="00DE6244">
        <w:rPr>
          <w:rFonts w:cs="Segoe UI"/>
          <w:szCs w:val="21"/>
        </w:rPr>
        <w:t xml:space="preserve">rauma </w:t>
      </w:r>
      <w:r>
        <w:rPr>
          <w:rFonts w:cs="Segoe UI"/>
          <w:szCs w:val="21"/>
        </w:rPr>
        <w:t>=-i</w:t>
      </w:r>
      <w:r w:rsidRPr="00DE6244">
        <w:rPr>
          <w:rFonts w:cs="Segoe UI"/>
          <w:szCs w:val="21"/>
        </w:rPr>
        <w:t xml:space="preserve">nformed </w:t>
      </w:r>
      <w:r>
        <w:rPr>
          <w:rFonts w:cs="Segoe UI"/>
          <w:szCs w:val="21"/>
        </w:rPr>
        <w:t>c</w:t>
      </w:r>
      <w:r w:rsidRPr="00DE6244">
        <w:rPr>
          <w:rFonts w:cs="Segoe UI"/>
          <w:szCs w:val="21"/>
        </w:rPr>
        <w:t>are</w:t>
      </w:r>
      <w:r w:rsidRPr="00DE6244">
        <w:rPr>
          <w:rStyle w:val="FootnoteReference"/>
          <w:rFonts w:cs="Segoe UI"/>
          <w:szCs w:val="21"/>
        </w:rPr>
        <w:footnoteReference w:id="89"/>
      </w:r>
    </w:p>
    <w:p w14:paraId="1FAFB2C3" w14:textId="77777777" w:rsidR="00B7548E" w:rsidRPr="006A309D" w:rsidRDefault="00B7548E" w:rsidP="00E108A1">
      <w:pPr>
        <w:pStyle w:val="Bullet"/>
        <w:rPr>
          <w:rFonts w:cs="Segoe UI"/>
          <w:i/>
          <w:shd w:val="clear" w:color="auto" w:fill="FFFFFF"/>
        </w:rPr>
      </w:pPr>
      <w:r>
        <w:rPr>
          <w:szCs w:val="21"/>
        </w:rPr>
        <w:t xml:space="preserve">the </w:t>
      </w:r>
      <w:r w:rsidRPr="006E431E">
        <w:rPr>
          <w:szCs w:val="21"/>
        </w:rPr>
        <w:t>RANZCP position statement on trauma-informed practice</w:t>
      </w:r>
      <w:r>
        <w:rPr>
          <w:rStyle w:val="FootnoteReference"/>
          <w:color w:val="000000"/>
        </w:rPr>
        <w:footnoteReference w:id="90"/>
      </w:r>
    </w:p>
    <w:p w14:paraId="32699D83" w14:textId="77777777" w:rsidR="00B7548E" w:rsidRPr="004B0A0A" w:rsidRDefault="00B7548E" w:rsidP="00E108A1">
      <w:pPr>
        <w:pStyle w:val="Bullet"/>
        <w:rPr>
          <w:rStyle w:val="Hyperlink"/>
          <w:rFonts w:cs="Segoe UI"/>
          <w:i/>
          <w:color w:val="auto"/>
          <w:shd w:val="clear" w:color="auto" w:fill="FFFFFF"/>
        </w:rPr>
      </w:pPr>
      <w:r w:rsidRPr="006A309D">
        <w:rPr>
          <w:i/>
          <w:iCs/>
          <w:szCs w:val="21"/>
        </w:rPr>
        <w:t>Human Rights and the Mental Health (Compulsory Assessment and Treatment) Act 1992</w:t>
      </w:r>
      <w:r w:rsidRPr="006A309D">
        <w:rPr>
          <w:szCs w:val="21"/>
        </w:rPr>
        <w:t>.</w:t>
      </w:r>
      <w:r>
        <w:rPr>
          <w:rStyle w:val="FootnoteReference"/>
          <w:color w:val="000000"/>
          <w:szCs w:val="21"/>
        </w:rPr>
        <w:footnoteReference w:id="91"/>
      </w:r>
    </w:p>
    <w:p w14:paraId="18CC66AF" w14:textId="77777777" w:rsidR="00B7548E" w:rsidRPr="00E108A1" w:rsidRDefault="00B7548E" w:rsidP="00E108A1">
      <w:pPr>
        <w:pStyle w:val="Heading2"/>
      </w:pPr>
      <w:bookmarkStart w:id="161" w:name="_Toc120862211"/>
      <w:bookmarkStart w:id="162" w:name="_Toc120862212"/>
      <w:bookmarkStart w:id="163" w:name="_Toc120862213"/>
      <w:bookmarkStart w:id="164" w:name="_Toc120862214"/>
      <w:bookmarkStart w:id="165" w:name="_Toc120862215"/>
      <w:bookmarkStart w:id="166" w:name="_Toc120862216"/>
      <w:bookmarkStart w:id="167" w:name="_Toc103152118"/>
      <w:bookmarkStart w:id="168" w:name="_Toc105770638"/>
      <w:bookmarkStart w:id="169" w:name="_Toc131663820"/>
      <w:bookmarkStart w:id="170" w:name="_Toc132355323"/>
      <w:bookmarkEnd w:id="161"/>
      <w:bookmarkEnd w:id="162"/>
      <w:bookmarkEnd w:id="163"/>
      <w:bookmarkEnd w:id="164"/>
      <w:bookmarkEnd w:id="165"/>
      <w:bookmarkEnd w:id="166"/>
      <w:r w:rsidRPr="00E108A1">
        <w:t>Individualised support</w:t>
      </w:r>
      <w:bookmarkEnd w:id="167"/>
      <w:bookmarkEnd w:id="168"/>
      <w:r w:rsidRPr="00E108A1">
        <w:t xml:space="preserve"> planning</w:t>
      </w:r>
      <w:bookmarkEnd w:id="169"/>
      <w:bookmarkEnd w:id="170"/>
    </w:p>
    <w:p w14:paraId="748C14F9" w14:textId="12052019" w:rsidR="00B7548E" w:rsidRDefault="00B7548E" w:rsidP="00E108A1">
      <w:pPr>
        <w:rPr>
          <w:vertAlign w:val="superscript"/>
        </w:rPr>
      </w:pPr>
      <w:r w:rsidRPr="00206ADA">
        <w:t xml:space="preserve">Around two-thirds of seclusion episodes occur within 48 hours of admission. Services can respond to people’s distress by engaging with </w:t>
      </w:r>
      <w:r>
        <w:t xml:space="preserve">them </w:t>
      </w:r>
      <w:r w:rsidRPr="00206ADA">
        <w:t>and developing an individualised, culturally appropriate support plan as early as possible</w:t>
      </w:r>
      <w:r w:rsidRPr="00B6194E">
        <w:t>.</w:t>
      </w:r>
      <w:r w:rsidRPr="00B6194E">
        <w:rPr>
          <w:rStyle w:val="FootnoteReference"/>
        </w:rPr>
        <w:footnoteReference w:id="92"/>
      </w:r>
      <w:r w:rsidRPr="00BD2F5D">
        <w:rPr>
          <w:vertAlign w:val="superscript"/>
        </w:rPr>
        <w:t>,</w:t>
      </w:r>
      <w:r w:rsidRPr="00B6194E">
        <w:rPr>
          <w:rStyle w:val="FootnoteReference"/>
        </w:rPr>
        <w:footnoteReference w:id="93"/>
      </w:r>
    </w:p>
    <w:p w14:paraId="788683E9" w14:textId="77777777" w:rsidR="00E108A1" w:rsidRPr="0029466F" w:rsidRDefault="00E108A1" w:rsidP="00E108A1"/>
    <w:p w14:paraId="3D0D86A6" w14:textId="13CB5E8E" w:rsidR="00B7548E" w:rsidRDefault="00B7548E" w:rsidP="00E108A1">
      <w:r w:rsidRPr="762B1F84">
        <w:t xml:space="preserve">Situations that a person may find distressing, and </w:t>
      </w:r>
      <w:r>
        <w:t xml:space="preserve">the </w:t>
      </w:r>
      <w:r w:rsidRPr="762B1F84">
        <w:t>support they need</w:t>
      </w:r>
      <w:r>
        <w:t xml:space="preserve"> to deal with those situations</w:t>
      </w:r>
      <w:r w:rsidRPr="762B1F84">
        <w:t xml:space="preserve">, differ from person to person. </w:t>
      </w:r>
      <w:r>
        <w:t>S</w:t>
      </w:r>
      <w:r w:rsidRPr="762B1F84">
        <w:t xml:space="preserve">ervices </w:t>
      </w:r>
      <w:r>
        <w:t xml:space="preserve">therefore need to </w:t>
      </w:r>
      <w:r w:rsidRPr="762B1F84">
        <w:t>develop individualised support plans for supporting people in distress. Subsection 3.2 of Ngā Paewera</w:t>
      </w:r>
      <w:r>
        <w:t>,</w:t>
      </w:r>
      <w:r w:rsidRPr="762B1F84">
        <w:t xml:space="preserve"> </w:t>
      </w:r>
      <w:r>
        <w:t>‘</w:t>
      </w:r>
      <w:r w:rsidRPr="762B1F84">
        <w:t>Taku huarahi ki te oranga</w:t>
      </w:r>
      <w:r>
        <w:t xml:space="preserve"> </w:t>
      </w:r>
      <w:r w:rsidRPr="005901D2">
        <w:t>My pathway to wellbeing</w:t>
      </w:r>
      <w:r>
        <w:t xml:space="preserve">’, sets out the ways in which service providers must support individual pathways to wellbeing, including the </w:t>
      </w:r>
      <w:r>
        <w:lastRenderedPageBreak/>
        <w:t xml:space="preserve">development of care or support plans. This process will be strengthened by a supported decision-making approach (see section 4.2 above). </w:t>
      </w:r>
    </w:p>
    <w:p w14:paraId="55603BC9" w14:textId="0AD4BB5B" w:rsidR="00E108A1" w:rsidRDefault="00E108A1" w:rsidP="00E108A1"/>
    <w:p w14:paraId="4AF36140" w14:textId="7E4D38ED" w:rsidR="00B7548E" w:rsidRDefault="00B7548E" w:rsidP="00E108A1">
      <w:r>
        <w:t xml:space="preserve">Planning may include the use of culturally specific plans, wellness plans, crisis plans, relapse prevention plans and sensory </w:t>
      </w:r>
      <w:r w:rsidRPr="19DF24D4">
        <w:t xml:space="preserve">modulation </w:t>
      </w:r>
      <w:r>
        <w:t>plans. Where a person has an advance directive (see section 4.3 above), this will shape their individual support planning. It is important that services co-develop individualised plans with people and, where appropriate, their wh</w:t>
      </w:r>
      <w:r w:rsidRPr="007022F9">
        <w:t>ā</w:t>
      </w:r>
      <w:r>
        <w:t>nau.</w:t>
      </w:r>
    </w:p>
    <w:p w14:paraId="7723ED25" w14:textId="4B385C45" w:rsidR="00E108A1" w:rsidRDefault="00E108A1" w:rsidP="00E108A1">
      <w:pPr>
        <w:rPr>
          <w:sz w:val="22"/>
          <w:szCs w:val="22"/>
        </w:rPr>
      </w:pPr>
    </w:p>
    <w:p w14:paraId="75E6B102" w14:textId="54A96276" w:rsidR="00B7548E" w:rsidRDefault="00B7548E" w:rsidP="00E108A1">
      <w:r>
        <w:t xml:space="preserve">Specific plans may indicate which situations are likely to cause people distress, which behaviours indicate they need support and which type of support is effective. Planning should also consider any </w:t>
      </w:r>
      <w:r w:rsidRPr="003E6B77">
        <w:t>sensory</w:t>
      </w:r>
      <w:r>
        <w:t xml:space="preserve"> </w:t>
      </w:r>
      <w:r w:rsidRPr="003E6B77">
        <w:t>differences</w:t>
      </w:r>
      <w:r>
        <w:t xml:space="preserve"> </w:t>
      </w:r>
      <w:r w:rsidRPr="003E6B77">
        <w:t>or</w:t>
      </w:r>
      <w:r>
        <w:t xml:space="preserve"> </w:t>
      </w:r>
      <w:r w:rsidRPr="003E6B77">
        <w:t>sensitivities</w:t>
      </w:r>
      <w:r>
        <w:t xml:space="preserve"> the person may have </w:t>
      </w:r>
      <w:r w:rsidRPr="003E6B77">
        <w:t>(for</w:t>
      </w:r>
      <w:r>
        <w:t xml:space="preserve"> </w:t>
      </w:r>
      <w:r w:rsidRPr="003E6B77">
        <w:t>example,</w:t>
      </w:r>
      <w:r>
        <w:t xml:space="preserve"> </w:t>
      </w:r>
      <w:r w:rsidRPr="003E6B77">
        <w:t>people</w:t>
      </w:r>
      <w:r>
        <w:t xml:space="preserve"> </w:t>
      </w:r>
      <w:r w:rsidRPr="003E6B77">
        <w:t>with</w:t>
      </w:r>
      <w:r>
        <w:t xml:space="preserve"> </w:t>
      </w:r>
      <w:r w:rsidRPr="003E6B77">
        <w:t>autism</w:t>
      </w:r>
      <w:r>
        <w:t xml:space="preserve"> </w:t>
      </w:r>
      <w:r w:rsidRPr="003E6B77">
        <w:t>may</w:t>
      </w:r>
      <w:r>
        <w:t xml:space="preserve"> </w:t>
      </w:r>
      <w:r w:rsidRPr="003E6B77">
        <w:t>be</w:t>
      </w:r>
      <w:r>
        <w:t xml:space="preserve"> </w:t>
      </w:r>
      <w:r w:rsidRPr="003E6B77">
        <w:t>distressed</w:t>
      </w:r>
      <w:r>
        <w:t xml:space="preserve"> </w:t>
      </w:r>
      <w:r w:rsidRPr="003E6B77">
        <w:t>by</w:t>
      </w:r>
      <w:r>
        <w:t xml:space="preserve"> </w:t>
      </w:r>
      <w:r w:rsidRPr="003E6B77">
        <w:t>touch)</w:t>
      </w:r>
      <w:r>
        <w:t xml:space="preserve">, as well as substance use issues. This will help to reduce the use of seclusion and restraint where stressful situations can be avoided or managed with greater support, de-escalation techniques, and timely and effective alternatives to seclusion and restraint. </w:t>
      </w:r>
    </w:p>
    <w:p w14:paraId="16FCB0E5" w14:textId="77777777" w:rsidR="00E108A1" w:rsidRDefault="00E108A1" w:rsidP="00E108A1"/>
    <w:p w14:paraId="1131E712" w14:textId="13717D91" w:rsidR="00E108A1" w:rsidRDefault="00B7548E" w:rsidP="00E108A1">
      <w:r>
        <w:t xml:space="preserve">Plans should </w:t>
      </w:r>
      <w:r w:rsidRPr="007E18A4">
        <w:t>include</w:t>
      </w:r>
      <w:r>
        <w:t xml:space="preserve"> </w:t>
      </w:r>
      <w:r w:rsidRPr="007E18A4">
        <w:t>consideration</w:t>
      </w:r>
      <w:r>
        <w:t xml:space="preserve"> </w:t>
      </w:r>
      <w:r w:rsidRPr="007E18A4">
        <w:t>of</w:t>
      </w:r>
      <w:r>
        <w:t xml:space="preserve"> </w:t>
      </w:r>
      <w:r w:rsidRPr="007E18A4">
        <w:t>communication</w:t>
      </w:r>
      <w:r>
        <w:t xml:space="preserve"> </w:t>
      </w:r>
      <w:r w:rsidRPr="007E18A4">
        <w:t>needs</w:t>
      </w:r>
      <w:r>
        <w:t xml:space="preserve"> people </w:t>
      </w:r>
      <w:r w:rsidRPr="007E18A4">
        <w:t>may</w:t>
      </w:r>
      <w:r>
        <w:t xml:space="preserve"> </w:t>
      </w:r>
      <w:r w:rsidRPr="007E18A4">
        <w:t>have,</w:t>
      </w:r>
      <w:r>
        <w:t xml:space="preserve"> </w:t>
      </w:r>
      <w:r w:rsidRPr="007E18A4">
        <w:t>such</w:t>
      </w:r>
      <w:r>
        <w:t xml:space="preserve"> </w:t>
      </w:r>
      <w:r w:rsidRPr="007E18A4">
        <w:t>as</w:t>
      </w:r>
      <w:r>
        <w:t xml:space="preserve"> </w:t>
      </w:r>
      <w:r w:rsidRPr="007E18A4">
        <w:t>whether</w:t>
      </w:r>
      <w:r>
        <w:t xml:space="preserve"> they </w:t>
      </w:r>
      <w:r w:rsidRPr="007E18A4">
        <w:t>need</w:t>
      </w:r>
      <w:r>
        <w:t xml:space="preserve"> </w:t>
      </w:r>
      <w:r w:rsidRPr="007E18A4">
        <w:t>an</w:t>
      </w:r>
      <w:r>
        <w:t xml:space="preserve"> </w:t>
      </w:r>
      <w:r w:rsidRPr="007E18A4">
        <w:t>interpreter</w:t>
      </w:r>
      <w:r>
        <w:t xml:space="preserve"> </w:t>
      </w:r>
      <w:r w:rsidRPr="007E18A4">
        <w:t>to</w:t>
      </w:r>
      <w:r>
        <w:t xml:space="preserve"> </w:t>
      </w:r>
      <w:r w:rsidRPr="007E18A4">
        <w:t>communicate,</w:t>
      </w:r>
      <w:r>
        <w:t xml:space="preserve"> </w:t>
      </w:r>
      <w:r w:rsidRPr="007E18A4">
        <w:t>including</w:t>
      </w:r>
      <w:r>
        <w:t xml:space="preserve"> </w:t>
      </w:r>
      <w:r w:rsidRPr="007E18A4">
        <w:t>for</w:t>
      </w:r>
      <w:r>
        <w:t xml:space="preserve"> </w:t>
      </w:r>
      <w:r w:rsidRPr="007E18A4">
        <w:t>New</w:t>
      </w:r>
      <w:r>
        <w:t xml:space="preserve"> </w:t>
      </w:r>
      <w:r w:rsidRPr="007E18A4">
        <w:t>Zealand</w:t>
      </w:r>
      <w:r>
        <w:t xml:space="preserve"> </w:t>
      </w:r>
      <w:r w:rsidRPr="007E18A4">
        <w:t>Sign</w:t>
      </w:r>
      <w:r>
        <w:t xml:space="preserve"> </w:t>
      </w:r>
      <w:r w:rsidRPr="007E18A4">
        <w:t>Language.</w:t>
      </w:r>
      <w:r>
        <w:t xml:space="preserve"> Services should consider the specific communication needs of p</w:t>
      </w:r>
      <w:r w:rsidRPr="007E18A4">
        <w:t>eople</w:t>
      </w:r>
      <w:r>
        <w:t xml:space="preserve"> </w:t>
      </w:r>
      <w:r w:rsidRPr="007E18A4">
        <w:t>with</w:t>
      </w:r>
      <w:r>
        <w:t xml:space="preserve"> </w:t>
      </w:r>
      <w:r w:rsidRPr="007E18A4">
        <w:t>an</w:t>
      </w:r>
      <w:r>
        <w:t xml:space="preserve"> </w:t>
      </w:r>
      <w:r w:rsidRPr="007E18A4">
        <w:t>intellectual</w:t>
      </w:r>
      <w:r>
        <w:t xml:space="preserve"> </w:t>
      </w:r>
      <w:r w:rsidRPr="007E18A4">
        <w:t>disability</w:t>
      </w:r>
      <w:r>
        <w:t xml:space="preserve"> </w:t>
      </w:r>
      <w:r w:rsidRPr="007E18A4">
        <w:t>or</w:t>
      </w:r>
      <w:r>
        <w:t xml:space="preserve"> </w:t>
      </w:r>
      <w:r w:rsidRPr="007E18A4">
        <w:t>neurodevelopment</w:t>
      </w:r>
      <w:r>
        <w:t xml:space="preserve"> </w:t>
      </w:r>
      <w:r w:rsidRPr="007E18A4">
        <w:t>disorder.</w:t>
      </w:r>
    </w:p>
    <w:p w14:paraId="595D59BE" w14:textId="3A28B185" w:rsidR="00B7548E" w:rsidRPr="00E108A1" w:rsidRDefault="00B7548E" w:rsidP="00E108A1">
      <w:pPr>
        <w:pStyle w:val="Heading2"/>
      </w:pPr>
      <w:bookmarkStart w:id="171" w:name="_Toc117589691"/>
      <w:bookmarkStart w:id="172" w:name="_Toc117589831"/>
      <w:bookmarkStart w:id="173" w:name="_Toc117840599"/>
      <w:bookmarkStart w:id="174" w:name="_Toc118204314"/>
      <w:bookmarkStart w:id="175" w:name="_Toc119584188"/>
      <w:bookmarkStart w:id="176" w:name="_Toc119659475"/>
      <w:bookmarkStart w:id="177" w:name="_Toc119662464"/>
      <w:bookmarkStart w:id="178" w:name="_Toc119682075"/>
      <w:bookmarkStart w:id="179" w:name="_Toc119683456"/>
      <w:bookmarkStart w:id="180" w:name="_Toc120282925"/>
      <w:bookmarkStart w:id="181" w:name="_Toc120703930"/>
      <w:bookmarkStart w:id="182" w:name="_Toc120713442"/>
      <w:bookmarkStart w:id="183" w:name="_Toc120715591"/>
      <w:bookmarkStart w:id="184" w:name="_Toc120862218"/>
      <w:bookmarkStart w:id="185" w:name="_Toc117589692"/>
      <w:bookmarkStart w:id="186" w:name="_Toc117589832"/>
      <w:bookmarkStart w:id="187" w:name="_Toc117840600"/>
      <w:bookmarkStart w:id="188" w:name="_Toc118204315"/>
      <w:bookmarkStart w:id="189" w:name="_Toc119584189"/>
      <w:bookmarkStart w:id="190" w:name="_Toc119659476"/>
      <w:bookmarkStart w:id="191" w:name="_Toc119662465"/>
      <w:bookmarkStart w:id="192" w:name="_Toc119682076"/>
      <w:bookmarkStart w:id="193" w:name="_Toc119683457"/>
      <w:bookmarkStart w:id="194" w:name="_Toc120282926"/>
      <w:bookmarkStart w:id="195" w:name="_Toc120703931"/>
      <w:bookmarkStart w:id="196" w:name="_Toc120713443"/>
      <w:bookmarkStart w:id="197" w:name="_Toc120715592"/>
      <w:bookmarkStart w:id="198" w:name="_Toc120862219"/>
      <w:bookmarkStart w:id="199" w:name="_Toc117589693"/>
      <w:bookmarkStart w:id="200" w:name="_Toc117589833"/>
      <w:bookmarkStart w:id="201" w:name="_Toc117840601"/>
      <w:bookmarkStart w:id="202" w:name="_Toc118204316"/>
      <w:bookmarkStart w:id="203" w:name="_Toc119584190"/>
      <w:bookmarkStart w:id="204" w:name="_Toc119659477"/>
      <w:bookmarkStart w:id="205" w:name="_Toc119662466"/>
      <w:bookmarkStart w:id="206" w:name="_Toc119682077"/>
      <w:bookmarkStart w:id="207" w:name="_Toc119683458"/>
      <w:bookmarkStart w:id="208" w:name="_Toc120282927"/>
      <w:bookmarkStart w:id="209" w:name="_Toc120703932"/>
      <w:bookmarkStart w:id="210" w:name="_Toc120713444"/>
      <w:bookmarkStart w:id="211" w:name="_Toc120715593"/>
      <w:bookmarkStart w:id="212" w:name="_Toc120862220"/>
      <w:bookmarkStart w:id="213" w:name="_Toc117589694"/>
      <w:bookmarkStart w:id="214" w:name="_Toc117589834"/>
      <w:bookmarkStart w:id="215" w:name="_Toc117840602"/>
      <w:bookmarkStart w:id="216" w:name="_Toc118204317"/>
      <w:bookmarkStart w:id="217" w:name="_Toc119584191"/>
      <w:bookmarkStart w:id="218" w:name="_Toc119659478"/>
      <w:bookmarkStart w:id="219" w:name="_Toc119662467"/>
      <w:bookmarkStart w:id="220" w:name="_Toc119682078"/>
      <w:bookmarkStart w:id="221" w:name="_Toc119683459"/>
      <w:bookmarkStart w:id="222" w:name="_Toc120282928"/>
      <w:bookmarkStart w:id="223" w:name="_Toc120703933"/>
      <w:bookmarkStart w:id="224" w:name="_Toc120713445"/>
      <w:bookmarkStart w:id="225" w:name="_Toc120715594"/>
      <w:bookmarkStart w:id="226" w:name="_Toc120862221"/>
      <w:bookmarkStart w:id="227" w:name="_Toc117589695"/>
      <w:bookmarkStart w:id="228" w:name="_Toc117589835"/>
      <w:bookmarkStart w:id="229" w:name="_Toc117840603"/>
      <w:bookmarkStart w:id="230" w:name="_Toc118204318"/>
      <w:bookmarkStart w:id="231" w:name="_Toc119584192"/>
      <w:bookmarkStart w:id="232" w:name="_Toc119659479"/>
      <w:bookmarkStart w:id="233" w:name="_Toc119662468"/>
      <w:bookmarkStart w:id="234" w:name="_Toc119682079"/>
      <w:bookmarkStart w:id="235" w:name="_Toc119683460"/>
      <w:bookmarkStart w:id="236" w:name="_Toc120282929"/>
      <w:bookmarkStart w:id="237" w:name="_Toc120703934"/>
      <w:bookmarkStart w:id="238" w:name="_Toc120713446"/>
      <w:bookmarkStart w:id="239" w:name="_Toc120715595"/>
      <w:bookmarkStart w:id="240" w:name="_Toc120862222"/>
      <w:bookmarkStart w:id="241" w:name="_Toc116573139"/>
      <w:bookmarkStart w:id="242" w:name="_Toc117589696"/>
      <w:bookmarkStart w:id="243" w:name="_Toc117589836"/>
      <w:bookmarkStart w:id="244" w:name="_Toc117840604"/>
      <w:bookmarkStart w:id="245" w:name="_Toc118204319"/>
      <w:bookmarkStart w:id="246" w:name="_Toc119584193"/>
      <w:bookmarkStart w:id="247" w:name="_Toc119659480"/>
      <w:bookmarkStart w:id="248" w:name="_Toc119662469"/>
      <w:bookmarkStart w:id="249" w:name="_Toc119682080"/>
      <w:bookmarkStart w:id="250" w:name="_Toc119683461"/>
      <w:bookmarkStart w:id="251" w:name="_Toc120282930"/>
      <w:bookmarkStart w:id="252" w:name="_Toc120703935"/>
      <w:bookmarkStart w:id="253" w:name="_Toc120713447"/>
      <w:bookmarkStart w:id="254" w:name="_Toc120715596"/>
      <w:bookmarkStart w:id="255" w:name="_Toc120862223"/>
      <w:bookmarkStart w:id="256" w:name="_Toc116573140"/>
      <w:bookmarkStart w:id="257" w:name="_Toc117589697"/>
      <w:bookmarkStart w:id="258" w:name="_Toc117589837"/>
      <w:bookmarkStart w:id="259" w:name="_Toc117840605"/>
      <w:bookmarkStart w:id="260" w:name="_Toc118204320"/>
      <w:bookmarkStart w:id="261" w:name="_Toc119584194"/>
      <w:bookmarkStart w:id="262" w:name="_Toc119659481"/>
      <w:bookmarkStart w:id="263" w:name="_Toc119662470"/>
      <w:bookmarkStart w:id="264" w:name="_Toc119682081"/>
      <w:bookmarkStart w:id="265" w:name="_Toc119683462"/>
      <w:bookmarkStart w:id="266" w:name="_Toc120282931"/>
      <w:bookmarkStart w:id="267" w:name="_Toc120703936"/>
      <w:bookmarkStart w:id="268" w:name="_Toc120713448"/>
      <w:bookmarkStart w:id="269" w:name="_Toc120715597"/>
      <w:bookmarkStart w:id="270" w:name="_Toc120862224"/>
      <w:bookmarkStart w:id="271" w:name="_Toc116573141"/>
      <w:bookmarkStart w:id="272" w:name="_Toc117589698"/>
      <w:bookmarkStart w:id="273" w:name="_Toc117589838"/>
      <w:bookmarkStart w:id="274" w:name="_Toc117840606"/>
      <w:bookmarkStart w:id="275" w:name="_Toc118204321"/>
      <w:bookmarkStart w:id="276" w:name="_Toc119584195"/>
      <w:bookmarkStart w:id="277" w:name="_Toc119659482"/>
      <w:bookmarkStart w:id="278" w:name="_Toc119662471"/>
      <w:bookmarkStart w:id="279" w:name="_Toc119682082"/>
      <w:bookmarkStart w:id="280" w:name="_Toc119683463"/>
      <w:bookmarkStart w:id="281" w:name="_Toc120282932"/>
      <w:bookmarkStart w:id="282" w:name="_Toc120703937"/>
      <w:bookmarkStart w:id="283" w:name="_Toc120713449"/>
      <w:bookmarkStart w:id="284" w:name="_Toc120715598"/>
      <w:bookmarkStart w:id="285" w:name="_Toc120862225"/>
      <w:bookmarkStart w:id="286" w:name="_Toc103152121"/>
      <w:bookmarkStart w:id="287" w:name="_Toc105770641"/>
      <w:bookmarkStart w:id="288" w:name="_Toc131663821"/>
      <w:bookmarkStart w:id="289" w:name="_Toc13235532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E108A1">
        <w:t>Culturally safe support</w:t>
      </w:r>
      <w:bookmarkEnd w:id="286"/>
      <w:bookmarkEnd w:id="287"/>
      <w:bookmarkEnd w:id="288"/>
      <w:bookmarkEnd w:id="289"/>
    </w:p>
    <w:p w14:paraId="6D48B1D3" w14:textId="462EFB74" w:rsidR="00B7548E" w:rsidRDefault="00A45DF0" w:rsidP="00E108A1">
      <w:r w:rsidRPr="00131A76">
        <w:rPr>
          <w:noProof/>
        </w:rPr>
        <mc:AlternateContent>
          <mc:Choice Requires="wps">
            <w:drawing>
              <wp:anchor distT="45720" distB="45720" distL="114300" distR="114300" simplePos="0" relativeHeight="251658245" behindDoc="0" locked="0" layoutInCell="1" hidden="0" allowOverlap="1" wp14:anchorId="296DE1C3" wp14:editId="752FC1EA">
                <wp:simplePos x="0" y="0"/>
                <wp:positionH relativeFrom="column">
                  <wp:posOffset>3516952</wp:posOffset>
                </wp:positionH>
                <wp:positionV relativeFrom="paragraph">
                  <wp:posOffset>60350</wp:posOffset>
                </wp:positionV>
                <wp:extent cx="1658620" cy="1285875"/>
                <wp:effectExtent l="0" t="0" r="17780" b="17780"/>
                <wp:wrapSquare wrapText="bothSides" distT="45720" distB="45720" distL="114300" distR="114300"/>
                <wp:docPr id="244" name="Rectangle 244"/>
                <wp:cNvGraphicFramePr/>
                <a:graphic xmlns:a="http://schemas.openxmlformats.org/drawingml/2006/main">
                  <a:graphicData uri="http://schemas.microsoft.com/office/word/2010/wordprocessingShape">
                    <wps:wsp>
                      <wps:cNvSpPr/>
                      <wps:spPr>
                        <a:xfrm>
                          <a:off x="0" y="0"/>
                          <a:ext cx="1658620" cy="1285875"/>
                        </a:xfrm>
                        <a:prstGeom prst="rect">
                          <a:avLst/>
                        </a:prstGeom>
                        <a:solidFill>
                          <a:srgbClr val="FFFFFF"/>
                        </a:solidFill>
                        <a:ln w="12700" cap="flat" cmpd="sng">
                          <a:solidFill>
                            <a:srgbClr val="0A6AB4"/>
                          </a:solidFill>
                          <a:prstDash val="solid"/>
                          <a:miter lim="800000"/>
                          <a:headEnd type="none" w="sm" len="sm"/>
                          <a:tailEnd type="none" w="sm" len="sm"/>
                        </a:ln>
                      </wps:spPr>
                      <wps:txbx>
                        <w:txbxContent>
                          <w:p w14:paraId="76615BAE" w14:textId="77777777" w:rsidR="00A26CD1" w:rsidRPr="002B544F" w:rsidRDefault="00A26CD1" w:rsidP="00B7548E">
                            <w:pPr>
                              <w:textDirection w:val="btLr"/>
                              <w:rPr>
                                <w:rFonts w:cs="Segoe UI"/>
                              </w:rPr>
                            </w:pPr>
                            <w:r w:rsidRPr="002B544F">
                              <w:rPr>
                                <w:rFonts w:eastAsia="Quattrocento Sans" w:cs="Segoe UI"/>
                                <w:color w:val="000000"/>
                              </w:rPr>
                              <w:t xml:space="preserve">‘Cultural safety benefits all patients and communities, and has a central role in health equity.’ </w:t>
                            </w:r>
                            <w:r w:rsidRPr="002B544F">
                              <w:rPr>
                                <w:rFonts w:eastAsia="Quattrocento Sans" w:cs="Segoe UI"/>
                                <w:i/>
                                <w:color w:val="0070C0"/>
                              </w:rPr>
                              <w:t>Medical Council</w:t>
                            </w:r>
                            <w:r w:rsidRPr="00005A02">
                              <w:rPr>
                                <w:rFonts w:eastAsia="Quattrocento Sans" w:cs="Segoe UI"/>
                                <w:i/>
                                <w:color w:val="0070C0"/>
                              </w:rPr>
                              <w:t xml:space="preserve"> </w:t>
                            </w:r>
                            <w:r>
                              <w:rPr>
                                <w:rFonts w:eastAsia="Quattrocento Sans" w:cs="Segoe UI"/>
                                <w:i/>
                                <w:color w:val="0070C0"/>
                              </w:rPr>
                              <w:t xml:space="preserve">of </w:t>
                            </w:r>
                            <w:r w:rsidRPr="002B544F">
                              <w:rPr>
                                <w:rFonts w:eastAsia="Quattrocento Sans" w:cs="Segoe UI"/>
                                <w:i/>
                                <w:color w:val="0070C0"/>
                              </w:rPr>
                              <w:t>New Zealand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02061B">
              <v:rect id="Rectangle 244" style="position:absolute;margin-left:276.95pt;margin-top:4.75pt;width:130.6pt;height:101.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strokecolor="#0a6ab4" strokeweight="1pt" w14:anchorId="296DE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">
                <v:stroke startarrowwidth="narrow" startarrowlength="short" endarrowwidth="narrow" endarrowlength="short"/>
                <v:textbox inset="2.53958mm,1.2694mm,2.53958mm,1.2694mm">
                  <w:txbxContent>
                    <w:p w:rsidRPr="002B544F" w:rsidR="00A26CD1" w:rsidP="00B7548E" w:rsidRDefault="00A26CD1" w14:paraId="36D4FD21" w14:textId="77777777">
                      <w:pPr>
                        <w:textDirection w:val="btLr"/>
                        <w:rPr>
                          <w:rFonts w:cs="Segoe UI"/>
                        </w:rPr>
                      </w:pPr>
                      <w:r w:rsidRPr="002B544F">
                        <w:rPr>
                          <w:rFonts w:eastAsia="Quattrocento Sans" w:cs="Segoe UI"/>
                          <w:color w:val="000000"/>
                        </w:rPr>
                        <w:t xml:space="preserve">‘Cultural safety benefits all patients and communities, and has a central role in health equity.’ </w:t>
                      </w:r>
                      <w:r w:rsidRPr="002B544F">
                        <w:rPr>
                          <w:rFonts w:eastAsia="Quattrocento Sans" w:cs="Segoe UI"/>
                          <w:i/>
                          <w:color w:val="0070C0"/>
                        </w:rPr>
                        <w:t>Medical Council</w:t>
                      </w:r>
                      <w:r w:rsidRPr="00005A02">
                        <w:rPr>
                          <w:rFonts w:eastAsia="Quattrocento Sans" w:cs="Segoe UI"/>
                          <w:i/>
                          <w:color w:val="0070C0"/>
                        </w:rPr>
                        <w:t xml:space="preserve"> </w:t>
                      </w:r>
                      <w:r>
                        <w:rPr>
                          <w:rFonts w:eastAsia="Quattrocento Sans" w:cs="Segoe UI"/>
                          <w:i/>
                          <w:color w:val="0070C0"/>
                        </w:rPr>
                        <w:t xml:space="preserve">of </w:t>
                      </w:r>
                      <w:r w:rsidRPr="002B544F">
                        <w:rPr>
                          <w:rFonts w:eastAsia="Quattrocento Sans" w:cs="Segoe UI"/>
                          <w:i/>
                          <w:color w:val="0070C0"/>
                        </w:rPr>
                        <w:t>New Zealand</w:t>
                      </w:r>
                    </w:p>
                  </w:txbxContent>
                </v:textbox>
                <w10:wrap type="square"/>
              </v:rect>
            </w:pict>
          </mc:Fallback>
        </mc:AlternateContent>
      </w:r>
      <w:r w:rsidR="00B7548E" w:rsidRPr="0034724D">
        <w:t xml:space="preserve">Staff should be trained in </w:t>
      </w:r>
      <w:r w:rsidR="00B7548E">
        <w:t xml:space="preserve">culturally safe support. Ngā Paerewa defines </w:t>
      </w:r>
      <w:r w:rsidR="00B7548E" w:rsidRPr="00B270D1">
        <w:t>cultural safety in section 0.3</w:t>
      </w:r>
      <w:r w:rsidR="00B7548E">
        <w:t xml:space="preserve"> as follows.</w:t>
      </w:r>
    </w:p>
    <w:p w14:paraId="602635EC" w14:textId="61EAC01D" w:rsidR="00E108A1" w:rsidRDefault="00E108A1" w:rsidP="00E108A1"/>
    <w:p w14:paraId="18DAE9C2" w14:textId="77777777" w:rsidR="00B7548E" w:rsidRDefault="00B7548E" w:rsidP="00E108A1">
      <w:pPr>
        <w:ind w:left="567"/>
      </w:pPr>
      <w:r>
        <w:t>A principle that requires service providers and health care and support workers to examine themselves and the potential impact of their own culture in their interactions with people using a service. To practise cultural safety, service providers and health care and support workers acknowledge and address their own biases, attitudes, assumptions, stereotypes, prejudices, structures, and characteristics that may affect the quality of service provided.</w:t>
      </w:r>
    </w:p>
    <w:p w14:paraId="62812A9B" w14:textId="77777777" w:rsidR="00E108A1" w:rsidRDefault="00E108A1" w:rsidP="00B7548E">
      <w:pPr>
        <w:spacing w:line="276" w:lineRule="auto"/>
        <w:rPr>
          <w:rFonts w:cs="Segoe UI"/>
        </w:rPr>
      </w:pPr>
    </w:p>
    <w:p w14:paraId="214685EE" w14:textId="0B1BF1FE" w:rsidR="00B7548E" w:rsidRDefault="00B7548E" w:rsidP="00E108A1">
      <w:r>
        <w:t>Cultural safety recognises that people have different needs in relation to their cultural identity. It is an essential part of delivering person-centred care and achieving equity for Māori, Pacific peoples</w:t>
      </w:r>
      <w:r>
        <w:rPr>
          <w:rStyle w:val="FootnoteReference"/>
          <w:rFonts w:cs="Segoe UI"/>
        </w:rPr>
        <w:footnoteReference w:id="94"/>
      </w:r>
      <w:r>
        <w:t xml:space="preserve"> and other groups of people who experience health disparities. </w:t>
      </w:r>
      <w:r w:rsidRPr="000B7F86">
        <w:rPr>
          <w:highlight w:val="white"/>
        </w:rPr>
        <w:t>The inclusion of whānau and kaimahi Māori is</w:t>
      </w:r>
      <w:r>
        <w:rPr>
          <w:highlight w:val="white"/>
        </w:rPr>
        <w:t xml:space="preserve"> an</w:t>
      </w:r>
      <w:r w:rsidRPr="000B7F86">
        <w:rPr>
          <w:highlight w:val="white"/>
        </w:rPr>
        <w:t xml:space="preserve"> important </w:t>
      </w:r>
      <w:r>
        <w:rPr>
          <w:highlight w:val="white"/>
        </w:rPr>
        <w:t>part of culturally safe support for tāngata whaiora</w:t>
      </w:r>
      <w:r w:rsidRPr="00494D45">
        <w:rPr>
          <w:highlight w:val="white"/>
        </w:rPr>
        <w:t xml:space="preserve"> Māori. </w:t>
      </w:r>
    </w:p>
    <w:p w14:paraId="4A1F64D4" w14:textId="77777777" w:rsidR="00E108A1" w:rsidRDefault="00E108A1" w:rsidP="00E108A1"/>
    <w:p w14:paraId="298CB5C2" w14:textId="6ED12E2A" w:rsidR="00B7548E" w:rsidRDefault="00B7548E" w:rsidP="00E108A1">
      <w:r>
        <w:t xml:space="preserve">Cultural safety and the need for a cultural assessment is emphasised in Ngā Paerewa (in criteria 3.2.2 and 6.2.1) and the </w:t>
      </w:r>
      <w:r w:rsidRPr="00904A3F">
        <w:rPr>
          <w:i/>
        </w:rPr>
        <w:t xml:space="preserve">Guidelines to the Mental Health Act </w:t>
      </w:r>
      <w:r>
        <w:t xml:space="preserve">(see section 4.1.1: Culturally safe care). </w:t>
      </w:r>
    </w:p>
    <w:p w14:paraId="17FF8E53" w14:textId="1CB710EB" w:rsidR="00E108A1" w:rsidRDefault="00B5302A" w:rsidP="00E108A1">
      <w:r w:rsidRPr="007B6DF3">
        <w:rPr>
          <w:noProof/>
          <w:shd w:val="clear" w:color="auto" w:fill="FFFFFF"/>
        </w:rPr>
        <w:lastRenderedPageBreak/>
        <mc:AlternateContent>
          <mc:Choice Requires="wps">
            <w:drawing>
              <wp:anchor distT="45720" distB="45720" distL="114300" distR="114300" simplePos="0" relativeHeight="251658247" behindDoc="0" locked="0" layoutInCell="1" allowOverlap="1" wp14:anchorId="3AE8F5A1" wp14:editId="4EF8E4C2">
                <wp:simplePos x="0" y="0"/>
                <wp:positionH relativeFrom="column">
                  <wp:posOffset>3257550</wp:posOffset>
                </wp:positionH>
                <wp:positionV relativeFrom="paragraph">
                  <wp:posOffset>176530</wp:posOffset>
                </wp:positionV>
                <wp:extent cx="1845945" cy="1404620"/>
                <wp:effectExtent l="0" t="0" r="20955" b="165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404620"/>
                        </a:xfrm>
                        <a:prstGeom prst="rect">
                          <a:avLst/>
                        </a:prstGeom>
                        <a:solidFill>
                          <a:srgbClr val="FFFFFF"/>
                        </a:solidFill>
                        <a:ln w="12700">
                          <a:solidFill>
                            <a:srgbClr val="0A6AB4"/>
                          </a:solidFill>
                          <a:miter lim="800000"/>
                          <a:headEnd/>
                          <a:tailEnd/>
                        </a:ln>
                      </wps:spPr>
                      <wps:txbx>
                        <w:txbxContent>
                          <w:p w14:paraId="795ED541" w14:textId="77777777" w:rsidR="00A26CD1" w:rsidRPr="00C0450F" w:rsidRDefault="00A26CD1" w:rsidP="00B7548E">
                            <w:pPr>
                              <w:rPr>
                                <w:rFonts w:eastAsia="Quattrocento Sans" w:cs="Segoe UI"/>
                                <w:i/>
                                <w:color w:val="0070C0"/>
                              </w:rPr>
                            </w:pPr>
                            <w:r>
                              <w:rPr>
                                <w:rFonts w:cs="Segoe UI"/>
                                <w:shd w:val="clear" w:color="auto" w:fill="FFFFFF"/>
                              </w:rPr>
                              <w:t>‘</w:t>
                            </w:r>
                            <w:r w:rsidRPr="00FB7D64">
                              <w:rPr>
                                <w:rFonts w:cs="Segoe UI"/>
                                <w:shd w:val="clear" w:color="auto" w:fill="FFFFFF"/>
                              </w:rPr>
                              <w:t>Racism comprises racial prejudice and societal power and manifests in different ways. It results in the unequal distribution of power, privilege, resources and opportunity to produce outcomes that chronically favour, privilege and benefit one group over another. All forms of racism are harmful, and its effects are distinct and not felt equally.</w:t>
                            </w:r>
                            <w:r>
                              <w:rPr>
                                <w:rFonts w:cs="Segoe UI"/>
                                <w:shd w:val="clear" w:color="auto" w:fill="FFFFFF"/>
                              </w:rPr>
                              <w:t xml:space="preserve">’ </w:t>
                            </w:r>
                            <w:r>
                              <w:rPr>
                                <w:rFonts w:eastAsia="Quattrocento Sans" w:cs="Segoe UI"/>
                                <w:i/>
                                <w:color w:val="0070C0"/>
                              </w:rPr>
                              <w:t>Ministry of Health’s w</w:t>
                            </w:r>
                            <w:r w:rsidRPr="00C0450F">
                              <w:rPr>
                                <w:rFonts w:eastAsia="Quattrocento Sans" w:cs="Segoe UI"/>
                                <w:i/>
                                <w:color w:val="0070C0"/>
                              </w:rPr>
                              <w:t>orking definition for racism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5EEC9E3">
              <v:shape id="Text Box 8" style="position:absolute;margin-left:256.5pt;margin-top:13.9pt;width:145.3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3" strokecolor="#0a6ab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" w14:anchorId="3AE8F5A1">
                <v:textbox style="mso-fit-shape-to-text:t">
                  <w:txbxContent>
                    <w:p w:rsidRPr="00C0450F" w:rsidR="00A26CD1" w:rsidP="00B7548E" w:rsidRDefault="00A26CD1" w14:paraId="09BB31C5" w14:textId="77777777">
                      <w:pPr>
                        <w:rPr>
                          <w:rFonts w:eastAsia="Quattrocento Sans" w:cs="Segoe UI"/>
                          <w:i/>
                          <w:color w:val="0070C0"/>
                        </w:rPr>
                      </w:pPr>
                      <w:r>
                        <w:rPr>
                          <w:rFonts w:cs="Segoe UI"/>
                          <w:shd w:val="clear" w:color="auto" w:fill="FFFFFF"/>
                        </w:rPr>
                        <w:t>‘</w:t>
                      </w:r>
                      <w:r w:rsidRPr="00FB7D64">
                        <w:rPr>
                          <w:rFonts w:cs="Segoe UI"/>
                          <w:shd w:val="clear" w:color="auto" w:fill="FFFFFF"/>
                        </w:rPr>
                        <w:t>Racism comprises racial prejudice and societal power and manifests in different ways. It results in the unequal distribution of power, privilege, resources and opportunity to produce outcomes that chronically favour, privilege and benefit one group over another. All forms of racism are harmful, and its effects are distinct and not felt equally.</w:t>
                      </w:r>
                      <w:r>
                        <w:rPr>
                          <w:rFonts w:cs="Segoe UI"/>
                          <w:shd w:val="clear" w:color="auto" w:fill="FFFFFF"/>
                        </w:rPr>
                        <w:t xml:space="preserve">’ </w:t>
                      </w:r>
                      <w:r>
                        <w:rPr>
                          <w:rFonts w:eastAsia="Quattrocento Sans" w:cs="Segoe UI"/>
                          <w:i/>
                          <w:color w:val="0070C0"/>
                        </w:rPr>
                        <w:t>Ministry of Health’s w</w:t>
                      </w:r>
                      <w:r w:rsidRPr="00C0450F">
                        <w:rPr>
                          <w:rFonts w:eastAsia="Quattrocento Sans" w:cs="Segoe UI"/>
                          <w:i/>
                          <w:color w:val="0070C0"/>
                        </w:rPr>
                        <w:t>orking definition for racism</w:t>
                      </w:r>
                    </w:p>
                  </w:txbxContent>
                </v:textbox>
                <w10:wrap type="square"/>
              </v:shape>
            </w:pict>
          </mc:Fallback>
        </mc:AlternateContent>
      </w:r>
    </w:p>
    <w:p w14:paraId="16259318" w14:textId="4B3A7569" w:rsidR="00B7548E" w:rsidRDefault="00B7548E" w:rsidP="00E108A1">
      <w:pPr>
        <w:rPr>
          <w:shd w:val="clear" w:color="auto" w:fill="FFFFFF"/>
        </w:rPr>
      </w:pPr>
      <w:r w:rsidRPr="00C0450F">
        <w:rPr>
          <w:shd w:val="clear" w:color="auto" w:fill="FFFFFF"/>
        </w:rPr>
        <w:t xml:space="preserve">Racism is increasingly recognised as a key determinant of health that results in avoidable and unfair disparities in health outcomes across racial or ethnic groupings. Within Aotearoa New Zealand, racism in the health and disability system and its impact on health outcomes has been well evidenced and researched. Ao Mai te Rā | The Anti-Racism Kaupapa is a </w:t>
      </w:r>
      <w:r>
        <w:rPr>
          <w:shd w:val="clear" w:color="auto" w:fill="FFFFFF"/>
        </w:rPr>
        <w:t>Manatū Hauora</w:t>
      </w:r>
      <w:r w:rsidRPr="00C0450F">
        <w:rPr>
          <w:shd w:val="clear" w:color="auto" w:fill="FFFFFF"/>
        </w:rPr>
        <w:t xml:space="preserve"> initiative to combat racism in the health and disability system. Information and resources are available on the Ministry’s website.</w:t>
      </w:r>
      <w:r>
        <w:rPr>
          <w:rStyle w:val="FootnoteReference"/>
          <w:rFonts w:cs="Segoe UI"/>
          <w:shd w:val="clear" w:color="auto" w:fill="FFFFFF"/>
        </w:rPr>
        <w:footnoteReference w:id="95"/>
      </w:r>
      <w:r w:rsidRPr="00C0450F">
        <w:rPr>
          <w:shd w:val="clear" w:color="auto" w:fill="FFFFFF"/>
        </w:rPr>
        <w:t xml:space="preserve"> </w:t>
      </w:r>
    </w:p>
    <w:p w14:paraId="25C3F257" w14:textId="77777777" w:rsidR="00E108A1" w:rsidRPr="00C0450F" w:rsidRDefault="00E108A1" w:rsidP="00E108A1">
      <w:pPr>
        <w:rPr>
          <w:shd w:val="clear" w:color="auto" w:fill="FFFFFF"/>
        </w:rPr>
      </w:pPr>
    </w:p>
    <w:p w14:paraId="3A88BB5D" w14:textId="6934C1AE" w:rsidR="00B7548E" w:rsidRDefault="00B7548E" w:rsidP="00E108A1">
      <w:r>
        <w:t xml:space="preserve">Understanding systemic racism, our own biases and the way these </w:t>
      </w:r>
      <w:r w:rsidRPr="19DF24D4">
        <w:t>biases</w:t>
      </w:r>
      <w:r>
        <w:t xml:space="preserve"> may affect people in inpatient services is part of culturally safe practice. </w:t>
      </w:r>
    </w:p>
    <w:p w14:paraId="27F71464" w14:textId="77777777" w:rsidR="00E108A1" w:rsidRDefault="00E108A1" w:rsidP="00E108A1"/>
    <w:p w14:paraId="2A88A8BE" w14:textId="77777777" w:rsidR="00B7548E" w:rsidRDefault="00B7548E" w:rsidP="00E108A1">
      <w:r>
        <w:t>The HQSC has developed e-learning resources on understanding bias in health care.</w:t>
      </w:r>
      <w:r w:rsidRPr="00145063">
        <w:rPr>
          <w:vertAlign w:val="superscript"/>
        </w:rPr>
        <w:footnoteReference w:id="96"/>
      </w:r>
      <w:r>
        <w:t xml:space="preserve"> One of these is an e-learning module on implicit bias and best practice developed specifically for mental health and addiction staff; this is available on every service’s learning platform.</w:t>
      </w:r>
    </w:p>
    <w:p w14:paraId="67A54389" w14:textId="77777777" w:rsidR="001A4142" w:rsidRDefault="001A4142" w:rsidP="00E108A1"/>
    <w:p w14:paraId="57BE3F36" w14:textId="0BBCDE35" w:rsidR="00B7548E" w:rsidRDefault="00B7548E" w:rsidP="00E108A1">
      <w:r>
        <w:t>The New Zealand Medical Council is committed to improving cultural safety; some resources are available on the Council’s website.</w:t>
      </w:r>
      <w:r>
        <w:rPr>
          <w:rStyle w:val="FootnoteReference"/>
          <w:rFonts w:cs="Segoe UI"/>
        </w:rPr>
        <w:footnoteReference w:id="97"/>
      </w:r>
      <w:r>
        <w:t xml:space="preserve"> </w:t>
      </w:r>
    </w:p>
    <w:p w14:paraId="610AB357" w14:textId="77777777" w:rsidR="00E108A1" w:rsidRDefault="00E108A1" w:rsidP="00E108A1"/>
    <w:p w14:paraId="388BF1AE" w14:textId="77777777" w:rsidR="00B7548E" w:rsidRDefault="00B7548E" w:rsidP="00E108A1">
      <w:r>
        <w:t xml:space="preserve">Cultural safety may be improved with access to </w:t>
      </w:r>
      <w:sdt>
        <w:sdtPr>
          <w:tag w:val="goog_rdk_28"/>
          <w:id w:val="1410187721"/>
        </w:sdtPr>
        <w:sdtContent/>
      </w:sdt>
      <w:r>
        <w:t xml:space="preserve">cultural supervision, which provides </w:t>
      </w:r>
      <w:sdt>
        <w:sdtPr>
          <w:tag w:val="goog_rdk_29"/>
          <w:id w:val="-1099259553"/>
        </w:sdtPr>
        <w:sdtContent/>
      </w:sdt>
      <w:r>
        <w:t xml:space="preserve">staff members with an opportunity to reflect on their practice of engaging with Māori. </w:t>
      </w:r>
    </w:p>
    <w:p w14:paraId="6BC36BBC" w14:textId="77777777" w:rsidR="00B7548E" w:rsidRPr="00E108A1" w:rsidRDefault="00B7548E" w:rsidP="00E108A1">
      <w:pPr>
        <w:pStyle w:val="Heading3"/>
      </w:pPr>
      <w:bookmarkStart w:id="290" w:name="_Toc131663822"/>
      <w:r w:rsidRPr="00E108A1">
        <w:t>Working with Pacific people</w:t>
      </w:r>
      <w:bookmarkEnd w:id="290"/>
      <w:r w:rsidRPr="00E108A1">
        <w:t xml:space="preserve"> </w:t>
      </w:r>
    </w:p>
    <w:p w14:paraId="43090F19" w14:textId="09B51124" w:rsidR="00B7548E" w:rsidRDefault="00B7548E" w:rsidP="00E108A1">
      <w:r w:rsidRPr="00681397">
        <w:t xml:space="preserve">Pacific people experience seclusion at </w:t>
      </w:r>
      <w:r w:rsidRPr="003E0E16">
        <w:t xml:space="preserve">a significantly higher rate than </w:t>
      </w:r>
      <w:r w:rsidRPr="00681397">
        <w:t xml:space="preserve">non-Pacific </w:t>
      </w:r>
      <w:r>
        <w:t>and</w:t>
      </w:r>
      <w:r w:rsidRPr="00681397">
        <w:t xml:space="preserve"> non-Māori people. Understanding Pacific culture and its influence on individual preferences and behaviour is </w:t>
      </w:r>
      <w:r>
        <w:t xml:space="preserve">an </w:t>
      </w:r>
      <w:r w:rsidRPr="003E0E16">
        <w:t xml:space="preserve">important </w:t>
      </w:r>
      <w:r>
        <w:t xml:space="preserve">part of </w:t>
      </w:r>
      <w:r w:rsidRPr="00681397">
        <w:t>effectively support</w:t>
      </w:r>
      <w:r w:rsidRPr="003E0E16">
        <w:t>ing</w:t>
      </w:r>
      <w:r w:rsidRPr="00681397">
        <w:t xml:space="preserve"> Pacific people experiencing mental distress. </w:t>
      </w:r>
    </w:p>
    <w:p w14:paraId="58BDFE88" w14:textId="77777777" w:rsidR="00E108A1" w:rsidRDefault="00E108A1" w:rsidP="00E108A1"/>
    <w:p w14:paraId="4D94F90A" w14:textId="59D115F7" w:rsidR="00B7548E" w:rsidRDefault="00B7548E" w:rsidP="00E108A1">
      <w:pPr>
        <w:rPr>
          <w:i/>
          <w:iCs/>
        </w:rPr>
      </w:pPr>
      <w:r w:rsidRPr="00D81B52">
        <w:rPr>
          <w:i/>
          <w:iCs/>
        </w:rPr>
        <w:t>Kia Manawanui</w:t>
      </w:r>
      <w:r>
        <w:t xml:space="preserve"> notes that for Pacific peoples, ‘</w:t>
      </w:r>
      <w:r w:rsidRPr="009C1385">
        <w:t>wellbeing encompasses mental, physical, spiritual, family, environmental, cultural and ancestral components, and includes cultural values that strengthen family and individual wellbeing, such as respect, reciprocity, collectivism and a focus on relationships.</w:t>
      </w:r>
      <w:r>
        <w:t>’</w:t>
      </w:r>
      <w:r>
        <w:rPr>
          <w:rStyle w:val="FootnoteReference"/>
          <w:rFonts w:cs="Segoe UI"/>
        </w:rPr>
        <w:footnoteReference w:id="98"/>
      </w:r>
      <w:r w:rsidRPr="00D33FBD">
        <w:rPr>
          <w:i/>
          <w:iCs/>
        </w:rPr>
        <w:t xml:space="preserve"> </w:t>
      </w:r>
    </w:p>
    <w:p w14:paraId="454481F1" w14:textId="77777777" w:rsidR="00E108A1" w:rsidRDefault="00E108A1" w:rsidP="00E108A1">
      <w:pPr>
        <w:rPr>
          <w:i/>
          <w:iCs/>
        </w:rPr>
      </w:pPr>
    </w:p>
    <w:p w14:paraId="6722CEFF" w14:textId="77777777" w:rsidR="00B7548E" w:rsidRPr="005255F3" w:rsidRDefault="00B7548E" w:rsidP="00E108A1">
      <w:r w:rsidRPr="005255F3">
        <w:rPr>
          <w:i/>
          <w:iCs/>
        </w:rPr>
        <w:lastRenderedPageBreak/>
        <w:t>Kia Manawanui</w:t>
      </w:r>
      <w:r w:rsidRPr="005255F3">
        <w:t xml:space="preserve"> promotes tailored responses for Pacific peoples, in line with the principles and aims set out in </w:t>
      </w:r>
      <w:r w:rsidRPr="003722DF">
        <w:rPr>
          <w:i/>
          <w:iCs/>
        </w:rPr>
        <w:t>Ola Manuia: Pacific Health and Wellbeing Action Plan 2020–2025</w:t>
      </w:r>
      <w:r w:rsidRPr="005255F3">
        <w:rPr>
          <w:rStyle w:val="Hyperlink"/>
          <w:rFonts w:cs="Segoe UI"/>
          <w:i/>
          <w:iCs/>
        </w:rPr>
        <w:t>.</w:t>
      </w:r>
      <w:r w:rsidRPr="005255F3">
        <w:rPr>
          <w:rStyle w:val="FootnoteReference"/>
          <w:rFonts w:cs="Segoe UI"/>
        </w:rPr>
        <w:footnoteReference w:id="99"/>
      </w:r>
    </w:p>
    <w:p w14:paraId="3D6BE8B9" w14:textId="77777777" w:rsidR="00B7548E" w:rsidRPr="00E108A1" w:rsidRDefault="00B7548E" w:rsidP="00E108A1">
      <w:pPr>
        <w:pStyle w:val="Heading3"/>
      </w:pPr>
      <w:bookmarkStart w:id="291" w:name="_Toc131663823"/>
      <w:r w:rsidRPr="00E108A1">
        <w:t>Respect for cultural identity</w:t>
      </w:r>
      <w:bookmarkEnd w:id="291"/>
      <w:r w:rsidRPr="00E108A1">
        <w:t xml:space="preserve"> </w:t>
      </w:r>
    </w:p>
    <w:p w14:paraId="6FCBE41C" w14:textId="7039D2E3" w:rsidR="00B7548E" w:rsidRDefault="00B7548E" w:rsidP="00E108A1">
      <w:pPr>
        <w:rPr>
          <w:color w:val="000000"/>
        </w:rPr>
      </w:pPr>
      <w:r>
        <w:t>Cultural identity is an important aspect of wellbeing and recovery. Section 5 of t</w:t>
      </w:r>
      <w:r w:rsidRPr="007022F9">
        <w:t xml:space="preserve">he Mental Health Act requires </w:t>
      </w:r>
      <w:r>
        <w:t>anyone exercising</w:t>
      </w:r>
      <w:r w:rsidRPr="007022F9">
        <w:t xml:space="preserve"> powers </w:t>
      </w:r>
      <w:r>
        <w:t xml:space="preserve">under </w:t>
      </w:r>
      <w:r w:rsidRPr="007022F9">
        <w:t xml:space="preserve">the Act </w:t>
      </w:r>
      <w:r>
        <w:t xml:space="preserve">in respect of a person to exercise that power </w:t>
      </w:r>
      <w:r w:rsidRPr="007022F9">
        <w:t xml:space="preserve">‘with proper respect </w:t>
      </w:r>
      <w:r w:rsidRPr="007022F9">
        <w:rPr>
          <w:color w:val="000000"/>
        </w:rPr>
        <w:t>for the person’s cultural and ethnic identity, language, and religious or ethical beliefs</w:t>
      </w:r>
      <w:r>
        <w:rPr>
          <w:color w:val="000000"/>
        </w:rPr>
        <w:t>.’</w:t>
      </w:r>
    </w:p>
    <w:p w14:paraId="755C5495" w14:textId="77777777" w:rsidR="00E108A1" w:rsidRPr="007022F9" w:rsidRDefault="00E108A1" w:rsidP="00E108A1">
      <w:pPr>
        <w:rPr>
          <w:color w:val="000000"/>
        </w:rPr>
      </w:pPr>
    </w:p>
    <w:p w14:paraId="7BFAFD61" w14:textId="7A7DD0AF" w:rsidR="00B7548E" w:rsidRDefault="00B7548E" w:rsidP="00E108A1">
      <w:pPr>
        <w:rPr>
          <w:szCs w:val="21"/>
        </w:rPr>
      </w:pPr>
      <w:r>
        <w:rPr>
          <w:szCs w:val="21"/>
        </w:rPr>
        <w:t>S</w:t>
      </w:r>
      <w:r w:rsidRPr="000B7F86">
        <w:rPr>
          <w:szCs w:val="21"/>
        </w:rPr>
        <w:t xml:space="preserve">ection 65 of the Mental Health Act </w:t>
      </w:r>
      <w:r>
        <w:rPr>
          <w:szCs w:val="21"/>
        </w:rPr>
        <w:t>provides</w:t>
      </w:r>
      <w:r w:rsidRPr="000B7F86">
        <w:rPr>
          <w:szCs w:val="21"/>
        </w:rPr>
        <w:t xml:space="preserve"> that ‘Every patient is entitled to be dealt with in a manner that accords with the spirit and intent of </w:t>
      </w:r>
      <w:hyperlink r:id="rId25" w:anchor="DLM262785">
        <w:r w:rsidRPr="000B7F86">
          <w:rPr>
            <w:szCs w:val="21"/>
          </w:rPr>
          <w:t>section 5</w:t>
        </w:r>
      </w:hyperlink>
      <w:r w:rsidRPr="000B7F86">
        <w:rPr>
          <w:szCs w:val="21"/>
        </w:rPr>
        <w:t>.’</w:t>
      </w:r>
      <w:r w:rsidRPr="000B7F86">
        <w:rPr>
          <w:szCs w:val="21"/>
          <w:highlight w:val="white"/>
        </w:rPr>
        <w:t xml:space="preserve"> </w:t>
      </w:r>
    </w:p>
    <w:p w14:paraId="47BBB59F" w14:textId="77777777" w:rsidR="00E108A1" w:rsidRDefault="00E108A1" w:rsidP="00E108A1">
      <w:pPr>
        <w:rPr>
          <w:szCs w:val="21"/>
        </w:rPr>
      </w:pPr>
    </w:p>
    <w:p w14:paraId="66D77224" w14:textId="07336BE8" w:rsidR="00B7548E" w:rsidRDefault="00B7548E" w:rsidP="00E108A1">
      <w:pPr>
        <w:rPr>
          <w:rFonts w:cs="Segoe UI"/>
          <w:szCs w:val="21"/>
          <w:shd w:val="clear" w:color="auto" w:fill="FFFFFF"/>
        </w:rPr>
      </w:pPr>
      <w:r w:rsidRPr="004E2E5A">
        <w:rPr>
          <w:rFonts w:cs="Segoe UI"/>
          <w:szCs w:val="21"/>
        </w:rPr>
        <w:t xml:space="preserve">Services should refer to </w:t>
      </w:r>
      <w:r w:rsidRPr="004E2E5A">
        <w:rPr>
          <w:rFonts w:cs="Segoe UI"/>
          <w:szCs w:val="21"/>
          <w:shd w:val="clear" w:color="auto" w:fill="FFFFFF"/>
        </w:rPr>
        <w:t>section 4.1.3</w:t>
      </w:r>
      <w:r>
        <w:rPr>
          <w:rFonts w:cs="Segoe UI"/>
          <w:szCs w:val="21"/>
          <w:shd w:val="clear" w:color="auto" w:fill="FFFFFF"/>
        </w:rPr>
        <w:t xml:space="preserve"> of </w:t>
      </w:r>
      <w:r w:rsidRPr="004E2E5A">
        <w:rPr>
          <w:rFonts w:cs="Segoe UI"/>
          <w:szCs w:val="21"/>
        </w:rPr>
        <w:t xml:space="preserve">the </w:t>
      </w:r>
      <w:r w:rsidRPr="004E2E5A">
        <w:rPr>
          <w:rFonts w:cs="Segoe UI"/>
          <w:i/>
          <w:iCs/>
          <w:szCs w:val="21"/>
          <w:shd w:val="clear" w:color="auto" w:fill="FFFFFF"/>
        </w:rPr>
        <w:t>Guidelines to the Mental Health Act</w:t>
      </w:r>
      <w:r w:rsidRPr="004E2E5A">
        <w:rPr>
          <w:rFonts w:cs="Segoe UI"/>
          <w:szCs w:val="21"/>
          <w:shd w:val="clear" w:color="auto" w:fill="FFFFFF"/>
        </w:rPr>
        <w:t xml:space="preserve"> for guidance on respecting cultural identity and personal beliefs. This includes guidance on respecting a person’s sexual orientation and gender identity. In addition, </w:t>
      </w:r>
      <w:r>
        <w:rPr>
          <w:rFonts w:cs="Segoe UI"/>
          <w:szCs w:val="21"/>
          <w:shd w:val="clear" w:color="auto" w:fill="FFFFFF"/>
        </w:rPr>
        <w:t xml:space="preserve">they should refer to </w:t>
      </w:r>
      <w:r w:rsidRPr="004E2E5A">
        <w:rPr>
          <w:rFonts w:cs="Segoe UI"/>
          <w:i/>
          <w:iCs/>
          <w:szCs w:val="21"/>
        </w:rPr>
        <w:t>Supporting Aotearoa’s Rainbow People: A practical guide for mental health professionals</w:t>
      </w:r>
      <w:r w:rsidRPr="004E2E5A">
        <w:rPr>
          <w:rFonts w:cs="Segoe UI"/>
          <w:szCs w:val="21"/>
        </w:rPr>
        <w:t>.</w:t>
      </w:r>
      <w:r w:rsidRPr="0014471E">
        <w:rPr>
          <w:rStyle w:val="FootnoteReference"/>
          <w:rFonts w:cs="Segoe UI"/>
          <w:szCs w:val="21"/>
        </w:rPr>
        <w:footnoteReference w:id="100"/>
      </w:r>
      <w:r w:rsidRPr="004E2E5A">
        <w:rPr>
          <w:rFonts w:cs="Segoe UI"/>
          <w:szCs w:val="21"/>
          <w:shd w:val="clear" w:color="auto" w:fill="FFFFFF"/>
        </w:rPr>
        <w:t xml:space="preserve"> </w:t>
      </w:r>
    </w:p>
    <w:p w14:paraId="5ABF6046" w14:textId="77777777" w:rsidR="00E108A1" w:rsidRDefault="00E108A1" w:rsidP="00E108A1">
      <w:pPr>
        <w:rPr>
          <w:rFonts w:cs="Segoe UI"/>
          <w:szCs w:val="21"/>
          <w:shd w:val="clear" w:color="auto" w:fill="FFFFFF"/>
        </w:rPr>
      </w:pPr>
    </w:p>
    <w:p w14:paraId="7242AB50" w14:textId="7ADD31B9" w:rsidR="00B7548E" w:rsidRDefault="00B7548E" w:rsidP="00E108A1">
      <w:pPr>
        <w:rPr>
          <w:rFonts w:cs="Segoe UI"/>
          <w:szCs w:val="21"/>
          <w:shd w:val="clear" w:color="auto" w:fill="FFFFFF"/>
        </w:rPr>
      </w:pPr>
      <w:r>
        <w:rPr>
          <w:rFonts w:cs="Segoe UI"/>
          <w:szCs w:val="21"/>
          <w:shd w:val="clear" w:color="auto" w:fill="FFFFFF"/>
        </w:rPr>
        <w:t xml:space="preserve">Respecting someone’s culture and identity is fundamental; it applies to all the approaches outlined in these guidelines.  </w:t>
      </w:r>
    </w:p>
    <w:p w14:paraId="02B30CE9" w14:textId="77777777" w:rsidR="00B7548E" w:rsidRPr="00E108A1" w:rsidRDefault="00B7548E" w:rsidP="00E108A1">
      <w:pPr>
        <w:pStyle w:val="Heading2"/>
      </w:pPr>
      <w:bookmarkStart w:id="292" w:name="_Toc103152122"/>
      <w:bookmarkStart w:id="293" w:name="_Toc105770642"/>
      <w:bookmarkStart w:id="294" w:name="_Toc131663824"/>
      <w:bookmarkStart w:id="295" w:name="_Toc132355325"/>
      <w:r w:rsidRPr="00E108A1">
        <w:t xml:space="preserve">Welcoming </w:t>
      </w:r>
      <w:bookmarkEnd w:id="292"/>
      <w:bookmarkEnd w:id="293"/>
      <w:r w:rsidRPr="00E108A1">
        <w:t>people and their whānau on admission</w:t>
      </w:r>
      <w:bookmarkEnd w:id="294"/>
      <w:bookmarkEnd w:id="295"/>
    </w:p>
    <w:p w14:paraId="2A02E90A" w14:textId="54734724" w:rsidR="00B7548E" w:rsidRDefault="00B7548E" w:rsidP="00B5302A">
      <w:pPr>
        <w:ind w:right="-286"/>
      </w:pPr>
      <w:r>
        <w:t>Welcoming people and their whānau on admission using tikanga processes and in a way that maintains people’s mana and dignity can result in better outcomes. Māori and Pacific peoples may be more likely to access services that are welcoming and culturally safe.</w:t>
      </w:r>
    </w:p>
    <w:p w14:paraId="657D08F1" w14:textId="77777777" w:rsidR="00E108A1" w:rsidRDefault="00E108A1" w:rsidP="00B5302A">
      <w:pPr>
        <w:ind w:right="-286"/>
      </w:pPr>
    </w:p>
    <w:p w14:paraId="4CB2E66C" w14:textId="08CCEFBA" w:rsidR="00B7548E" w:rsidRDefault="00B7548E" w:rsidP="00B5302A">
      <w:pPr>
        <w:ind w:right="-286"/>
      </w:pPr>
      <w:r>
        <w:t>A welcome or pōwhiri process helps</w:t>
      </w:r>
      <w:r w:rsidRPr="00651DC8">
        <w:t xml:space="preserve"> create a safe environment</w:t>
      </w:r>
      <w:r>
        <w:t>,</w:t>
      </w:r>
      <w:r w:rsidRPr="00651DC8">
        <w:t xml:space="preserve"> and starts </w:t>
      </w:r>
      <w:r>
        <w:t xml:space="preserve">people’s </w:t>
      </w:r>
      <w:r w:rsidRPr="00651DC8">
        <w:t>healing journey.</w:t>
      </w:r>
      <w:r>
        <w:t xml:space="preserve"> This can be achieved by being thoughtful about how staff greet tāngata whaiora on their arrival. A large team of staff may be intimidating. </w:t>
      </w:r>
      <w:r>
        <w:rPr>
          <w:sz w:val="22"/>
          <w:szCs w:val="22"/>
        </w:rPr>
        <w:t>S</w:t>
      </w:r>
      <w:r>
        <w:t>imple actions like offering someone a drink or kai can give a message of manaakitanga (respect and caring).</w:t>
      </w:r>
    </w:p>
    <w:p w14:paraId="391574CF" w14:textId="77777777" w:rsidR="00E108A1" w:rsidRDefault="00E108A1" w:rsidP="00B5302A">
      <w:pPr>
        <w:ind w:right="-286"/>
      </w:pPr>
    </w:p>
    <w:p w14:paraId="063E9A26" w14:textId="072EF28F" w:rsidR="00B7548E" w:rsidRDefault="00B7548E" w:rsidP="00B5302A">
      <w:pPr>
        <w:ind w:right="-286"/>
      </w:pPr>
      <w:r>
        <w:t xml:space="preserve">Whakawhanaungatanga (getting to know each other) is an important way of establishing a connection with another person. To ensure a safe and supportive admission, staff should introduce themselves to tāngata whaiora, clearly explain who will be involved in their assessment, care, and treatment. </w:t>
      </w:r>
      <w:r w:rsidRPr="00FB129E">
        <w:t>Peer support workers should be involved in welcoming new admissions whenever possible.</w:t>
      </w:r>
    </w:p>
    <w:p w14:paraId="2F1C04C2" w14:textId="77777777" w:rsidR="00E108A1" w:rsidRDefault="00E108A1" w:rsidP="00B5302A">
      <w:pPr>
        <w:ind w:right="-286"/>
      </w:pPr>
    </w:p>
    <w:p w14:paraId="2AAC6046" w14:textId="77777777" w:rsidR="00B7548E" w:rsidRPr="004D4CE1" w:rsidRDefault="00B7548E" w:rsidP="00B5302A">
      <w:pPr>
        <w:ind w:right="-286"/>
      </w:pPr>
      <w:r>
        <w:t>In this context, s</w:t>
      </w:r>
      <w:r w:rsidRPr="004D4CE1">
        <w:t xml:space="preserve">uggestions from the Zero Seclusion: Safety and Dignity for all champions include: </w:t>
      </w:r>
    </w:p>
    <w:p w14:paraId="31F6274F" w14:textId="77777777" w:rsidR="00B7548E" w:rsidRPr="004D4CE1" w:rsidRDefault="00B7548E" w:rsidP="00B5302A">
      <w:pPr>
        <w:pStyle w:val="Bullet"/>
        <w:ind w:right="-251"/>
      </w:pPr>
      <w:r>
        <w:lastRenderedPageBreak/>
        <w:t>p</w:t>
      </w:r>
      <w:r w:rsidRPr="004D4CE1">
        <w:t>rovid</w:t>
      </w:r>
      <w:r>
        <w:t>ing</w:t>
      </w:r>
      <w:r w:rsidRPr="004D4CE1">
        <w:t xml:space="preserve"> kai and a welcoming environment</w:t>
      </w:r>
    </w:p>
    <w:p w14:paraId="4B4EDF49" w14:textId="77777777" w:rsidR="00B7548E" w:rsidRPr="004D4CE1" w:rsidRDefault="00B7548E" w:rsidP="00B5302A">
      <w:pPr>
        <w:pStyle w:val="Bullet"/>
        <w:ind w:right="-251"/>
      </w:pPr>
      <w:r>
        <w:t>p</w:t>
      </w:r>
      <w:r w:rsidRPr="004D4CE1">
        <w:t>rovid</w:t>
      </w:r>
      <w:r>
        <w:t>ing</w:t>
      </w:r>
      <w:r w:rsidRPr="004D4CE1">
        <w:t xml:space="preserve"> a quiet, low-stimulus space</w:t>
      </w:r>
    </w:p>
    <w:p w14:paraId="2BD8C857" w14:textId="77777777" w:rsidR="00B7548E" w:rsidRPr="004D4CE1" w:rsidRDefault="00B7548E" w:rsidP="00B5302A">
      <w:pPr>
        <w:pStyle w:val="Bullet"/>
        <w:ind w:right="-251"/>
      </w:pPr>
      <w:r>
        <w:t>l</w:t>
      </w:r>
      <w:r w:rsidRPr="004D4CE1">
        <w:t>isten</w:t>
      </w:r>
      <w:r>
        <w:t>ing</w:t>
      </w:r>
      <w:r w:rsidRPr="004D4CE1">
        <w:t xml:space="preserve"> to people’s concerns and needs – learn</w:t>
      </w:r>
      <w:r>
        <w:t>ing</w:t>
      </w:r>
      <w:r w:rsidRPr="004D4CE1">
        <w:t xml:space="preserve"> what has happened to them</w:t>
      </w:r>
    </w:p>
    <w:p w14:paraId="368A7CC2" w14:textId="77777777" w:rsidR="00B7548E" w:rsidRPr="004D4CE1" w:rsidRDefault="00B7548E" w:rsidP="00B5302A">
      <w:pPr>
        <w:pStyle w:val="Bullet"/>
        <w:ind w:right="-251"/>
      </w:pPr>
      <w:r>
        <w:t>f</w:t>
      </w:r>
      <w:r w:rsidRPr="004D4CE1">
        <w:t>ind</w:t>
      </w:r>
      <w:r>
        <w:t>ing</w:t>
      </w:r>
      <w:r w:rsidRPr="004D4CE1">
        <w:t xml:space="preserve"> out what people’s triggers are</w:t>
      </w:r>
    </w:p>
    <w:p w14:paraId="79E0FF6E" w14:textId="77777777" w:rsidR="00B7548E" w:rsidRPr="004D4CE1" w:rsidRDefault="00B7548E" w:rsidP="00B5302A">
      <w:pPr>
        <w:pStyle w:val="Bullet"/>
        <w:ind w:right="-251"/>
      </w:pPr>
      <w:r>
        <w:t>e</w:t>
      </w:r>
      <w:r w:rsidRPr="004D4CE1">
        <w:t>nsur</w:t>
      </w:r>
      <w:r>
        <w:t>ing</w:t>
      </w:r>
      <w:r w:rsidRPr="004D4CE1">
        <w:t xml:space="preserve"> </w:t>
      </w:r>
      <w:r>
        <w:t xml:space="preserve">people </w:t>
      </w:r>
      <w:r w:rsidRPr="004D4CE1">
        <w:t>understand the admissions process</w:t>
      </w:r>
      <w:r>
        <w:t>, so there are</w:t>
      </w:r>
      <w:r w:rsidRPr="004D4CE1">
        <w:t xml:space="preserve"> no surprises</w:t>
      </w:r>
      <w:r>
        <w:t>.</w:t>
      </w:r>
    </w:p>
    <w:p w14:paraId="58212E30" w14:textId="77777777" w:rsidR="00E108A1" w:rsidRDefault="00E108A1" w:rsidP="00B5302A">
      <w:pPr>
        <w:ind w:right="-251"/>
      </w:pPr>
    </w:p>
    <w:p w14:paraId="47B420D0" w14:textId="0BF5BAB0" w:rsidR="00B7548E" w:rsidRDefault="00B7548E" w:rsidP="00B5302A">
      <w:pPr>
        <w:ind w:right="-144"/>
      </w:pPr>
      <w:r>
        <w:t>Staff should i</w:t>
      </w:r>
      <w:r w:rsidRPr="004D4CE1">
        <w:t>nvolve whānau early on and throughout</w:t>
      </w:r>
      <w:r>
        <w:t xml:space="preserve"> the process</w:t>
      </w:r>
      <w:r w:rsidRPr="004D4CE1">
        <w:t xml:space="preserve">. When possible, </w:t>
      </w:r>
      <w:r>
        <w:t xml:space="preserve">they should </w:t>
      </w:r>
      <w:r w:rsidRPr="004D4CE1">
        <w:t>let whānau stay with their loved one</w:t>
      </w:r>
      <w:r>
        <w:t>.</w:t>
      </w:r>
      <w:r>
        <w:rPr>
          <w:rStyle w:val="FootnoteReference"/>
          <w:rFonts w:cs="Segoe UI"/>
        </w:rPr>
        <w:footnoteReference w:id="101"/>
      </w:r>
      <w:r>
        <w:t xml:space="preserve"> </w:t>
      </w:r>
      <w:r w:rsidRPr="00F254EB">
        <w:t>Māori</w:t>
      </w:r>
      <w:r>
        <w:t xml:space="preserve"> </w:t>
      </w:r>
      <w:r w:rsidRPr="00F254EB">
        <w:t>may</w:t>
      </w:r>
      <w:r>
        <w:t xml:space="preserve"> </w:t>
      </w:r>
      <w:r w:rsidRPr="00F254EB">
        <w:t>benefit</w:t>
      </w:r>
      <w:r>
        <w:t xml:space="preserve"> </w:t>
      </w:r>
      <w:r w:rsidRPr="00F254EB">
        <w:t>from</w:t>
      </w:r>
      <w:r>
        <w:t xml:space="preserve"> </w:t>
      </w:r>
      <w:r w:rsidRPr="00F254EB">
        <w:t>being</w:t>
      </w:r>
      <w:r>
        <w:t xml:space="preserve"> </w:t>
      </w:r>
      <w:r w:rsidRPr="00F254EB">
        <w:t>welcomed</w:t>
      </w:r>
      <w:r>
        <w:t xml:space="preserve"> </w:t>
      </w:r>
      <w:r w:rsidRPr="00F254EB">
        <w:t>with</w:t>
      </w:r>
      <w:r>
        <w:t xml:space="preserve"> </w:t>
      </w:r>
      <w:r w:rsidRPr="00F254EB">
        <w:t>pōwhiri</w:t>
      </w:r>
      <w:r>
        <w:t xml:space="preserve"> </w:t>
      </w:r>
      <w:r w:rsidRPr="00F254EB">
        <w:t>processes,</w:t>
      </w:r>
      <w:r>
        <w:t xml:space="preserve"> </w:t>
      </w:r>
      <w:r w:rsidRPr="00F254EB">
        <w:t>images</w:t>
      </w:r>
      <w:r>
        <w:t xml:space="preserve"> </w:t>
      </w:r>
      <w:r w:rsidRPr="00F254EB">
        <w:t>of</w:t>
      </w:r>
      <w:r>
        <w:t xml:space="preserve"> </w:t>
      </w:r>
      <w:r w:rsidRPr="00F254EB">
        <w:t>journeys</w:t>
      </w:r>
      <w:r>
        <w:t xml:space="preserve"> </w:t>
      </w:r>
      <w:r w:rsidRPr="00F254EB">
        <w:t>and</w:t>
      </w:r>
      <w:r>
        <w:t xml:space="preserve"> </w:t>
      </w:r>
      <w:r w:rsidRPr="00F254EB">
        <w:t>recitation</w:t>
      </w:r>
      <w:r>
        <w:t xml:space="preserve"> </w:t>
      </w:r>
      <w:r w:rsidRPr="00F254EB">
        <w:t>of</w:t>
      </w:r>
      <w:r>
        <w:t xml:space="preserve"> </w:t>
      </w:r>
      <w:r w:rsidRPr="00F254EB">
        <w:t>the</w:t>
      </w:r>
      <w:r>
        <w:t xml:space="preserve"> </w:t>
      </w:r>
      <w:r w:rsidRPr="00F254EB">
        <w:t>pūrākau</w:t>
      </w:r>
      <w:r>
        <w:t xml:space="preserve"> </w:t>
      </w:r>
      <w:r w:rsidRPr="00F254EB">
        <w:t>(Māori</w:t>
      </w:r>
      <w:r>
        <w:t xml:space="preserve"> </w:t>
      </w:r>
      <w:r w:rsidRPr="00F254EB">
        <w:t>creation</w:t>
      </w:r>
      <w:r>
        <w:t xml:space="preserve"> </w:t>
      </w:r>
      <w:r w:rsidRPr="00F254EB">
        <w:t>narratives).</w:t>
      </w:r>
      <w:r>
        <w:t xml:space="preserve"> Tikanga Māori and the presence of k</w:t>
      </w:r>
      <w:r w:rsidRPr="00F254EB">
        <w:t>aum</w:t>
      </w:r>
      <w:r>
        <w:t>ā</w:t>
      </w:r>
      <w:r w:rsidRPr="00F254EB">
        <w:t>tua</w:t>
      </w:r>
      <w:r>
        <w:t xml:space="preserve"> and tohunga can help </w:t>
      </w:r>
      <w:r w:rsidRPr="007E514E">
        <w:t xml:space="preserve">tāngata whaiora Māori </w:t>
      </w:r>
      <w:r>
        <w:t xml:space="preserve">feel welcome, </w:t>
      </w:r>
      <w:r w:rsidRPr="007E514E">
        <w:t>safe and supported</w:t>
      </w:r>
      <w:r>
        <w:t>.</w:t>
      </w:r>
      <w:r w:rsidRPr="007E514E">
        <w:t xml:space="preserve"> </w:t>
      </w:r>
    </w:p>
    <w:p w14:paraId="6D079DD8" w14:textId="77777777" w:rsidR="00E108A1" w:rsidRDefault="00E108A1" w:rsidP="00B5302A">
      <w:pPr>
        <w:ind w:right="-144"/>
      </w:pPr>
    </w:p>
    <w:p w14:paraId="645B9D28" w14:textId="71D3820F" w:rsidR="00B7548E" w:rsidRDefault="00B7548E" w:rsidP="00B5302A">
      <w:pPr>
        <w:ind w:right="-144"/>
      </w:pPr>
      <w:r w:rsidRPr="00F254EB">
        <w:t>Creating</w:t>
      </w:r>
      <w:r>
        <w:t xml:space="preserve"> </w:t>
      </w:r>
      <w:r w:rsidRPr="00F254EB">
        <w:t>a</w:t>
      </w:r>
      <w:r>
        <w:t xml:space="preserve"> </w:t>
      </w:r>
      <w:r w:rsidRPr="00F254EB">
        <w:t>culturally</w:t>
      </w:r>
      <w:r>
        <w:t xml:space="preserve"> </w:t>
      </w:r>
      <w:r w:rsidRPr="00F254EB">
        <w:t>healing</w:t>
      </w:r>
      <w:r>
        <w:t xml:space="preserve"> </w:t>
      </w:r>
      <w:r w:rsidRPr="00F254EB">
        <w:t>environment</w:t>
      </w:r>
      <w:r>
        <w:t xml:space="preserve"> </w:t>
      </w:r>
      <w:r w:rsidRPr="00F254EB">
        <w:t>may</w:t>
      </w:r>
      <w:r>
        <w:t xml:space="preserve"> </w:t>
      </w:r>
      <w:r w:rsidRPr="00F254EB">
        <w:t>include</w:t>
      </w:r>
      <w:r>
        <w:t xml:space="preserve"> </w:t>
      </w:r>
      <w:r w:rsidRPr="00BC5227">
        <w:t xml:space="preserve">having a kaumatua </w:t>
      </w:r>
      <w:r w:rsidRPr="00F254EB">
        <w:t>bless</w:t>
      </w:r>
      <w:r>
        <w:t xml:space="preserve"> </w:t>
      </w:r>
      <w:r w:rsidRPr="00F254EB">
        <w:t>the</w:t>
      </w:r>
      <w:r>
        <w:t xml:space="preserve"> </w:t>
      </w:r>
      <w:r w:rsidRPr="00F254EB">
        <w:t>space</w:t>
      </w:r>
      <w:r>
        <w:t xml:space="preserve"> </w:t>
      </w:r>
      <w:r w:rsidRPr="00F254EB">
        <w:t>and</w:t>
      </w:r>
      <w:r>
        <w:t xml:space="preserve"> </w:t>
      </w:r>
      <w:r w:rsidRPr="00F254EB">
        <w:t>cleans</w:t>
      </w:r>
      <w:r>
        <w:t xml:space="preserve">ing </w:t>
      </w:r>
      <w:r w:rsidRPr="00F254EB">
        <w:t>the</w:t>
      </w:r>
      <w:r>
        <w:t xml:space="preserve"> </w:t>
      </w:r>
      <w:r w:rsidRPr="00F254EB">
        <w:t>energies,</w:t>
      </w:r>
      <w:r>
        <w:t xml:space="preserve"> providing </w:t>
      </w:r>
      <w:r w:rsidRPr="00F254EB">
        <w:t>access</w:t>
      </w:r>
      <w:r>
        <w:t xml:space="preserve"> </w:t>
      </w:r>
      <w:r w:rsidRPr="00F254EB">
        <w:t>to</w:t>
      </w:r>
      <w:r>
        <w:t xml:space="preserve"> </w:t>
      </w:r>
      <w:r w:rsidRPr="00F254EB">
        <w:t>natural</w:t>
      </w:r>
      <w:r>
        <w:t xml:space="preserve"> </w:t>
      </w:r>
      <w:r w:rsidRPr="00F254EB">
        <w:t>greenspaces</w:t>
      </w:r>
      <w:r>
        <w:t xml:space="preserve"> or creating </w:t>
      </w:r>
      <w:r w:rsidRPr="00F254EB">
        <w:t>shared</w:t>
      </w:r>
      <w:r>
        <w:t xml:space="preserve"> </w:t>
      </w:r>
      <w:r w:rsidRPr="00F254EB">
        <w:t>spaces</w:t>
      </w:r>
      <w:r>
        <w:t xml:space="preserve"> </w:t>
      </w:r>
      <w:r w:rsidRPr="00F254EB">
        <w:t>for</w:t>
      </w:r>
      <w:r>
        <w:t xml:space="preserve"> </w:t>
      </w:r>
      <w:r w:rsidRPr="00F254EB">
        <w:t>kai</w:t>
      </w:r>
      <w:r>
        <w:t xml:space="preserve"> </w:t>
      </w:r>
      <w:r w:rsidRPr="00F254EB">
        <w:t>Māori,</w:t>
      </w:r>
      <w:r>
        <w:t xml:space="preserve"> </w:t>
      </w:r>
      <w:r w:rsidRPr="00F254EB">
        <w:t>waiata</w:t>
      </w:r>
      <w:r>
        <w:t xml:space="preserve"> </w:t>
      </w:r>
      <w:r w:rsidRPr="00F254EB">
        <w:t>and</w:t>
      </w:r>
      <w:r>
        <w:t xml:space="preserve"> </w:t>
      </w:r>
      <w:r w:rsidRPr="00F254EB">
        <w:t>other</w:t>
      </w:r>
      <w:r>
        <w:t xml:space="preserve"> </w:t>
      </w:r>
      <w:r w:rsidRPr="00F254EB">
        <w:t>activities</w:t>
      </w:r>
      <w:r w:rsidRPr="00655DCB">
        <w:t>.</w:t>
      </w:r>
      <w:r w:rsidRPr="009B02D8">
        <w:rPr>
          <w:vertAlign w:val="superscript"/>
        </w:rPr>
        <w:footnoteReference w:id="102"/>
      </w:r>
      <w:r>
        <w:t xml:space="preserve"> It is important to </w:t>
      </w:r>
      <w:r w:rsidRPr="00E131B2">
        <w:t>be</w:t>
      </w:r>
      <w:r>
        <w:t xml:space="preserve"> </w:t>
      </w:r>
      <w:r w:rsidRPr="00E131B2">
        <w:t>mindful</w:t>
      </w:r>
      <w:r>
        <w:t xml:space="preserve"> </w:t>
      </w:r>
      <w:r w:rsidRPr="00E131B2">
        <w:t>of</w:t>
      </w:r>
      <w:r>
        <w:t xml:space="preserve"> </w:t>
      </w:r>
      <w:r w:rsidRPr="00E131B2">
        <w:t>the</w:t>
      </w:r>
      <w:r>
        <w:t xml:space="preserve"> </w:t>
      </w:r>
      <w:r w:rsidRPr="00E131B2">
        <w:t>physical</w:t>
      </w:r>
      <w:r>
        <w:t xml:space="preserve"> </w:t>
      </w:r>
      <w:r w:rsidRPr="00E131B2">
        <w:t>environment</w:t>
      </w:r>
      <w:r>
        <w:t xml:space="preserve">; </w:t>
      </w:r>
      <w:r w:rsidRPr="00E131B2">
        <w:t>subtle</w:t>
      </w:r>
      <w:r>
        <w:t xml:space="preserve"> </w:t>
      </w:r>
      <w:r w:rsidRPr="00E131B2">
        <w:t>changes</w:t>
      </w:r>
      <w:r>
        <w:t xml:space="preserve"> such as wall murals or artwork can </w:t>
      </w:r>
      <w:r w:rsidRPr="00E131B2">
        <w:t>ensure</w:t>
      </w:r>
      <w:r>
        <w:t xml:space="preserve"> </w:t>
      </w:r>
      <w:r w:rsidRPr="00E131B2">
        <w:t>this</w:t>
      </w:r>
      <w:r>
        <w:t xml:space="preserve"> </w:t>
      </w:r>
      <w:r w:rsidRPr="00E131B2">
        <w:t>looks</w:t>
      </w:r>
      <w:r>
        <w:t xml:space="preserve"> </w:t>
      </w:r>
      <w:r w:rsidRPr="00E131B2">
        <w:t>more</w:t>
      </w:r>
      <w:r>
        <w:t xml:space="preserve"> </w:t>
      </w:r>
      <w:r w:rsidRPr="00E131B2">
        <w:t>welcoming.</w:t>
      </w:r>
      <w:r>
        <w:t xml:space="preserve"> </w:t>
      </w:r>
    </w:p>
    <w:p w14:paraId="5A3171DC" w14:textId="77777777" w:rsidR="00E108A1" w:rsidRDefault="00E108A1" w:rsidP="00B5302A">
      <w:pPr>
        <w:ind w:right="-144"/>
      </w:pPr>
    </w:p>
    <w:p w14:paraId="29A90051" w14:textId="35E9DADE" w:rsidR="00B7548E" w:rsidRDefault="00B7548E" w:rsidP="00B5302A">
      <w:pPr>
        <w:ind w:right="-144"/>
      </w:pPr>
      <w:r w:rsidRPr="00C119C8">
        <w:t>Including</w:t>
      </w:r>
      <w:r>
        <w:t xml:space="preserve"> </w:t>
      </w:r>
      <w:r w:rsidRPr="00C119C8">
        <w:t>wh</w:t>
      </w:r>
      <w:r w:rsidRPr="00C119C8">
        <w:rPr>
          <w:lang w:val="mi-NZ"/>
        </w:rPr>
        <w:t>ā</w:t>
      </w:r>
      <w:r w:rsidRPr="00C119C8">
        <w:t>nau</w:t>
      </w:r>
      <w:r>
        <w:t xml:space="preserve"> </w:t>
      </w:r>
      <w:r w:rsidRPr="00C119C8">
        <w:t>and/or</w:t>
      </w:r>
      <w:r>
        <w:t xml:space="preserve"> </w:t>
      </w:r>
      <w:r w:rsidRPr="00C119C8">
        <w:t>support</w:t>
      </w:r>
      <w:r>
        <w:t xml:space="preserve"> </w:t>
      </w:r>
      <w:r w:rsidRPr="00C119C8">
        <w:t>people</w:t>
      </w:r>
      <w:r>
        <w:t xml:space="preserve"> </w:t>
      </w:r>
      <w:r w:rsidRPr="00C119C8">
        <w:t>may</w:t>
      </w:r>
      <w:r>
        <w:t xml:space="preserve"> </w:t>
      </w:r>
      <w:r w:rsidRPr="00C119C8">
        <w:t>help</w:t>
      </w:r>
      <w:r>
        <w:t xml:space="preserve"> </w:t>
      </w:r>
      <w:r w:rsidRPr="00C119C8">
        <w:t>people</w:t>
      </w:r>
      <w:r>
        <w:t xml:space="preserve"> </w:t>
      </w:r>
      <w:r w:rsidRPr="00C119C8">
        <w:t>to</w:t>
      </w:r>
      <w:r>
        <w:t xml:space="preserve"> </w:t>
      </w:r>
      <w:r w:rsidRPr="00C119C8">
        <w:t>feel</w:t>
      </w:r>
      <w:r>
        <w:t xml:space="preserve"> </w:t>
      </w:r>
      <w:r w:rsidRPr="00C119C8">
        <w:t>safer and more comfortable.</w:t>
      </w:r>
      <w:r>
        <w:t xml:space="preserve"> Where possible, the provision of an extra bed for a person’s partner or </w:t>
      </w:r>
      <w:r w:rsidRPr="009C0A4B">
        <w:t>whānau</w:t>
      </w:r>
      <w:r>
        <w:t xml:space="preserve"> member may be useful. </w:t>
      </w:r>
      <w:r w:rsidRPr="007022F9">
        <w:t xml:space="preserve">This is especially important for young people and rangatahi Māori. </w:t>
      </w:r>
    </w:p>
    <w:p w14:paraId="677E373C" w14:textId="77777777" w:rsidR="00E108A1" w:rsidRDefault="00E108A1" w:rsidP="00B5302A">
      <w:pPr>
        <w:ind w:right="-144"/>
      </w:pPr>
    </w:p>
    <w:p w14:paraId="537DF5C5" w14:textId="77777777" w:rsidR="00B7548E" w:rsidRPr="0057711D" w:rsidRDefault="00B7548E" w:rsidP="00B5302A">
      <w:pPr>
        <w:ind w:right="-144"/>
      </w:pPr>
      <w:r>
        <w:t>Staff should be aware of people’s experience pre-admission; for example, the way in which they were brought to the inpatient unit, or whether they have used substances – and how this may have contributed to their presentation on admission. This will help facilitate a safe and supportive welcome. Tā</w:t>
      </w:r>
      <w:r w:rsidRPr="00016CF3">
        <w:t xml:space="preserve">ngata whaiora </w:t>
      </w:r>
      <w:r>
        <w:t xml:space="preserve">Māori may wish to have the support of a </w:t>
      </w:r>
      <w:r w:rsidRPr="00016CF3">
        <w:t>tohunga or kaum</w:t>
      </w:r>
      <w:r>
        <w:t>ā</w:t>
      </w:r>
      <w:r w:rsidRPr="00016CF3">
        <w:t xml:space="preserve">tua </w:t>
      </w:r>
      <w:r>
        <w:t xml:space="preserve">during the assessment process. </w:t>
      </w:r>
    </w:p>
    <w:p w14:paraId="224A784F" w14:textId="77777777" w:rsidR="00B7548E" w:rsidRPr="00E108A1" w:rsidRDefault="00B7548E" w:rsidP="00B5302A">
      <w:pPr>
        <w:pStyle w:val="Heading2"/>
        <w:ind w:right="-251"/>
      </w:pPr>
      <w:bookmarkStart w:id="296" w:name="_Toc103152123"/>
      <w:bookmarkStart w:id="297" w:name="_Toc105770643"/>
      <w:bookmarkStart w:id="298" w:name="_Toc131663825"/>
      <w:bookmarkStart w:id="299" w:name="_Toc132355326"/>
      <w:r w:rsidRPr="00E108A1">
        <w:t>Sensory modulation or Whakaāio ā-rongo</w:t>
      </w:r>
      <w:bookmarkEnd w:id="296"/>
      <w:bookmarkEnd w:id="297"/>
      <w:bookmarkEnd w:id="298"/>
      <w:bookmarkEnd w:id="299"/>
    </w:p>
    <w:p w14:paraId="1DF63E33" w14:textId="7019E8AA" w:rsidR="00B7548E" w:rsidRDefault="00B7548E" w:rsidP="00B5302A">
      <w:pPr>
        <w:ind w:right="-144"/>
      </w:pPr>
      <w:r w:rsidRPr="0034724D">
        <w:t xml:space="preserve">Sensory modulation </w:t>
      </w:r>
      <w:r>
        <w:t>or whakaāio ā-rongo</w:t>
      </w:r>
      <w:r w:rsidRPr="0034724D">
        <w:t xml:space="preserve"> is an </w:t>
      </w:r>
      <w:r>
        <w:t>evidence-based,</w:t>
      </w:r>
      <w:r w:rsidRPr="0034724D">
        <w:t xml:space="preserve"> practical approach to support people when </w:t>
      </w:r>
      <w:r>
        <w:t>they are</w:t>
      </w:r>
      <w:r w:rsidRPr="0034724D">
        <w:t xml:space="preserve"> feeling distressed</w:t>
      </w:r>
      <w:r>
        <w:t xml:space="preserve"> and overwhelmed</w:t>
      </w:r>
      <w:r w:rsidRPr="0034724D">
        <w:t xml:space="preserve">. </w:t>
      </w:r>
      <w:r>
        <w:t xml:space="preserve">It involves </w:t>
      </w:r>
      <w:r w:rsidRPr="00856FCE">
        <w:t xml:space="preserve">supporting and guiding people in using </w:t>
      </w:r>
      <w:r>
        <w:t xml:space="preserve">their </w:t>
      </w:r>
      <w:r w:rsidRPr="00856FCE">
        <w:t xml:space="preserve">senses </w:t>
      </w:r>
      <w:r>
        <w:t>(</w:t>
      </w:r>
      <w:r w:rsidRPr="00856FCE">
        <w:t xml:space="preserve">sight, sounds, smells, touch, taste </w:t>
      </w:r>
      <w:r>
        <w:t xml:space="preserve">or </w:t>
      </w:r>
      <w:r w:rsidRPr="00856FCE">
        <w:t>movement</w:t>
      </w:r>
      <w:r>
        <w:t>)</w:t>
      </w:r>
      <w:r w:rsidRPr="00856FCE">
        <w:t xml:space="preserve"> to self-manage and change </w:t>
      </w:r>
      <w:r>
        <w:t xml:space="preserve">their </w:t>
      </w:r>
      <w:r w:rsidRPr="00856FCE">
        <w:t xml:space="preserve">emotional state. Examples of </w:t>
      </w:r>
      <w:r>
        <w:t xml:space="preserve">sensory </w:t>
      </w:r>
      <w:r w:rsidRPr="00856FCE">
        <w:t xml:space="preserve">tools are music, </w:t>
      </w:r>
      <w:r>
        <w:t>aromatherapy</w:t>
      </w:r>
      <w:r w:rsidRPr="00856FCE">
        <w:t xml:space="preserve">, weighted </w:t>
      </w:r>
      <w:r>
        <w:t xml:space="preserve">modalities </w:t>
      </w:r>
      <w:r w:rsidRPr="00856FCE">
        <w:t xml:space="preserve">and </w:t>
      </w:r>
      <w:r>
        <w:t xml:space="preserve">comfortable seating. </w:t>
      </w:r>
      <w:r w:rsidRPr="0034724D">
        <w:t>The approach has been used as one of multiple strategies to successfully reduce seclusion and restraint in mental health unit</w:t>
      </w:r>
      <w:r>
        <w:t>s.</w:t>
      </w:r>
      <w:r>
        <w:rPr>
          <w:rStyle w:val="FootnoteReference"/>
          <w:rFonts w:cs="Segoe UI"/>
        </w:rPr>
        <w:footnoteReference w:id="103"/>
      </w:r>
      <w:r w:rsidRPr="003E437C">
        <w:rPr>
          <w:vertAlign w:val="superscript"/>
        </w:rPr>
        <w:t>,</w:t>
      </w:r>
      <w:r>
        <w:rPr>
          <w:rStyle w:val="FootnoteReference"/>
          <w:rFonts w:cs="Segoe UI"/>
        </w:rPr>
        <w:footnoteReference w:id="104"/>
      </w:r>
      <w:r w:rsidRPr="0034724D">
        <w:t xml:space="preserve"> </w:t>
      </w:r>
      <w:r>
        <w:t>W</w:t>
      </w:r>
      <w:r w:rsidRPr="001416BA">
        <w:t>haka</w:t>
      </w:r>
      <w:r>
        <w:t>ā</w:t>
      </w:r>
      <w:r w:rsidRPr="001416BA">
        <w:t xml:space="preserve">io </w:t>
      </w:r>
      <w:r>
        <w:t>ā</w:t>
      </w:r>
      <w:r w:rsidRPr="001416BA">
        <w:t xml:space="preserve">-rongo has been shown to be beneficial for Māori and their </w:t>
      </w:r>
      <w:r w:rsidRPr="001416BA">
        <w:lastRenderedPageBreak/>
        <w:t>whānau.</w:t>
      </w:r>
      <w:r>
        <w:rPr>
          <w:rStyle w:val="FootnoteReference"/>
          <w:rFonts w:cs="Segoe UI"/>
        </w:rPr>
        <w:footnoteReference w:id="105"/>
      </w:r>
      <w:r>
        <w:rPr>
          <w:rFonts w:ascii="Arial" w:hAnsi="Arial" w:cs="Arial"/>
          <w:color w:val="333333"/>
          <w:shd w:val="clear" w:color="auto" w:fill="FFFFFF"/>
        </w:rPr>
        <w:t xml:space="preserve"> </w:t>
      </w:r>
      <w:r w:rsidRPr="2CC988A9">
        <w:t xml:space="preserve">A designated sensory space </w:t>
      </w:r>
      <w:r>
        <w:t xml:space="preserve">and sensory resources should be available </w:t>
      </w:r>
      <w:r w:rsidRPr="2CC988A9">
        <w:t>in mental health unit</w:t>
      </w:r>
      <w:r>
        <w:t>s</w:t>
      </w:r>
      <w:r w:rsidRPr="2CC988A9">
        <w:t>.</w:t>
      </w:r>
      <w:r>
        <w:t xml:space="preserve"> </w:t>
      </w:r>
    </w:p>
    <w:p w14:paraId="2CFFA2DE" w14:textId="77777777" w:rsidR="00E108A1" w:rsidRPr="0034724D" w:rsidRDefault="00E108A1" w:rsidP="00B5302A">
      <w:pPr>
        <w:ind w:right="-144"/>
        <w:rPr>
          <w:strike/>
        </w:rPr>
      </w:pPr>
    </w:p>
    <w:p w14:paraId="0ABCF9A8" w14:textId="6617E1B5" w:rsidR="00B7548E" w:rsidRDefault="00B7548E" w:rsidP="00B5302A">
      <w:pPr>
        <w:ind w:right="-144"/>
      </w:pPr>
      <w:r w:rsidRPr="0034724D">
        <w:t xml:space="preserve">Staff should be trained in sensory modulation to support </w:t>
      </w:r>
      <w:r>
        <w:t>people</w:t>
      </w:r>
      <w:r w:rsidRPr="0034724D">
        <w:t xml:space="preserve"> </w:t>
      </w:r>
      <w:r>
        <w:t>to manage their</w:t>
      </w:r>
      <w:r w:rsidRPr="0034724D">
        <w:t xml:space="preserve"> distress and develop self-regulation skills. </w:t>
      </w:r>
    </w:p>
    <w:p w14:paraId="3D3ACC66" w14:textId="77777777" w:rsidR="00E108A1" w:rsidRDefault="00E108A1" w:rsidP="00B5302A">
      <w:pPr>
        <w:ind w:right="-144"/>
      </w:pPr>
    </w:p>
    <w:p w14:paraId="0EC24E51" w14:textId="13C03143" w:rsidR="00B7548E" w:rsidRDefault="00B7548E" w:rsidP="00B5302A">
      <w:pPr>
        <w:ind w:right="-144"/>
      </w:pPr>
      <w:r w:rsidRPr="2CC988A9">
        <w:t xml:space="preserve">Staff should work with </w:t>
      </w:r>
      <w:r>
        <w:t>people and, if appropriate, their whānau,</w:t>
      </w:r>
      <w:r w:rsidRPr="2CC988A9">
        <w:t xml:space="preserve"> to identify and create a sensory modulation plan and toolkit </w:t>
      </w:r>
      <w:r>
        <w:t xml:space="preserve">to </w:t>
      </w:r>
      <w:r w:rsidRPr="2CC988A9">
        <w:t xml:space="preserve">support </w:t>
      </w:r>
      <w:r>
        <w:t xml:space="preserve">people </w:t>
      </w:r>
      <w:r w:rsidRPr="2CC988A9">
        <w:t>to self-manage and change their current emotional and behavioural responses to stressful situations. Sensory resources should be considered on an individual basis</w:t>
      </w:r>
      <w:r>
        <w:t>; a</w:t>
      </w:r>
      <w:r w:rsidRPr="2CC988A9">
        <w:t>ll people have different sensory preferences.</w:t>
      </w:r>
    </w:p>
    <w:p w14:paraId="4F2E8066" w14:textId="77777777" w:rsidR="00E108A1" w:rsidRDefault="00E108A1" w:rsidP="00B5302A">
      <w:pPr>
        <w:ind w:right="-144"/>
      </w:pPr>
    </w:p>
    <w:p w14:paraId="4F433A50" w14:textId="4600B793" w:rsidR="00B7548E" w:rsidRDefault="00B7548E" w:rsidP="00B5302A">
      <w:pPr>
        <w:ind w:right="-144"/>
      </w:pPr>
      <w:r>
        <w:t xml:space="preserve">Physical movements can also provide whakaāio ā-rongo and have a calming or grounding effect for tāngata whaiora Māori. More information can be found in Te Pou’s </w:t>
      </w:r>
      <w:r w:rsidRPr="00D97732">
        <w:rPr>
          <w:i/>
          <w:iCs/>
        </w:rPr>
        <w:t>Least</w:t>
      </w:r>
      <w:r w:rsidRPr="00B6194E">
        <w:rPr>
          <w:i/>
        </w:rPr>
        <w:t xml:space="preserve"> restrictive practice </w:t>
      </w:r>
      <w:r w:rsidRPr="00C07085">
        <w:rPr>
          <w:i/>
          <w:iCs/>
        </w:rPr>
        <w:t>evidence update December 2022</w:t>
      </w:r>
      <w:r>
        <w:t>.</w:t>
      </w:r>
      <w:r>
        <w:rPr>
          <w:rStyle w:val="FootnoteReference"/>
          <w:rFonts w:cs="Segoe UI"/>
        </w:rPr>
        <w:footnoteReference w:id="106"/>
      </w:r>
    </w:p>
    <w:p w14:paraId="248F592C" w14:textId="77777777" w:rsidR="00E108A1" w:rsidRPr="0034724D" w:rsidRDefault="00E108A1" w:rsidP="00B5302A">
      <w:pPr>
        <w:ind w:right="-144"/>
      </w:pPr>
    </w:p>
    <w:p w14:paraId="6120F470" w14:textId="2A5CAD80" w:rsidR="00B7548E" w:rsidRDefault="00B7548E" w:rsidP="00B5302A">
      <w:pPr>
        <w:ind w:right="-144"/>
      </w:pPr>
      <w:r>
        <w:t>There are cultural variations in the use of sensory modulation. For example, s</w:t>
      </w:r>
      <w:r w:rsidRPr="00331914">
        <w:t>ensory modulation for tāngata whaiora Māori can come in the form of cultural practices such as haka and waiata.</w:t>
      </w:r>
      <w:r>
        <w:t xml:space="preserve"> Tāngata whaiora Māori have reported feeling safe, being grounded in their bodies, and having an enhanced cultural identity during kapa haka.</w:t>
      </w:r>
      <w:r>
        <w:rPr>
          <w:rStyle w:val="FootnoteReference"/>
          <w:rFonts w:cs="Segoe UI"/>
        </w:rPr>
        <w:footnoteReference w:id="107"/>
      </w:r>
      <w:r>
        <w:t xml:space="preserve"> </w:t>
      </w:r>
    </w:p>
    <w:p w14:paraId="4078CA09" w14:textId="77777777" w:rsidR="00E108A1" w:rsidRPr="00331914" w:rsidRDefault="00E108A1" w:rsidP="00B5302A">
      <w:pPr>
        <w:ind w:right="-144"/>
      </w:pPr>
    </w:p>
    <w:p w14:paraId="484E63AC" w14:textId="77777777" w:rsidR="00B7548E" w:rsidRPr="0034724D" w:rsidRDefault="00B7548E" w:rsidP="00B5302A">
      <w:pPr>
        <w:spacing w:line="276" w:lineRule="auto"/>
        <w:ind w:right="-144"/>
        <w:rPr>
          <w:rFonts w:cs="Segoe UI"/>
        </w:rPr>
      </w:pPr>
      <w:r w:rsidRPr="0034724D">
        <w:rPr>
          <w:rFonts w:cs="Segoe UI"/>
        </w:rPr>
        <w:t xml:space="preserve">More information on the use of sensory modulation can be found on </w:t>
      </w:r>
      <w:r>
        <w:rPr>
          <w:rFonts w:cs="Segoe UI"/>
        </w:rPr>
        <w:t xml:space="preserve">the </w:t>
      </w:r>
      <w:r w:rsidRPr="0034724D">
        <w:rPr>
          <w:rFonts w:cs="Segoe UI"/>
        </w:rPr>
        <w:t>Te Pou</w:t>
      </w:r>
      <w:r>
        <w:rPr>
          <w:rStyle w:val="FootnoteReference"/>
          <w:rFonts w:cs="Segoe UI"/>
        </w:rPr>
        <w:footnoteReference w:id="108"/>
      </w:r>
      <w:r w:rsidRPr="0034724D">
        <w:rPr>
          <w:rFonts w:cs="Segoe UI"/>
        </w:rPr>
        <w:t xml:space="preserve"> and </w:t>
      </w:r>
      <w:r>
        <w:rPr>
          <w:rFonts w:cs="Segoe UI"/>
        </w:rPr>
        <w:t>HQSC</w:t>
      </w:r>
      <w:r>
        <w:rPr>
          <w:rStyle w:val="FootnoteReference"/>
          <w:rFonts w:cs="Segoe UI"/>
        </w:rPr>
        <w:footnoteReference w:id="109"/>
      </w:r>
      <w:r w:rsidRPr="0034724D">
        <w:rPr>
          <w:rFonts w:cs="Segoe UI"/>
        </w:rPr>
        <w:t xml:space="preserve"> websites. </w:t>
      </w:r>
    </w:p>
    <w:p w14:paraId="0252A869" w14:textId="77777777" w:rsidR="00B7548E" w:rsidRPr="00E108A1" w:rsidRDefault="00B7548E" w:rsidP="00B5302A">
      <w:pPr>
        <w:pStyle w:val="Heading3"/>
        <w:ind w:right="-251"/>
      </w:pPr>
      <w:bookmarkStart w:id="300" w:name="_Toc109115937"/>
      <w:bookmarkStart w:id="301" w:name="_Toc109115938"/>
      <w:bookmarkStart w:id="302" w:name="_Toc109115939"/>
      <w:bookmarkStart w:id="303" w:name="_Toc109115940"/>
      <w:bookmarkStart w:id="304" w:name="_Toc103152124"/>
      <w:bookmarkStart w:id="305" w:name="_Toc105770644"/>
      <w:bookmarkEnd w:id="300"/>
      <w:bookmarkEnd w:id="301"/>
      <w:bookmarkEnd w:id="302"/>
      <w:bookmarkEnd w:id="303"/>
      <w:r w:rsidRPr="00E108A1">
        <w:t>Weighted blankets</w:t>
      </w:r>
      <w:bookmarkEnd w:id="304"/>
      <w:bookmarkEnd w:id="305"/>
    </w:p>
    <w:p w14:paraId="38137F57" w14:textId="18F9BFE4" w:rsidR="00B7548E" w:rsidRDefault="00B7548E" w:rsidP="00B5302A">
      <w:pPr>
        <w:ind w:right="-144"/>
        <w:rPr>
          <w:vertAlign w:val="superscript"/>
        </w:rPr>
      </w:pPr>
      <w:r>
        <w:t xml:space="preserve">Weighted blankets are often used as a form of sensory therapy for people experiencing stress or anxiety, as they can have a calming influence and assist with emotional and physical regulation. </w:t>
      </w:r>
      <w:r w:rsidRPr="00F25625">
        <w:t xml:space="preserve">Studies </w:t>
      </w:r>
      <w:r>
        <w:t xml:space="preserve">have </w:t>
      </w:r>
      <w:r w:rsidRPr="00F25625">
        <w:t>demonstrate</w:t>
      </w:r>
      <w:r>
        <w:t>d</w:t>
      </w:r>
      <w:r w:rsidRPr="00F25625">
        <w:t xml:space="preserve"> that</w:t>
      </w:r>
      <w:r>
        <w:t xml:space="preserve"> weighted blankets</w:t>
      </w:r>
      <w:r w:rsidRPr="00F25625">
        <w:t xml:space="preserve"> are safe and effective for reducing anxiety in adult</w:t>
      </w:r>
      <w:r w:rsidRPr="00836FEB">
        <w:t>s within inpatient mental health hospitals</w:t>
      </w:r>
      <w:r>
        <w:t>.</w:t>
      </w:r>
      <w:r>
        <w:rPr>
          <w:rStyle w:val="FootnoteReference"/>
          <w:rFonts w:cs="Segoe UI"/>
        </w:rPr>
        <w:footnoteReference w:id="110"/>
      </w:r>
      <w:r w:rsidRPr="008839B6">
        <w:rPr>
          <w:vertAlign w:val="superscript"/>
        </w:rPr>
        <w:t>,</w:t>
      </w:r>
      <w:r>
        <w:rPr>
          <w:rStyle w:val="FootnoteReference"/>
          <w:rFonts w:cs="Segoe UI"/>
        </w:rPr>
        <w:footnoteReference w:id="111"/>
      </w:r>
    </w:p>
    <w:p w14:paraId="40435396" w14:textId="77777777" w:rsidR="00B5302A" w:rsidRDefault="00B5302A" w:rsidP="00B5302A">
      <w:pPr>
        <w:ind w:right="-144"/>
      </w:pPr>
    </w:p>
    <w:p w14:paraId="5F08F31D" w14:textId="74EBA07F" w:rsidR="00B7548E" w:rsidRDefault="00B7548E" w:rsidP="00B5302A">
      <w:pPr>
        <w:ind w:right="-144"/>
      </w:pPr>
      <w:r>
        <w:t xml:space="preserve">Services should take a trauma-informed approach to the use of weighted blankets; being covered may be re-traumatising for some people. Staff must ensure that people can remove the blanket </w:t>
      </w:r>
      <w:r w:rsidRPr="00655DCB">
        <w:t>o</w:t>
      </w:r>
      <w:r>
        <w:t>n their own and monitor them for any discomfort during their use.</w:t>
      </w:r>
    </w:p>
    <w:p w14:paraId="0E791131" w14:textId="77777777" w:rsidR="00E108A1" w:rsidRDefault="00E108A1" w:rsidP="00B5302A">
      <w:pPr>
        <w:ind w:right="-144"/>
      </w:pPr>
    </w:p>
    <w:p w14:paraId="75638D74" w14:textId="77777777" w:rsidR="00B7548E" w:rsidRDefault="00B7548E" w:rsidP="00B5302A">
      <w:pPr>
        <w:ind w:right="-144"/>
      </w:pPr>
      <w:r>
        <w:lastRenderedPageBreak/>
        <w:t xml:space="preserve">Guidelines for the safe use of weighted blankets can be found in Te Pou’s </w:t>
      </w:r>
      <w:r w:rsidRPr="00B6194E">
        <w:rPr>
          <w:i/>
          <w:iCs/>
        </w:rPr>
        <w:t>L</w:t>
      </w:r>
      <w:r w:rsidRPr="00B6194E">
        <w:rPr>
          <w:i/>
        </w:rPr>
        <w:t>east restrictive practice evidence update</w:t>
      </w:r>
      <w:r>
        <w:t xml:space="preserve"> </w:t>
      </w:r>
      <w:r w:rsidRPr="00885A77">
        <w:rPr>
          <w:i/>
          <w:iCs/>
        </w:rPr>
        <w:t>October 2021</w:t>
      </w:r>
      <w:r w:rsidRPr="00492F3D">
        <w:t>.</w:t>
      </w:r>
      <w:r>
        <w:rPr>
          <w:rStyle w:val="FootnoteReference"/>
          <w:rFonts w:cs="Segoe UI"/>
        </w:rPr>
        <w:footnoteReference w:id="112"/>
      </w:r>
      <w:r>
        <w:t xml:space="preserve"> </w:t>
      </w:r>
    </w:p>
    <w:p w14:paraId="073686E4" w14:textId="77777777" w:rsidR="00B7548E" w:rsidRPr="00B5302A" w:rsidRDefault="00B7548E" w:rsidP="00B5302A">
      <w:pPr>
        <w:pStyle w:val="Heading2"/>
        <w:ind w:right="-251"/>
      </w:pPr>
      <w:bookmarkStart w:id="306" w:name="_Restorative_practice"/>
      <w:bookmarkStart w:id="307" w:name="_Toc103152125"/>
      <w:bookmarkStart w:id="308" w:name="_Toc105770645"/>
      <w:bookmarkStart w:id="309" w:name="_Toc131663826"/>
      <w:bookmarkStart w:id="310" w:name="_Toc132355327"/>
      <w:bookmarkEnd w:id="306"/>
      <w:r w:rsidRPr="00B5302A">
        <w:t>Restorative practice</w:t>
      </w:r>
      <w:bookmarkEnd w:id="307"/>
      <w:bookmarkEnd w:id="308"/>
      <w:bookmarkEnd w:id="309"/>
      <w:bookmarkEnd w:id="310"/>
    </w:p>
    <w:p w14:paraId="51E19418" w14:textId="0E135BB4" w:rsidR="00B7548E" w:rsidRDefault="00B7548E" w:rsidP="00B5302A">
      <w:pPr>
        <w:ind w:right="-144"/>
      </w:pPr>
      <w:r w:rsidRPr="001F25FC">
        <w:t>Restorative</w:t>
      </w:r>
      <w:r>
        <w:t xml:space="preserve"> </w:t>
      </w:r>
      <w:r w:rsidRPr="001F25FC">
        <w:t>practice</w:t>
      </w:r>
      <w:r>
        <w:t xml:space="preserve"> </w:t>
      </w:r>
      <w:r w:rsidRPr="001F25FC">
        <w:t>(also</w:t>
      </w:r>
      <w:r>
        <w:t xml:space="preserve"> </w:t>
      </w:r>
      <w:r w:rsidRPr="001F25FC">
        <w:t>referred</w:t>
      </w:r>
      <w:r>
        <w:t xml:space="preserve"> </w:t>
      </w:r>
      <w:r w:rsidRPr="001F25FC">
        <w:t>to</w:t>
      </w:r>
      <w:r>
        <w:t xml:space="preserve"> </w:t>
      </w:r>
      <w:r w:rsidRPr="001F25FC">
        <w:t>as</w:t>
      </w:r>
      <w:r>
        <w:t xml:space="preserve"> </w:t>
      </w:r>
      <w:r w:rsidRPr="001F25FC">
        <w:t>restorative</w:t>
      </w:r>
      <w:r>
        <w:t xml:space="preserve"> </w:t>
      </w:r>
      <w:r w:rsidRPr="001F25FC">
        <w:t>justice)</w:t>
      </w:r>
      <w:r>
        <w:t xml:space="preserve"> </w:t>
      </w:r>
      <w:r w:rsidRPr="001F25FC">
        <w:t>is</w:t>
      </w:r>
      <w:r>
        <w:t xml:space="preserve"> </w:t>
      </w:r>
      <w:r w:rsidRPr="001F25FC">
        <w:t>an</w:t>
      </w:r>
      <w:r>
        <w:t xml:space="preserve"> </w:t>
      </w:r>
      <w:r w:rsidRPr="001F25FC">
        <w:t>emerging</w:t>
      </w:r>
      <w:r>
        <w:t xml:space="preserve"> </w:t>
      </w:r>
      <w:r w:rsidRPr="001F25FC">
        <w:t>practice</w:t>
      </w:r>
      <w:r>
        <w:t xml:space="preserve"> </w:t>
      </w:r>
      <w:r w:rsidRPr="001F25FC">
        <w:t>within</w:t>
      </w:r>
      <w:r>
        <w:t xml:space="preserve"> </w:t>
      </w:r>
      <w:r w:rsidRPr="001F25FC">
        <w:t>health</w:t>
      </w:r>
      <w:r>
        <w:t xml:space="preserve"> </w:t>
      </w:r>
      <w:r w:rsidRPr="001F25FC">
        <w:t>care.</w:t>
      </w:r>
      <w:r>
        <w:t xml:space="preserve"> </w:t>
      </w:r>
      <w:r w:rsidRPr="001F25FC">
        <w:t>It</w:t>
      </w:r>
      <w:r>
        <w:t xml:space="preserve"> </w:t>
      </w:r>
      <w:r w:rsidRPr="001F25FC">
        <w:t>involves</w:t>
      </w:r>
      <w:r>
        <w:t xml:space="preserve"> </w:t>
      </w:r>
      <w:r w:rsidRPr="001F25FC">
        <w:t>‘a</w:t>
      </w:r>
      <w:r>
        <w:t xml:space="preserve"> </w:t>
      </w:r>
      <w:r w:rsidRPr="001F25FC">
        <w:t>voluntary,</w:t>
      </w:r>
      <w:r>
        <w:t xml:space="preserve"> </w:t>
      </w:r>
      <w:r w:rsidRPr="001F25FC">
        <w:t>relational</w:t>
      </w:r>
      <w:r>
        <w:t xml:space="preserve"> </w:t>
      </w:r>
      <w:r w:rsidRPr="001F25FC">
        <w:t>process</w:t>
      </w:r>
      <w:r>
        <w:t xml:space="preserve"> </w:t>
      </w:r>
      <w:r w:rsidRPr="001F25FC">
        <w:t>whereby</w:t>
      </w:r>
      <w:r>
        <w:t xml:space="preserve"> </w:t>
      </w:r>
      <w:r w:rsidRPr="001F25FC">
        <w:t>those</w:t>
      </w:r>
      <w:r>
        <w:t xml:space="preserve"> </w:t>
      </w:r>
      <w:r w:rsidRPr="001F25FC">
        <w:t>with</w:t>
      </w:r>
      <w:r>
        <w:t xml:space="preserve"> </w:t>
      </w:r>
      <w:r w:rsidRPr="001F25FC">
        <w:t>a</w:t>
      </w:r>
      <w:r>
        <w:t xml:space="preserve"> </w:t>
      </w:r>
      <w:r w:rsidRPr="001F25FC">
        <w:t>personal</w:t>
      </w:r>
      <w:r>
        <w:t xml:space="preserve"> </w:t>
      </w:r>
      <w:r w:rsidRPr="001F25FC">
        <w:t>stake</w:t>
      </w:r>
      <w:r>
        <w:t xml:space="preserve"> </w:t>
      </w:r>
      <w:r w:rsidRPr="001F25FC">
        <w:t>in</w:t>
      </w:r>
      <w:r>
        <w:t xml:space="preserve"> </w:t>
      </w:r>
      <w:r w:rsidRPr="001F25FC">
        <w:t>an</w:t>
      </w:r>
      <w:r>
        <w:t xml:space="preserve"> </w:t>
      </w:r>
      <w:r w:rsidRPr="001F25FC">
        <w:t>offence</w:t>
      </w:r>
      <w:r>
        <w:t xml:space="preserve"> or </w:t>
      </w:r>
      <w:r w:rsidRPr="001F25FC">
        <w:t>conflict</w:t>
      </w:r>
      <w:r>
        <w:t xml:space="preserve"> </w:t>
      </w:r>
      <w:r w:rsidRPr="001F25FC">
        <w:t>or</w:t>
      </w:r>
      <w:r>
        <w:t xml:space="preserve"> </w:t>
      </w:r>
      <w:r w:rsidRPr="001F25FC">
        <w:t>injustice</w:t>
      </w:r>
      <w:r>
        <w:t xml:space="preserve"> </w:t>
      </w:r>
      <w:r w:rsidRPr="001F25FC">
        <w:t>come</w:t>
      </w:r>
      <w:r>
        <w:t xml:space="preserve"> </w:t>
      </w:r>
      <w:r w:rsidRPr="001F25FC">
        <w:t>together,</w:t>
      </w:r>
      <w:r>
        <w:t xml:space="preserve"> </w:t>
      </w:r>
      <w:r w:rsidRPr="001F25FC">
        <w:t>in</w:t>
      </w:r>
      <w:r>
        <w:t xml:space="preserve"> </w:t>
      </w:r>
      <w:r w:rsidRPr="001F25FC">
        <w:t>a</w:t>
      </w:r>
      <w:r>
        <w:t xml:space="preserve"> </w:t>
      </w:r>
      <w:r w:rsidRPr="001F25FC">
        <w:t>safe</w:t>
      </w:r>
      <w:r>
        <w:t xml:space="preserve"> </w:t>
      </w:r>
      <w:r w:rsidRPr="001F25FC">
        <w:t>and</w:t>
      </w:r>
      <w:r>
        <w:t xml:space="preserve"> </w:t>
      </w:r>
      <w:r w:rsidRPr="001F25FC">
        <w:t>respectful</w:t>
      </w:r>
      <w:r>
        <w:t xml:space="preserve"> </w:t>
      </w:r>
      <w:r w:rsidRPr="001F25FC">
        <w:t>environment</w:t>
      </w:r>
      <w:r>
        <w:t>.’</w:t>
      </w:r>
      <w:r w:rsidRPr="001F25FC">
        <w:rPr>
          <w:rStyle w:val="FootnoteReference"/>
          <w:rFonts w:cs="Segoe UI"/>
        </w:rPr>
        <w:footnoteReference w:id="113"/>
      </w:r>
      <w:r>
        <w:t xml:space="preserve"> </w:t>
      </w:r>
    </w:p>
    <w:p w14:paraId="17B1BF04" w14:textId="77777777" w:rsidR="00B5302A" w:rsidRPr="001F25FC" w:rsidRDefault="00B5302A" w:rsidP="00B5302A">
      <w:pPr>
        <w:ind w:right="-144"/>
      </w:pPr>
    </w:p>
    <w:p w14:paraId="55FB508F" w14:textId="71EA7F73" w:rsidR="00B7548E" w:rsidRDefault="00B7548E" w:rsidP="00B5302A">
      <w:pPr>
        <w:ind w:right="-144"/>
      </w:pPr>
      <w:r w:rsidRPr="001F25FC">
        <w:t>Restorative</w:t>
      </w:r>
      <w:r>
        <w:t xml:space="preserve"> </w:t>
      </w:r>
      <w:r w:rsidRPr="001F25FC">
        <w:t>approaches</w:t>
      </w:r>
      <w:r>
        <w:t xml:space="preserve"> </w:t>
      </w:r>
      <w:r w:rsidRPr="001F25FC">
        <w:t>aim</w:t>
      </w:r>
      <w:r>
        <w:t xml:space="preserve"> </w:t>
      </w:r>
      <w:r w:rsidRPr="001F25FC">
        <w:t>for</w:t>
      </w:r>
      <w:r>
        <w:t xml:space="preserve"> </w:t>
      </w:r>
      <w:r w:rsidRPr="001F25FC">
        <w:t>a</w:t>
      </w:r>
      <w:r>
        <w:t xml:space="preserve"> </w:t>
      </w:r>
      <w:r w:rsidRPr="001F25FC">
        <w:t>collective</w:t>
      </w:r>
      <w:r>
        <w:t xml:space="preserve"> </w:t>
      </w:r>
      <w:r w:rsidRPr="001F25FC">
        <w:t>understanding</w:t>
      </w:r>
      <w:r>
        <w:t xml:space="preserve"> of an adverse event, which can help </w:t>
      </w:r>
      <w:r w:rsidRPr="001F25FC">
        <w:t>clarify</w:t>
      </w:r>
      <w:r>
        <w:t xml:space="preserve"> </w:t>
      </w:r>
      <w:r w:rsidRPr="001F25FC">
        <w:t>responsibilities,</w:t>
      </w:r>
      <w:r>
        <w:t xml:space="preserve"> </w:t>
      </w:r>
      <w:r w:rsidRPr="001F25FC">
        <w:t>inform</w:t>
      </w:r>
      <w:r>
        <w:t xml:space="preserve"> </w:t>
      </w:r>
      <w:r w:rsidRPr="001F25FC">
        <w:t>action,</w:t>
      </w:r>
      <w:r>
        <w:t xml:space="preserve"> </w:t>
      </w:r>
      <w:r w:rsidRPr="001F25FC">
        <w:t>and</w:t>
      </w:r>
      <w:r>
        <w:t xml:space="preserve"> </w:t>
      </w:r>
      <w:r w:rsidRPr="001F25FC">
        <w:t>heal</w:t>
      </w:r>
      <w:r>
        <w:t xml:space="preserve"> </w:t>
      </w:r>
      <w:r w:rsidRPr="001F25FC">
        <w:t>individuals</w:t>
      </w:r>
      <w:r>
        <w:t xml:space="preserve"> </w:t>
      </w:r>
      <w:r w:rsidRPr="001F25FC">
        <w:t>and</w:t>
      </w:r>
      <w:r>
        <w:t xml:space="preserve"> </w:t>
      </w:r>
      <w:r w:rsidRPr="001F25FC">
        <w:t>relationships.</w:t>
      </w:r>
      <w:r w:rsidRPr="006C4A05">
        <w:rPr>
          <w:vertAlign w:val="superscript"/>
        </w:rPr>
        <w:footnoteReference w:id="114"/>
      </w:r>
    </w:p>
    <w:p w14:paraId="4C285670" w14:textId="77777777" w:rsidR="00B5302A" w:rsidRPr="006C4A05" w:rsidRDefault="00B5302A" w:rsidP="00B5302A">
      <w:pPr>
        <w:ind w:right="-144"/>
      </w:pPr>
    </w:p>
    <w:p w14:paraId="254E50BF" w14:textId="77777777" w:rsidR="00B7548E" w:rsidRPr="007F6117" w:rsidRDefault="00B7548E" w:rsidP="00B5302A">
      <w:pPr>
        <w:ind w:right="-144"/>
      </w:pPr>
      <w:r w:rsidRPr="006C4A05">
        <w:t>The</w:t>
      </w:r>
      <w:r>
        <w:t xml:space="preserve"> </w:t>
      </w:r>
      <w:r w:rsidRPr="006C4A05">
        <w:t>principles</w:t>
      </w:r>
      <w:r>
        <w:t xml:space="preserve"> </w:t>
      </w:r>
      <w:r w:rsidRPr="006C4A05">
        <w:t>of</w:t>
      </w:r>
      <w:r>
        <w:t xml:space="preserve"> </w:t>
      </w:r>
      <w:r w:rsidRPr="006C4A05">
        <w:t>restorative</w:t>
      </w:r>
      <w:r>
        <w:t xml:space="preserve"> </w:t>
      </w:r>
      <w:r w:rsidRPr="006C4A05">
        <w:t>practice</w:t>
      </w:r>
      <w:r>
        <w:t xml:space="preserve"> </w:t>
      </w:r>
      <w:r w:rsidRPr="006C4A05">
        <w:t>align</w:t>
      </w:r>
      <w:r>
        <w:t xml:space="preserve"> </w:t>
      </w:r>
      <w:r w:rsidRPr="006C4A05">
        <w:t>well</w:t>
      </w:r>
      <w:r>
        <w:t xml:space="preserve"> </w:t>
      </w:r>
      <w:r w:rsidRPr="006C4A05">
        <w:t>with</w:t>
      </w:r>
      <w:r>
        <w:t xml:space="preserve"> </w:t>
      </w:r>
      <w:r w:rsidRPr="006C4A05">
        <w:t>tikanga</w:t>
      </w:r>
      <w:r>
        <w:t xml:space="preserve"> </w:t>
      </w:r>
      <w:r w:rsidRPr="006C4A05">
        <w:t>Māori</w:t>
      </w:r>
      <w:r>
        <w:t xml:space="preserve"> </w:t>
      </w:r>
      <w:r w:rsidRPr="006C4A05">
        <w:t>concepts</w:t>
      </w:r>
      <w:r>
        <w:t xml:space="preserve"> </w:t>
      </w:r>
      <w:r w:rsidRPr="006C4A05">
        <w:t>of</w:t>
      </w:r>
      <w:r>
        <w:t xml:space="preserve"> </w:t>
      </w:r>
      <w:r w:rsidRPr="006C4A05">
        <w:t>justice</w:t>
      </w:r>
      <w:r>
        <w:t xml:space="preserve"> </w:t>
      </w:r>
      <w:r w:rsidRPr="006C4A05">
        <w:t>and</w:t>
      </w:r>
      <w:r>
        <w:t xml:space="preserve"> </w:t>
      </w:r>
      <w:r w:rsidRPr="006C4A05">
        <w:t>collective</w:t>
      </w:r>
      <w:r>
        <w:t xml:space="preserve"> </w:t>
      </w:r>
      <w:r w:rsidRPr="006C4A05">
        <w:t>responsibility.</w:t>
      </w:r>
      <w:r w:rsidRPr="007F6117">
        <w:rPr>
          <w:rStyle w:val="FootnoteReference"/>
          <w:rFonts w:cs="Segoe UI"/>
        </w:rPr>
        <w:footnoteReference w:id="115"/>
      </w:r>
      <w:r>
        <w:t xml:space="preserve"> We strongly encourage services </w:t>
      </w:r>
      <w:r w:rsidRPr="007022F9">
        <w:t xml:space="preserve">to consider the use of restorative practices with </w:t>
      </w:r>
      <w:r>
        <w:t>tāngata whaiora</w:t>
      </w:r>
      <w:r w:rsidRPr="00230A5D">
        <w:t xml:space="preserve"> </w:t>
      </w:r>
      <w:r w:rsidRPr="007022F9">
        <w:t>Māori</w:t>
      </w:r>
      <w:r w:rsidRPr="007022F9">
        <w:rPr>
          <w:rStyle w:val="FootnoteReference"/>
        </w:rPr>
        <w:footnoteReference w:id="116"/>
      </w:r>
      <w:r>
        <w:t xml:space="preserve"> and their whānau. In doing so, services can demonstrate their commitment to working in partnership with Māori. </w:t>
      </w:r>
    </w:p>
    <w:p w14:paraId="18932749" w14:textId="77777777" w:rsidR="00B5302A" w:rsidRDefault="00B5302A" w:rsidP="00B5302A">
      <w:pPr>
        <w:ind w:right="-144"/>
      </w:pPr>
    </w:p>
    <w:p w14:paraId="487C7E36" w14:textId="4288E3AC" w:rsidR="00B7548E" w:rsidRDefault="00B7548E" w:rsidP="00B5302A">
      <w:pPr>
        <w:ind w:right="-144"/>
      </w:pPr>
      <w:r w:rsidRPr="007F6117">
        <w:t>The</w:t>
      </w:r>
      <w:r>
        <w:t xml:space="preserve"> </w:t>
      </w:r>
      <w:r w:rsidRPr="007F6117">
        <w:t>benefits</w:t>
      </w:r>
      <w:r>
        <w:t xml:space="preserve"> </w:t>
      </w:r>
      <w:r w:rsidRPr="007F6117">
        <w:t>of</w:t>
      </w:r>
      <w:r>
        <w:t xml:space="preserve"> </w:t>
      </w:r>
      <w:r w:rsidRPr="007F6117">
        <w:t>restorative</w:t>
      </w:r>
      <w:r>
        <w:t xml:space="preserve"> </w:t>
      </w:r>
      <w:r w:rsidRPr="007F6117">
        <w:t>practice</w:t>
      </w:r>
      <w:r>
        <w:t xml:space="preserve"> </w:t>
      </w:r>
      <w:r w:rsidRPr="007F6117">
        <w:t>to</w:t>
      </w:r>
      <w:r>
        <w:t xml:space="preserve"> </w:t>
      </w:r>
      <w:r w:rsidRPr="007F6117">
        <w:t>people</w:t>
      </w:r>
      <w:r>
        <w:t xml:space="preserve"> </w:t>
      </w:r>
      <w:r w:rsidRPr="007F6117">
        <w:t>who</w:t>
      </w:r>
      <w:r>
        <w:t xml:space="preserve"> </w:t>
      </w:r>
      <w:r w:rsidRPr="007F6117">
        <w:t>have</w:t>
      </w:r>
      <w:r>
        <w:t xml:space="preserve"> </w:t>
      </w:r>
      <w:r w:rsidRPr="007F6117">
        <w:t>suffered</w:t>
      </w:r>
      <w:r>
        <w:t xml:space="preserve"> </w:t>
      </w:r>
      <w:r w:rsidRPr="007F6117">
        <w:t>harm</w:t>
      </w:r>
      <w:r>
        <w:t xml:space="preserve">, or whose whānau has suffered harm, </w:t>
      </w:r>
      <w:r w:rsidRPr="007F6117">
        <w:t>as</w:t>
      </w:r>
      <w:r>
        <w:t xml:space="preserve"> </w:t>
      </w:r>
      <w:r w:rsidRPr="007F6117">
        <w:t>a</w:t>
      </w:r>
      <w:r>
        <w:t xml:space="preserve"> </w:t>
      </w:r>
      <w:r w:rsidRPr="007F6117">
        <w:t>result</w:t>
      </w:r>
      <w:r>
        <w:t xml:space="preserve"> </w:t>
      </w:r>
      <w:r w:rsidRPr="007F6117">
        <w:t>of</w:t>
      </w:r>
      <w:r>
        <w:t xml:space="preserve"> </w:t>
      </w:r>
      <w:r w:rsidRPr="007F6117">
        <w:t>an</w:t>
      </w:r>
      <w:r>
        <w:t xml:space="preserve"> </w:t>
      </w:r>
      <w:r w:rsidRPr="007F6117">
        <w:t>incident</w:t>
      </w:r>
      <w:r>
        <w:t xml:space="preserve"> </w:t>
      </w:r>
      <w:r w:rsidRPr="007F6117">
        <w:t>can</w:t>
      </w:r>
      <w:r>
        <w:t xml:space="preserve"> </w:t>
      </w:r>
      <w:r w:rsidRPr="007F6117">
        <w:t>include</w:t>
      </w:r>
      <w:r>
        <w:t xml:space="preserve"> </w:t>
      </w:r>
      <w:r w:rsidRPr="007F6117">
        <w:t>empowerment,</w:t>
      </w:r>
      <w:r>
        <w:t xml:space="preserve"> </w:t>
      </w:r>
      <w:r w:rsidRPr="007F6117">
        <w:t>strengthened</w:t>
      </w:r>
      <w:r>
        <w:t xml:space="preserve"> </w:t>
      </w:r>
      <w:r w:rsidRPr="007F6117">
        <w:t>relationships,</w:t>
      </w:r>
      <w:r>
        <w:t xml:space="preserve"> </w:t>
      </w:r>
      <w:r w:rsidRPr="007F6117">
        <w:t>healing</w:t>
      </w:r>
      <w:r>
        <w:t xml:space="preserve"> </w:t>
      </w:r>
      <w:r w:rsidRPr="007F6117">
        <w:t>and</w:t>
      </w:r>
      <w:r>
        <w:t xml:space="preserve"> </w:t>
      </w:r>
      <w:r w:rsidRPr="007F6117">
        <w:t>forgiveness.</w:t>
      </w:r>
      <w:r>
        <w:t xml:space="preserve"> </w:t>
      </w:r>
    </w:p>
    <w:p w14:paraId="676E5081" w14:textId="77777777" w:rsidR="00B5302A" w:rsidRPr="007F6117" w:rsidRDefault="00B5302A" w:rsidP="00B5302A">
      <w:pPr>
        <w:ind w:right="-144"/>
      </w:pPr>
    </w:p>
    <w:p w14:paraId="6B02BAC0" w14:textId="51A1757F" w:rsidR="00B7548E" w:rsidRDefault="00B7548E" w:rsidP="00B5302A">
      <w:pPr>
        <w:ind w:right="-144"/>
      </w:pPr>
      <w:r w:rsidRPr="007F6117">
        <w:t>Within</w:t>
      </w:r>
      <w:r>
        <w:t xml:space="preserve"> </w:t>
      </w:r>
      <w:r w:rsidRPr="007F6117">
        <w:t>a</w:t>
      </w:r>
      <w:r>
        <w:t xml:space="preserve"> </w:t>
      </w:r>
      <w:r w:rsidRPr="007F6117">
        <w:t>health</w:t>
      </w:r>
      <w:r>
        <w:t xml:space="preserve"> </w:t>
      </w:r>
      <w:r w:rsidRPr="007F6117">
        <w:t>care</w:t>
      </w:r>
      <w:r>
        <w:t xml:space="preserve"> </w:t>
      </w:r>
      <w:r w:rsidRPr="007F6117">
        <w:t>setting,</w:t>
      </w:r>
      <w:r>
        <w:t xml:space="preserve"> </w:t>
      </w:r>
      <w:r w:rsidRPr="007F6117">
        <w:t>restorative</w:t>
      </w:r>
      <w:r>
        <w:t xml:space="preserve"> </w:t>
      </w:r>
      <w:r w:rsidRPr="007F6117">
        <w:t>approaches</w:t>
      </w:r>
      <w:r>
        <w:t xml:space="preserve"> </w:t>
      </w:r>
      <w:r w:rsidRPr="007F6117">
        <w:t>have</w:t>
      </w:r>
      <w:r>
        <w:t xml:space="preserve"> </w:t>
      </w:r>
      <w:r w:rsidRPr="007F6117">
        <w:t>been</w:t>
      </w:r>
      <w:r>
        <w:t xml:space="preserve"> </w:t>
      </w:r>
      <w:r w:rsidRPr="007F6117">
        <w:t>shown</w:t>
      </w:r>
      <w:r>
        <w:t xml:space="preserve"> </w:t>
      </w:r>
      <w:r w:rsidRPr="007F6117">
        <w:t>to</w:t>
      </w:r>
      <w:r>
        <w:t xml:space="preserve"> </w:t>
      </w:r>
      <w:r w:rsidRPr="007F6117">
        <w:t>create</w:t>
      </w:r>
      <w:r>
        <w:t xml:space="preserve"> </w:t>
      </w:r>
      <w:r w:rsidRPr="007F6117">
        <w:t>a</w:t>
      </w:r>
      <w:r>
        <w:t xml:space="preserve"> </w:t>
      </w:r>
      <w:r w:rsidRPr="007F6117">
        <w:t>more</w:t>
      </w:r>
      <w:r>
        <w:t xml:space="preserve"> </w:t>
      </w:r>
      <w:r w:rsidRPr="007F6117">
        <w:t>open</w:t>
      </w:r>
      <w:r>
        <w:t xml:space="preserve"> </w:t>
      </w:r>
      <w:r w:rsidRPr="007F6117">
        <w:t>and</w:t>
      </w:r>
      <w:r>
        <w:t xml:space="preserve"> </w:t>
      </w:r>
      <w:r w:rsidRPr="007F6117">
        <w:t>trusting</w:t>
      </w:r>
      <w:r>
        <w:t xml:space="preserve"> </w:t>
      </w:r>
      <w:r w:rsidRPr="007F6117">
        <w:t>culture,</w:t>
      </w:r>
      <w:r>
        <w:t xml:space="preserve"> </w:t>
      </w:r>
      <w:r w:rsidRPr="007F6117">
        <w:t>and</w:t>
      </w:r>
      <w:r>
        <w:t xml:space="preserve"> </w:t>
      </w:r>
      <w:r w:rsidRPr="007F6117">
        <w:t>have</w:t>
      </w:r>
      <w:r>
        <w:t xml:space="preserve"> </w:t>
      </w:r>
      <w:r w:rsidRPr="007F6117">
        <w:t>resulted</w:t>
      </w:r>
      <w:r>
        <w:t xml:space="preserve"> </w:t>
      </w:r>
      <w:r w:rsidRPr="007F6117">
        <w:t>in</w:t>
      </w:r>
      <w:r>
        <w:t xml:space="preserve"> </w:t>
      </w:r>
      <w:r w:rsidRPr="007F6117">
        <w:t>increased</w:t>
      </w:r>
      <w:r>
        <w:t xml:space="preserve"> </w:t>
      </w:r>
      <w:r w:rsidRPr="007F6117">
        <w:t>engagement,</w:t>
      </w:r>
      <w:r>
        <w:t xml:space="preserve"> increased </w:t>
      </w:r>
      <w:r w:rsidRPr="007F6117">
        <w:t>psychological</w:t>
      </w:r>
      <w:r>
        <w:t xml:space="preserve"> </w:t>
      </w:r>
      <w:r w:rsidRPr="007F6117">
        <w:t>safety</w:t>
      </w:r>
      <w:r>
        <w:t xml:space="preserve"> </w:t>
      </w:r>
      <w:r w:rsidRPr="007F6117">
        <w:t>and</w:t>
      </w:r>
      <w:r>
        <w:t xml:space="preserve"> </w:t>
      </w:r>
      <w:r w:rsidRPr="007F6117">
        <w:t>reduced</w:t>
      </w:r>
      <w:r>
        <w:t xml:space="preserve"> </w:t>
      </w:r>
      <w:r w:rsidRPr="007F6117">
        <w:t>stress</w:t>
      </w:r>
      <w:r>
        <w:t xml:space="preserve"> </w:t>
      </w:r>
      <w:r w:rsidRPr="007F6117">
        <w:t>for</w:t>
      </w:r>
      <w:r>
        <w:t xml:space="preserve"> </w:t>
      </w:r>
      <w:r w:rsidRPr="007F6117">
        <w:t>staff.</w:t>
      </w:r>
      <w:r w:rsidRPr="007F6117">
        <w:rPr>
          <w:rStyle w:val="FootnoteReference"/>
          <w:rFonts w:cs="Segoe UI"/>
        </w:rPr>
        <w:footnoteReference w:id="117"/>
      </w:r>
    </w:p>
    <w:p w14:paraId="3A25636D" w14:textId="77777777" w:rsidR="00B5302A" w:rsidRPr="007F6117" w:rsidRDefault="00B5302A" w:rsidP="00B5302A">
      <w:pPr>
        <w:ind w:right="-144"/>
      </w:pPr>
    </w:p>
    <w:p w14:paraId="61AAF10C" w14:textId="4A1CC605" w:rsidR="00B5302A" w:rsidRDefault="00B7548E" w:rsidP="00B5302A">
      <w:pPr>
        <w:ind w:right="-144"/>
      </w:pPr>
      <w:r w:rsidRPr="007F6117">
        <w:t>The</w:t>
      </w:r>
      <w:r>
        <w:t xml:space="preserve"> HQSC </w:t>
      </w:r>
      <w:r w:rsidRPr="007F6117">
        <w:t>has</w:t>
      </w:r>
      <w:r>
        <w:t xml:space="preserve"> </w:t>
      </w:r>
      <w:r w:rsidRPr="007F6117">
        <w:t>promoted</w:t>
      </w:r>
      <w:r>
        <w:t xml:space="preserve"> </w:t>
      </w:r>
      <w:r w:rsidRPr="007F6117">
        <w:t>restorative</w:t>
      </w:r>
      <w:r>
        <w:t xml:space="preserve"> </w:t>
      </w:r>
      <w:r w:rsidRPr="007F6117">
        <w:t>practices</w:t>
      </w:r>
      <w:r>
        <w:t xml:space="preserve"> </w:t>
      </w:r>
      <w:r w:rsidRPr="007F6117">
        <w:t>as</w:t>
      </w:r>
      <w:r>
        <w:t xml:space="preserve"> </w:t>
      </w:r>
      <w:r w:rsidRPr="007F6117">
        <w:t>a</w:t>
      </w:r>
      <w:r>
        <w:t xml:space="preserve"> </w:t>
      </w:r>
      <w:r w:rsidRPr="007F6117">
        <w:t>way</w:t>
      </w:r>
      <w:r>
        <w:t xml:space="preserve"> </w:t>
      </w:r>
      <w:r w:rsidRPr="007F6117">
        <w:t>of</w:t>
      </w:r>
      <w:r>
        <w:t xml:space="preserve"> </w:t>
      </w:r>
      <w:r w:rsidRPr="007F6117">
        <w:t>responding</w:t>
      </w:r>
      <w:r>
        <w:t xml:space="preserve"> </w:t>
      </w:r>
      <w:r w:rsidRPr="007F6117">
        <w:t>to</w:t>
      </w:r>
      <w:r>
        <w:t xml:space="preserve"> </w:t>
      </w:r>
      <w:r w:rsidRPr="007F6117">
        <w:t>adverse</w:t>
      </w:r>
      <w:r>
        <w:t xml:space="preserve"> </w:t>
      </w:r>
      <w:r w:rsidRPr="007F6117">
        <w:t>events</w:t>
      </w:r>
      <w:r>
        <w:t xml:space="preserve"> </w:t>
      </w:r>
      <w:r w:rsidRPr="007F6117">
        <w:t>in</w:t>
      </w:r>
      <w:r>
        <w:t xml:space="preserve"> </w:t>
      </w:r>
      <w:r w:rsidRPr="007F6117">
        <w:t>health</w:t>
      </w:r>
      <w:r>
        <w:t xml:space="preserve"> </w:t>
      </w:r>
      <w:r w:rsidRPr="007F6117">
        <w:t>care</w:t>
      </w:r>
      <w:r>
        <w:t xml:space="preserve"> </w:t>
      </w:r>
      <w:r w:rsidRPr="007F6117">
        <w:t>settings.</w:t>
      </w:r>
      <w:r>
        <w:t xml:space="preserve"> </w:t>
      </w:r>
      <w:r w:rsidRPr="007F6117">
        <w:t>Information</w:t>
      </w:r>
      <w:r>
        <w:t xml:space="preserve"> </w:t>
      </w:r>
      <w:r w:rsidRPr="007F6117">
        <w:t>and</w:t>
      </w:r>
      <w:r>
        <w:t xml:space="preserve"> </w:t>
      </w:r>
      <w:r w:rsidRPr="007F6117">
        <w:t>resources</w:t>
      </w:r>
      <w:r>
        <w:t xml:space="preserve"> </w:t>
      </w:r>
      <w:r w:rsidRPr="007F6117">
        <w:t>are</w:t>
      </w:r>
      <w:r>
        <w:t xml:space="preserve"> </w:t>
      </w:r>
      <w:r w:rsidRPr="007F6117">
        <w:t>available</w:t>
      </w:r>
      <w:r>
        <w:t xml:space="preserve"> </w:t>
      </w:r>
      <w:r w:rsidRPr="007F6117">
        <w:t>on</w:t>
      </w:r>
      <w:r>
        <w:t xml:space="preserve"> its </w:t>
      </w:r>
      <w:r w:rsidRPr="007F6117">
        <w:t>website.</w:t>
      </w:r>
      <w:r>
        <w:rPr>
          <w:rStyle w:val="FootnoteReference"/>
          <w:rFonts w:cs="Segoe UI"/>
        </w:rPr>
        <w:footnoteReference w:id="118"/>
      </w:r>
      <w:r>
        <w:t xml:space="preserve"> </w:t>
      </w:r>
      <w:r w:rsidRPr="007F6117">
        <w:t>A</w:t>
      </w:r>
      <w:r>
        <w:t xml:space="preserve"> </w:t>
      </w:r>
      <w:r w:rsidRPr="007F6117">
        <w:t>restorative</w:t>
      </w:r>
      <w:r>
        <w:t xml:space="preserve"> </w:t>
      </w:r>
      <w:r w:rsidRPr="007F6117">
        <w:t>approach</w:t>
      </w:r>
      <w:r>
        <w:t xml:space="preserve"> is likely to </w:t>
      </w:r>
      <w:r w:rsidRPr="007F6117">
        <w:t>help</w:t>
      </w:r>
      <w:r>
        <w:t xml:space="preserve"> </w:t>
      </w:r>
      <w:r w:rsidRPr="007F6117">
        <w:t>services</w:t>
      </w:r>
      <w:r>
        <w:t xml:space="preserve"> </w:t>
      </w:r>
      <w:r w:rsidRPr="007F6117">
        <w:t>conduct</w:t>
      </w:r>
      <w:r>
        <w:t xml:space="preserve"> </w:t>
      </w:r>
      <w:r w:rsidRPr="007F6117">
        <w:t>a</w:t>
      </w:r>
      <w:r>
        <w:t xml:space="preserve"> </w:t>
      </w:r>
      <w:r w:rsidRPr="007F6117">
        <w:t>meaningful,</w:t>
      </w:r>
      <w:r>
        <w:t xml:space="preserve"> </w:t>
      </w:r>
      <w:r w:rsidRPr="007F6117">
        <w:t>person-</w:t>
      </w:r>
      <w:r>
        <w:t xml:space="preserve"> </w:t>
      </w:r>
      <w:r w:rsidRPr="007F6117">
        <w:t>and</w:t>
      </w:r>
      <w:r>
        <w:t xml:space="preserve"> </w:t>
      </w:r>
      <w:r w:rsidRPr="007F6117">
        <w:t>whānau-centred</w:t>
      </w:r>
      <w:r>
        <w:t xml:space="preserve"> </w:t>
      </w:r>
      <w:r w:rsidRPr="007F6117">
        <w:t>debrief</w:t>
      </w:r>
      <w:r>
        <w:t xml:space="preserve"> </w:t>
      </w:r>
      <w:r w:rsidRPr="007F6117">
        <w:t>after</w:t>
      </w:r>
      <w:r>
        <w:t xml:space="preserve"> </w:t>
      </w:r>
      <w:r w:rsidRPr="007F6117">
        <w:t>episodes</w:t>
      </w:r>
      <w:r>
        <w:t xml:space="preserve"> </w:t>
      </w:r>
      <w:r w:rsidRPr="007F6117">
        <w:t>of</w:t>
      </w:r>
      <w:r>
        <w:t xml:space="preserve"> </w:t>
      </w:r>
      <w:r w:rsidRPr="007F6117">
        <w:t>emergency</w:t>
      </w:r>
      <w:r>
        <w:t xml:space="preserve"> </w:t>
      </w:r>
      <w:r w:rsidRPr="007F6117">
        <w:t>restraint</w:t>
      </w:r>
      <w:r>
        <w:t xml:space="preserve"> </w:t>
      </w:r>
      <w:r w:rsidRPr="007F6117">
        <w:t>and</w:t>
      </w:r>
      <w:r>
        <w:t xml:space="preserve"> </w:t>
      </w:r>
      <w:r w:rsidRPr="007F6117">
        <w:t>seclusion,</w:t>
      </w:r>
      <w:r>
        <w:t xml:space="preserve"> </w:t>
      </w:r>
      <w:r w:rsidRPr="007F6117">
        <w:t>as</w:t>
      </w:r>
      <w:r>
        <w:t xml:space="preserve"> </w:t>
      </w:r>
      <w:r w:rsidRPr="007F6117">
        <w:t>Ngā</w:t>
      </w:r>
      <w:r>
        <w:t xml:space="preserve"> </w:t>
      </w:r>
      <w:r w:rsidRPr="007F6117">
        <w:t>Paerewa</w:t>
      </w:r>
      <w:r>
        <w:t xml:space="preserve"> requires </w:t>
      </w:r>
      <w:r w:rsidRPr="007F6117">
        <w:t>(</w:t>
      </w:r>
      <w:r>
        <w:t xml:space="preserve">in criteria 6.2.5 and 6.4.5). </w:t>
      </w:r>
    </w:p>
    <w:p w14:paraId="4CE59332" w14:textId="77777777" w:rsidR="001A4142" w:rsidRDefault="001A4142" w:rsidP="00B5302A">
      <w:pPr>
        <w:ind w:right="-144"/>
      </w:pPr>
    </w:p>
    <w:p w14:paraId="79CD2C13" w14:textId="75EE4A33" w:rsidR="00B7548E" w:rsidRPr="00B5302A" w:rsidRDefault="00B7548E" w:rsidP="00B5302A">
      <w:pPr>
        <w:pStyle w:val="Heading2"/>
        <w:ind w:right="-251"/>
        <w:rPr>
          <w:rStyle w:val="Heading2Char"/>
          <w:b/>
        </w:rPr>
      </w:pPr>
      <w:bookmarkStart w:id="311" w:name="_Toc131663827"/>
      <w:bookmarkStart w:id="312" w:name="_Toc132355328"/>
      <w:r w:rsidRPr="00B5302A">
        <w:rPr>
          <w:rStyle w:val="Heading2Char"/>
          <w:b/>
        </w:rPr>
        <w:lastRenderedPageBreak/>
        <w:t>The role of whānau and family</w:t>
      </w:r>
      <w:bookmarkEnd w:id="311"/>
      <w:bookmarkEnd w:id="312"/>
    </w:p>
    <w:p w14:paraId="4F20C18C" w14:textId="6056E147" w:rsidR="00B7548E" w:rsidRDefault="00B7548E" w:rsidP="00B5302A">
      <w:pPr>
        <w:ind w:right="-2"/>
        <w:rPr>
          <w:color w:val="000000"/>
        </w:rPr>
      </w:pPr>
      <w:r>
        <w:t>Section 5 of t</w:t>
      </w:r>
      <w:r w:rsidRPr="004E2E5A">
        <w:t xml:space="preserve">he Mental Health Act requires </w:t>
      </w:r>
      <w:r>
        <w:t xml:space="preserve">anyone exercising </w:t>
      </w:r>
      <w:r w:rsidRPr="004E2E5A">
        <w:t xml:space="preserve">powers </w:t>
      </w:r>
      <w:r>
        <w:t>under</w:t>
      </w:r>
      <w:r w:rsidRPr="004E2E5A">
        <w:t xml:space="preserve"> the Mental Health Act </w:t>
      </w:r>
      <w:r>
        <w:t xml:space="preserve">in respect of a person to exercise those powers </w:t>
      </w:r>
      <w:r w:rsidRPr="004E2E5A">
        <w:t>‘</w:t>
      </w:r>
      <w:r w:rsidRPr="004E2E5A">
        <w:rPr>
          <w:color w:val="000000"/>
        </w:rPr>
        <w:t xml:space="preserve">with proper recognition of the importance and significance to the person of the person’s ties with </w:t>
      </w:r>
      <w:r>
        <w:rPr>
          <w:color w:val="000000"/>
        </w:rPr>
        <w:t>his or her</w:t>
      </w:r>
      <w:r w:rsidRPr="004E2E5A">
        <w:rPr>
          <w:color w:val="000000"/>
        </w:rPr>
        <w:t xml:space="preserve"> family, whānau, hapū, iwi, and family group’ and ‘proper recognition of the contribution those ties make to the person’s wellbeing</w:t>
      </w:r>
      <w:r>
        <w:rPr>
          <w:color w:val="000000"/>
        </w:rPr>
        <w:t>’</w:t>
      </w:r>
      <w:r w:rsidRPr="004E2E5A">
        <w:rPr>
          <w:color w:val="000000"/>
        </w:rPr>
        <w:t>.</w:t>
      </w:r>
    </w:p>
    <w:p w14:paraId="000D3EC2" w14:textId="77777777" w:rsidR="00B5302A" w:rsidRPr="004E2E5A" w:rsidRDefault="00B5302A" w:rsidP="00B5302A">
      <w:pPr>
        <w:ind w:right="-2"/>
        <w:rPr>
          <w:color w:val="000000"/>
        </w:rPr>
      </w:pPr>
    </w:p>
    <w:p w14:paraId="36AE0063" w14:textId="4D293992" w:rsidR="00B7548E" w:rsidRDefault="00B7548E" w:rsidP="00B5302A">
      <w:pPr>
        <w:ind w:right="-2"/>
        <w:rPr>
          <w:rFonts w:cs="Segoe UI"/>
        </w:rPr>
      </w:pPr>
      <w:r>
        <w:rPr>
          <w:rFonts w:cs="Segoe UI"/>
        </w:rPr>
        <w:t>Family, whānau, friends or partners can provide useful information about situations that may cause tāngata whaiora distress and help prevent the use of seclusion and restraint. They can also be an effective support for tāngata whaiora when they are distressed, which may help to further prevent the use of seclusion and restraint. This is particularly important to consider when working with children or young people, as family and whānau play a central role in their lives.</w:t>
      </w:r>
    </w:p>
    <w:p w14:paraId="419280AA" w14:textId="77777777" w:rsidR="00B5302A" w:rsidRDefault="00B5302A" w:rsidP="00B5302A">
      <w:pPr>
        <w:ind w:right="-2"/>
        <w:rPr>
          <w:rFonts w:cs="Segoe UI"/>
        </w:rPr>
      </w:pPr>
    </w:p>
    <w:p w14:paraId="4C51985A" w14:textId="2C5EBF71" w:rsidR="00B7548E" w:rsidRDefault="00B7548E" w:rsidP="00B5302A">
      <w:pPr>
        <w:ind w:right="-2"/>
        <w:rPr>
          <w:rFonts w:cs="Segoe UI"/>
        </w:rPr>
      </w:pPr>
      <w:r>
        <w:rPr>
          <w:rFonts w:cs="Segoe UI"/>
        </w:rPr>
        <w:t>S</w:t>
      </w:r>
      <w:r w:rsidRPr="334F3341">
        <w:rPr>
          <w:rFonts w:cs="Segoe UI"/>
        </w:rPr>
        <w:t xml:space="preserve">ervices </w:t>
      </w:r>
      <w:r>
        <w:rPr>
          <w:rFonts w:cs="Segoe UI"/>
        </w:rPr>
        <w:t xml:space="preserve">should </w:t>
      </w:r>
      <w:r w:rsidRPr="334F3341">
        <w:rPr>
          <w:rFonts w:cs="Segoe UI"/>
        </w:rPr>
        <w:t xml:space="preserve">consider how </w:t>
      </w:r>
      <w:r>
        <w:rPr>
          <w:rFonts w:cs="Segoe UI"/>
        </w:rPr>
        <w:t xml:space="preserve">to incorporate </w:t>
      </w:r>
      <w:r w:rsidRPr="334F3341">
        <w:rPr>
          <w:rFonts w:cs="Segoe UI"/>
        </w:rPr>
        <w:t xml:space="preserve">the knowledge of </w:t>
      </w:r>
      <w:r>
        <w:rPr>
          <w:rFonts w:cs="Segoe UI"/>
        </w:rPr>
        <w:t>tāngata whaiora</w:t>
      </w:r>
      <w:r w:rsidRPr="334F3341">
        <w:rPr>
          <w:rFonts w:cs="Segoe UI"/>
        </w:rPr>
        <w:t xml:space="preserve"> held by whānau</w:t>
      </w:r>
      <w:r>
        <w:rPr>
          <w:rFonts w:cs="Segoe UI"/>
        </w:rPr>
        <w:t>, family, friends or partners</w:t>
      </w:r>
      <w:r w:rsidRPr="334F3341">
        <w:rPr>
          <w:rFonts w:cs="Segoe UI"/>
        </w:rPr>
        <w:t xml:space="preserve"> into </w:t>
      </w:r>
      <w:r>
        <w:rPr>
          <w:rFonts w:cs="Segoe UI"/>
        </w:rPr>
        <w:t>support</w:t>
      </w:r>
      <w:r w:rsidRPr="334F3341">
        <w:rPr>
          <w:rFonts w:cs="Segoe UI"/>
        </w:rPr>
        <w:t xml:space="preserve"> and treatment plans. </w:t>
      </w:r>
      <w:r>
        <w:rPr>
          <w:rFonts w:cs="Segoe UI"/>
        </w:rPr>
        <w:t xml:space="preserve">They </w:t>
      </w:r>
      <w:r w:rsidRPr="334F3341">
        <w:rPr>
          <w:rFonts w:cs="Segoe UI"/>
        </w:rPr>
        <w:t xml:space="preserve">should also ensure that </w:t>
      </w:r>
      <w:r>
        <w:rPr>
          <w:rFonts w:cs="Segoe UI"/>
        </w:rPr>
        <w:t>tāngata whaiora</w:t>
      </w:r>
      <w:r w:rsidRPr="334F3341">
        <w:rPr>
          <w:rFonts w:cs="Segoe UI"/>
        </w:rPr>
        <w:t xml:space="preserve"> are able to enjoy contact with whānau</w:t>
      </w:r>
      <w:r>
        <w:rPr>
          <w:rFonts w:cs="Segoe UI"/>
        </w:rPr>
        <w:t>, family, friends or partners</w:t>
      </w:r>
      <w:r w:rsidRPr="334F3341">
        <w:rPr>
          <w:rFonts w:cs="Segoe UI"/>
        </w:rPr>
        <w:t xml:space="preserve"> </w:t>
      </w:r>
      <w:r>
        <w:rPr>
          <w:rFonts w:cs="Segoe UI"/>
        </w:rPr>
        <w:t xml:space="preserve">while </w:t>
      </w:r>
      <w:r w:rsidRPr="334F3341">
        <w:rPr>
          <w:rFonts w:cs="Segoe UI"/>
        </w:rPr>
        <w:t xml:space="preserve">they are </w:t>
      </w:r>
      <w:r>
        <w:rPr>
          <w:rFonts w:cs="Segoe UI"/>
        </w:rPr>
        <w:t xml:space="preserve">in </w:t>
      </w:r>
      <w:r w:rsidRPr="334F3341">
        <w:rPr>
          <w:rFonts w:cs="Segoe UI"/>
        </w:rPr>
        <w:t xml:space="preserve">an inpatient unit. This can help reduce </w:t>
      </w:r>
      <w:r>
        <w:rPr>
          <w:rFonts w:cs="Segoe UI"/>
        </w:rPr>
        <w:t>stress, and potentially reduce the requirement for seclusion or restraint.</w:t>
      </w:r>
    </w:p>
    <w:p w14:paraId="49E3290B" w14:textId="77777777" w:rsidR="00B5302A" w:rsidRDefault="00B5302A" w:rsidP="00B5302A">
      <w:pPr>
        <w:ind w:right="-2"/>
        <w:rPr>
          <w:rFonts w:cs="Segoe UI"/>
        </w:rPr>
      </w:pPr>
    </w:p>
    <w:p w14:paraId="714E8BFC" w14:textId="2AAA606A" w:rsidR="00B7548E" w:rsidRDefault="00B7548E" w:rsidP="00B5302A">
      <w:pPr>
        <w:ind w:right="-2"/>
        <w:rPr>
          <w:rFonts w:cs="Segoe UI"/>
        </w:rPr>
      </w:pPr>
      <w:r>
        <w:rPr>
          <w:rFonts w:cs="Segoe UI"/>
        </w:rPr>
        <w:t xml:space="preserve">Many children and young people are admitted to inpatient settings away from their hometown. In this case, services should proactively support visits home and contact with people at home, including by video technology. </w:t>
      </w:r>
    </w:p>
    <w:p w14:paraId="2529C6F7" w14:textId="77777777" w:rsidR="00B5302A" w:rsidRDefault="00B5302A" w:rsidP="00B5302A">
      <w:pPr>
        <w:ind w:right="-2"/>
      </w:pPr>
    </w:p>
    <w:p w14:paraId="6D5D33D6" w14:textId="3CE480B0" w:rsidR="00B7548E" w:rsidRDefault="00B7548E" w:rsidP="00B5302A">
      <w:pPr>
        <w:ind w:right="-2"/>
      </w:pPr>
      <w:r>
        <w:t xml:space="preserve">Te Pou provides an online learning resource on working with whānau as part of its </w:t>
      </w:r>
      <w:r w:rsidRPr="00A06A6A">
        <w:rPr>
          <w:i/>
        </w:rPr>
        <w:t>Let</w:t>
      </w:r>
      <w:r>
        <w:rPr>
          <w:i/>
        </w:rPr>
        <w:t>’</w:t>
      </w:r>
      <w:r w:rsidRPr="00A06A6A">
        <w:rPr>
          <w:i/>
        </w:rPr>
        <w:t xml:space="preserve">s get real </w:t>
      </w:r>
      <w:r>
        <w:t>skills</w:t>
      </w:r>
      <w:r w:rsidRPr="00A06A6A">
        <w:t xml:space="preserve"> framework</w:t>
      </w:r>
      <w:r>
        <w:t>.</w:t>
      </w:r>
      <w:r>
        <w:rPr>
          <w:rStyle w:val="FootnoteReference"/>
          <w:rFonts w:cs="Segoe UI"/>
        </w:rPr>
        <w:footnoteReference w:id="119"/>
      </w:r>
      <w:r w:rsidRPr="00A06A6A">
        <w:t xml:space="preserve"> </w:t>
      </w:r>
    </w:p>
    <w:p w14:paraId="2B9A8B29" w14:textId="77777777" w:rsidR="00B7548E" w:rsidRPr="00B5302A" w:rsidRDefault="00B7548E" w:rsidP="00B5302A">
      <w:pPr>
        <w:pStyle w:val="Heading1"/>
        <w:rPr>
          <w:sz w:val="64"/>
          <w:szCs w:val="64"/>
        </w:rPr>
      </w:pPr>
      <w:bookmarkStart w:id="313" w:name="_Toc103152126"/>
      <w:bookmarkStart w:id="314" w:name="_Toc105770646"/>
      <w:bookmarkStart w:id="315" w:name="_Toc131663828"/>
      <w:bookmarkStart w:id="316" w:name="_Toc132355329"/>
      <w:r w:rsidRPr="00B5302A">
        <w:rPr>
          <w:sz w:val="64"/>
          <w:szCs w:val="64"/>
        </w:rPr>
        <w:lastRenderedPageBreak/>
        <w:t xml:space="preserve">Considerations for </w:t>
      </w:r>
      <w:bookmarkEnd w:id="313"/>
      <w:bookmarkEnd w:id="314"/>
      <w:r w:rsidRPr="00B5302A">
        <w:rPr>
          <w:sz w:val="64"/>
          <w:szCs w:val="64"/>
        </w:rPr>
        <w:t>children and young people</w:t>
      </w:r>
      <w:bookmarkEnd w:id="315"/>
      <w:bookmarkEnd w:id="316"/>
    </w:p>
    <w:p w14:paraId="62D96574" w14:textId="4E42DD90" w:rsidR="00B7548E" w:rsidRDefault="00B7548E" w:rsidP="00B5302A">
      <w:r w:rsidRPr="00ED0961">
        <w:t>Whil</w:t>
      </w:r>
      <w:r>
        <w:t>e</w:t>
      </w:r>
      <w:r w:rsidRPr="00ED0961">
        <w:t xml:space="preserve"> the </w:t>
      </w:r>
      <w:r>
        <w:t xml:space="preserve">guidance and </w:t>
      </w:r>
      <w:r w:rsidRPr="00ED0961">
        <w:t xml:space="preserve">methods outlined above </w:t>
      </w:r>
      <w:r>
        <w:t>are</w:t>
      </w:r>
      <w:r w:rsidRPr="00ED0961">
        <w:t xml:space="preserve"> </w:t>
      </w:r>
      <w:r>
        <w:t xml:space="preserve">relevant and </w:t>
      </w:r>
      <w:r w:rsidRPr="00ED0961">
        <w:t xml:space="preserve">beneficial to use with </w:t>
      </w:r>
      <w:r>
        <w:t>children and young people</w:t>
      </w:r>
      <w:r w:rsidRPr="00ED0961">
        <w:t xml:space="preserve">, this section presents specific considerations. </w:t>
      </w:r>
      <w:r>
        <w:t>It also sets out m</w:t>
      </w:r>
      <w:r w:rsidRPr="00ED0961">
        <w:t xml:space="preserve">ethods that have been </w:t>
      </w:r>
      <w:r>
        <w:t xml:space="preserve">proven </w:t>
      </w:r>
      <w:r w:rsidRPr="00ED0961">
        <w:t xml:space="preserve">effective at minimising the use of seclusion and restraint with </w:t>
      </w:r>
      <w:r>
        <w:t>children and young people</w:t>
      </w:r>
      <w:r w:rsidRPr="00ED0961">
        <w:t xml:space="preserve">. </w:t>
      </w:r>
      <w:r w:rsidRPr="00BE2617">
        <w:t>S</w:t>
      </w:r>
      <w:r>
        <w:t xml:space="preserve">ervices </w:t>
      </w:r>
      <w:r w:rsidRPr="00BE2617">
        <w:t xml:space="preserve">should </w:t>
      </w:r>
      <w:r>
        <w:t>actively uphold the Crown’s obligations</w:t>
      </w:r>
      <w:r w:rsidRPr="00BE2617">
        <w:t xml:space="preserve"> under Te Tiriti when working with </w:t>
      </w:r>
      <w:r>
        <w:t>tamariki and rangatahi Māori</w:t>
      </w:r>
      <w:r w:rsidRPr="00BE2617">
        <w:t>.</w:t>
      </w:r>
      <w:r>
        <w:t xml:space="preserve"> It is important to consider the cultural needs of t</w:t>
      </w:r>
      <w:r w:rsidRPr="00E53096">
        <w:t>amariki and rangatahi</w:t>
      </w:r>
      <w:r>
        <w:t>, keeping in mind that they</w:t>
      </w:r>
      <w:r w:rsidRPr="00E53096">
        <w:t xml:space="preserve"> may </w:t>
      </w:r>
      <w:r>
        <w:t xml:space="preserve">be </w:t>
      </w:r>
      <w:r w:rsidRPr="00E53096">
        <w:t xml:space="preserve">on a journey of </w:t>
      </w:r>
      <w:r>
        <w:t xml:space="preserve">cultural </w:t>
      </w:r>
      <w:r w:rsidRPr="00E53096">
        <w:t>discovery.</w:t>
      </w:r>
    </w:p>
    <w:p w14:paraId="763ACA41" w14:textId="77777777" w:rsidR="00B5302A" w:rsidRPr="00ED0961" w:rsidRDefault="00B5302A" w:rsidP="00B5302A"/>
    <w:p w14:paraId="491610DF" w14:textId="16950AF1" w:rsidR="00B7548E" w:rsidRDefault="00B7548E" w:rsidP="00B5302A">
      <w:r>
        <w:t>Children and young people</w:t>
      </w:r>
      <w:r w:rsidRPr="00E53096">
        <w:t xml:space="preserve"> </w:t>
      </w:r>
      <w:r w:rsidRPr="334F3341">
        <w:t xml:space="preserve">have a range of unique needs, vulnerabilities and characteristics that </w:t>
      </w:r>
      <w:r>
        <w:t xml:space="preserve">services should </w:t>
      </w:r>
      <w:r w:rsidRPr="334F3341">
        <w:t xml:space="preserve">consider when planning and providing care, including in environments where </w:t>
      </w:r>
      <w:r>
        <w:t>seclusion and restraint</w:t>
      </w:r>
      <w:r w:rsidRPr="334F3341">
        <w:t xml:space="preserve"> may be used.</w:t>
      </w:r>
    </w:p>
    <w:p w14:paraId="6ED17785" w14:textId="77777777" w:rsidR="00B5302A" w:rsidRDefault="00B5302A" w:rsidP="00B5302A"/>
    <w:p w14:paraId="6E920CE8" w14:textId="74E31D74" w:rsidR="00B7548E" w:rsidRDefault="00B7548E" w:rsidP="00B5302A">
      <w:r>
        <w:t xml:space="preserve">Staff should remember their obligations under the United Nations Convention on the Rights of the Child when working with children and young people. </w:t>
      </w:r>
      <w:r w:rsidRPr="006A76D2">
        <w:t>Article</w:t>
      </w:r>
      <w:r>
        <w:t xml:space="preserve"> </w:t>
      </w:r>
      <w:r w:rsidRPr="006A76D2">
        <w:t>37(c)</w:t>
      </w:r>
      <w:r>
        <w:t xml:space="preserve"> </w:t>
      </w:r>
      <w:r w:rsidRPr="006A76D2">
        <w:t>says</w:t>
      </w:r>
      <w:r>
        <w:t xml:space="preserve">: </w:t>
      </w:r>
    </w:p>
    <w:p w14:paraId="47EDD9F6" w14:textId="77777777" w:rsidR="00B5302A" w:rsidRDefault="00B5302A" w:rsidP="00B5302A"/>
    <w:p w14:paraId="74060E93" w14:textId="6BCAFC23" w:rsidR="00B7548E" w:rsidRDefault="00B7548E" w:rsidP="00B5302A">
      <w:pPr>
        <w:ind w:left="567"/>
      </w:pPr>
      <w:r w:rsidRPr="006A76D2">
        <w:t>Every</w:t>
      </w:r>
      <w:r>
        <w:t xml:space="preserve"> </w:t>
      </w:r>
      <w:r w:rsidRPr="006A76D2">
        <w:t>child</w:t>
      </w:r>
      <w:r>
        <w:t xml:space="preserve"> </w:t>
      </w:r>
      <w:r w:rsidRPr="006A76D2">
        <w:t>deprived</w:t>
      </w:r>
      <w:r>
        <w:t xml:space="preserve"> </w:t>
      </w:r>
      <w:r w:rsidRPr="006A76D2">
        <w:t>of</w:t>
      </w:r>
      <w:r>
        <w:t xml:space="preserve"> </w:t>
      </w:r>
      <w:r w:rsidRPr="006A76D2">
        <w:t>liberty</w:t>
      </w:r>
      <w:r>
        <w:t xml:space="preserve"> </w:t>
      </w:r>
      <w:r w:rsidRPr="006A76D2">
        <w:t>shall</w:t>
      </w:r>
      <w:r>
        <w:t xml:space="preserve"> </w:t>
      </w:r>
      <w:r w:rsidRPr="006A76D2">
        <w:t>be</w:t>
      </w:r>
      <w:r>
        <w:t xml:space="preserve"> </w:t>
      </w:r>
      <w:r w:rsidRPr="006A76D2">
        <w:t>treated</w:t>
      </w:r>
      <w:r>
        <w:t xml:space="preserve"> </w:t>
      </w:r>
      <w:r w:rsidRPr="006A76D2">
        <w:t>with</w:t>
      </w:r>
      <w:r>
        <w:t xml:space="preserve"> </w:t>
      </w:r>
      <w:r w:rsidRPr="006A76D2">
        <w:t>humanity</w:t>
      </w:r>
      <w:r>
        <w:t xml:space="preserve"> </w:t>
      </w:r>
      <w:r w:rsidRPr="006A76D2">
        <w:t>and</w:t>
      </w:r>
      <w:r>
        <w:t xml:space="preserve"> </w:t>
      </w:r>
      <w:r w:rsidRPr="006A76D2">
        <w:t>respect</w:t>
      </w:r>
      <w:r>
        <w:t xml:space="preserve"> </w:t>
      </w:r>
      <w:r w:rsidRPr="006A76D2">
        <w:t>for</w:t>
      </w:r>
      <w:r>
        <w:t xml:space="preserve"> </w:t>
      </w:r>
      <w:r w:rsidRPr="006A76D2">
        <w:t>the</w:t>
      </w:r>
      <w:r>
        <w:t xml:space="preserve"> </w:t>
      </w:r>
      <w:r w:rsidRPr="006A76D2">
        <w:t>inherent</w:t>
      </w:r>
      <w:r>
        <w:t xml:space="preserve"> </w:t>
      </w:r>
      <w:r w:rsidRPr="006A76D2">
        <w:t>dignity</w:t>
      </w:r>
      <w:r>
        <w:t xml:space="preserve"> </w:t>
      </w:r>
      <w:r w:rsidRPr="006A76D2">
        <w:t>of</w:t>
      </w:r>
      <w:r>
        <w:t xml:space="preserve"> </w:t>
      </w:r>
      <w:r w:rsidRPr="006A76D2">
        <w:t>the</w:t>
      </w:r>
      <w:r>
        <w:t xml:space="preserve"> </w:t>
      </w:r>
      <w:r w:rsidRPr="006A76D2">
        <w:t>human</w:t>
      </w:r>
      <w:r>
        <w:t xml:space="preserve"> </w:t>
      </w:r>
      <w:r w:rsidRPr="006A76D2">
        <w:t>person,</w:t>
      </w:r>
      <w:r>
        <w:t xml:space="preserve"> </w:t>
      </w:r>
      <w:r w:rsidRPr="006A76D2">
        <w:t>and</w:t>
      </w:r>
      <w:r>
        <w:t xml:space="preserve"> </w:t>
      </w:r>
      <w:r w:rsidRPr="006A76D2">
        <w:t>in</w:t>
      </w:r>
      <w:r>
        <w:t xml:space="preserve"> </w:t>
      </w:r>
      <w:r w:rsidRPr="006A76D2">
        <w:t>a</w:t>
      </w:r>
      <w:r>
        <w:t xml:space="preserve"> </w:t>
      </w:r>
      <w:r w:rsidRPr="006A76D2">
        <w:t>manner,</w:t>
      </w:r>
      <w:r>
        <w:t xml:space="preserve"> </w:t>
      </w:r>
      <w:r w:rsidRPr="006A76D2">
        <w:t>which</w:t>
      </w:r>
      <w:r>
        <w:t xml:space="preserve"> </w:t>
      </w:r>
      <w:r w:rsidRPr="006A76D2">
        <w:t>takes</w:t>
      </w:r>
      <w:r>
        <w:t xml:space="preserve"> </w:t>
      </w:r>
      <w:r w:rsidRPr="006A76D2">
        <w:t>into</w:t>
      </w:r>
      <w:r>
        <w:t xml:space="preserve"> </w:t>
      </w:r>
      <w:r w:rsidRPr="006A76D2">
        <w:t>account</w:t>
      </w:r>
      <w:r>
        <w:t xml:space="preserve"> </w:t>
      </w:r>
      <w:r w:rsidRPr="006A76D2">
        <w:t>the</w:t>
      </w:r>
      <w:r>
        <w:t xml:space="preserve"> </w:t>
      </w:r>
      <w:r w:rsidRPr="006A76D2">
        <w:t>needs</w:t>
      </w:r>
      <w:r>
        <w:t xml:space="preserve"> </w:t>
      </w:r>
      <w:r w:rsidRPr="006A76D2">
        <w:t>of</w:t>
      </w:r>
      <w:r>
        <w:t xml:space="preserve"> </w:t>
      </w:r>
      <w:r w:rsidRPr="006A76D2">
        <w:t>persons</w:t>
      </w:r>
      <w:r>
        <w:t xml:space="preserve"> </w:t>
      </w:r>
      <w:r w:rsidRPr="006A76D2">
        <w:t>of</w:t>
      </w:r>
      <w:r>
        <w:t xml:space="preserve"> </w:t>
      </w:r>
      <w:r w:rsidRPr="006A76D2">
        <w:t>his</w:t>
      </w:r>
      <w:r>
        <w:t xml:space="preserve"> </w:t>
      </w:r>
      <w:r w:rsidRPr="006A76D2">
        <w:t>or</w:t>
      </w:r>
      <w:r>
        <w:t xml:space="preserve"> </w:t>
      </w:r>
      <w:r w:rsidRPr="006A76D2">
        <w:t>her</w:t>
      </w:r>
      <w:r>
        <w:t xml:space="preserve"> </w:t>
      </w:r>
      <w:r w:rsidRPr="006A76D2">
        <w:t>age.</w:t>
      </w:r>
      <w:r>
        <w:t xml:space="preserve"> </w:t>
      </w:r>
      <w:r w:rsidRPr="006A76D2">
        <w:t>In</w:t>
      </w:r>
      <w:r>
        <w:t xml:space="preserve"> </w:t>
      </w:r>
      <w:r w:rsidRPr="006A76D2">
        <w:t>particular,</w:t>
      </w:r>
      <w:r>
        <w:t xml:space="preserve"> </w:t>
      </w:r>
      <w:r w:rsidRPr="006A76D2">
        <w:t>every</w:t>
      </w:r>
      <w:r>
        <w:t xml:space="preserve"> </w:t>
      </w:r>
      <w:r w:rsidRPr="006A76D2">
        <w:t>child</w:t>
      </w:r>
      <w:r>
        <w:t xml:space="preserve"> </w:t>
      </w:r>
      <w:r w:rsidRPr="006A76D2">
        <w:t>deprived</w:t>
      </w:r>
      <w:r>
        <w:t xml:space="preserve"> </w:t>
      </w:r>
      <w:r w:rsidRPr="006A76D2">
        <w:t>of</w:t>
      </w:r>
      <w:r>
        <w:t xml:space="preserve"> </w:t>
      </w:r>
      <w:r w:rsidRPr="006A76D2">
        <w:t>liberty</w:t>
      </w:r>
      <w:r>
        <w:t xml:space="preserve"> </w:t>
      </w:r>
      <w:r w:rsidRPr="006A76D2">
        <w:t>shall</w:t>
      </w:r>
      <w:r>
        <w:t xml:space="preserve"> </w:t>
      </w:r>
      <w:r w:rsidRPr="006A76D2">
        <w:t>be</w:t>
      </w:r>
      <w:r>
        <w:t xml:space="preserve"> </w:t>
      </w:r>
      <w:r w:rsidRPr="006A76D2">
        <w:t>separated</w:t>
      </w:r>
      <w:r>
        <w:t xml:space="preserve"> </w:t>
      </w:r>
      <w:r w:rsidRPr="006A76D2">
        <w:t>from</w:t>
      </w:r>
      <w:r>
        <w:t xml:space="preserve"> </w:t>
      </w:r>
      <w:r w:rsidRPr="006A76D2">
        <w:t>adults</w:t>
      </w:r>
      <w:r>
        <w:t xml:space="preserve"> </w:t>
      </w:r>
      <w:r w:rsidRPr="006A76D2">
        <w:t>unless</w:t>
      </w:r>
      <w:r>
        <w:t xml:space="preserve"> </w:t>
      </w:r>
      <w:r w:rsidRPr="006A76D2">
        <w:t>it</w:t>
      </w:r>
      <w:r>
        <w:t xml:space="preserve"> </w:t>
      </w:r>
      <w:r w:rsidRPr="006A76D2">
        <w:t>is</w:t>
      </w:r>
      <w:r>
        <w:t xml:space="preserve"> </w:t>
      </w:r>
      <w:r w:rsidRPr="006A76D2">
        <w:t>considered</w:t>
      </w:r>
      <w:r>
        <w:t xml:space="preserve"> </w:t>
      </w:r>
      <w:r w:rsidRPr="006A76D2">
        <w:t>in</w:t>
      </w:r>
      <w:r>
        <w:t xml:space="preserve"> </w:t>
      </w:r>
      <w:r w:rsidRPr="006A76D2">
        <w:t>the</w:t>
      </w:r>
      <w:r>
        <w:t xml:space="preserve"> </w:t>
      </w:r>
      <w:r w:rsidRPr="006A76D2">
        <w:t>child</w:t>
      </w:r>
      <w:r w:rsidR="00B5302A">
        <w:t>’</w:t>
      </w:r>
      <w:r w:rsidRPr="006A76D2">
        <w:t>s</w:t>
      </w:r>
      <w:r>
        <w:t xml:space="preserve"> </w:t>
      </w:r>
      <w:r w:rsidRPr="006A76D2">
        <w:t>best</w:t>
      </w:r>
      <w:r>
        <w:t xml:space="preserve"> </w:t>
      </w:r>
      <w:r w:rsidRPr="006A76D2">
        <w:t>interest</w:t>
      </w:r>
      <w:r>
        <w:t xml:space="preserve"> </w:t>
      </w:r>
      <w:r w:rsidRPr="006A76D2">
        <w:t>not</w:t>
      </w:r>
      <w:r>
        <w:t xml:space="preserve"> </w:t>
      </w:r>
      <w:r w:rsidRPr="006A76D2">
        <w:t>to</w:t>
      </w:r>
      <w:r>
        <w:t xml:space="preserve"> </w:t>
      </w:r>
      <w:r w:rsidRPr="006A76D2">
        <w:t>do</w:t>
      </w:r>
      <w:r>
        <w:t xml:space="preserve"> </w:t>
      </w:r>
      <w:r w:rsidRPr="006A76D2">
        <w:t>so</w:t>
      </w:r>
      <w:r>
        <w:t xml:space="preserve"> </w:t>
      </w:r>
      <w:r w:rsidRPr="006A76D2">
        <w:t>and</w:t>
      </w:r>
      <w:r>
        <w:t xml:space="preserve"> </w:t>
      </w:r>
      <w:r w:rsidRPr="006A76D2">
        <w:t>shall</w:t>
      </w:r>
      <w:r>
        <w:t xml:space="preserve"> </w:t>
      </w:r>
      <w:r w:rsidRPr="006A76D2">
        <w:t>have</w:t>
      </w:r>
      <w:r>
        <w:t xml:space="preserve"> </w:t>
      </w:r>
      <w:r w:rsidRPr="006A76D2">
        <w:t>the</w:t>
      </w:r>
      <w:r>
        <w:t xml:space="preserve"> </w:t>
      </w:r>
      <w:r w:rsidRPr="006A76D2">
        <w:t>right</w:t>
      </w:r>
      <w:r>
        <w:t xml:space="preserve"> </w:t>
      </w:r>
      <w:r w:rsidRPr="006A76D2">
        <w:t>to</w:t>
      </w:r>
      <w:r>
        <w:t xml:space="preserve"> </w:t>
      </w:r>
      <w:r w:rsidRPr="006A76D2">
        <w:t>maintain</w:t>
      </w:r>
      <w:r>
        <w:t xml:space="preserve"> </w:t>
      </w:r>
      <w:r w:rsidRPr="006A76D2">
        <w:t>contact</w:t>
      </w:r>
      <w:r>
        <w:t xml:space="preserve"> </w:t>
      </w:r>
      <w:r w:rsidRPr="006A76D2">
        <w:t>with</w:t>
      </w:r>
      <w:r>
        <w:t xml:space="preserve"> </w:t>
      </w:r>
      <w:r w:rsidRPr="006A76D2">
        <w:t>his</w:t>
      </w:r>
      <w:r>
        <w:t xml:space="preserve"> </w:t>
      </w:r>
      <w:r w:rsidRPr="006A76D2">
        <w:t>or</w:t>
      </w:r>
      <w:r>
        <w:t xml:space="preserve"> </w:t>
      </w:r>
      <w:r w:rsidRPr="006A76D2">
        <w:t>her</w:t>
      </w:r>
      <w:r>
        <w:t xml:space="preserve"> </w:t>
      </w:r>
      <w:r w:rsidRPr="006A76D2">
        <w:t>family</w:t>
      </w:r>
      <w:r>
        <w:t xml:space="preserve"> </w:t>
      </w:r>
      <w:r w:rsidRPr="006A76D2">
        <w:t>through</w:t>
      </w:r>
      <w:r>
        <w:t xml:space="preserve"> </w:t>
      </w:r>
      <w:r w:rsidRPr="006A76D2">
        <w:t>correspondence</w:t>
      </w:r>
      <w:r>
        <w:t xml:space="preserve"> </w:t>
      </w:r>
      <w:r w:rsidRPr="006A76D2">
        <w:t>and</w:t>
      </w:r>
      <w:r>
        <w:t xml:space="preserve"> </w:t>
      </w:r>
      <w:r w:rsidRPr="006A76D2">
        <w:t>visits,</w:t>
      </w:r>
      <w:r>
        <w:t xml:space="preserve"> </w:t>
      </w:r>
      <w:r w:rsidRPr="006A76D2">
        <w:t>save</w:t>
      </w:r>
      <w:r>
        <w:t xml:space="preserve"> </w:t>
      </w:r>
      <w:r w:rsidRPr="006A76D2">
        <w:t>in</w:t>
      </w:r>
      <w:r>
        <w:t xml:space="preserve"> </w:t>
      </w:r>
      <w:r w:rsidRPr="006A76D2">
        <w:t>exceptional</w:t>
      </w:r>
      <w:r>
        <w:t xml:space="preserve"> </w:t>
      </w:r>
      <w:r w:rsidRPr="006A76D2">
        <w:t>circumstances.</w:t>
      </w:r>
    </w:p>
    <w:p w14:paraId="553D3634" w14:textId="77777777" w:rsidR="00B5302A" w:rsidRDefault="00B5302A" w:rsidP="00B5302A"/>
    <w:p w14:paraId="276A05A1" w14:textId="0ACF7EB9" w:rsidR="00B7548E" w:rsidRDefault="00B7548E" w:rsidP="00B5302A">
      <w:r>
        <w:t>T</w:t>
      </w:r>
      <w:r w:rsidRPr="334F3341">
        <w:t xml:space="preserve">he younger a person is, the greater </w:t>
      </w:r>
      <w:r>
        <w:t xml:space="preserve">the </w:t>
      </w:r>
      <w:r w:rsidRPr="334F3341">
        <w:t xml:space="preserve">duty of care </w:t>
      </w:r>
      <w:r>
        <w:t>is</w:t>
      </w:r>
      <w:r w:rsidRPr="334F3341">
        <w:t>. It is important for staff to consider developmental age and the vulnerabilities associated with this, as well as chronological age, when caring for children</w:t>
      </w:r>
      <w:r w:rsidRPr="00E53096">
        <w:t xml:space="preserve"> and </w:t>
      </w:r>
      <w:r w:rsidRPr="334F3341">
        <w:t xml:space="preserve">young people. </w:t>
      </w:r>
    </w:p>
    <w:p w14:paraId="2966BE71" w14:textId="77777777" w:rsidR="00B7548E" w:rsidRPr="00B5302A" w:rsidRDefault="00B7548E" w:rsidP="00B5302A">
      <w:pPr>
        <w:pStyle w:val="Heading2"/>
      </w:pPr>
      <w:bookmarkStart w:id="317" w:name="_Toc103152127"/>
      <w:bookmarkStart w:id="318" w:name="_Toc105770647"/>
      <w:bookmarkStart w:id="319" w:name="_Toc131663829"/>
      <w:bookmarkStart w:id="320" w:name="_Toc132355330"/>
      <w:r w:rsidRPr="00B5302A">
        <w:t>Consent to treatment</w:t>
      </w:r>
      <w:bookmarkEnd w:id="317"/>
      <w:bookmarkEnd w:id="318"/>
      <w:r w:rsidRPr="00B5302A">
        <w:t xml:space="preserve"> under the Mental Health Act</w:t>
      </w:r>
      <w:bookmarkEnd w:id="319"/>
      <w:bookmarkEnd w:id="320"/>
    </w:p>
    <w:p w14:paraId="65A4BD6E" w14:textId="6537AA8C" w:rsidR="00B7548E" w:rsidRDefault="00B7548E" w:rsidP="00B5302A">
      <w:r w:rsidRPr="003748D7">
        <w:t>It</w:t>
      </w:r>
      <w:r>
        <w:t xml:space="preserve"> </w:t>
      </w:r>
      <w:r w:rsidRPr="003748D7">
        <w:t>is</w:t>
      </w:r>
      <w:r>
        <w:t xml:space="preserve"> </w:t>
      </w:r>
      <w:r w:rsidRPr="003748D7">
        <w:t>important</w:t>
      </w:r>
      <w:r>
        <w:t xml:space="preserve"> </w:t>
      </w:r>
      <w:r w:rsidRPr="003748D7">
        <w:t>that</w:t>
      </w:r>
      <w:r>
        <w:t xml:space="preserve"> </w:t>
      </w:r>
      <w:r w:rsidRPr="003748D7">
        <w:t>a</w:t>
      </w:r>
      <w:r>
        <w:t xml:space="preserve"> </w:t>
      </w:r>
      <w:r w:rsidRPr="003748D7">
        <w:t>young</w:t>
      </w:r>
      <w:r>
        <w:t xml:space="preserve"> </w:t>
      </w:r>
      <w:r w:rsidRPr="003748D7">
        <w:t>person,</w:t>
      </w:r>
      <w:r>
        <w:t xml:space="preserve"> </w:t>
      </w:r>
      <w:r w:rsidRPr="003748D7">
        <w:t>or</w:t>
      </w:r>
      <w:r>
        <w:t xml:space="preserve"> </w:t>
      </w:r>
      <w:r w:rsidRPr="003748D7">
        <w:t>their</w:t>
      </w:r>
      <w:r>
        <w:t xml:space="preserve"> </w:t>
      </w:r>
      <w:r w:rsidRPr="003748D7">
        <w:t>parent/guardian,</w:t>
      </w:r>
      <w:r>
        <w:t xml:space="preserve"> </w:t>
      </w:r>
      <w:r w:rsidRPr="003748D7">
        <w:t>provides</w:t>
      </w:r>
      <w:r>
        <w:t xml:space="preserve"> </w:t>
      </w:r>
      <w:r w:rsidRPr="003748D7">
        <w:t>appropriate</w:t>
      </w:r>
      <w:r>
        <w:t xml:space="preserve"> </w:t>
      </w:r>
      <w:r w:rsidRPr="003748D7">
        <w:t>consent</w:t>
      </w:r>
      <w:r>
        <w:t xml:space="preserve"> </w:t>
      </w:r>
      <w:r w:rsidRPr="003748D7">
        <w:t>to</w:t>
      </w:r>
      <w:r>
        <w:t xml:space="preserve"> </w:t>
      </w:r>
      <w:r w:rsidRPr="003748D7">
        <w:t>mental</w:t>
      </w:r>
      <w:r>
        <w:t xml:space="preserve"> </w:t>
      </w:r>
      <w:r w:rsidRPr="003748D7">
        <w:t>health</w:t>
      </w:r>
      <w:r>
        <w:t xml:space="preserve"> </w:t>
      </w:r>
      <w:r w:rsidRPr="003748D7">
        <w:t>treatment.</w:t>
      </w:r>
      <w:r>
        <w:t xml:space="preserve"> T</w:t>
      </w:r>
      <w:r w:rsidRPr="00E53096">
        <w:t>amariki and rangatahi</w:t>
      </w:r>
      <w:r>
        <w:t xml:space="preserve"> should be involved in decisions about their care and treatment where possible.</w:t>
      </w:r>
    </w:p>
    <w:p w14:paraId="2396A2FD" w14:textId="77777777" w:rsidR="00B5302A" w:rsidRDefault="00B5302A" w:rsidP="00B5302A"/>
    <w:p w14:paraId="7C0410A1" w14:textId="64466659" w:rsidR="00B7548E" w:rsidRDefault="00B7548E" w:rsidP="00B5302A">
      <w:r>
        <w:t xml:space="preserve">For people aged 16 and over, </w:t>
      </w:r>
      <w:r w:rsidRPr="009D4052">
        <w:t>section 87 of</w:t>
      </w:r>
      <w:r>
        <w:t xml:space="preserve"> </w:t>
      </w:r>
      <w:r w:rsidRPr="009D4052">
        <w:t>the</w:t>
      </w:r>
      <w:r>
        <w:t xml:space="preserve"> Mental Health Act states that </w:t>
      </w:r>
      <w:r w:rsidRPr="003748D7">
        <w:t>the</w:t>
      </w:r>
      <w:r>
        <w:t xml:space="preserve"> </w:t>
      </w:r>
      <w:r w:rsidRPr="003748D7">
        <w:t>consent</w:t>
      </w:r>
      <w:r>
        <w:t xml:space="preserve"> </w:t>
      </w:r>
      <w:r w:rsidRPr="003748D7">
        <w:t>of</w:t>
      </w:r>
      <w:r>
        <w:t xml:space="preserve"> </w:t>
      </w:r>
      <w:r w:rsidRPr="003748D7">
        <w:t>a</w:t>
      </w:r>
      <w:r>
        <w:t xml:space="preserve"> </w:t>
      </w:r>
      <w:r w:rsidRPr="003748D7">
        <w:t>parent</w:t>
      </w:r>
      <w:r>
        <w:t xml:space="preserve"> </w:t>
      </w:r>
      <w:r w:rsidRPr="003748D7">
        <w:t>or</w:t>
      </w:r>
      <w:r>
        <w:t xml:space="preserve"> </w:t>
      </w:r>
      <w:r w:rsidRPr="003748D7">
        <w:t>guardian</w:t>
      </w:r>
      <w:r>
        <w:t xml:space="preserve"> </w:t>
      </w:r>
      <w:r w:rsidRPr="003748D7">
        <w:t>to</w:t>
      </w:r>
      <w:r>
        <w:t xml:space="preserve"> </w:t>
      </w:r>
      <w:r w:rsidRPr="003748D7">
        <w:t>any</w:t>
      </w:r>
      <w:r>
        <w:t xml:space="preserve"> </w:t>
      </w:r>
      <w:r w:rsidRPr="003748D7">
        <w:t>assessment</w:t>
      </w:r>
      <w:r>
        <w:t xml:space="preserve"> </w:t>
      </w:r>
      <w:r w:rsidRPr="003748D7">
        <w:t>or</w:t>
      </w:r>
      <w:r>
        <w:t xml:space="preserve"> </w:t>
      </w:r>
      <w:r w:rsidRPr="003748D7">
        <w:t>treatment</w:t>
      </w:r>
      <w:r>
        <w:t xml:space="preserve"> </w:t>
      </w:r>
      <w:r w:rsidRPr="003748D7">
        <w:t>for</w:t>
      </w:r>
      <w:r>
        <w:t xml:space="preserve"> </w:t>
      </w:r>
      <w:r w:rsidRPr="003748D7">
        <w:t>mental</w:t>
      </w:r>
      <w:r>
        <w:t xml:space="preserve"> </w:t>
      </w:r>
      <w:r w:rsidRPr="003748D7">
        <w:t>disorder</w:t>
      </w:r>
      <w:r>
        <w:t xml:space="preserve"> is </w:t>
      </w:r>
      <w:r w:rsidRPr="003748D7">
        <w:t>not</w:t>
      </w:r>
      <w:r>
        <w:t xml:space="preserve"> </w:t>
      </w:r>
      <w:r w:rsidRPr="003748D7">
        <w:t>sufficient</w:t>
      </w:r>
      <w:r>
        <w:t xml:space="preserve"> </w:t>
      </w:r>
      <w:r w:rsidRPr="003748D7">
        <w:t>consent</w:t>
      </w:r>
      <w:r>
        <w:t xml:space="preserve"> </w:t>
      </w:r>
      <w:r w:rsidRPr="003748D7">
        <w:t>for</w:t>
      </w:r>
      <w:r>
        <w:t xml:space="preserve"> </w:t>
      </w:r>
      <w:r w:rsidRPr="003748D7">
        <w:t>the</w:t>
      </w:r>
      <w:r>
        <w:t xml:space="preserve"> </w:t>
      </w:r>
      <w:r w:rsidRPr="003748D7">
        <w:t>purposes</w:t>
      </w:r>
      <w:r>
        <w:t xml:space="preserve"> </w:t>
      </w:r>
      <w:r w:rsidRPr="003748D7">
        <w:t>of</w:t>
      </w:r>
      <w:r>
        <w:t xml:space="preserve"> </w:t>
      </w:r>
      <w:r w:rsidRPr="003748D7">
        <w:t>th</w:t>
      </w:r>
      <w:r>
        <w:t xml:space="preserve">at </w:t>
      </w:r>
      <w:r w:rsidRPr="003748D7">
        <w:t>Act.</w:t>
      </w:r>
      <w:r>
        <w:t xml:space="preserve"> In relation to compulsory treatment, this </w:t>
      </w:r>
      <w:r>
        <w:lastRenderedPageBreak/>
        <w:t>means that consent for young people aged 16 and over must comply with the requirements of section 59 of the Mental Health Act.</w:t>
      </w:r>
      <w:r>
        <w:rPr>
          <w:rStyle w:val="FootnoteReference"/>
          <w:rFonts w:cs="Segoe UI"/>
        </w:rPr>
        <w:footnoteReference w:id="120"/>
      </w:r>
      <w:r>
        <w:t xml:space="preserve"> </w:t>
      </w:r>
    </w:p>
    <w:p w14:paraId="7BD15459" w14:textId="77777777" w:rsidR="00B5302A" w:rsidRPr="003748D7" w:rsidRDefault="00B5302A" w:rsidP="00B5302A"/>
    <w:p w14:paraId="42FEF15D" w14:textId="77777777" w:rsidR="00B7548E" w:rsidRDefault="00B7548E" w:rsidP="00B5302A">
      <w:r>
        <w:t>There should be clear demonstration that children</w:t>
      </w:r>
      <w:r w:rsidRPr="00E53096">
        <w:t xml:space="preserve"> and </w:t>
      </w:r>
      <w:r>
        <w:t xml:space="preserve">young people have been talked to and that best-practice </w:t>
      </w:r>
      <w:r w:rsidRPr="00B6194E">
        <w:rPr>
          <w:i/>
        </w:rPr>
        <w:t>Gillick</w:t>
      </w:r>
      <w:r>
        <w:t xml:space="preserve"> principles are used.</w:t>
      </w:r>
      <w:r>
        <w:rPr>
          <w:rStyle w:val="FootnoteReference"/>
          <w:rFonts w:cs="Segoe UI"/>
        </w:rPr>
        <w:footnoteReference w:id="121"/>
      </w:r>
      <w:r>
        <w:t xml:space="preserve"> When a child or young person cannot consent, staff should record the reason why. </w:t>
      </w:r>
    </w:p>
    <w:p w14:paraId="497E66CF" w14:textId="77777777" w:rsidR="00B7548E" w:rsidRPr="00B5302A" w:rsidRDefault="00B7548E" w:rsidP="00B5302A">
      <w:pPr>
        <w:pStyle w:val="Heading2"/>
      </w:pPr>
      <w:bookmarkStart w:id="321" w:name="_Toc103152128"/>
      <w:bookmarkStart w:id="322" w:name="_Toc105770648"/>
      <w:bookmarkStart w:id="323" w:name="_Toc131663830"/>
      <w:bookmarkStart w:id="324" w:name="_Toc132355331"/>
      <w:r w:rsidRPr="00B5302A">
        <w:t xml:space="preserve">Understanding </w:t>
      </w:r>
      <w:bookmarkEnd w:id="321"/>
      <w:bookmarkEnd w:id="322"/>
      <w:r w:rsidRPr="00B5302A">
        <w:t>children and young people</w:t>
      </w:r>
      <w:bookmarkEnd w:id="323"/>
      <w:bookmarkEnd w:id="324"/>
    </w:p>
    <w:p w14:paraId="113AEDDE" w14:textId="289DC961" w:rsidR="00B7548E" w:rsidRDefault="00B7548E" w:rsidP="00B5302A">
      <w:r w:rsidRPr="334F3341">
        <w:t>Staff should have a good understanding of youth culture</w:t>
      </w:r>
      <w:r>
        <w:t xml:space="preserve">. They should also be aware of </w:t>
      </w:r>
      <w:r w:rsidRPr="334F3341">
        <w:t>what</w:t>
      </w:r>
      <w:r>
        <w:t xml:space="preserve"> i</w:t>
      </w:r>
      <w:r w:rsidRPr="334F3341">
        <w:t>s important to children</w:t>
      </w:r>
      <w:r w:rsidRPr="00E53096">
        <w:t xml:space="preserve"> and </w:t>
      </w:r>
      <w:r w:rsidRPr="334F3341">
        <w:t xml:space="preserve">young people, how they like to express themselves and how they experience distress and mental health issues. </w:t>
      </w:r>
      <w:r>
        <w:t xml:space="preserve">These factors will differ for each child or young person; staff should record their notes in this regard on individual support plans. </w:t>
      </w:r>
    </w:p>
    <w:p w14:paraId="48434935" w14:textId="77777777" w:rsidR="00B5302A" w:rsidRDefault="00B5302A" w:rsidP="00B5302A"/>
    <w:p w14:paraId="1CC408E2" w14:textId="585C4E38" w:rsidR="00B7548E" w:rsidRDefault="00B7548E" w:rsidP="00B5302A">
      <w:r>
        <w:t>Service providers should be aware of the professional development needs of staff working in environments where children</w:t>
      </w:r>
      <w:r w:rsidRPr="00E53096">
        <w:t xml:space="preserve"> and </w:t>
      </w:r>
      <w:r>
        <w:t>young people may be subject to seclusion and restraint. Staff should be supported to develop a good understanding of child and youth development and communication styles.</w:t>
      </w:r>
    </w:p>
    <w:p w14:paraId="68319D9F" w14:textId="77777777" w:rsidR="00B5302A" w:rsidRDefault="00B5302A" w:rsidP="00B5302A"/>
    <w:p w14:paraId="27959886" w14:textId="77777777" w:rsidR="00B7548E" w:rsidRDefault="00B7548E" w:rsidP="00B5302A">
      <w:r>
        <w:t>Staff should recognise that children</w:t>
      </w:r>
      <w:r w:rsidRPr="00E53096">
        <w:t xml:space="preserve"> and </w:t>
      </w:r>
      <w:r>
        <w:t>young people:</w:t>
      </w:r>
    </w:p>
    <w:p w14:paraId="31091F07" w14:textId="77777777" w:rsidR="00B7548E" w:rsidRPr="008F01C7" w:rsidRDefault="00B7548E" w:rsidP="00B5302A">
      <w:pPr>
        <w:pStyle w:val="Bullet"/>
      </w:pPr>
      <w:r w:rsidRPr="008F01C7">
        <w:t>are</w:t>
      </w:r>
      <w:r>
        <w:t xml:space="preserve"> </w:t>
      </w:r>
      <w:r w:rsidRPr="008F01C7">
        <w:t>developing</w:t>
      </w:r>
      <w:r>
        <w:t xml:space="preserve"> </w:t>
      </w:r>
      <w:r w:rsidRPr="008F01C7">
        <w:t>autonomy</w:t>
      </w:r>
    </w:p>
    <w:p w14:paraId="45F81AEC" w14:textId="77777777" w:rsidR="00B7548E" w:rsidRPr="008B0E2D" w:rsidRDefault="00B7548E" w:rsidP="00B5302A">
      <w:pPr>
        <w:pStyle w:val="Bullet"/>
      </w:pPr>
      <w:r w:rsidRPr="008B0E2D">
        <w:t>may</w:t>
      </w:r>
      <w:r>
        <w:t xml:space="preserve"> </w:t>
      </w:r>
      <w:r w:rsidRPr="008B0E2D">
        <w:t>experience</w:t>
      </w:r>
      <w:r>
        <w:t xml:space="preserve"> </w:t>
      </w:r>
      <w:r w:rsidRPr="008B0E2D">
        <w:t>age</w:t>
      </w:r>
      <w:r>
        <w:t>-</w:t>
      </w:r>
      <w:r w:rsidRPr="008B0E2D">
        <w:t>related</w:t>
      </w:r>
      <w:r>
        <w:t xml:space="preserve"> </w:t>
      </w:r>
      <w:r w:rsidRPr="00655DCB">
        <w:t>increased</w:t>
      </w:r>
      <w:r>
        <w:t xml:space="preserve"> </w:t>
      </w:r>
      <w:r w:rsidRPr="008B0E2D">
        <w:t>risk</w:t>
      </w:r>
      <w:r>
        <w:t xml:space="preserve"> </w:t>
      </w:r>
      <w:r w:rsidRPr="008B0E2D">
        <w:t>taking</w:t>
      </w:r>
    </w:p>
    <w:p w14:paraId="5A2D9F3B" w14:textId="77777777" w:rsidR="00B7548E" w:rsidRPr="008B0E2D" w:rsidRDefault="00B7548E" w:rsidP="00B5302A">
      <w:pPr>
        <w:pStyle w:val="Bullet"/>
      </w:pPr>
      <w:r w:rsidRPr="008B0E2D">
        <w:t>may</w:t>
      </w:r>
      <w:r>
        <w:t xml:space="preserve"> </w:t>
      </w:r>
      <w:r w:rsidRPr="008B0E2D">
        <w:t>have</w:t>
      </w:r>
      <w:r>
        <w:t xml:space="preserve"> </w:t>
      </w:r>
      <w:r w:rsidRPr="008B0E2D">
        <w:t>varying</w:t>
      </w:r>
      <w:r>
        <w:t xml:space="preserve"> </w:t>
      </w:r>
      <w:r w:rsidRPr="008B0E2D">
        <w:t>emotional</w:t>
      </w:r>
      <w:r>
        <w:t xml:space="preserve"> </w:t>
      </w:r>
      <w:r w:rsidRPr="008B0E2D">
        <w:t>control</w:t>
      </w:r>
      <w:r>
        <w:t xml:space="preserve"> </w:t>
      </w:r>
      <w:r w:rsidRPr="008B0E2D">
        <w:t>and</w:t>
      </w:r>
      <w:r>
        <w:t xml:space="preserve"> </w:t>
      </w:r>
      <w:r w:rsidRPr="008B0E2D">
        <w:t>reasoning</w:t>
      </w:r>
      <w:r>
        <w:t xml:space="preserve"> </w:t>
      </w:r>
      <w:r w:rsidRPr="008B0E2D">
        <w:t>ability</w:t>
      </w:r>
    </w:p>
    <w:p w14:paraId="23428FEC" w14:textId="77777777" w:rsidR="00B7548E" w:rsidRPr="008B0E2D" w:rsidRDefault="00B7548E" w:rsidP="00B5302A">
      <w:pPr>
        <w:pStyle w:val="Bullet"/>
      </w:pPr>
      <w:r w:rsidRPr="008B0E2D">
        <w:t>may</w:t>
      </w:r>
      <w:r>
        <w:t xml:space="preserve"> </w:t>
      </w:r>
      <w:r w:rsidRPr="008B0E2D">
        <w:t>have</w:t>
      </w:r>
      <w:r>
        <w:t xml:space="preserve"> </w:t>
      </w:r>
      <w:r w:rsidRPr="008B0E2D">
        <w:t>difficulty</w:t>
      </w:r>
      <w:r>
        <w:t xml:space="preserve"> </w:t>
      </w:r>
      <w:r w:rsidRPr="008B0E2D">
        <w:t>with</w:t>
      </w:r>
      <w:r>
        <w:t xml:space="preserve"> </w:t>
      </w:r>
      <w:r w:rsidRPr="008B0E2D">
        <w:t>flexibility/adaptability</w:t>
      </w:r>
    </w:p>
    <w:p w14:paraId="4B982361" w14:textId="77777777" w:rsidR="00B7548E" w:rsidRDefault="00B7548E" w:rsidP="00B5302A">
      <w:pPr>
        <w:pStyle w:val="Bullet"/>
      </w:pPr>
      <w:r>
        <w:t xml:space="preserve">may </w:t>
      </w:r>
      <w:r w:rsidRPr="008B0E2D">
        <w:t>experience</w:t>
      </w:r>
      <w:r>
        <w:t xml:space="preserve"> </w:t>
      </w:r>
      <w:r w:rsidRPr="008B0E2D">
        <w:t>a</w:t>
      </w:r>
      <w:r>
        <w:t xml:space="preserve"> </w:t>
      </w:r>
      <w:r w:rsidRPr="008B0E2D">
        <w:t>heightened</w:t>
      </w:r>
      <w:r>
        <w:t xml:space="preserve"> </w:t>
      </w:r>
      <w:r w:rsidRPr="008B0E2D">
        <w:t>power</w:t>
      </w:r>
      <w:r>
        <w:t xml:space="preserve"> </w:t>
      </w:r>
      <w:r w:rsidRPr="008B0E2D">
        <w:t>imbalance</w:t>
      </w:r>
      <w:r>
        <w:t xml:space="preserve"> </w:t>
      </w:r>
      <w:r w:rsidRPr="008B0E2D">
        <w:t>with</w:t>
      </w:r>
      <w:r>
        <w:t xml:space="preserve"> </w:t>
      </w:r>
      <w:r w:rsidRPr="008B0E2D">
        <w:t>adults</w:t>
      </w:r>
      <w:r>
        <w:t>.</w:t>
      </w:r>
      <w:r>
        <w:rPr>
          <w:rStyle w:val="FootnoteReference"/>
          <w:rFonts w:cs="Segoe UI"/>
          <w:szCs w:val="21"/>
        </w:rPr>
        <w:footnoteReference w:id="122"/>
      </w:r>
    </w:p>
    <w:p w14:paraId="7FE1B6FF" w14:textId="77777777" w:rsidR="00B5302A" w:rsidRDefault="00B5302A" w:rsidP="00B5302A"/>
    <w:p w14:paraId="2692277E" w14:textId="11365212" w:rsidR="00B7548E" w:rsidRDefault="00B7548E" w:rsidP="00DB1B6E">
      <w:pPr>
        <w:ind w:right="-1"/>
      </w:pPr>
      <w:r>
        <w:t xml:space="preserve">Section 86 </w:t>
      </w:r>
      <w:r w:rsidRPr="334F3341">
        <w:t>of the Mental Health Act</w:t>
      </w:r>
      <w:r>
        <w:t xml:space="preserve"> states that</w:t>
      </w:r>
      <w:r w:rsidRPr="334F3341">
        <w:t xml:space="preserve">, wherever practicable, assessment examination of a person who is under the age of 17 years shall be conducted by a psychiatrist practising in the field of child psychiatry. It may also be appropriate for a child psychiatrist to assess people aged over 17 years; </w:t>
      </w:r>
      <w:r>
        <w:t xml:space="preserve">staff should </w:t>
      </w:r>
      <w:r w:rsidRPr="334F3341">
        <w:t xml:space="preserve">consider this on an individual basis. </w:t>
      </w:r>
    </w:p>
    <w:p w14:paraId="6BF732B6" w14:textId="77777777" w:rsidR="00B5302A" w:rsidRDefault="00B5302A" w:rsidP="00B5302A"/>
    <w:p w14:paraId="5001CBCA" w14:textId="05615679" w:rsidR="00B7548E" w:rsidRDefault="00B7548E" w:rsidP="00DB1B6E">
      <w:pPr>
        <w:ind w:right="141"/>
      </w:pPr>
      <w:r>
        <w:t>Where possible, staff working with children</w:t>
      </w:r>
      <w:r w:rsidRPr="00E53096">
        <w:t xml:space="preserve"> and </w:t>
      </w:r>
      <w:r>
        <w:t xml:space="preserve">young people should reflect the demographic and cultural characteristics of the young people who use the service. </w:t>
      </w:r>
      <w:r w:rsidRPr="00903B8E">
        <w:t>In</w:t>
      </w:r>
      <w:r>
        <w:t xml:space="preserve"> </w:t>
      </w:r>
      <w:r w:rsidRPr="00903B8E">
        <w:t>relation</w:t>
      </w:r>
      <w:r>
        <w:t xml:space="preserve"> </w:t>
      </w:r>
      <w:r w:rsidRPr="00903B8E">
        <w:t>to</w:t>
      </w:r>
      <w:r>
        <w:t xml:space="preserve"> </w:t>
      </w:r>
      <w:r w:rsidRPr="00903B8E">
        <w:t>what</w:t>
      </w:r>
      <w:r>
        <w:t xml:space="preserve"> </w:t>
      </w:r>
      <w:r w:rsidRPr="00903B8E">
        <w:t>young</w:t>
      </w:r>
      <w:r>
        <w:t xml:space="preserve"> </w:t>
      </w:r>
      <w:r w:rsidRPr="00903B8E">
        <w:t>people</w:t>
      </w:r>
      <w:r>
        <w:t xml:space="preserve"> </w:t>
      </w:r>
      <w:r w:rsidRPr="00903B8E">
        <w:t>are</w:t>
      </w:r>
      <w:r>
        <w:t xml:space="preserve"> </w:t>
      </w:r>
      <w:r w:rsidRPr="00903B8E">
        <w:t>looking</w:t>
      </w:r>
      <w:r>
        <w:t xml:space="preserve"> </w:t>
      </w:r>
      <w:r w:rsidRPr="00903B8E">
        <w:t>for</w:t>
      </w:r>
      <w:r>
        <w:t xml:space="preserve"> </w:t>
      </w:r>
      <w:r w:rsidRPr="00903B8E">
        <w:t>in</w:t>
      </w:r>
      <w:r>
        <w:t xml:space="preserve"> </w:t>
      </w:r>
      <w:r w:rsidRPr="00903B8E">
        <w:t>relationships</w:t>
      </w:r>
      <w:r>
        <w:t xml:space="preserve"> </w:t>
      </w:r>
      <w:r w:rsidRPr="00903B8E">
        <w:t>with</w:t>
      </w:r>
      <w:r>
        <w:t xml:space="preserve"> </w:t>
      </w:r>
      <w:r w:rsidRPr="00903B8E">
        <w:t>mental</w:t>
      </w:r>
      <w:r>
        <w:t xml:space="preserve"> </w:t>
      </w:r>
      <w:r w:rsidRPr="00903B8E">
        <w:t>health</w:t>
      </w:r>
      <w:r>
        <w:t xml:space="preserve"> </w:t>
      </w:r>
      <w:r w:rsidRPr="00903B8E">
        <w:t>professionals</w:t>
      </w:r>
      <w:r>
        <w:t>, studies have found that ‘</w:t>
      </w:r>
      <w:r w:rsidRPr="00903B8E">
        <w:t>young</w:t>
      </w:r>
      <w:r>
        <w:t xml:space="preserve"> </w:t>
      </w:r>
      <w:r w:rsidRPr="00903B8E">
        <w:t>people</w:t>
      </w:r>
      <w:r>
        <w:t xml:space="preserve"> </w:t>
      </w:r>
      <w:r w:rsidRPr="00903B8E">
        <w:t>were</w:t>
      </w:r>
      <w:r>
        <w:t xml:space="preserve"> </w:t>
      </w:r>
      <w:r w:rsidRPr="00903B8E">
        <w:t>looking</w:t>
      </w:r>
      <w:r>
        <w:t xml:space="preserve"> </w:t>
      </w:r>
      <w:r w:rsidRPr="00903B8E">
        <w:t>for</w:t>
      </w:r>
      <w:r>
        <w:t xml:space="preserve"> </w:t>
      </w:r>
      <w:r w:rsidRPr="00903B8E">
        <w:t>something</w:t>
      </w:r>
      <w:r>
        <w:t xml:space="preserve"> </w:t>
      </w:r>
      <w:r w:rsidRPr="00903B8E">
        <w:t>beyond</w:t>
      </w:r>
      <w:r>
        <w:t xml:space="preserve"> </w:t>
      </w:r>
      <w:r w:rsidRPr="00903B8E">
        <w:t>title</w:t>
      </w:r>
      <w:r>
        <w:t xml:space="preserve"> </w:t>
      </w:r>
      <w:r w:rsidRPr="00903B8E">
        <w:t>or</w:t>
      </w:r>
      <w:r>
        <w:t xml:space="preserve"> </w:t>
      </w:r>
      <w:r w:rsidRPr="00903B8E">
        <w:t>competence,</w:t>
      </w:r>
      <w:r>
        <w:t xml:space="preserve"> </w:t>
      </w:r>
      <w:r w:rsidRPr="00903B8E">
        <w:t>for</w:t>
      </w:r>
      <w:r>
        <w:t xml:space="preserve"> </w:t>
      </w:r>
      <w:r w:rsidRPr="00903B8E">
        <w:t>something</w:t>
      </w:r>
      <w:r>
        <w:t xml:space="preserve"> </w:t>
      </w:r>
      <w:r w:rsidRPr="00903B8E">
        <w:t>that</w:t>
      </w:r>
      <w:r>
        <w:t xml:space="preserve"> </w:t>
      </w:r>
      <w:r w:rsidRPr="00903B8E">
        <w:t>simply</w:t>
      </w:r>
      <w:r>
        <w:t xml:space="preserve"> </w:t>
      </w:r>
      <w:r w:rsidRPr="00903B8E">
        <w:t>felt</w:t>
      </w:r>
      <w:r>
        <w:t xml:space="preserve"> “</w:t>
      </w:r>
      <w:r w:rsidRPr="00903B8E">
        <w:t>nice</w:t>
      </w:r>
      <w:r>
        <w:t xml:space="preserve">” </w:t>
      </w:r>
      <w:r w:rsidRPr="00903B8E">
        <w:t>and</w:t>
      </w:r>
      <w:r>
        <w:t xml:space="preserve"> “</w:t>
      </w:r>
      <w:r w:rsidRPr="00903B8E">
        <w:t>comfortable</w:t>
      </w:r>
      <w:r>
        <w:t>”</w:t>
      </w:r>
      <w:r w:rsidRPr="00903B8E">
        <w:t>.</w:t>
      </w:r>
      <w:r>
        <w:t xml:space="preserve"> </w:t>
      </w:r>
      <w:r w:rsidRPr="00903B8E">
        <w:lastRenderedPageBreak/>
        <w:t>For</w:t>
      </w:r>
      <w:r>
        <w:t xml:space="preserve"> </w:t>
      </w:r>
      <w:r w:rsidRPr="00903B8E">
        <w:t>some</w:t>
      </w:r>
      <w:r>
        <w:t xml:space="preserve"> </w:t>
      </w:r>
      <w:r w:rsidRPr="00903B8E">
        <w:t>young</w:t>
      </w:r>
      <w:r>
        <w:t xml:space="preserve"> </w:t>
      </w:r>
      <w:r w:rsidRPr="00903B8E">
        <w:t>people,</w:t>
      </w:r>
      <w:r>
        <w:t xml:space="preserve"> </w:t>
      </w:r>
      <w:r w:rsidRPr="00903B8E">
        <w:t>there</w:t>
      </w:r>
      <w:r>
        <w:t xml:space="preserve"> </w:t>
      </w:r>
      <w:r w:rsidRPr="00903B8E">
        <w:t>was</w:t>
      </w:r>
      <w:r>
        <w:t xml:space="preserve"> </w:t>
      </w:r>
      <w:r w:rsidRPr="00903B8E">
        <w:t>an</w:t>
      </w:r>
      <w:r>
        <w:t xml:space="preserve"> </w:t>
      </w:r>
      <w:r w:rsidRPr="00903B8E">
        <w:t>automatic</w:t>
      </w:r>
      <w:r>
        <w:t xml:space="preserve"> </w:t>
      </w:r>
      <w:r w:rsidRPr="00903B8E">
        <w:t>sense</w:t>
      </w:r>
      <w:r>
        <w:t xml:space="preserve"> </w:t>
      </w:r>
      <w:r w:rsidRPr="00903B8E">
        <w:t>of</w:t>
      </w:r>
      <w:r>
        <w:t xml:space="preserve"> </w:t>
      </w:r>
      <w:r w:rsidRPr="00903B8E">
        <w:t>connection</w:t>
      </w:r>
      <w:r>
        <w:t xml:space="preserve"> </w:t>
      </w:r>
      <w:r w:rsidRPr="00903B8E">
        <w:t>with</w:t>
      </w:r>
      <w:r>
        <w:t xml:space="preserve"> </w:t>
      </w:r>
      <w:r w:rsidRPr="00903B8E">
        <w:t>younger</w:t>
      </w:r>
      <w:r>
        <w:t xml:space="preserve"> </w:t>
      </w:r>
      <w:r w:rsidRPr="00903B8E">
        <w:t>clinicians</w:t>
      </w:r>
      <w:r>
        <w:t xml:space="preserve"> </w:t>
      </w:r>
      <w:r w:rsidRPr="00903B8E">
        <w:t>who</w:t>
      </w:r>
      <w:r>
        <w:t xml:space="preserve"> </w:t>
      </w:r>
      <w:r w:rsidRPr="00903B8E">
        <w:t>they</w:t>
      </w:r>
      <w:r>
        <w:t xml:space="preserve"> </w:t>
      </w:r>
      <w:r w:rsidRPr="00903B8E">
        <w:t>felt</w:t>
      </w:r>
      <w:r>
        <w:t xml:space="preserve"> </w:t>
      </w:r>
      <w:r w:rsidRPr="00903B8E">
        <w:t>shared</w:t>
      </w:r>
      <w:r>
        <w:t xml:space="preserve"> </w:t>
      </w:r>
      <w:r w:rsidRPr="00903B8E">
        <w:t>their</w:t>
      </w:r>
      <w:r>
        <w:t xml:space="preserve"> </w:t>
      </w:r>
      <w:r w:rsidRPr="00903B8E">
        <w:t>worldview</w:t>
      </w:r>
      <w:r>
        <w:t>.’</w:t>
      </w:r>
      <w:r w:rsidRPr="00903B8E">
        <w:rPr>
          <w:rStyle w:val="FootnoteReference"/>
          <w:rFonts w:cs="Segoe UI"/>
        </w:rPr>
        <w:footnoteReference w:id="123"/>
      </w:r>
    </w:p>
    <w:p w14:paraId="023F183B" w14:textId="77777777" w:rsidR="00B5302A" w:rsidRPr="00EF0A3F" w:rsidRDefault="00B5302A" w:rsidP="00B5302A"/>
    <w:p w14:paraId="6FF3D501" w14:textId="77777777" w:rsidR="00B7548E" w:rsidRPr="00EF0A3F" w:rsidRDefault="00B7548E" w:rsidP="00B5302A">
      <w:pPr>
        <w:rPr>
          <w:rFonts w:cs="Segoe UI"/>
        </w:rPr>
      </w:pPr>
      <w:r>
        <w:rPr>
          <w:rFonts w:cs="Segoe UI"/>
        </w:rPr>
        <w:t>Services should identify, and have a record of, staff members who a child or young person have developed a strong therapeutic relationship with, and make regular opportunities for the child or young person to connect with these staff members.</w:t>
      </w:r>
    </w:p>
    <w:p w14:paraId="783F7248" w14:textId="77777777" w:rsidR="00B7548E" w:rsidRPr="00B5302A" w:rsidRDefault="00B7548E" w:rsidP="00B5302A">
      <w:pPr>
        <w:pStyle w:val="Heading2"/>
      </w:pPr>
      <w:bookmarkStart w:id="325" w:name="_Toc117840617"/>
      <w:bookmarkStart w:id="326" w:name="_Toc118204332"/>
      <w:bookmarkStart w:id="327" w:name="_Toc119584206"/>
      <w:bookmarkStart w:id="328" w:name="_Toc119659493"/>
      <w:bookmarkStart w:id="329" w:name="_Toc119662482"/>
      <w:bookmarkStart w:id="330" w:name="_Toc119682093"/>
      <w:bookmarkStart w:id="331" w:name="_Toc119683474"/>
      <w:bookmarkStart w:id="332" w:name="_Toc120282943"/>
      <w:bookmarkStart w:id="333" w:name="_Toc120703947"/>
      <w:bookmarkStart w:id="334" w:name="_Toc120713460"/>
      <w:bookmarkStart w:id="335" w:name="_Toc120715609"/>
      <w:bookmarkStart w:id="336" w:name="_Toc120862236"/>
      <w:bookmarkStart w:id="337" w:name="_Toc117840618"/>
      <w:bookmarkStart w:id="338" w:name="_Toc118204333"/>
      <w:bookmarkStart w:id="339" w:name="_Toc119584207"/>
      <w:bookmarkStart w:id="340" w:name="_Toc119659494"/>
      <w:bookmarkStart w:id="341" w:name="_Toc119662483"/>
      <w:bookmarkStart w:id="342" w:name="_Toc119682094"/>
      <w:bookmarkStart w:id="343" w:name="_Toc119683475"/>
      <w:bookmarkStart w:id="344" w:name="_Toc120282944"/>
      <w:bookmarkStart w:id="345" w:name="_Toc120703948"/>
      <w:bookmarkStart w:id="346" w:name="_Toc120713461"/>
      <w:bookmarkStart w:id="347" w:name="_Toc120715610"/>
      <w:bookmarkStart w:id="348" w:name="_Toc120862237"/>
      <w:bookmarkStart w:id="349" w:name="_Toc117840619"/>
      <w:bookmarkStart w:id="350" w:name="_Toc118204334"/>
      <w:bookmarkStart w:id="351" w:name="_Toc119584208"/>
      <w:bookmarkStart w:id="352" w:name="_Toc119659495"/>
      <w:bookmarkStart w:id="353" w:name="_Toc119662484"/>
      <w:bookmarkStart w:id="354" w:name="_Toc119682095"/>
      <w:bookmarkStart w:id="355" w:name="_Toc119683476"/>
      <w:bookmarkStart w:id="356" w:name="_Toc120282945"/>
      <w:bookmarkStart w:id="357" w:name="_Toc120703949"/>
      <w:bookmarkStart w:id="358" w:name="_Toc120713462"/>
      <w:bookmarkStart w:id="359" w:name="_Toc120715611"/>
      <w:bookmarkStart w:id="360" w:name="_Toc120862238"/>
      <w:bookmarkStart w:id="361" w:name="_Toc103152130"/>
      <w:bookmarkStart w:id="362" w:name="_Toc105770650"/>
      <w:bookmarkStart w:id="363" w:name="_Toc131663831"/>
      <w:bookmarkStart w:id="364" w:name="_Toc13235533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B5302A">
        <w:t>Approaches to prevent the use of seclusion and restraint</w:t>
      </w:r>
      <w:bookmarkEnd w:id="361"/>
      <w:bookmarkEnd w:id="362"/>
      <w:bookmarkEnd w:id="363"/>
      <w:bookmarkEnd w:id="364"/>
    </w:p>
    <w:p w14:paraId="35103C27" w14:textId="142AE9C0" w:rsidR="00B7548E" w:rsidRDefault="00B7548E" w:rsidP="00B5302A">
      <w:r>
        <w:t>The use of seclusion and restraint on children</w:t>
      </w:r>
      <w:r w:rsidRPr="00E53096">
        <w:t xml:space="preserve"> and </w:t>
      </w:r>
      <w:r>
        <w:t>young people in an inpatient setting has been found to negatively affect the overall value and safety of care.</w:t>
      </w:r>
      <w:r>
        <w:rPr>
          <w:rStyle w:val="FootnoteReference"/>
          <w:rFonts w:cs="Segoe UI"/>
        </w:rPr>
        <w:footnoteReference w:id="124"/>
      </w:r>
      <w:r>
        <w:t xml:space="preserve"> Additionally, children’s experience of seclusion and restraint is negative; children have reported feelings of fear, abandonment and punishment following seclusion and restraint.</w:t>
      </w:r>
      <w:r>
        <w:rPr>
          <w:rStyle w:val="FootnoteReference"/>
          <w:rFonts w:cs="Segoe UI"/>
        </w:rPr>
        <w:footnoteReference w:id="125"/>
      </w:r>
      <w:r>
        <w:t xml:space="preserve"> Staff should make every effort to utilise alternative methods before considering the use of seclusion or restraint.</w:t>
      </w:r>
    </w:p>
    <w:p w14:paraId="4D5626FE" w14:textId="77777777" w:rsidR="00DB1B6E" w:rsidRDefault="00DB1B6E" w:rsidP="00B5302A"/>
    <w:p w14:paraId="4AE071B8" w14:textId="77777777" w:rsidR="00B7548E" w:rsidRDefault="00B7548E" w:rsidP="00B5302A">
      <w:r w:rsidRPr="00144EB3">
        <w:t>Models</w:t>
      </w:r>
      <w:r>
        <w:t xml:space="preserve"> </w:t>
      </w:r>
      <w:r w:rsidRPr="00144EB3">
        <w:t>that</w:t>
      </w:r>
      <w:r>
        <w:t xml:space="preserve"> </w:t>
      </w:r>
      <w:r w:rsidRPr="00144EB3">
        <w:t>have</w:t>
      </w:r>
      <w:r>
        <w:t xml:space="preserve"> </w:t>
      </w:r>
      <w:r w:rsidRPr="00144EB3">
        <w:t>shown</w:t>
      </w:r>
      <w:r>
        <w:t xml:space="preserve"> a </w:t>
      </w:r>
      <w:r w:rsidRPr="00144EB3">
        <w:t>reduction</w:t>
      </w:r>
      <w:r>
        <w:t xml:space="preserve"> in the use of seclusion and restraint </w:t>
      </w:r>
      <w:r w:rsidRPr="00144EB3">
        <w:t>with</w:t>
      </w:r>
      <w:r>
        <w:t xml:space="preserve"> children</w:t>
      </w:r>
      <w:r w:rsidRPr="00E53096">
        <w:t xml:space="preserve"> and </w:t>
      </w:r>
      <w:r w:rsidRPr="00144EB3">
        <w:t>young</w:t>
      </w:r>
      <w:r>
        <w:t xml:space="preserve"> </w:t>
      </w:r>
      <w:r w:rsidRPr="00144EB3">
        <w:t>people</w:t>
      </w:r>
      <w:r>
        <w:t xml:space="preserve"> </w:t>
      </w:r>
      <w:r w:rsidRPr="00144EB3">
        <w:t>include:</w:t>
      </w:r>
    </w:p>
    <w:p w14:paraId="1F77799C" w14:textId="77777777" w:rsidR="00B7548E" w:rsidRPr="009F33A4" w:rsidRDefault="00B7548E" w:rsidP="00DB1B6E">
      <w:pPr>
        <w:pStyle w:val="Bullet"/>
      </w:pPr>
      <w:r w:rsidRPr="009F33A4">
        <w:t>Collaborative</w:t>
      </w:r>
      <w:r>
        <w:t xml:space="preserve"> </w:t>
      </w:r>
      <w:r w:rsidRPr="009F33A4">
        <w:t>Problem</w:t>
      </w:r>
      <w:r>
        <w:t xml:space="preserve"> </w:t>
      </w:r>
      <w:r w:rsidRPr="009F33A4">
        <w:t>Solving</w:t>
      </w:r>
      <w:r>
        <w:t xml:space="preserve"> </w:t>
      </w:r>
      <w:r w:rsidRPr="009F33A4">
        <w:t>(also</w:t>
      </w:r>
      <w:r>
        <w:t xml:space="preserve"> </w:t>
      </w:r>
      <w:r w:rsidRPr="009F33A4">
        <w:t>called</w:t>
      </w:r>
      <w:r>
        <w:t xml:space="preserve"> </w:t>
      </w:r>
      <w:r w:rsidRPr="009F33A4">
        <w:t>Collaborative</w:t>
      </w:r>
      <w:r>
        <w:t xml:space="preserve"> </w:t>
      </w:r>
      <w:r w:rsidRPr="009F33A4">
        <w:t>&amp;</w:t>
      </w:r>
      <w:r>
        <w:t xml:space="preserve"> </w:t>
      </w:r>
      <w:r w:rsidRPr="009F33A4">
        <w:t>Proactive</w:t>
      </w:r>
      <w:r>
        <w:t xml:space="preserve"> </w:t>
      </w:r>
      <w:r w:rsidRPr="009F33A4">
        <w:t>Solutions)</w:t>
      </w:r>
      <w:r>
        <w:rPr>
          <w:rStyle w:val="FootnoteReference"/>
          <w:rFonts w:cs="Segoe UI"/>
          <w:szCs w:val="21"/>
        </w:rPr>
        <w:footnoteReference w:id="126"/>
      </w:r>
    </w:p>
    <w:p w14:paraId="45812060" w14:textId="77777777" w:rsidR="00B7548E" w:rsidRPr="009F33A4" w:rsidRDefault="00B7548E" w:rsidP="00DB1B6E">
      <w:pPr>
        <w:pStyle w:val="Bullet"/>
      </w:pPr>
      <w:r>
        <w:t xml:space="preserve">the </w:t>
      </w:r>
      <w:r w:rsidRPr="009F33A4">
        <w:t>Attachment,</w:t>
      </w:r>
      <w:r>
        <w:t xml:space="preserve"> </w:t>
      </w:r>
      <w:r w:rsidRPr="009F33A4">
        <w:t>Regulation</w:t>
      </w:r>
      <w:r>
        <w:t xml:space="preserve"> </w:t>
      </w:r>
      <w:r w:rsidRPr="009F33A4">
        <w:t>and</w:t>
      </w:r>
      <w:r>
        <w:t xml:space="preserve"> </w:t>
      </w:r>
      <w:r w:rsidRPr="009F33A4">
        <w:t>Competency</w:t>
      </w:r>
      <w:r>
        <w:t xml:space="preserve"> </w:t>
      </w:r>
      <w:r w:rsidRPr="009F33A4">
        <w:t>model</w:t>
      </w:r>
      <w:r>
        <w:rPr>
          <w:rStyle w:val="FootnoteReference"/>
          <w:rFonts w:cs="Segoe UI"/>
          <w:szCs w:val="21"/>
        </w:rPr>
        <w:footnoteReference w:id="127"/>
      </w:r>
    </w:p>
    <w:p w14:paraId="05C3E064" w14:textId="77777777" w:rsidR="00B7548E" w:rsidRPr="009F33A4" w:rsidRDefault="00B7548E" w:rsidP="00DB1B6E">
      <w:pPr>
        <w:pStyle w:val="Bullet"/>
      </w:pPr>
      <w:r>
        <w:t>t</w:t>
      </w:r>
      <w:r w:rsidRPr="009F33A4">
        <w:t>rauma</w:t>
      </w:r>
      <w:r>
        <w:t>-</w:t>
      </w:r>
      <w:r w:rsidRPr="009F33A4">
        <w:t>informed</w:t>
      </w:r>
      <w:r>
        <w:t xml:space="preserve"> </w:t>
      </w:r>
      <w:r w:rsidRPr="009F33A4">
        <w:t>approaches</w:t>
      </w:r>
      <w:r>
        <w:rPr>
          <w:rStyle w:val="FootnoteReference"/>
          <w:rFonts w:cs="Segoe UI"/>
          <w:szCs w:val="21"/>
        </w:rPr>
        <w:footnoteReference w:id="128"/>
      </w:r>
      <w:r w:rsidRPr="00E81D61">
        <w:rPr>
          <w:vertAlign w:val="superscript"/>
        </w:rPr>
        <w:t>,</w:t>
      </w:r>
      <w:r>
        <w:rPr>
          <w:rStyle w:val="FootnoteReference"/>
          <w:rFonts w:cs="Segoe UI"/>
          <w:szCs w:val="21"/>
        </w:rPr>
        <w:footnoteReference w:id="129"/>
      </w:r>
    </w:p>
    <w:p w14:paraId="468403D1" w14:textId="77777777" w:rsidR="00B7548E" w:rsidRDefault="00B7548E" w:rsidP="00DB1B6E">
      <w:pPr>
        <w:pStyle w:val="Bullet"/>
      </w:pPr>
      <w:r w:rsidRPr="009F33A4">
        <w:t>Mindfulness-Based</w:t>
      </w:r>
      <w:r>
        <w:t xml:space="preserve"> </w:t>
      </w:r>
      <w:r w:rsidRPr="009F33A4">
        <w:t>Stress</w:t>
      </w:r>
      <w:r>
        <w:t xml:space="preserve"> </w:t>
      </w:r>
      <w:r w:rsidRPr="009F33A4">
        <w:t>Reduction</w:t>
      </w:r>
      <w:r>
        <w:t xml:space="preserve"> </w:t>
      </w:r>
      <w:r w:rsidRPr="009F33A4">
        <w:t>Training</w:t>
      </w:r>
      <w:r>
        <w:t>.</w:t>
      </w:r>
      <w:r>
        <w:rPr>
          <w:rStyle w:val="FootnoteReference"/>
          <w:rFonts w:cs="Segoe UI"/>
          <w:szCs w:val="21"/>
        </w:rPr>
        <w:footnoteReference w:id="130"/>
      </w:r>
    </w:p>
    <w:p w14:paraId="02B2AD06" w14:textId="77777777" w:rsidR="00DB1B6E" w:rsidRDefault="00DB1B6E" w:rsidP="00B7548E">
      <w:pPr>
        <w:rPr>
          <w:rFonts w:cs="Segoe UI"/>
        </w:rPr>
      </w:pPr>
    </w:p>
    <w:p w14:paraId="5AE07A9B" w14:textId="3C5ACE8C" w:rsidR="0023476E" w:rsidRDefault="00B7548E" w:rsidP="00B7548E">
      <w:pPr>
        <w:rPr>
          <w:lang w:eastAsia="en-NZ"/>
        </w:rPr>
      </w:pPr>
      <w:r>
        <w:rPr>
          <w:rFonts w:cs="Segoe UI"/>
        </w:rPr>
        <w:t>While these models have been effective at reducing seclusion and restraint, authors emphasise the importance of overall good care in reducing the use of seclusion and restraint with children</w:t>
      </w:r>
      <w:r w:rsidRPr="00E53096">
        <w:rPr>
          <w:rFonts w:cs="Segoe UI"/>
        </w:rPr>
        <w:t xml:space="preserve"> and </w:t>
      </w:r>
      <w:r>
        <w:rPr>
          <w:rFonts w:cs="Segoe UI"/>
        </w:rPr>
        <w:t>young people. Good care requires staff that are equipped with a thorough understanding of the factors that may drive the behaviour of young people, including understanding how limits are set and how expectations expressed by adults may influence or precipitate those behaviours, leading to an approach that emphasises crisis prevention over crisis management.</w:t>
      </w:r>
      <w:r>
        <w:rPr>
          <w:rStyle w:val="FootnoteReference"/>
          <w:rFonts w:cs="Segoe UI"/>
        </w:rPr>
        <w:footnoteReference w:id="131"/>
      </w:r>
    </w:p>
    <w:p w14:paraId="10943DB7" w14:textId="77777777" w:rsidR="00DB1B6E" w:rsidRPr="00E80C17" w:rsidRDefault="00DB1B6E" w:rsidP="00E80C17">
      <w:pPr>
        <w:pStyle w:val="Heading1"/>
        <w:numPr>
          <w:ilvl w:val="0"/>
          <w:numId w:val="0"/>
        </w:numPr>
      </w:pPr>
      <w:bookmarkStart w:id="365" w:name="_Toc131663832"/>
      <w:bookmarkStart w:id="366" w:name="_Toc132355333"/>
      <w:bookmarkStart w:id="367" w:name="_Toc103152131"/>
      <w:bookmarkStart w:id="368" w:name="_Toc105770651"/>
      <w:r w:rsidRPr="00E80C17">
        <w:lastRenderedPageBreak/>
        <w:t>Part Three: Safely using seclusion and restraint as a last resort</w:t>
      </w:r>
      <w:bookmarkEnd w:id="365"/>
      <w:bookmarkEnd w:id="366"/>
    </w:p>
    <w:p w14:paraId="22105F36" w14:textId="101D678C" w:rsidR="00DB1B6E" w:rsidRDefault="00DB1B6E" w:rsidP="00E80C17">
      <w:r>
        <w:t xml:space="preserve">Where it has not been possible to avoid using seclusion and restraint, services must use these practices safely and to the minimal extent necessary to ensure the safety of the person being restrained or secluded and those around them. </w:t>
      </w:r>
    </w:p>
    <w:p w14:paraId="531A0F72" w14:textId="77777777" w:rsidR="00E80C17" w:rsidRDefault="00E80C17" w:rsidP="00E80C17"/>
    <w:p w14:paraId="69216A44" w14:textId="1F7CF140" w:rsidR="00DB1B6E" w:rsidRDefault="00DB1B6E" w:rsidP="00E80C17">
      <w:r>
        <w:t xml:space="preserve">This section sets out the requirements for using seclusion and restraint as a last resort, in alignment with the criteria of Ngā Paerewa. Inpatient mental health services must adhere to these requirements. </w:t>
      </w:r>
    </w:p>
    <w:p w14:paraId="173FE584" w14:textId="77777777" w:rsidR="00E80C17" w:rsidRDefault="00E80C17" w:rsidP="00E80C17"/>
    <w:p w14:paraId="41F68FC4" w14:textId="77777777" w:rsidR="00DB1B6E" w:rsidRPr="00451E63" w:rsidRDefault="00DB1B6E" w:rsidP="00E80C17">
      <w:r w:rsidRPr="00451E63">
        <w:t xml:space="preserve">For the purposes of these guidelines, and for the sake of clarity, the term ‘last resort’ </w:t>
      </w:r>
      <w:r>
        <w:t xml:space="preserve">refers to a situation in which </w:t>
      </w:r>
      <w:r w:rsidRPr="00451E63">
        <w:t xml:space="preserve">all other suitable non-restrictive approaches have been tried </w:t>
      </w:r>
      <w:r>
        <w:t>and</w:t>
      </w:r>
      <w:r w:rsidRPr="00451E63">
        <w:t xml:space="preserve"> have failed to </w:t>
      </w:r>
      <w:r>
        <w:t>ensure safety</w:t>
      </w:r>
      <w:r w:rsidRPr="00451E63">
        <w:t xml:space="preserve">. </w:t>
      </w:r>
      <w:r>
        <w:t>A 'last resort'</w:t>
      </w:r>
      <w:r w:rsidRPr="00451E63">
        <w:t xml:space="preserve"> intervention must be a proportionate response to concerns about the safety of the person and others.</w:t>
      </w:r>
    </w:p>
    <w:p w14:paraId="2AF61C9C" w14:textId="77777777" w:rsidR="00DB1B6E" w:rsidRPr="00E80C17" w:rsidRDefault="00DB1B6E" w:rsidP="00E80C17">
      <w:pPr>
        <w:pStyle w:val="Heading1"/>
        <w:pageBreakBefore w:val="0"/>
        <w:spacing w:before="480"/>
        <w:rPr>
          <w:sz w:val="64"/>
          <w:szCs w:val="64"/>
        </w:rPr>
      </w:pPr>
      <w:bookmarkStart w:id="369" w:name="_Toc120703952"/>
      <w:bookmarkStart w:id="370" w:name="_Toc120713465"/>
      <w:bookmarkStart w:id="371" w:name="_Toc120715614"/>
      <w:bookmarkStart w:id="372" w:name="_Toc120862241"/>
      <w:bookmarkStart w:id="373" w:name="_Toc103152109"/>
      <w:bookmarkStart w:id="374" w:name="_Toc105770629"/>
      <w:bookmarkStart w:id="375" w:name="_Toc131663833"/>
      <w:bookmarkStart w:id="376" w:name="_Toc132355334"/>
      <w:bookmarkEnd w:id="369"/>
      <w:bookmarkEnd w:id="370"/>
      <w:bookmarkEnd w:id="371"/>
      <w:bookmarkEnd w:id="372"/>
      <w:r w:rsidRPr="00E80C17">
        <w:rPr>
          <w:sz w:val="64"/>
          <w:szCs w:val="64"/>
        </w:rPr>
        <w:t>Principles for the use of seclusion and restraint</w:t>
      </w:r>
      <w:bookmarkEnd w:id="373"/>
      <w:bookmarkEnd w:id="374"/>
      <w:bookmarkEnd w:id="375"/>
      <w:bookmarkEnd w:id="376"/>
    </w:p>
    <w:p w14:paraId="3EB44E4F" w14:textId="30DA11F9" w:rsidR="00DB1B6E" w:rsidRDefault="00DB1B6E" w:rsidP="00E80C17">
      <w:pPr>
        <w:rPr>
          <w:rFonts w:eastAsiaTheme="minorHAnsi"/>
        </w:rPr>
      </w:pPr>
      <w:r>
        <w:rPr>
          <w:rFonts w:eastAsiaTheme="minorHAnsi"/>
        </w:rPr>
        <w:t xml:space="preserve">These principles have been adapted from section 14.7.3 ‘Principles on the use of restraint’ in the </w:t>
      </w:r>
      <w:r w:rsidRPr="00B6194E">
        <w:rPr>
          <w:i/>
        </w:rPr>
        <w:t>Guidelines to the Mental Health Act</w:t>
      </w:r>
      <w:r>
        <w:rPr>
          <w:rFonts w:eastAsiaTheme="minorHAnsi"/>
        </w:rPr>
        <w:t>.</w:t>
      </w:r>
      <w:r>
        <w:rPr>
          <w:rStyle w:val="FootnoteReference"/>
          <w:rFonts w:eastAsiaTheme="minorHAnsi" w:cs="Segoe UI"/>
        </w:rPr>
        <w:footnoteReference w:id="132"/>
      </w:r>
      <w:r>
        <w:rPr>
          <w:rFonts w:eastAsiaTheme="minorHAnsi"/>
        </w:rPr>
        <w:t xml:space="preserve"> </w:t>
      </w:r>
    </w:p>
    <w:p w14:paraId="38F04D68" w14:textId="77777777" w:rsidR="00E80C17" w:rsidRDefault="00E80C17" w:rsidP="00E80C17">
      <w:pPr>
        <w:rPr>
          <w:rFonts w:eastAsiaTheme="minorHAnsi"/>
        </w:rPr>
      </w:pPr>
    </w:p>
    <w:p w14:paraId="262D0B09" w14:textId="75D66159" w:rsidR="00DB1B6E" w:rsidRDefault="00DB1B6E" w:rsidP="00E80C17">
      <w:pPr>
        <w:rPr>
          <w:rFonts w:eastAsiaTheme="minorHAnsi"/>
        </w:rPr>
      </w:pPr>
      <w:r>
        <w:rPr>
          <w:rFonts w:eastAsiaTheme="minorHAnsi"/>
        </w:rPr>
        <w:t>The principles are as follows.</w:t>
      </w:r>
    </w:p>
    <w:p w14:paraId="3C6199FB" w14:textId="77777777" w:rsidR="00E80C17" w:rsidRDefault="00E80C17" w:rsidP="00E80C17">
      <w:pPr>
        <w:rPr>
          <w:rFonts w:eastAsiaTheme="minorHAnsi"/>
        </w:rPr>
      </w:pPr>
    </w:p>
    <w:p w14:paraId="290D260C" w14:textId="075CF566" w:rsidR="00DB1B6E" w:rsidRDefault="00DB1B6E" w:rsidP="00E80C17">
      <w:r w:rsidRPr="00B6194E">
        <w:rPr>
          <w:b/>
        </w:rPr>
        <w:t>The decision to use seclusion or restraint is based on maintaining the safety of the person experiencing distress, staff, or others in the inpatient environment, in an emergency</w:t>
      </w:r>
      <w:r>
        <w:rPr>
          <w:b/>
        </w:rPr>
        <w:t>.</w:t>
      </w:r>
      <w:r w:rsidRPr="00B6194E">
        <w:rPr>
          <w:rStyle w:val="FootnoteReference"/>
          <w:b/>
        </w:rPr>
        <w:footnoteReference w:id="133"/>
      </w:r>
      <w:r w:rsidRPr="001847F5">
        <w:t xml:space="preserve"> </w:t>
      </w:r>
      <w:r w:rsidRPr="2CC988A9">
        <w:t>Seclusion or restraint is only used to ensure the safety of people accessing the service, staff or others and as an emergency intervention when all other least restrictive strategies and approaches have been tried without positive effect.</w:t>
      </w:r>
    </w:p>
    <w:p w14:paraId="143EFAE9" w14:textId="77777777" w:rsidR="00E80C17" w:rsidRPr="005754CA" w:rsidRDefault="00E80C17" w:rsidP="00E80C17"/>
    <w:p w14:paraId="787962A9" w14:textId="4F2C809B" w:rsidR="00DB1B6E" w:rsidRDefault="00DB1B6E" w:rsidP="00E80C17">
      <w:r w:rsidRPr="00B6194E">
        <w:rPr>
          <w:b/>
        </w:rPr>
        <w:t xml:space="preserve">Restraint must be used with the least amount of force necessary </w:t>
      </w:r>
      <w:r w:rsidRPr="001847F5">
        <w:t>to</w:t>
      </w:r>
      <w:r w:rsidRPr="00B6194E">
        <w:rPr>
          <w:b/>
        </w:rPr>
        <w:t xml:space="preserve"> </w:t>
      </w:r>
      <w:r w:rsidRPr="00665E8E">
        <w:t>maintain</w:t>
      </w:r>
      <w:r>
        <w:t xml:space="preserve"> the </w:t>
      </w:r>
      <w:r w:rsidRPr="00665E8E">
        <w:t>safety</w:t>
      </w:r>
      <w:r>
        <w:t xml:space="preserve"> of </w:t>
      </w:r>
      <w:r w:rsidRPr="00665E8E">
        <w:t>the</w:t>
      </w:r>
      <w:r>
        <w:t xml:space="preserve"> </w:t>
      </w:r>
      <w:r w:rsidRPr="00665E8E">
        <w:t>person</w:t>
      </w:r>
      <w:r>
        <w:t xml:space="preserve"> </w:t>
      </w:r>
      <w:r w:rsidRPr="00665E8E">
        <w:t>experiencing</w:t>
      </w:r>
      <w:r>
        <w:t xml:space="preserve"> </w:t>
      </w:r>
      <w:r w:rsidRPr="00665E8E">
        <w:t>distress,</w:t>
      </w:r>
      <w:r>
        <w:t xml:space="preserve"> </w:t>
      </w:r>
      <w:r w:rsidRPr="00665E8E">
        <w:t>staff</w:t>
      </w:r>
      <w:r>
        <w:t xml:space="preserve"> </w:t>
      </w:r>
      <w:r w:rsidRPr="00665E8E">
        <w:t>or</w:t>
      </w:r>
      <w:r>
        <w:t xml:space="preserve"> </w:t>
      </w:r>
      <w:r w:rsidRPr="00665E8E">
        <w:t>others</w:t>
      </w:r>
      <w:r>
        <w:t xml:space="preserve"> </w:t>
      </w:r>
      <w:r w:rsidRPr="00665E8E">
        <w:t>in</w:t>
      </w:r>
      <w:r>
        <w:t xml:space="preserve"> </w:t>
      </w:r>
      <w:r w:rsidRPr="00665E8E">
        <w:t>the</w:t>
      </w:r>
      <w:r>
        <w:t xml:space="preserve"> </w:t>
      </w:r>
      <w:r w:rsidRPr="00665E8E">
        <w:t>inpatient</w:t>
      </w:r>
      <w:r>
        <w:t xml:space="preserve"> </w:t>
      </w:r>
      <w:r w:rsidRPr="00665E8E">
        <w:t>environment.</w:t>
      </w:r>
    </w:p>
    <w:p w14:paraId="794E8A7B" w14:textId="77777777" w:rsidR="00E80C17" w:rsidRDefault="00E80C17" w:rsidP="00E80C17"/>
    <w:p w14:paraId="63CAF876" w14:textId="55237829" w:rsidR="00DB1B6E" w:rsidRDefault="00DB1B6E" w:rsidP="00E80C17">
      <w:r>
        <w:rPr>
          <w:b/>
        </w:rPr>
        <w:lastRenderedPageBreak/>
        <w:t>Seclusion and r</w:t>
      </w:r>
      <w:r w:rsidRPr="00B6194E">
        <w:rPr>
          <w:b/>
        </w:rPr>
        <w:t>estraint should only be used</w:t>
      </w:r>
      <w:r w:rsidRPr="001847F5">
        <w:t xml:space="preserve"> </w:t>
      </w:r>
      <w:r w:rsidRPr="00B6194E">
        <w:rPr>
          <w:b/>
        </w:rPr>
        <w:t>once all other options have been explored</w:t>
      </w:r>
      <w:r>
        <w:rPr>
          <w:b/>
        </w:rPr>
        <w:t>.</w:t>
      </w:r>
      <w:r w:rsidRPr="001847F5">
        <w:t xml:space="preserve">  </w:t>
      </w:r>
    </w:p>
    <w:p w14:paraId="4CC590E4" w14:textId="77777777" w:rsidR="00E80C17" w:rsidRPr="001847F5" w:rsidRDefault="00E80C17" w:rsidP="00E80C17"/>
    <w:p w14:paraId="7CAAA580" w14:textId="60716BB2" w:rsidR="00DB1B6E" w:rsidRDefault="00DB1B6E" w:rsidP="00E80C17">
      <w:pPr>
        <w:rPr>
          <w:rFonts w:cs="Segoe UI"/>
        </w:rPr>
      </w:pPr>
      <w:r w:rsidRPr="006E6D19">
        <w:rPr>
          <w:b/>
          <w:bCs/>
        </w:rPr>
        <w:t>The duration of seclusion or restraint must be for the</w:t>
      </w:r>
      <w:r w:rsidRPr="006E6D19">
        <w:rPr>
          <w:rFonts w:cs="Segoe UI"/>
          <w:b/>
          <w:bCs/>
        </w:rPr>
        <w:t xml:space="preserve"> </w:t>
      </w:r>
      <w:r w:rsidRPr="006E6D19">
        <w:rPr>
          <w:b/>
          <w:bCs/>
        </w:rPr>
        <w:t>shortest possible time</w:t>
      </w:r>
      <w:r w:rsidRPr="001847F5">
        <w:rPr>
          <w:rFonts w:cs="Segoe UI"/>
        </w:rPr>
        <w:t xml:space="preserve"> it takes to safely manage the situation.</w:t>
      </w:r>
    </w:p>
    <w:p w14:paraId="7A3D880B" w14:textId="77777777" w:rsidR="00E80C17" w:rsidRPr="001847F5" w:rsidRDefault="00E80C17" w:rsidP="00E80C17">
      <w:pPr>
        <w:rPr>
          <w:rFonts w:cs="Segoe UI"/>
        </w:rPr>
      </w:pPr>
    </w:p>
    <w:p w14:paraId="399C0926" w14:textId="566F4C77" w:rsidR="00DB1B6E" w:rsidRDefault="00DB1B6E" w:rsidP="00E80C17">
      <w:pPr>
        <w:rPr>
          <w:rFonts w:cs="Segoe UI"/>
        </w:rPr>
      </w:pPr>
      <w:r w:rsidRPr="001847F5">
        <w:rPr>
          <w:rFonts w:cs="Segoe UI"/>
        </w:rPr>
        <w:t xml:space="preserve">Seclusion and restraint must be guided by </w:t>
      </w:r>
      <w:r w:rsidRPr="006E6D19">
        <w:rPr>
          <w:b/>
          <w:bCs/>
        </w:rPr>
        <w:t>legal, ethical and trauma-informed</w:t>
      </w:r>
      <w:r w:rsidRPr="001847F5">
        <w:rPr>
          <w:rFonts w:cs="Segoe UI"/>
        </w:rPr>
        <w:t xml:space="preserve"> care principles. </w:t>
      </w:r>
    </w:p>
    <w:p w14:paraId="06D5532A" w14:textId="77777777" w:rsidR="00E80C17" w:rsidRPr="001847F5" w:rsidRDefault="00E80C17" w:rsidP="00E80C17">
      <w:pPr>
        <w:rPr>
          <w:rFonts w:cs="Segoe UI"/>
        </w:rPr>
      </w:pPr>
    </w:p>
    <w:p w14:paraId="3217D524" w14:textId="40E4353E" w:rsidR="00DB1B6E" w:rsidRDefault="00DB1B6E" w:rsidP="00E80C17">
      <w:pPr>
        <w:rPr>
          <w:rFonts w:cs="Segoe UI"/>
        </w:rPr>
      </w:pPr>
      <w:r w:rsidRPr="001847F5">
        <w:rPr>
          <w:rFonts w:cs="Segoe UI"/>
        </w:rPr>
        <w:t xml:space="preserve">If </w:t>
      </w:r>
      <w:r>
        <w:rPr>
          <w:rFonts w:cs="Segoe UI"/>
        </w:rPr>
        <w:t>seclusion or</w:t>
      </w:r>
      <w:r w:rsidRPr="001847F5">
        <w:rPr>
          <w:rFonts w:cs="Segoe UI"/>
        </w:rPr>
        <w:t xml:space="preserve"> restraint </w:t>
      </w:r>
      <w:r>
        <w:rPr>
          <w:rFonts w:cs="Segoe UI"/>
        </w:rPr>
        <w:t>is necessary</w:t>
      </w:r>
      <w:r w:rsidRPr="001847F5">
        <w:rPr>
          <w:rFonts w:cs="Segoe UI"/>
        </w:rPr>
        <w:t xml:space="preserve">, staff must </w:t>
      </w:r>
      <w:r w:rsidRPr="006E6D19">
        <w:rPr>
          <w:b/>
          <w:bCs/>
        </w:rPr>
        <w:t>uphold the dignity, privacy, preferences, cultural needs and mana of people to the greatest extent possible at all times.</w:t>
      </w:r>
      <w:r w:rsidRPr="000E015C">
        <w:rPr>
          <w:rFonts w:cs="Segoe UI"/>
        </w:rPr>
        <w:t xml:space="preserve"> </w:t>
      </w:r>
      <w:r w:rsidRPr="00BC0CF4">
        <w:rPr>
          <w:rFonts w:cs="Segoe UI"/>
        </w:rPr>
        <w:t>They</w:t>
      </w:r>
      <w:r>
        <w:rPr>
          <w:rFonts w:cs="Segoe UI"/>
        </w:rPr>
        <w:t xml:space="preserve"> </w:t>
      </w:r>
      <w:r w:rsidRPr="00BC0CF4">
        <w:rPr>
          <w:rFonts w:cs="Segoe UI"/>
        </w:rPr>
        <w:t>must</w:t>
      </w:r>
      <w:r>
        <w:rPr>
          <w:rFonts w:cs="Segoe UI"/>
        </w:rPr>
        <w:t xml:space="preserve"> </w:t>
      </w:r>
      <w:r w:rsidRPr="00BC0CF4">
        <w:rPr>
          <w:rFonts w:cs="Segoe UI"/>
        </w:rPr>
        <w:t>address</w:t>
      </w:r>
      <w:r>
        <w:rPr>
          <w:rFonts w:cs="Segoe UI"/>
        </w:rPr>
        <w:t xml:space="preserve"> </w:t>
      </w:r>
      <w:r w:rsidRPr="00BC0CF4">
        <w:rPr>
          <w:rFonts w:cs="Segoe UI"/>
        </w:rPr>
        <w:t>any</w:t>
      </w:r>
      <w:r>
        <w:rPr>
          <w:rFonts w:cs="Segoe UI"/>
        </w:rPr>
        <w:t xml:space="preserve"> </w:t>
      </w:r>
      <w:r w:rsidRPr="00BC0CF4">
        <w:rPr>
          <w:rFonts w:cs="Segoe UI"/>
        </w:rPr>
        <w:t>breaches</w:t>
      </w:r>
      <w:r>
        <w:rPr>
          <w:rFonts w:cs="Segoe UI"/>
        </w:rPr>
        <w:t xml:space="preserve"> </w:t>
      </w:r>
      <w:r w:rsidRPr="00BC0CF4">
        <w:rPr>
          <w:rFonts w:cs="Segoe UI"/>
        </w:rPr>
        <w:t>of</w:t>
      </w:r>
      <w:r>
        <w:rPr>
          <w:rFonts w:cs="Segoe UI"/>
        </w:rPr>
        <w:t xml:space="preserve"> </w:t>
      </w:r>
      <w:r w:rsidRPr="00BC0CF4">
        <w:rPr>
          <w:rFonts w:cs="Segoe UI"/>
        </w:rPr>
        <w:t>the</w:t>
      </w:r>
      <w:r>
        <w:rPr>
          <w:rFonts w:cs="Segoe UI"/>
        </w:rPr>
        <w:t xml:space="preserve"> </w:t>
      </w:r>
      <w:r w:rsidRPr="00BC0CF4">
        <w:rPr>
          <w:rFonts w:cs="Segoe UI"/>
        </w:rPr>
        <w:t>above</w:t>
      </w:r>
      <w:r>
        <w:rPr>
          <w:rFonts w:cs="Segoe UI"/>
        </w:rPr>
        <w:t xml:space="preserve"> </w:t>
      </w:r>
      <w:r w:rsidRPr="00BC0CF4">
        <w:rPr>
          <w:rFonts w:cs="Segoe UI"/>
        </w:rPr>
        <w:t>with</w:t>
      </w:r>
      <w:r>
        <w:rPr>
          <w:rFonts w:cs="Segoe UI"/>
        </w:rPr>
        <w:t xml:space="preserve"> the person (and their whānau if appropriate) </w:t>
      </w:r>
      <w:r w:rsidRPr="00BC0CF4">
        <w:rPr>
          <w:rFonts w:cs="Segoe UI"/>
        </w:rPr>
        <w:t>as</w:t>
      </w:r>
      <w:r>
        <w:rPr>
          <w:rFonts w:cs="Segoe UI"/>
        </w:rPr>
        <w:t xml:space="preserve"> </w:t>
      </w:r>
      <w:r w:rsidRPr="00BC0CF4">
        <w:rPr>
          <w:rFonts w:cs="Segoe UI"/>
        </w:rPr>
        <w:t>soon</w:t>
      </w:r>
      <w:r>
        <w:rPr>
          <w:rFonts w:cs="Segoe UI"/>
        </w:rPr>
        <w:t xml:space="preserve"> </w:t>
      </w:r>
      <w:r w:rsidRPr="00BC0CF4">
        <w:rPr>
          <w:rFonts w:cs="Segoe UI"/>
        </w:rPr>
        <w:t>as</w:t>
      </w:r>
      <w:r>
        <w:rPr>
          <w:rFonts w:cs="Segoe UI"/>
        </w:rPr>
        <w:t xml:space="preserve"> </w:t>
      </w:r>
      <w:r w:rsidRPr="00BC0CF4">
        <w:rPr>
          <w:rFonts w:cs="Segoe UI"/>
        </w:rPr>
        <w:t>it</w:t>
      </w:r>
      <w:r>
        <w:rPr>
          <w:rFonts w:cs="Segoe UI"/>
        </w:rPr>
        <w:t xml:space="preserve"> </w:t>
      </w:r>
      <w:r w:rsidRPr="00BC0CF4">
        <w:rPr>
          <w:rFonts w:cs="Segoe UI"/>
        </w:rPr>
        <w:t>is</w:t>
      </w:r>
      <w:r>
        <w:rPr>
          <w:rFonts w:cs="Segoe UI"/>
        </w:rPr>
        <w:t xml:space="preserve"> </w:t>
      </w:r>
      <w:r w:rsidRPr="00BC0CF4">
        <w:rPr>
          <w:rFonts w:cs="Segoe UI"/>
        </w:rPr>
        <w:t>practicable</w:t>
      </w:r>
      <w:r>
        <w:rPr>
          <w:rFonts w:cs="Segoe UI"/>
        </w:rPr>
        <w:t xml:space="preserve"> </w:t>
      </w:r>
      <w:r w:rsidRPr="00BC0CF4">
        <w:rPr>
          <w:rFonts w:cs="Segoe UI"/>
        </w:rPr>
        <w:t>to</w:t>
      </w:r>
      <w:r>
        <w:rPr>
          <w:rFonts w:cs="Segoe UI"/>
        </w:rPr>
        <w:t xml:space="preserve"> </w:t>
      </w:r>
      <w:r w:rsidRPr="00BC0CF4">
        <w:rPr>
          <w:rFonts w:cs="Segoe UI"/>
        </w:rPr>
        <w:t>do</w:t>
      </w:r>
      <w:r>
        <w:rPr>
          <w:rFonts w:cs="Segoe UI"/>
        </w:rPr>
        <w:t xml:space="preserve"> </w:t>
      </w:r>
      <w:r w:rsidRPr="00BC0CF4">
        <w:rPr>
          <w:rFonts w:cs="Segoe UI"/>
        </w:rPr>
        <w:t>so</w:t>
      </w:r>
      <w:r>
        <w:rPr>
          <w:rFonts w:cs="Segoe UI"/>
        </w:rPr>
        <w:t xml:space="preserve"> (including through debriefing processes as required by Ngā Paerewa and set out in section 9.1.1 below</w:t>
      </w:r>
      <w:r w:rsidRPr="000369CE">
        <w:t>)</w:t>
      </w:r>
      <w:r w:rsidRPr="00BC0CF4">
        <w:rPr>
          <w:rFonts w:cs="Segoe UI"/>
        </w:rPr>
        <w:t>.</w:t>
      </w:r>
    </w:p>
    <w:p w14:paraId="0DDB7434" w14:textId="77777777" w:rsidR="00E80C17" w:rsidRDefault="00E80C17" w:rsidP="00E80C17">
      <w:pPr>
        <w:rPr>
          <w:rFonts w:cs="Segoe UI"/>
        </w:rPr>
      </w:pPr>
    </w:p>
    <w:p w14:paraId="575893DA" w14:textId="370598DA" w:rsidR="00DB1B6E" w:rsidRDefault="00DB1B6E" w:rsidP="00E80C17">
      <w:pPr>
        <w:rPr>
          <w:rFonts w:cs="Segoe UI"/>
        </w:rPr>
      </w:pPr>
      <w:r>
        <w:rPr>
          <w:rFonts w:cs="Segoe UI"/>
        </w:rPr>
        <w:t>Staff must maintai</w:t>
      </w:r>
      <w:r w:rsidRPr="001847F5">
        <w:rPr>
          <w:rFonts w:cs="Segoe UI"/>
        </w:rPr>
        <w:t xml:space="preserve">n </w:t>
      </w:r>
      <w:r w:rsidRPr="006E6D19">
        <w:rPr>
          <w:b/>
          <w:bCs/>
        </w:rPr>
        <w:t>open and compassionate</w:t>
      </w:r>
      <w:r w:rsidRPr="00B6194E">
        <w:t xml:space="preserve"> </w:t>
      </w:r>
      <w:r w:rsidRPr="001847F5">
        <w:rPr>
          <w:rFonts w:cs="Segoe UI"/>
        </w:rPr>
        <w:t xml:space="preserve">communication with people through a </w:t>
      </w:r>
      <w:r>
        <w:rPr>
          <w:rFonts w:cs="Segoe UI"/>
        </w:rPr>
        <w:t>seclusion or</w:t>
      </w:r>
      <w:r w:rsidRPr="001847F5">
        <w:rPr>
          <w:rFonts w:cs="Segoe UI"/>
        </w:rPr>
        <w:t xml:space="preserve"> restraint episode.</w:t>
      </w:r>
    </w:p>
    <w:p w14:paraId="6CC5B23E" w14:textId="77777777" w:rsidR="00E80C17" w:rsidRPr="001847F5" w:rsidRDefault="00E80C17" w:rsidP="00E80C17">
      <w:pPr>
        <w:rPr>
          <w:rFonts w:cs="Segoe UI"/>
        </w:rPr>
      </w:pPr>
    </w:p>
    <w:p w14:paraId="7C2D00DC" w14:textId="7753E690" w:rsidR="00DB1B6E" w:rsidRPr="006E6D19" w:rsidRDefault="00DB1B6E" w:rsidP="00E80C17">
      <w:pPr>
        <w:rPr>
          <w:b/>
          <w:bCs/>
        </w:rPr>
      </w:pPr>
      <w:r w:rsidRPr="006E6D19">
        <w:rPr>
          <w:b/>
          <w:bCs/>
        </w:rPr>
        <w:t xml:space="preserve">Health services must not use restraint for punitive reasons, to manage staff shortages or to manage people in unfit-for-purpose facilities. </w:t>
      </w:r>
    </w:p>
    <w:p w14:paraId="68C10DD5" w14:textId="77777777" w:rsidR="00E80C17" w:rsidRPr="00B6194E" w:rsidRDefault="00E80C17" w:rsidP="00E80C17"/>
    <w:p w14:paraId="658702FD" w14:textId="151D9B6D" w:rsidR="00DB1B6E" w:rsidRDefault="00DB1B6E" w:rsidP="00E80C17">
      <w:pPr>
        <w:rPr>
          <w:rFonts w:cs="Segoe UI"/>
        </w:rPr>
      </w:pPr>
      <w:r w:rsidRPr="001847F5">
        <w:rPr>
          <w:rFonts w:cs="Segoe UI"/>
        </w:rPr>
        <w:t xml:space="preserve">Restraint techniques must be aligned with </w:t>
      </w:r>
      <w:r w:rsidRPr="00E80C17">
        <w:rPr>
          <w:b/>
          <w:bCs/>
        </w:rPr>
        <w:t>international human rights standards</w:t>
      </w:r>
      <w:r w:rsidRPr="001847F5">
        <w:rPr>
          <w:rFonts w:cs="Segoe UI"/>
        </w:rPr>
        <w:t xml:space="preserve"> and n</w:t>
      </w:r>
      <w:r>
        <w:rPr>
          <w:rFonts w:cs="Segoe UI"/>
        </w:rPr>
        <w:t>ot inflict pain on tāngata whaiora.</w:t>
      </w:r>
    </w:p>
    <w:p w14:paraId="2BE061D1" w14:textId="77777777" w:rsidR="006E6D19" w:rsidRDefault="006E6D19" w:rsidP="00E80C17">
      <w:pPr>
        <w:rPr>
          <w:color w:val="5B9AD5"/>
        </w:rPr>
      </w:pPr>
    </w:p>
    <w:p w14:paraId="078A828C" w14:textId="77777777" w:rsidR="00DB1B6E" w:rsidRPr="006E6D19" w:rsidRDefault="00DB1B6E" w:rsidP="006E6D19">
      <w:pPr>
        <w:pStyle w:val="Heading1"/>
        <w:rPr>
          <w:sz w:val="64"/>
          <w:szCs w:val="64"/>
        </w:rPr>
      </w:pPr>
      <w:bookmarkStart w:id="377" w:name="_Toc131663834"/>
      <w:bookmarkStart w:id="378" w:name="_Toc132355335"/>
      <w:r w:rsidRPr="006E6D19">
        <w:rPr>
          <w:sz w:val="64"/>
          <w:szCs w:val="64"/>
        </w:rPr>
        <w:lastRenderedPageBreak/>
        <w:t>Safely using restraint under the Mental Health Act</w:t>
      </w:r>
      <w:bookmarkEnd w:id="367"/>
      <w:bookmarkEnd w:id="368"/>
      <w:bookmarkEnd w:id="377"/>
      <w:bookmarkEnd w:id="378"/>
    </w:p>
    <w:p w14:paraId="67BEF825" w14:textId="0D28DB18" w:rsidR="00DB1B6E" w:rsidRDefault="00DB1B6E" w:rsidP="006E6D19">
      <w:r>
        <w:t>Services should only use r</w:t>
      </w:r>
      <w:r w:rsidRPr="003E6992">
        <w:t>estraint</w:t>
      </w:r>
      <w:r>
        <w:t xml:space="preserve"> once less restrictive measures have proved unsuccessful, and only to the extent that is ‘reasonably necessary in the circumstances’ (section 122B of the Mental Health Act). Restraint </w:t>
      </w:r>
      <w:r w:rsidRPr="003E6992">
        <w:t>is</w:t>
      </w:r>
      <w:r>
        <w:t xml:space="preserve"> </w:t>
      </w:r>
      <w:r w:rsidRPr="003E6992">
        <w:t>a</w:t>
      </w:r>
      <w:r>
        <w:t xml:space="preserve"> </w:t>
      </w:r>
      <w:r w:rsidRPr="003E6992">
        <w:t>serious</w:t>
      </w:r>
      <w:r>
        <w:t xml:space="preserve"> </w:t>
      </w:r>
      <w:r w:rsidRPr="003E6992">
        <w:t>intervention</w:t>
      </w:r>
      <w:r>
        <w:t xml:space="preserve"> </w:t>
      </w:r>
      <w:r w:rsidRPr="003E6992">
        <w:t>requiring</w:t>
      </w:r>
      <w:r>
        <w:t xml:space="preserve"> </w:t>
      </w:r>
      <w:r w:rsidRPr="003E6992">
        <w:t>robust</w:t>
      </w:r>
      <w:r>
        <w:t xml:space="preserve"> </w:t>
      </w:r>
      <w:r w:rsidRPr="003E6992">
        <w:t>clinical</w:t>
      </w:r>
      <w:r>
        <w:t xml:space="preserve"> </w:t>
      </w:r>
      <w:r w:rsidRPr="003E6992">
        <w:t>justification</w:t>
      </w:r>
      <w:r>
        <w:t xml:space="preserve"> </w:t>
      </w:r>
      <w:r w:rsidRPr="003E6992">
        <w:t>and</w:t>
      </w:r>
      <w:r>
        <w:t xml:space="preserve"> </w:t>
      </w:r>
      <w:r w:rsidRPr="003E6992">
        <w:t>oversight.</w:t>
      </w:r>
      <w:r>
        <w:t xml:space="preserve"> If staff use restraint, they have a duty of care to mitigate the psychological and physical harms that can occur</w:t>
      </w:r>
      <w:r w:rsidRPr="003E6992">
        <w:t>.</w:t>
      </w:r>
      <w:r>
        <w:t xml:space="preserve"> </w:t>
      </w:r>
    </w:p>
    <w:p w14:paraId="7369D0DA" w14:textId="77777777" w:rsidR="006E6D19" w:rsidRDefault="006E6D19" w:rsidP="006E6D19"/>
    <w:p w14:paraId="244281A1" w14:textId="77777777" w:rsidR="00DB1B6E" w:rsidRDefault="00DB1B6E" w:rsidP="006E6D19">
      <w:r>
        <w:t xml:space="preserve">As mentioned, </w:t>
      </w:r>
      <w:r w:rsidRPr="004A7471">
        <w:t>Ngā</w:t>
      </w:r>
      <w:r>
        <w:t xml:space="preserve"> P</w:t>
      </w:r>
      <w:r w:rsidRPr="004A7471">
        <w:t>aerewa</w:t>
      </w:r>
      <w:r>
        <w:t xml:space="preserve"> in Outcome 6 ‘</w:t>
      </w:r>
      <w:r w:rsidRPr="003F0976">
        <w:rPr>
          <w:iCs/>
        </w:rPr>
        <w:t xml:space="preserve">Here </w:t>
      </w:r>
      <w:r>
        <w:rPr>
          <w:iCs/>
        </w:rPr>
        <w:t>T</w:t>
      </w:r>
      <w:r w:rsidRPr="003F0976">
        <w:rPr>
          <w:iCs/>
        </w:rPr>
        <w:t>aratahi Restraint and Seclusion</w:t>
      </w:r>
      <w:r>
        <w:rPr>
          <w:iCs/>
        </w:rPr>
        <w:t>’</w:t>
      </w:r>
      <w:r>
        <w:t xml:space="preserve"> requires that ‘services shall aim for a restraint and seclusion free environment, in which people’s dignity and mana are maintained.’ </w:t>
      </w:r>
    </w:p>
    <w:p w14:paraId="2673BD54" w14:textId="77777777" w:rsidR="00DB1B6E" w:rsidRPr="006E6D19" w:rsidRDefault="00DB1B6E" w:rsidP="006E6D19">
      <w:pPr>
        <w:pStyle w:val="Heading2"/>
      </w:pPr>
      <w:bookmarkStart w:id="379" w:name="_Toc103152132"/>
      <w:bookmarkStart w:id="380" w:name="_Toc105770652"/>
      <w:bookmarkStart w:id="381" w:name="_Toc131663835"/>
      <w:bookmarkStart w:id="382" w:name="_Toc132355336"/>
      <w:r w:rsidRPr="006E6D19">
        <w:t>Legislation governing restraint</w:t>
      </w:r>
      <w:bookmarkEnd w:id="379"/>
      <w:bookmarkEnd w:id="380"/>
      <w:bookmarkEnd w:id="381"/>
      <w:bookmarkEnd w:id="382"/>
      <w:r w:rsidRPr="006E6D19">
        <w:t xml:space="preserve"> </w:t>
      </w:r>
    </w:p>
    <w:p w14:paraId="41331010" w14:textId="1A308935" w:rsidR="00DB1B6E" w:rsidRDefault="00DB1B6E" w:rsidP="006E6D19">
      <w:r w:rsidRPr="003A6212">
        <w:t>Restraint</w:t>
      </w:r>
      <w:r>
        <w:t xml:space="preserve"> – particularly personal and physical restraint – </w:t>
      </w:r>
      <w:r w:rsidRPr="003A6212">
        <w:t>is</w:t>
      </w:r>
      <w:r>
        <w:t xml:space="preserve"> </w:t>
      </w:r>
      <w:r w:rsidRPr="003A6212">
        <w:t>considered</w:t>
      </w:r>
      <w:r>
        <w:t xml:space="preserve"> </w:t>
      </w:r>
      <w:r w:rsidRPr="003A6212">
        <w:t>a</w:t>
      </w:r>
      <w:r>
        <w:t xml:space="preserve"> </w:t>
      </w:r>
      <w:r w:rsidRPr="003A6212">
        <w:t>use</w:t>
      </w:r>
      <w:r>
        <w:t xml:space="preserve"> </w:t>
      </w:r>
      <w:r w:rsidRPr="003A6212">
        <w:t>of</w:t>
      </w:r>
      <w:r>
        <w:t xml:space="preserve"> </w:t>
      </w:r>
      <w:r w:rsidRPr="003A6212">
        <w:t>force</w:t>
      </w:r>
      <w:r>
        <w:t xml:space="preserve"> </w:t>
      </w:r>
      <w:r w:rsidRPr="003A6212">
        <w:t>under</w:t>
      </w:r>
      <w:r>
        <w:t xml:space="preserve"> </w:t>
      </w:r>
      <w:r w:rsidRPr="003A6212">
        <w:t>section</w:t>
      </w:r>
      <w:r>
        <w:t> </w:t>
      </w:r>
      <w:r w:rsidRPr="003A6212">
        <w:t>122B</w:t>
      </w:r>
      <w:r>
        <w:t xml:space="preserve"> </w:t>
      </w:r>
      <w:r w:rsidRPr="003A6212">
        <w:t>of</w:t>
      </w:r>
      <w:r>
        <w:t xml:space="preserve"> </w:t>
      </w:r>
      <w:r w:rsidRPr="003A6212">
        <w:t>the</w:t>
      </w:r>
      <w:r>
        <w:t xml:space="preserve"> </w:t>
      </w:r>
      <w:r w:rsidRPr="003A6212">
        <w:t>Mental</w:t>
      </w:r>
      <w:r>
        <w:t xml:space="preserve"> </w:t>
      </w:r>
      <w:r w:rsidRPr="003A6212">
        <w:t>Health</w:t>
      </w:r>
      <w:r>
        <w:t xml:space="preserve"> </w:t>
      </w:r>
      <w:r w:rsidRPr="003A6212">
        <w:t>Act.</w:t>
      </w:r>
      <w:r>
        <w:t xml:space="preserve"> </w:t>
      </w:r>
      <w:r w:rsidRPr="003A6212">
        <w:t>Section</w:t>
      </w:r>
      <w:r>
        <w:t xml:space="preserve"> </w:t>
      </w:r>
      <w:r w:rsidRPr="003A6212">
        <w:t>122B</w:t>
      </w:r>
      <w:r>
        <w:t xml:space="preserve"> </w:t>
      </w:r>
      <w:r w:rsidRPr="003A6212">
        <w:t>outlines</w:t>
      </w:r>
      <w:r>
        <w:t xml:space="preserve"> </w:t>
      </w:r>
      <w:r w:rsidRPr="003A6212">
        <w:t>the</w:t>
      </w:r>
      <w:r>
        <w:t xml:space="preserve"> </w:t>
      </w:r>
      <w:r w:rsidRPr="003A6212">
        <w:t>circumstances</w:t>
      </w:r>
      <w:r>
        <w:t xml:space="preserve"> </w:t>
      </w:r>
      <w:r w:rsidRPr="003A6212">
        <w:t>in</w:t>
      </w:r>
      <w:r>
        <w:t xml:space="preserve"> </w:t>
      </w:r>
      <w:r w:rsidRPr="003A6212">
        <w:t>which</w:t>
      </w:r>
      <w:r>
        <w:t xml:space="preserve"> </w:t>
      </w:r>
      <w:r w:rsidRPr="003A6212">
        <w:t>force</w:t>
      </w:r>
      <w:r>
        <w:t xml:space="preserve"> </w:t>
      </w:r>
      <w:r w:rsidRPr="003A6212">
        <w:t>may</w:t>
      </w:r>
      <w:r>
        <w:t xml:space="preserve"> </w:t>
      </w:r>
      <w:r w:rsidRPr="003A6212">
        <w:t>be</w:t>
      </w:r>
      <w:r>
        <w:t xml:space="preserve"> </w:t>
      </w:r>
      <w:r w:rsidRPr="003A6212">
        <w:t>used</w:t>
      </w:r>
      <w:r>
        <w:t xml:space="preserve"> </w:t>
      </w:r>
      <w:r w:rsidRPr="003A6212">
        <w:t>and</w:t>
      </w:r>
      <w:r>
        <w:t xml:space="preserve"> states </w:t>
      </w:r>
      <w:r w:rsidRPr="003A6212">
        <w:t>that</w:t>
      </w:r>
      <w:r>
        <w:t xml:space="preserve"> </w:t>
      </w:r>
      <w:r w:rsidRPr="003A6212">
        <w:t>it</w:t>
      </w:r>
      <w:r>
        <w:t xml:space="preserve"> must </w:t>
      </w:r>
      <w:r w:rsidRPr="003A6212">
        <w:t>only</w:t>
      </w:r>
      <w:r>
        <w:t xml:space="preserve"> </w:t>
      </w:r>
      <w:r w:rsidRPr="003A6212">
        <w:t>be</w:t>
      </w:r>
      <w:r>
        <w:t xml:space="preserve"> ‘</w:t>
      </w:r>
      <w:r w:rsidRPr="003A6212">
        <w:rPr>
          <w:color w:val="000000"/>
          <w:shd w:val="clear" w:color="auto" w:fill="FFFFFF"/>
        </w:rPr>
        <w:t>such</w:t>
      </w:r>
      <w:r>
        <w:rPr>
          <w:color w:val="000000"/>
          <w:shd w:val="clear" w:color="auto" w:fill="FFFFFF"/>
        </w:rPr>
        <w:t xml:space="preserve"> </w:t>
      </w:r>
      <w:r w:rsidRPr="003A6212">
        <w:rPr>
          <w:color w:val="000000"/>
          <w:shd w:val="clear" w:color="auto" w:fill="FFFFFF"/>
        </w:rPr>
        <w:t>force</w:t>
      </w:r>
      <w:r>
        <w:rPr>
          <w:color w:val="000000"/>
          <w:shd w:val="clear" w:color="auto" w:fill="FFFFFF"/>
        </w:rPr>
        <w:t xml:space="preserve"> </w:t>
      </w:r>
      <w:r w:rsidRPr="003A6212">
        <w:rPr>
          <w:color w:val="000000"/>
          <w:shd w:val="clear" w:color="auto" w:fill="FFFFFF"/>
        </w:rPr>
        <w:t>as</w:t>
      </w:r>
      <w:r>
        <w:rPr>
          <w:color w:val="000000"/>
          <w:shd w:val="clear" w:color="auto" w:fill="FFFFFF"/>
        </w:rPr>
        <w:t xml:space="preserve"> </w:t>
      </w:r>
      <w:r w:rsidRPr="003A6212">
        <w:rPr>
          <w:color w:val="000000"/>
          <w:shd w:val="clear" w:color="auto" w:fill="FFFFFF"/>
        </w:rPr>
        <w:t>is</w:t>
      </w:r>
      <w:r>
        <w:rPr>
          <w:color w:val="000000"/>
          <w:shd w:val="clear" w:color="auto" w:fill="FFFFFF"/>
        </w:rPr>
        <w:t xml:space="preserve"> </w:t>
      </w:r>
      <w:r w:rsidRPr="003A6212">
        <w:rPr>
          <w:color w:val="000000"/>
          <w:shd w:val="clear" w:color="auto" w:fill="FFFFFF"/>
        </w:rPr>
        <w:t>reasonably</w:t>
      </w:r>
      <w:r>
        <w:rPr>
          <w:color w:val="000000"/>
          <w:shd w:val="clear" w:color="auto" w:fill="FFFFFF"/>
        </w:rPr>
        <w:t xml:space="preserve"> </w:t>
      </w:r>
      <w:r w:rsidRPr="003A6212">
        <w:rPr>
          <w:color w:val="000000"/>
          <w:shd w:val="clear" w:color="auto" w:fill="FFFFFF"/>
        </w:rPr>
        <w:t>necessary</w:t>
      </w:r>
      <w:r>
        <w:rPr>
          <w:color w:val="000000"/>
          <w:shd w:val="clear" w:color="auto" w:fill="FFFFFF"/>
        </w:rPr>
        <w:t xml:space="preserve"> </w:t>
      </w:r>
      <w:r w:rsidRPr="003A6212">
        <w:rPr>
          <w:color w:val="000000"/>
          <w:shd w:val="clear" w:color="auto" w:fill="FFFFFF"/>
        </w:rPr>
        <w:t>in</w:t>
      </w:r>
      <w:r>
        <w:rPr>
          <w:color w:val="000000"/>
          <w:shd w:val="clear" w:color="auto" w:fill="FFFFFF"/>
        </w:rPr>
        <w:t xml:space="preserve"> </w:t>
      </w:r>
      <w:r w:rsidRPr="003A6212">
        <w:rPr>
          <w:color w:val="000000"/>
          <w:shd w:val="clear" w:color="auto" w:fill="FFFFFF"/>
        </w:rPr>
        <w:t>the</w:t>
      </w:r>
      <w:r>
        <w:rPr>
          <w:color w:val="000000"/>
          <w:shd w:val="clear" w:color="auto" w:fill="FFFFFF"/>
        </w:rPr>
        <w:t xml:space="preserve"> </w:t>
      </w:r>
      <w:r w:rsidRPr="003A6212">
        <w:rPr>
          <w:color w:val="000000"/>
          <w:shd w:val="clear" w:color="auto" w:fill="FFFFFF"/>
        </w:rPr>
        <w:t>circumstances</w:t>
      </w:r>
      <w:r>
        <w:rPr>
          <w:color w:val="000000"/>
          <w:shd w:val="clear" w:color="auto" w:fill="FFFFFF"/>
        </w:rPr>
        <w:t xml:space="preserve">’. </w:t>
      </w:r>
      <w:r w:rsidRPr="003A6212">
        <w:rPr>
          <w:color w:val="000000"/>
          <w:shd w:val="clear" w:color="auto" w:fill="FFFFFF"/>
        </w:rPr>
        <w:t>The</w:t>
      </w:r>
      <w:r>
        <w:rPr>
          <w:color w:val="000000"/>
          <w:shd w:val="clear" w:color="auto" w:fill="FFFFFF"/>
        </w:rPr>
        <w:t xml:space="preserve"> </w:t>
      </w:r>
      <w:r w:rsidRPr="003A6212">
        <w:rPr>
          <w:color w:val="000000"/>
          <w:shd w:val="clear" w:color="auto" w:fill="FFFFFF"/>
        </w:rPr>
        <w:t>information</w:t>
      </w:r>
      <w:r>
        <w:rPr>
          <w:color w:val="000000"/>
          <w:shd w:val="clear" w:color="auto" w:fill="FFFFFF"/>
        </w:rPr>
        <w:t xml:space="preserve"> </w:t>
      </w:r>
      <w:r w:rsidRPr="003A6212">
        <w:rPr>
          <w:color w:val="000000"/>
          <w:shd w:val="clear" w:color="auto" w:fill="FFFFFF"/>
        </w:rPr>
        <w:t>in</w:t>
      </w:r>
      <w:r>
        <w:rPr>
          <w:color w:val="000000"/>
          <w:shd w:val="clear" w:color="auto" w:fill="FFFFFF"/>
        </w:rPr>
        <w:t xml:space="preserve"> </w:t>
      </w:r>
      <w:r w:rsidRPr="003A6212">
        <w:rPr>
          <w:color w:val="000000"/>
          <w:shd w:val="clear" w:color="auto" w:fill="FFFFFF"/>
        </w:rPr>
        <w:t>this</w:t>
      </w:r>
      <w:r>
        <w:rPr>
          <w:color w:val="000000"/>
          <w:shd w:val="clear" w:color="auto" w:fill="FFFFFF"/>
        </w:rPr>
        <w:t xml:space="preserve"> </w:t>
      </w:r>
      <w:r w:rsidRPr="003A6212">
        <w:rPr>
          <w:color w:val="000000"/>
          <w:shd w:val="clear" w:color="auto" w:fill="FFFFFF"/>
        </w:rPr>
        <w:t>section</w:t>
      </w:r>
      <w:r>
        <w:t xml:space="preserve"> must </w:t>
      </w:r>
      <w:r w:rsidRPr="003A6212">
        <w:t>be</w:t>
      </w:r>
      <w:r>
        <w:t xml:space="preserve"> </w:t>
      </w:r>
      <w:r w:rsidRPr="003A6212">
        <w:t>read</w:t>
      </w:r>
      <w:r>
        <w:t xml:space="preserve"> </w:t>
      </w:r>
      <w:r w:rsidRPr="003A6212">
        <w:t>in</w:t>
      </w:r>
      <w:r>
        <w:t xml:space="preserve"> </w:t>
      </w:r>
      <w:r w:rsidRPr="003A6212">
        <w:t>conjunction</w:t>
      </w:r>
      <w:r>
        <w:t xml:space="preserve"> </w:t>
      </w:r>
      <w:r w:rsidRPr="003A6212">
        <w:t>with</w:t>
      </w:r>
      <w:r>
        <w:t xml:space="preserve"> </w:t>
      </w:r>
      <w:r w:rsidRPr="003A6212">
        <w:t>the</w:t>
      </w:r>
      <w:r>
        <w:t xml:space="preserve"> </w:t>
      </w:r>
      <w:r w:rsidRPr="00B6194E">
        <w:rPr>
          <w:i/>
          <w:iCs/>
        </w:rPr>
        <w:t xml:space="preserve">Guidelines to the </w:t>
      </w:r>
      <w:r w:rsidRPr="00B6194E">
        <w:rPr>
          <w:i/>
        </w:rPr>
        <w:t>Mental Health Act</w:t>
      </w:r>
      <w:r>
        <w:t xml:space="preserve"> </w:t>
      </w:r>
      <w:r w:rsidRPr="003A6212">
        <w:t>(</w:t>
      </w:r>
      <w:r>
        <w:t xml:space="preserve">in particular, </w:t>
      </w:r>
      <w:r w:rsidRPr="003A6212">
        <w:t>section</w:t>
      </w:r>
      <w:r>
        <w:t xml:space="preserve"> </w:t>
      </w:r>
      <w:r w:rsidRPr="003A6212">
        <w:t>15.7)</w:t>
      </w:r>
      <w:r>
        <w:t xml:space="preserve">, </w:t>
      </w:r>
      <w:r w:rsidRPr="003A6212">
        <w:t>which</w:t>
      </w:r>
      <w:r>
        <w:t xml:space="preserve"> </w:t>
      </w:r>
      <w:r w:rsidRPr="003A6212">
        <w:t>provides</w:t>
      </w:r>
      <w:r>
        <w:t xml:space="preserve"> </w:t>
      </w:r>
      <w:r w:rsidRPr="003A6212">
        <w:t>guidance</w:t>
      </w:r>
      <w:r>
        <w:t xml:space="preserve"> </w:t>
      </w:r>
      <w:r w:rsidRPr="003A6212">
        <w:t>for</w:t>
      </w:r>
      <w:r>
        <w:t xml:space="preserve"> </w:t>
      </w:r>
      <w:r w:rsidRPr="003A6212">
        <w:t>the</w:t>
      </w:r>
      <w:r>
        <w:t xml:space="preserve"> </w:t>
      </w:r>
      <w:r w:rsidRPr="003A6212">
        <w:t>use</w:t>
      </w:r>
      <w:r>
        <w:t xml:space="preserve"> </w:t>
      </w:r>
      <w:r w:rsidRPr="003A6212">
        <w:t>of</w:t>
      </w:r>
      <w:r>
        <w:t xml:space="preserve"> </w:t>
      </w:r>
      <w:r w:rsidRPr="003A6212">
        <w:t>force</w:t>
      </w:r>
      <w:r>
        <w:t xml:space="preserve"> </w:t>
      </w:r>
      <w:r w:rsidRPr="003A6212">
        <w:t>under</w:t>
      </w:r>
      <w:r>
        <w:t xml:space="preserve"> </w:t>
      </w:r>
      <w:r w:rsidRPr="003A6212">
        <w:t>the</w:t>
      </w:r>
      <w:r>
        <w:t xml:space="preserve"> </w:t>
      </w:r>
      <w:r w:rsidRPr="003A6212">
        <w:t>Mental</w:t>
      </w:r>
      <w:r>
        <w:t xml:space="preserve"> </w:t>
      </w:r>
      <w:r w:rsidRPr="003A6212">
        <w:t>Health</w:t>
      </w:r>
      <w:r>
        <w:t xml:space="preserve"> </w:t>
      </w:r>
      <w:r w:rsidRPr="003A6212">
        <w:t>Act.</w:t>
      </w:r>
      <w:r>
        <w:t xml:space="preserve"> </w:t>
      </w:r>
    </w:p>
    <w:p w14:paraId="530C7AD0" w14:textId="77777777" w:rsidR="006E6D19" w:rsidRPr="003A6212" w:rsidRDefault="006E6D19" w:rsidP="006E6D19"/>
    <w:p w14:paraId="5EFC19C4" w14:textId="77777777" w:rsidR="00DB1B6E" w:rsidRDefault="00DB1B6E" w:rsidP="006E6D19">
      <w:r>
        <w:t>Restraint is also permitted in certain circumstances under the Crimes Act 1961 to prevent injury to self or others. Section 151 of the Crimes Act provides that everyone who has actual care or charge of a vulnerable person has a legal duty ‘</w:t>
      </w:r>
      <w:r w:rsidRPr="007A1790">
        <w:t>to</w:t>
      </w:r>
      <w:r>
        <w:t xml:space="preserve"> </w:t>
      </w:r>
      <w:r w:rsidRPr="007A1790">
        <w:t>take</w:t>
      </w:r>
      <w:r>
        <w:t xml:space="preserve"> </w:t>
      </w:r>
      <w:r w:rsidRPr="007A1790">
        <w:t>reasonable</w:t>
      </w:r>
      <w:r>
        <w:t xml:space="preserve"> </w:t>
      </w:r>
      <w:r w:rsidRPr="007A1790">
        <w:t>steps</w:t>
      </w:r>
      <w:r>
        <w:t xml:space="preserve"> </w:t>
      </w:r>
      <w:r w:rsidRPr="007A1790">
        <w:t>to</w:t>
      </w:r>
      <w:r>
        <w:t xml:space="preserve"> </w:t>
      </w:r>
      <w:r w:rsidRPr="007A1790">
        <w:t>protect</w:t>
      </w:r>
      <w:r>
        <w:t xml:space="preserve"> </w:t>
      </w:r>
      <w:r w:rsidRPr="007A1790">
        <w:t>that</w:t>
      </w:r>
      <w:r>
        <w:t xml:space="preserve"> </w:t>
      </w:r>
      <w:r w:rsidRPr="007A1790">
        <w:t>person</w:t>
      </w:r>
      <w:r>
        <w:t xml:space="preserve"> </w:t>
      </w:r>
      <w:r w:rsidRPr="007A1790">
        <w:t>from</w:t>
      </w:r>
      <w:r>
        <w:t xml:space="preserve"> </w:t>
      </w:r>
      <w:r w:rsidRPr="007A1790">
        <w:t>injury</w:t>
      </w:r>
      <w:r>
        <w:t>’</w:t>
      </w:r>
      <w:r w:rsidRPr="007A1790">
        <w:t>.</w:t>
      </w:r>
      <w:r>
        <w:t xml:space="preserve"> Section 48 is also relevant; it provides that everyone is justified in using, in defence of themselves or another person, force that they believe is reasonable to use given the circumstances. Appendix A sets out the relevant sections of </w:t>
      </w:r>
      <w:r w:rsidRPr="007A1790">
        <w:t>the</w:t>
      </w:r>
      <w:r>
        <w:t xml:space="preserve"> </w:t>
      </w:r>
      <w:r w:rsidRPr="007A1790">
        <w:t>Crimes</w:t>
      </w:r>
      <w:r>
        <w:t xml:space="preserve"> </w:t>
      </w:r>
      <w:r w:rsidRPr="007A1790">
        <w:t>Act.</w:t>
      </w:r>
      <w:r>
        <w:t xml:space="preserve"> </w:t>
      </w:r>
    </w:p>
    <w:p w14:paraId="087559E2" w14:textId="77777777" w:rsidR="00DB1B6E" w:rsidRPr="006E6D19" w:rsidRDefault="00DB1B6E" w:rsidP="006E6D19">
      <w:pPr>
        <w:pStyle w:val="Heading2"/>
      </w:pPr>
      <w:bookmarkStart w:id="383" w:name="_Toc131663836"/>
      <w:bookmarkStart w:id="384" w:name="_Toc132355337"/>
      <w:r w:rsidRPr="006E6D19">
        <w:t>Environmental restraint</w:t>
      </w:r>
      <w:bookmarkEnd w:id="383"/>
      <w:bookmarkEnd w:id="384"/>
    </w:p>
    <w:p w14:paraId="1905F93D" w14:textId="011DD27D" w:rsidR="00DB1B6E" w:rsidRDefault="00DB1B6E" w:rsidP="006E6D19">
      <w:r w:rsidRPr="00451E63">
        <w:t xml:space="preserve">These guidelines define environmental </w:t>
      </w:r>
      <w:r w:rsidRPr="00C15C7D">
        <w:t>restraint</w:t>
      </w:r>
      <w:r w:rsidRPr="00451E63">
        <w:t xml:space="preserve"> as </w:t>
      </w:r>
      <w:r>
        <w:t>‘</w:t>
      </w:r>
      <w:r w:rsidRPr="00451E63">
        <w:t>where a service provider intentionally restricts a person’s normal access to their environment</w:t>
      </w:r>
      <w:r>
        <w:t>:</w:t>
      </w:r>
      <w:r w:rsidRPr="00451E63">
        <w:t xml:space="preserve"> </w:t>
      </w:r>
      <w:r>
        <w:t>f</w:t>
      </w:r>
      <w:r w:rsidRPr="00451E63">
        <w:t xml:space="preserve">or example, where a </w:t>
      </w:r>
      <w:r>
        <w:t xml:space="preserve">person’s </w:t>
      </w:r>
      <w:r w:rsidRPr="00451E63">
        <w:t xml:space="preserve">normal access to their environment is intentionally restricted by locking </w:t>
      </w:r>
      <w:r>
        <w:t xml:space="preserve">or blocking </w:t>
      </w:r>
      <w:r w:rsidRPr="00451E63">
        <w:t>doors</w:t>
      </w:r>
      <w:r>
        <w:t>.’</w:t>
      </w:r>
    </w:p>
    <w:p w14:paraId="7020AD7F" w14:textId="77777777" w:rsidR="006E6D19" w:rsidRPr="00451E63" w:rsidRDefault="006E6D19" w:rsidP="006E6D19"/>
    <w:p w14:paraId="15374D3D" w14:textId="2AC63D4C" w:rsidR="00DB1B6E" w:rsidRDefault="00DB1B6E" w:rsidP="006E6D19">
      <w:r>
        <w:t xml:space="preserve">Environmental restraint limits a person’s normal freedom of movement and </w:t>
      </w:r>
      <w:r w:rsidRPr="00BC1526">
        <w:t>includes the locking of doors of an inpatient unit or limiting a person’s access to certain parts of a unit.</w:t>
      </w:r>
      <w:r>
        <w:t xml:space="preserve"> Such actions may deprive someone of their right to company (section 71 of the </w:t>
      </w:r>
      <w:r>
        <w:lastRenderedPageBreak/>
        <w:t xml:space="preserve">Mental Health Act) or their right to not be arbitrarily detained (section 22 of the New Zealand Bill of Rights Act). </w:t>
      </w:r>
    </w:p>
    <w:p w14:paraId="122A6840" w14:textId="77777777" w:rsidR="006E6D19" w:rsidRDefault="006E6D19" w:rsidP="006E6D19"/>
    <w:p w14:paraId="059AD9DB" w14:textId="7FEE1857" w:rsidR="00DB1B6E" w:rsidRDefault="00DB1B6E" w:rsidP="006E6D19">
      <w:r w:rsidRPr="00B6194E">
        <w:t xml:space="preserve">It is important to note that environmental restraint used to influence the behaviour of one person may have unintended consequences for another person. </w:t>
      </w:r>
      <w:r>
        <w:t>For example, i</w:t>
      </w:r>
      <w:r w:rsidRPr="00B6194E">
        <w:t xml:space="preserve">n a group setting such as a mental health inpatient unit, locking a room or area can limit the rights and freedoms of other people living in that unit. </w:t>
      </w:r>
      <w:r>
        <w:t>Staff should take this into consideration w</w:t>
      </w:r>
      <w:r w:rsidRPr="00B6194E">
        <w:t>hen implementing any restrictive practice.</w:t>
      </w:r>
    </w:p>
    <w:p w14:paraId="6C28D18A" w14:textId="77777777" w:rsidR="006E6D19" w:rsidRPr="00B6194E" w:rsidRDefault="006E6D19" w:rsidP="006E6D19"/>
    <w:p w14:paraId="20A45EFB" w14:textId="74FB98C9" w:rsidR="00DB1B6E" w:rsidRDefault="00DB1B6E" w:rsidP="006E6D19">
      <w:r w:rsidRPr="16FCC5A0">
        <w:t xml:space="preserve">If it is considered necessary to restrict the movement of a person who presents an imminent risk of harm to others, </w:t>
      </w:r>
      <w:r>
        <w:t xml:space="preserve">we </w:t>
      </w:r>
      <w:r w:rsidRPr="16FCC5A0">
        <w:t xml:space="preserve">recommend that this </w:t>
      </w:r>
      <w:r>
        <w:t xml:space="preserve">should be </w:t>
      </w:r>
      <w:r w:rsidRPr="16FCC5A0">
        <w:t xml:space="preserve">part of a planned approach including actions to minimise the need for more restrictive restraint. If the use of environmental restraint does not achieve the intended purpose, </w:t>
      </w:r>
      <w:r>
        <w:t xml:space="preserve">staff should investigate and use </w:t>
      </w:r>
      <w:r w:rsidRPr="16FCC5A0">
        <w:t>alternative strategies. This may include an external assessment process to determine the most appropriate level of care.</w:t>
      </w:r>
    </w:p>
    <w:p w14:paraId="73214862" w14:textId="77777777" w:rsidR="006E6D19" w:rsidRDefault="006E6D19" w:rsidP="006E6D19">
      <w:pPr>
        <w:rPr>
          <w:sz w:val="22"/>
          <w:szCs w:val="22"/>
        </w:rPr>
      </w:pPr>
    </w:p>
    <w:p w14:paraId="5CDC9468" w14:textId="5EE2D10F" w:rsidR="00DB1B6E" w:rsidRDefault="00DB1B6E" w:rsidP="006E6D19">
      <w:r w:rsidRPr="334F3341">
        <w:t xml:space="preserve">Where a decision is made to limit a person’s normal freedom of movement within the environment of </w:t>
      </w:r>
      <w:r>
        <w:t>an</w:t>
      </w:r>
      <w:r w:rsidRPr="334F3341">
        <w:t xml:space="preserve"> inpatient mental health unit, </w:t>
      </w:r>
      <w:r>
        <w:t xml:space="preserve">staff </w:t>
      </w:r>
      <w:r w:rsidRPr="334F3341">
        <w:t xml:space="preserve">must record </w:t>
      </w:r>
      <w:r>
        <w:t xml:space="preserve">this </w:t>
      </w:r>
      <w:r w:rsidRPr="334F3341">
        <w:t xml:space="preserve">as an episode of </w:t>
      </w:r>
      <w:r>
        <w:t xml:space="preserve">environmental </w:t>
      </w:r>
      <w:r w:rsidRPr="334F3341">
        <w:t xml:space="preserve">restraint in the service’s reportable event system. </w:t>
      </w:r>
      <w:r>
        <w:t xml:space="preserve">Directors of Area Mental Health Services must </w:t>
      </w:r>
      <w:r w:rsidRPr="334F3341">
        <w:t xml:space="preserve">report </w:t>
      </w:r>
      <w:r>
        <w:t xml:space="preserve">use of </w:t>
      </w:r>
      <w:r w:rsidRPr="334F3341">
        <w:t xml:space="preserve">restraint to the Director of Mental Health in their quarterly reports. </w:t>
      </w:r>
    </w:p>
    <w:p w14:paraId="3E7B1739" w14:textId="77777777" w:rsidR="006E6D19" w:rsidRDefault="006E6D19" w:rsidP="006E6D19"/>
    <w:p w14:paraId="15362FBA" w14:textId="1E4CB5CA" w:rsidR="00DB1B6E" w:rsidRDefault="00DB1B6E" w:rsidP="006E6D19">
      <w:r>
        <w:t>Where staff lock internal doors</w:t>
      </w:r>
      <w:r w:rsidRPr="005258DF">
        <w:t xml:space="preserve">, </w:t>
      </w:r>
      <w:r>
        <w:t>they must restore access to all the areas of the unit that people would ordinarily have access to as soon as it is practicable and safe.</w:t>
      </w:r>
    </w:p>
    <w:p w14:paraId="7FE6CAF0" w14:textId="77777777" w:rsidR="001A4142" w:rsidRDefault="001A4142" w:rsidP="006E6D19"/>
    <w:p w14:paraId="5AD1B328" w14:textId="77777777" w:rsidR="00DB1B6E" w:rsidRDefault="00DB1B6E" w:rsidP="006E6D19">
      <w:r w:rsidRPr="007022F9">
        <w:t>People who need mobility aids</w:t>
      </w:r>
      <w:r>
        <w:t>,</w:t>
      </w:r>
      <w:r w:rsidRPr="007022F9">
        <w:t xml:space="preserve"> such as a wheelchair</w:t>
      </w:r>
      <w:r>
        <w:t xml:space="preserve"> or walking aid,</w:t>
      </w:r>
      <w:r w:rsidRPr="007022F9">
        <w:t xml:space="preserve"> should not be prevented from accessing those aids as a means of limiting their movement.</w:t>
      </w:r>
      <w:r>
        <w:t xml:space="preserve"> This may constitute a breach of their human rights and the </w:t>
      </w:r>
      <w:r w:rsidRPr="00B40B4C">
        <w:t>Code of Rights</w:t>
      </w:r>
      <w:r>
        <w:t xml:space="preserve">. </w:t>
      </w:r>
    </w:p>
    <w:p w14:paraId="39D2F566" w14:textId="77777777" w:rsidR="00DB1B6E" w:rsidRPr="006E6D19" w:rsidRDefault="00DB1B6E" w:rsidP="006E6D19">
      <w:pPr>
        <w:pStyle w:val="Heading3"/>
      </w:pPr>
      <w:bookmarkStart w:id="385" w:name="_Toc131663837"/>
      <w:r w:rsidRPr="006E6D19">
        <w:t>Environmental restraint and seclusion</w:t>
      </w:r>
      <w:bookmarkEnd w:id="385"/>
      <w:r w:rsidRPr="006E6D19">
        <w:t xml:space="preserve"> </w:t>
      </w:r>
    </w:p>
    <w:p w14:paraId="6D1D2B29" w14:textId="77777777" w:rsidR="00DB1B6E" w:rsidRDefault="00DB1B6E" w:rsidP="006E6D19">
      <w:r>
        <w:t>Environmental restraint can be viewed as a continuum; seclusion is the most restrictive form. A situation in which a person is alone while their movement is restricted effectively meets the definition of seclusion. Determining the point at which environmental restraint becomes seclusion will depend on factors such as the purpose of the restriction, the impact on the person and ward design. To help determine this, services can ask person-centred, rights-based questions to understand the likely impact on the person. For example:</w:t>
      </w:r>
    </w:p>
    <w:p w14:paraId="130DAD52" w14:textId="77777777" w:rsidR="00DB1B6E" w:rsidRPr="0014237D" w:rsidRDefault="00DB1B6E" w:rsidP="006E6D19">
      <w:pPr>
        <w:pStyle w:val="Bullet"/>
      </w:pPr>
      <w:r>
        <w:t>I</w:t>
      </w:r>
      <w:r w:rsidRPr="0014237D">
        <w:t>s the intent of the restriction to deprive the person of company?</w:t>
      </w:r>
    </w:p>
    <w:p w14:paraId="0EBEEC26" w14:textId="77777777" w:rsidR="00DB1B6E" w:rsidRPr="0014237D" w:rsidRDefault="00DB1B6E" w:rsidP="006E6D19">
      <w:pPr>
        <w:pStyle w:val="Bullet"/>
      </w:pPr>
      <w:r>
        <w:t>Can the person socially interact with others?</w:t>
      </w:r>
    </w:p>
    <w:p w14:paraId="4D761A9C" w14:textId="77777777" w:rsidR="00DB1B6E" w:rsidRPr="0014237D" w:rsidRDefault="00DB1B6E" w:rsidP="006E6D19">
      <w:pPr>
        <w:pStyle w:val="Bullet"/>
      </w:pPr>
      <w:r>
        <w:t>C</w:t>
      </w:r>
      <w:r w:rsidRPr="0014237D">
        <w:t xml:space="preserve">an the person move freely around within the area, access their belongings and </w:t>
      </w:r>
      <w:r>
        <w:t>engage in</w:t>
      </w:r>
      <w:r w:rsidRPr="0014237D">
        <w:t xml:space="preserve"> activities (</w:t>
      </w:r>
      <w:r>
        <w:t xml:space="preserve">such as </w:t>
      </w:r>
      <w:r w:rsidRPr="0014237D">
        <w:t>read</w:t>
      </w:r>
      <w:r>
        <w:t>ing or</w:t>
      </w:r>
      <w:r w:rsidRPr="0014237D">
        <w:t xml:space="preserve"> watch</w:t>
      </w:r>
      <w:r>
        <w:t>ing</w:t>
      </w:r>
      <w:r w:rsidRPr="0014237D">
        <w:t xml:space="preserve"> </w:t>
      </w:r>
      <w:r>
        <w:t>television</w:t>
      </w:r>
      <w:r w:rsidRPr="0014237D">
        <w:t>)</w:t>
      </w:r>
      <w:r>
        <w:t>?</w:t>
      </w:r>
    </w:p>
    <w:p w14:paraId="46E7C457" w14:textId="77777777" w:rsidR="00DB1B6E" w:rsidRPr="0095296C" w:rsidRDefault="00DB1B6E" w:rsidP="00DB1B6E">
      <w:pPr>
        <w:pStyle w:val="ListParagraph"/>
        <w:rPr>
          <w:rFonts w:cs="Segoe UI"/>
          <w:szCs w:val="21"/>
        </w:rPr>
      </w:pPr>
    </w:p>
    <w:p w14:paraId="44640623" w14:textId="5AF3D4DA" w:rsidR="00DB1B6E" w:rsidRDefault="00DB1B6E" w:rsidP="006E6D19">
      <w:r>
        <w:t xml:space="preserve">If the intent of the restriction (aside from ensuring the safety of others) is to deprive the person of company, then the restriction is likely to meet the definition of seclusion, regardless of the exact location. However, if the person being alone is incidental to the reason for the restriction, the restriction is more likely to fit the definition of environmental restraint. This may be the case, for example, where staff decide to separate a person who is thought to pose a danger to others on the unit, and there is no </w:t>
      </w:r>
      <w:r>
        <w:lastRenderedPageBreak/>
        <w:t xml:space="preserve">other tangata whaiora who can safely share the space with that person. In a small inpatient unit, there may only be one person admitted in a particular area, so that their being alone is incidental. In these scenarios the person can move around within the area in which they are restrained, and have a choice of activities. In this sense, the intervention is less restrictive than seclusion, and </w:t>
      </w:r>
      <w:r w:rsidRPr="30BAD3A5">
        <w:t>may</w:t>
      </w:r>
      <w:r>
        <w:t xml:space="preserve"> be considered environmental restraint. </w:t>
      </w:r>
    </w:p>
    <w:p w14:paraId="57399805" w14:textId="77777777" w:rsidR="006E6D19" w:rsidRDefault="006E6D19" w:rsidP="006E6D19"/>
    <w:p w14:paraId="4C4C3FF6" w14:textId="77777777" w:rsidR="00DB1B6E" w:rsidRDefault="00DB1B6E" w:rsidP="006E6D19">
      <w:r>
        <w:t xml:space="preserve">Whenever a person is in </w:t>
      </w:r>
      <w:r w:rsidRPr="30BAD3A5">
        <w:t xml:space="preserve">an </w:t>
      </w:r>
      <w:r>
        <w:t xml:space="preserve">area without other tāngata whaiora, staff should ensure that the person has the opportunity for social interaction if they wish. This could include enabling contact with the person’s whānau or friends in person, by phone or through electronic communication. Understanding people’s preferences is </w:t>
      </w:r>
      <w:r w:rsidRPr="30BAD3A5">
        <w:t>important</w:t>
      </w:r>
      <w:r>
        <w:t xml:space="preserve">. People do not necessarily expect or want to be around others at all times (for example, in an inpatient unit it is reasonable to expect solitude in one’s bedroom, especially at night). However, if a person is consistently deprived of company, this may amount to seclusion. </w:t>
      </w:r>
    </w:p>
    <w:p w14:paraId="27B80FD9" w14:textId="77777777" w:rsidR="006E6D19" w:rsidRDefault="006E6D19" w:rsidP="006E6D19"/>
    <w:p w14:paraId="243E92A4" w14:textId="6F659954" w:rsidR="00DB1B6E" w:rsidRPr="00141DE8" w:rsidRDefault="00DB1B6E" w:rsidP="006E6D19">
      <w:r>
        <w:t xml:space="preserve">Where a person has expressed a preference for solitude and is voluntarily staying in an area (such as a de-escalation space) on their own, this is not a form of restraint as long as staff do not prevent the person from leaving that area at will. </w:t>
      </w:r>
    </w:p>
    <w:p w14:paraId="0F8C61FE" w14:textId="77777777" w:rsidR="00DB1B6E" w:rsidRPr="006E6D19" w:rsidRDefault="00DB1B6E" w:rsidP="006E6D19">
      <w:pPr>
        <w:pStyle w:val="Heading3"/>
      </w:pPr>
      <w:bookmarkStart w:id="386" w:name="_Toc103152134"/>
      <w:bookmarkStart w:id="387" w:name="_Toc105770654"/>
      <w:bookmarkStart w:id="388" w:name="_Toc131663838"/>
      <w:r w:rsidRPr="006E6D19">
        <w:t>Locked units</w:t>
      </w:r>
      <w:bookmarkEnd w:id="386"/>
      <w:bookmarkEnd w:id="387"/>
      <w:bookmarkEnd w:id="388"/>
    </w:p>
    <w:p w14:paraId="1797FA88" w14:textId="5B44B3B3" w:rsidR="00DB1B6E" w:rsidRDefault="00DB1B6E" w:rsidP="00DB1B6E">
      <w:pPr>
        <w:spacing w:line="276" w:lineRule="auto"/>
        <w:rPr>
          <w:rFonts w:cs="Segoe UI"/>
        </w:rPr>
      </w:pPr>
      <w:r w:rsidRPr="334F3341">
        <w:rPr>
          <w:rFonts w:cs="Segoe UI"/>
        </w:rPr>
        <w:t xml:space="preserve">In a locked unit, such as a secure forensic unit or general mental health high dependency unit, the locked exit is a permanent aspect of service delivery to meet the safety needs of people receiving treatment who </w:t>
      </w:r>
      <w:r>
        <w:rPr>
          <w:rFonts w:cs="Segoe UI"/>
        </w:rPr>
        <w:t xml:space="preserve">staff </w:t>
      </w:r>
      <w:r w:rsidRPr="334F3341">
        <w:rPr>
          <w:rFonts w:cs="Segoe UI"/>
        </w:rPr>
        <w:t xml:space="preserve">have assessed as needing that level of care and support. </w:t>
      </w:r>
      <w:r>
        <w:rPr>
          <w:rFonts w:cs="Segoe UI"/>
        </w:rPr>
        <w:t xml:space="preserve">This is not considered a form of environmental restraint for the purposes of these guidelines. </w:t>
      </w:r>
    </w:p>
    <w:p w14:paraId="75AEB8E2" w14:textId="77777777" w:rsidR="006E6D19" w:rsidRDefault="006E6D19" w:rsidP="00DB1B6E">
      <w:pPr>
        <w:spacing w:line="276" w:lineRule="auto"/>
        <w:rPr>
          <w:rFonts w:cs="Segoe UI"/>
        </w:rPr>
      </w:pPr>
    </w:p>
    <w:p w14:paraId="3C730228" w14:textId="4AF7B4A8" w:rsidR="00DB1B6E" w:rsidRDefault="00DB1B6E" w:rsidP="00DB1B6E">
      <w:pPr>
        <w:spacing w:line="276" w:lineRule="auto"/>
        <w:rPr>
          <w:rFonts w:cs="Segoe UI"/>
        </w:rPr>
      </w:pPr>
      <w:r>
        <w:rPr>
          <w:rFonts w:cs="Segoe UI"/>
        </w:rPr>
        <w:t xml:space="preserve">A person who is receiving treatment voluntarily should only be placed in a locked unit with their informed consent; this must be documented in their clinical notes. Not allowing a person receiving treatment voluntarily to leave a locked unit without a clear legal basis constitutes arbitrary detention. Services should inform voluntary </w:t>
      </w:r>
      <w:r>
        <w:t>t</w:t>
      </w:r>
      <w:r>
        <w:rPr>
          <w:rFonts w:cs="Segoe UI"/>
        </w:rPr>
        <w:t>ā</w:t>
      </w:r>
      <w:r>
        <w:t>ngata whaiora</w:t>
      </w:r>
      <w:r>
        <w:rPr>
          <w:rFonts w:cs="Segoe UI"/>
        </w:rPr>
        <w:t xml:space="preserve"> that they can exit the unit as soon as reasonably practical if they wish, and display clear signage informing voluntary </w:t>
      </w:r>
      <w:r>
        <w:t>t</w:t>
      </w:r>
      <w:r>
        <w:rPr>
          <w:rFonts w:cs="Segoe UI"/>
        </w:rPr>
        <w:t>ā</w:t>
      </w:r>
      <w:r>
        <w:t>ngata whaiora</w:t>
      </w:r>
      <w:r>
        <w:rPr>
          <w:rFonts w:cs="Segoe UI"/>
        </w:rPr>
        <w:t xml:space="preserve"> how to exit a locked unit. </w:t>
      </w:r>
    </w:p>
    <w:p w14:paraId="1BDA62EE" w14:textId="77777777" w:rsidR="006E6D19" w:rsidRPr="003E6992" w:rsidRDefault="006E6D19" w:rsidP="00DB1B6E">
      <w:pPr>
        <w:spacing w:line="276" w:lineRule="auto"/>
        <w:rPr>
          <w:rFonts w:cs="Segoe UI"/>
        </w:rPr>
      </w:pPr>
    </w:p>
    <w:p w14:paraId="23268EB3" w14:textId="77777777" w:rsidR="00DB1B6E" w:rsidRDefault="00DB1B6E" w:rsidP="00DB1B6E">
      <w:pPr>
        <w:spacing w:line="276" w:lineRule="auto"/>
        <w:rPr>
          <w:color w:val="000000" w:themeColor="text1"/>
        </w:rPr>
      </w:pPr>
      <w:r w:rsidRPr="2CC988A9">
        <w:rPr>
          <w:color w:val="000000" w:themeColor="text1"/>
        </w:rPr>
        <w:t xml:space="preserve">This guidance does not apply to the locking of entry/exit doors to units for safety and security reasons </w:t>
      </w:r>
      <w:r>
        <w:rPr>
          <w:color w:val="000000" w:themeColor="text1"/>
        </w:rPr>
        <w:t>(</w:t>
      </w:r>
      <w:r w:rsidRPr="2CC988A9">
        <w:rPr>
          <w:color w:val="000000" w:themeColor="text1"/>
        </w:rPr>
        <w:t>for example</w:t>
      </w:r>
      <w:r>
        <w:rPr>
          <w:color w:val="000000" w:themeColor="text1"/>
        </w:rPr>
        <w:t>,</w:t>
      </w:r>
      <w:r w:rsidRPr="2CC988A9">
        <w:rPr>
          <w:color w:val="000000" w:themeColor="text1"/>
        </w:rPr>
        <w:t xml:space="preserve"> at night</w:t>
      </w:r>
      <w:r>
        <w:rPr>
          <w:color w:val="000000" w:themeColor="text1"/>
        </w:rPr>
        <w:t>)</w:t>
      </w:r>
      <w:r w:rsidRPr="2CC988A9">
        <w:rPr>
          <w:color w:val="000000" w:themeColor="text1"/>
        </w:rPr>
        <w:t xml:space="preserve">, and to stop people from entering the unit who may pose a threat to the safety of </w:t>
      </w:r>
      <w:r>
        <w:rPr>
          <w:color w:val="000000" w:themeColor="text1"/>
        </w:rPr>
        <w:t>t</w:t>
      </w:r>
      <w:r>
        <w:rPr>
          <w:rFonts w:cs="Segoe UI"/>
          <w:color w:val="000000" w:themeColor="text1"/>
        </w:rPr>
        <w:t>ā</w:t>
      </w:r>
      <w:r>
        <w:rPr>
          <w:color w:val="000000" w:themeColor="text1"/>
        </w:rPr>
        <w:t>ngata whaiora, staff, wh</w:t>
      </w:r>
      <w:r>
        <w:rPr>
          <w:rFonts w:cs="Segoe UI"/>
          <w:color w:val="000000" w:themeColor="text1"/>
        </w:rPr>
        <w:t>ā</w:t>
      </w:r>
      <w:r>
        <w:rPr>
          <w:color w:val="000000" w:themeColor="text1"/>
        </w:rPr>
        <w:t>nau or visitors</w:t>
      </w:r>
      <w:r w:rsidRPr="2CC988A9">
        <w:rPr>
          <w:color w:val="000000" w:themeColor="text1"/>
        </w:rPr>
        <w:t xml:space="preserve"> in the unit.</w:t>
      </w:r>
    </w:p>
    <w:p w14:paraId="193D3E86" w14:textId="77777777" w:rsidR="00DB1B6E" w:rsidRPr="006E6D19" w:rsidRDefault="00DB1B6E" w:rsidP="006E6D19">
      <w:pPr>
        <w:pStyle w:val="Heading3"/>
      </w:pPr>
      <w:bookmarkStart w:id="389" w:name="_Locking_of_bedroom"/>
      <w:bookmarkStart w:id="390" w:name="_Toc131663839"/>
      <w:bookmarkEnd w:id="389"/>
      <w:r w:rsidRPr="006E6D19">
        <w:t>Locking of bedroom doors overnight in regional forensic mental health services (previously known as night safety procedures)</w:t>
      </w:r>
      <w:bookmarkEnd w:id="390"/>
    </w:p>
    <w:p w14:paraId="5D9457D2" w14:textId="24120C65" w:rsidR="00DB1B6E" w:rsidRDefault="00DB1B6E" w:rsidP="006E6D19">
      <w:r w:rsidRPr="16FCC5A0">
        <w:t xml:space="preserve">As of 30 December 2022, the use of night safety procedures is no longer permitted in mental health units, as set out in the </w:t>
      </w:r>
      <w:r w:rsidRPr="002057D2">
        <w:rPr>
          <w:i/>
          <w:iCs/>
        </w:rPr>
        <w:t>Night Safety Procedures: Transitional Guideline</w:t>
      </w:r>
      <w:r w:rsidRPr="16FCC5A0">
        <w:t>.</w:t>
      </w:r>
      <w:r>
        <w:rPr>
          <w:rStyle w:val="FootnoteReference"/>
          <w:color w:val="000000" w:themeColor="text1"/>
        </w:rPr>
        <w:footnoteReference w:id="134"/>
      </w:r>
      <w:r w:rsidRPr="16FCC5A0">
        <w:t xml:space="preserve"> </w:t>
      </w:r>
    </w:p>
    <w:p w14:paraId="6372408D" w14:textId="77777777" w:rsidR="006E6D19" w:rsidRPr="00063BE1" w:rsidRDefault="006E6D19" w:rsidP="006E6D19">
      <w:pPr>
        <w:rPr>
          <w:color w:val="000000"/>
        </w:rPr>
      </w:pPr>
    </w:p>
    <w:p w14:paraId="1EF9F586" w14:textId="5546F55F" w:rsidR="00DB1B6E" w:rsidRDefault="00DB1B6E" w:rsidP="006E6D19">
      <w:pPr>
        <w:rPr>
          <w:color w:val="000000"/>
        </w:rPr>
      </w:pPr>
      <w:r w:rsidRPr="00063BE1">
        <w:rPr>
          <w:color w:val="000000"/>
        </w:rPr>
        <w:t xml:space="preserve">A </w:t>
      </w:r>
      <w:r>
        <w:rPr>
          <w:color w:val="000000"/>
        </w:rPr>
        <w:t>‘</w:t>
      </w:r>
      <w:r w:rsidRPr="00063BE1">
        <w:rPr>
          <w:color w:val="000000"/>
        </w:rPr>
        <w:t>night safety procedure</w:t>
      </w:r>
      <w:r>
        <w:rPr>
          <w:color w:val="000000"/>
        </w:rPr>
        <w:t>’</w:t>
      </w:r>
      <w:r w:rsidRPr="00063BE1">
        <w:rPr>
          <w:color w:val="000000"/>
        </w:rPr>
        <w:t xml:space="preserve"> </w:t>
      </w:r>
      <w:r>
        <w:rPr>
          <w:color w:val="000000"/>
        </w:rPr>
        <w:t xml:space="preserve">was </w:t>
      </w:r>
      <w:r w:rsidRPr="00063BE1">
        <w:rPr>
          <w:color w:val="000000"/>
        </w:rPr>
        <w:t xml:space="preserve">the practice of locking a service user in their bedroom overnight for the purposes of safety. The </w:t>
      </w:r>
      <w:r w:rsidRPr="002057D2">
        <w:rPr>
          <w:i/>
          <w:iCs/>
          <w:color w:val="000000"/>
        </w:rPr>
        <w:t>Night Safety Procedures: Transitional Guideline</w:t>
      </w:r>
      <w:r w:rsidRPr="00063BE1">
        <w:rPr>
          <w:color w:val="000000"/>
        </w:rPr>
        <w:t xml:space="preserve"> recognised that locking a person in their room is a restrictive practice and constitutes a use of force. </w:t>
      </w:r>
    </w:p>
    <w:p w14:paraId="1E4017A7" w14:textId="77777777" w:rsidR="006E6D19" w:rsidRPr="00063BE1" w:rsidRDefault="006E6D19" w:rsidP="006E6D19">
      <w:pPr>
        <w:rPr>
          <w:color w:val="000000"/>
        </w:rPr>
      </w:pPr>
    </w:p>
    <w:p w14:paraId="764CCE2C" w14:textId="1BD828DA" w:rsidR="00DB1B6E" w:rsidRDefault="00DB1B6E" w:rsidP="006E6D19">
      <w:pPr>
        <w:rPr>
          <w:color w:val="000000"/>
        </w:rPr>
      </w:pPr>
      <w:r w:rsidRPr="00163B54">
        <w:rPr>
          <w:color w:val="000000"/>
        </w:rPr>
        <w:t xml:space="preserve">From 31 December 2022, where a </w:t>
      </w:r>
      <w:r>
        <w:rPr>
          <w:color w:val="000000"/>
        </w:rPr>
        <w:t xml:space="preserve">person’s </w:t>
      </w:r>
      <w:r w:rsidRPr="00163B54">
        <w:rPr>
          <w:color w:val="000000"/>
        </w:rPr>
        <w:t xml:space="preserve">bedroom door is locked overnight for the purposes of safety, this must be recorded as environmental restraint and reported to </w:t>
      </w:r>
      <w:r>
        <w:rPr>
          <w:color w:val="000000"/>
        </w:rPr>
        <w:t xml:space="preserve">the Director of Mental Health at </w:t>
      </w:r>
      <w:r w:rsidRPr="00163B54">
        <w:rPr>
          <w:color w:val="000000"/>
        </w:rPr>
        <w:t xml:space="preserve">Manatū Hauora. </w:t>
      </w:r>
      <w:r>
        <w:rPr>
          <w:color w:val="000000"/>
        </w:rPr>
        <w:t>The Director</w:t>
      </w:r>
      <w:r w:rsidRPr="00163B54">
        <w:rPr>
          <w:color w:val="000000"/>
        </w:rPr>
        <w:t xml:space="preserve"> expects the Regional Forensic Mental Health Services to minimise and work towards eliminating the locking of doors overnight. </w:t>
      </w:r>
    </w:p>
    <w:p w14:paraId="4EA3FC1A" w14:textId="77777777" w:rsidR="006E6D19" w:rsidRPr="00063BE1" w:rsidRDefault="006E6D19" w:rsidP="006E6D19">
      <w:pPr>
        <w:rPr>
          <w:color w:val="000000"/>
        </w:rPr>
      </w:pPr>
    </w:p>
    <w:p w14:paraId="7B8E6C89" w14:textId="77777777" w:rsidR="00DB1B6E" w:rsidRPr="00145063" w:rsidRDefault="00DB1B6E" w:rsidP="006E6D19">
      <w:pPr>
        <w:rPr>
          <w:color w:val="000000"/>
        </w:rPr>
      </w:pPr>
      <w:r w:rsidRPr="00063BE1">
        <w:rPr>
          <w:color w:val="000000"/>
        </w:rPr>
        <w:t xml:space="preserve">Forensic services may legitimately need to restrict a person’s movement at night for the purposes of safety by locking the door to their room. This should only occur on the basis of an individual assessment and only when no other safe and effective intervention is possible. It should not occur as part of a routine admission or therapeutic procedure, be administered as discipline or </w:t>
      </w:r>
      <w:r>
        <w:rPr>
          <w:color w:val="000000"/>
        </w:rPr>
        <w:t xml:space="preserve">be used </w:t>
      </w:r>
      <w:r w:rsidRPr="00063BE1">
        <w:rPr>
          <w:color w:val="000000"/>
        </w:rPr>
        <w:t>as a replacement for adequate levels of staff or resources. A ‘blanket’ policy of locking bedroom doors overnight in forensic units is unacceptable.</w:t>
      </w:r>
    </w:p>
    <w:p w14:paraId="21E6BC08" w14:textId="77777777" w:rsidR="00DB1B6E" w:rsidRPr="006E6D19" w:rsidRDefault="00DB1B6E" w:rsidP="006E6D19">
      <w:pPr>
        <w:pStyle w:val="Heading2"/>
      </w:pPr>
      <w:bookmarkStart w:id="391" w:name="_Toc102739063"/>
      <w:bookmarkStart w:id="392" w:name="_Toc102739160"/>
      <w:bookmarkStart w:id="393" w:name="_Toc102739263"/>
      <w:bookmarkStart w:id="394" w:name="_Toc102741056"/>
      <w:bookmarkStart w:id="395" w:name="_Toc103152135"/>
      <w:bookmarkStart w:id="396" w:name="_Toc102739064"/>
      <w:bookmarkStart w:id="397" w:name="_Toc102739161"/>
      <w:bookmarkStart w:id="398" w:name="_Toc102739264"/>
      <w:bookmarkStart w:id="399" w:name="_Toc102741057"/>
      <w:bookmarkStart w:id="400" w:name="_Toc103152136"/>
      <w:bookmarkStart w:id="401" w:name="_Toc103152137"/>
      <w:bookmarkStart w:id="402" w:name="_Toc105770655"/>
      <w:bookmarkStart w:id="403" w:name="_Toc131663840"/>
      <w:bookmarkStart w:id="404" w:name="_Toc132355338"/>
      <w:bookmarkEnd w:id="391"/>
      <w:bookmarkEnd w:id="392"/>
      <w:bookmarkEnd w:id="393"/>
      <w:bookmarkEnd w:id="394"/>
      <w:bookmarkEnd w:id="395"/>
      <w:bookmarkEnd w:id="396"/>
      <w:bookmarkEnd w:id="397"/>
      <w:bookmarkEnd w:id="398"/>
      <w:bookmarkEnd w:id="399"/>
      <w:bookmarkEnd w:id="400"/>
      <w:r w:rsidRPr="006E6D19">
        <w:t>Decisions to approve restraint</w:t>
      </w:r>
      <w:bookmarkEnd w:id="401"/>
      <w:bookmarkEnd w:id="402"/>
      <w:bookmarkEnd w:id="403"/>
      <w:bookmarkEnd w:id="404"/>
    </w:p>
    <w:p w14:paraId="2BC846EA" w14:textId="77777777" w:rsidR="00DB1B6E" w:rsidRPr="007926B2" w:rsidRDefault="00DB1B6E" w:rsidP="006E6D19">
      <w:r>
        <w:t xml:space="preserve">Services may sometimes make a decision to approve restraint once </w:t>
      </w:r>
      <w:r w:rsidRPr="00463B3A">
        <w:t>all other suitable non-restrictive approaches have been tried and have failed to ensure safety</w:t>
      </w:r>
      <w:r>
        <w:t xml:space="preserve">. Such decisions must </w:t>
      </w:r>
      <w:r w:rsidRPr="007926B2">
        <w:t>be</w:t>
      </w:r>
      <w:r>
        <w:t xml:space="preserve"> consistent with Ngā Paerewa criterion 6.2.1, which requires decisions to approve restraint for a person receiving services to be made</w:t>
      </w:r>
      <w:r w:rsidRPr="007926B2">
        <w:t>:</w:t>
      </w:r>
      <w:r>
        <w:t xml:space="preserve"> </w:t>
      </w:r>
    </w:p>
    <w:p w14:paraId="3D5547D7" w14:textId="77777777" w:rsidR="00DB1B6E" w:rsidRPr="003F1C1A" w:rsidRDefault="00DB1B6E" w:rsidP="006E6D19">
      <w:pPr>
        <w:pStyle w:val="Bullet"/>
        <w:rPr>
          <w:lang w:eastAsia="en-NZ"/>
        </w:rPr>
      </w:pPr>
      <w:r>
        <w:rPr>
          <w:lang w:eastAsia="en-NZ"/>
        </w:rPr>
        <w:t>a</w:t>
      </w:r>
      <w:r w:rsidRPr="003F1C1A">
        <w:rPr>
          <w:lang w:eastAsia="en-NZ"/>
        </w:rPr>
        <w:t>s</w:t>
      </w:r>
      <w:r>
        <w:rPr>
          <w:lang w:eastAsia="en-NZ"/>
        </w:rPr>
        <w:t xml:space="preserve"> </w:t>
      </w:r>
      <w:r w:rsidRPr="003F1C1A">
        <w:rPr>
          <w:lang w:eastAsia="en-NZ"/>
        </w:rPr>
        <w:t>a</w:t>
      </w:r>
      <w:r>
        <w:rPr>
          <w:lang w:eastAsia="en-NZ"/>
        </w:rPr>
        <w:t xml:space="preserve"> </w:t>
      </w:r>
      <w:r w:rsidRPr="003F1C1A">
        <w:rPr>
          <w:lang w:eastAsia="en-NZ"/>
        </w:rPr>
        <w:t>last</w:t>
      </w:r>
      <w:r>
        <w:rPr>
          <w:lang w:eastAsia="en-NZ"/>
        </w:rPr>
        <w:t xml:space="preserve"> </w:t>
      </w:r>
      <w:r w:rsidRPr="003F1C1A">
        <w:rPr>
          <w:lang w:eastAsia="en-NZ"/>
        </w:rPr>
        <w:t>resort,</w:t>
      </w:r>
      <w:r>
        <w:rPr>
          <w:lang w:eastAsia="en-NZ"/>
        </w:rPr>
        <w:t xml:space="preserve"> </w:t>
      </w:r>
      <w:r w:rsidRPr="003F1C1A">
        <w:rPr>
          <w:lang w:eastAsia="en-NZ"/>
        </w:rPr>
        <w:t>after</w:t>
      </w:r>
      <w:r>
        <w:rPr>
          <w:lang w:eastAsia="en-NZ"/>
        </w:rPr>
        <w:t xml:space="preserve"> </w:t>
      </w:r>
      <w:r w:rsidRPr="003F1C1A">
        <w:rPr>
          <w:lang w:eastAsia="en-NZ"/>
        </w:rPr>
        <w:t>all</w:t>
      </w:r>
      <w:r>
        <w:rPr>
          <w:lang w:eastAsia="en-NZ"/>
        </w:rPr>
        <w:t xml:space="preserve"> </w:t>
      </w:r>
      <w:r w:rsidRPr="003F1C1A">
        <w:rPr>
          <w:lang w:eastAsia="en-NZ"/>
        </w:rPr>
        <w:t>other</w:t>
      </w:r>
      <w:r>
        <w:rPr>
          <w:lang w:eastAsia="en-NZ"/>
        </w:rPr>
        <w:t xml:space="preserve"> </w:t>
      </w:r>
      <w:r w:rsidRPr="003F1C1A">
        <w:rPr>
          <w:lang w:eastAsia="en-NZ"/>
        </w:rPr>
        <w:t>interventions</w:t>
      </w:r>
      <w:r>
        <w:rPr>
          <w:lang w:eastAsia="en-NZ"/>
        </w:rPr>
        <w:t xml:space="preserve"> </w:t>
      </w:r>
      <w:r w:rsidRPr="003F1C1A">
        <w:rPr>
          <w:lang w:eastAsia="en-NZ"/>
        </w:rPr>
        <w:t>or</w:t>
      </w:r>
      <w:r>
        <w:rPr>
          <w:lang w:eastAsia="en-NZ"/>
        </w:rPr>
        <w:t xml:space="preserve"> </w:t>
      </w:r>
      <w:r w:rsidRPr="003F1C1A">
        <w:rPr>
          <w:lang w:eastAsia="en-NZ"/>
        </w:rPr>
        <w:t>de-escalation</w:t>
      </w:r>
      <w:r>
        <w:rPr>
          <w:lang w:eastAsia="en-NZ"/>
        </w:rPr>
        <w:t xml:space="preserve"> </w:t>
      </w:r>
      <w:r w:rsidRPr="003F1C1A">
        <w:rPr>
          <w:lang w:eastAsia="en-NZ"/>
        </w:rPr>
        <w:t>strategies</w:t>
      </w:r>
      <w:r>
        <w:rPr>
          <w:lang w:eastAsia="en-NZ"/>
        </w:rPr>
        <w:t xml:space="preserve"> </w:t>
      </w:r>
      <w:r w:rsidRPr="003F1C1A">
        <w:rPr>
          <w:lang w:eastAsia="en-NZ"/>
        </w:rPr>
        <w:t>have</w:t>
      </w:r>
      <w:r>
        <w:rPr>
          <w:lang w:eastAsia="en-NZ"/>
        </w:rPr>
        <w:t xml:space="preserve"> </w:t>
      </w:r>
      <w:r w:rsidRPr="003F1C1A">
        <w:rPr>
          <w:lang w:eastAsia="en-NZ"/>
        </w:rPr>
        <w:t>been</w:t>
      </w:r>
      <w:r>
        <w:rPr>
          <w:lang w:eastAsia="en-NZ"/>
        </w:rPr>
        <w:t xml:space="preserve"> </w:t>
      </w:r>
      <w:r w:rsidRPr="003F1C1A">
        <w:rPr>
          <w:lang w:eastAsia="en-NZ"/>
        </w:rPr>
        <w:t>tried</w:t>
      </w:r>
      <w:r>
        <w:rPr>
          <w:lang w:eastAsia="en-NZ"/>
        </w:rPr>
        <w:t xml:space="preserve"> </w:t>
      </w:r>
      <w:r w:rsidRPr="003F1C1A">
        <w:rPr>
          <w:lang w:eastAsia="en-NZ"/>
        </w:rPr>
        <w:t>or</w:t>
      </w:r>
      <w:r>
        <w:rPr>
          <w:lang w:eastAsia="en-NZ"/>
        </w:rPr>
        <w:t xml:space="preserve"> </w:t>
      </w:r>
      <w:r w:rsidRPr="003F1C1A">
        <w:rPr>
          <w:lang w:eastAsia="en-NZ"/>
        </w:rPr>
        <w:t>implemented</w:t>
      </w:r>
      <w:r>
        <w:rPr>
          <w:lang w:eastAsia="en-NZ"/>
        </w:rPr>
        <w:t xml:space="preserve"> </w:t>
      </w:r>
    </w:p>
    <w:p w14:paraId="0BB1CBDD" w14:textId="77777777" w:rsidR="00DB1B6E" w:rsidRPr="003F1C1A" w:rsidRDefault="00DB1B6E" w:rsidP="006E6D19">
      <w:pPr>
        <w:pStyle w:val="Bullet"/>
        <w:rPr>
          <w:lang w:eastAsia="en-NZ"/>
        </w:rPr>
      </w:pPr>
      <w:r>
        <w:rPr>
          <w:lang w:eastAsia="en-NZ"/>
        </w:rPr>
        <w:t>a</w:t>
      </w:r>
      <w:r w:rsidRPr="003F1C1A">
        <w:rPr>
          <w:lang w:eastAsia="en-NZ"/>
        </w:rPr>
        <w:t>fter</w:t>
      </w:r>
      <w:r>
        <w:rPr>
          <w:lang w:eastAsia="en-NZ"/>
        </w:rPr>
        <w:t xml:space="preserve"> </w:t>
      </w:r>
      <w:r w:rsidRPr="003F1C1A">
        <w:rPr>
          <w:lang w:eastAsia="en-NZ"/>
        </w:rPr>
        <w:t>adequate</w:t>
      </w:r>
      <w:r>
        <w:rPr>
          <w:lang w:eastAsia="en-NZ"/>
        </w:rPr>
        <w:t xml:space="preserve"> </w:t>
      </w:r>
      <w:r w:rsidRPr="003F1C1A">
        <w:rPr>
          <w:lang w:eastAsia="en-NZ"/>
        </w:rPr>
        <w:t>time</w:t>
      </w:r>
      <w:r>
        <w:rPr>
          <w:lang w:eastAsia="en-NZ"/>
        </w:rPr>
        <w:t xml:space="preserve"> </w:t>
      </w:r>
      <w:r w:rsidRPr="003F1C1A">
        <w:rPr>
          <w:lang w:eastAsia="en-NZ"/>
        </w:rPr>
        <w:t>has</w:t>
      </w:r>
      <w:r>
        <w:rPr>
          <w:lang w:eastAsia="en-NZ"/>
        </w:rPr>
        <w:t xml:space="preserve"> </w:t>
      </w:r>
      <w:r w:rsidRPr="003F1C1A">
        <w:rPr>
          <w:lang w:eastAsia="en-NZ"/>
        </w:rPr>
        <w:t>been</w:t>
      </w:r>
      <w:r>
        <w:rPr>
          <w:lang w:eastAsia="en-NZ"/>
        </w:rPr>
        <w:t xml:space="preserve"> </w:t>
      </w:r>
      <w:r w:rsidRPr="003F1C1A">
        <w:rPr>
          <w:lang w:eastAsia="en-NZ"/>
        </w:rPr>
        <w:t>given</w:t>
      </w:r>
      <w:r>
        <w:rPr>
          <w:lang w:eastAsia="en-NZ"/>
        </w:rPr>
        <w:t xml:space="preserve"> </w:t>
      </w:r>
      <w:r w:rsidRPr="003F1C1A">
        <w:rPr>
          <w:lang w:eastAsia="en-NZ"/>
        </w:rPr>
        <w:t>for</w:t>
      </w:r>
      <w:r>
        <w:rPr>
          <w:lang w:eastAsia="en-NZ"/>
        </w:rPr>
        <w:t xml:space="preserve"> </w:t>
      </w:r>
      <w:r w:rsidRPr="003F1C1A">
        <w:rPr>
          <w:lang w:eastAsia="en-NZ"/>
        </w:rPr>
        <w:t>cultural</w:t>
      </w:r>
      <w:r>
        <w:rPr>
          <w:lang w:eastAsia="en-NZ"/>
        </w:rPr>
        <w:t xml:space="preserve"> </w:t>
      </w:r>
      <w:r w:rsidRPr="003F1C1A">
        <w:rPr>
          <w:lang w:eastAsia="en-NZ"/>
        </w:rPr>
        <w:t>assessment</w:t>
      </w:r>
      <w:r>
        <w:rPr>
          <w:lang w:eastAsia="en-NZ"/>
        </w:rPr>
        <w:t xml:space="preserve"> </w:t>
      </w:r>
    </w:p>
    <w:p w14:paraId="3EE69F13" w14:textId="77777777" w:rsidR="00DB1B6E" w:rsidRPr="003F1C1A" w:rsidRDefault="00DB1B6E" w:rsidP="006E6D19">
      <w:pPr>
        <w:pStyle w:val="Bullet"/>
        <w:rPr>
          <w:lang w:eastAsia="en-NZ"/>
        </w:rPr>
      </w:pPr>
      <w:r>
        <w:rPr>
          <w:lang w:eastAsia="en-NZ"/>
        </w:rPr>
        <w:t>f</w:t>
      </w:r>
      <w:r w:rsidRPr="003F1C1A">
        <w:rPr>
          <w:lang w:eastAsia="en-NZ"/>
        </w:rPr>
        <w:t>ollowing</w:t>
      </w:r>
      <w:r>
        <w:rPr>
          <w:lang w:eastAsia="en-NZ"/>
        </w:rPr>
        <w:t xml:space="preserve"> </w:t>
      </w:r>
      <w:r w:rsidRPr="003F1C1A">
        <w:rPr>
          <w:lang w:eastAsia="en-NZ"/>
        </w:rPr>
        <w:t>assessment,</w:t>
      </w:r>
      <w:r>
        <w:rPr>
          <w:lang w:eastAsia="en-NZ"/>
        </w:rPr>
        <w:t xml:space="preserve"> </w:t>
      </w:r>
      <w:r w:rsidRPr="003F1C1A">
        <w:rPr>
          <w:lang w:eastAsia="en-NZ"/>
        </w:rPr>
        <w:t>planning,</w:t>
      </w:r>
      <w:r>
        <w:rPr>
          <w:lang w:eastAsia="en-NZ"/>
        </w:rPr>
        <w:t xml:space="preserve"> </w:t>
      </w:r>
      <w:r w:rsidRPr="003F1C1A">
        <w:rPr>
          <w:lang w:eastAsia="en-NZ"/>
        </w:rPr>
        <w:t>and</w:t>
      </w:r>
      <w:r>
        <w:rPr>
          <w:lang w:eastAsia="en-NZ"/>
        </w:rPr>
        <w:t xml:space="preserve"> </w:t>
      </w:r>
      <w:r w:rsidRPr="003F1C1A">
        <w:rPr>
          <w:lang w:eastAsia="en-NZ"/>
        </w:rPr>
        <w:t>preparation,</w:t>
      </w:r>
      <w:r>
        <w:rPr>
          <w:lang w:eastAsia="en-NZ"/>
        </w:rPr>
        <w:t xml:space="preserve"> </w:t>
      </w:r>
      <w:r w:rsidRPr="003F1C1A">
        <w:rPr>
          <w:lang w:eastAsia="en-NZ"/>
        </w:rPr>
        <w:t>which</w:t>
      </w:r>
      <w:r>
        <w:rPr>
          <w:lang w:eastAsia="en-NZ"/>
        </w:rPr>
        <w:t xml:space="preserve"> </w:t>
      </w:r>
      <w:r w:rsidRPr="003F1C1A">
        <w:rPr>
          <w:lang w:eastAsia="en-NZ"/>
        </w:rPr>
        <w:t>includes</w:t>
      </w:r>
      <w:r>
        <w:rPr>
          <w:lang w:eastAsia="en-NZ"/>
        </w:rPr>
        <w:t xml:space="preserve"> </w:t>
      </w:r>
      <w:r w:rsidRPr="003F1C1A">
        <w:rPr>
          <w:lang w:eastAsia="en-NZ"/>
        </w:rPr>
        <w:t>available</w:t>
      </w:r>
      <w:r>
        <w:rPr>
          <w:lang w:eastAsia="en-NZ"/>
        </w:rPr>
        <w:t xml:space="preserve"> </w:t>
      </w:r>
      <w:r w:rsidRPr="003F1C1A">
        <w:rPr>
          <w:lang w:eastAsia="en-NZ"/>
        </w:rPr>
        <w:t>resources</w:t>
      </w:r>
      <w:r>
        <w:rPr>
          <w:lang w:eastAsia="en-NZ"/>
        </w:rPr>
        <w:t xml:space="preserve"> </w:t>
      </w:r>
      <w:r w:rsidRPr="003F1C1A">
        <w:rPr>
          <w:lang w:eastAsia="en-NZ"/>
        </w:rPr>
        <w:t>able</w:t>
      </w:r>
      <w:r>
        <w:rPr>
          <w:lang w:eastAsia="en-NZ"/>
        </w:rPr>
        <w:t xml:space="preserve"> </w:t>
      </w:r>
      <w:r w:rsidRPr="003F1C1A">
        <w:rPr>
          <w:lang w:eastAsia="en-NZ"/>
        </w:rPr>
        <w:t>to</w:t>
      </w:r>
      <w:r>
        <w:rPr>
          <w:lang w:eastAsia="en-NZ"/>
        </w:rPr>
        <w:t xml:space="preserve"> </w:t>
      </w:r>
      <w:r w:rsidRPr="003F1C1A">
        <w:rPr>
          <w:lang w:eastAsia="en-NZ"/>
        </w:rPr>
        <w:t>be</w:t>
      </w:r>
      <w:r>
        <w:rPr>
          <w:lang w:eastAsia="en-NZ"/>
        </w:rPr>
        <w:t xml:space="preserve"> </w:t>
      </w:r>
      <w:r w:rsidRPr="003F1C1A">
        <w:rPr>
          <w:lang w:eastAsia="en-NZ"/>
        </w:rPr>
        <w:t>put</w:t>
      </w:r>
      <w:r>
        <w:rPr>
          <w:lang w:eastAsia="en-NZ"/>
        </w:rPr>
        <w:t xml:space="preserve"> </w:t>
      </w:r>
      <w:r w:rsidRPr="003F1C1A">
        <w:rPr>
          <w:lang w:eastAsia="en-NZ"/>
        </w:rPr>
        <w:t>in</w:t>
      </w:r>
      <w:r>
        <w:rPr>
          <w:lang w:eastAsia="en-NZ"/>
        </w:rPr>
        <w:t xml:space="preserve"> </w:t>
      </w:r>
      <w:r w:rsidRPr="003F1C1A">
        <w:rPr>
          <w:lang w:eastAsia="en-NZ"/>
        </w:rPr>
        <w:t>place</w:t>
      </w:r>
      <w:r>
        <w:rPr>
          <w:lang w:eastAsia="en-NZ"/>
        </w:rPr>
        <w:t xml:space="preserve"> </w:t>
      </w:r>
    </w:p>
    <w:p w14:paraId="307161D0" w14:textId="77777777" w:rsidR="00DB1B6E" w:rsidRPr="003F1C1A" w:rsidRDefault="00DB1B6E" w:rsidP="006E6D19">
      <w:pPr>
        <w:pStyle w:val="Bullet"/>
        <w:rPr>
          <w:lang w:eastAsia="en-NZ"/>
        </w:rPr>
      </w:pPr>
      <w:r>
        <w:rPr>
          <w:lang w:eastAsia="en-NZ"/>
        </w:rPr>
        <w:t>b</w:t>
      </w:r>
      <w:r w:rsidRPr="003F1C1A">
        <w:rPr>
          <w:lang w:eastAsia="en-NZ"/>
        </w:rPr>
        <w:t>y</w:t>
      </w:r>
      <w:r>
        <w:rPr>
          <w:lang w:eastAsia="en-NZ"/>
        </w:rPr>
        <w:t xml:space="preserve"> </w:t>
      </w:r>
      <w:r w:rsidRPr="003F1C1A">
        <w:rPr>
          <w:lang w:eastAsia="en-NZ"/>
        </w:rPr>
        <w:t>the</w:t>
      </w:r>
      <w:r>
        <w:rPr>
          <w:lang w:eastAsia="en-NZ"/>
        </w:rPr>
        <w:t xml:space="preserve"> </w:t>
      </w:r>
      <w:r w:rsidRPr="003F1C1A">
        <w:rPr>
          <w:lang w:eastAsia="en-NZ"/>
        </w:rPr>
        <w:t>most</w:t>
      </w:r>
      <w:r>
        <w:rPr>
          <w:lang w:eastAsia="en-NZ"/>
        </w:rPr>
        <w:t xml:space="preserve"> </w:t>
      </w:r>
      <w:r w:rsidRPr="003F1C1A">
        <w:rPr>
          <w:lang w:eastAsia="en-NZ"/>
        </w:rPr>
        <w:t>appropriate</w:t>
      </w:r>
      <w:r>
        <w:rPr>
          <w:lang w:eastAsia="en-NZ"/>
        </w:rPr>
        <w:t xml:space="preserve"> </w:t>
      </w:r>
      <w:r w:rsidRPr="003F1C1A">
        <w:rPr>
          <w:lang w:eastAsia="en-NZ"/>
        </w:rPr>
        <w:t>health</w:t>
      </w:r>
      <w:r>
        <w:rPr>
          <w:lang w:eastAsia="en-NZ"/>
        </w:rPr>
        <w:t xml:space="preserve"> </w:t>
      </w:r>
      <w:r w:rsidRPr="003F1C1A">
        <w:rPr>
          <w:lang w:eastAsia="en-NZ"/>
        </w:rPr>
        <w:t>professional</w:t>
      </w:r>
      <w:r>
        <w:rPr>
          <w:rStyle w:val="FootnoteReference"/>
          <w:rFonts w:cs="Segoe UI"/>
          <w:lang w:eastAsia="en-NZ"/>
        </w:rPr>
        <w:footnoteReference w:id="135"/>
      </w:r>
      <w:r>
        <w:rPr>
          <w:lang w:eastAsia="en-NZ"/>
        </w:rPr>
        <w:t xml:space="preserve"> </w:t>
      </w:r>
    </w:p>
    <w:p w14:paraId="08C22E1A" w14:textId="77777777" w:rsidR="00DB1B6E" w:rsidRPr="003F1C1A" w:rsidRDefault="00DB1B6E" w:rsidP="006E6D19">
      <w:pPr>
        <w:pStyle w:val="Bullet"/>
        <w:rPr>
          <w:lang w:eastAsia="en-NZ"/>
        </w:rPr>
      </w:pPr>
      <w:r>
        <w:rPr>
          <w:lang w:eastAsia="en-NZ"/>
        </w:rPr>
        <w:t>w</w:t>
      </w:r>
      <w:r w:rsidRPr="003F1C1A">
        <w:rPr>
          <w:lang w:eastAsia="en-NZ"/>
        </w:rPr>
        <w:t>hen</w:t>
      </w:r>
      <w:r>
        <w:rPr>
          <w:lang w:eastAsia="en-NZ"/>
        </w:rPr>
        <w:t xml:space="preserve"> </w:t>
      </w:r>
      <w:r w:rsidRPr="003F1C1A">
        <w:rPr>
          <w:lang w:eastAsia="en-NZ"/>
        </w:rPr>
        <w:t>the</w:t>
      </w:r>
      <w:r>
        <w:rPr>
          <w:lang w:eastAsia="en-NZ"/>
        </w:rPr>
        <w:t xml:space="preserve"> </w:t>
      </w:r>
      <w:r w:rsidRPr="003F1C1A">
        <w:rPr>
          <w:lang w:eastAsia="en-NZ"/>
        </w:rPr>
        <w:t>environment</w:t>
      </w:r>
      <w:r>
        <w:rPr>
          <w:lang w:eastAsia="en-NZ"/>
        </w:rPr>
        <w:t xml:space="preserve"> </w:t>
      </w:r>
      <w:r w:rsidRPr="003F1C1A">
        <w:rPr>
          <w:lang w:eastAsia="en-NZ"/>
        </w:rPr>
        <w:t>is</w:t>
      </w:r>
      <w:r>
        <w:rPr>
          <w:lang w:eastAsia="en-NZ"/>
        </w:rPr>
        <w:t xml:space="preserve"> </w:t>
      </w:r>
      <w:r w:rsidRPr="003F1C1A">
        <w:rPr>
          <w:lang w:eastAsia="en-NZ"/>
        </w:rPr>
        <w:t>appropriate</w:t>
      </w:r>
      <w:r>
        <w:rPr>
          <w:lang w:eastAsia="en-NZ"/>
        </w:rPr>
        <w:t xml:space="preserve"> </w:t>
      </w:r>
      <w:r w:rsidRPr="003F1C1A">
        <w:rPr>
          <w:lang w:eastAsia="en-NZ"/>
        </w:rPr>
        <w:t>and</w:t>
      </w:r>
      <w:r>
        <w:rPr>
          <w:lang w:eastAsia="en-NZ"/>
        </w:rPr>
        <w:t xml:space="preserve"> </w:t>
      </w:r>
      <w:r w:rsidRPr="003F1C1A">
        <w:rPr>
          <w:lang w:eastAsia="en-NZ"/>
        </w:rPr>
        <w:t>safe.</w:t>
      </w:r>
    </w:p>
    <w:p w14:paraId="1C6F3E24" w14:textId="77777777" w:rsidR="00DB1B6E" w:rsidRDefault="00DB1B6E" w:rsidP="00DB1B6E">
      <w:pPr>
        <w:spacing w:line="276" w:lineRule="auto"/>
        <w:rPr>
          <w:rFonts w:cs="Segoe UI"/>
          <w:lang w:eastAsia="en-NZ"/>
        </w:rPr>
      </w:pPr>
    </w:p>
    <w:p w14:paraId="72AFA25F" w14:textId="77777777" w:rsidR="00DB1B6E" w:rsidRDefault="00DB1B6E" w:rsidP="006E6D19">
      <w:r>
        <w:t>In an emergency, where it is not possible to try other less restrictive options to maintain the safety of tāngata whaiora and staff, it may not be possible to meet each of the criteria set out above.</w:t>
      </w:r>
    </w:p>
    <w:p w14:paraId="56F518A9" w14:textId="77777777" w:rsidR="00DB1B6E" w:rsidRPr="006E6D19" w:rsidRDefault="00DB1B6E" w:rsidP="006E6D19">
      <w:pPr>
        <w:pStyle w:val="Heading3"/>
      </w:pPr>
      <w:bookmarkStart w:id="405" w:name="_Toc120703960"/>
      <w:bookmarkStart w:id="406" w:name="_Toc120713473"/>
      <w:bookmarkStart w:id="407" w:name="_Toc120715622"/>
      <w:bookmarkStart w:id="408" w:name="_Toc120862249"/>
      <w:bookmarkStart w:id="409" w:name="_Toc120703961"/>
      <w:bookmarkStart w:id="410" w:name="_Toc120713474"/>
      <w:bookmarkStart w:id="411" w:name="_Toc120715623"/>
      <w:bookmarkStart w:id="412" w:name="_Toc120862250"/>
      <w:bookmarkStart w:id="413" w:name="_Toc102739066"/>
      <w:bookmarkStart w:id="414" w:name="_Toc102739163"/>
      <w:bookmarkStart w:id="415" w:name="_Toc102739266"/>
      <w:bookmarkStart w:id="416" w:name="_Toc102741059"/>
      <w:bookmarkStart w:id="417" w:name="_Toc103152138"/>
      <w:bookmarkStart w:id="418" w:name="_Toc103152139"/>
      <w:bookmarkStart w:id="419" w:name="_Toc105770656"/>
      <w:bookmarkStart w:id="420" w:name="_Toc131663841"/>
      <w:bookmarkEnd w:id="405"/>
      <w:bookmarkEnd w:id="406"/>
      <w:bookmarkEnd w:id="407"/>
      <w:bookmarkEnd w:id="408"/>
      <w:bookmarkEnd w:id="409"/>
      <w:bookmarkEnd w:id="410"/>
      <w:bookmarkEnd w:id="411"/>
      <w:bookmarkEnd w:id="412"/>
      <w:bookmarkEnd w:id="413"/>
      <w:bookmarkEnd w:id="414"/>
      <w:bookmarkEnd w:id="415"/>
      <w:bookmarkEnd w:id="416"/>
      <w:bookmarkEnd w:id="417"/>
      <w:r w:rsidRPr="006E6D19">
        <w:t>Physical and psychological health considerations</w:t>
      </w:r>
      <w:bookmarkEnd w:id="418"/>
      <w:bookmarkEnd w:id="419"/>
      <w:bookmarkEnd w:id="420"/>
    </w:p>
    <w:p w14:paraId="13BFF8DE" w14:textId="040B412C" w:rsidR="00DB1B6E" w:rsidRDefault="00DB1B6E" w:rsidP="006E6D19">
      <w:r>
        <w:t xml:space="preserve">Staff must monitor a person’s physical health during a period of restraint. </w:t>
      </w:r>
      <w:r w:rsidRPr="6CCA9B44">
        <w:t>No</w:t>
      </w:r>
      <w:r>
        <w:t xml:space="preserve"> </w:t>
      </w:r>
      <w:r w:rsidRPr="6CCA9B44">
        <w:t>use</w:t>
      </w:r>
      <w:r>
        <w:t xml:space="preserve"> </w:t>
      </w:r>
      <w:r w:rsidRPr="6CCA9B44">
        <w:t>of</w:t>
      </w:r>
      <w:r>
        <w:t xml:space="preserve"> </w:t>
      </w:r>
      <w:r w:rsidRPr="6CCA9B44">
        <w:t>restraint</w:t>
      </w:r>
      <w:r>
        <w:t xml:space="preserve"> </w:t>
      </w:r>
      <w:r w:rsidRPr="6CCA9B44">
        <w:t>is</w:t>
      </w:r>
      <w:r>
        <w:t xml:space="preserve"> </w:t>
      </w:r>
      <w:r w:rsidRPr="6CCA9B44">
        <w:t>completely</w:t>
      </w:r>
      <w:r>
        <w:t xml:space="preserve"> </w:t>
      </w:r>
      <w:r w:rsidRPr="6CCA9B44">
        <w:t>safe</w:t>
      </w:r>
      <w:r>
        <w:t>. Each restraint episode should be for the shortest possible time to minimise harm</w:t>
      </w:r>
      <w:r w:rsidRPr="6CCA9B44">
        <w:t>.</w:t>
      </w:r>
      <w:r>
        <w:t xml:space="preserve"> </w:t>
      </w:r>
      <w:r w:rsidRPr="6CCA9B44">
        <w:t>P</w:t>
      </w:r>
      <w:r>
        <w:t xml:space="preserve">ersonal </w:t>
      </w:r>
      <w:r w:rsidRPr="6CCA9B44">
        <w:t>restraint</w:t>
      </w:r>
      <w:r>
        <w:t xml:space="preserve"> </w:t>
      </w:r>
      <w:r w:rsidRPr="6CCA9B44">
        <w:t>has</w:t>
      </w:r>
      <w:r>
        <w:t xml:space="preserve"> </w:t>
      </w:r>
      <w:r w:rsidRPr="6CCA9B44">
        <w:t>physical</w:t>
      </w:r>
      <w:r>
        <w:t xml:space="preserve"> </w:t>
      </w:r>
      <w:r w:rsidRPr="6CCA9B44">
        <w:t>health</w:t>
      </w:r>
      <w:r>
        <w:t xml:space="preserve"> </w:t>
      </w:r>
      <w:r w:rsidRPr="6CCA9B44">
        <w:t>risks</w:t>
      </w:r>
      <w:r>
        <w:t xml:space="preserve"> </w:t>
      </w:r>
      <w:r w:rsidRPr="6CCA9B44">
        <w:t>for</w:t>
      </w:r>
      <w:r>
        <w:t xml:space="preserve"> </w:t>
      </w:r>
      <w:r w:rsidRPr="6CCA9B44">
        <w:t>the</w:t>
      </w:r>
      <w:r>
        <w:t xml:space="preserve"> </w:t>
      </w:r>
      <w:r w:rsidRPr="6CCA9B44">
        <w:t>person</w:t>
      </w:r>
      <w:r>
        <w:t xml:space="preserve"> </w:t>
      </w:r>
      <w:r w:rsidRPr="6CCA9B44">
        <w:t>being</w:t>
      </w:r>
      <w:r>
        <w:t xml:space="preserve"> </w:t>
      </w:r>
      <w:r w:rsidRPr="6CCA9B44">
        <w:lastRenderedPageBreak/>
        <w:t>restrained</w:t>
      </w:r>
      <w:r>
        <w:t xml:space="preserve"> </w:t>
      </w:r>
      <w:r w:rsidRPr="6CCA9B44">
        <w:t>that</w:t>
      </w:r>
      <w:r>
        <w:t xml:space="preserve"> </w:t>
      </w:r>
      <w:r w:rsidRPr="6CCA9B44">
        <w:t>can</w:t>
      </w:r>
      <w:r>
        <w:t xml:space="preserve"> </w:t>
      </w:r>
      <w:r w:rsidRPr="6CCA9B44">
        <w:t>result</w:t>
      </w:r>
      <w:r>
        <w:t xml:space="preserve"> </w:t>
      </w:r>
      <w:r w:rsidRPr="6CCA9B44">
        <w:t>in</w:t>
      </w:r>
      <w:r>
        <w:t xml:space="preserve"> </w:t>
      </w:r>
      <w:r w:rsidRPr="6CCA9B44">
        <w:t>injury</w:t>
      </w:r>
      <w:r>
        <w:t xml:space="preserve"> </w:t>
      </w:r>
      <w:r w:rsidRPr="6CCA9B44">
        <w:t>or</w:t>
      </w:r>
      <w:r>
        <w:t xml:space="preserve"> </w:t>
      </w:r>
      <w:r w:rsidRPr="6CCA9B44">
        <w:t>death</w:t>
      </w:r>
      <w:r>
        <w:t>.</w:t>
      </w:r>
      <w:r>
        <w:rPr>
          <w:rStyle w:val="FootnoteReference"/>
          <w:rFonts w:cs="Segoe UI"/>
        </w:rPr>
        <w:footnoteReference w:id="136"/>
      </w:r>
      <w:r>
        <w:t xml:space="preserve"> </w:t>
      </w:r>
      <w:r w:rsidRPr="6CCA9B44">
        <w:t>In</w:t>
      </w:r>
      <w:r>
        <w:t xml:space="preserve"> </w:t>
      </w:r>
      <w:r w:rsidRPr="6CCA9B44">
        <w:t>general,</w:t>
      </w:r>
      <w:r>
        <w:t xml:space="preserve"> </w:t>
      </w:r>
      <w:r w:rsidRPr="6CCA9B44">
        <w:t>people</w:t>
      </w:r>
      <w:r>
        <w:t xml:space="preserve"> who </w:t>
      </w:r>
      <w:r w:rsidRPr="6CCA9B44">
        <w:t>experience</w:t>
      </w:r>
      <w:r>
        <w:t xml:space="preserve"> acute </w:t>
      </w:r>
      <w:r w:rsidRPr="6CCA9B44">
        <w:t>mental</w:t>
      </w:r>
      <w:r>
        <w:t xml:space="preserve"> </w:t>
      </w:r>
      <w:r w:rsidRPr="6CCA9B44">
        <w:t>distress</w:t>
      </w:r>
      <w:r>
        <w:t xml:space="preserve"> </w:t>
      </w:r>
      <w:r w:rsidRPr="6CCA9B44">
        <w:t>factors</w:t>
      </w:r>
      <w:r>
        <w:t xml:space="preserve"> </w:t>
      </w:r>
      <w:r w:rsidRPr="6CCA9B44">
        <w:t>have</w:t>
      </w:r>
      <w:r>
        <w:t xml:space="preserve"> </w:t>
      </w:r>
      <w:r w:rsidRPr="6CCA9B44">
        <w:t>poorer</w:t>
      </w:r>
      <w:r>
        <w:t xml:space="preserve"> </w:t>
      </w:r>
      <w:r w:rsidRPr="6CCA9B44">
        <w:t>physical</w:t>
      </w:r>
      <w:r>
        <w:t xml:space="preserve"> </w:t>
      </w:r>
      <w:r w:rsidRPr="6CCA9B44">
        <w:t>health</w:t>
      </w:r>
      <w:r>
        <w:t xml:space="preserve">, which </w:t>
      </w:r>
      <w:r w:rsidRPr="6CCA9B44">
        <w:t>puts</w:t>
      </w:r>
      <w:r>
        <w:t xml:space="preserve"> </w:t>
      </w:r>
      <w:r w:rsidRPr="6CCA9B44">
        <w:t>them</w:t>
      </w:r>
      <w:r>
        <w:t xml:space="preserve"> </w:t>
      </w:r>
      <w:r w:rsidRPr="6CCA9B44">
        <w:t>at</w:t>
      </w:r>
      <w:r>
        <w:t xml:space="preserve"> </w:t>
      </w:r>
      <w:r w:rsidRPr="6CCA9B44">
        <w:t>higher</w:t>
      </w:r>
      <w:r>
        <w:t xml:space="preserve"> </w:t>
      </w:r>
      <w:r w:rsidRPr="6CCA9B44">
        <w:t>risk</w:t>
      </w:r>
      <w:r>
        <w:t xml:space="preserve"> </w:t>
      </w:r>
      <w:r w:rsidRPr="6CCA9B44">
        <w:t>of</w:t>
      </w:r>
      <w:r>
        <w:t xml:space="preserve"> </w:t>
      </w:r>
      <w:r w:rsidRPr="6CCA9B44">
        <w:t>physical</w:t>
      </w:r>
      <w:r>
        <w:t xml:space="preserve"> </w:t>
      </w:r>
      <w:r w:rsidRPr="6CCA9B44">
        <w:t>harm</w:t>
      </w:r>
      <w:r>
        <w:t xml:space="preserve"> </w:t>
      </w:r>
      <w:r w:rsidRPr="6CCA9B44">
        <w:t>occurring</w:t>
      </w:r>
      <w:r>
        <w:t xml:space="preserve"> </w:t>
      </w:r>
      <w:r w:rsidRPr="6CCA9B44">
        <w:t>during</w:t>
      </w:r>
      <w:r>
        <w:t xml:space="preserve"> </w:t>
      </w:r>
      <w:r w:rsidRPr="6CCA9B44">
        <w:t>a</w:t>
      </w:r>
      <w:r>
        <w:t xml:space="preserve"> </w:t>
      </w:r>
      <w:r w:rsidRPr="6CCA9B44">
        <w:t>restraint</w:t>
      </w:r>
      <w:r>
        <w:t xml:space="preserve"> event</w:t>
      </w:r>
      <w:r w:rsidRPr="6CCA9B44">
        <w:t>.</w:t>
      </w:r>
      <w:r>
        <w:t xml:space="preserve"> Research has also shown that young people are at a higher risk of injury or harm resulting from restraint.</w:t>
      </w:r>
      <w:r>
        <w:rPr>
          <w:rStyle w:val="FootnoteReference"/>
          <w:rFonts w:cs="Segoe UI"/>
        </w:rPr>
        <w:footnoteReference w:id="137"/>
      </w:r>
      <w:r>
        <w:t xml:space="preserve"> </w:t>
      </w:r>
    </w:p>
    <w:p w14:paraId="3ECFF2A7" w14:textId="77777777" w:rsidR="006E6D19" w:rsidRDefault="006E6D19" w:rsidP="006E6D19"/>
    <w:p w14:paraId="46BB1E96" w14:textId="77777777" w:rsidR="00DB1B6E" w:rsidRPr="00F1296B" w:rsidRDefault="00DB1B6E" w:rsidP="006E6D19">
      <w:pPr>
        <w:rPr>
          <w:szCs w:val="21"/>
        </w:rPr>
      </w:pPr>
      <w:r w:rsidRPr="334F3341">
        <w:rPr>
          <w:szCs w:val="21"/>
        </w:rPr>
        <w:t xml:space="preserve">A person’s risk of injury or death resulting from a restraint </w:t>
      </w:r>
      <w:r>
        <w:rPr>
          <w:szCs w:val="21"/>
        </w:rPr>
        <w:t>event</w:t>
      </w:r>
      <w:r w:rsidRPr="334F3341">
        <w:rPr>
          <w:szCs w:val="21"/>
        </w:rPr>
        <w:t xml:space="preserve"> increases with the presence of several factors, including: </w:t>
      </w:r>
    </w:p>
    <w:p w14:paraId="13913457" w14:textId="77777777" w:rsidR="00DB1B6E" w:rsidRPr="00892DFE" w:rsidRDefault="00DB1B6E" w:rsidP="006E6D19">
      <w:pPr>
        <w:pStyle w:val="Bullet"/>
        <w:rPr>
          <w:lang w:eastAsia="en-NZ"/>
        </w:rPr>
      </w:pPr>
      <w:r w:rsidRPr="00892DFE">
        <w:rPr>
          <w:lang w:eastAsia="en-NZ"/>
        </w:rPr>
        <w:t>pre-existing</w:t>
      </w:r>
      <w:r>
        <w:rPr>
          <w:lang w:eastAsia="en-NZ"/>
        </w:rPr>
        <w:t xml:space="preserve"> </w:t>
      </w:r>
      <w:r w:rsidRPr="00892DFE">
        <w:rPr>
          <w:lang w:eastAsia="en-NZ"/>
        </w:rPr>
        <w:t>health</w:t>
      </w:r>
      <w:r>
        <w:rPr>
          <w:lang w:eastAsia="en-NZ"/>
        </w:rPr>
        <w:t xml:space="preserve"> </w:t>
      </w:r>
      <w:r w:rsidRPr="00892DFE">
        <w:rPr>
          <w:lang w:eastAsia="en-NZ"/>
        </w:rPr>
        <w:t>conditions</w:t>
      </w:r>
      <w:r>
        <w:rPr>
          <w:lang w:eastAsia="en-NZ"/>
        </w:rPr>
        <w:t xml:space="preserve"> </w:t>
      </w:r>
    </w:p>
    <w:p w14:paraId="4491AAE6" w14:textId="77777777" w:rsidR="00DB1B6E" w:rsidRDefault="00DB1B6E" w:rsidP="006E6D19">
      <w:pPr>
        <w:pStyle w:val="Bullet"/>
        <w:rPr>
          <w:lang w:eastAsia="en-NZ"/>
        </w:rPr>
      </w:pPr>
      <w:r w:rsidRPr="00892DFE">
        <w:rPr>
          <w:lang w:eastAsia="en-NZ"/>
        </w:rPr>
        <w:t>excited</w:t>
      </w:r>
      <w:r>
        <w:rPr>
          <w:lang w:eastAsia="en-NZ"/>
        </w:rPr>
        <w:t xml:space="preserve"> </w:t>
      </w:r>
      <w:r w:rsidRPr="00892DFE">
        <w:rPr>
          <w:lang w:eastAsia="en-NZ"/>
        </w:rPr>
        <w:t>delirium/acute</w:t>
      </w:r>
      <w:r>
        <w:rPr>
          <w:lang w:eastAsia="en-NZ"/>
        </w:rPr>
        <w:t xml:space="preserve"> </w:t>
      </w:r>
      <w:r w:rsidRPr="00892DFE">
        <w:rPr>
          <w:lang w:eastAsia="en-NZ"/>
        </w:rPr>
        <w:t>behavioural</w:t>
      </w:r>
      <w:r>
        <w:rPr>
          <w:lang w:eastAsia="en-NZ"/>
        </w:rPr>
        <w:t xml:space="preserve"> </w:t>
      </w:r>
      <w:r w:rsidRPr="00892DFE">
        <w:rPr>
          <w:lang w:eastAsia="en-NZ"/>
        </w:rPr>
        <w:t>disturbance</w:t>
      </w:r>
    </w:p>
    <w:p w14:paraId="2356035C" w14:textId="77777777" w:rsidR="00DB1B6E" w:rsidRPr="00D22DB4" w:rsidRDefault="00DB1B6E" w:rsidP="006E6D19">
      <w:pPr>
        <w:pStyle w:val="Bullet"/>
      </w:pPr>
      <w:r>
        <w:rPr>
          <w:lang w:eastAsia="en-NZ"/>
        </w:rPr>
        <w:t>substance use</w:t>
      </w:r>
      <w:r w:rsidRPr="00F757C6">
        <w:rPr>
          <w:vertAlign w:val="superscript"/>
          <w:lang w:eastAsia="en-NZ"/>
        </w:rPr>
        <w:footnoteReference w:id="138"/>
      </w:r>
    </w:p>
    <w:p w14:paraId="35CBB70A" w14:textId="77777777" w:rsidR="00DB1B6E" w:rsidRPr="00892DFE" w:rsidRDefault="00DB1B6E" w:rsidP="006E6D19">
      <w:pPr>
        <w:pStyle w:val="Bullet"/>
        <w:rPr>
          <w:lang w:eastAsia="en-NZ"/>
        </w:rPr>
      </w:pPr>
      <w:r w:rsidRPr="00892DFE">
        <w:rPr>
          <w:lang w:eastAsia="en-NZ"/>
        </w:rPr>
        <w:t>positional</w:t>
      </w:r>
      <w:r>
        <w:rPr>
          <w:lang w:eastAsia="en-NZ"/>
        </w:rPr>
        <w:t xml:space="preserve"> </w:t>
      </w:r>
      <w:r w:rsidRPr="00892DFE">
        <w:rPr>
          <w:lang w:eastAsia="en-NZ"/>
        </w:rPr>
        <w:t>asphyxia</w:t>
      </w:r>
      <w:r>
        <w:rPr>
          <w:lang w:eastAsia="en-NZ"/>
        </w:rPr>
        <w:t xml:space="preserve"> </w:t>
      </w:r>
    </w:p>
    <w:p w14:paraId="6339D392" w14:textId="77777777" w:rsidR="00DB1B6E" w:rsidRPr="00BA0DDF" w:rsidRDefault="00DB1B6E" w:rsidP="006E6D19">
      <w:pPr>
        <w:pStyle w:val="Bullet"/>
        <w:rPr>
          <w:rFonts w:eastAsiaTheme="minorEastAsia"/>
          <w:szCs w:val="21"/>
        </w:rPr>
      </w:pPr>
      <w:r w:rsidRPr="00BA0DDF">
        <w:rPr>
          <w:szCs w:val="21"/>
          <w:lang w:eastAsia="en-NZ"/>
        </w:rPr>
        <w:t>prone positioning</w:t>
      </w:r>
      <w:r>
        <w:rPr>
          <w:szCs w:val="21"/>
          <w:lang w:eastAsia="en-NZ"/>
        </w:rPr>
        <w:t>,</w:t>
      </w:r>
      <w:r w:rsidRPr="00BA0DDF">
        <w:rPr>
          <w:rStyle w:val="FootnoteReference"/>
          <w:rFonts w:cs="Segoe UI"/>
          <w:szCs w:val="21"/>
          <w:lang w:eastAsia="en-NZ"/>
        </w:rPr>
        <w:footnoteReference w:id="139"/>
      </w:r>
      <w:r w:rsidRPr="00BA0DDF">
        <w:rPr>
          <w:szCs w:val="21"/>
          <w:lang w:eastAsia="en-NZ"/>
        </w:rPr>
        <w:t xml:space="preserve"> which increases the risk of breathing difficulty. Prone restraints are not supported by these guidelines or the SPEC training for safety reasons</w:t>
      </w:r>
      <w:r>
        <w:rPr>
          <w:szCs w:val="21"/>
          <w:lang w:eastAsia="en-NZ"/>
        </w:rPr>
        <w:t>;</w:t>
      </w:r>
      <w:r w:rsidRPr="00BA0DDF">
        <w:rPr>
          <w:szCs w:val="21"/>
          <w:lang w:eastAsia="en-NZ"/>
        </w:rPr>
        <w:t xml:space="preserve"> </w:t>
      </w:r>
      <w:r>
        <w:rPr>
          <w:szCs w:val="21"/>
          <w:lang w:eastAsia="en-NZ"/>
        </w:rPr>
        <w:t xml:space="preserve">services </w:t>
      </w:r>
      <w:r w:rsidRPr="00BA0DDF">
        <w:rPr>
          <w:szCs w:val="21"/>
          <w:lang w:eastAsia="en-NZ"/>
        </w:rPr>
        <w:t>should not use</w:t>
      </w:r>
      <w:r>
        <w:rPr>
          <w:szCs w:val="21"/>
          <w:lang w:eastAsia="en-NZ"/>
        </w:rPr>
        <w:t xml:space="preserve"> them. </w:t>
      </w:r>
    </w:p>
    <w:p w14:paraId="792370A6" w14:textId="77777777" w:rsidR="006E6D19" w:rsidRDefault="006E6D19" w:rsidP="00DB1B6E">
      <w:pPr>
        <w:spacing w:line="276" w:lineRule="auto"/>
        <w:rPr>
          <w:rFonts w:cs="Segoe UI"/>
          <w:lang w:eastAsia="en-NZ"/>
        </w:rPr>
      </w:pPr>
    </w:p>
    <w:p w14:paraId="3C76792E" w14:textId="5FA5917B" w:rsidR="00DB1B6E" w:rsidRDefault="00DB1B6E" w:rsidP="006E6D19">
      <w:pPr>
        <w:rPr>
          <w:lang w:eastAsia="en-NZ"/>
        </w:rPr>
      </w:pPr>
      <w:r>
        <w:rPr>
          <w:lang w:eastAsia="en-NZ"/>
        </w:rPr>
        <w:t>The longer the restraint episode lasts, the more likely that injury or death may occur.</w:t>
      </w:r>
      <w:r>
        <w:rPr>
          <w:rStyle w:val="FootnoteReference"/>
          <w:rFonts w:cs="Segoe UI"/>
          <w:lang w:eastAsia="en-NZ"/>
        </w:rPr>
        <w:footnoteReference w:id="140"/>
      </w:r>
      <w:r>
        <w:rPr>
          <w:lang w:eastAsia="en-NZ"/>
        </w:rPr>
        <w:t xml:space="preserve"> There is no safe window of time for a restraint episode.</w:t>
      </w:r>
      <w:r>
        <w:rPr>
          <w:rStyle w:val="FootnoteReference"/>
          <w:rFonts w:cs="Segoe UI"/>
          <w:lang w:eastAsia="en-NZ"/>
        </w:rPr>
        <w:footnoteReference w:id="141"/>
      </w:r>
      <w:r>
        <w:rPr>
          <w:lang w:eastAsia="en-NZ"/>
        </w:rPr>
        <w:t xml:space="preserve"> Researchers have found the time that individuals were held in a prone restraint before fatal collapse ranged from 2 to 12 minutes.</w:t>
      </w:r>
      <w:r>
        <w:rPr>
          <w:rStyle w:val="FootnoteReference"/>
          <w:rFonts w:cs="Segoe UI"/>
          <w:lang w:eastAsia="en-NZ"/>
        </w:rPr>
        <w:footnoteReference w:id="142"/>
      </w:r>
      <w:r>
        <w:rPr>
          <w:lang w:eastAsia="en-NZ"/>
        </w:rPr>
        <w:t xml:space="preserve"> </w:t>
      </w:r>
    </w:p>
    <w:p w14:paraId="6DCAFB37" w14:textId="77777777" w:rsidR="006E6D19" w:rsidRDefault="006E6D19" w:rsidP="006E6D19">
      <w:pPr>
        <w:rPr>
          <w:lang w:eastAsia="en-NZ"/>
        </w:rPr>
      </w:pPr>
    </w:p>
    <w:p w14:paraId="2813BE31" w14:textId="2B14465F" w:rsidR="00DB1B6E" w:rsidRDefault="00DB1B6E" w:rsidP="006E6D19">
      <w:pPr>
        <w:rPr>
          <w:lang w:eastAsia="en-NZ"/>
        </w:rPr>
      </w:pPr>
      <w:r>
        <w:rPr>
          <w:lang w:eastAsia="en-NZ"/>
        </w:rPr>
        <w:t xml:space="preserve">As noted in section </w:t>
      </w:r>
      <w:r w:rsidRPr="004D26D2">
        <w:rPr>
          <w:lang w:eastAsia="en-NZ"/>
        </w:rPr>
        <w:t>2.1</w:t>
      </w:r>
      <w:r>
        <w:rPr>
          <w:lang w:eastAsia="en-NZ"/>
        </w:rPr>
        <w:t xml:space="preserve">, there are also psychological consequences of using restraint that services need to mitigate as much as possible when using restraint. This includes </w:t>
      </w:r>
      <w:r w:rsidRPr="002301C8">
        <w:rPr>
          <w:lang w:eastAsia="en-NZ"/>
        </w:rPr>
        <w:t xml:space="preserve">the likelihood of </w:t>
      </w:r>
      <w:r>
        <w:rPr>
          <w:lang w:eastAsia="en-NZ"/>
        </w:rPr>
        <w:t>a person’s</w:t>
      </w:r>
      <w:r w:rsidRPr="002301C8">
        <w:rPr>
          <w:lang w:eastAsia="en-NZ"/>
        </w:rPr>
        <w:t xml:space="preserve"> anxiety, aggression or distress</w:t>
      </w:r>
      <w:r>
        <w:rPr>
          <w:lang w:eastAsia="en-NZ"/>
        </w:rPr>
        <w:t xml:space="preserve"> escalating during an episode of restraint.</w:t>
      </w:r>
    </w:p>
    <w:p w14:paraId="43DC6F12" w14:textId="77777777" w:rsidR="006E6D19" w:rsidRDefault="006E6D19" w:rsidP="006E6D19">
      <w:pPr>
        <w:rPr>
          <w:lang w:eastAsia="en-NZ"/>
        </w:rPr>
      </w:pPr>
    </w:p>
    <w:p w14:paraId="18742788" w14:textId="7A9DE718" w:rsidR="00DB1B6E" w:rsidRDefault="00DB1B6E" w:rsidP="006E6D19">
      <w:pPr>
        <w:rPr>
          <w:lang w:eastAsia="en-NZ"/>
        </w:rPr>
      </w:pPr>
      <w:r>
        <w:rPr>
          <w:lang w:eastAsia="en-NZ"/>
        </w:rPr>
        <w:t xml:space="preserve">Following an episode of restraint, staff should consider the need for a medical examination to assess for injuries or aggravation of underlying medical conditions caused by the restraint. Staff should report any adverse events and follow them up in accordance with their policies. </w:t>
      </w:r>
    </w:p>
    <w:p w14:paraId="16B77098" w14:textId="77777777" w:rsidR="006E6D19" w:rsidRDefault="006E6D19" w:rsidP="006E6D19">
      <w:pPr>
        <w:rPr>
          <w:lang w:eastAsia="en-NZ"/>
        </w:rPr>
      </w:pPr>
    </w:p>
    <w:p w14:paraId="3B1D5C0E" w14:textId="77777777" w:rsidR="00DB1B6E" w:rsidRDefault="00DB1B6E" w:rsidP="006E6D19">
      <w:pPr>
        <w:rPr>
          <w:lang w:eastAsia="en-NZ"/>
        </w:rPr>
      </w:pPr>
      <w:r>
        <w:rPr>
          <w:lang w:eastAsia="en-NZ"/>
        </w:rPr>
        <w:t>It is important for staff to maintain relational safety and wairuatanga (spiritual) safety as much as possible when using restraint.</w:t>
      </w:r>
    </w:p>
    <w:p w14:paraId="70616225" w14:textId="77777777" w:rsidR="00DB1B6E" w:rsidRPr="006E6D19" w:rsidRDefault="00DB1B6E" w:rsidP="006E6D19">
      <w:pPr>
        <w:pStyle w:val="Heading3"/>
      </w:pPr>
      <w:bookmarkStart w:id="421" w:name="_Toc103152140"/>
      <w:bookmarkStart w:id="422" w:name="_Toc105770657"/>
      <w:bookmarkStart w:id="423" w:name="_Toc131663842"/>
      <w:r w:rsidRPr="006E6D19">
        <w:lastRenderedPageBreak/>
        <w:t>Other safety considerations</w:t>
      </w:r>
      <w:bookmarkEnd w:id="421"/>
      <w:bookmarkEnd w:id="422"/>
      <w:bookmarkEnd w:id="423"/>
    </w:p>
    <w:p w14:paraId="62FF1635" w14:textId="77777777" w:rsidR="00DB1B6E" w:rsidRDefault="00DB1B6E" w:rsidP="006E6D19">
      <w:r>
        <w:t xml:space="preserve">Before making a decision to use restraint, </w:t>
      </w:r>
      <w:r w:rsidRPr="334F3341">
        <w:t xml:space="preserve">staff </w:t>
      </w:r>
      <w:r>
        <w:t xml:space="preserve">should </w:t>
      </w:r>
      <w:r w:rsidRPr="334F3341">
        <w:t xml:space="preserve">consider a person’s trauma history, </w:t>
      </w:r>
      <w:r>
        <w:t xml:space="preserve">their </w:t>
      </w:r>
      <w:r w:rsidRPr="334F3341">
        <w:t xml:space="preserve">possible recent substance use and </w:t>
      </w:r>
      <w:r>
        <w:t xml:space="preserve">their </w:t>
      </w:r>
      <w:r w:rsidRPr="334F3341">
        <w:t xml:space="preserve">cultural needs. </w:t>
      </w:r>
      <w:r>
        <w:t xml:space="preserve">They should seek </w:t>
      </w:r>
      <w:r w:rsidRPr="334F3341">
        <w:t xml:space="preserve">relevant cultural advice to maintain cultural safety. A person’s sensory differences or sensitivities (for example, </w:t>
      </w:r>
      <w:r>
        <w:t xml:space="preserve">some </w:t>
      </w:r>
      <w:r w:rsidRPr="334F3341">
        <w:t xml:space="preserve">people may be distressed by touch), and communication needs are also an important part of the decision. </w:t>
      </w:r>
    </w:p>
    <w:p w14:paraId="6F03D754" w14:textId="77777777" w:rsidR="00DB1B6E" w:rsidRPr="006E6D19" w:rsidRDefault="00DB1B6E" w:rsidP="006E6D19">
      <w:pPr>
        <w:pStyle w:val="Heading3"/>
      </w:pPr>
      <w:bookmarkStart w:id="424" w:name="_Toc131663843"/>
      <w:r w:rsidRPr="006E6D19">
        <w:t>Use of security staff for restraint events</w:t>
      </w:r>
      <w:bookmarkEnd w:id="424"/>
    </w:p>
    <w:p w14:paraId="016896D3" w14:textId="166727DA" w:rsidR="00DB1B6E" w:rsidRDefault="00DB1B6E" w:rsidP="006E6D19">
      <w:bookmarkStart w:id="425" w:name="_Toc102739069"/>
      <w:bookmarkStart w:id="426" w:name="_Toc102739166"/>
      <w:bookmarkStart w:id="427" w:name="_Toc102739269"/>
      <w:bookmarkStart w:id="428" w:name="_Toc102741062"/>
      <w:bookmarkStart w:id="429" w:name="_Toc103152141"/>
      <w:bookmarkStart w:id="430" w:name="_Toc102739070"/>
      <w:bookmarkStart w:id="431" w:name="_Toc102739167"/>
      <w:bookmarkStart w:id="432" w:name="_Toc102739270"/>
      <w:bookmarkStart w:id="433" w:name="_Toc102741063"/>
      <w:bookmarkStart w:id="434" w:name="_Toc103152142"/>
      <w:bookmarkStart w:id="435" w:name="_Toc102739071"/>
      <w:bookmarkStart w:id="436" w:name="_Toc102739168"/>
      <w:bookmarkStart w:id="437" w:name="_Toc102739271"/>
      <w:bookmarkStart w:id="438" w:name="_Toc102741064"/>
      <w:bookmarkStart w:id="439" w:name="_Toc103152143"/>
      <w:bookmarkStart w:id="440" w:name="_Toc102739072"/>
      <w:bookmarkStart w:id="441" w:name="_Toc102739169"/>
      <w:bookmarkStart w:id="442" w:name="_Toc102739272"/>
      <w:bookmarkStart w:id="443" w:name="_Toc102741065"/>
      <w:bookmarkStart w:id="444" w:name="_Toc103152144"/>
      <w:bookmarkStart w:id="445" w:name="_Toc102739073"/>
      <w:bookmarkStart w:id="446" w:name="_Toc102739170"/>
      <w:bookmarkStart w:id="447" w:name="_Toc102739273"/>
      <w:bookmarkStart w:id="448" w:name="_Toc102741066"/>
      <w:bookmarkStart w:id="449" w:name="_Toc103152145"/>
      <w:bookmarkStart w:id="450" w:name="_Toc102739074"/>
      <w:bookmarkStart w:id="451" w:name="_Toc102739171"/>
      <w:bookmarkStart w:id="452" w:name="_Toc102739274"/>
      <w:bookmarkStart w:id="453" w:name="_Toc102741067"/>
      <w:bookmarkStart w:id="454" w:name="_Toc103152146"/>
      <w:bookmarkStart w:id="455" w:name="_Toc102739075"/>
      <w:bookmarkStart w:id="456" w:name="_Toc102739172"/>
      <w:bookmarkStart w:id="457" w:name="_Toc102739275"/>
      <w:bookmarkStart w:id="458" w:name="_Toc102741068"/>
      <w:bookmarkStart w:id="459" w:name="_Toc103152147"/>
      <w:bookmarkStart w:id="460" w:name="_Toc102739076"/>
      <w:bookmarkStart w:id="461" w:name="_Toc102739173"/>
      <w:bookmarkStart w:id="462" w:name="_Toc102739276"/>
      <w:bookmarkStart w:id="463" w:name="_Toc102741069"/>
      <w:bookmarkStart w:id="464" w:name="_Toc103152148"/>
      <w:bookmarkStart w:id="465" w:name="_Toc102739077"/>
      <w:bookmarkStart w:id="466" w:name="_Toc102739174"/>
      <w:bookmarkStart w:id="467" w:name="_Toc102739277"/>
      <w:bookmarkStart w:id="468" w:name="_Toc102741070"/>
      <w:bookmarkStart w:id="469" w:name="_Toc103152149"/>
      <w:bookmarkStart w:id="470" w:name="_Toc102739078"/>
      <w:bookmarkStart w:id="471" w:name="_Toc102739175"/>
      <w:bookmarkStart w:id="472" w:name="_Toc102739278"/>
      <w:bookmarkStart w:id="473" w:name="_Toc102741071"/>
      <w:bookmarkStart w:id="474" w:name="_Toc103152150"/>
      <w:bookmarkStart w:id="475" w:name="_Toc102739079"/>
      <w:bookmarkStart w:id="476" w:name="_Toc102739176"/>
      <w:bookmarkStart w:id="477" w:name="_Toc102739279"/>
      <w:bookmarkStart w:id="478" w:name="_Toc102741072"/>
      <w:bookmarkStart w:id="479" w:name="_Toc103152151"/>
      <w:bookmarkStart w:id="480" w:name="_Toc102739080"/>
      <w:bookmarkStart w:id="481" w:name="_Toc102739177"/>
      <w:bookmarkStart w:id="482" w:name="_Toc102739280"/>
      <w:bookmarkStart w:id="483" w:name="_Toc102741073"/>
      <w:bookmarkStart w:id="484" w:name="_Toc103152152"/>
      <w:bookmarkStart w:id="485" w:name="_Toc102739081"/>
      <w:bookmarkStart w:id="486" w:name="_Toc102739178"/>
      <w:bookmarkStart w:id="487" w:name="_Toc102739281"/>
      <w:bookmarkStart w:id="488" w:name="_Toc102741074"/>
      <w:bookmarkStart w:id="489" w:name="_Toc103152153"/>
      <w:bookmarkStart w:id="490" w:name="_Toc102739082"/>
      <w:bookmarkStart w:id="491" w:name="_Toc102739179"/>
      <w:bookmarkStart w:id="492" w:name="_Toc102739282"/>
      <w:bookmarkStart w:id="493" w:name="_Toc102741075"/>
      <w:bookmarkStart w:id="494" w:name="_Toc103152154"/>
      <w:bookmarkStart w:id="495" w:name="_Toc102739083"/>
      <w:bookmarkStart w:id="496" w:name="_Toc102739180"/>
      <w:bookmarkStart w:id="497" w:name="_Toc102739283"/>
      <w:bookmarkStart w:id="498" w:name="_Toc102741076"/>
      <w:bookmarkStart w:id="499" w:name="_Toc103152155"/>
      <w:bookmarkStart w:id="500" w:name="_Toc102739084"/>
      <w:bookmarkStart w:id="501" w:name="_Toc102739181"/>
      <w:bookmarkStart w:id="502" w:name="_Toc102739284"/>
      <w:bookmarkStart w:id="503" w:name="_Toc102741077"/>
      <w:bookmarkStart w:id="504" w:name="_Toc103152156"/>
      <w:bookmarkStart w:id="505" w:name="_Toc102739085"/>
      <w:bookmarkStart w:id="506" w:name="_Toc102739182"/>
      <w:bookmarkStart w:id="507" w:name="_Toc102739285"/>
      <w:bookmarkStart w:id="508" w:name="_Toc102741078"/>
      <w:bookmarkStart w:id="509" w:name="_Toc103152157"/>
      <w:bookmarkStart w:id="510" w:name="_Toc103152158"/>
      <w:bookmarkStart w:id="511" w:name="_Toc105770658"/>
      <w:bookmarkStart w:id="512" w:name="_Toc120707498"/>
      <w:bookmarkStart w:id="513" w:name="_Toc120707595"/>
      <w:bookmarkStart w:id="514" w:name="_Toc120707692"/>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4E2E5A">
        <w:t xml:space="preserve">The involvement of security </w:t>
      </w:r>
      <w:r>
        <w:t>staff</w:t>
      </w:r>
      <w:r w:rsidRPr="004E2E5A">
        <w:t xml:space="preserve"> </w:t>
      </w:r>
      <w:r>
        <w:t xml:space="preserve">in </w:t>
      </w:r>
      <w:r w:rsidRPr="004E2E5A">
        <w:t>respond</w:t>
      </w:r>
      <w:r>
        <w:t>ing</w:t>
      </w:r>
      <w:r w:rsidRPr="004E2E5A">
        <w:t xml:space="preserve"> to incidents posing an immediate risk of harm </w:t>
      </w:r>
      <w:r>
        <w:t>may</w:t>
      </w:r>
      <w:r w:rsidRPr="004E2E5A">
        <w:t xml:space="preserve"> be appropriate if th</w:t>
      </w:r>
      <w:r>
        <w:t>os</w:t>
      </w:r>
      <w:r w:rsidRPr="004E2E5A">
        <w:t xml:space="preserve">e </w:t>
      </w:r>
      <w:r>
        <w:t>staff</w:t>
      </w:r>
      <w:r w:rsidRPr="004E2E5A">
        <w:t xml:space="preserve"> have the necessary training </w:t>
      </w:r>
      <w:r>
        <w:t>(</w:t>
      </w:r>
      <w:r w:rsidRPr="004E2E5A">
        <w:t>such as SPEC</w:t>
      </w:r>
      <w:r>
        <w:t>)</w:t>
      </w:r>
      <w:r w:rsidRPr="004E2E5A">
        <w:t xml:space="preserve"> and their interaction with </w:t>
      </w:r>
      <w:r>
        <w:t>tāngata whaiora</w:t>
      </w:r>
      <w:r w:rsidRPr="004E2E5A">
        <w:t xml:space="preserve"> is limited. In th</w:t>
      </w:r>
      <w:r>
        <w:t>e</w:t>
      </w:r>
      <w:r w:rsidRPr="004E2E5A">
        <w:t xml:space="preserve">se circumstances, security </w:t>
      </w:r>
      <w:r>
        <w:t>staff</w:t>
      </w:r>
      <w:r w:rsidRPr="004E2E5A">
        <w:t xml:space="preserve"> should be </w:t>
      </w:r>
      <w:r>
        <w:t>w</w:t>
      </w:r>
      <w:r w:rsidRPr="004E2E5A">
        <w:t>orking under the direction of a registered health professional. Service</w:t>
      </w:r>
      <w:r>
        <w:t>s</w:t>
      </w:r>
      <w:r w:rsidRPr="004E2E5A">
        <w:t xml:space="preserve"> should ensure that their policies, procedures and training </w:t>
      </w:r>
      <w:r>
        <w:t xml:space="preserve">methods set out </w:t>
      </w:r>
      <w:r w:rsidRPr="004E2E5A">
        <w:t xml:space="preserve">clear boundaries for engagement by security </w:t>
      </w:r>
      <w:r>
        <w:t>staff</w:t>
      </w:r>
      <w:r w:rsidRPr="004E2E5A">
        <w:t xml:space="preserve">. </w:t>
      </w:r>
      <w:r>
        <w:t>Security staff should not be involved in routine interventions.</w:t>
      </w:r>
    </w:p>
    <w:p w14:paraId="0E708541" w14:textId="77777777" w:rsidR="006E6D19" w:rsidRDefault="006E6D19" w:rsidP="006E6D19"/>
    <w:p w14:paraId="246EBFF2" w14:textId="77777777" w:rsidR="00DB1B6E" w:rsidRDefault="00DB1B6E" w:rsidP="006E6D19">
      <w:r>
        <w:t xml:space="preserve">Restraining someone damages trust and the therapeutic relationships they have with staff. It is preferable that mental health professionals spend their time engaging positively with tāngata whaiora using the approaches set out in these guidelines. </w:t>
      </w:r>
    </w:p>
    <w:p w14:paraId="106995AB" w14:textId="77777777" w:rsidR="006E6D19" w:rsidRDefault="006E6D19" w:rsidP="006E6D19"/>
    <w:p w14:paraId="47C66F98" w14:textId="1818F487" w:rsidR="00DB1B6E" w:rsidRPr="004E2E5A" w:rsidRDefault="00DB1B6E" w:rsidP="006E6D19">
      <w:r>
        <w:t>S</w:t>
      </w:r>
      <w:r w:rsidRPr="004E2E5A">
        <w:t xml:space="preserve">ecurity staff </w:t>
      </w:r>
      <w:r w:rsidRPr="00F10E29">
        <w:t xml:space="preserve">should not be </w:t>
      </w:r>
      <w:r w:rsidRPr="006E479A">
        <w:t xml:space="preserve">involved </w:t>
      </w:r>
      <w:r w:rsidRPr="00F00F6F">
        <w:t xml:space="preserve">in any </w:t>
      </w:r>
      <w:r w:rsidRPr="004E2E5A">
        <w:t>therapeutic interventions in mental health units</w:t>
      </w:r>
      <w:r>
        <w:t xml:space="preserve"> (noting that seclusion and restraint are not therapeutic)</w:t>
      </w:r>
      <w:r w:rsidRPr="004E2E5A">
        <w:t>.</w:t>
      </w:r>
      <w:r>
        <w:t xml:space="preserve"> </w:t>
      </w:r>
      <w:bookmarkStart w:id="515" w:name="_Toc117840629"/>
      <w:bookmarkStart w:id="516" w:name="_Toc118204344"/>
      <w:bookmarkStart w:id="517" w:name="_Toc119584219"/>
      <w:bookmarkStart w:id="518" w:name="_Toc119659505"/>
      <w:bookmarkStart w:id="519" w:name="_Toc119662494"/>
      <w:bookmarkStart w:id="520" w:name="_Toc119682106"/>
      <w:bookmarkStart w:id="521" w:name="_Toc119683489"/>
      <w:bookmarkStart w:id="522" w:name="_Toc120282958"/>
      <w:bookmarkStart w:id="523" w:name="_Debrief"/>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4E2E5A">
        <w:br w:type="page"/>
      </w:r>
    </w:p>
    <w:p w14:paraId="22B406E8" w14:textId="77777777" w:rsidR="00DB1B6E" w:rsidRPr="006E6D19" w:rsidRDefault="00DB1B6E" w:rsidP="006E6D19">
      <w:pPr>
        <w:pStyle w:val="Heading1"/>
        <w:rPr>
          <w:sz w:val="64"/>
          <w:szCs w:val="64"/>
        </w:rPr>
      </w:pPr>
      <w:bookmarkStart w:id="524" w:name="_Toc119683495"/>
      <w:bookmarkStart w:id="525" w:name="_Toc120282964"/>
      <w:bookmarkStart w:id="526" w:name="_Toc120703964"/>
      <w:bookmarkStart w:id="527" w:name="_Toc120713478"/>
      <w:bookmarkStart w:id="528" w:name="_Toc120715627"/>
      <w:bookmarkStart w:id="529" w:name="_Toc120862254"/>
      <w:bookmarkStart w:id="530" w:name="_Toc103152163"/>
      <w:bookmarkStart w:id="531" w:name="_Toc105770663"/>
      <w:bookmarkStart w:id="532" w:name="_Toc131663844"/>
      <w:bookmarkStart w:id="533" w:name="_Toc132355339"/>
      <w:bookmarkEnd w:id="524"/>
      <w:bookmarkEnd w:id="525"/>
      <w:bookmarkEnd w:id="526"/>
      <w:bookmarkEnd w:id="527"/>
      <w:bookmarkEnd w:id="528"/>
      <w:bookmarkEnd w:id="529"/>
      <w:r w:rsidRPr="006E6D19">
        <w:rPr>
          <w:sz w:val="64"/>
          <w:szCs w:val="64"/>
        </w:rPr>
        <w:lastRenderedPageBreak/>
        <w:t>Safely using seclusion under the Mental Health Act</w:t>
      </w:r>
      <w:bookmarkEnd w:id="530"/>
      <w:bookmarkEnd w:id="531"/>
      <w:bookmarkEnd w:id="532"/>
      <w:bookmarkEnd w:id="533"/>
    </w:p>
    <w:p w14:paraId="6F79A4A1" w14:textId="1657F132" w:rsidR="00DB1B6E" w:rsidRDefault="00DB1B6E" w:rsidP="006E6D19">
      <w:r>
        <w:t xml:space="preserve">The outcome </w:t>
      </w:r>
      <w:r w:rsidRPr="004A7471">
        <w:t>Ngā</w:t>
      </w:r>
      <w:r>
        <w:t xml:space="preserve"> P</w:t>
      </w:r>
      <w:r w:rsidRPr="004A7471">
        <w:t>aerewa</w:t>
      </w:r>
      <w:r>
        <w:t xml:space="preserve"> expresses in Outcome 6 </w:t>
      </w:r>
      <w:r w:rsidRPr="00D60FF5">
        <w:t>‘</w:t>
      </w:r>
      <w:r w:rsidRPr="009655E7">
        <w:t>Here Taratahi Restraint and Seclusion’</w:t>
      </w:r>
      <w:r>
        <w:t xml:space="preserve"> is that ‘services shall aim for a restraint and seclusion free environment, in which people’s dignity and mana are </w:t>
      </w:r>
      <w:r w:rsidRPr="00655DCB">
        <w:t>maintained'</w:t>
      </w:r>
      <w:r>
        <w:t xml:space="preserve">. </w:t>
      </w:r>
    </w:p>
    <w:p w14:paraId="46CCC04A" w14:textId="77777777" w:rsidR="006E6D19" w:rsidRDefault="006E6D19" w:rsidP="006E6D19"/>
    <w:p w14:paraId="28ADB717" w14:textId="388F14CC" w:rsidR="00DB1B6E" w:rsidRDefault="00DB1B6E" w:rsidP="006E6D19">
      <w:r>
        <w:t xml:space="preserve">Manatū Hauora is committed to supporting the Zero Seclusion: Safety and Dignity for All project and criterion 6.4.1 of Ngā Paerewa, which states that service providers shall work towards being seclusion free. </w:t>
      </w:r>
    </w:p>
    <w:p w14:paraId="7FBE693B" w14:textId="4316EBF6" w:rsidR="006E6D19" w:rsidRDefault="006E6D19" w:rsidP="006E6D19"/>
    <w:p w14:paraId="2B55B7E9" w14:textId="641DAE26" w:rsidR="00DB1B6E" w:rsidRDefault="006E6D19" w:rsidP="006E6D19">
      <w:r w:rsidRPr="00655DCB">
        <w:rPr>
          <w:noProof/>
        </w:rPr>
        <mc:AlternateContent>
          <mc:Choice Requires="wps">
            <w:drawing>
              <wp:anchor distT="45720" distB="45720" distL="114300" distR="114300" simplePos="0" relativeHeight="251658249" behindDoc="0" locked="0" layoutInCell="1" allowOverlap="1" wp14:anchorId="03123552" wp14:editId="144430E6">
                <wp:simplePos x="0" y="0"/>
                <wp:positionH relativeFrom="margin">
                  <wp:posOffset>3805555</wp:posOffset>
                </wp:positionH>
                <wp:positionV relativeFrom="paragraph">
                  <wp:posOffset>36195</wp:posOffset>
                </wp:positionV>
                <wp:extent cx="1371600" cy="1041400"/>
                <wp:effectExtent l="0" t="0" r="19050" b="2540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41400"/>
                        </a:xfrm>
                        <a:prstGeom prst="rect">
                          <a:avLst/>
                        </a:prstGeom>
                        <a:solidFill>
                          <a:srgbClr val="FFFFFF"/>
                        </a:solidFill>
                        <a:ln w="12700">
                          <a:solidFill>
                            <a:srgbClr val="0A6AB4"/>
                          </a:solidFill>
                          <a:miter lim="800000"/>
                          <a:headEnd/>
                          <a:tailEnd/>
                        </a:ln>
                      </wps:spPr>
                      <wps:txbx>
                        <w:txbxContent>
                          <w:p w14:paraId="0F01BDC4" w14:textId="77777777" w:rsidR="00A26CD1" w:rsidRPr="0065459E" w:rsidRDefault="00A26CD1" w:rsidP="00DB1B6E">
                            <w:pPr>
                              <w:rPr>
                                <w:rFonts w:eastAsia="Quattrocento Sans" w:cs="Segoe UI"/>
                                <w:i/>
                                <w:color w:val="0070C0"/>
                              </w:rPr>
                            </w:pPr>
                            <w:r w:rsidRPr="0065459E">
                              <w:rPr>
                                <w:rFonts w:cs="Segoe UI"/>
                              </w:rPr>
                              <w:t xml:space="preserve">Service providers shall work towards being seclusion free. </w:t>
                            </w:r>
                            <w:r w:rsidRPr="0065459E">
                              <w:rPr>
                                <w:rFonts w:eastAsia="Quattrocento Sans" w:cs="Segoe UI"/>
                                <w:i/>
                                <w:color w:val="0070C0"/>
                              </w:rPr>
                              <w:t xml:space="preserve">Ngā Paerewa </w:t>
                            </w:r>
                            <w:r>
                              <w:rPr>
                                <w:rFonts w:eastAsia="Quattrocento Sans" w:cs="Segoe UI"/>
                                <w:i/>
                                <w:color w:val="0070C0"/>
                              </w:rPr>
                              <w:t xml:space="preserve">criterion </w:t>
                            </w:r>
                            <w:r w:rsidRPr="0065459E">
                              <w:rPr>
                                <w:rFonts w:eastAsia="Quattrocento Sans" w:cs="Segoe UI"/>
                                <w:i/>
                                <w:color w:val="0070C0"/>
                              </w:rPr>
                              <w:t>6.4.1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1C43D0">
              <v:shape id="Text Box 30" style="position:absolute;margin-left:299.65pt;margin-top:2.85pt;width:108pt;height:82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4" strokecolor="#0a6ab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" w14:anchorId="03123552">
                <v:textbox>
                  <w:txbxContent>
                    <w:p w:rsidRPr="0065459E" w:rsidR="00A26CD1" w:rsidP="00DB1B6E" w:rsidRDefault="00A26CD1" w14:paraId="2BD13B4F" w14:textId="77777777">
                      <w:pPr>
                        <w:rPr>
                          <w:rFonts w:eastAsia="Quattrocento Sans" w:cs="Segoe UI"/>
                          <w:i/>
                          <w:color w:val="0070C0"/>
                        </w:rPr>
                      </w:pPr>
                      <w:r w:rsidRPr="0065459E">
                        <w:rPr>
                          <w:rFonts w:cs="Segoe UI"/>
                        </w:rPr>
                        <w:t xml:space="preserve">Service providers shall work towards being seclusion free. </w:t>
                      </w:r>
                      <w:r w:rsidRPr="0065459E">
                        <w:rPr>
                          <w:rFonts w:eastAsia="Quattrocento Sans" w:cs="Segoe UI"/>
                          <w:i/>
                          <w:color w:val="0070C0"/>
                        </w:rPr>
                        <w:t xml:space="preserve">Ngā Paerewa </w:t>
                      </w:r>
                      <w:r>
                        <w:rPr>
                          <w:rFonts w:eastAsia="Quattrocento Sans" w:cs="Segoe UI"/>
                          <w:i/>
                          <w:color w:val="0070C0"/>
                        </w:rPr>
                        <w:t xml:space="preserve">criterion </w:t>
                      </w:r>
                      <w:r w:rsidRPr="0065459E">
                        <w:rPr>
                          <w:rFonts w:eastAsia="Quattrocento Sans" w:cs="Segoe UI"/>
                          <w:i/>
                          <w:color w:val="0070C0"/>
                        </w:rPr>
                        <w:t>6.4.1</w:t>
                      </w:r>
                    </w:p>
                  </w:txbxContent>
                </v:textbox>
                <w10:wrap type="square" anchorx="margin"/>
              </v:shape>
            </w:pict>
          </mc:Fallback>
        </mc:AlternateContent>
      </w:r>
      <w:r w:rsidR="00DB1B6E">
        <w:t>Seclusion may be lawfully used</w:t>
      </w:r>
      <w:r w:rsidR="00DB1B6E" w:rsidRPr="00655DCB">
        <w:t xml:space="preserve"> </w:t>
      </w:r>
      <w:r w:rsidR="00DB1B6E">
        <w:t xml:space="preserve">if the requirements set out in section 71 of the Mental Health Act are met (as described below). However, under these guidelines, providers should only use seclusion under urgency or in emergency situations once all other less restrictive options have been tried, or where other less restrictive options are not possible to maintain the safety of tāngata whaiora and staff. This is consistent with </w:t>
      </w:r>
      <w:r w:rsidR="00DB1B6E" w:rsidRPr="00886AC6">
        <w:t>Ngā Paerewa</w:t>
      </w:r>
      <w:r w:rsidR="00DB1B6E">
        <w:t xml:space="preserve">, which provides that services must only make the decision to approve restraint (including seclusion) for a person receiving services as a last resort, after they have tried all other interventions or de-escalation strategies (criterion 6.2.1). </w:t>
      </w:r>
    </w:p>
    <w:p w14:paraId="668270DB" w14:textId="77777777" w:rsidR="006E6D19" w:rsidRDefault="006E6D19" w:rsidP="006E6D19"/>
    <w:p w14:paraId="127D3539" w14:textId="77777777" w:rsidR="00DB1B6E" w:rsidRPr="00D3787E" w:rsidRDefault="00DB1B6E" w:rsidP="006E6D19">
      <w:pPr>
        <w:rPr>
          <w:sz w:val="22"/>
          <w:szCs w:val="22"/>
        </w:rPr>
      </w:pPr>
      <w:r w:rsidRPr="00D3787E">
        <w:rPr>
          <w:rStyle w:val="normaltextrun"/>
          <w:rFonts w:eastAsiaTheme="majorEastAsia" w:cs="Segoe UI"/>
          <w:szCs w:val="21"/>
        </w:rPr>
        <w:t>Effective ways to support people in distress and help avoid the use of seclusion include:</w:t>
      </w:r>
    </w:p>
    <w:p w14:paraId="686F7B6F" w14:textId="77777777" w:rsidR="00DB1B6E" w:rsidRPr="00D3787E" w:rsidRDefault="00DB1B6E" w:rsidP="006E6D19">
      <w:pPr>
        <w:pStyle w:val="Bullet"/>
      </w:pPr>
      <w:r w:rsidRPr="009033D8">
        <w:t xml:space="preserve">bringing </w:t>
      </w:r>
      <w:r>
        <w:t xml:space="preserve">them </w:t>
      </w:r>
      <w:r w:rsidRPr="009033D8">
        <w:t>into a quiet space</w:t>
      </w:r>
    </w:p>
    <w:p w14:paraId="17DF4637" w14:textId="77777777" w:rsidR="00DB1B6E" w:rsidRPr="00D3787E" w:rsidRDefault="00DB1B6E" w:rsidP="006E6D19">
      <w:pPr>
        <w:pStyle w:val="Bullet"/>
      </w:pPr>
      <w:r w:rsidRPr="009033D8">
        <w:t>actively listening to their concerns and needs</w:t>
      </w:r>
    </w:p>
    <w:p w14:paraId="6B956D3E" w14:textId="77777777" w:rsidR="00DB1B6E" w:rsidRPr="00D3787E" w:rsidRDefault="00DB1B6E" w:rsidP="006E6D19">
      <w:pPr>
        <w:pStyle w:val="Bullet"/>
      </w:pPr>
      <w:r w:rsidRPr="009033D8">
        <w:t>learning about what happened to them, their triggers and what calms them</w:t>
      </w:r>
    </w:p>
    <w:p w14:paraId="5E8CC561" w14:textId="77777777" w:rsidR="00DB1B6E" w:rsidRPr="00D3787E" w:rsidRDefault="00DB1B6E" w:rsidP="006E6D19">
      <w:pPr>
        <w:pStyle w:val="Bullet"/>
      </w:pPr>
      <w:r w:rsidRPr="009033D8">
        <w:t>offering them food or a drink</w:t>
      </w:r>
    </w:p>
    <w:p w14:paraId="597CFCC5" w14:textId="77777777" w:rsidR="00DB1B6E" w:rsidRDefault="00DB1B6E" w:rsidP="006E6D19">
      <w:pPr>
        <w:pStyle w:val="Bullet"/>
        <w:rPr>
          <w:lang w:eastAsia="en-NZ"/>
        </w:rPr>
      </w:pPr>
      <w:r w:rsidRPr="009033D8">
        <w:t>involving their whānau early on, and throughout, if the person wishes</w:t>
      </w:r>
    </w:p>
    <w:p w14:paraId="2AF9E5F0" w14:textId="77777777" w:rsidR="00DB1B6E" w:rsidRPr="00D3787E" w:rsidRDefault="00DB1B6E" w:rsidP="006E6D19">
      <w:pPr>
        <w:pStyle w:val="Bullet"/>
        <w:rPr>
          <w:lang w:eastAsia="en-NZ"/>
        </w:rPr>
      </w:pPr>
      <w:r>
        <w:t>a sensory modulation plan</w:t>
      </w:r>
      <w:r w:rsidRPr="009033D8">
        <w:t>.</w:t>
      </w:r>
    </w:p>
    <w:p w14:paraId="4FF6EFE5" w14:textId="77777777" w:rsidR="00DB1B6E" w:rsidRPr="00D3787E" w:rsidRDefault="00DB1B6E" w:rsidP="00DB1B6E">
      <w:pPr>
        <w:spacing w:line="276" w:lineRule="auto"/>
        <w:textAlignment w:val="baseline"/>
        <w:rPr>
          <w:rFonts w:cs="Segoe UI"/>
          <w:sz w:val="22"/>
          <w:szCs w:val="22"/>
        </w:rPr>
      </w:pPr>
    </w:p>
    <w:p w14:paraId="4F5DF783" w14:textId="77777777" w:rsidR="00DB1B6E" w:rsidRDefault="00DB1B6E" w:rsidP="006E6D19">
      <w:r w:rsidRPr="00D3787E">
        <w:t>While the Mental Health Act</w:t>
      </w:r>
      <w:r>
        <w:t xml:space="preserve"> permits seclusion</w:t>
      </w:r>
      <w:r w:rsidRPr="00D3787E">
        <w:t xml:space="preserve">, </w:t>
      </w:r>
      <w:r>
        <w:t xml:space="preserve">we </w:t>
      </w:r>
      <w:r w:rsidRPr="00D3787E">
        <w:t>now underst</w:t>
      </w:r>
      <w:r>
        <w:t>and</w:t>
      </w:r>
      <w:r w:rsidRPr="00D3787E">
        <w:t xml:space="preserve"> that </w:t>
      </w:r>
      <w:r w:rsidRPr="001A01A1">
        <w:t>seclusion</w:t>
      </w:r>
      <w:r>
        <w:t xml:space="preserve"> </w:t>
      </w:r>
      <w:r w:rsidRPr="001A01A1">
        <w:t>has</w:t>
      </w:r>
      <w:r>
        <w:t xml:space="preserve"> </w:t>
      </w:r>
      <w:r w:rsidRPr="001A01A1">
        <w:t>no</w:t>
      </w:r>
      <w:r>
        <w:t xml:space="preserve"> </w:t>
      </w:r>
      <w:r w:rsidRPr="001A01A1">
        <w:t>known</w:t>
      </w:r>
      <w:r>
        <w:t xml:space="preserve"> </w:t>
      </w:r>
      <w:r w:rsidRPr="001A01A1">
        <w:t>therapeutic</w:t>
      </w:r>
      <w:r>
        <w:t xml:space="preserve"> </w:t>
      </w:r>
      <w:r w:rsidRPr="001A01A1">
        <w:t>value.</w:t>
      </w:r>
      <w:r>
        <w:t xml:space="preserve"> </w:t>
      </w:r>
      <w:r w:rsidRPr="001A01A1">
        <w:t>If</w:t>
      </w:r>
      <w:r>
        <w:t xml:space="preserve"> </w:t>
      </w:r>
      <w:r w:rsidRPr="001A01A1">
        <w:t>seclusion</w:t>
      </w:r>
      <w:r>
        <w:t xml:space="preserve"> cannot be avoided</w:t>
      </w:r>
      <w:r w:rsidRPr="001A01A1">
        <w:t>,</w:t>
      </w:r>
      <w:r>
        <w:t xml:space="preserve"> </w:t>
      </w:r>
      <w:r w:rsidRPr="001A01A1">
        <w:t>staff</w:t>
      </w:r>
      <w:r>
        <w:t xml:space="preserve"> </w:t>
      </w:r>
      <w:r w:rsidRPr="001A01A1">
        <w:t>have</w:t>
      </w:r>
      <w:r>
        <w:t xml:space="preserve"> </w:t>
      </w:r>
      <w:r w:rsidRPr="001A01A1">
        <w:t>a</w:t>
      </w:r>
      <w:r>
        <w:t xml:space="preserve"> </w:t>
      </w:r>
      <w:r w:rsidRPr="001A01A1">
        <w:t>duty</w:t>
      </w:r>
      <w:r>
        <w:t xml:space="preserve"> </w:t>
      </w:r>
      <w:r w:rsidRPr="001A01A1">
        <w:t>of</w:t>
      </w:r>
      <w:r>
        <w:t xml:space="preserve"> </w:t>
      </w:r>
      <w:r w:rsidRPr="001A01A1">
        <w:t>care</w:t>
      </w:r>
      <w:r>
        <w:t xml:space="preserve"> and accountability </w:t>
      </w:r>
      <w:r w:rsidRPr="001A01A1">
        <w:t>to</w:t>
      </w:r>
      <w:r>
        <w:t xml:space="preserve"> </w:t>
      </w:r>
      <w:r w:rsidRPr="001A01A1">
        <w:t>mitigate</w:t>
      </w:r>
      <w:r>
        <w:t xml:space="preserve"> </w:t>
      </w:r>
      <w:r w:rsidRPr="001A01A1">
        <w:t>the</w:t>
      </w:r>
      <w:r>
        <w:t xml:space="preserve"> </w:t>
      </w:r>
      <w:r w:rsidRPr="001A01A1">
        <w:t>potential</w:t>
      </w:r>
      <w:r>
        <w:t xml:space="preserve"> </w:t>
      </w:r>
      <w:r w:rsidRPr="001A01A1">
        <w:t>psychological</w:t>
      </w:r>
      <w:r>
        <w:t xml:space="preserve"> </w:t>
      </w:r>
      <w:r w:rsidRPr="001A01A1">
        <w:t>and</w:t>
      </w:r>
      <w:r>
        <w:t xml:space="preserve"> </w:t>
      </w:r>
      <w:r w:rsidRPr="001A01A1">
        <w:t>physical</w:t>
      </w:r>
      <w:r>
        <w:t xml:space="preserve"> </w:t>
      </w:r>
      <w:r w:rsidRPr="001A01A1">
        <w:t>harm</w:t>
      </w:r>
      <w:r>
        <w:t xml:space="preserve"> </w:t>
      </w:r>
      <w:r w:rsidRPr="001A01A1">
        <w:t>that</w:t>
      </w:r>
      <w:r>
        <w:t xml:space="preserve"> seclusion </w:t>
      </w:r>
      <w:r w:rsidRPr="001A01A1">
        <w:t>can</w:t>
      </w:r>
      <w:r>
        <w:t xml:space="preserve"> cause</w:t>
      </w:r>
      <w:r w:rsidRPr="001A01A1">
        <w:t>.</w:t>
      </w:r>
      <w:r>
        <w:t xml:space="preserve"> It is essential that it is used safely and under the appropriate circumstances.</w:t>
      </w:r>
    </w:p>
    <w:p w14:paraId="62ED35D4" w14:textId="77777777" w:rsidR="00DB1B6E" w:rsidRPr="006E6D19" w:rsidRDefault="00DB1B6E" w:rsidP="006E6D19">
      <w:pPr>
        <w:pStyle w:val="Heading2"/>
      </w:pPr>
      <w:bookmarkStart w:id="534" w:name="_Toc109115961"/>
      <w:bookmarkStart w:id="535" w:name="_Toc103152164"/>
      <w:bookmarkStart w:id="536" w:name="_Toc105770664"/>
      <w:bookmarkStart w:id="537" w:name="_Toc131663845"/>
      <w:bookmarkStart w:id="538" w:name="_Toc132355340"/>
      <w:bookmarkEnd w:id="534"/>
      <w:r w:rsidRPr="006E6D19">
        <w:lastRenderedPageBreak/>
        <w:t>Seclusion under the Mental Health Act</w:t>
      </w:r>
      <w:bookmarkEnd w:id="535"/>
      <w:bookmarkEnd w:id="536"/>
      <w:bookmarkEnd w:id="537"/>
      <w:bookmarkEnd w:id="538"/>
      <w:r w:rsidRPr="006E6D19">
        <w:t xml:space="preserve"> </w:t>
      </w:r>
    </w:p>
    <w:p w14:paraId="4136ECAB" w14:textId="77777777" w:rsidR="00DB1B6E" w:rsidRDefault="00DB1B6E" w:rsidP="006E6D19">
      <w:r>
        <w:t xml:space="preserve">Section 71 of the Mental Health Act states that every patient is entitled to the company of others, except that patients may be placed in seclusion if the following circumstances are met: </w:t>
      </w:r>
    </w:p>
    <w:p w14:paraId="7322301D" w14:textId="77777777" w:rsidR="00DB1B6E" w:rsidRPr="007E3042" w:rsidRDefault="00DB1B6E" w:rsidP="006E6D19">
      <w:pPr>
        <w:pStyle w:val="Letter"/>
        <w:ind w:left="426" w:hanging="426"/>
      </w:pPr>
      <w:r w:rsidRPr="007E3042">
        <w:t>seclusion shall be used only where, and for as long as, it is necessary for the care or treatment of the patient, or the protection of other patients</w:t>
      </w:r>
      <w:r>
        <w:t xml:space="preserve"> </w:t>
      </w:r>
      <w:r w:rsidRPr="00A61B0D">
        <w:t>[see note below]</w:t>
      </w:r>
    </w:p>
    <w:p w14:paraId="019CBA21" w14:textId="77777777" w:rsidR="00DB1B6E" w:rsidRPr="007E3042" w:rsidRDefault="00DB1B6E" w:rsidP="006E6D19">
      <w:pPr>
        <w:pStyle w:val="Letter"/>
        <w:ind w:left="426" w:hanging="426"/>
      </w:pPr>
      <w:r w:rsidRPr="007E3042">
        <w:t>a patient shall be placed in seclusion only in a room or other area that is designated for the purposes by or with the approval of the Director of Area Mental Health Services</w:t>
      </w:r>
    </w:p>
    <w:p w14:paraId="749D458C" w14:textId="77777777" w:rsidR="00DB1B6E" w:rsidRPr="007E3042" w:rsidRDefault="00DB1B6E" w:rsidP="006E6D19">
      <w:pPr>
        <w:pStyle w:val="Letter"/>
        <w:ind w:left="426" w:hanging="426"/>
      </w:pPr>
      <w:r w:rsidRPr="007E3042">
        <w:t>except as provided in paragraph (d), seclusion shall be used only with the authority of the responsible clinician</w:t>
      </w:r>
    </w:p>
    <w:p w14:paraId="50820997" w14:textId="77777777" w:rsidR="00DB1B6E" w:rsidRPr="007E3042" w:rsidRDefault="00DB1B6E" w:rsidP="006E6D19">
      <w:pPr>
        <w:pStyle w:val="Letter"/>
        <w:ind w:left="426" w:hanging="426"/>
      </w:pPr>
      <w:r w:rsidRPr="007E3042">
        <w:t>in an emergency, a nurse or other health professional having immediate responsibility for a patient may place the patient in seclusion, but shall forthwith bring the case to the attention of the responsible clinician</w:t>
      </w:r>
    </w:p>
    <w:p w14:paraId="27B6C34B" w14:textId="77777777" w:rsidR="00DB1B6E" w:rsidRDefault="00DB1B6E" w:rsidP="006E6D19">
      <w:pPr>
        <w:pStyle w:val="Letter"/>
        <w:ind w:left="426" w:hanging="426"/>
      </w:pPr>
      <w:r w:rsidRPr="007E3042">
        <w:t>the duration and circumstances of each episode of seclusion shall be recorded in the register kept in accordance with section 129(1)(b).</w:t>
      </w:r>
    </w:p>
    <w:p w14:paraId="29327534" w14:textId="77777777" w:rsidR="006E6D19" w:rsidRDefault="006E6D19" w:rsidP="006E6D19"/>
    <w:p w14:paraId="296EDB21" w14:textId="21252613" w:rsidR="00DB1B6E" w:rsidRPr="00451E63" w:rsidRDefault="00DB1B6E" w:rsidP="006E6D19">
      <w:r>
        <w:t xml:space="preserve">While the Mental Health Act uses the words ‘care or treatment’ in seclusion, it is now widely understood that that seclusion is not therapeutic and may be harmful. </w:t>
      </w:r>
    </w:p>
    <w:p w14:paraId="1CD95463" w14:textId="77777777" w:rsidR="00DB1B6E" w:rsidRPr="006E6D19" w:rsidRDefault="00DB1B6E" w:rsidP="006E6D19">
      <w:pPr>
        <w:pStyle w:val="Heading2"/>
      </w:pPr>
      <w:bookmarkStart w:id="539" w:name="_Toc119584227"/>
      <w:bookmarkStart w:id="540" w:name="_Toc119659513"/>
      <w:bookmarkStart w:id="541" w:name="_Toc119662503"/>
      <w:bookmarkStart w:id="542" w:name="_Toc119682115"/>
      <w:bookmarkStart w:id="543" w:name="_Toc119683498"/>
      <w:bookmarkStart w:id="544" w:name="_Toc103152165"/>
      <w:bookmarkStart w:id="545" w:name="_Toc120282967"/>
      <w:bookmarkStart w:id="546" w:name="_Toc120703967"/>
      <w:bookmarkStart w:id="547" w:name="_Toc120713481"/>
      <w:bookmarkStart w:id="548" w:name="_Toc120715630"/>
      <w:bookmarkStart w:id="549" w:name="_Toc120862257"/>
      <w:bookmarkStart w:id="550" w:name="_Toc103152166"/>
      <w:bookmarkStart w:id="551" w:name="_Toc105770665"/>
      <w:bookmarkStart w:id="552" w:name="_Toc131663846"/>
      <w:bookmarkStart w:id="553" w:name="_Toc132355341"/>
      <w:bookmarkEnd w:id="539"/>
      <w:bookmarkEnd w:id="540"/>
      <w:bookmarkEnd w:id="541"/>
      <w:bookmarkEnd w:id="542"/>
      <w:bookmarkEnd w:id="543"/>
      <w:bookmarkEnd w:id="544"/>
      <w:bookmarkEnd w:id="545"/>
      <w:bookmarkEnd w:id="546"/>
      <w:bookmarkEnd w:id="547"/>
      <w:bookmarkEnd w:id="548"/>
      <w:bookmarkEnd w:id="549"/>
      <w:r w:rsidRPr="006E6D19">
        <w:t>Individualised care</w:t>
      </w:r>
      <w:bookmarkEnd w:id="550"/>
      <w:bookmarkEnd w:id="551"/>
      <w:bookmarkEnd w:id="552"/>
      <w:bookmarkEnd w:id="553"/>
    </w:p>
    <w:p w14:paraId="588713CF" w14:textId="77777777" w:rsidR="00DB1B6E" w:rsidRDefault="00DB1B6E" w:rsidP="006E6D19">
      <w:r>
        <w:t xml:space="preserve">Staff must make decisions on the use of seclusion on an individual basis. Staff may be able to refer to a person’s advance directive when considering the use of seclusion. </w:t>
      </w:r>
    </w:p>
    <w:p w14:paraId="58D7D248" w14:textId="77777777" w:rsidR="00FF5CA4" w:rsidRDefault="00FF5CA4" w:rsidP="006E6D19"/>
    <w:p w14:paraId="510FCEBB" w14:textId="4EA631F8" w:rsidR="00DB1B6E" w:rsidRDefault="00DB1B6E" w:rsidP="006E6D19">
      <w:r>
        <w:t xml:space="preserve">Staff should consider a person’s trauma history and cultural needs before making a decision on the use of seclusion, including by seeking relevant cultural advice. A </w:t>
      </w:r>
      <w:r w:rsidRPr="003E6B77">
        <w:t>person’s</w:t>
      </w:r>
      <w:r>
        <w:t xml:space="preserve"> </w:t>
      </w:r>
      <w:r w:rsidRPr="003E6B77">
        <w:t>sensory</w:t>
      </w:r>
      <w:r>
        <w:t xml:space="preserve"> </w:t>
      </w:r>
      <w:r w:rsidRPr="003E6B77">
        <w:t>differences</w:t>
      </w:r>
      <w:r>
        <w:t xml:space="preserve"> </w:t>
      </w:r>
      <w:r w:rsidRPr="003E6B77">
        <w:t>or</w:t>
      </w:r>
      <w:r>
        <w:t xml:space="preserve"> </w:t>
      </w:r>
      <w:r w:rsidRPr="003E6B77">
        <w:t>sensitivities</w:t>
      </w:r>
      <w:r>
        <w:t xml:space="preserve"> </w:t>
      </w:r>
      <w:r w:rsidRPr="003E6B77">
        <w:t>(for</w:t>
      </w:r>
      <w:r>
        <w:t xml:space="preserve"> </w:t>
      </w:r>
      <w:r w:rsidRPr="003E6B77">
        <w:t>example,</w:t>
      </w:r>
      <w:r>
        <w:t xml:space="preserve"> some </w:t>
      </w:r>
      <w:r w:rsidRPr="003E6B77">
        <w:t>people</w:t>
      </w:r>
      <w:r>
        <w:t xml:space="preserve"> </w:t>
      </w:r>
      <w:r w:rsidRPr="003E6B77">
        <w:t>may</w:t>
      </w:r>
      <w:r>
        <w:t xml:space="preserve"> </w:t>
      </w:r>
      <w:r w:rsidRPr="003E6B77">
        <w:t>be</w:t>
      </w:r>
      <w:r>
        <w:t xml:space="preserve"> </w:t>
      </w:r>
      <w:r w:rsidRPr="003E6B77">
        <w:t>distressed</w:t>
      </w:r>
      <w:r>
        <w:t xml:space="preserve"> </w:t>
      </w:r>
      <w:r w:rsidRPr="003E6B77">
        <w:t>by</w:t>
      </w:r>
      <w:r>
        <w:t xml:space="preserve"> </w:t>
      </w:r>
      <w:r w:rsidRPr="003E6B77">
        <w:t>touch)</w:t>
      </w:r>
      <w:r>
        <w:t xml:space="preserve"> </w:t>
      </w:r>
      <w:r w:rsidRPr="003E6B77">
        <w:t>and</w:t>
      </w:r>
      <w:r>
        <w:t xml:space="preserve"> </w:t>
      </w:r>
      <w:r w:rsidRPr="003E6B77">
        <w:t>communication</w:t>
      </w:r>
      <w:r>
        <w:t xml:space="preserve"> </w:t>
      </w:r>
      <w:r w:rsidRPr="003E6B77">
        <w:t>needs</w:t>
      </w:r>
      <w:r>
        <w:t xml:space="preserve"> must form </w:t>
      </w:r>
      <w:r w:rsidRPr="003E6B77">
        <w:t>part</w:t>
      </w:r>
      <w:r>
        <w:t xml:space="preserve"> </w:t>
      </w:r>
      <w:r w:rsidRPr="003E6B77">
        <w:t>of</w:t>
      </w:r>
      <w:r>
        <w:t xml:space="preserve"> the </w:t>
      </w:r>
      <w:r w:rsidRPr="003E6B77">
        <w:t>decision.</w:t>
      </w:r>
    </w:p>
    <w:p w14:paraId="667AB04D" w14:textId="77777777" w:rsidR="00DB1B6E" w:rsidRPr="006E6D19" w:rsidRDefault="00DB1B6E" w:rsidP="006E6D19">
      <w:pPr>
        <w:pStyle w:val="Heading2"/>
      </w:pPr>
      <w:bookmarkStart w:id="554" w:name="_Physical_and_psychological"/>
      <w:bookmarkStart w:id="555" w:name="_Toc103152167"/>
      <w:bookmarkStart w:id="556" w:name="_Toc105770666"/>
      <w:bookmarkStart w:id="557" w:name="_Toc131663847"/>
      <w:bookmarkStart w:id="558" w:name="_Toc132355342"/>
      <w:bookmarkEnd w:id="554"/>
      <w:r w:rsidRPr="006E6D19">
        <w:t>Physical and psychological health considerations</w:t>
      </w:r>
      <w:bookmarkEnd w:id="555"/>
      <w:bookmarkEnd w:id="556"/>
      <w:bookmarkEnd w:id="557"/>
      <w:bookmarkEnd w:id="558"/>
    </w:p>
    <w:p w14:paraId="0BCA680C" w14:textId="77777777" w:rsidR="00DB1B6E" w:rsidRDefault="00DB1B6E" w:rsidP="006E6D19">
      <w:r>
        <w:t>It is essential to the safety of tāngata whaiora that staff consider their physical health when using seclusion. Staff must apply e</w:t>
      </w:r>
      <w:r w:rsidRPr="008D44CF">
        <w:t xml:space="preserve">xtreme </w:t>
      </w:r>
      <w:sdt>
        <w:sdtPr>
          <w:tag w:val="goog_rdk_66"/>
          <w:id w:val="1409806499"/>
        </w:sdtPr>
        <w:sdtContent/>
      </w:sdt>
      <w:sdt>
        <w:sdtPr>
          <w:tag w:val="goog_rdk_67"/>
          <w:id w:val="65162102"/>
        </w:sdtPr>
        <w:sdtContent/>
      </w:sdt>
      <w:r w:rsidRPr="008D44CF">
        <w:t>caution</w:t>
      </w:r>
      <w:r>
        <w:t xml:space="preserve"> when considering seclusion in the following circumstances:</w:t>
      </w:r>
    </w:p>
    <w:p w14:paraId="6F064150" w14:textId="77777777" w:rsidR="00DB1B6E" w:rsidRDefault="00DB1B6E" w:rsidP="006E6D19">
      <w:pPr>
        <w:pStyle w:val="Bullet"/>
        <w:rPr>
          <w:sz w:val="22"/>
          <w:szCs w:val="22"/>
        </w:rPr>
      </w:pPr>
      <w:r>
        <w:t>where the person is receiving medication and there is:</w:t>
      </w:r>
    </w:p>
    <w:p w14:paraId="5E0499AA" w14:textId="77777777" w:rsidR="00DB1B6E" w:rsidRDefault="00DB1B6E" w:rsidP="006E6D19">
      <w:pPr>
        <w:pStyle w:val="Dash"/>
      </w:pPr>
      <w:r>
        <w:t>evidence of altered or fluctuating levels of consciousness, or other neurological side effects</w:t>
      </w:r>
    </w:p>
    <w:p w14:paraId="7187F57B" w14:textId="77777777" w:rsidR="00DB1B6E" w:rsidRDefault="00DB1B6E" w:rsidP="006E6D19">
      <w:pPr>
        <w:pStyle w:val="Dash"/>
      </w:pPr>
      <w:r>
        <w:lastRenderedPageBreak/>
        <w:t>likelihood of respiratory suppression or other cardiovascular side effects</w:t>
      </w:r>
    </w:p>
    <w:p w14:paraId="07E17103" w14:textId="77777777" w:rsidR="00DB1B6E" w:rsidRDefault="00DB1B6E" w:rsidP="006E6D19">
      <w:pPr>
        <w:pStyle w:val="Dash"/>
      </w:pPr>
      <w:r>
        <w:t>physical deterioration</w:t>
      </w:r>
    </w:p>
    <w:p w14:paraId="6EB94758" w14:textId="77777777" w:rsidR="00DB1B6E" w:rsidRDefault="00DB1B6E" w:rsidP="006E6D19">
      <w:pPr>
        <w:pStyle w:val="Bullet"/>
      </w:pPr>
      <w:r>
        <w:t xml:space="preserve">where the person needs intensive assessment and/or observation, especially where there is a history suggestive of significant trauma, ingestion of unknown drugs/substances or medical comorbidities </w:t>
      </w:r>
    </w:p>
    <w:p w14:paraId="54F2F134" w14:textId="77777777" w:rsidR="00DB1B6E" w:rsidRDefault="00DB1B6E" w:rsidP="006E6D19">
      <w:pPr>
        <w:pStyle w:val="Bullet"/>
      </w:pPr>
      <w:r>
        <w:t>where the person is intoxicated or has recently used substances</w:t>
      </w:r>
    </w:p>
    <w:p w14:paraId="071C4A03" w14:textId="77777777" w:rsidR="00DB1B6E" w:rsidRDefault="00DB1B6E" w:rsidP="006E6D19">
      <w:pPr>
        <w:pStyle w:val="Bullet"/>
      </w:pPr>
      <w:r>
        <w:rPr>
          <w:color w:val="000000" w:themeColor="text1"/>
        </w:rPr>
        <w:t xml:space="preserve">where the person has </w:t>
      </w:r>
      <w:r w:rsidRPr="2CC988A9">
        <w:rPr>
          <w:color w:val="000000" w:themeColor="text1"/>
        </w:rPr>
        <w:t>a physical illness or injury requiring specific physical treatment</w:t>
      </w:r>
    </w:p>
    <w:p w14:paraId="634FFAB4" w14:textId="77777777" w:rsidR="00DB1B6E" w:rsidRDefault="00DB1B6E" w:rsidP="006E6D19">
      <w:pPr>
        <w:pStyle w:val="Bullet"/>
      </w:pPr>
      <w:r>
        <w:rPr>
          <w:color w:val="000000" w:themeColor="text1"/>
        </w:rPr>
        <w:t>where there is t</w:t>
      </w:r>
      <w:r w:rsidRPr="2CC988A9">
        <w:rPr>
          <w:color w:val="000000" w:themeColor="text1"/>
        </w:rPr>
        <w:t>he presence or likelihood of self-injurious behaviour</w:t>
      </w:r>
      <w:r>
        <w:rPr>
          <w:color w:val="000000" w:themeColor="text1"/>
        </w:rPr>
        <w:t xml:space="preserve"> (note that seclusion should not be used when the person is assessed as at risk of self-harm and poses no imminent danger to others) </w:t>
      </w:r>
    </w:p>
    <w:p w14:paraId="0E51AC47" w14:textId="77777777" w:rsidR="00DB1B6E" w:rsidRDefault="00DB1B6E" w:rsidP="006E6D19">
      <w:pPr>
        <w:pStyle w:val="Bullet"/>
      </w:pPr>
      <w:r>
        <w:rPr>
          <w:color w:val="000000" w:themeColor="text1"/>
        </w:rPr>
        <w:t xml:space="preserve">where there is a </w:t>
      </w:r>
      <w:r w:rsidRPr="683CDF80">
        <w:rPr>
          <w:color w:val="000000" w:themeColor="text1"/>
        </w:rPr>
        <w:t xml:space="preserve">likelihood of escalation of anxiety, aggression or distress or </w:t>
      </w:r>
      <w:r>
        <w:rPr>
          <w:color w:val="000000" w:themeColor="text1"/>
        </w:rPr>
        <w:t xml:space="preserve">evidence of </w:t>
      </w:r>
      <w:r w:rsidRPr="683CDF80">
        <w:rPr>
          <w:color w:val="000000" w:themeColor="text1"/>
        </w:rPr>
        <w:t>a previous adverse response</w:t>
      </w:r>
      <w:r>
        <w:rPr>
          <w:color w:val="000000" w:themeColor="text1"/>
        </w:rPr>
        <w:t xml:space="preserve"> </w:t>
      </w:r>
    </w:p>
    <w:p w14:paraId="6E4ACDF2" w14:textId="77777777" w:rsidR="00DB1B6E" w:rsidRPr="001830F6" w:rsidRDefault="00DB1B6E" w:rsidP="006E6D19">
      <w:pPr>
        <w:pStyle w:val="Bullet"/>
      </w:pPr>
      <w:r>
        <w:rPr>
          <w:color w:val="000000" w:themeColor="text1"/>
        </w:rPr>
        <w:t>w</w:t>
      </w:r>
      <w:r w:rsidRPr="2CC988A9">
        <w:rPr>
          <w:color w:val="000000" w:themeColor="text1"/>
        </w:rPr>
        <w:t>ith children or young people</w:t>
      </w:r>
    </w:p>
    <w:p w14:paraId="46CBB8EC" w14:textId="77777777" w:rsidR="00DB1B6E" w:rsidRDefault="00DB1B6E" w:rsidP="006E6D19">
      <w:pPr>
        <w:pStyle w:val="Bullet"/>
      </w:pPr>
      <w:r>
        <w:rPr>
          <w:color w:val="000000" w:themeColor="text1"/>
        </w:rPr>
        <w:t>with older adults</w:t>
      </w:r>
    </w:p>
    <w:p w14:paraId="108200E4" w14:textId="77777777" w:rsidR="00DB1B6E" w:rsidRPr="00145063" w:rsidRDefault="00DB1B6E" w:rsidP="006E6D19">
      <w:pPr>
        <w:pStyle w:val="Bullet"/>
        <w:rPr>
          <w:sz w:val="22"/>
        </w:rPr>
      </w:pPr>
      <w:r>
        <w:t>w</w:t>
      </w:r>
      <w:r w:rsidRPr="2CC988A9">
        <w:t>here a person has a disability or underlying health issues.</w:t>
      </w:r>
    </w:p>
    <w:p w14:paraId="0F99CF34" w14:textId="77777777" w:rsidR="006E6D19" w:rsidRDefault="006E6D19" w:rsidP="006E6D19"/>
    <w:p w14:paraId="6668E56C" w14:textId="766158D5" w:rsidR="00DB1B6E" w:rsidRPr="00EE1567" w:rsidRDefault="00DB1B6E" w:rsidP="006E6D19">
      <w:pPr>
        <w:rPr>
          <w:color w:val="000000"/>
          <w:sz w:val="22"/>
        </w:rPr>
      </w:pPr>
      <w:r w:rsidRPr="003A011E">
        <w:t xml:space="preserve">The use of </w:t>
      </w:r>
      <w:r>
        <w:t xml:space="preserve">seclusion and restraint is highly likely to </w:t>
      </w:r>
      <w:r w:rsidRPr="003A011E">
        <w:t xml:space="preserve">escalate </w:t>
      </w:r>
      <w:r>
        <w:t xml:space="preserve">a person’s </w:t>
      </w:r>
      <w:r w:rsidRPr="003A011E">
        <w:t>anxiety, aggression or distress</w:t>
      </w:r>
      <w:r>
        <w:t>.</w:t>
      </w:r>
    </w:p>
    <w:p w14:paraId="61363BB8" w14:textId="77777777" w:rsidR="00DB1B6E" w:rsidRPr="006E6D19" w:rsidRDefault="00DB1B6E" w:rsidP="006E6D19">
      <w:pPr>
        <w:pStyle w:val="Heading2"/>
      </w:pPr>
      <w:bookmarkStart w:id="559" w:name="_Toc102739094"/>
      <w:bookmarkStart w:id="560" w:name="_Toc102739191"/>
      <w:bookmarkStart w:id="561" w:name="_Toc102739294"/>
      <w:bookmarkStart w:id="562" w:name="_Toc102741087"/>
      <w:bookmarkStart w:id="563" w:name="_Toc103152168"/>
      <w:bookmarkStart w:id="564" w:name="_Toc102739095"/>
      <w:bookmarkStart w:id="565" w:name="_Toc102739192"/>
      <w:bookmarkStart w:id="566" w:name="_Toc102739295"/>
      <w:bookmarkStart w:id="567" w:name="_Toc102741088"/>
      <w:bookmarkStart w:id="568" w:name="_Toc103152169"/>
      <w:bookmarkStart w:id="569" w:name="_Toc103152170"/>
      <w:bookmarkStart w:id="570" w:name="_Toc105770667"/>
      <w:bookmarkStart w:id="571" w:name="_Toc131663848"/>
      <w:bookmarkStart w:id="572" w:name="_Toc132355343"/>
      <w:bookmarkEnd w:id="559"/>
      <w:bookmarkEnd w:id="560"/>
      <w:bookmarkEnd w:id="561"/>
      <w:bookmarkEnd w:id="562"/>
      <w:bookmarkEnd w:id="563"/>
      <w:bookmarkEnd w:id="564"/>
      <w:bookmarkEnd w:id="565"/>
      <w:bookmarkEnd w:id="566"/>
      <w:bookmarkEnd w:id="567"/>
      <w:bookmarkEnd w:id="568"/>
      <w:r w:rsidRPr="006E6D19">
        <w:t xml:space="preserve">Providing a safe </w:t>
      </w:r>
      <w:sdt>
        <w:sdtPr>
          <w:tag w:val="goog_rdk_69"/>
          <w:id w:val="-1598551562"/>
        </w:sdtPr>
        <w:sdtContent/>
      </w:sdt>
      <w:r w:rsidRPr="006E6D19">
        <w:t>environment</w:t>
      </w:r>
      <w:bookmarkEnd w:id="569"/>
      <w:bookmarkEnd w:id="570"/>
      <w:r w:rsidRPr="006E6D19">
        <w:t xml:space="preserve"> (seclusion rooms)</w:t>
      </w:r>
      <w:bookmarkEnd w:id="571"/>
      <w:bookmarkEnd w:id="572"/>
    </w:p>
    <w:p w14:paraId="789DF9BA" w14:textId="77777777" w:rsidR="00DB1B6E" w:rsidRDefault="00DB1B6E" w:rsidP="006E6D19">
      <w:r>
        <w:t>Seclusion rooms need to be able to maintain a person’s dignity and comfort without posing a risk for the person or staff</w:t>
      </w:r>
      <w:r w:rsidRPr="00655DCB">
        <w:t>.</w:t>
      </w:r>
      <w:r w:rsidRPr="00DE1978">
        <w:rPr>
          <w:rStyle w:val="FootnoteReference"/>
          <w:rFonts w:cs="Segoe UI"/>
        </w:rPr>
        <w:footnoteReference w:id="143"/>
      </w:r>
      <w:r>
        <w:t xml:space="preserve"> While this may be challenging, it is important to create an environment that supports people’s recovery and safety. Services should refer to the current </w:t>
      </w:r>
      <w:r w:rsidRPr="00E76EB3">
        <w:t>Australasian</w:t>
      </w:r>
      <w:r>
        <w:t xml:space="preserve"> </w:t>
      </w:r>
      <w:r w:rsidRPr="00E76EB3">
        <w:t>Health</w:t>
      </w:r>
      <w:r>
        <w:t xml:space="preserve"> </w:t>
      </w:r>
      <w:r w:rsidRPr="00E76EB3">
        <w:t>Facility</w:t>
      </w:r>
      <w:r>
        <w:t xml:space="preserve"> </w:t>
      </w:r>
      <w:r w:rsidRPr="00E76EB3">
        <w:t>Guidelines</w:t>
      </w:r>
      <w:r>
        <w:t xml:space="preserve"> for seclusion room requirements.</w:t>
      </w:r>
      <w:r>
        <w:rPr>
          <w:rStyle w:val="FootnoteReference"/>
          <w:rFonts w:cs="Segoe UI"/>
        </w:rPr>
        <w:footnoteReference w:id="144"/>
      </w:r>
    </w:p>
    <w:p w14:paraId="3ACC7D8F" w14:textId="77777777" w:rsidR="00FF5CA4" w:rsidRDefault="00FF5CA4" w:rsidP="006E6D19"/>
    <w:p w14:paraId="5F824663" w14:textId="6AAAF02A" w:rsidR="00DB1B6E" w:rsidRDefault="00DB1B6E" w:rsidP="006E6D19">
      <w:r>
        <w:t xml:space="preserve">Staff should only place people in seclusion in a room or area that has been designated or approved by the DAMHS (under section 71 of the Mental Health Act and criterion 6.4.4 of Ngā Paerewa). At a minimum, a seclusion room </w:t>
      </w:r>
      <w:r w:rsidRPr="002D5947">
        <w:rPr>
          <w:bCs/>
        </w:rPr>
        <w:t>must</w:t>
      </w:r>
      <w:r>
        <w:t xml:space="preserve"> have:</w:t>
      </w:r>
    </w:p>
    <w:p w14:paraId="23D31A82" w14:textId="77777777" w:rsidR="00DB1B6E" w:rsidRPr="001D1458" w:rsidRDefault="00DB1B6E" w:rsidP="006E6D19">
      <w:pPr>
        <w:pStyle w:val="Bullet"/>
        <w:rPr>
          <w:sz w:val="22"/>
        </w:rPr>
      </w:pPr>
      <w:r w:rsidRPr="001D1458">
        <w:t>adequate</w:t>
      </w:r>
      <w:r>
        <w:t xml:space="preserve"> </w:t>
      </w:r>
      <w:r w:rsidRPr="001D1458">
        <w:t>light,</w:t>
      </w:r>
      <w:r>
        <w:t xml:space="preserve"> </w:t>
      </w:r>
      <w:r w:rsidRPr="001D1458">
        <w:t>heat</w:t>
      </w:r>
      <w:r>
        <w:t xml:space="preserve"> </w:t>
      </w:r>
      <w:r w:rsidRPr="001D1458">
        <w:t>and</w:t>
      </w:r>
      <w:r>
        <w:t xml:space="preserve"> </w:t>
      </w:r>
      <w:r w:rsidRPr="001D1458">
        <w:t>ventilation</w:t>
      </w:r>
      <w:r>
        <w:t xml:space="preserve"> </w:t>
      </w:r>
    </w:p>
    <w:p w14:paraId="74ACBF32" w14:textId="77777777" w:rsidR="00DB1B6E" w:rsidRPr="001D1458" w:rsidRDefault="00DB1B6E" w:rsidP="006E6D19">
      <w:pPr>
        <w:pStyle w:val="Bullet"/>
        <w:rPr>
          <w:sz w:val="22"/>
        </w:rPr>
      </w:pPr>
      <w:r>
        <w:t xml:space="preserve">a safe way of accessing </w:t>
      </w:r>
      <w:r w:rsidRPr="001D1458">
        <w:t>drinking</w:t>
      </w:r>
      <w:r>
        <w:t xml:space="preserve"> </w:t>
      </w:r>
      <w:r w:rsidRPr="001D1458">
        <w:t>water</w:t>
      </w:r>
      <w:r>
        <w:t xml:space="preserve"> </w:t>
      </w:r>
    </w:p>
    <w:p w14:paraId="222FD66E" w14:textId="77777777" w:rsidR="00DB1B6E" w:rsidRPr="00145063" w:rsidRDefault="00DB1B6E" w:rsidP="006E6D19">
      <w:pPr>
        <w:pStyle w:val="Bullet"/>
      </w:pPr>
      <w:r w:rsidRPr="001D1458">
        <w:t>means</w:t>
      </w:r>
      <w:r>
        <w:t xml:space="preserve"> </w:t>
      </w:r>
      <w:r w:rsidRPr="001D1458">
        <w:t>to</w:t>
      </w:r>
      <w:r>
        <w:t xml:space="preserve"> </w:t>
      </w:r>
      <w:r w:rsidRPr="001D1458">
        <w:t>easily</w:t>
      </w:r>
      <w:r>
        <w:t xml:space="preserve"> </w:t>
      </w:r>
      <w:r w:rsidRPr="001D1458">
        <w:t>observe</w:t>
      </w:r>
      <w:r>
        <w:t xml:space="preserve"> </w:t>
      </w:r>
      <w:r w:rsidRPr="001D1458">
        <w:t>the</w:t>
      </w:r>
      <w:r>
        <w:t xml:space="preserve"> </w:t>
      </w:r>
      <w:r w:rsidRPr="001D1458">
        <w:t>person</w:t>
      </w:r>
      <w:r>
        <w:t xml:space="preserve"> </w:t>
      </w:r>
      <w:r w:rsidRPr="001D1458">
        <w:t>that</w:t>
      </w:r>
      <w:r>
        <w:t xml:space="preserve"> </w:t>
      </w:r>
      <w:r w:rsidRPr="001D1458">
        <w:t>also</w:t>
      </w:r>
      <w:r>
        <w:t xml:space="preserve"> </w:t>
      </w:r>
      <w:r w:rsidRPr="001D1458">
        <w:t>allows</w:t>
      </w:r>
      <w:r>
        <w:t xml:space="preserve"> </w:t>
      </w:r>
      <w:r w:rsidRPr="001D1458">
        <w:t>the</w:t>
      </w:r>
      <w:r>
        <w:t xml:space="preserve"> </w:t>
      </w:r>
      <w:r w:rsidRPr="001D1458">
        <w:t>person</w:t>
      </w:r>
      <w:r>
        <w:t xml:space="preserve"> </w:t>
      </w:r>
      <w:r w:rsidRPr="001D1458">
        <w:t>to</w:t>
      </w:r>
      <w:r>
        <w:t xml:space="preserve"> </w:t>
      </w:r>
      <w:r w:rsidRPr="001D1458">
        <w:t>see</w:t>
      </w:r>
      <w:r>
        <w:t xml:space="preserve"> </w:t>
      </w:r>
      <w:r w:rsidRPr="001D1458">
        <w:t>the</w:t>
      </w:r>
      <w:r>
        <w:t xml:space="preserve"> </w:t>
      </w:r>
      <w:r w:rsidRPr="001D1458">
        <w:t>head</w:t>
      </w:r>
      <w:r>
        <w:t xml:space="preserve"> </w:t>
      </w:r>
      <w:r w:rsidRPr="001D1458">
        <w:t>and</w:t>
      </w:r>
      <w:r>
        <w:t xml:space="preserve"> </w:t>
      </w:r>
      <w:r w:rsidRPr="001D1458">
        <w:t>shoulders</w:t>
      </w:r>
      <w:r>
        <w:t xml:space="preserve"> </w:t>
      </w:r>
      <w:r w:rsidRPr="001D1458">
        <w:t>of</w:t>
      </w:r>
      <w:r>
        <w:t xml:space="preserve"> </w:t>
      </w:r>
      <w:r w:rsidRPr="001D1458">
        <w:t>the</w:t>
      </w:r>
      <w:r>
        <w:t xml:space="preserve"> </w:t>
      </w:r>
      <w:r w:rsidRPr="001D1458">
        <w:t>observer</w:t>
      </w:r>
    </w:p>
    <w:p w14:paraId="2041F7C7" w14:textId="77777777" w:rsidR="00DB1B6E" w:rsidRPr="001D1458" w:rsidRDefault="00DB1B6E" w:rsidP="006E6D19">
      <w:pPr>
        <w:pStyle w:val="Bullet"/>
        <w:rPr>
          <w:sz w:val="22"/>
        </w:rPr>
      </w:pPr>
      <w:r w:rsidRPr="007022F9">
        <w:rPr>
          <w:color w:val="000000" w:themeColor="text1"/>
        </w:rPr>
        <w:t xml:space="preserve">means for a person to easily call for attention and </w:t>
      </w:r>
      <w:r w:rsidRPr="19DF24D4">
        <w:rPr>
          <w:color w:val="000000" w:themeColor="text1"/>
        </w:rPr>
        <w:t>connections</w:t>
      </w:r>
      <w:r w:rsidRPr="007022F9">
        <w:rPr>
          <w:color w:val="000000" w:themeColor="text1"/>
        </w:rPr>
        <w:t xml:space="preserve"> with staff</w:t>
      </w:r>
      <w:r>
        <w:rPr>
          <w:color w:val="000000" w:themeColor="text1"/>
        </w:rPr>
        <w:t xml:space="preserve"> (such as call bells)</w:t>
      </w:r>
    </w:p>
    <w:p w14:paraId="1DCB6184" w14:textId="77777777" w:rsidR="00DB1B6E" w:rsidRPr="001D1458" w:rsidRDefault="00DB1B6E" w:rsidP="006E6D19">
      <w:pPr>
        <w:pStyle w:val="Bullet"/>
        <w:rPr>
          <w:sz w:val="22"/>
        </w:rPr>
      </w:pPr>
      <w:r w:rsidRPr="001D1458">
        <w:t>fittings</w:t>
      </w:r>
      <w:r>
        <w:t xml:space="preserve"> </w:t>
      </w:r>
      <w:r w:rsidRPr="001D1458">
        <w:t>recessed</w:t>
      </w:r>
      <w:r>
        <w:t xml:space="preserve"> </w:t>
      </w:r>
      <w:r w:rsidRPr="001D1458">
        <w:t>to</w:t>
      </w:r>
      <w:r>
        <w:t xml:space="preserve"> </w:t>
      </w:r>
      <w:r w:rsidRPr="001D1458">
        <w:t>avoid</w:t>
      </w:r>
      <w:r>
        <w:t xml:space="preserve"> </w:t>
      </w:r>
      <w:r w:rsidRPr="001D1458">
        <w:t>potential</w:t>
      </w:r>
      <w:r>
        <w:t xml:space="preserve"> </w:t>
      </w:r>
      <w:r w:rsidRPr="001D1458">
        <w:t>for</w:t>
      </w:r>
      <w:r>
        <w:t xml:space="preserve"> </w:t>
      </w:r>
      <w:r w:rsidRPr="001D1458">
        <w:t>harm</w:t>
      </w:r>
    </w:p>
    <w:p w14:paraId="1E68BEBA" w14:textId="77777777" w:rsidR="00DB1B6E" w:rsidRPr="00451E63" w:rsidRDefault="00DB1B6E" w:rsidP="006E6D19">
      <w:pPr>
        <w:pStyle w:val="Bullet"/>
        <w:rPr>
          <w:sz w:val="22"/>
        </w:rPr>
      </w:pPr>
      <w:r w:rsidRPr="000A57B4">
        <w:t>furnishings (other than bedding) that are fixed to avoid the potential for harm</w:t>
      </w:r>
    </w:p>
    <w:p w14:paraId="33699AC5" w14:textId="77777777" w:rsidR="00DB1B6E" w:rsidRPr="002E465B" w:rsidRDefault="00DB1B6E" w:rsidP="006E6D19">
      <w:pPr>
        <w:pStyle w:val="Bullet"/>
        <w:rPr>
          <w:sz w:val="22"/>
        </w:rPr>
      </w:pPr>
      <w:r w:rsidRPr="002E465B">
        <w:rPr>
          <w:color w:val="000000" w:themeColor="text1"/>
        </w:rPr>
        <w:t xml:space="preserve">doors opening outwards </w:t>
      </w:r>
      <w:r w:rsidRPr="00C21B10">
        <w:rPr>
          <w:color w:val="000000" w:themeColor="text1"/>
        </w:rPr>
        <w:t xml:space="preserve">flush with the </w:t>
      </w:r>
      <w:r w:rsidRPr="0064578A">
        <w:rPr>
          <w:color w:val="000000" w:themeColor="text1"/>
        </w:rPr>
        <w:t>walls</w:t>
      </w:r>
      <w:r w:rsidRPr="00144537">
        <w:rPr>
          <w:color w:val="000000" w:themeColor="text1"/>
        </w:rPr>
        <w:t xml:space="preserve"> </w:t>
      </w:r>
    </w:p>
    <w:p w14:paraId="7563500E" w14:textId="77777777" w:rsidR="00DB1B6E" w:rsidRPr="001D1458" w:rsidRDefault="00DB1B6E" w:rsidP="006E6D19">
      <w:pPr>
        <w:pStyle w:val="Bullet"/>
        <w:rPr>
          <w:sz w:val="22"/>
        </w:rPr>
      </w:pPr>
      <w:r w:rsidRPr="683CDF80">
        <w:rPr>
          <w:color w:val="000000" w:themeColor="text1"/>
        </w:rPr>
        <w:lastRenderedPageBreak/>
        <w:t xml:space="preserve">a means of orientation and connection (eg, a visible clock </w:t>
      </w:r>
      <w:r>
        <w:rPr>
          <w:color w:val="000000" w:themeColor="text1"/>
        </w:rPr>
        <w:t xml:space="preserve">or </w:t>
      </w:r>
      <w:r w:rsidRPr="683CDF80">
        <w:rPr>
          <w:color w:val="000000" w:themeColor="text1"/>
        </w:rPr>
        <w:t>calendar</w:t>
      </w:r>
      <w:r>
        <w:rPr>
          <w:color w:val="000000" w:themeColor="text1"/>
        </w:rPr>
        <w:t>,</w:t>
      </w:r>
      <w:r w:rsidRPr="683CDF80">
        <w:rPr>
          <w:color w:val="000000" w:themeColor="text1"/>
        </w:rPr>
        <w:t xml:space="preserve"> or access to news)</w:t>
      </w:r>
    </w:p>
    <w:p w14:paraId="7E0316C7" w14:textId="1AAEB943" w:rsidR="00DB1B6E" w:rsidRPr="001D1458" w:rsidRDefault="00DB1B6E" w:rsidP="0013032B">
      <w:pPr>
        <w:pStyle w:val="Bullet"/>
        <w:rPr>
          <w:color w:val="000000"/>
          <w:sz w:val="22"/>
        </w:rPr>
      </w:pPr>
      <w:r w:rsidRPr="683CDF80">
        <w:t>access to toileting, washing and showering facilities in or adjacent to the seclusion room</w:t>
      </w:r>
      <w:r w:rsidR="009F6EB2">
        <w:t xml:space="preserve"> </w:t>
      </w:r>
      <w:r w:rsidR="009F6EB2" w:rsidRPr="683CDF80">
        <w:rPr>
          <w:szCs w:val="21"/>
        </w:rPr>
        <w:t xml:space="preserve">(this </w:t>
      </w:r>
      <w:r w:rsidR="009F6EB2">
        <w:rPr>
          <w:szCs w:val="21"/>
        </w:rPr>
        <w:t>may</w:t>
      </w:r>
      <w:r w:rsidR="009F6EB2" w:rsidRPr="683CDF80">
        <w:rPr>
          <w:szCs w:val="21"/>
        </w:rPr>
        <w:t xml:space="preserve"> not </w:t>
      </w:r>
      <w:r w:rsidR="009F6EB2">
        <w:rPr>
          <w:szCs w:val="21"/>
        </w:rPr>
        <w:t xml:space="preserve">be possible in </w:t>
      </w:r>
      <w:r w:rsidR="009F6EB2" w:rsidRPr="683CDF80">
        <w:rPr>
          <w:szCs w:val="21"/>
        </w:rPr>
        <w:t>existing seclusion rooms but should be implemented for new facilities)</w:t>
      </w:r>
      <w:r w:rsidR="009F6EB2">
        <w:rPr>
          <w:szCs w:val="21"/>
        </w:rPr>
        <w:t>. T</w:t>
      </w:r>
      <w:r>
        <w:t xml:space="preserve">he use of cardboard receptacles for toileting is degrading and should be avoided wherever possible </w:t>
      </w:r>
    </w:p>
    <w:p w14:paraId="578DCD7F" w14:textId="77777777" w:rsidR="00DB1B6E" w:rsidRPr="001D1458" w:rsidRDefault="00DB1B6E" w:rsidP="0013032B">
      <w:pPr>
        <w:pStyle w:val="Bullet"/>
        <w:rPr>
          <w:color w:val="000000"/>
          <w:sz w:val="22"/>
        </w:rPr>
      </w:pPr>
      <w:r w:rsidRPr="683CDF80">
        <w:t xml:space="preserve">access to </w:t>
      </w:r>
      <w:r>
        <w:t>2</w:t>
      </w:r>
      <w:r w:rsidRPr="683CDF80">
        <w:t>-way communication</w:t>
      </w:r>
    </w:p>
    <w:p w14:paraId="76116F0E" w14:textId="77777777" w:rsidR="00DB1B6E" w:rsidRPr="001D1458" w:rsidRDefault="00DB1B6E" w:rsidP="0013032B">
      <w:pPr>
        <w:pStyle w:val="Bullet"/>
        <w:rPr>
          <w:color w:val="000000"/>
          <w:sz w:val="22"/>
        </w:rPr>
      </w:pPr>
      <w:r w:rsidRPr="683CDF80">
        <w:t>access to an equally safe external area to assist with reintegration</w:t>
      </w:r>
    </w:p>
    <w:p w14:paraId="15DE57D6" w14:textId="4B424CC0" w:rsidR="00DB1B6E" w:rsidRPr="007022F9" w:rsidRDefault="00DB1B6E" w:rsidP="0013032B">
      <w:pPr>
        <w:pStyle w:val="Bullet"/>
        <w:rPr>
          <w:color w:val="000000"/>
        </w:rPr>
      </w:pPr>
      <w:r w:rsidRPr="683CDF80">
        <w:rPr>
          <w:szCs w:val="21"/>
        </w:rPr>
        <w:t>an external window</w:t>
      </w:r>
      <w:r>
        <w:rPr>
          <w:szCs w:val="21"/>
        </w:rPr>
        <w:t xml:space="preserve"> for natural light</w:t>
      </w:r>
      <w:r w:rsidRPr="683CDF80">
        <w:rPr>
          <w:szCs w:val="21"/>
        </w:rPr>
        <w:t xml:space="preserve"> (this </w:t>
      </w:r>
      <w:r w:rsidR="009F6EB2">
        <w:rPr>
          <w:szCs w:val="21"/>
        </w:rPr>
        <w:t>may</w:t>
      </w:r>
      <w:r w:rsidRPr="683CDF80">
        <w:rPr>
          <w:szCs w:val="21"/>
        </w:rPr>
        <w:t xml:space="preserve"> not </w:t>
      </w:r>
      <w:r w:rsidR="009F6EB2">
        <w:rPr>
          <w:szCs w:val="21"/>
        </w:rPr>
        <w:t>be possible in</w:t>
      </w:r>
      <w:r>
        <w:rPr>
          <w:szCs w:val="21"/>
        </w:rPr>
        <w:t xml:space="preserve"> </w:t>
      </w:r>
      <w:r w:rsidRPr="683CDF80">
        <w:rPr>
          <w:szCs w:val="21"/>
        </w:rPr>
        <w:t>existing seclusion rooms but should be implemented for new facilities).</w:t>
      </w:r>
    </w:p>
    <w:p w14:paraId="13AA5214" w14:textId="77777777" w:rsidR="0013032B" w:rsidRDefault="0013032B" w:rsidP="006E6D19"/>
    <w:p w14:paraId="0DDC6804" w14:textId="22F1071B" w:rsidR="00DB1B6E" w:rsidRDefault="00DB1B6E" w:rsidP="006E6D19">
      <w:r>
        <w:t>Services should consider improving the physical appearance of seclusion rooms, to create an environment that is supportive of recovery and wellbeing</w:t>
      </w:r>
      <w:r w:rsidRPr="00655DCB">
        <w:t>.</w:t>
      </w:r>
      <w:r>
        <w:rPr>
          <w:rStyle w:val="FootnoteReference"/>
          <w:rFonts w:cs="Segoe UI"/>
        </w:rPr>
        <w:footnoteReference w:id="145"/>
      </w:r>
      <w:r>
        <w:t xml:space="preserve"> Seclusion rooms have been criticised for their ‘barren’ and ‘drab’ appearance</w:t>
      </w:r>
      <w:r w:rsidRPr="00655DCB">
        <w:t>.</w:t>
      </w:r>
      <w:r w:rsidRPr="001D1458">
        <w:rPr>
          <w:vertAlign w:val="superscript"/>
        </w:rPr>
        <w:footnoteReference w:id="146"/>
      </w:r>
      <w:r>
        <w:t xml:space="preserve"> The colour of seclusion rooms may help to create a calm environment for people in seclusion. When considering changes to the colour or appearance of seclusion rooms, services should engage in co-design with people who have experienced seclusion, cultural advisors and peer support workers. </w:t>
      </w:r>
    </w:p>
    <w:p w14:paraId="7EBA7F8B" w14:textId="77777777" w:rsidR="006E6D19" w:rsidRDefault="006E6D19" w:rsidP="006E6D19"/>
    <w:p w14:paraId="5B8F0890" w14:textId="1E1860C2" w:rsidR="00DB1B6E" w:rsidRDefault="00DB1B6E" w:rsidP="006E6D19">
      <w:r>
        <w:t xml:space="preserve">Subject to safety considerations, services should consider people’s access to personal items when they are in seclusion rooms, and should ensure they have access to the resources they need to meet their spiritual and cultural needs. </w:t>
      </w:r>
    </w:p>
    <w:p w14:paraId="2844A9DA" w14:textId="77777777" w:rsidR="006E6D19" w:rsidRDefault="006E6D19" w:rsidP="006E6D19"/>
    <w:p w14:paraId="19487579" w14:textId="6D34CC96" w:rsidR="00DB1B6E" w:rsidRDefault="00DB1B6E" w:rsidP="006E6D19">
      <w:r>
        <w:t xml:space="preserve">Services should also consider people’s ability to exercise personal autonomy while in seclusion. Where possible, people should be able to make decisions for themselves, and not rely on staff to perform basic tasks for them. This includes decisions about the light and temperature of the seclusion room and access to drinking water and toileting. </w:t>
      </w:r>
    </w:p>
    <w:p w14:paraId="1D997FC5" w14:textId="77777777" w:rsidR="006E6D19" w:rsidRDefault="006E6D19" w:rsidP="006E6D19"/>
    <w:p w14:paraId="0BCF71C9" w14:textId="77777777" w:rsidR="00DB1B6E" w:rsidRPr="004866D2" w:rsidRDefault="00DB1B6E" w:rsidP="006E6D19">
      <w:r>
        <w:t>Services should consider de-commissioning/re-purposing seclusion rooms in the interests of further eliminating the practice.</w:t>
      </w:r>
    </w:p>
    <w:p w14:paraId="304CE2CB" w14:textId="77777777" w:rsidR="00DB1B6E" w:rsidRPr="006E6D19" w:rsidRDefault="00DB1B6E" w:rsidP="006E6D19">
      <w:pPr>
        <w:pStyle w:val="Heading2"/>
      </w:pPr>
      <w:bookmarkStart w:id="573" w:name="_Toc103152171"/>
      <w:bookmarkStart w:id="574" w:name="_Toc105770668"/>
      <w:bookmarkStart w:id="575" w:name="_Toc131663849"/>
      <w:bookmarkStart w:id="576" w:name="_Toc132355344"/>
      <w:r w:rsidRPr="006E6D19">
        <w:t>Commencing and ending seclusion</w:t>
      </w:r>
      <w:bookmarkEnd w:id="573"/>
      <w:bookmarkEnd w:id="574"/>
      <w:bookmarkEnd w:id="575"/>
      <w:bookmarkEnd w:id="576"/>
    </w:p>
    <w:p w14:paraId="10A5571F" w14:textId="77777777" w:rsidR="00DB1B6E" w:rsidRPr="006E6D19" w:rsidRDefault="00DB1B6E" w:rsidP="006E6D19">
      <w:pPr>
        <w:pStyle w:val="Heading3"/>
      </w:pPr>
      <w:bookmarkStart w:id="577" w:name="_Toc103152172"/>
      <w:bookmarkStart w:id="578" w:name="_Toc105770669"/>
      <w:bookmarkStart w:id="579" w:name="_Toc131663850"/>
      <w:r w:rsidRPr="006E6D19">
        <w:t>Commencing seclusion</w:t>
      </w:r>
      <w:bookmarkEnd w:id="577"/>
      <w:bookmarkEnd w:id="578"/>
      <w:bookmarkEnd w:id="579"/>
    </w:p>
    <w:p w14:paraId="320BFDC7" w14:textId="77777777" w:rsidR="00DB1B6E" w:rsidRDefault="00DB1B6E" w:rsidP="006E6D19">
      <w:r w:rsidRPr="68A11C5C">
        <w:t xml:space="preserve">A period of seclusion will commence when </w:t>
      </w:r>
      <w:r>
        <w:t>a</w:t>
      </w:r>
      <w:r w:rsidRPr="68A11C5C">
        <w:t xml:space="preserve"> person is </w:t>
      </w:r>
      <w:r>
        <w:t>‘</w:t>
      </w:r>
      <w:r w:rsidRPr="00A4237E">
        <w:t>placed</w:t>
      </w:r>
      <w:r>
        <w:t xml:space="preserve"> </w:t>
      </w:r>
      <w:r w:rsidRPr="00A4237E">
        <w:t>alone</w:t>
      </w:r>
      <w:r>
        <w:t xml:space="preserve"> </w:t>
      </w:r>
      <w:r w:rsidRPr="00A4237E">
        <w:t>in</w:t>
      </w:r>
      <w:r>
        <w:t xml:space="preserve"> </w:t>
      </w:r>
      <w:r w:rsidRPr="00A4237E">
        <w:t>a</w:t>
      </w:r>
      <w:r>
        <w:t xml:space="preserve"> </w:t>
      </w:r>
      <w:r w:rsidRPr="00A4237E">
        <w:t>room</w:t>
      </w:r>
      <w:r>
        <w:t xml:space="preserve"> </w:t>
      </w:r>
      <w:r w:rsidRPr="00A4237E">
        <w:t>or</w:t>
      </w:r>
      <w:r>
        <w:t xml:space="preserve"> </w:t>
      </w:r>
      <w:r w:rsidRPr="00A4237E">
        <w:t>area,</w:t>
      </w:r>
      <w:r>
        <w:t xml:space="preserve"> </w:t>
      </w:r>
      <w:r w:rsidRPr="00A4237E">
        <w:t>at</w:t>
      </w:r>
      <w:r>
        <w:t xml:space="preserve"> </w:t>
      </w:r>
      <w:r w:rsidRPr="00A4237E">
        <w:t>any</w:t>
      </w:r>
      <w:r>
        <w:t xml:space="preserve"> </w:t>
      </w:r>
      <w:r w:rsidRPr="00A4237E">
        <w:t>time</w:t>
      </w:r>
      <w:r>
        <w:t xml:space="preserve"> </w:t>
      </w:r>
      <w:r w:rsidRPr="00A4237E">
        <w:t>and</w:t>
      </w:r>
      <w:r>
        <w:t xml:space="preserve"> </w:t>
      </w:r>
      <w:r w:rsidRPr="00A4237E">
        <w:t>for</w:t>
      </w:r>
      <w:r>
        <w:t xml:space="preserve"> </w:t>
      </w:r>
      <w:r w:rsidRPr="00A4237E">
        <w:t>any</w:t>
      </w:r>
      <w:r>
        <w:t xml:space="preserve"> </w:t>
      </w:r>
      <w:r w:rsidRPr="00A4237E">
        <w:t>duration,</w:t>
      </w:r>
      <w:r>
        <w:t xml:space="preserve"> </w:t>
      </w:r>
      <w:r w:rsidRPr="00A4237E">
        <w:t>from</w:t>
      </w:r>
      <w:r>
        <w:t xml:space="preserve"> </w:t>
      </w:r>
      <w:r w:rsidRPr="00A4237E">
        <w:t>which</w:t>
      </w:r>
      <w:r>
        <w:t xml:space="preserve"> </w:t>
      </w:r>
      <w:r w:rsidRPr="00A4237E">
        <w:t>they</w:t>
      </w:r>
      <w:r>
        <w:t xml:space="preserve"> </w:t>
      </w:r>
      <w:r w:rsidRPr="00A4237E">
        <w:t>cannot</w:t>
      </w:r>
      <w:r>
        <w:t xml:space="preserve"> </w:t>
      </w:r>
      <w:r w:rsidRPr="00A4237E">
        <w:t>freely</w:t>
      </w:r>
      <w:r>
        <w:t xml:space="preserve"> </w:t>
      </w:r>
      <w:r w:rsidRPr="00A4237E">
        <w:t>exit’</w:t>
      </w:r>
      <w:r>
        <w:t xml:space="preserve"> (Ngā Paerewa)</w:t>
      </w:r>
      <w:r w:rsidRPr="68A11C5C">
        <w:t xml:space="preserve">. </w:t>
      </w:r>
    </w:p>
    <w:p w14:paraId="28CAB492" w14:textId="77777777" w:rsidR="00BC44E8" w:rsidRDefault="00BC44E8" w:rsidP="006E6D19"/>
    <w:p w14:paraId="11139A01" w14:textId="32635BEF" w:rsidR="00DB1B6E" w:rsidRDefault="00DB1B6E" w:rsidP="006E6D19">
      <w:r>
        <w:t xml:space="preserve">Staff should explain the reason for the use of seclusion to the person when placing them in seclusion (and at any extensions of the episode of seclusion). </w:t>
      </w:r>
    </w:p>
    <w:p w14:paraId="105395F6" w14:textId="77777777" w:rsidR="006E6D19" w:rsidRDefault="006E6D19" w:rsidP="006E6D19"/>
    <w:p w14:paraId="3807E29E" w14:textId="77777777" w:rsidR="00DB1B6E" w:rsidRDefault="00DB1B6E" w:rsidP="006E6D19">
      <w:r>
        <w:t>Staff should document their reasons for seclusion.</w:t>
      </w:r>
      <w:r w:rsidRPr="00310BC9">
        <w:t xml:space="preserve"> </w:t>
      </w:r>
      <w:r w:rsidRPr="007A6B2F">
        <w:t xml:space="preserve">The documentation must </w:t>
      </w:r>
      <w:r>
        <w:t xml:space="preserve">specify </w:t>
      </w:r>
      <w:r w:rsidRPr="007A6B2F">
        <w:t xml:space="preserve">what </w:t>
      </w:r>
      <w:r>
        <w:t xml:space="preserve">needs to </w:t>
      </w:r>
      <w:r w:rsidRPr="007A6B2F">
        <w:t>occur for seclusion to end</w:t>
      </w:r>
      <w:r>
        <w:t>, and record that</w:t>
      </w:r>
      <w:r w:rsidRPr="007A6B2F">
        <w:t xml:space="preserve"> </w:t>
      </w:r>
      <w:r>
        <w:t xml:space="preserve">staff have informed tāngata </w:t>
      </w:r>
      <w:r w:rsidRPr="007A6B2F">
        <w:t>whaiora of what changes must be observed for seclusion to end.</w:t>
      </w:r>
    </w:p>
    <w:p w14:paraId="218DA177" w14:textId="77777777" w:rsidR="00DB1B6E" w:rsidRPr="00BC44E8" w:rsidRDefault="00DB1B6E" w:rsidP="00BC44E8">
      <w:pPr>
        <w:pStyle w:val="Heading3"/>
      </w:pPr>
      <w:bookmarkStart w:id="580" w:name="_Toc103152173"/>
      <w:bookmarkStart w:id="581" w:name="_Toc105770670"/>
      <w:bookmarkStart w:id="582" w:name="_Toc131663851"/>
      <w:r w:rsidRPr="00BC44E8">
        <w:t>Each initial seclusion episode is for a maximum of 2 hours</w:t>
      </w:r>
      <w:bookmarkEnd w:id="580"/>
      <w:bookmarkEnd w:id="581"/>
      <w:bookmarkEnd w:id="582"/>
    </w:p>
    <w:p w14:paraId="51781271" w14:textId="77777777" w:rsidR="00DB1B6E" w:rsidRPr="00D46953" w:rsidRDefault="00DB1B6E" w:rsidP="00BC44E8">
      <w:r w:rsidRPr="00D46953">
        <w:t xml:space="preserve">Each new seclusion episode shall be for a maximum of </w:t>
      </w:r>
      <w:r>
        <w:t>2</w:t>
      </w:r>
      <w:r w:rsidRPr="00D46953">
        <w:t xml:space="preserve"> hours. People may leave seclusion before the </w:t>
      </w:r>
      <w:r>
        <w:t>2</w:t>
      </w:r>
      <w:r w:rsidRPr="00D46953">
        <w:t xml:space="preserve">-hour period if it is no longer needed. The decision to place a person in seclusion must be taken by </w:t>
      </w:r>
      <w:r>
        <w:t>2</w:t>
      </w:r>
      <w:r w:rsidRPr="00D46953">
        <w:t xml:space="preserve"> suitably qualified clinicians</w:t>
      </w:r>
      <w:r w:rsidRPr="00D46953">
        <w:rPr>
          <w:rStyle w:val="FootnoteReference"/>
          <w:rFonts w:cs="Segoe UI"/>
          <w:szCs w:val="21"/>
        </w:rPr>
        <w:footnoteReference w:id="147"/>
      </w:r>
      <w:r w:rsidRPr="00D46953">
        <w:t xml:space="preserve"> and authorised by the responsible clinician (if they are not one of the </w:t>
      </w:r>
      <w:r>
        <w:t>2</w:t>
      </w:r>
      <w:r w:rsidRPr="00D46953">
        <w:t xml:space="preserve"> clinicians).</w:t>
      </w:r>
      <w:r w:rsidRPr="00D46953">
        <w:rPr>
          <w:rStyle w:val="FootnoteReference"/>
          <w:rFonts w:cs="Segoe UI"/>
          <w:szCs w:val="21"/>
        </w:rPr>
        <w:footnoteReference w:id="148"/>
      </w:r>
      <w:r w:rsidRPr="00D46953">
        <w:t xml:space="preserve"> </w:t>
      </w:r>
      <w:r>
        <w:t>Staff should explain t</w:t>
      </w:r>
      <w:r w:rsidRPr="00D46953">
        <w:t>he reasons for continued use of seclusion to the person in seclusion</w:t>
      </w:r>
      <w:r>
        <w:t xml:space="preserve"> and</w:t>
      </w:r>
      <w:r w:rsidRPr="00D46953">
        <w:t xml:space="preserve"> document</w:t>
      </w:r>
      <w:r>
        <w:t xml:space="preserve"> them</w:t>
      </w:r>
      <w:r w:rsidRPr="00D46953">
        <w:t>.</w:t>
      </w:r>
    </w:p>
    <w:p w14:paraId="6F14FA66" w14:textId="77777777" w:rsidR="00DB1B6E" w:rsidRPr="00BC44E8" w:rsidRDefault="00DB1B6E" w:rsidP="00BC44E8">
      <w:pPr>
        <w:pStyle w:val="Heading3"/>
      </w:pPr>
      <w:bookmarkStart w:id="583" w:name="_Toc131663852"/>
      <w:r w:rsidRPr="00BC44E8">
        <w:t>Extending seclusion beyond 2 hours</w:t>
      </w:r>
      <w:bookmarkEnd w:id="583"/>
    </w:p>
    <w:p w14:paraId="12D7029C" w14:textId="77777777" w:rsidR="00DB1B6E" w:rsidRDefault="00DB1B6E" w:rsidP="00BC44E8">
      <w:r>
        <w:t>Staff should end t</w:t>
      </w:r>
      <w:r w:rsidRPr="1C712B78">
        <w:t xml:space="preserve">he seclusion episode as soon possible. For seclusion to be extended beyond </w:t>
      </w:r>
      <w:r>
        <w:t>2</w:t>
      </w:r>
      <w:r w:rsidRPr="1C712B78">
        <w:t xml:space="preserve"> </w:t>
      </w:r>
      <w:r w:rsidRPr="00B14FEB">
        <w:t>hours, the responsible clinician or 2 suitably qualified clinicians must assess the person’s wellbeing and provide a reason</w:t>
      </w:r>
      <w:r w:rsidRPr="1C712B78">
        <w:t xml:space="preserve"> for the continued use of seclusion. </w:t>
      </w:r>
      <w:r>
        <w:t>Staff should notify t</w:t>
      </w:r>
      <w:r w:rsidRPr="1C712B78">
        <w:t xml:space="preserve">he responsible clinician as soon as practicable (if they are not one of the </w:t>
      </w:r>
      <w:r>
        <w:t>2</w:t>
      </w:r>
      <w:r w:rsidRPr="1C712B78">
        <w:t xml:space="preserve"> clinicians). </w:t>
      </w:r>
      <w:r>
        <w:t xml:space="preserve">They should explain the </w:t>
      </w:r>
      <w:r w:rsidRPr="1C712B78">
        <w:t>reason for the continued use of seclusion to the person in seclusion and document</w:t>
      </w:r>
      <w:r>
        <w:t xml:space="preserve"> it</w:t>
      </w:r>
      <w:r w:rsidRPr="1C712B78">
        <w:t xml:space="preserve">. </w:t>
      </w:r>
    </w:p>
    <w:p w14:paraId="5D8BCF58" w14:textId="77777777" w:rsidR="00DB1B6E" w:rsidRPr="00BC44E8" w:rsidRDefault="00DB1B6E" w:rsidP="00BC44E8">
      <w:pPr>
        <w:pStyle w:val="Heading3"/>
      </w:pPr>
      <w:bookmarkStart w:id="584" w:name="_Toc131663853"/>
      <w:r w:rsidRPr="00BC44E8">
        <w:t>8-hourly assessments and care</w:t>
      </w:r>
      <w:bookmarkEnd w:id="584"/>
    </w:p>
    <w:p w14:paraId="579E5768" w14:textId="037E093A" w:rsidR="00DB1B6E" w:rsidRDefault="00DB1B6E" w:rsidP="00BC44E8">
      <w:r w:rsidRPr="67FA7D89">
        <w:t>If</w:t>
      </w:r>
      <w:r>
        <w:t xml:space="preserve"> staff </w:t>
      </w:r>
      <w:r w:rsidRPr="67FA7D89">
        <w:t>agree</w:t>
      </w:r>
      <w:r>
        <w:t xml:space="preserve"> </w:t>
      </w:r>
      <w:r w:rsidRPr="67FA7D89">
        <w:t>that</w:t>
      </w:r>
      <w:r>
        <w:t xml:space="preserve"> </w:t>
      </w:r>
      <w:r w:rsidRPr="67FA7D89">
        <w:t>seclusion</w:t>
      </w:r>
      <w:r>
        <w:t xml:space="preserve"> </w:t>
      </w:r>
      <w:r w:rsidRPr="67FA7D89">
        <w:t>is</w:t>
      </w:r>
      <w:r>
        <w:t xml:space="preserve"> </w:t>
      </w:r>
      <w:r w:rsidRPr="67FA7D89">
        <w:t>still</w:t>
      </w:r>
      <w:r>
        <w:t xml:space="preserve"> </w:t>
      </w:r>
      <w:r w:rsidRPr="67FA7D89">
        <w:t>needed</w:t>
      </w:r>
      <w:r>
        <w:t xml:space="preserve"> after the initial 2 hours</w:t>
      </w:r>
      <w:r w:rsidRPr="67FA7D89">
        <w:t>,</w:t>
      </w:r>
      <w:r>
        <w:t xml:space="preserve"> they may extend </w:t>
      </w:r>
      <w:r w:rsidRPr="67FA7D89">
        <w:t>the</w:t>
      </w:r>
      <w:r>
        <w:t xml:space="preserve"> </w:t>
      </w:r>
      <w:r w:rsidRPr="67FA7D89">
        <w:t>seclusion</w:t>
      </w:r>
      <w:r>
        <w:t xml:space="preserve"> </w:t>
      </w:r>
      <w:r w:rsidRPr="67FA7D89">
        <w:t>episode</w:t>
      </w:r>
      <w:r>
        <w:t xml:space="preserve"> </w:t>
      </w:r>
      <w:r w:rsidRPr="67FA7D89">
        <w:t>may</w:t>
      </w:r>
      <w:r>
        <w:t xml:space="preserve"> </w:t>
      </w:r>
      <w:r w:rsidRPr="67FA7D89">
        <w:t>for</w:t>
      </w:r>
      <w:r>
        <w:t xml:space="preserve"> up to an additional 8 </w:t>
      </w:r>
      <w:r w:rsidRPr="67FA7D89">
        <w:t>hour</w:t>
      </w:r>
      <w:r>
        <w:t>s</w:t>
      </w:r>
      <w:r w:rsidRPr="67FA7D89">
        <w:t>.</w:t>
      </w:r>
      <w:r>
        <w:t xml:space="preserve"> </w:t>
      </w:r>
      <w:r w:rsidRPr="67FA7D89">
        <w:t>Throughout</w:t>
      </w:r>
      <w:r>
        <w:t xml:space="preserve"> </w:t>
      </w:r>
      <w:r w:rsidRPr="67FA7D89">
        <w:t>this</w:t>
      </w:r>
      <w:r>
        <w:t xml:space="preserve"> 8</w:t>
      </w:r>
      <w:r w:rsidRPr="67FA7D89">
        <w:t>-hour</w:t>
      </w:r>
      <w:r>
        <w:t xml:space="preserve"> </w:t>
      </w:r>
      <w:r w:rsidRPr="008D4F3C">
        <w:t>period, staff must</w:t>
      </w:r>
      <w:r>
        <w:t xml:space="preserve"> </w:t>
      </w:r>
      <w:r w:rsidRPr="67FA7D89">
        <w:t>continue</w:t>
      </w:r>
      <w:r>
        <w:t xml:space="preserve"> </w:t>
      </w:r>
      <w:r w:rsidRPr="67FA7D89">
        <w:t>to</w:t>
      </w:r>
      <w:r>
        <w:t xml:space="preserve"> </w:t>
      </w:r>
      <w:r w:rsidRPr="67FA7D89">
        <w:t>assess</w:t>
      </w:r>
      <w:r>
        <w:t xml:space="preserve"> </w:t>
      </w:r>
      <w:r w:rsidRPr="67FA7D89">
        <w:t>whether</w:t>
      </w:r>
      <w:r>
        <w:t xml:space="preserve"> </w:t>
      </w:r>
      <w:r w:rsidRPr="67FA7D89">
        <w:t>seclusion</w:t>
      </w:r>
      <w:r>
        <w:t xml:space="preserve"> </w:t>
      </w:r>
      <w:r w:rsidRPr="67FA7D89">
        <w:t>is</w:t>
      </w:r>
      <w:r>
        <w:t xml:space="preserve"> </w:t>
      </w:r>
      <w:r w:rsidRPr="67FA7D89">
        <w:t>still</w:t>
      </w:r>
      <w:r>
        <w:t xml:space="preserve"> </w:t>
      </w:r>
      <w:r w:rsidRPr="67FA7D89">
        <w:t>needed</w:t>
      </w:r>
      <w:r>
        <w:t xml:space="preserve"> </w:t>
      </w:r>
      <w:r w:rsidRPr="67FA7D89">
        <w:t>every</w:t>
      </w:r>
      <w:r>
        <w:t xml:space="preserve"> 2 </w:t>
      </w:r>
      <w:r w:rsidRPr="67FA7D89">
        <w:t>hours</w:t>
      </w:r>
      <w:r>
        <w:t xml:space="preserve"> as </w:t>
      </w:r>
      <w:r w:rsidRPr="00E8044C">
        <w:t>described in</w:t>
      </w:r>
      <w:r>
        <w:t xml:space="preserve"> section 8.6.3 below. </w:t>
      </w:r>
    </w:p>
    <w:p w14:paraId="1534B4CA" w14:textId="77777777" w:rsidR="00BC44E8" w:rsidRDefault="00BC44E8" w:rsidP="00BC44E8"/>
    <w:p w14:paraId="708C14F5" w14:textId="21C4E9C0" w:rsidR="00DB1B6E" w:rsidRDefault="00DB1B6E" w:rsidP="00BC44E8">
      <w:r w:rsidRPr="009B1479">
        <w:t xml:space="preserve">Before the </w:t>
      </w:r>
      <w:r>
        <w:t>end</w:t>
      </w:r>
      <w:r w:rsidRPr="009B1479">
        <w:t xml:space="preserve"> of an </w:t>
      </w:r>
      <w:r>
        <w:t>8</w:t>
      </w:r>
      <w:r w:rsidRPr="009B1479">
        <w:t>-hour period,</w:t>
      </w:r>
      <w:r>
        <w:t xml:space="preserve"> 2 suitably qualified clinicians must assess the person and decide whether to further extend seclusion for up to another 8 hours. One of these clinicians should be the responsible clinician, if they are available. Staff should document a</w:t>
      </w:r>
      <w:r w:rsidRPr="009B1479">
        <w:t xml:space="preserve"> record of th</w:t>
      </w:r>
      <w:r>
        <w:t>e 8-hour</w:t>
      </w:r>
      <w:r w:rsidRPr="009B1479">
        <w:t xml:space="preserve"> assessment</w:t>
      </w:r>
      <w:r>
        <w:t>s</w:t>
      </w:r>
      <w:r w:rsidRPr="009B1479">
        <w:t>.</w:t>
      </w:r>
      <w:r>
        <w:t xml:space="preserve"> If t</w:t>
      </w:r>
      <w:r w:rsidRPr="009B1479">
        <w:t xml:space="preserve">he responsible clinician </w:t>
      </w:r>
      <w:r>
        <w:t xml:space="preserve">is not one of the clinicians who decide to further extend the seclusion episode, they </w:t>
      </w:r>
      <w:r w:rsidRPr="009B1479">
        <w:t>should be notified</w:t>
      </w:r>
      <w:r>
        <w:t xml:space="preserve"> of the decision as soon as practicable</w:t>
      </w:r>
      <w:r w:rsidRPr="009B1479">
        <w:t>.</w:t>
      </w:r>
      <w:r>
        <w:t xml:space="preserve"> </w:t>
      </w:r>
    </w:p>
    <w:p w14:paraId="1A483F59" w14:textId="77777777" w:rsidR="00BC44E8" w:rsidRDefault="00BC44E8" w:rsidP="00BC44E8"/>
    <w:p w14:paraId="490CF596" w14:textId="77777777" w:rsidR="00DB1B6E" w:rsidRDefault="00DB1B6E" w:rsidP="00BC44E8">
      <w:r>
        <w:t xml:space="preserve">Staff must either </w:t>
      </w:r>
      <w:r w:rsidRPr="67FA7D89">
        <w:t>end</w:t>
      </w:r>
      <w:r>
        <w:t xml:space="preserve"> </w:t>
      </w:r>
      <w:r w:rsidRPr="67FA7D89">
        <w:t>the</w:t>
      </w:r>
      <w:r>
        <w:t xml:space="preserve"> </w:t>
      </w:r>
      <w:r w:rsidRPr="67FA7D89">
        <w:t>seclusion</w:t>
      </w:r>
      <w:r>
        <w:t xml:space="preserve"> </w:t>
      </w:r>
      <w:r w:rsidRPr="67FA7D89">
        <w:t>episode</w:t>
      </w:r>
      <w:r>
        <w:t xml:space="preserve"> or </w:t>
      </w:r>
      <w:r w:rsidRPr="67FA7D89">
        <w:t>record</w:t>
      </w:r>
      <w:r>
        <w:t xml:space="preserve"> </w:t>
      </w:r>
      <w:r w:rsidRPr="67FA7D89">
        <w:t>the</w:t>
      </w:r>
      <w:r>
        <w:t xml:space="preserve"> </w:t>
      </w:r>
      <w:r w:rsidRPr="67FA7D89">
        <w:t>reason</w:t>
      </w:r>
      <w:r>
        <w:t xml:space="preserve"> </w:t>
      </w:r>
      <w:r w:rsidRPr="67FA7D89">
        <w:t>for</w:t>
      </w:r>
      <w:r>
        <w:t xml:space="preserve"> </w:t>
      </w:r>
      <w:r w:rsidRPr="67FA7D89">
        <w:t>continued</w:t>
      </w:r>
      <w:r>
        <w:t xml:space="preserve"> </w:t>
      </w:r>
      <w:r w:rsidRPr="67FA7D89">
        <w:t>use.</w:t>
      </w:r>
      <w:r>
        <w:t xml:space="preserve"> </w:t>
      </w:r>
    </w:p>
    <w:p w14:paraId="11365BA1" w14:textId="77777777" w:rsidR="00DB1B6E" w:rsidRPr="00BC44E8" w:rsidRDefault="00DB1B6E" w:rsidP="00BC44E8">
      <w:pPr>
        <w:pStyle w:val="Heading3"/>
      </w:pPr>
      <w:bookmarkStart w:id="585" w:name="_Toc103152174"/>
      <w:bookmarkStart w:id="586" w:name="_Toc105770671"/>
      <w:bookmarkStart w:id="587" w:name="_Toc131663854"/>
      <w:r w:rsidRPr="00BC44E8">
        <w:lastRenderedPageBreak/>
        <w:t>Ending seclusion</w:t>
      </w:r>
      <w:bookmarkEnd w:id="585"/>
      <w:bookmarkEnd w:id="586"/>
      <w:bookmarkEnd w:id="587"/>
    </w:p>
    <w:p w14:paraId="6D65E4AF" w14:textId="60B2EF94" w:rsidR="00DB1B6E" w:rsidRDefault="00DB1B6E" w:rsidP="00BC44E8">
      <w:r>
        <w:t>Each seclusion event should be for the shortest time possible, and a maximum of 2 hours (unless a decision is made to continue). If staff have addressed the reasons for seclusion, and seclusion is no longer needed, a decision to end seclusion must be taken by 2 suitably qualified clinicians following an assessment of the person. The responsible clinician must be informed of the decision to end seclusion.</w:t>
      </w:r>
    </w:p>
    <w:p w14:paraId="4B9DEE16" w14:textId="77777777" w:rsidR="00BC44E8" w:rsidRDefault="00BC44E8" w:rsidP="00BC44E8"/>
    <w:p w14:paraId="79030C6D" w14:textId="6E4E0D58" w:rsidR="00DB1B6E" w:rsidRDefault="00DB1B6E" w:rsidP="00BC44E8">
      <w:r>
        <w:t xml:space="preserve">If the person is asleep while in seclusion, we strongly recommend that staff consider whether seclusion is still necessary. It is not necessary to wake the person to end the episode of seclusion. </w:t>
      </w:r>
    </w:p>
    <w:p w14:paraId="4362E02E" w14:textId="77777777" w:rsidR="00BC44E8" w:rsidRDefault="00BC44E8" w:rsidP="00BC44E8"/>
    <w:p w14:paraId="05009F5F" w14:textId="77777777" w:rsidR="00DB1B6E" w:rsidRDefault="00DB1B6E" w:rsidP="00BC44E8">
      <w:r>
        <w:t xml:space="preserve">An episode of seclusion is deemed to have ended if the person leaves the conditions of seclusion without expectation of return, and in any case is deemed to have ended if the person has been out of seclusion for more than 1 hour. </w:t>
      </w:r>
    </w:p>
    <w:p w14:paraId="03EEB70A" w14:textId="77777777" w:rsidR="00DB1B6E" w:rsidRPr="00BC44E8" w:rsidRDefault="00DB1B6E" w:rsidP="00BC44E8">
      <w:pPr>
        <w:pStyle w:val="Heading3"/>
      </w:pPr>
      <w:bookmarkStart w:id="588" w:name="_Toc103152175"/>
      <w:bookmarkStart w:id="589" w:name="_Toc105770672"/>
      <w:bookmarkStart w:id="590" w:name="_Toc131663855"/>
      <w:r w:rsidRPr="00BC44E8">
        <w:t>Reintegration</w:t>
      </w:r>
      <w:bookmarkEnd w:id="588"/>
      <w:bookmarkEnd w:id="589"/>
      <w:bookmarkEnd w:id="590"/>
      <w:r w:rsidRPr="00BC44E8">
        <w:t xml:space="preserve"> </w:t>
      </w:r>
    </w:p>
    <w:p w14:paraId="77F09E98" w14:textId="21C39D56" w:rsidR="00DB1B6E" w:rsidRDefault="00DB1B6E" w:rsidP="00BC44E8">
      <w:r>
        <w:t xml:space="preserve">A planned and gradual process of reintegration into the ward should occur, particularly after an extended period in seclusion. This can also provide an evaluation period to inform the ending of a seclusion episode. </w:t>
      </w:r>
    </w:p>
    <w:p w14:paraId="6877BDE9" w14:textId="77777777" w:rsidR="00BC44E8" w:rsidRDefault="00BC44E8" w:rsidP="00BC44E8"/>
    <w:p w14:paraId="6501349D" w14:textId="4B155BE9" w:rsidR="00DB1B6E" w:rsidRDefault="00DB1B6E" w:rsidP="00BC44E8">
      <w:r>
        <w:t>It is important that people feel safe during the reintegration process. Reintegration should start with the door opening and move to integration during times of least stress and disruption, with increasing amounts of time out of seclusion. Clinicians should consider involving family/whānau in supporting tāngata whaiora in the integration process.</w:t>
      </w:r>
    </w:p>
    <w:p w14:paraId="0D73C5A0" w14:textId="77777777" w:rsidR="00BC44E8" w:rsidRDefault="00BC44E8" w:rsidP="00BC44E8"/>
    <w:p w14:paraId="7A4C4D90" w14:textId="2D7145A5" w:rsidR="00DB1B6E" w:rsidRDefault="00DB1B6E" w:rsidP="00BC44E8">
      <w:r>
        <w:t xml:space="preserve">Staff should consider an assessment of reintegration attempts when deciding whether to continue seclusion. When a person </w:t>
      </w:r>
      <w:r w:rsidRPr="00131A76">
        <w:rPr>
          <w:rFonts w:eastAsia="Quattrocento Sans"/>
        </w:rPr>
        <w:t>is</w:t>
      </w:r>
      <w:r>
        <w:rPr>
          <w:rFonts w:eastAsia="Quattrocento Sans"/>
        </w:rPr>
        <w:t xml:space="preserve"> </w:t>
      </w:r>
      <w:r w:rsidRPr="00131A76">
        <w:rPr>
          <w:rFonts w:eastAsia="Quattrocento Sans"/>
        </w:rPr>
        <w:t>able</w:t>
      </w:r>
      <w:r>
        <w:t xml:space="preserve"> to spend increasing amounts of time out of seclusion, staff should look to ending the seclusion event.</w:t>
      </w:r>
    </w:p>
    <w:p w14:paraId="6D899F75" w14:textId="77777777" w:rsidR="00BC44E8" w:rsidRDefault="00BC44E8" w:rsidP="00BC44E8"/>
    <w:p w14:paraId="5C48880B" w14:textId="53B74782" w:rsidR="00DB1B6E" w:rsidRDefault="00DB1B6E" w:rsidP="00BC44E8">
      <w:r>
        <w:t xml:space="preserve">If a person spends longer than an hour out of seclusion, the seclusion episode is deemed to have ended. Therefore, if the person has been out of seclusion for longer than an hour, and 2 suitably qualified clinicians determine that a further period of seclusion is required, they must record this as a separate seclusion event. </w:t>
      </w:r>
    </w:p>
    <w:p w14:paraId="393F37BE" w14:textId="77777777" w:rsidR="00BC44E8" w:rsidRDefault="00BC44E8" w:rsidP="00BC44E8"/>
    <w:p w14:paraId="6597FC37" w14:textId="77777777" w:rsidR="00DB1B6E" w:rsidRDefault="00DB1B6E" w:rsidP="00BC44E8">
      <w:r>
        <w:t xml:space="preserve">Staff should provide a person with the opportunity to reintegrate as soon as they are ready and for as long as they can manage. Tāngata whaiora may have specified their preferences for how they are supported to reintegrate into the unit in their advance directive. Staff should follow advance directives where they exist. </w:t>
      </w:r>
    </w:p>
    <w:p w14:paraId="12B3AB3E" w14:textId="77777777" w:rsidR="00DB1B6E" w:rsidRPr="00BC44E8" w:rsidRDefault="00DB1B6E" w:rsidP="00BC44E8">
      <w:pPr>
        <w:pStyle w:val="Heading3"/>
      </w:pPr>
      <w:bookmarkStart w:id="591" w:name="_Toc103152176"/>
      <w:bookmarkStart w:id="592" w:name="_Toc105770673"/>
      <w:bookmarkStart w:id="593" w:name="_Toc131663856"/>
      <w:r w:rsidRPr="00BC44E8">
        <w:t xml:space="preserve">Extended periods of </w:t>
      </w:r>
      <w:sdt>
        <w:sdtPr>
          <w:tag w:val="goog_rdk_74"/>
          <w:id w:val="-1955399992"/>
        </w:sdtPr>
        <w:sdtContent/>
      </w:sdt>
      <w:sdt>
        <w:sdtPr>
          <w:tag w:val="goog_rdk_75"/>
          <w:id w:val="-755673276"/>
        </w:sdtPr>
        <w:sdtContent/>
      </w:sdt>
      <w:r w:rsidRPr="00BC44E8">
        <w:t>seclusion</w:t>
      </w:r>
      <w:bookmarkEnd w:id="591"/>
      <w:bookmarkEnd w:id="592"/>
      <w:bookmarkEnd w:id="593"/>
    </w:p>
    <w:p w14:paraId="11BD1429" w14:textId="6FDC8180" w:rsidR="00DB1B6E" w:rsidRDefault="00DB1B6E" w:rsidP="00BC44E8">
      <w:r>
        <w:t xml:space="preserve">For the purposes of these guidelines, an extended period of seclusion is defined as when the person’s cumulative hours spent in seclusion </w:t>
      </w:r>
      <w:r w:rsidRPr="002D5947">
        <w:rPr>
          <w:bCs/>
        </w:rPr>
        <w:t>exceed 24 hours</w:t>
      </w:r>
      <w:r>
        <w:t xml:space="preserve"> over the course of </w:t>
      </w:r>
      <w:r w:rsidRPr="00B41C67">
        <w:t>one admission</w:t>
      </w:r>
      <w:r>
        <w:t>, with</w:t>
      </w:r>
      <w:r w:rsidRPr="003D0E25">
        <w:t xml:space="preserve">in a </w:t>
      </w:r>
      <w:r>
        <w:t>4</w:t>
      </w:r>
      <w:r w:rsidRPr="003D0E25">
        <w:t>-week period</w:t>
      </w:r>
      <w:r>
        <w:t>. Staff must inform the</w:t>
      </w:r>
      <w:r w:rsidDel="008B6C86">
        <w:t xml:space="preserve"> </w:t>
      </w:r>
      <w:r>
        <w:t xml:space="preserve">DAMHS and a local district inspector when this occurs. </w:t>
      </w:r>
    </w:p>
    <w:p w14:paraId="7960EF3A" w14:textId="77777777" w:rsidR="00BC44E8" w:rsidRDefault="00BC44E8" w:rsidP="00BC44E8"/>
    <w:p w14:paraId="1DBB29EF" w14:textId="249552D4" w:rsidR="00DB1B6E" w:rsidRDefault="00DB1B6E" w:rsidP="00BC44E8">
      <w:r>
        <w:lastRenderedPageBreak/>
        <w:t xml:space="preserve">We expect that, in this situation, a </w:t>
      </w:r>
      <w:r w:rsidRPr="00B41C67">
        <w:t>case review</w:t>
      </w:r>
      <w:r>
        <w:t xml:space="preserve"> should occur so that staff can consider alternatives to the continued use of seclusion. It is important that the person’s multidisciplinary team, senior clinical leadership for the service, cultural advisors and independent advocates are present at the case review. The person’s family/whānau should also be included if the person wants them to be involved. Case reviews should occur in addition to daily reviews by the person’s responsible clinician and multidisciplinary team members. </w:t>
      </w:r>
    </w:p>
    <w:p w14:paraId="0F975288" w14:textId="77777777" w:rsidR="00BC44E8" w:rsidRDefault="00BC44E8" w:rsidP="00BC44E8"/>
    <w:p w14:paraId="304482C7" w14:textId="3B45D1C5" w:rsidR="00DB1B6E" w:rsidRDefault="00DB1B6E" w:rsidP="00BC44E8">
      <w:r>
        <w:t>If efforts to end seclusion are not successful following a case review, we strongly recommend that services request an independent external review to consider alternatives to the continued use of seclusion.</w:t>
      </w:r>
    </w:p>
    <w:p w14:paraId="008D4C69" w14:textId="77777777" w:rsidR="00BC44E8" w:rsidRDefault="00BC44E8" w:rsidP="00BC44E8"/>
    <w:p w14:paraId="4F59D4AC" w14:textId="77777777" w:rsidR="00DB1B6E" w:rsidRDefault="00DB1B6E" w:rsidP="00BC44E8">
      <w:r>
        <w:t xml:space="preserve">Where people undergo extended periods of seclusion, staff should consider their ability to exercise and access meaningful </w:t>
      </w:r>
      <w:sdt>
        <w:sdtPr>
          <w:tag w:val="goog_rdk_78"/>
          <w:id w:val="826712374"/>
        </w:sdtPr>
        <w:sdtContent/>
      </w:sdt>
      <w:r>
        <w:t xml:space="preserve">activity, including through access to an outdoor area if this is safe. </w:t>
      </w:r>
      <w:r w:rsidRPr="00785505">
        <w:t>Services must also consider the impact of an extended period of seclusion on a person’s right to company.</w:t>
      </w:r>
    </w:p>
    <w:p w14:paraId="4440B628" w14:textId="77777777" w:rsidR="00DB1B6E" w:rsidRPr="00BC44E8" w:rsidRDefault="00DB1B6E" w:rsidP="00BC44E8">
      <w:pPr>
        <w:pStyle w:val="Heading2"/>
      </w:pPr>
      <w:bookmarkStart w:id="594" w:name="_Toc103152177"/>
      <w:bookmarkStart w:id="595" w:name="_Toc105770674"/>
      <w:bookmarkStart w:id="596" w:name="_Toc131663857"/>
      <w:bookmarkStart w:id="597" w:name="_Toc132355345"/>
      <w:r w:rsidRPr="00BC44E8">
        <w:t>Specific observation, engagement and assessment requirements</w:t>
      </w:r>
      <w:bookmarkEnd w:id="594"/>
      <w:bookmarkEnd w:id="595"/>
      <w:bookmarkEnd w:id="596"/>
      <w:bookmarkEnd w:id="597"/>
    </w:p>
    <w:p w14:paraId="0198F70C" w14:textId="77777777" w:rsidR="00DB1B6E" w:rsidRPr="006563E7" w:rsidRDefault="00DB1B6E" w:rsidP="00BC44E8">
      <w:pPr>
        <w:pStyle w:val="Heading3"/>
      </w:pPr>
      <w:bookmarkStart w:id="598" w:name="_Toc103152178"/>
      <w:bookmarkStart w:id="599" w:name="_Toc105770675"/>
      <w:bookmarkStart w:id="600" w:name="_Toc131663858"/>
      <w:r w:rsidRPr="006563E7">
        <w:t>Continuous</w:t>
      </w:r>
      <w:r>
        <w:t xml:space="preserve"> </w:t>
      </w:r>
      <w:sdt>
        <w:sdtPr>
          <w:tag w:val="goog_rdk_72"/>
          <w:id w:val="-166252362"/>
        </w:sdtPr>
        <w:sdtContent/>
      </w:sdt>
      <w:r w:rsidRPr="006563E7">
        <w:t>observation</w:t>
      </w:r>
      <w:bookmarkEnd w:id="598"/>
      <w:bookmarkEnd w:id="599"/>
      <w:bookmarkEnd w:id="600"/>
    </w:p>
    <w:p w14:paraId="644A4B05" w14:textId="43D65C35" w:rsidR="00DB1B6E" w:rsidRDefault="00DB1B6E" w:rsidP="00BC44E8">
      <w:r w:rsidRPr="000802AA">
        <w:t>Observation</w:t>
      </w:r>
      <w:r>
        <w:t xml:space="preserve"> </w:t>
      </w:r>
      <w:r w:rsidRPr="000802AA">
        <w:t>of</w:t>
      </w:r>
      <w:r>
        <w:t xml:space="preserve"> </w:t>
      </w:r>
      <w:r w:rsidRPr="000802AA">
        <w:t>people</w:t>
      </w:r>
      <w:r>
        <w:t xml:space="preserve"> </w:t>
      </w:r>
      <w:r w:rsidRPr="000802AA">
        <w:t>in</w:t>
      </w:r>
      <w:r>
        <w:t xml:space="preserve"> </w:t>
      </w:r>
      <w:r w:rsidRPr="000802AA">
        <w:t>seclusion</w:t>
      </w:r>
      <w:r>
        <w:t xml:space="preserve"> must </w:t>
      </w:r>
      <w:r w:rsidRPr="000802AA">
        <w:t>be</w:t>
      </w:r>
      <w:r>
        <w:t xml:space="preserve"> </w:t>
      </w:r>
      <w:r w:rsidRPr="000802AA">
        <w:t>continuous</w:t>
      </w:r>
      <w:r>
        <w:t xml:space="preserve"> </w:t>
      </w:r>
      <w:r w:rsidRPr="00C860D3">
        <w:t>and by a registered nurse or another suitably trained staff member delegated by a registered nurse</w:t>
      </w:r>
      <w:r>
        <w:t>.</w:t>
      </w:r>
      <w:r>
        <w:rPr>
          <w:rStyle w:val="FootnoteReference"/>
          <w:rFonts w:cs="Segoe UI"/>
        </w:rPr>
        <w:footnoteReference w:id="149"/>
      </w:r>
      <w:r>
        <w:t xml:space="preserve"> We do not recommend short-span timed checks (for example, checks at 5- or 10-minute intervals), because of their high risk: the person may engage in harmful behaviour during known gaps in observation. </w:t>
      </w:r>
    </w:p>
    <w:p w14:paraId="119C3FCA" w14:textId="77777777" w:rsidR="00BC44E8" w:rsidRDefault="00BC44E8" w:rsidP="00BC44E8"/>
    <w:p w14:paraId="112CD97C" w14:textId="3247D664" w:rsidR="00DB1B6E" w:rsidRDefault="00DB1B6E" w:rsidP="00BC44E8">
      <w:r w:rsidRPr="2CC988A9">
        <w:t>Observations must include practical measures to ensure that the person is not in physical distress at the time they are being observed. This will require actual physical observation and interaction with the person</w:t>
      </w:r>
      <w:r>
        <w:t>; video surveillance is not an acceptable form of observation</w:t>
      </w:r>
      <w:r w:rsidRPr="2CC988A9">
        <w:t xml:space="preserve">. </w:t>
      </w:r>
      <w:r>
        <w:t xml:space="preserve">Criterion 6.2.4(g) of </w:t>
      </w:r>
      <w:r w:rsidRPr="2CC988A9">
        <w:t>Ngā Paerewa states that documentation of an episode of restraint should include observations and monitoring of the person during the restraint.</w:t>
      </w:r>
    </w:p>
    <w:p w14:paraId="08F8820A" w14:textId="77777777" w:rsidR="00BC44E8" w:rsidRDefault="00BC44E8" w:rsidP="00BC44E8"/>
    <w:p w14:paraId="00A020C0" w14:textId="40A16697" w:rsidR="00DB1B6E" w:rsidRDefault="00DB1B6E" w:rsidP="00BC44E8">
      <w:r>
        <w:t>Staff should follow the individual preferences of tāngata whaiora in relation to the staff member carrying out the observation where practically possible. For example, people may have a preference regarding the culture or gender of their observer. Staff should seek out and record individual preferences in the person’s advance directive (or other individualised plan) and should consider them in the context of people’s trauma history. Staff must ensure people’s p</w:t>
      </w:r>
      <w:r w:rsidRPr="000C0892">
        <w:t>rivacy when the</w:t>
      </w:r>
      <w:r>
        <w:t>y are using the</w:t>
      </w:r>
      <w:r w:rsidRPr="000C0892">
        <w:t xml:space="preserve"> toilet</w:t>
      </w:r>
      <w:r>
        <w:t xml:space="preserve"> or shower</w:t>
      </w:r>
      <w:r w:rsidRPr="000C0892">
        <w:t>.</w:t>
      </w:r>
    </w:p>
    <w:p w14:paraId="0AE98819" w14:textId="77777777" w:rsidR="00BC44E8" w:rsidRPr="00F41F4D" w:rsidRDefault="00BC44E8" w:rsidP="00BC44E8"/>
    <w:p w14:paraId="1A1509CB" w14:textId="77777777" w:rsidR="00DB1B6E" w:rsidRPr="00EA58A3" w:rsidRDefault="00DB1B6E" w:rsidP="00BC44E8">
      <w:r>
        <w:lastRenderedPageBreak/>
        <w:t>The New Zealand Directors of Mental Health Nursing have issued a position statement on enhanced engagement and observations. The following points from that statement are relevant in the context of seclusion.</w:t>
      </w:r>
    </w:p>
    <w:p w14:paraId="34257263" w14:textId="77777777" w:rsidR="00DB1B6E" w:rsidRPr="00314B90" w:rsidRDefault="00DB1B6E" w:rsidP="00BC44E8">
      <w:pPr>
        <w:pStyle w:val="Bullet"/>
      </w:pPr>
      <w:r>
        <w:t xml:space="preserve">It is important that staff view observations as an opportunity for therapeutic engagement, rather than an administrative task. </w:t>
      </w:r>
    </w:p>
    <w:p w14:paraId="1BA20371" w14:textId="77777777" w:rsidR="00DB1B6E" w:rsidRPr="00314B90" w:rsidRDefault="00DB1B6E" w:rsidP="00BC44E8">
      <w:pPr>
        <w:pStyle w:val="Bullet"/>
      </w:pPr>
      <w:r>
        <w:t>T</w:t>
      </w:r>
      <w:r w:rsidRPr="00145063">
        <w:t>he</w:t>
      </w:r>
      <w:r>
        <w:t xml:space="preserve"> </w:t>
      </w:r>
      <w:r w:rsidRPr="00145063">
        <w:t>model</w:t>
      </w:r>
      <w:r>
        <w:t xml:space="preserve"> </w:t>
      </w:r>
      <w:r w:rsidRPr="00145063">
        <w:t>of</w:t>
      </w:r>
      <w:r>
        <w:t xml:space="preserve"> </w:t>
      </w:r>
      <w:r w:rsidRPr="00145063">
        <w:t>care</w:t>
      </w:r>
      <w:r>
        <w:t xml:space="preserve"> should </w:t>
      </w:r>
      <w:r w:rsidRPr="00145063">
        <w:t>inform</w:t>
      </w:r>
      <w:r>
        <w:t xml:space="preserve"> </w:t>
      </w:r>
      <w:r w:rsidRPr="00145063">
        <w:t>enhanced</w:t>
      </w:r>
      <w:r>
        <w:t xml:space="preserve"> </w:t>
      </w:r>
      <w:r w:rsidRPr="00145063">
        <w:t>engagement</w:t>
      </w:r>
      <w:r>
        <w:t xml:space="preserve"> </w:t>
      </w:r>
      <w:r w:rsidRPr="00145063">
        <w:t>and</w:t>
      </w:r>
      <w:r>
        <w:t xml:space="preserve"> </w:t>
      </w:r>
      <w:r w:rsidRPr="00145063">
        <w:t>observations</w:t>
      </w:r>
      <w:r>
        <w:t>.</w:t>
      </w:r>
    </w:p>
    <w:p w14:paraId="316ABC1D" w14:textId="77777777" w:rsidR="00DB1B6E" w:rsidRPr="00314B90" w:rsidRDefault="00DB1B6E" w:rsidP="00BC44E8">
      <w:pPr>
        <w:pStyle w:val="Bullet"/>
      </w:pPr>
      <w:r>
        <w:t>T</w:t>
      </w:r>
      <w:r w:rsidRPr="00145063">
        <w:t>here</w:t>
      </w:r>
      <w:r>
        <w:t xml:space="preserve"> </w:t>
      </w:r>
      <w:r w:rsidRPr="00145063">
        <w:t>must</w:t>
      </w:r>
      <w:r>
        <w:t xml:space="preserve"> </w:t>
      </w:r>
      <w:r w:rsidRPr="00145063">
        <w:t>be</w:t>
      </w:r>
      <w:r>
        <w:t xml:space="preserve"> </w:t>
      </w:r>
      <w:r w:rsidRPr="00145063">
        <w:t>a</w:t>
      </w:r>
      <w:r>
        <w:t xml:space="preserve"> </w:t>
      </w:r>
      <w:r w:rsidRPr="00145063">
        <w:t>clear</w:t>
      </w:r>
      <w:r>
        <w:t xml:space="preserve"> </w:t>
      </w:r>
      <w:r w:rsidRPr="00145063">
        <w:t>rationale</w:t>
      </w:r>
      <w:r>
        <w:t xml:space="preserve"> </w:t>
      </w:r>
      <w:r w:rsidRPr="00145063">
        <w:t>for</w:t>
      </w:r>
      <w:r>
        <w:t xml:space="preserve"> </w:t>
      </w:r>
      <w:r w:rsidRPr="00145063">
        <w:t>levels</w:t>
      </w:r>
      <w:r>
        <w:t xml:space="preserve"> </w:t>
      </w:r>
      <w:r w:rsidRPr="00145063">
        <w:t>of</w:t>
      </w:r>
      <w:r>
        <w:t xml:space="preserve"> </w:t>
      </w:r>
      <w:r w:rsidRPr="00145063">
        <w:t>enhanced</w:t>
      </w:r>
      <w:r>
        <w:t xml:space="preserve"> </w:t>
      </w:r>
      <w:r w:rsidRPr="00145063">
        <w:t>engagement</w:t>
      </w:r>
      <w:r>
        <w:t xml:space="preserve"> </w:t>
      </w:r>
      <w:r w:rsidRPr="00145063">
        <w:t>and</w:t>
      </w:r>
      <w:r>
        <w:t xml:space="preserve"> </w:t>
      </w:r>
      <w:r w:rsidRPr="00145063">
        <w:t>observation</w:t>
      </w:r>
      <w:r>
        <w:t xml:space="preserve"> </w:t>
      </w:r>
      <w:r w:rsidRPr="00145063">
        <w:t>that</w:t>
      </w:r>
      <w:r>
        <w:t xml:space="preserve"> </w:t>
      </w:r>
      <w:r w:rsidRPr="00145063">
        <w:t>addresses</w:t>
      </w:r>
      <w:r>
        <w:t xml:space="preserve"> </w:t>
      </w:r>
      <w:r w:rsidRPr="00145063">
        <w:t>the</w:t>
      </w:r>
      <w:r>
        <w:t xml:space="preserve"> </w:t>
      </w:r>
      <w:r w:rsidRPr="00145063">
        <w:t>following:</w:t>
      </w:r>
      <w:r>
        <w:t xml:space="preserve"> </w:t>
      </w:r>
    </w:p>
    <w:p w14:paraId="66BF6D40" w14:textId="77777777" w:rsidR="00DB1B6E" w:rsidRPr="00314B90" w:rsidRDefault="00DB1B6E" w:rsidP="00BC44E8">
      <w:pPr>
        <w:pStyle w:val="Dash"/>
        <w:rPr>
          <w:rFonts w:cs="Segoe UI"/>
          <w:color w:val="000000"/>
        </w:rPr>
      </w:pPr>
      <w:r w:rsidRPr="0159F6E3">
        <w:t>location of patients within the inpatient facility and expectations of the type of assessment occurring</w:t>
      </w:r>
      <w:r>
        <w:t xml:space="preserve">: for example, </w:t>
      </w:r>
      <w:r w:rsidRPr="0159F6E3">
        <w:t>aspects of physical health status, colour and respiratory function. These observations could be enhanced by technologies (</w:t>
      </w:r>
      <w:r>
        <w:t xml:space="preserve">for example, </w:t>
      </w:r>
      <w:r w:rsidRPr="0159F6E3">
        <w:t>for pulse checking) and could reduce the potential for error, especially in night observations</w:t>
      </w:r>
    </w:p>
    <w:p w14:paraId="58CF2819" w14:textId="77777777" w:rsidR="00DB1B6E" w:rsidRPr="00761BD2" w:rsidRDefault="00DB1B6E" w:rsidP="00BC44E8">
      <w:pPr>
        <w:pStyle w:val="Dash"/>
        <w:rPr>
          <w:color w:val="000000"/>
        </w:rPr>
      </w:pPr>
      <w:r>
        <w:rPr>
          <w:color w:val="000000"/>
        </w:rPr>
        <w:t>p</w:t>
      </w:r>
      <w:r w:rsidRPr="00145063">
        <w:rPr>
          <w:color w:val="000000"/>
        </w:rPr>
        <w:t>reventing</w:t>
      </w:r>
      <w:r>
        <w:rPr>
          <w:color w:val="000000"/>
        </w:rPr>
        <w:t xml:space="preserve"> </w:t>
      </w:r>
      <w:r w:rsidRPr="00145063">
        <w:rPr>
          <w:color w:val="000000"/>
        </w:rPr>
        <w:t>patients</w:t>
      </w:r>
      <w:r>
        <w:rPr>
          <w:color w:val="000000"/>
        </w:rPr>
        <w:t xml:space="preserve"> </w:t>
      </w:r>
      <w:r w:rsidRPr="00145063">
        <w:rPr>
          <w:color w:val="000000"/>
        </w:rPr>
        <w:t>from</w:t>
      </w:r>
      <w:r>
        <w:rPr>
          <w:color w:val="000000"/>
        </w:rPr>
        <w:t xml:space="preserve"> </w:t>
      </w:r>
      <w:r w:rsidRPr="00145063">
        <w:rPr>
          <w:color w:val="000000"/>
        </w:rPr>
        <w:t>harming</w:t>
      </w:r>
      <w:r>
        <w:rPr>
          <w:color w:val="000000"/>
        </w:rPr>
        <w:t xml:space="preserve"> </w:t>
      </w:r>
      <w:r w:rsidRPr="00145063">
        <w:rPr>
          <w:color w:val="000000"/>
        </w:rPr>
        <w:t>themselves</w:t>
      </w:r>
      <w:r>
        <w:rPr>
          <w:color w:val="000000"/>
        </w:rPr>
        <w:t xml:space="preserve"> </w:t>
      </w:r>
    </w:p>
    <w:p w14:paraId="1E422232" w14:textId="77777777" w:rsidR="00DB1B6E" w:rsidRPr="00314B90" w:rsidRDefault="00DB1B6E" w:rsidP="00BC44E8">
      <w:pPr>
        <w:pStyle w:val="Dash"/>
        <w:rPr>
          <w:rFonts w:cs="Segoe UI"/>
          <w:color w:val="000000"/>
        </w:rPr>
      </w:pPr>
      <w:r>
        <w:rPr>
          <w:color w:val="000000"/>
        </w:rPr>
        <w:t>p</w:t>
      </w:r>
      <w:r w:rsidRPr="00145063">
        <w:rPr>
          <w:color w:val="000000"/>
        </w:rPr>
        <w:t>reventing</w:t>
      </w:r>
      <w:r>
        <w:rPr>
          <w:color w:val="000000"/>
        </w:rPr>
        <w:t xml:space="preserve"> </w:t>
      </w:r>
      <w:r w:rsidRPr="00145063">
        <w:rPr>
          <w:color w:val="000000"/>
        </w:rPr>
        <w:t>patients</w:t>
      </w:r>
      <w:r>
        <w:rPr>
          <w:color w:val="000000"/>
        </w:rPr>
        <w:t xml:space="preserve"> </w:t>
      </w:r>
      <w:r w:rsidRPr="00145063">
        <w:rPr>
          <w:color w:val="000000"/>
        </w:rPr>
        <w:t>from</w:t>
      </w:r>
      <w:r>
        <w:rPr>
          <w:color w:val="000000"/>
        </w:rPr>
        <w:t xml:space="preserve"> </w:t>
      </w:r>
      <w:r w:rsidRPr="00145063">
        <w:rPr>
          <w:color w:val="000000"/>
        </w:rPr>
        <w:t>harming</w:t>
      </w:r>
      <w:r>
        <w:rPr>
          <w:color w:val="000000"/>
        </w:rPr>
        <w:t xml:space="preserve"> </w:t>
      </w:r>
      <w:r w:rsidRPr="00145063">
        <w:rPr>
          <w:color w:val="000000"/>
        </w:rPr>
        <w:t>others</w:t>
      </w:r>
      <w:r w:rsidRPr="00761BD2">
        <w:rPr>
          <w:color w:val="000000"/>
        </w:rPr>
        <w:t>.</w:t>
      </w:r>
      <w:r w:rsidRPr="00145063">
        <w:rPr>
          <w:color w:val="000000"/>
          <w:vertAlign w:val="superscript"/>
        </w:rPr>
        <w:footnoteReference w:id="150"/>
      </w:r>
    </w:p>
    <w:p w14:paraId="6A26AD35" w14:textId="18D4A851" w:rsidR="00DB1B6E" w:rsidRPr="00BC44E8" w:rsidRDefault="00DB1B6E" w:rsidP="00BC44E8">
      <w:pPr>
        <w:pStyle w:val="Heading3"/>
      </w:pPr>
      <w:bookmarkStart w:id="601" w:name="_Toc131663859"/>
      <w:bookmarkStart w:id="602" w:name="_Toc103152179"/>
      <w:bookmarkStart w:id="603" w:name="_Toc105770676"/>
      <w:r w:rsidRPr="00BC44E8">
        <w:t>Engagement</w:t>
      </w:r>
      <w:bookmarkEnd w:id="601"/>
      <w:bookmarkEnd w:id="602"/>
      <w:bookmarkEnd w:id="603"/>
    </w:p>
    <w:p w14:paraId="68CFAA4F" w14:textId="3149E319" w:rsidR="00DB1B6E" w:rsidRDefault="00314D2B" w:rsidP="00314D2B">
      <w:pPr>
        <w:rPr>
          <w:rFonts w:eastAsia="Segoe UI"/>
        </w:rPr>
      </w:pPr>
      <w:r w:rsidRPr="00BC44E8">
        <w:rPr>
          <w:noProof/>
        </w:rPr>
        <mc:AlternateContent>
          <mc:Choice Requires="wps">
            <w:drawing>
              <wp:anchor distT="45720" distB="45720" distL="114300" distR="114300" simplePos="0" relativeHeight="251658248" behindDoc="0" locked="0" layoutInCell="1" hidden="0" allowOverlap="1" wp14:anchorId="10C06A60" wp14:editId="34858022">
                <wp:simplePos x="0" y="0"/>
                <wp:positionH relativeFrom="column">
                  <wp:posOffset>3178810</wp:posOffset>
                </wp:positionH>
                <wp:positionV relativeFrom="paragraph">
                  <wp:posOffset>13970</wp:posOffset>
                </wp:positionV>
                <wp:extent cx="2054860" cy="1828800"/>
                <wp:effectExtent l="0" t="0" r="21590" b="1905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0" y="0"/>
                          <a:ext cx="2054860" cy="1828800"/>
                        </a:xfrm>
                        <a:prstGeom prst="rect">
                          <a:avLst/>
                        </a:prstGeom>
                        <a:solidFill>
                          <a:srgbClr val="FFFFFF"/>
                        </a:solidFill>
                        <a:ln w="12700" cap="flat" cmpd="sng">
                          <a:solidFill>
                            <a:srgbClr val="0A6AB4"/>
                          </a:solidFill>
                          <a:prstDash val="solid"/>
                          <a:miter lim="800000"/>
                          <a:headEnd type="none" w="sm" len="sm"/>
                          <a:tailEnd type="none" w="sm" len="sm"/>
                        </a:ln>
                      </wps:spPr>
                      <wps:txbx>
                        <w:txbxContent>
                          <w:p w14:paraId="4F5A6D58" w14:textId="77777777" w:rsidR="00A26CD1" w:rsidRPr="00F6143D" w:rsidRDefault="00A26CD1" w:rsidP="00DB1B6E">
                            <w:pPr>
                              <w:textDirection w:val="btLr"/>
                              <w:rPr>
                                <w:rFonts w:cs="Segoe UI"/>
                                <w:sz w:val="20"/>
                              </w:rPr>
                            </w:pPr>
                            <w:r w:rsidRPr="00F6143D">
                              <w:rPr>
                                <w:rFonts w:eastAsia="Quattrocento Sans" w:cs="Segoe UI"/>
                                <w:color w:val="000000"/>
                                <w:sz w:val="20"/>
                              </w:rPr>
                              <w:t xml:space="preserve">Engagement and observation is about meeting enhanced needs. Observation is only one aspect of caring for people during high periods of distress. All staff are expected to engage people in meaningful activities and provide psychological support. </w:t>
                            </w:r>
                          </w:p>
                          <w:p w14:paraId="5B21A1E8" w14:textId="77777777" w:rsidR="00A26CD1" w:rsidRPr="00F6143D" w:rsidRDefault="00A26CD1" w:rsidP="00DB1B6E">
                            <w:pPr>
                              <w:textDirection w:val="btLr"/>
                              <w:rPr>
                                <w:rFonts w:cs="Segoe UI"/>
                                <w:sz w:val="20"/>
                              </w:rPr>
                            </w:pPr>
                            <w:r w:rsidRPr="00F6143D">
                              <w:rPr>
                                <w:rFonts w:eastAsia="Quattrocento Sans" w:cs="Segoe UI"/>
                                <w:i/>
                                <w:color w:val="4472C4"/>
                                <w:sz w:val="20"/>
                              </w:rPr>
                              <w:t>Hawke</w:t>
                            </w:r>
                            <w:r>
                              <w:rPr>
                                <w:rFonts w:eastAsia="Quattrocento Sans" w:cs="Segoe UI"/>
                                <w:i/>
                                <w:color w:val="4472C4"/>
                                <w:sz w:val="20"/>
                              </w:rPr>
                              <w:t>’</w:t>
                            </w:r>
                            <w:r w:rsidRPr="00F6143D">
                              <w:rPr>
                                <w:rFonts w:eastAsia="Quattrocento Sans" w:cs="Segoe UI"/>
                                <w:i/>
                                <w:color w:val="4472C4"/>
                                <w:sz w:val="20"/>
                              </w:rPr>
                              <w:t xml:space="preserve">s Bay, </w:t>
                            </w:r>
                            <w:r>
                              <w:rPr>
                                <w:rFonts w:eastAsia="Quattrocento Sans" w:cs="Segoe UI"/>
                                <w:i/>
                                <w:color w:val="4472C4"/>
                                <w:sz w:val="20"/>
                              </w:rPr>
                              <w:t>observation and engagement policy, 2013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DBBB2B">
              <v:rect id="Rectangle 240" style="position:absolute;margin-left:250.3pt;margin-top:1.1pt;width:161.8pt;height:2in;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strokecolor="#0a6ab4" strokeweight="1pt" w14:anchorId="10C06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">
                <v:stroke startarrowwidth="narrow" startarrowlength="short" endarrowwidth="narrow" endarrowlength="short"/>
                <v:textbox inset="2.53958mm,1.2694mm,2.53958mm,1.2694mm">
                  <w:txbxContent>
                    <w:p w:rsidRPr="00F6143D" w:rsidR="00A26CD1" w:rsidP="00DB1B6E" w:rsidRDefault="00A26CD1" w14:paraId="289E78CE" w14:textId="77777777">
                      <w:pPr>
                        <w:textDirection w:val="btLr"/>
                        <w:rPr>
                          <w:rFonts w:cs="Segoe UI"/>
                          <w:sz w:val="20"/>
                        </w:rPr>
                      </w:pPr>
                      <w:r w:rsidRPr="00F6143D">
                        <w:rPr>
                          <w:rFonts w:eastAsia="Quattrocento Sans" w:cs="Segoe UI"/>
                          <w:color w:val="000000"/>
                          <w:sz w:val="20"/>
                        </w:rPr>
                        <w:t xml:space="preserve">Engagement and observation is about meeting enhanced needs. Observation is only one aspect of caring for people during high periods of distress. All staff are expected to engage people in meaningful activities and provide psychological support. </w:t>
                      </w:r>
                    </w:p>
                    <w:p w:rsidRPr="00F6143D" w:rsidR="00A26CD1" w:rsidP="00DB1B6E" w:rsidRDefault="00A26CD1" w14:paraId="427E881F" w14:textId="77777777">
                      <w:pPr>
                        <w:textDirection w:val="btLr"/>
                        <w:rPr>
                          <w:rFonts w:cs="Segoe UI"/>
                          <w:sz w:val="20"/>
                        </w:rPr>
                      </w:pPr>
                      <w:r w:rsidRPr="00F6143D">
                        <w:rPr>
                          <w:rFonts w:eastAsia="Quattrocento Sans" w:cs="Segoe UI"/>
                          <w:i/>
                          <w:color w:val="4472C4"/>
                          <w:sz w:val="20"/>
                        </w:rPr>
                        <w:t>Hawke</w:t>
                      </w:r>
                      <w:r>
                        <w:rPr>
                          <w:rFonts w:eastAsia="Quattrocento Sans" w:cs="Segoe UI"/>
                          <w:i/>
                          <w:color w:val="4472C4"/>
                          <w:sz w:val="20"/>
                        </w:rPr>
                        <w:t>’</w:t>
                      </w:r>
                      <w:r w:rsidRPr="00F6143D">
                        <w:rPr>
                          <w:rFonts w:eastAsia="Quattrocento Sans" w:cs="Segoe UI"/>
                          <w:i/>
                          <w:color w:val="4472C4"/>
                          <w:sz w:val="20"/>
                        </w:rPr>
                        <w:t xml:space="preserve">s Bay, </w:t>
                      </w:r>
                      <w:r>
                        <w:rPr>
                          <w:rFonts w:eastAsia="Quattrocento Sans" w:cs="Segoe UI"/>
                          <w:i/>
                          <w:color w:val="4472C4"/>
                          <w:sz w:val="20"/>
                        </w:rPr>
                        <w:t>observation and engagement policy, 2013</w:t>
                      </w:r>
                    </w:p>
                  </w:txbxContent>
                </v:textbox>
                <w10:wrap type="square"/>
              </v:rect>
            </w:pict>
          </mc:Fallback>
        </mc:AlternateContent>
      </w:r>
      <w:r w:rsidR="00DB1B6E" w:rsidRPr="2CC988A9">
        <w:rPr>
          <w:rFonts w:eastAsia="Segoe UI"/>
        </w:rPr>
        <w:t>It is not enough to simply observe people in seclusion</w:t>
      </w:r>
      <w:r w:rsidR="00DB1B6E">
        <w:rPr>
          <w:rFonts w:eastAsia="Segoe UI"/>
        </w:rPr>
        <w:t>. We also expect that s</w:t>
      </w:r>
      <w:r w:rsidR="00DB1B6E" w:rsidRPr="2CC988A9">
        <w:rPr>
          <w:rFonts w:eastAsia="Segoe UI"/>
        </w:rPr>
        <w:t xml:space="preserve">taff </w:t>
      </w:r>
      <w:r w:rsidR="00DB1B6E">
        <w:rPr>
          <w:rFonts w:eastAsia="Segoe UI"/>
        </w:rPr>
        <w:t xml:space="preserve">will </w:t>
      </w:r>
      <w:r w:rsidR="00DB1B6E" w:rsidRPr="2CC988A9">
        <w:rPr>
          <w:rFonts w:eastAsia="Segoe UI"/>
        </w:rPr>
        <w:t xml:space="preserve">intentionally engage with people in seclusion. </w:t>
      </w:r>
      <w:r w:rsidR="00DB1B6E">
        <w:rPr>
          <w:rFonts w:eastAsia="Segoe UI"/>
        </w:rPr>
        <w:t xml:space="preserve">Engagement can include eye contact, conversation or activities. </w:t>
      </w:r>
    </w:p>
    <w:p w14:paraId="2BC33435" w14:textId="77777777" w:rsidR="00BC44E8" w:rsidRDefault="00BC44E8" w:rsidP="00BC44E8">
      <w:pPr>
        <w:rPr>
          <w:rFonts w:eastAsia="Segoe UI"/>
        </w:rPr>
      </w:pPr>
    </w:p>
    <w:p w14:paraId="01C593A9" w14:textId="26004DFD" w:rsidR="00DB1B6E" w:rsidRDefault="00DB1B6E" w:rsidP="00314D2B">
      <w:pPr>
        <w:rPr>
          <w:rFonts w:eastAsia="Segoe UI"/>
        </w:rPr>
      </w:pPr>
      <w:r w:rsidRPr="2CC988A9">
        <w:rPr>
          <w:rFonts w:eastAsia="Segoe UI"/>
        </w:rPr>
        <w:t xml:space="preserve">An exception to this may be where the person is sleeping, and observation is sufficient to confirm signs of life and establish that </w:t>
      </w:r>
      <w:r>
        <w:rPr>
          <w:rFonts w:eastAsia="Segoe UI"/>
        </w:rPr>
        <w:t xml:space="preserve">the person is </w:t>
      </w:r>
      <w:r w:rsidRPr="2CC988A9">
        <w:rPr>
          <w:rFonts w:eastAsia="Segoe UI"/>
        </w:rPr>
        <w:t xml:space="preserve">not in physical distress. </w:t>
      </w:r>
      <w:r>
        <w:rPr>
          <w:rFonts w:eastAsia="Segoe UI"/>
        </w:rPr>
        <w:t>Confirming s</w:t>
      </w:r>
      <w:r w:rsidRPr="2CC988A9">
        <w:rPr>
          <w:rFonts w:eastAsia="Segoe UI"/>
        </w:rPr>
        <w:t xml:space="preserve">igns of life in this context means </w:t>
      </w:r>
      <w:r w:rsidRPr="00451E63">
        <w:rPr>
          <w:rFonts w:eastAsia="Segoe UI"/>
          <w:color w:val="333333"/>
        </w:rPr>
        <w:t>visibly see</w:t>
      </w:r>
      <w:r w:rsidRPr="2CC988A9">
        <w:rPr>
          <w:rFonts w:eastAsia="Segoe UI"/>
          <w:color w:val="333333"/>
        </w:rPr>
        <w:t>ing</w:t>
      </w:r>
      <w:r w:rsidRPr="00451E63">
        <w:rPr>
          <w:rFonts w:eastAsia="Segoe UI"/>
          <w:color w:val="333333"/>
        </w:rPr>
        <w:t xml:space="preserve"> the chest moving, hear</w:t>
      </w:r>
      <w:r w:rsidRPr="2CC988A9">
        <w:rPr>
          <w:rFonts w:eastAsia="Segoe UI"/>
          <w:color w:val="333333"/>
        </w:rPr>
        <w:t xml:space="preserve">ing breathing or </w:t>
      </w:r>
      <w:r>
        <w:rPr>
          <w:rFonts w:eastAsia="Segoe UI"/>
          <w:color w:val="333333"/>
        </w:rPr>
        <w:t xml:space="preserve">observing </w:t>
      </w:r>
      <w:r w:rsidRPr="00451E63">
        <w:rPr>
          <w:rFonts w:eastAsia="Segoe UI"/>
          <w:color w:val="333333"/>
        </w:rPr>
        <w:t>snoring</w:t>
      </w:r>
      <w:r>
        <w:rPr>
          <w:rFonts w:eastAsia="Segoe UI"/>
          <w:color w:val="333333"/>
        </w:rPr>
        <w:t>. I</w:t>
      </w:r>
      <w:r w:rsidRPr="00451E63">
        <w:rPr>
          <w:rFonts w:eastAsia="Segoe UI"/>
          <w:color w:val="333333"/>
        </w:rPr>
        <w:t xml:space="preserve">f </w:t>
      </w:r>
      <w:r w:rsidRPr="2CC988A9">
        <w:rPr>
          <w:rFonts w:eastAsia="Segoe UI"/>
          <w:color w:val="333333"/>
        </w:rPr>
        <w:t xml:space="preserve">these </w:t>
      </w:r>
      <w:r>
        <w:rPr>
          <w:rFonts w:eastAsia="Segoe UI"/>
          <w:color w:val="333333"/>
        </w:rPr>
        <w:t xml:space="preserve">signs </w:t>
      </w:r>
      <w:r w:rsidRPr="2CC988A9">
        <w:rPr>
          <w:rFonts w:eastAsia="Segoe UI"/>
          <w:color w:val="333333"/>
        </w:rPr>
        <w:t>are not present</w:t>
      </w:r>
      <w:r>
        <w:rPr>
          <w:rFonts w:eastAsia="Segoe UI"/>
          <w:color w:val="333333"/>
        </w:rPr>
        <w:t>, staff will need to wake</w:t>
      </w:r>
      <w:r w:rsidRPr="2CC988A9">
        <w:rPr>
          <w:rFonts w:eastAsia="Segoe UI"/>
          <w:color w:val="333333"/>
        </w:rPr>
        <w:t xml:space="preserve"> the person. </w:t>
      </w:r>
      <w:r w:rsidRPr="2CC988A9">
        <w:rPr>
          <w:rFonts w:eastAsia="Segoe UI"/>
        </w:rPr>
        <w:t>If a person in seclusion is asleep and signs of life are present</w:t>
      </w:r>
      <w:r>
        <w:rPr>
          <w:rFonts w:eastAsia="Segoe UI"/>
        </w:rPr>
        <w:t>,</w:t>
      </w:r>
      <w:r w:rsidRPr="2CC988A9">
        <w:rPr>
          <w:rFonts w:eastAsia="Segoe UI"/>
        </w:rPr>
        <w:t xml:space="preserve"> staff should consider whether seclusion is still needed. Staff should also respect that some people prefer to rest and will not wish to engage.</w:t>
      </w:r>
    </w:p>
    <w:p w14:paraId="74BCA0CC" w14:textId="77777777" w:rsidR="00BC44E8" w:rsidRDefault="00BC44E8" w:rsidP="00314D2B">
      <w:pPr>
        <w:rPr>
          <w:rFonts w:eastAsia="Segoe UI"/>
        </w:rPr>
      </w:pPr>
    </w:p>
    <w:p w14:paraId="13BE70A5" w14:textId="0371B3AA" w:rsidR="00DB1B6E" w:rsidRDefault="00DB1B6E" w:rsidP="00314D2B">
      <w:pPr>
        <w:rPr>
          <w:rFonts w:eastAsia="Segoe UI"/>
        </w:rPr>
      </w:pPr>
      <w:r>
        <w:rPr>
          <w:rFonts w:eastAsia="Segoe UI"/>
        </w:rPr>
        <w:t xml:space="preserve">Engagement plays an important role in creating a healing environment and promoting recovery. Engagement must occur </w:t>
      </w:r>
      <w:r w:rsidRPr="2C3D7F28">
        <w:rPr>
          <w:rFonts w:eastAsia="Segoe UI"/>
        </w:rPr>
        <w:t>in</w:t>
      </w:r>
      <w:r>
        <w:rPr>
          <w:rFonts w:eastAsia="Segoe UI"/>
        </w:rPr>
        <w:t xml:space="preserve"> </w:t>
      </w:r>
      <w:r w:rsidRPr="2C3D7F28">
        <w:rPr>
          <w:rFonts w:eastAsia="Segoe UI"/>
        </w:rPr>
        <w:t>a</w:t>
      </w:r>
      <w:r>
        <w:rPr>
          <w:rFonts w:eastAsia="Segoe UI"/>
        </w:rPr>
        <w:t xml:space="preserve"> </w:t>
      </w:r>
      <w:r w:rsidRPr="2C3D7F28">
        <w:rPr>
          <w:rFonts w:eastAsia="Segoe UI"/>
        </w:rPr>
        <w:t>safe</w:t>
      </w:r>
      <w:r>
        <w:rPr>
          <w:rFonts w:eastAsia="Segoe UI"/>
        </w:rPr>
        <w:t xml:space="preserve"> </w:t>
      </w:r>
      <w:r w:rsidRPr="2C3D7F28">
        <w:rPr>
          <w:rFonts w:eastAsia="Segoe UI"/>
        </w:rPr>
        <w:t>and</w:t>
      </w:r>
      <w:r>
        <w:rPr>
          <w:rFonts w:eastAsia="Segoe UI"/>
        </w:rPr>
        <w:t xml:space="preserve"> </w:t>
      </w:r>
      <w:r w:rsidRPr="2C3D7F28">
        <w:rPr>
          <w:rFonts w:eastAsia="Segoe UI"/>
        </w:rPr>
        <w:t>supportive</w:t>
      </w:r>
      <w:r>
        <w:rPr>
          <w:rFonts w:eastAsia="Segoe UI"/>
        </w:rPr>
        <w:t xml:space="preserve"> </w:t>
      </w:r>
      <w:r w:rsidRPr="2C3D7F28">
        <w:rPr>
          <w:rFonts w:eastAsia="Segoe UI"/>
        </w:rPr>
        <w:t>way.</w:t>
      </w:r>
    </w:p>
    <w:p w14:paraId="3C06367B" w14:textId="77777777" w:rsidR="00BC44E8" w:rsidRPr="00145063" w:rsidRDefault="00BC44E8" w:rsidP="00314D2B"/>
    <w:p w14:paraId="0BF430E8" w14:textId="5564EF97" w:rsidR="00DB1B6E" w:rsidRDefault="00DB1B6E" w:rsidP="00314D2B">
      <w:r>
        <w:t xml:space="preserve">Staff engaging with people in seclusion should </w:t>
      </w:r>
      <w:r w:rsidRPr="00B313AD">
        <w:t xml:space="preserve">incorporate cultural practices to support the wairua of those in </w:t>
      </w:r>
      <w:r>
        <w:t>seclusion as appropriate, and</w:t>
      </w:r>
      <w:r w:rsidRPr="00B313AD">
        <w:t xml:space="preserve"> record this </w:t>
      </w:r>
      <w:r>
        <w:t>in the person’s notes</w:t>
      </w:r>
      <w:r w:rsidRPr="00B313AD">
        <w:t xml:space="preserve">. Where possible, </w:t>
      </w:r>
      <w:r>
        <w:t>kaimahi</w:t>
      </w:r>
      <w:r w:rsidRPr="00B313AD">
        <w:t xml:space="preserve"> Māori </w:t>
      </w:r>
      <w:r>
        <w:t>should</w:t>
      </w:r>
      <w:r w:rsidRPr="00B313AD">
        <w:t xml:space="preserve"> </w:t>
      </w:r>
      <w:r>
        <w:t>engage with and</w:t>
      </w:r>
      <w:r w:rsidRPr="00B313AD">
        <w:t xml:space="preserve"> assess the needs of Māori in </w:t>
      </w:r>
      <w:r>
        <w:t>seclusion</w:t>
      </w:r>
      <w:r w:rsidRPr="00B313AD">
        <w:t>.</w:t>
      </w:r>
    </w:p>
    <w:p w14:paraId="1C4844B5" w14:textId="77777777" w:rsidR="00BC44E8" w:rsidRDefault="00BC44E8" w:rsidP="00314D2B"/>
    <w:p w14:paraId="3204D8EC" w14:textId="77777777" w:rsidR="00DB1B6E" w:rsidRPr="00D733E1" w:rsidRDefault="00DB1B6E" w:rsidP="00314D2B">
      <w:r>
        <w:rPr>
          <w:rFonts w:eastAsia="Segoe UI"/>
        </w:rPr>
        <w:t xml:space="preserve">People’s </w:t>
      </w:r>
      <w:r w:rsidRPr="2C3D7F28">
        <w:rPr>
          <w:rFonts w:eastAsia="Segoe UI"/>
        </w:rPr>
        <w:t>need</w:t>
      </w:r>
      <w:r>
        <w:rPr>
          <w:rFonts w:eastAsia="Segoe UI"/>
        </w:rPr>
        <w:t xml:space="preserve"> </w:t>
      </w:r>
      <w:r w:rsidRPr="2C3D7F28">
        <w:rPr>
          <w:rFonts w:eastAsia="Segoe UI"/>
        </w:rPr>
        <w:t>for</w:t>
      </w:r>
      <w:r>
        <w:rPr>
          <w:rFonts w:eastAsia="Segoe UI"/>
        </w:rPr>
        <w:t xml:space="preserve"> </w:t>
      </w:r>
      <w:r w:rsidRPr="2C3D7F28">
        <w:rPr>
          <w:rFonts w:eastAsia="Segoe UI"/>
        </w:rPr>
        <w:t>engagement</w:t>
      </w:r>
      <w:r>
        <w:rPr>
          <w:rFonts w:eastAsia="Segoe UI"/>
        </w:rPr>
        <w:t xml:space="preserve">, and the type of engagement they need, </w:t>
      </w:r>
      <w:r w:rsidRPr="2C3D7F28">
        <w:rPr>
          <w:rFonts w:eastAsia="Segoe UI"/>
        </w:rPr>
        <w:t>will</w:t>
      </w:r>
      <w:r>
        <w:rPr>
          <w:rFonts w:eastAsia="Segoe UI"/>
        </w:rPr>
        <w:t xml:space="preserve"> </w:t>
      </w:r>
      <w:r w:rsidRPr="2C3D7F28">
        <w:rPr>
          <w:rFonts w:eastAsia="Segoe UI"/>
        </w:rPr>
        <w:t>differ</w:t>
      </w:r>
      <w:r>
        <w:rPr>
          <w:rFonts w:eastAsia="Segoe UI"/>
        </w:rPr>
        <w:t xml:space="preserve"> for </w:t>
      </w:r>
      <w:r w:rsidRPr="2C3D7F28">
        <w:rPr>
          <w:rFonts w:eastAsia="Segoe UI"/>
        </w:rPr>
        <w:t>each</w:t>
      </w:r>
      <w:r>
        <w:rPr>
          <w:rFonts w:eastAsia="Segoe UI"/>
        </w:rPr>
        <w:t xml:space="preserve"> </w:t>
      </w:r>
      <w:r w:rsidRPr="2C3D7F28">
        <w:rPr>
          <w:rFonts w:eastAsia="Segoe UI"/>
        </w:rPr>
        <w:t>person.</w:t>
      </w:r>
      <w:r>
        <w:rPr>
          <w:rFonts w:eastAsia="Segoe UI"/>
        </w:rPr>
        <w:t xml:space="preserve"> S</w:t>
      </w:r>
      <w:r w:rsidRPr="2C3D7F28">
        <w:rPr>
          <w:rFonts w:eastAsia="Segoe UI"/>
        </w:rPr>
        <w:t>taff</w:t>
      </w:r>
      <w:r>
        <w:rPr>
          <w:rFonts w:eastAsia="Segoe UI"/>
        </w:rPr>
        <w:t xml:space="preserve"> </w:t>
      </w:r>
      <w:r w:rsidRPr="2C3D7F28">
        <w:rPr>
          <w:rFonts w:eastAsia="Segoe UI"/>
        </w:rPr>
        <w:t>should</w:t>
      </w:r>
      <w:r>
        <w:rPr>
          <w:rFonts w:eastAsia="Segoe UI"/>
        </w:rPr>
        <w:t xml:space="preserve"> </w:t>
      </w:r>
      <w:r w:rsidRPr="2C3D7F28">
        <w:rPr>
          <w:rFonts w:eastAsia="Segoe UI"/>
        </w:rPr>
        <w:t>consider</w:t>
      </w:r>
      <w:r>
        <w:rPr>
          <w:rFonts w:eastAsia="Segoe UI"/>
        </w:rPr>
        <w:t xml:space="preserve"> each </w:t>
      </w:r>
      <w:r w:rsidRPr="2C3D7F28">
        <w:rPr>
          <w:rFonts w:eastAsia="Segoe UI"/>
        </w:rPr>
        <w:t>person’s</w:t>
      </w:r>
      <w:r>
        <w:rPr>
          <w:rFonts w:eastAsia="Segoe UI"/>
        </w:rPr>
        <w:t xml:space="preserve"> </w:t>
      </w:r>
      <w:r w:rsidRPr="2C3D7F28">
        <w:rPr>
          <w:rFonts w:eastAsia="Segoe UI"/>
        </w:rPr>
        <w:t>trauma</w:t>
      </w:r>
      <w:r>
        <w:rPr>
          <w:rFonts w:eastAsia="Segoe UI"/>
        </w:rPr>
        <w:t xml:space="preserve"> </w:t>
      </w:r>
      <w:r w:rsidRPr="2C3D7F28">
        <w:rPr>
          <w:rFonts w:eastAsia="Segoe UI"/>
        </w:rPr>
        <w:t>history</w:t>
      </w:r>
      <w:r>
        <w:rPr>
          <w:rFonts w:eastAsia="Segoe UI"/>
        </w:rPr>
        <w:t xml:space="preserve"> </w:t>
      </w:r>
      <w:r w:rsidRPr="2C3D7F28">
        <w:rPr>
          <w:rFonts w:eastAsia="Segoe UI"/>
        </w:rPr>
        <w:t>and</w:t>
      </w:r>
      <w:r>
        <w:rPr>
          <w:rFonts w:eastAsia="Segoe UI"/>
        </w:rPr>
        <w:t xml:space="preserve"> </w:t>
      </w:r>
      <w:r w:rsidRPr="2C3D7F28">
        <w:rPr>
          <w:rFonts w:eastAsia="Segoe UI"/>
        </w:rPr>
        <w:t>the</w:t>
      </w:r>
      <w:r>
        <w:rPr>
          <w:rFonts w:eastAsia="Segoe UI"/>
        </w:rPr>
        <w:t xml:space="preserve"> </w:t>
      </w:r>
      <w:r w:rsidRPr="2C3D7F28">
        <w:rPr>
          <w:rFonts w:eastAsia="Segoe UI"/>
        </w:rPr>
        <w:t>reason</w:t>
      </w:r>
      <w:r>
        <w:rPr>
          <w:rFonts w:eastAsia="Segoe UI"/>
        </w:rPr>
        <w:t xml:space="preserve"> </w:t>
      </w:r>
      <w:r w:rsidRPr="2C3D7F28">
        <w:rPr>
          <w:rFonts w:eastAsia="Segoe UI"/>
        </w:rPr>
        <w:t>for</w:t>
      </w:r>
      <w:r>
        <w:rPr>
          <w:rFonts w:eastAsia="Segoe UI"/>
        </w:rPr>
        <w:t xml:space="preserve"> </w:t>
      </w:r>
      <w:r w:rsidRPr="2C3D7F28">
        <w:rPr>
          <w:rFonts w:eastAsia="Segoe UI"/>
        </w:rPr>
        <w:t>their</w:t>
      </w:r>
      <w:r>
        <w:rPr>
          <w:rFonts w:eastAsia="Segoe UI"/>
        </w:rPr>
        <w:t xml:space="preserve"> </w:t>
      </w:r>
      <w:r w:rsidRPr="2C3D7F28">
        <w:rPr>
          <w:rFonts w:eastAsia="Segoe UI"/>
        </w:rPr>
        <w:t>current</w:t>
      </w:r>
      <w:r>
        <w:rPr>
          <w:rFonts w:eastAsia="Segoe UI"/>
        </w:rPr>
        <w:t xml:space="preserve"> </w:t>
      </w:r>
      <w:r w:rsidRPr="2C3D7F28">
        <w:rPr>
          <w:rFonts w:eastAsia="Segoe UI"/>
        </w:rPr>
        <w:t>seclusion</w:t>
      </w:r>
      <w:r>
        <w:rPr>
          <w:rFonts w:eastAsia="Segoe UI"/>
        </w:rPr>
        <w:t xml:space="preserve"> </w:t>
      </w:r>
      <w:r w:rsidRPr="2C3D7F28">
        <w:rPr>
          <w:rFonts w:eastAsia="Segoe UI"/>
        </w:rPr>
        <w:t>episode</w:t>
      </w:r>
      <w:r>
        <w:rPr>
          <w:rFonts w:eastAsia="Segoe UI"/>
        </w:rPr>
        <w:t xml:space="preserve"> before engaging with them</w:t>
      </w:r>
      <w:r w:rsidRPr="2C3D7F28">
        <w:rPr>
          <w:rFonts w:eastAsia="Segoe UI"/>
        </w:rPr>
        <w:t>.</w:t>
      </w:r>
      <w:r>
        <w:rPr>
          <w:rFonts w:eastAsia="Segoe UI"/>
        </w:rPr>
        <w:t xml:space="preserve"> </w:t>
      </w:r>
    </w:p>
    <w:p w14:paraId="7F02A8C0" w14:textId="77777777" w:rsidR="00DB1B6E" w:rsidRPr="00314D2B" w:rsidRDefault="00DB1B6E" w:rsidP="00314D2B">
      <w:pPr>
        <w:pStyle w:val="Heading3"/>
      </w:pPr>
      <w:bookmarkStart w:id="604" w:name="_Mental_and_physical"/>
      <w:bookmarkStart w:id="605" w:name="_Toc103152181"/>
      <w:bookmarkStart w:id="606" w:name="_Toc105770678"/>
      <w:bookmarkStart w:id="607" w:name="_Toc131663860"/>
      <w:bookmarkEnd w:id="604"/>
      <w:r w:rsidRPr="00314D2B">
        <w:lastRenderedPageBreak/>
        <w:t>Mental and physical wellbeing assessment</w:t>
      </w:r>
      <w:bookmarkEnd w:id="605"/>
      <w:bookmarkEnd w:id="606"/>
      <w:bookmarkEnd w:id="607"/>
      <w:r w:rsidRPr="00314D2B">
        <w:t xml:space="preserve"> </w:t>
      </w:r>
    </w:p>
    <w:p w14:paraId="2410D7D8" w14:textId="66F0219A" w:rsidR="00DB1B6E" w:rsidRDefault="00DB1B6E" w:rsidP="00314D2B">
      <w:r>
        <w:t xml:space="preserve">A suitably qualified clinician must enter the room at least </w:t>
      </w:r>
      <w:r w:rsidRPr="00EA3DFB">
        <w:rPr>
          <w:bCs/>
        </w:rPr>
        <w:t>once every 2 hours</w:t>
      </w:r>
      <w:r>
        <w:t xml:space="preserve"> to </w:t>
      </w:r>
      <w:r w:rsidRPr="00CD6EDE">
        <w:t>assess the physical wellbeing</w:t>
      </w:r>
      <w:r>
        <w:t xml:space="preserve"> of a person in seclusion unless there is a risk of harm to staff or others. It is important to monitor and assess a person’s physical health during a period of seclusion, as discussed in section 8.3</w:t>
      </w:r>
      <w:r w:rsidRPr="00E8044C">
        <w:t>. If</w:t>
      </w:r>
      <w:r>
        <w:t xml:space="preserve"> a clinician’s attempt to enter the room is unsuccessful, the clinician must record the reason for this on an observations form.</w:t>
      </w:r>
    </w:p>
    <w:p w14:paraId="2545F604" w14:textId="77777777" w:rsidR="00314D2B" w:rsidRDefault="00314D2B" w:rsidP="00314D2B"/>
    <w:p w14:paraId="35354A51" w14:textId="77777777" w:rsidR="00DB1B6E" w:rsidRDefault="00DB1B6E" w:rsidP="00314D2B">
      <w:r w:rsidRPr="00BB7D27">
        <w:t>In</w:t>
      </w:r>
      <w:r>
        <w:t xml:space="preserve"> </w:t>
      </w:r>
      <w:r w:rsidRPr="00BB7D27">
        <w:t>addition</w:t>
      </w:r>
      <w:r>
        <w:t xml:space="preserve"> </w:t>
      </w:r>
      <w:r w:rsidRPr="00BB7D27">
        <w:t>to</w:t>
      </w:r>
      <w:r>
        <w:t xml:space="preserve"> </w:t>
      </w:r>
      <w:r w:rsidRPr="00BB7D27">
        <w:t>assessing</w:t>
      </w:r>
      <w:r>
        <w:t xml:space="preserve"> </w:t>
      </w:r>
      <w:r w:rsidRPr="00BB7D27">
        <w:t>the</w:t>
      </w:r>
      <w:r>
        <w:t xml:space="preserve"> </w:t>
      </w:r>
      <w:r w:rsidRPr="00BB7D27">
        <w:t>person’s</w:t>
      </w:r>
      <w:r>
        <w:t xml:space="preserve"> </w:t>
      </w:r>
      <w:r w:rsidRPr="00BB7D27">
        <w:t>physical</w:t>
      </w:r>
      <w:r>
        <w:t xml:space="preserve"> </w:t>
      </w:r>
      <w:r w:rsidRPr="00BB7D27">
        <w:t>wellbeing,</w:t>
      </w:r>
      <w:r>
        <w:t xml:space="preserve"> the clinician should</w:t>
      </w:r>
      <w:r w:rsidRPr="0069EF58">
        <w:t xml:space="preserve"> assess</w:t>
      </w:r>
      <w:r>
        <w:t xml:space="preserve"> </w:t>
      </w:r>
      <w:r w:rsidRPr="6CCA9B44">
        <w:t>the</w:t>
      </w:r>
      <w:r>
        <w:t xml:space="preserve"> </w:t>
      </w:r>
      <w:r w:rsidRPr="6CCA9B44">
        <w:t>person’s</w:t>
      </w:r>
      <w:r>
        <w:t xml:space="preserve"> </w:t>
      </w:r>
      <w:r w:rsidRPr="6CCA9B44">
        <w:t>mood</w:t>
      </w:r>
      <w:r>
        <w:t xml:space="preserve"> </w:t>
      </w:r>
      <w:r w:rsidRPr="6CCA9B44">
        <w:t>and</w:t>
      </w:r>
      <w:r>
        <w:t xml:space="preserve"> </w:t>
      </w:r>
      <w:r w:rsidRPr="6CCA9B44">
        <w:t>behaviour</w:t>
      </w:r>
      <w:r>
        <w:t xml:space="preserve"> </w:t>
      </w:r>
      <w:r w:rsidRPr="6CCA9B44">
        <w:t>at</w:t>
      </w:r>
      <w:r>
        <w:t xml:space="preserve"> </w:t>
      </w:r>
      <w:r w:rsidRPr="6CCA9B44">
        <w:t>this</w:t>
      </w:r>
      <w:r>
        <w:t xml:space="preserve"> </w:t>
      </w:r>
      <w:r w:rsidRPr="6CCA9B44">
        <w:t>time.</w:t>
      </w:r>
      <w:r>
        <w:t xml:space="preserve"> </w:t>
      </w:r>
      <w:r w:rsidRPr="6CCA9B44">
        <w:t>The</w:t>
      </w:r>
      <w:r>
        <w:t xml:space="preserve"> </w:t>
      </w:r>
      <w:r w:rsidRPr="6CCA9B44">
        <w:t>assessment</w:t>
      </w:r>
      <w:r>
        <w:t xml:space="preserve"> </w:t>
      </w:r>
      <w:r w:rsidRPr="6CCA9B44">
        <w:t>should</w:t>
      </w:r>
      <w:r>
        <w:t xml:space="preserve"> </w:t>
      </w:r>
      <w:r w:rsidRPr="6CCA9B44">
        <w:t>include</w:t>
      </w:r>
      <w:r>
        <w:t xml:space="preserve"> </w:t>
      </w:r>
      <w:r w:rsidRPr="6CCA9B44">
        <w:t>physical</w:t>
      </w:r>
      <w:r>
        <w:t xml:space="preserve"> </w:t>
      </w:r>
      <w:r w:rsidRPr="6CCA9B44">
        <w:t>observations</w:t>
      </w:r>
      <w:r>
        <w:t xml:space="preserve">, </w:t>
      </w:r>
      <w:r w:rsidRPr="6CCA9B44">
        <w:t>including</w:t>
      </w:r>
      <w:r>
        <w:t xml:space="preserve"> </w:t>
      </w:r>
      <w:r w:rsidRPr="6CCA9B44">
        <w:t>level</w:t>
      </w:r>
      <w:r>
        <w:t xml:space="preserve"> </w:t>
      </w:r>
      <w:r w:rsidRPr="6CCA9B44">
        <w:t>of</w:t>
      </w:r>
      <w:r>
        <w:t xml:space="preserve"> </w:t>
      </w:r>
      <w:r w:rsidRPr="6CCA9B44">
        <w:t>consciousness,</w:t>
      </w:r>
      <w:r>
        <w:t xml:space="preserve"> </w:t>
      </w:r>
      <w:r w:rsidRPr="6CCA9B44">
        <w:t>breathing,</w:t>
      </w:r>
      <w:r>
        <w:t xml:space="preserve"> </w:t>
      </w:r>
      <w:r w:rsidRPr="6CCA9B44">
        <w:t>colour</w:t>
      </w:r>
      <w:r>
        <w:t xml:space="preserve"> </w:t>
      </w:r>
      <w:r w:rsidRPr="6CCA9B44">
        <w:t>and</w:t>
      </w:r>
      <w:r>
        <w:t xml:space="preserve"> </w:t>
      </w:r>
      <w:r w:rsidRPr="6CCA9B44">
        <w:t>vital</w:t>
      </w:r>
      <w:r>
        <w:t xml:space="preserve"> </w:t>
      </w:r>
      <w:r w:rsidRPr="6CCA9B44">
        <w:t>signs.</w:t>
      </w:r>
      <w:r>
        <w:t xml:space="preserve"> </w:t>
      </w:r>
    </w:p>
    <w:p w14:paraId="758207EC" w14:textId="77777777" w:rsidR="00314D2B" w:rsidRDefault="00314D2B" w:rsidP="00314D2B"/>
    <w:p w14:paraId="5870DEE4" w14:textId="55AD5426" w:rsidR="00DB1B6E" w:rsidRPr="00F41F4D" w:rsidRDefault="00DB1B6E" w:rsidP="00314D2B">
      <w:r w:rsidRPr="594A9310">
        <w:t>Each</w:t>
      </w:r>
      <w:r>
        <w:t xml:space="preserve"> </w:t>
      </w:r>
      <w:r w:rsidRPr="594A9310">
        <w:t>entry</w:t>
      </w:r>
      <w:r>
        <w:t xml:space="preserve"> </w:t>
      </w:r>
      <w:r w:rsidRPr="594A9310">
        <w:t>to</w:t>
      </w:r>
      <w:r>
        <w:t xml:space="preserve"> </w:t>
      </w:r>
      <w:r w:rsidRPr="594A9310">
        <w:t>the</w:t>
      </w:r>
      <w:r>
        <w:t xml:space="preserve"> </w:t>
      </w:r>
      <w:r w:rsidRPr="594A9310">
        <w:t>seclusion</w:t>
      </w:r>
      <w:r>
        <w:t xml:space="preserve"> </w:t>
      </w:r>
      <w:r w:rsidRPr="594A9310">
        <w:t>room</w:t>
      </w:r>
      <w:r>
        <w:t xml:space="preserve"> </w:t>
      </w:r>
      <w:r w:rsidRPr="594A9310">
        <w:t>is</w:t>
      </w:r>
      <w:r>
        <w:t xml:space="preserve"> </w:t>
      </w:r>
      <w:r w:rsidRPr="594A9310">
        <w:t>an</w:t>
      </w:r>
      <w:r>
        <w:t xml:space="preserve"> </w:t>
      </w:r>
      <w:r w:rsidRPr="594A9310">
        <w:t>opportunity</w:t>
      </w:r>
      <w:r>
        <w:t xml:space="preserve"> </w:t>
      </w:r>
      <w:r w:rsidRPr="594A9310">
        <w:t>to</w:t>
      </w:r>
      <w:r>
        <w:t xml:space="preserve"> </w:t>
      </w:r>
      <w:r w:rsidRPr="594A9310">
        <w:t>assess</w:t>
      </w:r>
      <w:r>
        <w:t xml:space="preserve"> whether the person still requires seclusion. </w:t>
      </w:r>
    </w:p>
    <w:p w14:paraId="7D23A605" w14:textId="77777777" w:rsidR="00DB1B6E" w:rsidRPr="00314D2B" w:rsidRDefault="00DB1B6E" w:rsidP="00314D2B">
      <w:pPr>
        <w:pStyle w:val="Heading3"/>
      </w:pPr>
      <w:bookmarkStart w:id="608" w:name="_Toc103152182"/>
      <w:bookmarkStart w:id="609" w:name="_Toc105770679"/>
      <w:bookmarkStart w:id="610" w:name="_Toc131663861"/>
      <w:r w:rsidRPr="00314D2B">
        <w:t>Clinical assessment</w:t>
      </w:r>
      <w:bookmarkEnd w:id="608"/>
      <w:bookmarkEnd w:id="609"/>
      <w:bookmarkEnd w:id="610"/>
    </w:p>
    <w:p w14:paraId="5BA4FBCF" w14:textId="77777777" w:rsidR="00DB1B6E" w:rsidRDefault="00DB1B6E" w:rsidP="00314D2B">
      <w:r>
        <w:t xml:space="preserve">Staff must provide and record an ongoing programme of care and assessment for people in seclusion, over the period of their shift. This should include: </w:t>
      </w:r>
    </w:p>
    <w:p w14:paraId="635D26EA" w14:textId="77777777" w:rsidR="00DB1B6E" w:rsidRPr="00145063" w:rsidRDefault="00DB1B6E" w:rsidP="00314D2B">
      <w:pPr>
        <w:pStyle w:val="Bullet"/>
        <w:rPr>
          <w:sz w:val="22"/>
        </w:rPr>
      </w:pPr>
      <w:r>
        <w:t>o</w:t>
      </w:r>
      <w:r w:rsidRPr="00145063">
        <w:t>bservations</w:t>
      </w:r>
      <w:r>
        <w:t xml:space="preserve"> </w:t>
      </w:r>
      <w:r w:rsidRPr="00145063">
        <w:t>and</w:t>
      </w:r>
      <w:r>
        <w:t xml:space="preserve"> </w:t>
      </w:r>
      <w:r w:rsidRPr="00145063">
        <w:t>care</w:t>
      </w:r>
      <w:r>
        <w:t xml:space="preserve"> </w:t>
      </w:r>
      <w:r w:rsidRPr="00145063">
        <w:t>as</w:t>
      </w:r>
      <w:r>
        <w:t xml:space="preserve"> </w:t>
      </w:r>
      <w:r w:rsidRPr="00145063">
        <w:t>described</w:t>
      </w:r>
      <w:r>
        <w:t xml:space="preserve"> </w:t>
      </w:r>
      <w:r w:rsidRPr="00145063">
        <w:t>above</w:t>
      </w:r>
      <w:r>
        <w:t xml:space="preserve"> </w:t>
      </w:r>
    </w:p>
    <w:p w14:paraId="07AABC5F" w14:textId="77777777" w:rsidR="00DB1B6E" w:rsidRDefault="00DB1B6E" w:rsidP="00314D2B">
      <w:pPr>
        <w:pStyle w:val="Bullet"/>
        <w:rPr>
          <w:sz w:val="22"/>
        </w:rPr>
      </w:pPr>
      <w:r>
        <w:t>documented c</w:t>
      </w:r>
      <w:r w:rsidRPr="00145063">
        <w:t>linical</w:t>
      </w:r>
      <w:r>
        <w:t xml:space="preserve"> </w:t>
      </w:r>
      <w:r w:rsidRPr="00145063">
        <w:t>consultation</w:t>
      </w:r>
      <w:r>
        <w:t xml:space="preserve"> </w:t>
      </w:r>
      <w:r w:rsidRPr="00145063">
        <w:t>with</w:t>
      </w:r>
      <w:r>
        <w:t xml:space="preserve"> </w:t>
      </w:r>
      <w:r w:rsidRPr="00145063">
        <w:t>the</w:t>
      </w:r>
      <w:r>
        <w:t xml:space="preserve"> </w:t>
      </w:r>
      <w:r w:rsidRPr="00145063">
        <w:t>responsible</w:t>
      </w:r>
      <w:r>
        <w:t xml:space="preserve"> </w:t>
      </w:r>
      <w:r w:rsidRPr="00145063">
        <w:t>clinician</w:t>
      </w:r>
      <w:r>
        <w:t xml:space="preserve"> </w:t>
      </w:r>
    </w:p>
    <w:p w14:paraId="3C09486D" w14:textId="77777777" w:rsidR="00DB1B6E" w:rsidRPr="00145063" w:rsidRDefault="00DB1B6E" w:rsidP="00314D2B">
      <w:pPr>
        <w:pStyle w:val="Bullet"/>
        <w:rPr>
          <w:sz w:val="22"/>
        </w:rPr>
      </w:pPr>
      <w:r>
        <w:t>c</w:t>
      </w:r>
      <w:r w:rsidRPr="00443D4F">
        <w:t>ommunicati</w:t>
      </w:r>
      <w:r>
        <w:t xml:space="preserve">on of </w:t>
      </w:r>
      <w:r w:rsidRPr="00145063">
        <w:t>all</w:t>
      </w:r>
      <w:r>
        <w:t xml:space="preserve"> </w:t>
      </w:r>
      <w:r w:rsidRPr="00145063">
        <w:t>care</w:t>
      </w:r>
      <w:r>
        <w:t xml:space="preserve"> </w:t>
      </w:r>
      <w:r w:rsidRPr="00145063">
        <w:t>requirements</w:t>
      </w:r>
      <w:r>
        <w:t xml:space="preserve">, </w:t>
      </w:r>
      <w:r w:rsidRPr="00145063">
        <w:t>both</w:t>
      </w:r>
      <w:r>
        <w:t xml:space="preserve"> </w:t>
      </w:r>
      <w:r w:rsidRPr="00145063">
        <w:t>verbally</w:t>
      </w:r>
      <w:r>
        <w:t xml:space="preserve"> </w:t>
      </w:r>
      <w:r w:rsidRPr="00145063">
        <w:t>and</w:t>
      </w:r>
      <w:r>
        <w:t xml:space="preserve"> </w:t>
      </w:r>
      <w:r w:rsidRPr="00145063">
        <w:t>via</w:t>
      </w:r>
      <w:r>
        <w:t xml:space="preserve"> </w:t>
      </w:r>
      <w:r w:rsidRPr="00145063">
        <w:t>the</w:t>
      </w:r>
      <w:r>
        <w:t xml:space="preserve"> </w:t>
      </w:r>
      <w:r w:rsidRPr="00145063">
        <w:t>person’s</w:t>
      </w:r>
      <w:r>
        <w:t xml:space="preserve"> </w:t>
      </w:r>
      <w:r w:rsidRPr="00145063">
        <w:t>plan</w:t>
      </w:r>
      <w:r>
        <w:t xml:space="preserve">, </w:t>
      </w:r>
      <w:r w:rsidRPr="00145063">
        <w:t>to</w:t>
      </w:r>
      <w:r>
        <w:t xml:space="preserve"> staff on </w:t>
      </w:r>
      <w:r w:rsidRPr="00145063">
        <w:t>the</w:t>
      </w:r>
      <w:r>
        <w:t xml:space="preserve"> </w:t>
      </w:r>
      <w:r w:rsidRPr="00145063">
        <w:t>following</w:t>
      </w:r>
      <w:r>
        <w:t xml:space="preserve"> </w:t>
      </w:r>
      <w:r w:rsidRPr="00145063">
        <w:t>shift</w:t>
      </w:r>
      <w:r>
        <w:t xml:space="preserve">; </w:t>
      </w:r>
      <w:r w:rsidRPr="00145063">
        <w:t>for</w:t>
      </w:r>
      <w:r>
        <w:t xml:space="preserve"> </w:t>
      </w:r>
      <w:r w:rsidRPr="00145063">
        <w:t>example:</w:t>
      </w:r>
    </w:p>
    <w:p w14:paraId="4B2C551D" w14:textId="77777777" w:rsidR="00DB1B6E" w:rsidRPr="00145063" w:rsidRDefault="00DB1B6E" w:rsidP="00314D2B">
      <w:pPr>
        <w:pStyle w:val="Dash"/>
      </w:pPr>
      <w:r>
        <w:t>f</w:t>
      </w:r>
      <w:r w:rsidRPr="00145063">
        <w:t>ood/fluid</w:t>
      </w:r>
      <w:r>
        <w:t xml:space="preserve"> </w:t>
      </w:r>
      <w:r w:rsidRPr="00145063">
        <w:t>intake</w:t>
      </w:r>
    </w:p>
    <w:p w14:paraId="7ECA195D" w14:textId="77777777" w:rsidR="00DB1B6E" w:rsidRPr="00145063" w:rsidRDefault="00DB1B6E" w:rsidP="00314D2B">
      <w:pPr>
        <w:pStyle w:val="Dash"/>
      </w:pPr>
      <w:r>
        <w:t>p</w:t>
      </w:r>
      <w:r w:rsidRPr="00145063">
        <w:t>ersonal</w:t>
      </w:r>
      <w:r>
        <w:t xml:space="preserve"> </w:t>
      </w:r>
      <w:r w:rsidRPr="00145063">
        <w:t>care/hygiene/toileting</w:t>
      </w:r>
      <w:r>
        <w:t xml:space="preserve"> </w:t>
      </w:r>
      <w:r w:rsidRPr="00145063">
        <w:t>arrangements</w:t>
      </w:r>
    </w:p>
    <w:p w14:paraId="2A3C1134" w14:textId="77777777" w:rsidR="00DB1B6E" w:rsidRDefault="00DB1B6E" w:rsidP="00314D2B">
      <w:pPr>
        <w:pStyle w:val="Dash"/>
      </w:pPr>
      <w:r>
        <w:t>m</w:t>
      </w:r>
      <w:r w:rsidRPr="00145063">
        <w:t>edication</w:t>
      </w:r>
      <w:r>
        <w:t xml:space="preserve"> </w:t>
      </w:r>
      <w:r w:rsidRPr="00145063">
        <w:t>requirements</w:t>
      </w:r>
    </w:p>
    <w:p w14:paraId="5D6CBAA6" w14:textId="77777777" w:rsidR="00DB1B6E" w:rsidRPr="00145063" w:rsidRDefault="00DB1B6E" w:rsidP="00314D2B">
      <w:pPr>
        <w:pStyle w:val="Dash"/>
      </w:pPr>
      <w:r>
        <w:t>blood pressure, pulse and oxygen statistics</w:t>
      </w:r>
    </w:p>
    <w:p w14:paraId="2F416C70" w14:textId="77777777" w:rsidR="00DB1B6E" w:rsidRPr="00145063" w:rsidRDefault="00DB1B6E" w:rsidP="00314D2B">
      <w:pPr>
        <w:pStyle w:val="Dash"/>
      </w:pPr>
      <w:r>
        <w:t>ex</w:t>
      </w:r>
      <w:r w:rsidRPr="00145063">
        <w:t>ercise/physiotherapy</w:t>
      </w:r>
    </w:p>
    <w:p w14:paraId="7BE9E15F" w14:textId="77777777" w:rsidR="00DB1B6E" w:rsidRPr="00434206" w:rsidRDefault="00DB1B6E" w:rsidP="00314D2B">
      <w:pPr>
        <w:pStyle w:val="Dash"/>
      </w:pPr>
      <w:r>
        <w:t>vi</w:t>
      </w:r>
      <w:r w:rsidRPr="00145063">
        <w:t>sitors</w:t>
      </w:r>
      <w:r>
        <w:t xml:space="preserve"> </w:t>
      </w:r>
      <w:r w:rsidRPr="00145063">
        <w:t>(chaplain,</w:t>
      </w:r>
      <w:r>
        <w:t xml:space="preserve"> </w:t>
      </w:r>
      <w:r w:rsidRPr="00145063">
        <w:t>advocates,</w:t>
      </w:r>
      <w:r>
        <w:t xml:space="preserve"> </w:t>
      </w:r>
      <w:r w:rsidRPr="00145063">
        <w:t>family/wh</w:t>
      </w:r>
      <w:r w:rsidRPr="007022F9">
        <w:t>ā</w:t>
      </w:r>
      <w:r w:rsidRPr="00145063">
        <w:t>nau,</w:t>
      </w:r>
      <w:r>
        <w:t xml:space="preserve"> </w:t>
      </w:r>
      <w:r w:rsidRPr="00145063">
        <w:t>cultural</w:t>
      </w:r>
      <w:r>
        <w:t xml:space="preserve"> </w:t>
      </w:r>
      <w:r w:rsidRPr="00145063">
        <w:t>support</w:t>
      </w:r>
      <w:r>
        <w:t xml:space="preserve"> </w:t>
      </w:r>
      <w:r w:rsidRPr="00145063">
        <w:t>workers,</w:t>
      </w:r>
      <w:r>
        <w:t xml:space="preserve"> peer </w:t>
      </w:r>
      <w:r w:rsidRPr="00145063">
        <w:t>support</w:t>
      </w:r>
      <w:r>
        <w:t xml:space="preserve"> </w:t>
      </w:r>
      <w:r w:rsidRPr="00145063">
        <w:t>workers).</w:t>
      </w:r>
      <w:r>
        <w:t xml:space="preserve"> </w:t>
      </w:r>
    </w:p>
    <w:p w14:paraId="25460BC3" w14:textId="77777777" w:rsidR="00314D2B" w:rsidRDefault="00314D2B" w:rsidP="00314D2B"/>
    <w:p w14:paraId="5677EDCD" w14:textId="1876EBF0" w:rsidR="00DB1B6E" w:rsidRPr="00145063" w:rsidRDefault="00DB1B6E" w:rsidP="00314D2B">
      <w:pPr>
        <w:rPr>
          <w:color w:val="000000"/>
        </w:rPr>
      </w:pPr>
      <w:r w:rsidRPr="3FD77F17">
        <w:t>Wherever practicable</w:t>
      </w:r>
      <w:r>
        <w:t>,</w:t>
      </w:r>
      <w:r w:rsidRPr="3FD77F17">
        <w:t xml:space="preserve"> </w:t>
      </w:r>
      <w:r>
        <w:t xml:space="preserve">staff should provide </w:t>
      </w:r>
      <w:r w:rsidRPr="3FD77F17">
        <w:t xml:space="preserve">care in accordance with the preferences of the person in seclusion. </w:t>
      </w:r>
      <w:r>
        <w:t>They may need to give c</w:t>
      </w:r>
      <w:r w:rsidRPr="3FD77F17">
        <w:t xml:space="preserve">onsideration to </w:t>
      </w:r>
      <w:r>
        <w:t xml:space="preserve">the person’s </w:t>
      </w:r>
      <w:r w:rsidRPr="3FD77F17">
        <w:t>culture or gender. These preferences can be outlined in the person’s advance directive (or other individualised plan)</w:t>
      </w:r>
      <w:r>
        <w:t>,</w:t>
      </w:r>
      <w:r w:rsidRPr="3FD77F17">
        <w:t xml:space="preserve"> </w:t>
      </w:r>
      <w:r>
        <w:t>and they should be</w:t>
      </w:r>
      <w:r w:rsidRPr="3FD77F17">
        <w:t xml:space="preserve"> considered in the context of their trauma history. </w:t>
      </w:r>
    </w:p>
    <w:p w14:paraId="667E3A49" w14:textId="77777777" w:rsidR="00314D2B" w:rsidRDefault="00314D2B" w:rsidP="00314D2B">
      <w:pPr>
        <w:rPr>
          <w:rFonts w:cs="Segoe UI"/>
        </w:rPr>
      </w:pPr>
    </w:p>
    <w:p w14:paraId="51EAA7B7" w14:textId="0B3E0CD0" w:rsidR="00DB1B6E" w:rsidRDefault="00DB1B6E" w:rsidP="00314D2B">
      <w:pPr>
        <w:rPr>
          <w:rFonts w:cs="Segoe UI"/>
        </w:rPr>
      </w:pPr>
      <w:r>
        <w:rPr>
          <w:rFonts w:cs="Segoe UI"/>
        </w:rPr>
        <w:t>A suitably qualified clinician must perform a clinical assessment of the person in seclusion once per shift, including a mental state examination, and document this.</w:t>
      </w:r>
    </w:p>
    <w:p w14:paraId="3230F3F1" w14:textId="77777777" w:rsidR="00DB1B6E" w:rsidRPr="00314D2B" w:rsidRDefault="00DB1B6E" w:rsidP="00314D2B">
      <w:pPr>
        <w:pStyle w:val="Heading1"/>
        <w:rPr>
          <w:rStyle w:val="Heading1Char"/>
          <w:b/>
          <w:sz w:val="64"/>
          <w:szCs w:val="64"/>
        </w:rPr>
      </w:pPr>
      <w:bookmarkStart w:id="611" w:name="_Toc103152183"/>
      <w:bookmarkStart w:id="612" w:name="_Toc105770680"/>
      <w:bookmarkStart w:id="613" w:name="_Toc131663862"/>
      <w:bookmarkStart w:id="614" w:name="_Toc132355346"/>
      <w:r w:rsidRPr="00314D2B">
        <w:rPr>
          <w:rStyle w:val="Heading1Char"/>
          <w:b/>
          <w:sz w:val="64"/>
          <w:szCs w:val="64"/>
        </w:rPr>
        <w:lastRenderedPageBreak/>
        <w:t>Quality review of restraint and seclusion</w:t>
      </w:r>
      <w:bookmarkEnd w:id="611"/>
      <w:bookmarkEnd w:id="612"/>
      <w:bookmarkEnd w:id="613"/>
      <w:bookmarkEnd w:id="614"/>
      <w:r w:rsidRPr="00314D2B">
        <w:rPr>
          <w:rStyle w:val="Heading1Char"/>
          <w:b/>
          <w:sz w:val="64"/>
          <w:szCs w:val="64"/>
        </w:rPr>
        <w:t xml:space="preserve"> </w:t>
      </w:r>
    </w:p>
    <w:p w14:paraId="1B0B43F0" w14:textId="77777777" w:rsidR="00DB1B6E" w:rsidRPr="00314D2B" w:rsidRDefault="00DB1B6E" w:rsidP="00314D2B">
      <w:pPr>
        <w:pStyle w:val="Heading2"/>
      </w:pPr>
      <w:bookmarkStart w:id="615" w:name="_Debrief_1"/>
      <w:bookmarkStart w:id="616" w:name="_Toc103152184"/>
      <w:bookmarkStart w:id="617" w:name="_Toc105770681"/>
      <w:bookmarkStart w:id="618" w:name="_Toc131663863"/>
      <w:bookmarkStart w:id="619" w:name="_Toc132355347"/>
      <w:bookmarkEnd w:id="615"/>
      <w:r w:rsidRPr="00314D2B">
        <w:t>Debrief</w:t>
      </w:r>
      <w:bookmarkEnd w:id="616"/>
      <w:bookmarkEnd w:id="617"/>
      <w:bookmarkEnd w:id="618"/>
      <w:bookmarkEnd w:id="619"/>
      <w:r w:rsidRPr="00314D2B">
        <w:t xml:space="preserve"> </w:t>
      </w:r>
    </w:p>
    <w:p w14:paraId="1A3A0A6F" w14:textId="43BE8EC7" w:rsidR="00DB1B6E" w:rsidRDefault="00DB1B6E" w:rsidP="00314D2B">
      <w:r>
        <w:t>Ngā Paerewa criterion 6.2.5 states: '</w:t>
      </w:r>
      <w:r w:rsidRPr="009B4583">
        <w:t>A</w:t>
      </w:r>
      <w:r>
        <w:t xml:space="preserve"> </w:t>
      </w:r>
      <w:r w:rsidRPr="009B4583">
        <w:t>person-centred</w:t>
      </w:r>
      <w:r>
        <w:t xml:space="preserve"> </w:t>
      </w:r>
      <w:r w:rsidRPr="009B4583">
        <w:t>debrief</w:t>
      </w:r>
      <w:r>
        <w:t xml:space="preserve"> shall </w:t>
      </w:r>
      <w:r w:rsidRPr="009B4583">
        <w:t>follow</w:t>
      </w:r>
      <w:r>
        <w:t xml:space="preserve"> </w:t>
      </w:r>
      <w:r w:rsidRPr="009B4583">
        <w:t>every</w:t>
      </w:r>
      <w:r>
        <w:t xml:space="preserve"> </w:t>
      </w:r>
      <w:r w:rsidRPr="009B4583">
        <w:t>episode</w:t>
      </w:r>
      <w:r>
        <w:t xml:space="preserve"> </w:t>
      </w:r>
      <w:r w:rsidRPr="009B4583">
        <w:t>of</w:t>
      </w:r>
      <w:r>
        <w:t xml:space="preserve"> </w:t>
      </w:r>
      <w:r w:rsidRPr="009B4583">
        <w:t>emergency</w:t>
      </w:r>
      <w:r>
        <w:t xml:space="preserve"> </w:t>
      </w:r>
      <w:r w:rsidRPr="009B4583">
        <w:t>restraint.</w:t>
      </w:r>
      <w:r>
        <w:t xml:space="preserve"> Participation in this debrief shall be determined by the person when they feel ready'. </w:t>
      </w:r>
    </w:p>
    <w:p w14:paraId="00784D86" w14:textId="77777777" w:rsidR="00314D2B" w:rsidRDefault="00314D2B" w:rsidP="00314D2B"/>
    <w:p w14:paraId="3FAEF94D" w14:textId="5B86C096" w:rsidR="00DB1B6E" w:rsidRDefault="00DB1B6E" w:rsidP="00314D2B">
      <w:r>
        <w:t xml:space="preserve">A staff debrief should also follow every episode of emergency restraint. </w:t>
      </w:r>
      <w:sdt>
        <w:sdtPr>
          <w:tag w:val="goog_rdk_61"/>
          <w:id w:val="691647601"/>
        </w:sdtPr>
        <w:sdtContent/>
      </w:sdt>
      <w:r>
        <w:t xml:space="preserve">This is supported by section 14.7.3 of the </w:t>
      </w:r>
      <w:r w:rsidRPr="00B6194E">
        <w:rPr>
          <w:i/>
          <w:iCs/>
        </w:rPr>
        <w:t xml:space="preserve">Guidelines to the </w:t>
      </w:r>
      <w:r w:rsidRPr="00B6194E">
        <w:rPr>
          <w:i/>
        </w:rPr>
        <w:t>Mental Health Act</w:t>
      </w:r>
      <w:r>
        <w:t>, which states: '</w:t>
      </w:r>
      <w:r w:rsidRPr="00145063">
        <w:t>All</w:t>
      </w:r>
      <w:r>
        <w:t xml:space="preserve"> </w:t>
      </w:r>
      <w:r w:rsidRPr="00EE2DC9">
        <w:t>restraint events and episodes must be</w:t>
      </w:r>
      <w:r>
        <w:t xml:space="preserve"> </w:t>
      </w:r>
      <w:r w:rsidRPr="00145063">
        <w:t>reviewed,</w:t>
      </w:r>
      <w:r>
        <w:t xml:space="preserve"> </w:t>
      </w:r>
      <w:r w:rsidRPr="00145063">
        <w:t>and</w:t>
      </w:r>
      <w:r>
        <w:t xml:space="preserve"> </w:t>
      </w:r>
      <w:r w:rsidRPr="00145063">
        <w:t>the</w:t>
      </w:r>
      <w:r>
        <w:t xml:space="preserve"> </w:t>
      </w:r>
      <w:r w:rsidRPr="00145063">
        <w:t>staff</w:t>
      </w:r>
      <w:r>
        <w:t xml:space="preserve"> </w:t>
      </w:r>
      <w:r w:rsidRPr="00145063">
        <w:t>involved</w:t>
      </w:r>
      <w:r>
        <w:t xml:space="preserve"> </w:t>
      </w:r>
      <w:r w:rsidRPr="00145063">
        <w:t>must</w:t>
      </w:r>
      <w:r>
        <w:t xml:space="preserve"> </w:t>
      </w:r>
      <w:r w:rsidRPr="00145063">
        <w:t>detail</w:t>
      </w:r>
      <w:r>
        <w:t xml:space="preserve"> </w:t>
      </w:r>
      <w:r w:rsidRPr="00145063">
        <w:t>the</w:t>
      </w:r>
      <w:r>
        <w:t xml:space="preserve"> </w:t>
      </w:r>
      <w:r w:rsidRPr="00145063">
        <w:t>circumstances</w:t>
      </w:r>
      <w:r>
        <w:t xml:space="preserve"> </w:t>
      </w:r>
      <w:r w:rsidRPr="00145063">
        <w:t>leading</w:t>
      </w:r>
      <w:r>
        <w:t xml:space="preserve"> </w:t>
      </w:r>
      <w:r w:rsidRPr="00145063">
        <w:t>up</w:t>
      </w:r>
      <w:r>
        <w:t xml:space="preserve"> </w:t>
      </w:r>
      <w:r w:rsidRPr="00145063">
        <w:t>to</w:t>
      </w:r>
      <w:r>
        <w:t xml:space="preserve"> </w:t>
      </w:r>
      <w:r w:rsidRPr="00145063">
        <w:t>the</w:t>
      </w:r>
      <w:r>
        <w:t xml:space="preserve"> </w:t>
      </w:r>
      <w:r w:rsidRPr="00145063">
        <w:t>restraint</w:t>
      </w:r>
      <w:r>
        <w:t xml:space="preserve"> </w:t>
      </w:r>
      <w:r w:rsidRPr="00145063">
        <w:t>and</w:t>
      </w:r>
      <w:r>
        <w:t xml:space="preserve"> </w:t>
      </w:r>
      <w:r w:rsidRPr="00145063">
        <w:t>explain</w:t>
      </w:r>
      <w:r>
        <w:t xml:space="preserve"> </w:t>
      </w:r>
      <w:r w:rsidRPr="00145063">
        <w:t>the</w:t>
      </w:r>
      <w:r>
        <w:t xml:space="preserve"> </w:t>
      </w:r>
      <w:r w:rsidRPr="00145063">
        <w:t>rationale</w:t>
      </w:r>
      <w:r>
        <w:t xml:space="preserve"> </w:t>
      </w:r>
      <w:r w:rsidRPr="00145063">
        <w:t>for</w:t>
      </w:r>
      <w:r>
        <w:t xml:space="preserve"> </w:t>
      </w:r>
      <w:r w:rsidRPr="00145063">
        <w:t>restraining</w:t>
      </w:r>
      <w:r>
        <w:t xml:space="preserve"> </w:t>
      </w:r>
      <w:r w:rsidRPr="00145063">
        <w:t>the</w:t>
      </w:r>
      <w:r>
        <w:t xml:space="preserve"> </w:t>
      </w:r>
      <w:r w:rsidRPr="00145063">
        <w:t>person</w:t>
      </w:r>
      <w:r>
        <w:t>'</w:t>
      </w:r>
      <w:r w:rsidRPr="00145063">
        <w:t>.</w:t>
      </w:r>
      <w:r w:rsidRPr="00145063">
        <w:rPr>
          <w:vertAlign w:val="superscript"/>
        </w:rPr>
        <w:footnoteReference w:id="151"/>
      </w:r>
    </w:p>
    <w:p w14:paraId="5B9716BA" w14:textId="77777777" w:rsidR="00314D2B" w:rsidRDefault="00314D2B" w:rsidP="00314D2B"/>
    <w:p w14:paraId="369EC28F" w14:textId="4F9C0FC0" w:rsidR="00DB1B6E" w:rsidRDefault="00DB1B6E" w:rsidP="00314D2B">
      <w:r>
        <w:t>Services should seek people’s preference as to who they would like to do the debrief with.</w:t>
      </w:r>
      <w:sdt>
        <w:sdtPr>
          <w:tag w:val="goog_rdk_86"/>
          <w:id w:val="-1067802769"/>
        </w:sdtPr>
        <w:sdtContent/>
      </w:sdt>
      <w:r>
        <w:rPr>
          <w:rFonts w:eastAsia="Quattrocento Sans"/>
        </w:rPr>
        <w:t xml:space="preserve"> They should offer tāngata whaiora Māori a </w:t>
      </w:r>
      <w:r>
        <w:t>cultural advisor or kaimahi Māori to conduct their debrief.</w:t>
      </w:r>
      <w:r w:rsidRPr="00131A76" w:rsidDel="001F7918">
        <w:rPr>
          <w:rFonts w:eastAsia="Quattrocento Sans"/>
        </w:rPr>
        <w:t xml:space="preserve"> </w:t>
      </w:r>
      <w:r>
        <w:t xml:space="preserve">People may also wish to include a lived experience worker or peer support worker, independent advocate or family/whānau in the debrief process. </w:t>
      </w:r>
    </w:p>
    <w:p w14:paraId="311506E7" w14:textId="77777777" w:rsidR="00314D2B" w:rsidRDefault="00314D2B" w:rsidP="00314D2B"/>
    <w:p w14:paraId="039ABBA6" w14:textId="2610B0EB" w:rsidR="00DB1B6E" w:rsidRDefault="00DB1B6E" w:rsidP="00314D2B">
      <w:r>
        <w:t>The debriefing process may help restore trust and therapeutic relationships following a restraint event. This may benefit not only the person who was secluded or restrained, but also the staff involved in the seclusion or restraint and those who witnessed the event.</w:t>
      </w:r>
    </w:p>
    <w:p w14:paraId="695FFF69" w14:textId="77777777" w:rsidR="00314D2B" w:rsidRDefault="00314D2B" w:rsidP="00314D2B"/>
    <w:p w14:paraId="621D7EA8" w14:textId="22D64965" w:rsidR="00DB1B6E" w:rsidRDefault="00DB1B6E" w:rsidP="00314D2B">
      <w:r>
        <w:t xml:space="preserve">It may also be appropriate to offer a debrief to other tāngata whaiora and staff who witnessed a restraint episode. This process may offer staff a safe space to raise concerns about the use of seclusion or restraint, including possible misuse or inappropriate practice. </w:t>
      </w:r>
    </w:p>
    <w:p w14:paraId="11CA70E6" w14:textId="77777777" w:rsidR="00314D2B" w:rsidRDefault="00314D2B" w:rsidP="00314D2B"/>
    <w:p w14:paraId="2090EB71" w14:textId="1E59ECCA" w:rsidR="00DB1B6E" w:rsidRDefault="00DB1B6E" w:rsidP="00314D2B">
      <w:r>
        <w:t>A restorative practice approach may be an effective and appropriate method of debriefing after a restraint event (see section 4.9 above</w:t>
      </w:r>
      <w:r w:rsidRPr="00655DCB">
        <w:t>).</w:t>
      </w:r>
      <w:r>
        <w:t xml:space="preserve"> </w:t>
      </w:r>
      <w:r w:rsidRPr="00537096">
        <w:t>Hohourongo</w:t>
      </w:r>
      <w:r>
        <w:t xml:space="preserve"> </w:t>
      </w:r>
      <w:r w:rsidRPr="00537096">
        <w:t>(restoring peace and balance) is a process tāngata whaiora Māori may want to</w:t>
      </w:r>
      <w:r>
        <w:t xml:space="preserve"> </w:t>
      </w:r>
      <w:r w:rsidRPr="00537096">
        <w:t>engage in that upholds tikanga Māori.</w:t>
      </w:r>
      <w:r>
        <w:rPr>
          <w:rStyle w:val="FootnoteReference"/>
          <w:rFonts w:cs="Segoe UI"/>
        </w:rPr>
        <w:footnoteReference w:id="152"/>
      </w:r>
      <w:r>
        <w:t xml:space="preserve"> </w:t>
      </w:r>
    </w:p>
    <w:p w14:paraId="7ADDD4ED" w14:textId="77777777" w:rsidR="00314D2B" w:rsidRDefault="00314D2B" w:rsidP="00314D2B"/>
    <w:p w14:paraId="72A523EA" w14:textId="77777777" w:rsidR="00DB1B6E" w:rsidRDefault="00DB1B6E" w:rsidP="00314D2B">
      <w:r>
        <w:t xml:space="preserve">Te Pou’s </w:t>
      </w:r>
      <w:r w:rsidRPr="000E17FE">
        <w:rPr>
          <w:i/>
        </w:rPr>
        <w:t>Debriefing following seclusion and restraint: A summary of relevant literature</w:t>
      </w:r>
      <w:r w:rsidRPr="00B11EF4">
        <w:rPr>
          <w:rStyle w:val="FootnoteReference"/>
          <w:rFonts w:cs="Segoe UI"/>
        </w:rPr>
        <w:footnoteReference w:id="153"/>
      </w:r>
      <w:r w:rsidRPr="00B11EF4">
        <w:t xml:space="preserve"> </w:t>
      </w:r>
      <w:r>
        <w:t xml:space="preserve">includes helpful information for service providers on the content and process of a debrief. </w:t>
      </w:r>
    </w:p>
    <w:p w14:paraId="445FCE5B" w14:textId="2B3E763E" w:rsidR="00DB1B6E" w:rsidRDefault="00DB1B6E" w:rsidP="00314D2B">
      <w:r>
        <w:lastRenderedPageBreak/>
        <w:t>The HQSC has also developed a set of principles that mental health and addiction services can use to engage with people and their whānau following an adverse event. Staff will find these principles helpful when they are participating in a person-centred debrief of a seclusion or restraint event, and when they are reviewing any adverse events that occur during an episode of seclusion or restraint. The principles, along with other resources for reviewing adverse events, are available on HQSC's website</w:t>
      </w:r>
      <w:r w:rsidRPr="00221D72">
        <w:t>.</w:t>
      </w:r>
      <w:r>
        <w:rPr>
          <w:rStyle w:val="FootnoteReference"/>
          <w:rFonts w:cs="Segoe UI"/>
        </w:rPr>
        <w:footnoteReference w:id="154"/>
      </w:r>
    </w:p>
    <w:p w14:paraId="164B02F7" w14:textId="77777777" w:rsidR="00314D2B" w:rsidRPr="009B4583" w:rsidRDefault="00314D2B" w:rsidP="00314D2B"/>
    <w:p w14:paraId="2A7C46C3" w14:textId="56BD7A6C" w:rsidR="00DB1B6E" w:rsidRDefault="00DB1B6E" w:rsidP="00314D2B">
      <w:r>
        <w:t xml:space="preserve">Staff should remind tāngata whaiora of their right to complain or provide feedback about the care they have received. If a person wishes to make a complaint or provide feedback, staff should assist them to do so and provide them with the relevant information in an appropriate way. </w:t>
      </w:r>
    </w:p>
    <w:p w14:paraId="3E0E6005" w14:textId="77777777" w:rsidR="00314D2B" w:rsidRDefault="00314D2B" w:rsidP="00314D2B"/>
    <w:p w14:paraId="7CB3682D" w14:textId="77777777" w:rsidR="00DB1B6E" w:rsidRPr="009B4583" w:rsidRDefault="00DB1B6E" w:rsidP="00314D2B">
      <w:r>
        <w:t xml:space="preserve">People can make complaints through the health service directly or via district inspectors. Services should also remind people of the free Health and Disability Commissioner Advocacy service, which can support people to lay a complaint. </w:t>
      </w:r>
    </w:p>
    <w:p w14:paraId="09B06F2D" w14:textId="77777777" w:rsidR="00DB1B6E" w:rsidRPr="00314D2B" w:rsidRDefault="00DB1B6E" w:rsidP="00314D2B">
      <w:pPr>
        <w:pStyle w:val="Heading2"/>
      </w:pPr>
      <w:bookmarkStart w:id="620" w:name="_Toc109115980"/>
      <w:bookmarkStart w:id="621" w:name="_Toc109115981"/>
      <w:bookmarkStart w:id="622" w:name="_Toc109115982"/>
      <w:bookmarkStart w:id="623" w:name="_Toc109115983"/>
      <w:bookmarkStart w:id="624" w:name="_Toc109115984"/>
      <w:bookmarkStart w:id="625" w:name="_Toc103152185"/>
      <w:bookmarkStart w:id="626" w:name="_Toc105770682"/>
      <w:bookmarkStart w:id="627" w:name="_Toc131663864"/>
      <w:bookmarkStart w:id="628" w:name="_Toc132355348"/>
      <w:bookmarkEnd w:id="620"/>
      <w:bookmarkEnd w:id="621"/>
      <w:bookmarkEnd w:id="622"/>
      <w:bookmarkEnd w:id="623"/>
      <w:bookmarkEnd w:id="624"/>
      <w:r w:rsidRPr="00314D2B">
        <w:t>Evaluation</w:t>
      </w:r>
      <w:bookmarkEnd w:id="625"/>
      <w:bookmarkEnd w:id="626"/>
      <w:bookmarkEnd w:id="627"/>
      <w:bookmarkEnd w:id="628"/>
      <w:r w:rsidRPr="00314D2B">
        <w:t xml:space="preserve"> </w:t>
      </w:r>
    </w:p>
    <w:p w14:paraId="50A5C952" w14:textId="77777777" w:rsidR="00DB1B6E" w:rsidRDefault="00DB1B6E" w:rsidP="00314D2B">
      <w:pPr>
        <w:rPr>
          <w:lang w:eastAsia="en-NZ"/>
        </w:rPr>
      </w:pPr>
      <w:r>
        <w:rPr>
          <w:lang w:eastAsia="en-NZ"/>
        </w:rPr>
        <w:t xml:space="preserve">Ngā Paerewa criterion 6.2.7 requires that each episode of </w:t>
      </w:r>
      <w:r w:rsidRPr="00D46337">
        <w:rPr>
          <w:lang w:eastAsia="en-NZ"/>
        </w:rPr>
        <w:t>restraint</w:t>
      </w:r>
      <w:r w:rsidRPr="00D06545">
        <w:rPr>
          <w:lang w:eastAsia="en-NZ"/>
        </w:rPr>
        <w:t xml:space="preserve"> </w:t>
      </w:r>
      <w:r>
        <w:rPr>
          <w:lang w:eastAsia="en-NZ"/>
        </w:rPr>
        <w:t>shall be evaluated, and that service providers shall consider:</w:t>
      </w:r>
    </w:p>
    <w:p w14:paraId="03291C92" w14:textId="77777777" w:rsidR="00DB1B6E" w:rsidRPr="001D1458" w:rsidRDefault="00DB1B6E" w:rsidP="00314D2B">
      <w:pPr>
        <w:pStyle w:val="Bullet"/>
      </w:pPr>
      <w:r>
        <w:t>t</w:t>
      </w:r>
      <w:r w:rsidRPr="001D1458">
        <w:t>ime</w:t>
      </w:r>
      <w:r>
        <w:t xml:space="preserve"> </w:t>
      </w:r>
      <w:r w:rsidRPr="001D1458">
        <w:t>intervals</w:t>
      </w:r>
      <w:r>
        <w:t xml:space="preserve"> </w:t>
      </w:r>
      <w:r w:rsidRPr="001D1458">
        <w:t>between</w:t>
      </w:r>
      <w:r>
        <w:t xml:space="preserve"> </w:t>
      </w:r>
      <w:r w:rsidRPr="001D1458">
        <w:t>the</w:t>
      </w:r>
      <w:r>
        <w:t xml:space="preserve"> </w:t>
      </w:r>
      <w:r w:rsidRPr="001D1458">
        <w:t>debrief</w:t>
      </w:r>
      <w:r>
        <w:t xml:space="preserve"> </w:t>
      </w:r>
      <w:r w:rsidRPr="001D1458">
        <w:t>process</w:t>
      </w:r>
      <w:r>
        <w:t xml:space="preserve"> </w:t>
      </w:r>
      <w:r w:rsidRPr="001D1458">
        <w:t>and</w:t>
      </w:r>
      <w:r>
        <w:t xml:space="preserve"> </w:t>
      </w:r>
      <w:r w:rsidRPr="001D1458">
        <w:t>evaluation</w:t>
      </w:r>
      <w:r>
        <w:t xml:space="preserve"> </w:t>
      </w:r>
      <w:r w:rsidRPr="001D1458">
        <w:t>process</w:t>
      </w:r>
      <w:r>
        <w:t xml:space="preserve"> (to be determined by the nature and risk of restraint or seclusion being used)</w:t>
      </w:r>
    </w:p>
    <w:p w14:paraId="5B39AEFB" w14:textId="77777777" w:rsidR="00DB1B6E" w:rsidRPr="001D1458" w:rsidRDefault="00DB1B6E" w:rsidP="00314D2B">
      <w:pPr>
        <w:pStyle w:val="Bullet"/>
      </w:pPr>
      <w:r>
        <w:t>t</w:t>
      </w:r>
      <w:r w:rsidRPr="001D1458">
        <w:t>he</w:t>
      </w:r>
      <w:r>
        <w:t xml:space="preserve"> </w:t>
      </w:r>
      <w:r w:rsidRPr="001D1458">
        <w:t>type</w:t>
      </w:r>
      <w:r>
        <w:t xml:space="preserve"> </w:t>
      </w:r>
      <w:r w:rsidRPr="001D1458">
        <w:t>of</w:t>
      </w:r>
      <w:r>
        <w:t xml:space="preserve"> </w:t>
      </w:r>
      <w:r w:rsidRPr="001D1458">
        <w:t>restraint</w:t>
      </w:r>
      <w:r>
        <w:t xml:space="preserve"> </w:t>
      </w:r>
      <w:r w:rsidRPr="001D1458">
        <w:t>used</w:t>
      </w:r>
    </w:p>
    <w:p w14:paraId="4EFAB7E4" w14:textId="77777777" w:rsidR="00DB1B6E" w:rsidRPr="001D1458" w:rsidRDefault="00DB1B6E" w:rsidP="00314D2B">
      <w:pPr>
        <w:pStyle w:val="Bullet"/>
      </w:pPr>
      <w:r>
        <w:t>w</w:t>
      </w:r>
      <w:r w:rsidRPr="001D1458">
        <w:t>hether</w:t>
      </w:r>
      <w:r>
        <w:t xml:space="preserve"> </w:t>
      </w:r>
      <w:r w:rsidRPr="001D1458">
        <w:t>the</w:t>
      </w:r>
      <w:r>
        <w:t xml:space="preserve"> </w:t>
      </w:r>
      <w:r w:rsidRPr="001D1458">
        <w:t>person’s</w:t>
      </w:r>
      <w:r>
        <w:t xml:space="preserve"> </w:t>
      </w:r>
      <w:r w:rsidRPr="001D1458">
        <w:t>care</w:t>
      </w:r>
      <w:r>
        <w:t xml:space="preserve"> </w:t>
      </w:r>
      <w:r w:rsidRPr="001D1458">
        <w:t>or</w:t>
      </w:r>
      <w:r>
        <w:t xml:space="preserve"> </w:t>
      </w:r>
      <w:r w:rsidRPr="001D1458">
        <w:t>support</w:t>
      </w:r>
      <w:r>
        <w:t xml:space="preserve"> </w:t>
      </w:r>
      <w:r w:rsidRPr="001D1458">
        <w:t>plan,</w:t>
      </w:r>
      <w:r>
        <w:t xml:space="preserve"> </w:t>
      </w:r>
      <w:r w:rsidRPr="001D1458">
        <w:t>and</w:t>
      </w:r>
      <w:r>
        <w:t xml:space="preserve"> </w:t>
      </w:r>
      <w:r w:rsidRPr="001D1458">
        <w:t>advance</w:t>
      </w:r>
      <w:r>
        <w:t xml:space="preserve"> </w:t>
      </w:r>
      <w:r w:rsidRPr="001D1458">
        <w:t>directives</w:t>
      </w:r>
      <w:r>
        <w:t xml:space="preserve"> </w:t>
      </w:r>
      <w:r w:rsidRPr="001D1458">
        <w:t>or</w:t>
      </w:r>
      <w:r>
        <w:t xml:space="preserve"> </w:t>
      </w:r>
      <w:r w:rsidRPr="001D1458">
        <w:t>preferences</w:t>
      </w:r>
      <w:r>
        <w:t xml:space="preserve"> (</w:t>
      </w:r>
      <w:r w:rsidRPr="001D1458">
        <w:t>where</w:t>
      </w:r>
      <w:r>
        <w:t xml:space="preserve"> </w:t>
      </w:r>
      <w:r w:rsidRPr="001D1458">
        <w:t>in</w:t>
      </w:r>
      <w:r>
        <w:t xml:space="preserve"> </w:t>
      </w:r>
      <w:r w:rsidRPr="001D1458">
        <w:t>place</w:t>
      </w:r>
      <w:r>
        <w:t xml:space="preserve">) </w:t>
      </w:r>
      <w:r w:rsidRPr="001D1458">
        <w:t>were</w:t>
      </w:r>
      <w:r>
        <w:t xml:space="preserve"> </w:t>
      </w:r>
      <w:r w:rsidRPr="001D1458">
        <w:t>followed</w:t>
      </w:r>
    </w:p>
    <w:p w14:paraId="036D751B" w14:textId="77777777" w:rsidR="00DB1B6E" w:rsidRPr="001D1458" w:rsidRDefault="00DB1B6E" w:rsidP="00314D2B">
      <w:pPr>
        <w:pStyle w:val="Bullet"/>
      </w:pPr>
      <w:r>
        <w:t>t</w:t>
      </w:r>
      <w:r w:rsidRPr="001D1458">
        <w:t>he</w:t>
      </w:r>
      <w:r>
        <w:t xml:space="preserve"> </w:t>
      </w:r>
      <w:r w:rsidRPr="001D1458">
        <w:t>impact</w:t>
      </w:r>
      <w:r>
        <w:t xml:space="preserve"> </w:t>
      </w:r>
      <w:r w:rsidRPr="001D1458">
        <w:t>the</w:t>
      </w:r>
      <w:r>
        <w:t xml:space="preserve"> </w:t>
      </w:r>
      <w:r w:rsidRPr="001D1458">
        <w:t>restraint</w:t>
      </w:r>
      <w:r>
        <w:t xml:space="preserve"> </w:t>
      </w:r>
      <w:r w:rsidRPr="001D1458">
        <w:t>had</w:t>
      </w:r>
      <w:r>
        <w:t xml:space="preserve"> </w:t>
      </w:r>
      <w:r w:rsidRPr="001D1458">
        <w:t>on</w:t>
      </w:r>
      <w:r>
        <w:t xml:space="preserve"> </w:t>
      </w:r>
      <w:r w:rsidRPr="001D1458">
        <w:t>the</w:t>
      </w:r>
      <w:r>
        <w:t xml:space="preserve"> </w:t>
      </w:r>
      <w:r w:rsidRPr="001D1458">
        <w:t>person</w:t>
      </w:r>
      <w:r>
        <w:t xml:space="preserve"> (to inform changes to the person's care or support plan resulting from the person-centred and wh</w:t>
      </w:r>
      <w:r>
        <w:rPr>
          <w:lang w:eastAsia="en-NZ"/>
        </w:rPr>
        <w:t>ā</w:t>
      </w:r>
      <w:r>
        <w:t>nau-centred approach/reflections debrief)</w:t>
      </w:r>
    </w:p>
    <w:p w14:paraId="19324708" w14:textId="77777777" w:rsidR="00DB1B6E" w:rsidRPr="001D1458" w:rsidRDefault="00DB1B6E" w:rsidP="00314D2B">
      <w:pPr>
        <w:pStyle w:val="Bullet"/>
      </w:pPr>
      <w:r>
        <w:t>t</w:t>
      </w:r>
      <w:r w:rsidRPr="001D1458">
        <w:t>he</w:t>
      </w:r>
      <w:r>
        <w:t xml:space="preserve"> </w:t>
      </w:r>
      <w:r w:rsidRPr="001D1458">
        <w:t>impact</w:t>
      </w:r>
      <w:r>
        <w:t xml:space="preserve"> </w:t>
      </w:r>
      <w:r w:rsidRPr="001D1458">
        <w:t>the</w:t>
      </w:r>
      <w:r>
        <w:t xml:space="preserve"> </w:t>
      </w:r>
      <w:r w:rsidRPr="001D1458">
        <w:t>restraint</w:t>
      </w:r>
      <w:r>
        <w:t xml:space="preserve"> </w:t>
      </w:r>
      <w:r w:rsidRPr="001D1458">
        <w:t>had</w:t>
      </w:r>
      <w:r>
        <w:t xml:space="preserve"> </w:t>
      </w:r>
      <w:r w:rsidRPr="001D1458">
        <w:t>on</w:t>
      </w:r>
      <w:r>
        <w:t xml:space="preserve"> </w:t>
      </w:r>
      <w:r w:rsidRPr="001D1458">
        <w:t>others</w:t>
      </w:r>
      <w:r>
        <w:t xml:space="preserve"> (for example, health care and support workers, wh</w:t>
      </w:r>
      <w:r>
        <w:rPr>
          <w:lang w:eastAsia="en-NZ"/>
        </w:rPr>
        <w:t>ā</w:t>
      </w:r>
      <w:r>
        <w:t>nau, and other people)</w:t>
      </w:r>
    </w:p>
    <w:p w14:paraId="38DBB68E" w14:textId="77777777" w:rsidR="00DB1B6E" w:rsidRPr="001D1458" w:rsidRDefault="00DB1B6E" w:rsidP="00314D2B">
      <w:pPr>
        <w:pStyle w:val="Bullet"/>
      </w:pPr>
      <w:r>
        <w:t>t</w:t>
      </w:r>
      <w:r w:rsidRPr="001D1458">
        <w:t>he</w:t>
      </w:r>
      <w:r>
        <w:t xml:space="preserve"> </w:t>
      </w:r>
      <w:r w:rsidRPr="001D1458">
        <w:t>duration</w:t>
      </w:r>
      <w:r>
        <w:t xml:space="preserve"> </w:t>
      </w:r>
      <w:r w:rsidRPr="001D1458">
        <w:t>of</w:t>
      </w:r>
      <w:r>
        <w:t xml:space="preserve"> </w:t>
      </w:r>
      <w:r w:rsidRPr="001D1458">
        <w:t>the</w:t>
      </w:r>
      <w:r>
        <w:t xml:space="preserve"> </w:t>
      </w:r>
      <w:r w:rsidRPr="001D1458">
        <w:t>restraint</w:t>
      </w:r>
      <w:r>
        <w:t xml:space="preserve"> </w:t>
      </w:r>
      <w:r w:rsidRPr="001D1458">
        <w:t>episode</w:t>
      </w:r>
      <w:r>
        <w:t xml:space="preserve"> </w:t>
      </w:r>
      <w:r w:rsidRPr="001D1458">
        <w:t>and</w:t>
      </w:r>
      <w:r>
        <w:t xml:space="preserve"> </w:t>
      </w:r>
      <w:r w:rsidRPr="001D1458">
        <w:t>whether</w:t>
      </w:r>
      <w:r>
        <w:t xml:space="preserve"> </w:t>
      </w:r>
      <w:r w:rsidRPr="001D1458">
        <w:t>this</w:t>
      </w:r>
      <w:r>
        <w:t xml:space="preserve"> </w:t>
      </w:r>
      <w:r w:rsidRPr="001D1458">
        <w:t>was</w:t>
      </w:r>
      <w:r>
        <w:t xml:space="preserve"> </w:t>
      </w:r>
      <w:r w:rsidRPr="001D1458">
        <w:t>the</w:t>
      </w:r>
      <w:r>
        <w:t xml:space="preserve"> </w:t>
      </w:r>
      <w:r w:rsidRPr="001D1458">
        <w:t>least</w:t>
      </w:r>
      <w:r>
        <w:t xml:space="preserve"> </w:t>
      </w:r>
      <w:r w:rsidRPr="001D1458">
        <w:t>amount</w:t>
      </w:r>
      <w:r>
        <w:t xml:space="preserve"> </w:t>
      </w:r>
      <w:r w:rsidRPr="001D1458">
        <w:t>of</w:t>
      </w:r>
      <w:r>
        <w:t xml:space="preserve"> </w:t>
      </w:r>
      <w:r w:rsidRPr="001D1458">
        <w:t>time</w:t>
      </w:r>
      <w:r>
        <w:t xml:space="preserve"> </w:t>
      </w:r>
      <w:r w:rsidRPr="001D1458">
        <w:t>required</w:t>
      </w:r>
    </w:p>
    <w:p w14:paraId="5FF72559" w14:textId="77777777" w:rsidR="00DB1B6E" w:rsidRPr="001D1458" w:rsidRDefault="00DB1B6E" w:rsidP="00314D2B">
      <w:pPr>
        <w:pStyle w:val="Bullet"/>
      </w:pPr>
      <w:r>
        <w:t>e</w:t>
      </w:r>
      <w:r w:rsidRPr="001D1458">
        <w:t>vidence</w:t>
      </w:r>
      <w:r>
        <w:t xml:space="preserve"> </w:t>
      </w:r>
      <w:r w:rsidRPr="001D1458">
        <w:t>that</w:t>
      </w:r>
      <w:r>
        <w:t xml:space="preserve"> </w:t>
      </w:r>
      <w:r w:rsidRPr="001D1458">
        <w:t>other</w:t>
      </w:r>
      <w:r>
        <w:t xml:space="preserve"> </w:t>
      </w:r>
      <w:r w:rsidRPr="001D1458">
        <w:t>de-escalation</w:t>
      </w:r>
      <w:r>
        <w:t xml:space="preserve"> </w:t>
      </w:r>
      <w:r w:rsidRPr="001D1458">
        <w:t>options</w:t>
      </w:r>
      <w:r>
        <w:t xml:space="preserve"> </w:t>
      </w:r>
      <w:r w:rsidRPr="001D1458">
        <w:t>were</w:t>
      </w:r>
      <w:r>
        <w:t xml:space="preserve"> </w:t>
      </w:r>
      <w:r w:rsidRPr="001D1458">
        <w:t>explored</w:t>
      </w:r>
    </w:p>
    <w:p w14:paraId="2760B747" w14:textId="77777777" w:rsidR="00DB1B6E" w:rsidRPr="001D1458" w:rsidRDefault="00DB1B6E" w:rsidP="00314D2B">
      <w:pPr>
        <w:pStyle w:val="Bullet"/>
      </w:pPr>
      <w:r>
        <w:t>w</w:t>
      </w:r>
      <w:r w:rsidRPr="001D1458">
        <w:t>hether</w:t>
      </w:r>
      <w:r>
        <w:t xml:space="preserve"> </w:t>
      </w:r>
      <w:r w:rsidRPr="001D1458">
        <w:t>appropriate</w:t>
      </w:r>
      <w:r>
        <w:t xml:space="preserve"> </w:t>
      </w:r>
      <w:r w:rsidRPr="001D1458">
        <w:t>advocacy</w:t>
      </w:r>
      <w:r>
        <w:t xml:space="preserve"> </w:t>
      </w:r>
      <w:r w:rsidRPr="001D1458">
        <w:t>or</w:t>
      </w:r>
      <w:r>
        <w:t xml:space="preserve"> </w:t>
      </w:r>
      <w:r w:rsidRPr="001D1458">
        <w:t>support</w:t>
      </w:r>
      <w:r>
        <w:t xml:space="preserve"> </w:t>
      </w:r>
      <w:r w:rsidRPr="001D1458">
        <w:t>was</w:t>
      </w:r>
      <w:r>
        <w:t xml:space="preserve"> </w:t>
      </w:r>
      <w:r w:rsidRPr="001D1458">
        <w:t>provided</w:t>
      </w:r>
      <w:r>
        <w:t xml:space="preserve"> </w:t>
      </w:r>
      <w:r w:rsidRPr="001D1458">
        <w:t>or</w:t>
      </w:r>
      <w:r>
        <w:t xml:space="preserve"> </w:t>
      </w:r>
      <w:r w:rsidRPr="001D1458">
        <w:t>facilitated</w:t>
      </w:r>
    </w:p>
    <w:p w14:paraId="4463E081" w14:textId="77777777" w:rsidR="00DB1B6E" w:rsidRPr="001D1458" w:rsidRDefault="00DB1B6E" w:rsidP="00314D2B">
      <w:pPr>
        <w:pStyle w:val="Bullet"/>
      </w:pPr>
      <w:r>
        <w:t>w</w:t>
      </w:r>
      <w:r w:rsidRPr="001D1458">
        <w:t>hether</w:t>
      </w:r>
      <w:r>
        <w:t xml:space="preserve"> </w:t>
      </w:r>
      <w:r w:rsidRPr="001D1458">
        <w:t>the</w:t>
      </w:r>
      <w:r>
        <w:t xml:space="preserve"> </w:t>
      </w:r>
      <w:r w:rsidRPr="001D1458">
        <w:t>observations</w:t>
      </w:r>
      <w:r>
        <w:t xml:space="preserve"> </w:t>
      </w:r>
      <w:r w:rsidRPr="001D1458">
        <w:t>and</w:t>
      </w:r>
      <w:r>
        <w:t xml:space="preserve"> </w:t>
      </w:r>
      <w:r w:rsidRPr="001D1458">
        <w:t>monitoring</w:t>
      </w:r>
      <w:r>
        <w:t xml:space="preserve"> </w:t>
      </w:r>
      <w:r w:rsidRPr="001D1458">
        <w:t>were</w:t>
      </w:r>
      <w:r>
        <w:t xml:space="preserve"> </w:t>
      </w:r>
      <w:r w:rsidRPr="001D1458">
        <w:t>adequate</w:t>
      </w:r>
      <w:r>
        <w:t xml:space="preserve"> </w:t>
      </w:r>
      <w:r w:rsidRPr="001D1458">
        <w:t>and</w:t>
      </w:r>
      <w:r>
        <w:t xml:space="preserve"> </w:t>
      </w:r>
      <w:r w:rsidRPr="001D1458">
        <w:t>maintained</w:t>
      </w:r>
      <w:r>
        <w:t xml:space="preserve"> </w:t>
      </w:r>
      <w:r w:rsidRPr="001D1458">
        <w:t>the</w:t>
      </w:r>
      <w:r>
        <w:t xml:space="preserve"> </w:t>
      </w:r>
      <w:r w:rsidRPr="001D1458">
        <w:t>safety</w:t>
      </w:r>
      <w:r>
        <w:t xml:space="preserve"> </w:t>
      </w:r>
      <w:r w:rsidRPr="001D1458">
        <w:t>of</w:t>
      </w:r>
      <w:r>
        <w:t xml:space="preserve"> </w:t>
      </w:r>
      <w:r w:rsidRPr="001D1458">
        <w:t>the</w:t>
      </w:r>
      <w:r>
        <w:t xml:space="preserve"> </w:t>
      </w:r>
      <w:r w:rsidRPr="001D1458">
        <w:t>person</w:t>
      </w:r>
    </w:p>
    <w:p w14:paraId="46A89A2B" w14:textId="77777777" w:rsidR="00DB1B6E" w:rsidRPr="001D1458" w:rsidRDefault="00DB1B6E" w:rsidP="00314D2B">
      <w:pPr>
        <w:pStyle w:val="Bullet"/>
      </w:pPr>
      <w:r>
        <w:t>f</w:t>
      </w:r>
      <w:r w:rsidRPr="001D1458">
        <w:t>uture</w:t>
      </w:r>
      <w:r>
        <w:t xml:space="preserve"> </w:t>
      </w:r>
      <w:r w:rsidRPr="001D1458">
        <w:t>options</w:t>
      </w:r>
      <w:r>
        <w:t xml:space="preserve"> </w:t>
      </w:r>
      <w:r w:rsidRPr="001D1458">
        <w:t>to</w:t>
      </w:r>
      <w:r>
        <w:t xml:space="preserve"> </w:t>
      </w:r>
      <w:r w:rsidRPr="001D1458">
        <w:t>avoid</w:t>
      </w:r>
      <w:r>
        <w:t xml:space="preserve"> </w:t>
      </w:r>
      <w:r w:rsidRPr="001D1458">
        <w:t>the</w:t>
      </w:r>
      <w:r>
        <w:t xml:space="preserve"> </w:t>
      </w:r>
      <w:r w:rsidRPr="001D1458">
        <w:t>use</w:t>
      </w:r>
      <w:r>
        <w:t xml:space="preserve"> </w:t>
      </w:r>
      <w:r w:rsidRPr="001D1458">
        <w:t>of</w:t>
      </w:r>
      <w:r>
        <w:t xml:space="preserve"> </w:t>
      </w:r>
      <w:r w:rsidRPr="001D1458">
        <w:t>restraint</w:t>
      </w:r>
    </w:p>
    <w:p w14:paraId="4D2F2D46" w14:textId="77777777" w:rsidR="00DB1B6E" w:rsidRPr="001D1458" w:rsidRDefault="00DB1B6E" w:rsidP="00314D2B">
      <w:pPr>
        <w:pStyle w:val="Bullet"/>
      </w:pPr>
      <w:r>
        <w:t>s</w:t>
      </w:r>
      <w:r w:rsidRPr="001D1458">
        <w:t>uggested</w:t>
      </w:r>
      <w:r>
        <w:t xml:space="preserve"> </w:t>
      </w:r>
      <w:r w:rsidRPr="001D1458">
        <w:t>changes</w:t>
      </w:r>
      <w:r>
        <w:t xml:space="preserve"> </w:t>
      </w:r>
      <w:r w:rsidRPr="001D1458">
        <w:t>or</w:t>
      </w:r>
      <w:r>
        <w:t xml:space="preserve"> </w:t>
      </w:r>
      <w:r w:rsidRPr="001D1458">
        <w:t>additions</w:t>
      </w:r>
      <w:r>
        <w:t xml:space="preserve"> </w:t>
      </w:r>
      <w:r w:rsidRPr="001D1458">
        <w:t>to</w:t>
      </w:r>
      <w:r>
        <w:t xml:space="preserve"> </w:t>
      </w:r>
      <w:r w:rsidRPr="001D1458">
        <w:t>de-escalation</w:t>
      </w:r>
      <w:r>
        <w:t xml:space="preserve"> </w:t>
      </w:r>
      <w:r w:rsidRPr="001D1458">
        <w:t>education</w:t>
      </w:r>
      <w:r>
        <w:t xml:space="preserve"> </w:t>
      </w:r>
      <w:r w:rsidRPr="001D1458">
        <w:t>for</w:t>
      </w:r>
      <w:r>
        <w:t xml:space="preserve"> </w:t>
      </w:r>
      <w:r w:rsidRPr="001D1458">
        <w:t>health</w:t>
      </w:r>
      <w:r>
        <w:t xml:space="preserve"> </w:t>
      </w:r>
      <w:r w:rsidRPr="001D1458">
        <w:t>care</w:t>
      </w:r>
      <w:r>
        <w:t xml:space="preserve"> </w:t>
      </w:r>
      <w:r w:rsidRPr="001D1458">
        <w:t>and</w:t>
      </w:r>
      <w:r>
        <w:t xml:space="preserve"> </w:t>
      </w:r>
      <w:r w:rsidRPr="001D1458">
        <w:t>support</w:t>
      </w:r>
      <w:r>
        <w:t xml:space="preserve"> </w:t>
      </w:r>
      <w:r w:rsidRPr="001D1458">
        <w:t>workers</w:t>
      </w:r>
    </w:p>
    <w:p w14:paraId="25E8C57A" w14:textId="77777777" w:rsidR="00DB1B6E" w:rsidRPr="001D1458" w:rsidRDefault="00DB1B6E" w:rsidP="00314D2B">
      <w:pPr>
        <w:pStyle w:val="Bullet"/>
      </w:pPr>
      <w:r>
        <w:t>t</w:t>
      </w:r>
      <w:r w:rsidRPr="001D1458">
        <w:t>he</w:t>
      </w:r>
      <w:r>
        <w:t xml:space="preserve"> </w:t>
      </w:r>
      <w:r w:rsidRPr="001D1458">
        <w:t>outcomes</w:t>
      </w:r>
      <w:r>
        <w:t xml:space="preserve"> </w:t>
      </w:r>
      <w:r w:rsidRPr="001D1458">
        <w:t>of</w:t>
      </w:r>
      <w:r>
        <w:t xml:space="preserve"> </w:t>
      </w:r>
      <w:r w:rsidRPr="001D1458">
        <w:t>the</w:t>
      </w:r>
      <w:r>
        <w:t xml:space="preserve"> </w:t>
      </w:r>
      <w:r w:rsidRPr="001D1458">
        <w:t>person-centred</w:t>
      </w:r>
      <w:r>
        <w:t xml:space="preserve"> </w:t>
      </w:r>
      <w:r w:rsidRPr="001D1458">
        <w:t>debrief</w:t>
      </w:r>
    </w:p>
    <w:p w14:paraId="6DEC9423" w14:textId="77777777" w:rsidR="00DB1B6E" w:rsidRDefault="00DB1B6E" w:rsidP="00314D2B">
      <w:pPr>
        <w:pStyle w:val="Bullet"/>
      </w:pPr>
      <w:r>
        <w:t>r</w:t>
      </w:r>
      <w:r w:rsidRPr="001D1458">
        <w:t>eview</w:t>
      </w:r>
      <w:r>
        <w:t xml:space="preserve"> </w:t>
      </w:r>
      <w:r w:rsidRPr="001D1458">
        <w:t>or</w:t>
      </w:r>
      <w:r>
        <w:t xml:space="preserve"> </w:t>
      </w:r>
      <w:r w:rsidRPr="001D1458">
        <w:t>modification</w:t>
      </w:r>
      <w:r>
        <w:t xml:space="preserve"> </w:t>
      </w:r>
      <w:r w:rsidRPr="001D1458">
        <w:t>required</w:t>
      </w:r>
      <w:r>
        <w:t xml:space="preserve"> </w:t>
      </w:r>
      <w:r w:rsidRPr="001D1458">
        <w:t>to</w:t>
      </w:r>
      <w:r>
        <w:t xml:space="preserve"> </w:t>
      </w:r>
      <w:r w:rsidRPr="001D1458">
        <w:t>the</w:t>
      </w:r>
      <w:r>
        <w:t xml:space="preserve"> </w:t>
      </w:r>
      <w:r w:rsidRPr="001D1458">
        <w:t>person’s</w:t>
      </w:r>
      <w:r>
        <w:t xml:space="preserve"> </w:t>
      </w:r>
      <w:r w:rsidRPr="00131A76">
        <w:rPr>
          <w:rFonts w:eastAsia="Quattrocento Sans"/>
        </w:rPr>
        <w:t>care</w:t>
      </w:r>
      <w:r>
        <w:t xml:space="preserve"> </w:t>
      </w:r>
      <w:r w:rsidRPr="001D1458">
        <w:t>or</w:t>
      </w:r>
      <w:r>
        <w:t xml:space="preserve"> </w:t>
      </w:r>
      <w:r w:rsidRPr="001D1458">
        <w:t>support</w:t>
      </w:r>
      <w:r>
        <w:t xml:space="preserve"> </w:t>
      </w:r>
      <w:r w:rsidRPr="001D1458">
        <w:t>plan</w:t>
      </w:r>
      <w:r>
        <w:t xml:space="preserve"> </w:t>
      </w:r>
      <w:r w:rsidRPr="001D1458">
        <w:t>in</w:t>
      </w:r>
      <w:r>
        <w:t xml:space="preserve"> </w:t>
      </w:r>
      <w:r w:rsidRPr="001D1458">
        <w:t>collaboration</w:t>
      </w:r>
      <w:r>
        <w:t xml:space="preserve"> </w:t>
      </w:r>
      <w:r w:rsidRPr="001D1458">
        <w:t>with</w:t>
      </w:r>
      <w:r>
        <w:t xml:space="preserve"> </w:t>
      </w:r>
      <w:r w:rsidRPr="001D1458">
        <w:t>the</w:t>
      </w:r>
      <w:r>
        <w:t xml:space="preserve"> </w:t>
      </w:r>
      <w:r w:rsidRPr="001D1458">
        <w:t>person</w:t>
      </w:r>
      <w:r>
        <w:t xml:space="preserve"> </w:t>
      </w:r>
      <w:r w:rsidRPr="001D1458">
        <w:t>and</w:t>
      </w:r>
      <w:r>
        <w:t xml:space="preserve"> wh</w:t>
      </w:r>
      <w:r>
        <w:rPr>
          <w:lang w:eastAsia="en-NZ"/>
        </w:rPr>
        <w:t>ā</w:t>
      </w:r>
      <w:r>
        <w:t>nau</w:t>
      </w:r>
    </w:p>
    <w:p w14:paraId="27FBF31C" w14:textId="77777777" w:rsidR="00DB1B6E" w:rsidRDefault="00DB1B6E" w:rsidP="00314D2B">
      <w:pPr>
        <w:pStyle w:val="Bullet"/>
      </w:pPr>
      <w:r w:rsidRPr="00542237">
        <w:lastRenderedPageBreak/>
        <w:t>a review of health care and support workers’ requirements (for example, whether there was adequate senior staffing, whether there were patterns in staffing that indicated a specific health care and support workers' issue</w:t>
      </w:r>
      <w:r>
        <w:t>,</w:t>
      </w:r>
      <w:r w:rsidRPr="00542237">
        <w:t xml:space="preserve"> and whether health care and support workers were culturally competent).</w:t>
      </w:r>
    </w:p>
    <w:p w14:paraId="07AA3E56" w14:textId="77777777" w:rsidR="00DB1B6E" w:rsidRPr="00542237" w:rsidRDefault="00DB1B6E" w:rsidP="00DB1B6E">
      <w:pPr>
        <w:pBdr>
          <w:top w:val="nil"/>
          <w:left w:val="nil"/>
          <w:bottom w:val="nil"/>
          <w:right w:val="nil"/>
          <w:between w:val="nil"/>
        </w:pBdr>
        <w:spacing w:line="276" w:lineRule="auto"/>
        <w:rPr>
          <w:rFonts w:cs="Segoe UI"/>
          <w:color w:val="000000"/>
        </w:rPr>
      </w:pPr>
    </w:p>
    <w:p w14:paraId="29260F75" w14:textId="77777777" w:rsidR="00DB1B6E" w:rsidRPr="00803814" w:rsidRDefault="00DB1B6E" w:rsidP="00314D2B">
      <w:r>
        <w:rPr>
          <w:lang w:eastAsia="en-NZ"/>
        </w:rPr>
        <w:t xml:space="preserve">Ngā Paerewa criterion </w:t>
      </w:r>
      <w:r>
        <w:t>6.4.6 requires that service providers evaluate e</w:t>
      </w:r>
      <w:r w:rsidRPr="00803814">
        <w:t>ach</w:t>
      </w:r>
      <w:r>
        <w:t xml:space="preserve"> </w:t>
      </w:r>
      <w:r w:rsidRPr="00220A49">
        <w:t>seclusion</w:t>
      </w:r>
      <w:r>
        <w:t xml:space="preserve"> </w:t>
      </w:r>
      <w:r w:rsidRPr="00803814">
        <w:t>event</w:t>
      </w:r>
      <w:r>
        <w:t xml:space="preserve"> </w:t>
      </w:r>
      <w:r w:rsidRPr="00803814">
        <w:t>as</w:t>
      </w:r>
      <w:r>
        <w:t xml:space="preserve"> </w:t>
      </w:r>
      <w:r w:rsidRPr="00803814">
        <w:t>soon</w:t>
      </w:r>
      <w:r>
        <w:t xml:space="preserve"> </w:t>
      </w:r>
      <w:r w:rsidRPr="00803814">
        <w:t>as</w:t>
      </w:r>
      <w:r>
        <w:t xml:space="preserve"> </w:t>
      </w:r>
      <w:r w:rsidRPr="00803814">
        <w:t>reasonably</w:t>
      </w:r>
      <w:r>
        <w:t xml:space="preserve"> </w:t>
      </w:r>
      <w:r w:rsidRPr="00803814">
        <w:t>possible</w:t>
      </w:r>
      <w:r>
        <w:t xml:space="preserve"> </w:t>
      </w:r>
      <w:r w:rsidRPr="00803814">
        <w:t>after</w:t>
      </w:r>
      <w:r>
        <w:t xml:space="preserve"> </w:t>
      </w:r>
      <w:r w:rsidRPr="00803814">
        <w:t>the</w:t>
      </w:r>
      <w:r>
        <w:t xml:space="preserve"> </w:t>
      </w:r>
      <w:r w:rsidRPr="00803814">
        <w:t>event</w:t>
      </w:r>
      <w:bookmarkStart w:id="629" w:name="_Hlk120707360"/>
      <w:r>
        <w:t>, and these guidelines recommend that this occurs within 7 days</w:t>
      </w:r>
      <w:r w:rsidRPr="00803814">
        <w:t>.</w:t>
      </w:r>
      <w:r>
        <w:t xml:space="preserve"> </w:t>
      </w:r>
      <w:bookmarkEnd w:id="629"/>
      <w:r w:rsidRPr="00803814">
        <w:t>The</w:t>
      </w:r>
      <w:r>
        <w:t xml:space="preserve"> </w:t>
      </w:r>
      <w:r w:rsidRPr="00803814">
        <w:t>evaluation</w:t>
      </w:r>
      <w:r>
        <w:t xml:space="preserve"> must be </w:t>
      </w:r>
      <w:r w:rsidRPr="00803814">
        <w:t>undertaken</w:t>
      </w:r>
      <w:r>
        <w:t xml:space="preserve"> </w:t>
      </w:r>
      <w:r w:rsidRPr="00803814">
        <w:t>by</w:t>
      </w:r>
      <w:r>
        <w:t xml:space="preserve"> </w:t>
      </w:r>
      <w:r w:rsidRPr="00803814">
        <w:t>registered</w:t>
      </w:r>
      <w:r>
        <w:t xml:space="preserve"> </w:t>
      </w:r>
      <w:r w:rsidRPr="00803814">
        <w:t>health</w:t>
      </w:r>
      <w:r>
        <w:t xml:space="preserve"> </w:t>
      </w:r>
      <w:r w:rsidRPr="00803814">
        <w:t>professionals</w:t>
      </w:r>
      <w:r>
        <w:t xml:space="preserve"> </w:t>
      </w:r>
      <w:r w:rsidRPr="00803814">
        <w:t>from</w:t>
      </w:r>
      <w:r>
        <w:t xml:space="preserve"> </w:t>
      </w:r>
      <w:r w:rsidRPr="00803814">
        <w:t>at</w:t>
      </w:r>
      <w:r>
        <w:t xml:space="preserve"> </w:t>
      </w:r>
      <w:r w:rsidRPr="00803814">
        <w:t>least</w:t>
      </w:r>
      <w:r>
        <w:t xml:space="preserve"> 2 </w:t>
      </w:r>
      <w:r w:rsidRPr="00803814">
        <w:t>different</w:t>
      </w:r>
      <w:r>
        <w:t xml:space="preserve"> </w:t>
      </w:r>
      <w:r w:rsidRPr="00803814">
        <w:t>disciplines</w:t>
      </w:r>
      <w:r>
        <w:t xml:space="preserve"> and (where available) a Māori or Pacific </w:t>
      </w:r>
      <w:r w:rsidRPr="00803814">
        <w:t>cultural</w:t>
      </w:r>
      <w:r>
        <w:t xml:space="preserve"> </w:t>
      </w:r>
      <w:r w:rsidRPr="00803814">
        <w:t>advisor</w:t>
      </w:r>
      <w:r>
        <w:t xml:space="preserve"> </w:t>
      </w:r>
      <w:r w:rsidRPr="00803814">
        <w:t>and</w:t>
      </w:r>
      <w:r>
        <w:t xml:space="preserve"> lived </w:t>
      </w:r>
      <w:r w:rsidRPr="00803814">
        <w:t>experience</w:t>
      </w:r>
      <w:r>
        <w:t xml:space="preserve"> </w:t>
      </w:r>
      <w:r w:rsidRPr="00803814">
        <w:t>advisor</w:t>
      </w:r>
      <w:r>
        <w:t xml:space="preserve"> (</w:t>
      </w:r>
      <w:r>
        <w:rPr>
          <w:lang w:eastAsia="en-NZ"/>
        </w:rPr>
        <w:t xml:space="preserve">Ngā Paerewa criterion </w:t>
      </w:r>
      <w:r>
        <w:t>6.4.6)</w:t>
      </w:r>
      <w:r w:rsidRPr="00803814">
        <w:t>.</w:t>
      </w:r>
      <w:r>
        <w:t xml:space="preserve"> The evaluation </w:t>
      </w:r>
      <w:r w:rsidRPr="00803814">
        <w:t>shall</w:t>
      </w:r>
      <w:r>
        <w:t xml:space="preserve"> </w:t>
      </w:r>
      <w:r w:rsidRPr="00803814">
        <w:t>consider:</w:t>
      </w:r>
    </w:p>
    <w:p w14:paraId="342BC768" w14:textId="77777777" w:rsidR="00DB1B6E" w:rsidRPr="00145063" w:rsidRDefault="00DB1B6E" w:rsidP="00314D2B">
      <w:pPr>
        <w:pStyle w:val="Bullet"/>
      </w:pPr>
      <w:r>
        <w:t>w</w:t>
      </w:r>
      <w:r w:rsidRPr="00145063">
        <w:t>hether</w:t>
      </w:r>
      <w:r>
        <w:t xml:space="preserve"> </w:t>
      </w:r>
      <w:r w:rsidRPr="00145063">
        <w:t>the</w:t>
      </w:r>
      <w:r>
        <w:t xml:space="preserve"> </w:t>
      </w:r>
      <w:r w:rsidRPr="00145063">
        <w:t>person’s</w:t>
      </w:r>
      <w:r>
        <w:t xml:space="preserve"> </w:t>
      </w:r>
      <w:r w:rsidRPr="00145063">
        <w:t>care</w:t>
      </w:r>
      <w:r>
        <w:t xml:space="preserve"> </w:t>
      </w:r>
      <w:r w:rsidRPr="00145063">
        <w:t>or</w:t>
      </w:r>
      <w:r>
        <w:t xml:space="preserve"> </w:t>
      </w:r>
      <w:r w:rsidRPr="00145063">
        <w:t>support</w:t>
      </w:r>
      <w:r>
        <w:t xml:space="preserve"> </w:t>
      </w:r>
      <w:r w:rsidRPr="00145063">
        <w:t>plan</w:t>
      </w:r>
      <w:r>
        <w:t xml:space="preserve"> </w:t>
      </w:r>
      <w:r w:rsidRPr="00145063">
        <w:t>and</w:t>
      </w:r>
      <w:r>
        <w:t xml:space="preserve"> </w:t>
      </w:r>
      <w:r w:rsidRPr="00145063">
        <w:t>advance</w:t>
      </w:r>
      <w:r>
        <w:t xml:space="preserve"> </w:t>
      </w:r>
      <w:r w:rsidRPr="00145063">
        <w:t>directives</w:t>
      </w:r>
      <w:r>
        <w:t xml:space="preserve"> </w:t>
      </w:r>
      <w:r w:rsidRPr="00145063">
        <w:t>and</w:t>
      </w:r>
      <w:r>
        <w:t xml:space="preserve"> </w:t>
      </w:r>
      <w:r w:rsidRPr="00145063">
        <w:t>preferences</w:t>
      </w:r>
      <w:r>
        <w:t xml:space="preserve"> (</w:t>
      </w:r>
      <w:r w:rsidRPr="00145063">
        <w:t>where</w:t>
      </w:r>
      <w:r>
        <w:t xml:space="preserve"> </w:t>
      </w:r>
      <w:r w:rsidRPr="00145063">
        <w:t>in</w:t>
      </w:r>
      <w:r>
        <w:t xml:space="preserve"> </w:t>
      </w:r>
      <w:r w:rsidRPr="00145063">
        <w:t>place</w:t>
      </w:r>
      <w:r>
        <w:t xml:space="preserve">) </w:t>
      </w:r>
      <w:r w:rsidRPr="00145063">
        <w:t>were</w:t>
      </w:r>
      <w:r>
        <w:t xml:space="preserve"> </w:t>
      </w:r>
      <w:r w:rsidRPr="00145063">
        <w:t>followed</w:t>
      </w:r>
    </w:p>
    <w:p w14:paraId="0E8DBAB3" w14:textId="77777777" w:rsidR="00DB1B6E" w:rsidRPr="00145063" w:rsidRDefault="00DB1B6E" w:rsidP="00314D2B">
      <w:pPr>
        <w:pStyle w:val="Bullet"/>
      </w:pPr>
      <w:r>
        <w:t>t</w:t>
      </w:r>
      <w:r w:rsidRPr="00145063">
        <w:t>he</w:t>
      </w:r>
      <w:r>
        <w:t xml:space="preserve"> </w:t>
      </w:r>
      <w:r w:rsidRPr="00145063">
        <w:t>impact</w:t>
      </w:r>
      <w:r>
        <w:t xml:space="preserve"> </w:t>
      </w:r>
      <w:r w:rsidRPr="00145063">
        <w:t>the</w:t>
      </w:r>
      <w:r>
        <w:t xml:space="preserve"> </w:t>
      </w:r>
      <w:r w:rsidRPr="00145063">
        <w:t>seclusion</w:t>
      </w:r>
      <w:r>
        <w:t xml:space="preserve"> </w:t>
      </w:r>
      <w:r w:rsidRPr="00145063">
        <w:t>had</w:t>
      </w:r>
      <w:r>
        <w:t xml:space="preserve"> </w:t>
      </w:r>
      <w:r w:rsidRPr="00145063">
        <w:t>on</w:t>
      </w:r>
      <w:r>
        <w:t xml:space="preserve"> </w:t>
      </w:r>
      <w:r w:rsidRPr="00145063">
        <w:t>the</w:t>
      </w:r>
      <w:r>
        <w:t xml:space="preserve"> </w:t>
      </w:r>
      <w:r w:rsidRPr="00145063">
        <w:t>person,</w:t>
      </w:r>
      <w:r>
        <w:t xml:space="preserve"> </w:t>
      </w:r>
      <w:r w:rsidRPr="00145063">
        <w:t>other</w:t>
      </w:r>
      <w:r>
        <w:t xml:space="preserve"> </w:t>
      </w:r>
      <w:r w:rsidRPr="00145063">
        <w:t>people</w:t>
      </w:r>
      <w:r>
        <w:t xml:space="preserve"> </w:t>
      </w:r>
      <w:r w:rsidRPr="00145063">
        <w:t>using</w:t>
      </w:r>
      <w:r>
        <w:t xml:space="preserve"> </w:t>
      </w:r>
      <w:r w:rsidRPr="00145063">
        <w:t>the</w:t>
      </w:r>
      <w:r>
        <w:t xml:space="preserve"> </w:t>
      </w:r>
      <w:r w:rsidRPr="00145063">
        <w:t>service,</w:t>
      </w:r>
      <w:r>
        <w:t xml:space="preserve"> </w:t>
      </w:r>
      <w:r w:rsidRPr="00145063">
        <w:t>and</w:t>
      </w:r>
      <w:r>
        <w:t xml:space="preserve"> </w:t>
      </w:r>
      <w:r w:rsidRPr="00145063">
        <w:t>health</w:t>
      </w:r>
      <w:r>
        <w:t xml:space="preserve"> </w:t>
      </w:r>
      <w:r w:rsidRPr="00145063">
        <w:t>care</w:t>
      </w:r>
      <w:r>
        <w:t xml:space="preserve"> </w:t>
      </w:r>
      <w:r w:rsidRPr="00145063">
        <w:t>and</w:t>
      </w:r>
      <w:r>
        <w:t xml:space="preserve"> </w:t>
      </w:r>
      <w:r w:rsidRPr="00145063">
        <w:t>support</w:t>
      </w:r>
      <w:r>
        <w:t xml:space="preserve"> </w:t>
      </w:r>
      <w:r w:rsidRPr="00145063">
        <w:t>workers</w:t>
      </w:r>
    </w:p>
    <w:p w14:paraId="6E40174D" w14:textId="77777777" w:rsidR="00DB1B6E" w:rsidRPr="00145063" w:rsidRDefault="00DB1B6E" w:rsidP="00314D2B">
      <w:pPr>
        <w:pStyle w:val="Bullet"/>
      </w:pPr>
      <w:r>
        <w:t>t</w:t>
      </w:r>
      <w:r w:rsidRPr="00145063">
        <w:t>he</w:t>
      </w:r>
      <w:r>
        <w:t xml:space="preserve"> </w:t>
      </w:r>
      <w:r w:rsidRPr="00145063">
        <w:t>duration</w:t>
      </w:r>
      <w:r>
        <w:t xml:space="preserve"> </w:t>
      </w:r>
      <w:r w:rsidRPr="00145063">
        <w:t>of</w:t>
      </w:r>
      <w:r>
        <w:t xml:space="preserve"> </w:t>
      </w:r>
      <w:r w:rsidRPr="00145063">
        <w:t>the</w:t>
      </w:r>
      <w:r>
        <w:t xml:space="preserve"> </w:t>
      </w:r>
      <w:r w:rsidRPr="00145063">
        <w:t>seclusion</w:t>
      </w:r>
      <w:r>
        <w:t xml:space="preserve"> </w:t>
      </w:r>
      <w:r w:rsidRPr="00145063">
        <w:t>event</w:t>
      </w:r>
      <w:r>
        <w:t xml:space="preserve"> </w:t>
      </w:r>
      <w:r w:rsidRPr="00145063">
        <w:t>and</w:t>
      </w:r>
      <w:r>
        <w:t xml:space="preserve"> </w:t>
      </w:r>
      <w:r w:rsidRPr="00145063">
        <w:t>whether</w:t>
      </w:r>
      <w:r>
        <w:t xml:space="preserve"> </w:t>
      </w:r>
      <w:r w:rsidRPr="00145063">
        <w:t>this</w:t>
      </w:r>
      <w:r>
        <w:t xml:space="preserve"> </w:t>
      </w:r>
      <w:r w:rsidRPr="00145063">
        <w:t>was</w:t>
      </w:r>
      <w:r>
        <w:t xml:space="preserve"> </w:t>
      </w:r>
      <w:r w:rsidRPr="00145063">
        <w:t>the</w:t>
      </w:r>
      <w:r>
        <w:t xml:space="preserve"> </w:t>
      </w:r>
      <w:r w:rsidRPr="00145063">
        <w:t>least</w:t>
      </w:r>
      <w:r>
        <w:t xml:space="preserve"> </w:t>
      </w:r>
      <w:r w:rsidRPr="00145063">
        <w:t>amount</w:t>
      </w:r>
      <w:r>
        <w:t xml:space="preserve"> </w:t>
      </w:r>
      <w:r w:rsidRPr="00145063">
        <w:t>of</w:t>
      </w:r>
      <w:r>
        <w:t xml:space="preserve"> </w:t>
      </w:r>
      <w:r w:rsidRPr="00145063">
        <w:t>time</w:t>
      </w:r>
      <w:r>
        <w:t xml:space="preserve"> </w:t>
      </w:r>
      <w:r w:rsidRPr="00145063">
        <w:t>required</w:t>
      </w:r>
    </w:p>
    <w:p w14:paraId="2BCAE09B" w14:textId="77777777" w:rsidR="00DB1B6E" w:rsidRPr="00145063" w:rsidRDefault="00DB1B6E" w:rsidP="00314D2B">
      <w:pPr>
        <w:pStyle w:val="Bullet"/>
      </w:pPr>
      <w:r>
        <w:t>w</w:t>
      </w:r>
      <w:r w:rsidRPr="00145063">
        <w:t>hat</w:t>
      </w:r>
      <w:r>
        <w:t xml:space="preserve"> </w:t>
      </w:r>
      <w:r w:rsidRPr="00145063">
        <w:t>alternative</w:t>
      </w:r>
      <w:r>
        <w:t xml:space="preserve"> </w:t>
      </w:r>
      <w:r w:rsidRPr="00145063">
        <w:t>interventions</w:t>
      </w:r>
      <w:r>
        <w:t xml:space="preserve"> </w:t>
      </w:r>
      <w:r w:rsidRPr="00145063">
        <w:t>were</w:t>
      </w:r>
      <w:r>
        <w:t xml:space="preserve"> </w:t>
      </w:r>
      <w:r w:rsidRPr="00145063">
        <w:t>considered,</w:t>
      </w:r>
      <w:r>
        <w:t xml:space="preserve"> </w:t>
      </w:r>
      <w:r w:rsidRPr="00145063">
        <w:t>why</w:t>
      </w:r>
      <w:r>
        <w:t xml:space="preserve"> </w:t>
      </w:r>
      <w:r w:rsidRPr="00145063">
        <w:t>any</w:t>
      </w:r>
      <w:r>
        <w:t xml:space="preserve"> </w:t>
      </w:r>
      <w:r w:rsidRPr="00145063">
        <w:t>were</w:t>
      </w:r>
      <w:r>
        <w:t xml:space="preserve"> </w:t>
      </w:r>
      <w:r w:rsidRPr="00145063">
        <w:t>not</w:t>
      </w:r>
      <w:r>
        <w:t xml:space="preserve"> </w:t>
      </w:r>
      <w:r w:rsidRPr="00145063">
        <w:t>used,</w:t>
      </w:r>
      <w:r>
        <w:t xml:space="preserve"> </w:t>
      </w:r>
      <w:r w:rsidRPr="00145063">
        <w:t>and</w:t>
      </w:r>
      <w:r>
        <w:t xml:space="preserve"> </w:t>
      </w:r>
      <w:r w:rsidRPr="00145063">
        <w:t>therefore</w:t>
      </w:r>
      <w:r>
        <w:t xml:space="preserve"> </w:t>
      </w:r>
      <w:r w:rsidRPr="00145063">
        <w:t>why</w:t>
      </w:r>
      <w:r>
        <w:t xml:space="preserve"> </w:t>
      </w:r>
      <w:r w:rsidRPr="00145063">
        <w:t>seclusion</w:t>
      </w:r>
      <w:r>
        <w:t xml:space="preserve"> </w:t>
      </w:r>
      <w:r w:rsidRPr="00145063">
        <w:t>was</w:t>
      </w:r>
      <w:r>
        <w:t xml:space="preserve"> </w:t>
      </w:r>
      <w:r w:rsidRPr="00145063">
        <w:t>the</w:t>
      </w:r>
      <w:r>
        <w:t xml:space="preserve"> </w:t>
      </w:r>
      <w:r w:rsidRPr="00145063">
        <w:t>option</w:t>
      </w:r>
      <w:r>
        <w:t xml:space="preserve"> </w:t>
      </w:r>
      <w:r w:rsidRPr="00145063">
        <w:t>of</w:t>
      </w:r>
      <w:r>
        <w:t xml:space="preserve"> </w:t>
      </w:r>
      <w:r w:rsidRPr="00145063">
        <w:t>last</w:t>
      </w:r>
      <w:r>
        <w:t xml:space="preserve"> </w:t>
      </w:r>
      <w:r w:rsidRPr="00145063">
        <w:t>resort</w:t>
      </w:r>
    </w:p>
    <w:p w14:paraId="2117690F" w14:textId="77777777" w:rsidR="00DB1B6E" w:rsidRPr="00145063" w:rsidRDefault="00DB1B6E" w:rsidP="00314D2B">
      <w:pPr>
        <w:pStyle w:val="Bullet"/>
      </w:pPr>
      <w:r>
        <w:t>w</w:t>
      </w:r>
      <w:r w:rsidRPr="00145063">
        <w:t>hether</w:t>
      </w:r>
      <w:r>
        <w:t xml:space="preserve"> </w:t>
      </w:r>
      <w:r w:rsidRPr="00145063">
        <w:t>appropriate</w:t>
      </w:r>
      <w:r>
        <w:t xml:space="preserve"> </w:t>
      </w:r>
      <w:r w:rsidRPr="00145063">
        <w:t>advocacy</w:t>
      </w:r>
      <w:r>
        <w:t xml:space="preserve"> </w:t>
      </w:r>
      <w:r w:rsidRPr="00145063">
        <w:t>or</w:t>
      </w:r>
      <w:r>
        <w:t xml:space="preserve"> </w:t>
      </w:r>
      <w:r w:rsidRPr="00145063">
        <w:t>support</w:t>
      </w:r>
      <w:r>
        <w:t xml:space="preserve"> </w:t>
      </w:r>
      <w:r w:rsidRPr="00145063">
        <w:t>was</w:t>
      </w:r>
      <w:r>
        <w:rPr>
          <w:rFonts w:cs="Segoe UI"/>
        </w:rPr>
        <w:t xml:space="preserve"> </w:t>
      </w:r>
      <w:r w:rsidRPr="00145063">
        <w:t>sought,</w:t>
      </w:r>
      <w:r>
        <w:t xml:space="preserve"> </w:t>
      </w:r>
      <w:r w:rsidRPr="00803814">
        <w:rPr>
          <w:rFonts w:cs="Segoe UI"/>
        </w:rPr>
        <w:t>provided,</w:t>
      </w:r>
      <w:r>
        <w:t xml:space="preserve"> </w:t>
      </w:r>
      <w:r w:rsidRPr="00145063">
        <w:t>or</w:t>
      </w:r>
      <w:r>
        <w:t xml:space="preserve"> </w:t>
      </w:r>
      <w:r w:rsidRPr="00145063">
        <w:t>facilitated</w:t>
      </w:r>
    </w:p>
    <w:p w14:paraId="1A263A9F" w14:textId="77777777" w:rsidR="00DB1B6E" w:rsidRPr="00145063" w:rsidRDefault="00DB1B6E" w:rsidP="00314D2B">
      <w:pPr>
        <w:pStyle w:val="Bullet"/>
      </w:pPr>
      <w:r>
        <w:t>w</w:t>
      </w:r>
      <w:r w:rsidRPr="00145063">
        <w:t>hether</w:t>
      </w:r>
      <w:r>
        <w:t xml:space="preserve"> </w:t>
      </w:r>
      <w:r w:rsidRPr="00145063">
        <w:t>the</w:t>
      </w:r>
      <w:r>
        <w:t xml:space="preserve"> </w:t>
      </w:r>
      <w:r w:rsidRPr="00145063">
        <w:t>observations</w:t>
      </w:r>
      <w:r>
        <w:t xml:space="preserve"> </w:t>
      </w:r>
      <w:r w:rsidRPr="00145063">
        <w:t>and</w:t>
      </w:r>
      <w:r>
        <w:t xml:space="preserve"> </w:t>
      </w:r>
      <w:r w:rsidRPr="00145063">
        <w:t>monitoring</w:t>
      </w:r>
      <w:r>
        <w:t xml:space="preserve"> </w:t>
      </w:r>
      <w:r w:rsidRPr="00145063">
        <w:t>were</w:t>
      </w:r>
      <w:r>
        <w:t xml:space="preserve"> </w:t>
      </w:r>
      <w:r w:rsidRPr="00145063">
        <w:t>adequate</w:t>
      </w:r>
      <w:r>
        <w:t xml:space="preserve"> </w:t>
      </w:r>
      <w:r w:rsidRPr="00145063">
        <w:t>and</w:t>
      </w:r>
      <w:r>
        <w:t xml:space="preserve"> </w:t>
      </w:r>
      <w:r w:rsidRPr="00145063">
        <w:t>maintained</w:t>
      </w:r>
      <w:r>
        <w:t xml:space="preserve"> </w:t>
      </w:r>
      <w:r w:rsidRPr="00145063">
        <w:t>the</w:t>
      </w:r>
      <w:r>
        <w:t xml:space="preserve"> </w:t>
      </w:r>
      <w:r w:rsidRPr="00145063">
        <w:t>safety</w:t>
      </w:r>
      <w:r>
        <w:t xml:space="preserve"> </w:t>
      </w:r>
      <w:r w:rsidRPr="00145063">
        <w:t>of</w:t>
      </w:r>
      <w:r>
        <w:t xml:space="preserve"> </w:t>
      </w:r>
      <w:r w:rsidRPr="00145063">
        <w:t>the</w:t>
      </w:r>
      <w:r>
        <w:t xml:space="preserve"> </w:t>
      </w:r>
      <w:r w:rsidRPr="00145063">
        <w:t>person</w:t>
      </w:r>
    </w:p>
    <w:p w14:paraId="47A394E4" w14:textId="77777777" w:rsidR="00DB1B6E" w:rsidRPr="00145063" w:rsidRDefault="00DB1B6E" w:rsidP="00314D2B">
      <w:pPr>
        <w:pStyle w:val="Bullet"/>
      </w:pPr>
      <w:r>
        <w:t>f</w:t>
      </w:r>
      <w:r w:rsidRPr="00145063">
        <w:t>uture</w:t>
      </w:r>
      <w:r>
        <w:t xml:space="preserve"> </w:t>
      </w:r>
      <w:r w:rsidRPr="00145063">
        <w:t>options</w:t>
      </w:r>
      <w:r>
        <w:t xml:space="preserve"> </w:t>
      </w:r>
      <w:r w:rsidRPr="00145063">
        <w:t>to</w:t>
      </w:r>
      <w:r>
        <w:t xml:space="preserve"> </w:t>
      </w:r>
      <w:r w:rsidRPr="00145063">
        <w:t>eliminate</w:t>
      </w:r>
      <w:r>
        <w:t xml:space="preserve"> </w:t>
      </w:r>
      <w:r w:rsidRPr="00145063">
        <w:t>seclusion</w:t>
      </w:r>
    </w:p>
    <w:p w14:paraId="6993D255" w14:textId="77777777" w:rsidR="00DB1B6E" w:rsidRPr="00145063" w:rsidRDefault="00DB1B6E" w:rsidP="00314D2B">
      <w:pPr>
        <w:pStyle w:val="Bullet"/>
      </w:pPr>
      <w:r>
        <w:t>a</w:t>
      </w:r>
      <w:r w:rsidRPr="00145063">
        <w:t>ny</w:t>
      </w:r>
      <w:r>
        <w:t xml:space="preserve"> </w:t>
      </w:r>
      <w:r w:rsidRPr="00145063">
        <w:t>suggested</w:t>
      </w:r>
      <w:r>
        <w:t xml:space="preserve"> </w:t>
      </w:r>
      <w:r w:rsidRPr="00145063">
        <w:t>changes</w:t>
      </w:r>
      <w:r>
        <w:t xml:space="preserve"> </w:t>
      </w:r>
      <w:r w:rsidRPr="00145063">
        <w:t>or</w:t>
      </w:r>
      <w:r>
        <w:t xml:space="preserve"> </w:t>
      </w:r>
      <w:r w:rsidRPr="00145063">
        <w:t>additions</w:t>
      </w:r>
      <w:r>
        <w:t xml:space="preserve"> </w:t>
      </w:r>
      <w:r w:rsidRPr="00145063">
        <w:t>to</w:t>
      </w:r>
      <w:r>
        <w:t xml:space="preserve"> </w:t>
      </w:r>
      <w:r w:rsidRPr="00145063">
        <w:t>seclusion</w:t>
      </w:r>
      <w:r>
        <w:t xml:space="preserve"> </w:t>
      </w:r>
      <w:r w:rsidRPr="00145063">
        <w:t>education</w:t>
      </w:r>
      <w:r>
        <w:t xml:space="preserve"> </w:t>
      </w:r>
      <w:r w:rsidRPr="00145063">
        <w:t>for</w:t>
      </w:r>
      <w:r>
        <w:t xml:space="preserve"> </w:t>
      </w:r>
      <w:r w:rsidRPr="00145063">
        <w:t>health</w:t>
      </w:r>
      <w:r>
        <w:t xml:space="preserve"> </w:t>
      </w:r>
      <w:r w:rsidRPr="00145063">
        <w:t>care</w:t>
      </w:r>
      <w:r>
        <w:t xml:space="preserve"> </w:t>
      </w:r>
      <w:r w:rsidRPr="00145063">
        <w:t>and</w:t>
      </w:r>
      <w:r>
        <w:t xml:space="preserve"> </w:t>
      </w:r>
      <w:r w:rsidRPr="00145063">
        <w:t>support</w:t>
      </w:r>
      <w:r>
        <w:t xml:space="preserve"> </w:t>
      </w:r>
      <w:r w:rsidRPr="00145063">
        <w:t>workers</w:t>
      </w:r>
    </w:p>
    <w:p w14:paraId="66F8E91C" w14:textId="77777777" w:rsidR="00DB1B6E" w:rsidRDefault="00DB1B6E" w:rsidP="00314D2B">
      <w:pPr>
        <w:pStyle w:val="Bullet"/>
      </w:pPr>
      <w:r>
        <w:t>t</w:t>
      </w:r>
      <w:r w:rsidRPr="00145063">
        <w:t>he</w:t>
      </w:r>
      <w:r>
        <w:t xml:space="preserve"> </w:t>
      </w:r>
      <w:r w:rsidRPr="00145063">
        <w:t>outcomes</w:t>
      </w:r>
      <w:r>
        <w:t xml:space="preserve"> </w:t>
      </w:r>
      <w:r w:rsidRPr="00145063">
        <w:t>of</w:t>
      </w:r>
      <w:r>
        <w:t xml:space="preserve"> </w:t>
      </w:r>
      <w:r w:rsidRPr="00145063">
        <w:t>the</w:t>
      </w:r>
      <w:r>
        <w:t xml:space="preserve"> </w:t>
      </w:r>
      <w:r w:rsidRPr="00145063">
        <w:t>person</w:t>
      </w:r>
      <w:r>
        <w:t xml:space="preserve">- </w:t>
      </w:r>
      <w:r w:rsidRPr="00145063">
        <w:t>and</w:t>
      </w:r>
      <w:r>
        <w:t xml:space="preserve"> </w:t>
      </w:r>
      <w:r w:rsidRPr="00145063">
        <w:t>wh</w:t>
      </w:r>
      <w:r w:rsidRPr="007022F9">
        <w:t>ā</w:t>
      </w:r>
      <w:r w:rsidRPr="00145063">
        <w:t>nau</w:t>
      </w:r>
      <w:r>
        <w:t>-</w:t>
      </w:r>
      <w:r w:rsidRPr="00145063">
        <w:t>centred</w:t>
      </w:r>
      <w:r>
        <w:t xml:space="preserve"> </w:t>
      </w:r>
      <w:r w:rsidRPr="00145063">
        <w:t>debrief</w:t>
      </w:r>
    </w:p>
    <w:p w14:paraId="7613B607" w14:textId="77777777" w:rsidR="00DB1B6E" w:rsidRDefault="00DB1B6E" w:rsidP="00314D2B">
      <w:pPr>
        <w:pStyle w:val="Bullet"/>
      </w:pPr>
      <w:r w:rsidRPr="00A560FF">
        <w:t>review or modification required to the person’s care or support plan in collaboration with the person.</w:t>
      </w:r>
    </w:p>
    <w:p w14:paraId="6D3B2918" w14:textId="77777777" w:rsidR="00DB1B6E" w:rsidRPr="00A560FF" w:rsidRDefault="00DB1B6E" w:rsidP="00DB1B6E">
      <w:pPr>
        <w:pBdr>
          <w:top w:val="nil"/>
          <w:left w:val="nil"/>
          <w:bottom w:val="nil"/>
          <w:right w:val="nil"/>
          <w:between w:val="nil"/>
        </w:pBdr>
        <w:spacing w:line="276" w:lineRule="auto"/>
        <w:ind w:left="360"/>
        <w:rPr>
          <w:color w:val="000000"/>
        </w:rPr>
      </w:pPr>
    </w:p>
    <w:p w14:paraId="11A475FB" w14:textId="77777777" w:rsidR="00DB1B6E" w:rsidRDefault="00DB1B6E" w:rsidP="00314D2B">
      <w:r w:rsidRPr="00803814">
        <w:t>Health</w:t>
      </w:r>
      <w:r>
        <w:t xml:space="preserve"> </w:t>
      </w:r>
      <w:r w:rsidRPr="00803814">
        <w:t>care</w:t>
      </w:r>
      <w:r>
        <w:t xml:space="preserve"> </w:t>
      </w:r>
      <w:r w:rsidRPr="00803814">
        <w:t>and</w:t>
      </w:r>
      <w:r>
        <w:t xml:space="preserve"> </w:t>
      </w:r>
      <w:r w:rsidRPr="00803814">
        <w:t>support</w:t>
      </w:r>
      <w:r>
        <w:t xml:space="preserve"> </w:t>
      </w:r>
      <w:r w:rsidRPr="00803814">
        <w:t>workers</w:t>
      </w:r>
      <w:r>
        <w:t xml:space="preserve"> </w:t>
      </w:r>
      <w:r w:rsidRPr="00803814">
        <w:t>should</w:t>
      </w:r>
      <w:r>
        <w:t xml:space="preserve"> </w:t>
      </w:r>
      <w:r w:rsidRPr="00803814">
        <w:t>have</w:t>
      </w:r>
      <w:r>
        <w:t xml:space="preserve"> </w:t>
      </w:r>
      <w:r w:rsidRPr="00803814">
        <w:t>the</w:t>
      </w:r>
      <w:r>
        <w:t xml:space="preserve"> </w:t>
      </w:r>
      <w:r w:rsidRPr="00803814">
        <w:t>opportunity</w:t>
      </w:r>
      <w:r>
        <w:t xml:space="preserve"> </w:t>
      </w:r>
      <w:r w:rsidRPr="00803814">
        <w:t>to</w:t>
      </w:r>
      <w:r>
        <w:t xml:space="preserve"> </w:t>
      </w:r>
      <w:r w:rsidRPr="00803814">
        <w:t>be</w:t>
      </w:r>
      <w:r>
        <w:t xml:space="preserve"> </w:t>
      </w:r>
      <w:r w:rsidRPr="00803814">
        <w:t>involved</w:t>
      </w:r>
      <w:r>
        <w:t xml:space="preserve"> </w:t>
      </w:r>
      <w:r w:rsidRPr="00803814">
        <w:t>in</w:t>
      </w:r>
      <w:r>
        <w:t xml:space="preserve"> </w:t>
      </w:r>
      <w:r w:rsidRPr="00803814">
        <w:t>a</w:t>
      </w:r>
      <w:r>
        <w:t xml:space="preserve"> </w:t>
      </w:r>
      <w:r w:rsidRPr="00803814">
        <w:t>wider</w:t>
      </w:r>
      <w:r>
        <w:t xml:space="preserve"> </w:t>
      </w:r>
      <w:r w:rsidRPr="00803814">
        <w:t>debrief</w:t>
      </w:r>
      <w:r>
        <w:t xml:space="preserve"> </w:t>
      </w:r>
      <w:r w:rsidRPr="00803814">
        <w:t>or</w:t>
      </w:r>
      <w:r>
        <w:t xml:space="preserve"> </w:t>
      </w:r>
      <w:r w:rsidRPr="00803814">
        <w:t>discussion</w:t>
      </w:r>
      <w:r>
        <w:t xml:space="preserve"> </w:t>
      </w:r>
      <w:r w:rsidRPr="00803814">
        <w:t>following</w:t>
      </w:r>
      <w:r>
        <w:t xml:space="preserve"> </w:t>
      </w:r>
      <w:r w:rsidRPr="00803814">
        <w:t>significant</w:t>
      </w:r>
      <w:r>
        <w:t xml:space="preserve"> </w:t>
      </w:r>
      <w:r w:rsidRPr="00803814">
        <w:t>incidents.</w:t>
      </w:r>
      <w:r>
        <w:t xml:space="preserve"> </w:t>
      </w:r>
      <w:r w:rsidRPr="00803814">
        <w:t>This</w:t>
      </w:r>
      <w:r>
        <w:t xml:space="preserve"> </w:t>
      </w:r>
      <w:r w:rsidRPr="00803814">
        <w:t>is</w:t>
      </w:r>
      <w:r>
        <w:t xml:space="preserve"> </w:t>
      </w:r>
      <w:r w:rsidRPr="00803814">
        <w:t>to</w:t>
      </w:r>
      <w:r>
        <w:t xml:space="preserve"> </w:t>
      </w:r>
      <w:r w:rsidRPr="00803814">
        <w:t>support</w:t>
      </w:r>
      <w:r>
        <w:t xml:space="preserve"> their </w:t>
      </w:r>
      <w:r w:rsidRPr="00803814">
        <w:t>wellbeing,</w:t>
      </w:r>
      <w:r>
        <w:t xml:space="preserve"> </w:t>
      </w:r>
      <w:r w:rsidRPr="00803814">
        <w:t>maximise</w:t>
      </w:r>
      <w:r>
        <w:t xml:space="preserve"> </w:t>
      </w:r>
      <w:r w:rsidRPr="00803814">
        <w:t>learning</w:t>
      </w:r>
      <w:r>
        <w:t xml:space="preserve"> </w:t>
      </w:r>
      <w:r w:rsidRPr="00803814">
        <w:t>from</w:t>
      </w:r>
      <w:r>
        <w:t xml:space="preserve"> </w:t>
      </w:r>
      <w:r w:rsidRPr="00803814">
        <w:t>the</w:t>
      </w:r>
      <w:r>
        <w:t xml:space="preserve"> </w:t>
      </w:r>
      <w:r w:rsidRPr="00803814">
        <w:t>evaluation</w:t>
      </w:r>
      <w:r>
        <w:t xml:space="preserve"> </w:t>
      </w:r>
      <w:r w:rsidRPr="00803814">
        <w:t>of</w:t>
      </w:r>
      <w:r>
        <w:t xml:space="preserve"> </w:t>
      </w:r>
      <w:r w:rsidRPr="00803814">
        <w:t>the</w:t>
      </w:r>
      <w:r>
        <w:t xml:space="preserve"> </w:t>
      </w:r>
      <w:r w:rsidRPr="00803814">
        <w:t>seclusion</w:t>
      </w:r>
      <w:r>
        <w:t xml:space="preserve"> </w:t>
      </w:r>
      <w:r w:rsidRPr="00803814">
        <w:t>event</w:t>
      </w:r>
      <w:r>
        <w:t xml:space="preserve"> </w:t>
      </w:r>
      <w:r w:rsidRPr="00803814">
        <w:t>and</w:t>
      </w:r>
      <w:r>
        <w:t xml:space="preserve"> </w:t>
      </w:r>
      <w:r w:rsidRPr="00803814">
        <w:t>ensure</w:t>
      </w:r>
      <w:r>
        <w:t xml:space="preserve"> </w:t>
      </w:r>
      <w:r w:rsidRPr="00803814">
        <w:t>safety</w:t>
      </w:r>
      <w:r>
        <w:t xml:space="preserve"> </w:t>
      </w:r>
      <w:r w:rsidRPr="00803814">
        <w:t>for</w:t>
      </w:r>
      <w:r>
        <w:t xml:space="preserve"> </w:t>
      </w:r>
      <w:r w:rsidRPr="00803814">
        <w:t>all</w:t>
      </w:r>
      <w:r>
        <w:t xml:space="preserve"> (Ngā Paerewa criterion 6.4.6)</w:t>
      </w:r>
      <w:r w:rsidRPr="00655DCB">
        <w:t>.</w:t>
      </w:r>
      <w:r>
        <w:t xml:space="preserve"> </w:t>
      </w:r>
    </w:p>
    <w:p w14:paraId="6D4EE630" w14:textId="77777777" w:rsidR="00DB1B6E" w:rsidRPr="006563E7" w:rsidRDefault="00DB1B6E" w:rsidP="00314D2B">
      <w:pPr>
        <w:pStyle w:val="Heading2"/>
      </w:pPr>
      <w:bookmarkStart w:id="630" w:name="_Toc103152186"/>
      <w:bookmarkStart w:id="631" w:name="_Toc105770683"/>
      <w:bookmarkStart w:id="632" w:name="_Toc131663865"/>
      <w:bookmarkStart w:id="633" w:name="_Toc132355349"/>
      <w:r w:rsidRPr="006563E7">
        <w:t>Monitoring</w:t>
      </w:r>
      <w:r>
        <w:t xml:space="preserve"> and </w:t>
      </w:r>
      <w:r w:rsidRPr="006563E7">
        <w:t>recording</w:t>
      </w:r>
      <w:r>
        <w:t xml:space="preserve"> </w:t>
      </w:r>
      <w:r w:rsidRPr="006563E7">
        <w:t>seclusion</w:t>
      </w:r>
      <w:bookmarkEnd w:id="630"/>
      <w:bookmarkEnd w:id="631"/>
      <w:r>
        <w:t xml:space="preserve"> and restraint</w:t>
      </w:r>
      <w:bookmarkEnd w:id="632"/>
      <w:bookmarkEnd w:id="633"/>
    </w:p>
    <w:p w14:paraId="06E1AEA3" w14:textId="3FCF796B" w:rsidR="00DB1B6E" w:rsidRDefault="00DB1B6E" w:rsidP="00314D2B">
      <w:r w:rsidRPr="008C6935">
        <w:t>Monitoring</w:t>
      </w:r>
      <w:r>
        <w:t xml:space="preserve"> of seclusion and restraint must acknowledge </w:t>
      </w:r>
      <w:r w:rsidRPr="008C6935">
        <w:t>people’s</w:t>
      </w:r>
      <w:r>
        <w:t xml:space="preserve"> </w:t>
      </w:r>
      <w:r w:rsidRPr="008C6935">
        <w:t>cultural,</w:t>
      </w:r>
      <w:r>
        <w:t xml:space="preserve"> </w:t>
      </w:r>
      <w:r w:rsidRPr="008C6935">
        <w:t>physical,</w:t>
      </w:r>
      <w:r>
        <w:t xml:space="preserve"> </w:t>
      </w:r>
      <w:r w:rsidRPr="008C6935">
        <w:t>psychological</w:t>
      </w:r>
      <w:r>
        <w:t xml:space="preserve"> </w:t>
      </w:r>
      <w:r w:rsidRPr="008C6935">
        <w:t>and</w:t>
      </w:r>
      <w:r>
        <w:t xml:space="preserve"> </w:t>
      </w:r>
      <w:r w:rsidRPr="008C6935">
        <w:t>psychosocial</w:t>
      </w:r>
      <w:r>
        <w:t xml:space="preserve"> </w:t>
      </w:r>
      <w:r w:rsidRPr="008C6935">
        <w:t>needs</w:t>
      </w:r>
      <w:r>
        <w:t xml:space="preserve"> </w:t>
      </w:r>
      <w:r w:rsidRPr="008C6935">
        <w:t>and</w:t>
      </w:r>
      <w:r>
        <w:t xml:space="preserve"> must </w:t>
      </w:r>
      <w:r w:rsidRPr="008C6935">
        <w:t>address</w:t>
      </w:r>
      <w:r>
        <w:t xml:space="preserve"> </w:t>
      </w:r>
      <w:r w:rsidRPr="008C6935">
        <w:t>wairuatanga</w:t>
      </w:r>
      <w:r>
        <w:t xml:space="preserve"> (Ngā Paerewa criterion 6.2.3)</w:t>
      </w:r>
      <w:r w:rsidRPr="008C6935">
        <w:t>.</w:t>
      </w:r>
    </w:p>
    <w:p w14:paraId="1571E74C" w14:textId="77777777" w:rsidR="00314D2B" w:rsidRPr="008C6935" w:rsidRDefault="00314D2B" w:rsidP="00314D2B"/>
    <w:p w14:paraId="1AF5459C" w14:textId="77777777" w:rsidR="00DB1B6E" w:rsidRPr="00895A24" w:rsidRDefault="00DB1B6E" w:rsidP="00314D2B">
      <w:r>
        <w:t xml:space="preserve">Services must keep a register of seclusion and restraint, and record the duration and episode of each episode of seclusion in that register </w:t>
      </w:r>
      <w:sdt>
        <w:sdtPr>
          <w:tag w:val="goog_rdk_90"/>
          <w:id w:val="385687957"/>
        </w:sdtPr>
        <w:sdtContent/>
      </w:sdt>
      <w:r>
        <w:t xml:space="preserve">(sections 71 and 129(1)(b) of the Mental Health Act). These guidelines also require services to document each episode of </w:t>
      </w:r>
      <w:r>
        <w:lastRenderedPageBreak/>
        <w:t xml:space="preserve">restraint in the restraint and seclusion register </w:t>
      </w:r>
      <w:r w:rsidRPr="00895A24">
        <w:t>and</w:t>
      </w:r>
      <w:r>
        <w:t xml:space="preserve"> </w:t>
      </w:r>
      <w:r w:rsidRPr="00895A24">
        <w:t>in</w:t>
      </w:r>
      <w:r>
        <w:t xml:space="preserve"> </w:t>
      </w:r>
      <w:r w:rsidRPr="00895A24">
        <w:t>people’s</w:t>
      </w:r>
      <w:r>
        <w:t xml:space="preserve"> clinical </w:t>
      </w:r>
      <w:r w:rsidRPr="00895A24">
        <w:t>records</w:t>
      </w:r>
      <w:r>
        <w:t xml:space="preserve">. Episodes of seclusion and restraint must be recorded </w:t>
      </w:r>
      <w:r w:rsidRPr="00895A24">
        <w:t>in</w:t>
      </w:r>
      <w:r>
        <w:t xml:space="preserve"> </w:t>
      </w:r>
      <w:r w:rsidRPr="00895A24">
        <w:t>sufficient</w:t>
      </w:r>
      <w:r>
        <w:t xml:space="preserve"> </w:t>
      </w:r>
      <w:r w:rsidRPr="00895A24">
        <w:t>detail</w:t>
      </w:r>
      <w:r>
        <w:t xml:space="preserve"> </w:t>
      </w:r>
      <w:r w:rsidRPr="00895A24">
        <w:t>to</w:t>
      </w:r>
      <w:r>
        <w:t xml:space="preserve"> </w:t>
      </w:r>
      <w:r w:rsidRPr="00895A24">
        <w:t>provide</w:t>
      </w:r>
      <w:r>
        <w:t xml:space="preserve"> </w:t>
      </w:r>
      <w:r w:rsidRPr="00895A24">
        <w:t>an</w:t>
      </w:r>
      <w:r>
        <w:t xml:space="preserve"> </w:t>
      </w:r>
      <w:r w:rsidRPr="00895A24">
        <w:t>accurate</w:t>
      </w:r>
      <w:r>
        <w:t xml:space="preserve"> </w:t>
      </w:r>
      <w:r w:rsidRPr="00895A24">
        <w:t>rationale</w:t>
      </w:r>
      <w:r>
        <w:t xml:space="preserve"> </w:t>
      </w:r>
      <w:r w:rsidRPr="00895A24">
        <w:t>for</w:t>
      </w:r>
      <w:r>
        <w:t xml:space="preserve"> their </w:t>
      </w:r>
      <w:r w:rsidRPr="00895A24">
        <w:t>use,</w:t>
      </w:r>
      <w:r>
        <w:t xml:space="preserve"> </w:t>
      </w:r>
      <w:r w:rsidRPr="00895A24">
        <w:t>duration</w:t>
      </w:r>
      <w:r>
        <w:t xml:space="preserve"> </w:t>
      </w:r>
      <w:r w:rsidRPr="00895A24">
        <w:t>and</w:t>
      </w:r>
      <w:r>
        <w:t xml:space="preserve"> </w:t>
      </w:r>
      <w:r w:rsidRPr="00895A24">
        <w:t>outcome.</w:t>
      </w:r>
      <w:r>
        <w:t xml:space="preserve"> To conform with Ngā Paerewa criterion 6.2.4, t</w:t>
      </w:r>
      <w:r w:rsidRPr="00895A24">
        <w:t>he</w:t>
      </w:r>
      <w:r>
        <w:t xml:space="preserve"> restraint and seclusion </w:t>
      </w:r>
      <w:r w:rsidRPr="00895A24">
        <w:t>register</w:t>
      </w:r>
      <w:r>
        <w:t xml:space="preserve"> </w:t>
      </w:r>
      <w:r w:rsidRPr="00895A24">
        <w:t>should</w:t>
      </w:r>
      <w:r>
        <w:t xml:space="preserve"> </w:t>
      </w:r>
      <w:sdt>
        <w:sdtPr>
          <w:tag w:val="goog_rdk_91"/>
          <w:id w:val="-1314405482"/>
        </w:sdtPr>
        <w:sdtContent/>
      </w:sdt>
      <w:r w:rsidRPr="00895A24">
        <w:t>include</w:t>
      </w:r>
      <w:r w:rsidRPr="00131A76">
        <w:rPr>
          <w:rFonts w:eastAsia="Quattrocento Sans"/>
        </w:rPr>
        <w:t>:</w:t>
      </w:r>
    </w:p>
    <w:p w14:paraId="4E7C3375" w14:textId="77777777" w:rsidR="00DB1B6E" w:rsidRDefault="00DB1B6E" w:rsidP="00314D2B">
      <w:pPr>
        <w:pStyle w:val="Bullet"/>
      </w:pPr>
      <w:r>
        <w:t>the type of restraint used (for episodes of restraint)</w:t>
      </w:r>
    </w:p>
    <w:p w14:paraId="0DCEFBC7" w14:textId="77777777" w:rsidR="00DB1B6E" w:rsidRPr="00145063" w:rsidRDefault="00DB1B6E" w:rsidP="00314D2B">
      <w:pPr>
        <w:pStyle w:val="Bullet"/>
      </w:pPr>
      <w:r>
        <w:t>d</w:t>
      </w:r>
      <w:r w:rsidRPr="00145063">
        <w:t>etails</w:t>
      </w:r>
      <w:r>
        <w:t xml:space="preserve"> </w:t>
      </w:r>
      <w:r w:rsidRPr="00145063">
        <w:t>of</w:t>
      </w:r>
      <w:r>
        <w:t xml:space="preserve"> </w:t>
      </w:r>
      <w:r w:rsidRPr="00145063">
        <w:t>the</w:t>
      </w:r>
      <w:r>
        <w:t xml:space="preserve"> </w:t>
      </w:r>
      <w:r w:rsidRPr="00145063">
        <w:t>reasons</w:t>
      </w:r>
      <w:r>
        <w:t xml:space="preserve"> </w:t>
      </w:r>
      <w:r w:rsidRPr="00145063">
        <w:t>for</w:t>
      </w:r>
      <w:r>
        <w:t xml:space="preserve"> </w:t>
      </w:r>
      <w:r w:rsidRPr="00145063">
        <w:t>initiating</w:t>
      </w:r>
      <w:r>
        <w:t xml:space="preserve"> restraint or </w:t>
      </w:r>
      <w:r w:rsidRPr="00145063">
        <w:t>seclusion</w:t>
      </w:r>
    </w:p>
    <w:p w14:paraId="589DC6D3" w14:textId="77777777" w:rsidR="00DB1B6E" w:rsidRPr="00145063" w:rsidRDefault="00DB1B6E" w:rsidP="00314D2B">
      <w:pPr>
        <w:pStyle w:val="Bullet"/>
      </w:pPr>
      <w:r>
        <w:t>t</w:t>
      </w:r>
      <w:r w:rsidRPr="00145063">
        <w:t>he</w:t>
      </w:r>
      <w:r>
        <w:t xml:space="preserve"> </w:t>
      </w:r>
      <w:r w:rsidRPr="00145063">
        <w:t>decision-making</w:t>
      </w:r>
      <w:r>
        <w:t xml:space="preserve"> </w:t>
      </w:r>
      <w:r w:rsidRPr="00145063">
        <w:t>process,</w:t>
      </w:r>
      <w:r>
        <w:t xml:space="preserve"> </w:t>
      </w:r>
      <w:r w:rsidRPr="00145063">
        <w:t>including</w:t>
      </w:r>
      <w:r>
        <w:t xml:space="preserve"> </w:t>
      </w:r>
      <w:r w:rsidRPr="00145063">
        <w:t>details</w:t>
      </w:r>
      <w:r>
        <w:t xml:space="preserve"> </w:t>
      </w:r>
      <w:r w:rsidRPr="00145063">
        <w:t>of</w:t>
      </w:r>
      <w:r>
        <w:t xml:space="preserve"> </w:t>
      </w:r>
      <w:r w:rsidRPr="00145063">
        <w:t>de-escalation</w:t>
      </w:r>
      <w:r>
        <w:t xml:space="preserve"> </w:t>
      </w:r>
      <w:r w:rsidRPr="00145063">
        <w:t>techniques</w:t>
      </w:r>
      <w:r>
        <w:t xml:space="preserve"> </w:t>
      </w:r>
      <w:r w:rsidRPr="00145063">
        <w:t>and</w:t>
      </w:r>
      <w:r>
        <w:t xml:space="preserve"> </w:t>
      </w:r>
      <w:r w:rsidRPr="00145063">
        <w:t>alternative</w:t>
      </w:r>
      <w:r>
        <w:t xml:space="preserve"> </w:t>
      </w:r>
      <w:r w:rsidRPr="00145063">
        <w:t>interventions</w:t>
      </w:r>
      <w:r>
        <w:t xml:space="preserve"> </w:t>
      </w:r>
      <w:r w:rsidRPr="00145063">
        <w:t>that</w:t>
      </w:r>
      <w:r>
        <w:t xml:space="preserve"> </w:t>
      </w:r>
      <w:r w:rsidRPr="00145063">
        <w:t>were</w:t>
      </w:r>
      <w:r>
        <w:t xml:space="preserve"> </w:t>
      </w:r>
      <w:r w:rsidRPr="00145063">
        <w:t>attempted</w:t>
      </w:r>
      <w:r>
        <w:t xml:space="preserve"> </w:t>
      </w:r>
      <w:r w:rsidRPr="00145063">
        <w:t>or</w:t>
      </w:r>
      <w:r>
        <w:t xml:space="preserve"> </w:t>
      </w:r>
      <w:r w:rsidRPr="00145063">
        <w:t>considered</w:t>
      </w:r>
      <w:r>
        <w:t xml:space="preserve"> </w:t>
      </w:r>
      <w:r w:rsidRPr="00145063">
        <w:t>prior</w:t>
      </w:r>
      <w:r>
        <w:t xml:space="preserve"> </w:t>
      </w:r>
      <w:r w:rsidRPr="00145063">
        <w:t>to</w:t>
      </w:r>
      <w:r>
        <w:t xml:space="preserve"> </w:t>
      </w:r>
      <w:r w:rsidRPr="00145063">
        <w:t>the</w:t>
      </w:r>
      <w:r>
        <w:t xml:space="preserve"> </w:t>
      </w:r>
      <w:r w:rsidRPr="00145063">
        <w:t>use</w:t>
      </w:r>
      <w:r>
        <w:t xml:space="preserve"> </w:t>
      </w:r>
      <w:r w:rsidRPr="00145063">
        <w:t>of</w:t>
      </w:r>
      <w:r>
        <w:t xml:space="preserve"> restraint or </w:t>
      </w:r>
      <w:r w:rsidRPr="00145063">
        <w:t>seclusion</w:t>
      </w:r>
    </w:p>
    <w:p w14:paraId="37E17C12" w14:textId="77777777" w:rsidR="00DB1B6E" w:rsidRDefault="00DB1B6E" w:rsidP="00314D2B">
      <w:pPr>
        <w:pStyle w:val="Bullet"/>
      </w:pPr>
      <w:r>
        <w:t>i</w:t>
      </w:r>
      <w:r w:rsidRPr="00145063">
        <w:t>f</w:t>
      </w:r>
      <w:r>
        <w:t xml:space="preserve"> </w:t>
      </w:r>
      <w:r w:rsidRPr="00145063">
        <w:t>required,</w:t>
      </w:r>
      <w:r>
        <w:t xml:space="preserve"> </w:t>
      </w:r>
      <w:r w:rsidRPr="00145063">
        <w:t>details</w:t>
      </w:r>
      <w:r>
        <w:t xml:space="preserve"> </w:t>
      </w:r>
      <w:r w:rsidRPr="00145063">
        <w:t>of</w:t>
      </w:r>
      <w:r>
        <w:t xml:space="preserve"> </w:t>
      </w:r>
      <w:r w:rsidRPr="00145063">
        <w:t>any</w:t>
      </w:r>
      <w:r>
        <w:t xml:space="preserve"> </w:t>
      </w:r>
      <w:r w:rsidRPr="00145063">
        <w:t>advocacy</w:t>
      </w:r>
      <w:r>
        <w:t xml:space="preserve"> </w:t>
      </w:r>
      <w:r w:rsidRPr="00145063">
        <w:t>and</w:t>
      </w:r>
      <w:r>
        <w:t xml:space="preserve"> </w:t>
      </w:r>
      <w:r w:rsidRPr="00145063">
        <w:t>support</w:t>
      </w:r>
      <w:r>
        <w:t xml:space="preserve"> </w:t>
      </w:r>
      <w:r w:rsidRPr="00145063">
        <w:t>offered,</w:t>
      </w:r>
      <w:r>
        <w:t xml:space="preserve"> </w:t>
      </w:r>
      <w:r w:rsidRPr="00145063">
        <w:t>provided,</w:t>
      </w:r>
      <w:r>
        <w:t xml:space="preserve"> </w:t>
      </w:r>
      <w:r w:rsidRPr="00145063">
        <w:t>or</w:t>
      </w:r>
      <w:r>
        <w:t xml:space="preserve"> </w:t>
      </w:r>
      <w:r w:rsidRPr="00145063">
        <w:t>facilitated</w:t>
      </w:r>
      <w:r>
        <w:t xml:space="preserve"> </w:t>
      </w:r>
      <w:r w:rsidRPr="00145063">
        <w:t>(</w:t>
      </w:r>
      <w:r>
        <w:t xml:space="preserve">eg, </w:t>
      </w:r>
      <w:r w:rsidRPr="00145063">
        <w:t>whānau,</w:t>
      </w:r>
      <w:r>
        <w:t xml:space="preserve"> </w:t>
      </w:r>
      <w:r w:rsidRPr="00655DCB">
        <w:t>friend</w:t>
      </w:r>
      <w:r>
        <w:t>s</w:t>
      </w:r>
      <w:r w:rsidRPr="00145063">
        <w:t>,</w:t>
      </w:r>
      <w:r>
        <w:t xml:space="preserve"> </w:t>
      </w:r>
      <w:r w:rsidRPr="00145063">
        <w:t>Māori</w:t>
      </w:r>
      <w:r>
        <w:t xml:space="preserve"> </w:t>
      </w:r>
      <w:r w:rsidRPr="00145063">
        <w:t>services,</w:t>
      </w:r>
      <w:r>
        <w:t xml:space="preserve"> </w:t>
      </w:r>
      <w:r w:rsidRPr="00145063">
        <w:t>Pacific</w:t>
      </w:r>
      <w:r>
        <w:t xml:space="preserve"> </w:t>
      </w:r>
      <w:r w:rsidRPr="00145063">
        <w:t>services,</w:t>
      </w:r>
      <w:r>
        <w:t xml:space="preserve"> </w:t>
      </w:r>
      <w:r w:rsidRPr="00145063">
        <w:t>interpreter,</w:t>
      </w:r>
      <w:r>
        <w:t xml:space="preserve"> </w:t>
      </w:r>
      <w:r w:rsidRPr="00145063">
        <w:t>personal</w:t>
      </w:r>
      <w:r>
        <w:t xml:space="preserve"> </w:t>
      </w:r>
      <w:r w:rsidRPr="00145063">
        <w:t>or</w:t>
      </w:r>
      <w:r>
        <w:t xml:space="preserve"> </w:t>
      </w:r>
      <w:r w:rsidRPr="00145063">
        <w:t>family</w:t>
      </w:r>
      <w:r>
        <w:t xml:space="preserve"> </w:t>
      </w:r>
      <w:r w:rsidRPr="00145063">
        <w:t>advisor,</w:t>
      </w:r>
      <w:r>
        <w:t xml:space="preserve"> </w:t>
      </w:r>
      <w:r w:rsidRPr="00145063">
        <w:t>or</w:t>
      </w:r>
      <w:r>
        <w:t xml:space="preserve"> </w:t>
      </w:r>
      <w:r w:rsidRPr="00145063">
        <w:t>independent</w:t>
      </w:r>
      <w:r>
        <w:t xml:space="preserve"> </w:t>
      </w:r>
      <w:r w:rsidRPr="00145063">
        <w:t>advocate)</w:t>
      </w:r>
    </w:p>
    <w:p w14:paraId="60619C33" w14:textId="77777777" w:rsidR="00DB1B6E" w:rsidRPr="00145063" w:rsidRDefault="00DB1B6E" w:rsidP="00314D2B">
      <w:pPr>
        <w:pStyle w:val="Bullet"/>
      </w:pPr>
      <w:r>
        <w:t>t</w:t>
      </w:r>
      <w:r w:rsidRPr="006E4174">
        <w:t>he</w:t>
      </w:r>
      <w:r>
        <w:t xml:space="preserve"> </w:t>
      </w:r>
      <w:r w:rsidRPr="00145063">
        <w:t>outcome</w:t>
      </w:r>
      <w:r>
        <w:t xml:space="preserve"> </w:t>
      </w:r>
      <w:r w:rsidRPr="00145063">
        <w:t>of</w:t>
      </w:r>
      <w:r>
        <w:t xml:space="preserve"> </w:t>
      </w:r>
      <w:r w:rsidRPr="00145063">
        <w:t>the</w:t>
      </w:r>
      <w:r>
        <w:t xml:space="preserve"> restraint or </w:t>
      </w:r>
      <w:r w:rsidRPr="00145063">
        <w:t>seclusion</w:t>
      </w:r>
      <w:r>
        <w:t xml:space="preserve"> </w:t>
      </w:r>
      <w:r w:rsidRPr="00145063">
        <w:t>episode</w:t>
      </w:r>
    </w:p>
    <w:p w14:paraId="1BB22C51" w14:textId="77777777" w:rsidR="00DB1B6E" w:rsidRPr="00145063" w:rsidRDefault="00DB1B6E" w:rsidP="00314D2B">
      <w:pPr>
        <w:pStyle w:val="Bullet"/>
      </w:pPr>
      <w:r>
        <w:t>an</w:t>
      </w:r>
      <w:r w:rsidRPr="00145063">
        <w:t>y</w:t>
      </w:r>
      <w:r>
        <w:t xml:space="preserve"> </w:t>
      </w:r>
      <w:r w:rsidRPr="00145063">
        <w:t>impact,</w:t>
      </w:r>
      <w:r>
        <w:t xml:space="preserve"> </w:t>
      </w:r>
      <w:r w:rsidRPr="00145063">
        <w:t>injury,</w:t>
      </w:r>
      <w:r>
        <w:t xml:space="preserve"> </w:t>
      </w:r>
      <w:r w:rsidRPr="00145063">
        <w:t>and</w:t>
      </w:r>
      <w:r>
        <w:t xml:space="preserve"> </w:t>
      </w:r>
      <w:r w:rsidRPr="00145063">
        <w:t>trauma</w:t>
      </w:r>
      <w:r>
        <w:t xml:space="preserve"> </w:t>
      </w:r>
      <w:r w:rsidRPr="00145063">
        <w:t>on</w:t>
      </w:r>
      <w:r>
        <w:t xml:space="preserve"> </w:t>
      </w:r>
      <w:r w:rsidRPr="00145063">
        <w:t>the</w:t>
      </w:r>
      <w:r>
        <w:t xml:space="preserve"> </w:t>
      </w:r>
      <w:r w:rsidRPr="00145063">
        <w:t>person</w:t>
      </w:r>
      <w:r>
        <w:t xml:space="preserve"> </w:t>
      </w:r>
      <w:r w:rsidRPr="00145063">
        <w:t>as</w:t>
      </w:r>
      <w:r>
        <w:t xml:space="preserve"> </w:t>
      </w:r>
      <w:r w:rsidRPr="00145063">
        <w:t>a</w:t>
      </w:r>
      <w:r>
        <w:t xml:space="preserve"> </w:t>
      </w:r>
      <w:r w:rsidRPr="00145063">
        <w:t>result</w:t>
      </w:r>
      <w:r>
        <w:t xml:space="preserve"> </w:t>
      </w:r>
      <w:r w:rsidRPr="00145063">
        <w:t>of</w:t>
      </w:r>
      <w:r>
        <w:t xml:space="preserve"> </w:t>
      </w:r>
      <w:r w:rsidRPr="00145063">
        <w:t>the</w:t>
      </w:r>
      <w:r>
        <w:t xml:space="preserve"> </w:t>
      </w:r>
      <w:r w:rsidRPr="00145063">
        <w:t>use</w:t>
      </w:r>
      <w:r>
        <w:t xml:space="preserve"> </w:t>
      </w:r>
      <w:r w:rsidRPr="00145063">
        <w:t>of</w:t>
      </w:r>
      <w:r>
        <w:t xml:space="preserve"> </w:t>
      </w:r>
      <w:r>
        <w:rPr>
          <w:rFonts w:cs="Segoe UI"/>
        </w:rPr>
        <w:t xml:space="preserve">restraint or </w:t>
      </w:r>
      <w:r w:rsidRPr="00145063">
        <w:t>seclusion</w:t>
      </w:r>
    </w:p>
    <w:p w14:paraId="1D5AE676" w14:textId="77777777" w:rsidR="00DB1B6E" w:rsidRPr="00145063" w:rsidRDefault="00DB1B6E" w:rsidP="00314D2B">
      <w:pPr>
        <w:pStyle w:val="Bullet"/>
      </w:pPr>
      <w:r>
        <w:t>ob</w:t>
      </w:r>
      <w:r w:rsidRPr="00145063">
        <w:t>servations</w:t>
      </w:r>
      <w:r>
        <w:t xml:space="preserve"> </w:t>
      </w:r>
      <w:r w:rsidRPr="00145063">
        <w:t>and</w:t>
      </w:r>
      <w:r>
        <w:t xml:space="preserve"> </w:t>
      </w:r>
      <w:r w:rsidRPr="00145063">
        <w:t>monitoring</w:t>
      </w:r>
      <w:r>
        <w:t xml:space="preserve"> </w:t>
      </w:r>
      <w:r w:rsidRPr="00145063">
        <w:t>of</w:t>
      </w:r>
      <w:r>
        <w:t xml:space="preserve"> </w:t>
      </w:r>
      <w:r w:rsidRPr="00145063">
        <w:t>the</w:t>
      </w:r>
      <w:r>
        <w:t xml:space="preserve"> </w:t>
      </w:r>
      <w:r w:rsidRPr="00145063">
        <w:t>person</w:t>
      </w:r>
      <w:r>
        <w:t xml:space="preserve"> </w:t>
      </w:r>
      <w:r w:rsidRPr="00145063">
        <w:t>during</w:t>
      </w:r>
      <w:r>
        <w:t xml:space="preserve"> restraint or </w:t>
      </w:r>
      <w:r w:rsidRPr="00145063">
        <w:t>seclusion</w:t>
      </w:r>
    </w:p>
    <w:p w14:paraId="4347F7D6" w14:textId="77777777" w:rsidR="00DB1B6E" w:rsidRPr="00145063" w:rsidRDefault="00DB1B6E" w:rsidP="00314D2B">
      <w:pPr>
        <w:pStyle w:val="Bullet"/>
      </w:pPr>
      <w:r>
        <w:t>co</w:t>
      </w:r>
      <w:r w:rsidRPr="00145063">
        <w:t>mments</w:t>
      </w:r>
      <w:r>
        <w:t xml:space="preserve"> </w:t>
      </w:r>
      <w:r w:rsidRPr="00145063">
        <w:t>resulting</w:t>
      </w:r>
      <w:r>
        <w:t xml:space="preserve"> </w:t>
      </w:r>
      <w:r w:rsidRPr="00145063">
        <w:t>from</w:t>
      </w:r>
      <w:r>
        <w:t xml:space="preserve"> </w:t>
      </w:r>
      <w:r w:rsidRPr="00145063">
        <w:t>the</w:t>
      </w:r>
      <w:r>
        <w:t xml:space="preserve"> </w:t>
      </w:r>
      <w:r w:rsidRPr="00145063">
        <w:t>evaluation</w:t>
      </w:r>
      <w:r>
        <w:t xml:space="preserve"> </w:t>
      </w:r>
      <w:r w:rsidRPr="00145063">
        <w:t>of</w:t>
      </w:r>
      <w:r>
        <w:t xml:space="preserve"> </w:t>
      </w:r>
      <w:r w:rsidRPr="00145063">
        <w:t>the</w:t>
      </w:r>
      <w:r>
        <w:t xml:space="preserve"> restraint or </w:t>
      </w:r>
      <w:r w:rsidRPr="00145063">
        <w:t>seclusion</w:t>
      </w:r>
    </w:p>
    <w:p w14:paraId="3AFBA4B5" w14:textId="77777777" w:rsidR="00DB1B6E" w:rsidRDefault="00DB1B6E" w:rsidP="00314D2B">
      <w:pPr>
        <w:pStyle w:val="Bullet"/>
      </w:pPr>
      <w:r>
        <w:t xml:space="preserve">a </w:t>
      </w:r>
      <w:r w:rsidRPr="00145063">
        <w:t>record</w:t>
      </w:r>
      <w:r>
        <w:t xml:space="preserve"> </w:t>
      </w:r>
      <w:r w:rsidRPr="00145063">
        <w:t>of</w:t>
      </w:r>
      <w:r>
        <w:t xml:space="preserve"> </w:t>
      </w:r>
      <w:r w:rsidRPr="00145063">
        <w:t>the</w:t>
      </w:r>
      <w:r>
        <w:t xml:space="preserve"> </w:t>
      </w:r>
      <w:r w:rsidRPr="00145063">
        <w:t>person-centred</w:t>
      </w:r>
      <w:r>
        <w:t xml:space="preserve"> </w:t>
      </w:r>
      <w:r w:rsidRPr="00145063">
        <w:t>debrief,</w:t>
      </w:r>
      <w:r>
        <w:t xml:space="preserve"> </w:t>
      </w:r>
      <w:r w:rsidRPr="00145063">
        <w:t>including</w:t>
      </w:r>
      <w:r>
        <w:t xml:space="preserve"> a debrief by someone with lived experience (if appropriate and agreed to by the person). This shall document any </w:t>
      </w:r>
      <w:r w:rsidRPr="00145063">
        <w:t>support</w:t>
      </w:r>
      <w:r>
        <w:t xml:space="preserve"> </w:t>
      </w:r>
      <w:r w:rsidRPr="00145063">
        <w:t>offered</w:t>
      </w:r>
      <w:r>
        <w:t xml:space="preserve"> </w:t>
      </w:r>
      <w:r w:rsidRPr="00145063">
        <w:t>after</w:t>
      </w:r>
      <w:r>
        <w:t xml:space="preserve"> </w:t>
      </w:r>
      <w:r w:rsidRPr="00145063">
        <w:t>the</w:t>
      </w:r>
      <w:r>
        <w:t xml:space="preserve"> </w:t>
      </w:r>
      <w:r w:rsidRPr="00145063">
        <w:t>restraint</w:t>
      </w:r>
      <w:r>
        <w:t xml:space="preserve"> or seclusion</w:t>
      </w:r>
      <w:r w:rsidRPr="00145063">
        <w:t>,</w:t>
      </w:r>
      <w:r>
        <w:t xml:space="preserve"> </w:t>
      </w:r>
      <w:r w:rsidRPr="00145063">
        <w:t>particularly</w:t>
      </w:r>
      <w:r>
        <w:t xml:space="preserve"> </w:t>
      </w:r>
      <w:r w:rsidRPr="00145063">
        <w:t>where</w:t>
      </w:r>
      <w:r>
        <w:t xml:space="preserve"> </w:t>
      </w:r>
      <w:r w:rsidRPr="00145063">
        <w:t>trauma</w:t>
      </w:r>
      <w:r>
        <w:t xml:space="preserve"> </w:t>
      </w:r>
      <w:r w:rsidRPr="00145063">
        <w:t>has</w:t>
      </w:r>
      <w:r>
        <w:t xml:space="preserve"> </w:t>
      </w:r>
      <w:r w:rsidRPr="00145063">
        <w:t>occurred</w:t>
      </w:r>
      <w:r>
        <w:t xml:space="preserve"> </w:t>
      </w:r>
      <w:r w:rsidRPr="00145063">
        <w:t>(</w:t>
      </w:r>
      <w:r>
        <w:t xml:space="preserve">eg, </w:t>
      </w:r>
      <w:r w:rsidRPr="00145063">
        <w:t>psychological</w:t>
      </w:r>
      <w:r>
        <w:t xml:space="preserve"> </w:t>
      </w:r>
      <w:r w:rsidRPr="00145063">
        <w:t>or</w:t>
      </w:r>
      <w:r>
        <w:t xml:space="preserve"> </w:t>
      </w:r>
      <w:r w:rsidRPr="00145063">
        <w:t>cultural</w:t>
      </w:r>
      <w:r>
        <w:t xml:space="preserve"> </w:t>
      </w:r>
      <w:r w:rsidRPr="00145063">
        <w:t>trauma).</w:t>
      </w:r>
    </w:p>
    <w:p w14:paraId="62EA9708" w14:textId="77777777" w:rsidR="00DB1B6E" w:rsidRDefault="00DB1B6E" w:rsidP="00DB1B6E">
      <w:pPr>
        <w:pBdr>
          <w:top w:val="nil"/>
          <w:left w:val="nil"/>
          <w:bottom w:val="nil"/>
          <w:right w:val="nil"/>
          <w:between w:val="nil"/>
        </w:pBdr>
        <w:spacing w:line="276" w:lineRule="auto"/>
        <w:rPr>
          <w:color w:val="000000"/>
        </w:rPr>
      </w:pPr>
    </w:p>
    <w:p w14:paraId="5CB10198" w14:textId="4DC317E4" w:rsidR="00DB1B6E" w:rsidRDefault="00DB1B6E" w:rsidP="00314D2B">
      <w:r>
        <w:t xml:space="preserve">It would also be useful for the restraint and seclusion register to record details about the staff involved in the seclusion or restraint episode such as their designation and relevant training. </w:t>
      </w:r>
    </w:p>
    <w:p w14:paraId="50785208" w14:textId="77777777" w:rsidR="00314D2B" w:rsidRDefault="00314D2B" w:rsidP="00314D2B"/>
    <w:p w14:paraId="62F74551" w14:textId="77777777" w:rsidR="00314D2B" w:rsidRDefault="00DB1B6E" w:rsidP="00314D2B">
      <w:pPr>
        <w:rPr>
          <w:color w:val="000000" w:themeColor="text1"/>
        </w:rPr>
      </w:pPr>
      <w:r>
        <w:rPr>
          <w:rFonts w:cs="Segoe UI"/>
        </w:rPr>
        <w:t xml:space="preserve">As mentioned above, seclusion must only occur in a room or other area approved by the DAMHS. However, if </w:t>
      </w:r>
      <w:r w:rsidRPr="006A0C98">
        <w:rPr>
          <w:rFonts w:cs="Segoe UI"/>
        </w:rPr>
        <w:t>an</w:t>
      </w:r>
      <w:r>
        <w:rPr>
          <w:rFonts w:cs="Segoe UI"/>
        </w:rPr>
        <w:t xml:space="preserve"> </w:t>
      </w:r>
      <w:r w:rsidRPr="006A0C98">
        <w:rPr>
          <w:rFonts w:cs="Segoe UI"/>
        </w:rPr>
        <w:t>individual</w:t>
      </w:r>
      <w:r>
        <w:rPr>
          <w:rFonts w:cs="Segoe UI"/>
        </w:rPr>
        <w:t xml:space="preserve"> </w:t>
      </w:r>
      <w:r w:rsidRPr="006A0C98">
        <w:rPr>
          <w:rFonts w:cs="Segoe UI"/>
        </w:rPr>
        <w:t>is</w:t>
      </w:r>
      <w:r>
        <w:rPr>
          <w:rFonts w:cs="Segoe UI"/>
        </w:rPr>
        <w:t xml:space="preserve"> </w:t>
      </w:r>
      <w:r w:rsidRPr="006A0C98">
        <w:rPr>
          <w:rFonts w:cs="Segoe UI"/>
        </w:rPr>
        <w:t>placed</w:t>
      </w:r>
      <w:r>
        <w:rPr>
          <w:rFonts w:cs="Segoe UI"/>
        </w:rPr>
        <w:t xml:space="preserve"> </w:t>
      </w:r>
      <w:r w:rsidRPr="006A0C98">
        <w:rPr>
          <w:rFonts w:cs="Segoe UI"/>
        </w:rPr>
        <w:t>in</w:t>
      </w:r>
      <w:r>
        <w:rPr>
          <w:rFonts w:cs="Segoe UI"/>
        </w:rPr>
        <w:t xml:space="preserve"> </w:t>
      </w:r>
      <w:r w:rsidRPr="00C86714">
        <w:rPr>
          <w:rFonts w:cs="Segoe UI"/>
          <w:iCs/>
        </w:rPr>
        <w:t>a</w:t>
      </w:r>
      <w:r>
        <w:rPr>
          <w:rFonts w:cs="Segoe UI"/>
          <w:i/>
        </w:rPr>
        <w:t xml:space="preserve"> </w:t>
      </w:r>
      <w:r w:rsidRPr="006A0C98">
        <w:rPr>
          <w:rFonts w:cs="Segoe UI"/>
        </w:rPr>
        <w:t>defined</w:t>
      </w:r>
      <w:r>
        <w:rPr>
          <w:rFonts w:cs="Segoe UI"/>
        </w:rPr>
        <w:t xml:space="preserve"> </w:t>
      </w:r>
      <w:r w:rsidRPr="006A0C98">
        <w:rPr>
          <w:rFonts w:cs="Segoe UI"/>
        </w:rPr>
        <w:t>space</w:t>
      </w:r>
      <w:r>
        <w:rPr>
          <w:rFonts w:cs="Segoe UI"/>
        </w:rPr>
        <w:t xml:space="preserve"> </w:t>
      </w:r>
      <w:r w:rsidRPr="006A0C98">
        <w:rPr>
          <w:rFonts w:cs="Segoe UI"/>
        </w:rPr>
        <w:t>on</w:t>
      </w:r>
      <w:r>
        <w:rPr>
          <w:rFonts w:cs="Segoe UI"/>
        </w:rPr>
        <w:t xml:space="preserve"> </w:t>
      </w:r>
      <w:r w:rsidRPr="006A0C98">
        <w:rPr>
          <w:rFonts w:cs="Segoe UI"/>
        </w:rPr>
        <w:t>their</w:t>
      </w:r>
      <w:r>
        <w:rPr>
          <w:rFonts w:cs="Segoe UI"/>
        </w:rPr>
        <w:t xml:space="preserve"> </w:t>
      </w:r>
      <w:r w:rsidRPr="006A0C98">
        <w:rPr>
          <w:rFonts w:cs="Segoe UI"/>
        </w:rPr>
        <w:t>own</w:t>
      </w:r>
      <w:r>
        <w:rPr>
          <w:rFonts w:cs="Segoe UI"/>
        </w:rPr>
        <w:t xml:space="preserve"> </w:t>
      </w:r>
      <w:r w:rsidRPr="006A0C98">
        <w:rPr>
          <w:rFonts w:cs="Segoe UI"/>
        </w:rPr>
        <w:t>from</w:t>
      </w:r>
      <w:r>
        <w:rPr>
          <w:rFonts w:cs="Segoe UI"/>
        </w:rPr>
        <w:t xml:space="preserve"> </w:t>
      </w:r>
      <w:r w:rsidRPr="006A0C98">
        <w:rPr>
          <w:rFonts w:cs="Segoe UI"/>
        </w:rPr>
        <w:t>which</w:t>
      </w:r>
      <w:r>
        <w:rPr>
          <w:rFonts w:cs="Segoe UI"/>
        </w:rPr>
        <w:t xml:space="preserve"> </w:t>
      </w:r>
      <w:r w:rsidRPr="006A0C98">
        <w:rPr>
          <w:rFonts w:cs="Segoe UI"/>
        </w:rPr>
        <w:t>they</w:t>
      </w:r>
      <w:r>
        <w:rPr>
          <w:rFonts w:cs="Segoe UI"/>
        </w:rPr>
        <w:t xml:space="preserve"> </w:t>
      </w:r>
      <w:r w:rsidRPr="006A0C98">
        <w:rPr>
          <w:rFonts w:cs="Segoe UI"/>
        </w:rPr>
        <w:t>cannot</w:t>
      </w:r>
      <w:r>
        <w:rPr>
          <w:rFonts w:cs="Segoe UI"/>
        </w:rPr>
        <w:t xml:space="preserve"> </w:t>
      </w:r>
      <w:r w:rsidRPr="006A0C98">
        <w:rPr>
          <w:rFonts w:cs="Segoe UI"/>
        </w:rPr>
        <w:t>freely</w:t>
      </w:r>
      <w:r>
        <w:rPr>
          <w:rFonts w:cs="Segoe UI"/>
        </w:rPr>
        <w:t xml:space="preserve"> </w:t>
      </w:r>
      <w:r w:rsidRPr="006A0C98">
        <w:rPr>
          <w:rFonts w:cs="Segoe UI"/>
        </w:rPr>
        <w:t>exit,</w:t>
      </w:r>
      <w:r>
        <w:rPr>
          <w:rFonts w:cs="Segoe UI"/>
        </w:rPr>
        <w:t xml:space="preserve"> whether or not it is a designated seclusion room</w:t>
      </w:r>
      <w:r w:rsidRPr="006A0C98">
        <w:rPr>
          <w:rFonts w:cs="Segoe UI"/>
        </w:rPr>
        <w:t>,</w:t>
      </w:r>
      <w:r>
        <w:rPr>
          <w:rFonts w:cs="Segoe UI"/>
        </w:rPr>
        <w:t xml:space="preserve"> the service must </w:t>
      </w:r>
      <w:r w:rsidRPr="006A0C98">
        <w:rPr>
          <w:rFonts w:cs="Segoe UI"/>
        </w:rPr>
        <w:t>record</w:t>
      </w:r>
      <w:r>
        <w:rPr>
          <w:rFonts w:cs="Segoe UI"/>
        </w:rPr>
        <w:t xml:space="preserve"> and report this </w:t>
      </w:r>
      <w:r w:rsidRPr="006A0C98">
        <w:rPr>
          <w:rFonts w:cs="Segoe UI"/>
        </w:rPr>
        <w:t>as</w:t>
      </w:r>
      <w:r>
        <w:rPr>
          <w:rFonts w:cs="Segoe UI"/>
        </w:rPr>
        <w:t xml:space="preserve"> seclusion</w:t>
      </w:r>
      <w:r w:rsidRPr="006A0C98">
        <w:rPr>
          <w:rFonts w:cs="Segoe UI"/>
        </w:rPr>
        <w:t>.</w:t>
      </w:r>
      <w:r>
        <w:rPr>
          <w:rFonts w:cs="Segoe UI"/>
        </w:rPr>
        <w:t xml:space="preserve"> The exception is where </w:t>
      </w:r>
      <w:r w:rsidRPr="65AB261C">
        <w:rPr>
          <w:color w:val="000000" w:themeColor="text1"/>
        </w:rPr>
        <w:t>a person’s bedroom door in a Regional Forensic Mental Health Service is locked overnight</w:t>
      </w:r>
      <w:r>
        <w:rPr>
          <w:color w:val="000000" w:themeColor="text1"/>
        </w:rPr>
        <w:t>,</w:t>
      </w:r>
      <w:r w:rsidRPr="65AB261C">
        <w:rPr>
          <w:color w:val="000000" w:themeColor="text1"/>
        </w:rPr>
        <w:t xml:space="preserve"> for the purposes of safety</w:t>
      </w:r>
      <w:r>
        <w:rPr>
          <w:color w:val="000000" w:themeColor="text1"/>
        </w:rPr>
        <w:t>; this</w:t>
      </w:r>
      <w:r w:rsidRPr="65AB261C">
        <w:rPr>
          <w:color w:val="000000" w:themeColor="text1"/>
        </w:rPr>
        <w:t xml:space="preserve"> is considered a form of environmental restraint (see</w:t>
      </w:r>
      <w:r>
        <w:rPr>
          <w:color w:val="000000" w:themeColor="text1"/>
        </w:rPr>
        <w:t xml:space="preserve"> section 7.2.3 above).</w:t>
      </w:r>
    </w:p>
    <w:p w14:paraId="0D970F72" w14:textId="4C6893B4" w:rsidR="00DB1B6E" w:rsidRPr="00314D2B" w:rsidRDefault="00DB1B6E" w:rsidP="00314D2B">
      <w:pPr>
        <w:rPr>
          <w:color w:val="000000" w:themeColor="text1"/>
        </w:rPr>
      </w:pPr>
      <w:r w:rsidRPr="65AB261C">
        <w:rPr>
          <w:color w:val="000000" w:themeColor="text1"/>
        </w:rPr>
        <w:t xml:space="preserve"> </w:t>
      </w:r>
    </w:p>
    <w:p w14:paraId="7738391D" w14:textId="77777777" w:rsidR="00DB1B6E" w:rsidRDefault="00DB1B6E" w:rsidP="00314D2B">
      <w:pPr>
        <w:rPr>
          <w:rFonts w:cs="Segoe UI"/>
        </w:rPr>
      </w:pPr>
      <w:r>
        <w:rPr>
          <w:rFonts w:cs="Segoe UI"/>
        </w:rPr>
        <w:t xml:space="preserve">As for other aspects of the Mental Health Act, we expect that district inspectors will monitor whether services have complied with the procedures in these guidelines by reviewing the restraint and seclusion register and other accompanying documents. </w:t>
      </w:r>
    </w:p>
    <w:p w14:paraId="69A90C04" w14:textId="77777777" w:rsidR="00314D2B" w:rsidRDefault="00314D2B" w:rsidP="00314D2B">
      <w:pPr>
        <w:rPr>
          <w:rFonts w:cs="Segoe UI"/>
        </w:rPr>
      </w:pPr>
    </w:p>
    <w:p w14:paraId="42F41049" w14:textId="51F9ABEB" w:rsidR="00DB1B6E" w:rsidRDefault="00DB1B6E" w:rsidP="00314D2B">
      <w:pPr>
        <w:rPr>
          <w:rFonts w:cs="Segoe UI"/>
        </w:rPr>
      </w:pPr>
      <w:r>
        <w:rPr>
          <w:rFonts w:cs="Segoe UI"/>
        </w:rPr>
        <w:t>Service providers must provide seclusion data to their governing bodies</w:t>
      </w:r>
      <w:r w:rsidRPr="00655DCB">
        <w:rPr>
          <w:rFonts w:cs="Segoe UI"/>
        </w:rPr>
        <w:t xml:space="preserve"> </w:t>
      </w:r>
      <w:r>
        <w:rPr>
          <w:rFonts w:cs="Segoe UI"/>
        </w:rPr>
        <w:t>on a monthly basis (Ngā Paerewa criterion 6.4.2).</w:t>
      </w:r>
    </w:p>
    <w:p w14:paraId="72452F75" w14:textId="77777777" w:rsidR="00FF5CA4" w:rsidRDefault="00FF5CA4" w:rsidP="00314D2B">
      <w:pPr>
        <w:rPr>
          <w:rFonts w:cs="Segoe UI"/>
        </w:rPr>
      </w:pPr>
    </w:p>
    <w:p w14:paraId="28219903" w14:textId="77777777" w:rsidR="00DB1B6E" w:rsidRPr="00B74C8C" w:rsidRDefault="00DB1B6E" w:rsidP="00314D2B">
      <w:pPr>
        <w:pStyle w:val="Heading2"/>
      </w:pPr>
      <w:bookmarkStart w:id="634" w:name="_Toc131663866"/>
      <w:bookmarkStart w:id="635" w:name="_Toc132355350"/>
      <w:r w:rsidRPr="00B74C8C">
        <w:lastRenderedPageBreak/>
        <w:t>Reviewing restraint and seclusion</w:t>
      </w:r>
      <w:bookmarkEnd w:id="634"/>
      <w:bookmarkEnd w:id="635"/>
    </w:p>
    <w:p w14:paraId="2BF7CF6C" w14:textId="77777777" w:rsidR="00DB1B6E" w:rsidRDefault="00DB1B6E" w:rsidP="00314D2B">
      <w:r>
        <w:t>Ngā Paerewa criterion 6.3.1 requires that service providers conduct comprehensive reviews at least 6-monthly of all restraint practices used by the service, including:</w:t>
      </w:r>
    </w:p>
    <w:p w14:paraId="5CDD3913" w14:textId="77777777" w:rsidR="00DB1B6E" w:rsidRPr="00382197" w:rsidRDefault="00DB1B6E" w:rsidP="00314D2B">
      <w:pPr>
        <w:pStyle w:val="Bullet"/>
      </w:pPr>
      <w:r>
        <w:t>t</w:t>
      </w:r>
      <w:r w:rsidRPr="00382197">
        <w:t>hat</w:t>
      </w:r>
      <w:r>
        <w:t xml:space="preserve"> </w:t>
      </w:r>
      <w:r w:rsidRPr="00382197">
        <w:t>a</w:t>
      </w:r>
      <w:r>
        <w:t xml:space="preserve"> </w:t>
      </w:r>
      <w:r w:rsidRPr="00425B68">
        <w:t>human rights-based approach</w:t>
      </w:r>
      <w:r>
        <w:t xml:space="preserve"> </w:t>
      </w:r>
      <w:r w:rsidRPr="00382197">
        <w:t>underpins</w:t>
      </w:r>
      <w:r>
        <w:t xml:space="preserve"> </w:t>
      </w:r>
      <w:r w:rsidRPr="00382197">
        <w:t>the</w:t>
      </w:r>
      <w:r>
        <w:t xml:space="preserve"> </w:t>
      </w:r>
      <w:r w:rsidRPr="00382197">
        <w:t>review</w:t>
      </w:r>
      <w:r>
        <w:t xml:space="preserve"> </w:t>
      </w:r>
      <w:r w:rsidRPr="00382197">
        <w:t>process</w:t>
      </w:r>
      <w:r>
        <w:t xml:space="preserve"> (see section 2.2 above)</w:t>
      </w:r>
    </w:p>
    <w:p w14:paraId="2DE37BC0" w14:textId="77777777" w:rsidR="00DB1B6E" w:rsidRPr="00382197" w:rsidRDefault="00DB1B6E" w:rsidP="00314D2B">
      <w:pPr>
        <w:pStyle w:val="Bullet"/>
      </w:pPr>
      <w:r>
        <w:t>t</w:t>
      </w:r>
      <w:r w:rsidRPr="00382197">
        <w:t>he</w:t>
      </w:r>
      <w:r>
        <w:t xml:space="preserve"> </w:t>
      </w:r>
      <w:r w:rsidRPr="00382197">
        <w:t>extent</w:t>
      </w:r>
      <w:r>
        <w:t xml:space="preserve"> </w:t>
      </w:r>
      <w:r w:rsidRPr="00382197">
        <w:t>of</w:t>
      </w:r>
      <w:r>
        <w:t xml:space="preserve"> </w:t>
      </w:r>
      <w:r w:rsidRPr="00382197">
        <w:t>restraint,</w:t>
      </w:r>
      <w:r>
        <w:t xml:space="preserve"> </w:t>
      </w:r>
      <w:r w:rsidRPr="00382197">
        <w:t>the</w:t>
      </w:r>
      <w:r>
        <w:t xml:space="preserve"> </w:t>
      </w:r>
      <w:r w:rsidRPr="00382197">
        <w:t>types</w:t>
      </w:r>
      <w:r>
        <w:t xml:space="preserve"> </w:t>
      </w:r>
      <w:r w:rsidRPr="00382197">
        <w:t>of</w:t>
      </w:r>
      <w:r>
        <w:t xml:space="preserve"> </w:t>
      </w:r>
      <w:r w:rsidRPr="00382197">
        <w:t>restraint</w:t>
      </w:r>
      <w:r>
        <w:t xml:space="preserve"> </w:t>
      </w:r>
      <w:r w:rsidRPr="00382197">
        <w:t>being</w:t>
      </w:r>
      <w:r>
        <w:t xml:space="preserve"> </w:t>
      </w:r>
      <w:r w:rsidRPr="00382197">
        <w:t>used,</w:t>
      </w:r>
      <w:r>
        <w:t xml:space="preserve"> </w:t>
      </w:r>
      <w:r w:rsidRPr="00382197">
        <w:t>and</w:t>
      </w:r>
      <w:r>
        <w:t xml:space="preserve"> </w:t>
      </w:r>
      <w:r w:rsidRPr="00382197">
        <w:t>any</w:t>
      </w:r>
      <w:r>
        <w:t xml:space="preserve"> </w:t>
      </w:r>
      <w:r w:rsidRPr="00382197">
        <w:t>trends</w:t>
      </w:r>
    </w:p>
    <w:p w14:paraId="0B0F332B" w14:textId="77777777" w:rsidR="00DB1B6E" w:rsidRPr="00382197" w:rsidRDefault="00DB1B6E" w:rsidP="00314D2B">
      <w:pPr>
        <w:pStyle w:val="Bullet"/>
      </w:pPr>
      <w:r>
        <w:t>how the service is m</w:t>
      </w:r>
      <w:r w:rsidRPr="00382197">
        <w:t>itigating</w:t>
      </w:r>
      <w:r>
        <w:t xml:space="preserve"> </w:t>
      </w:r>
      <w:r w:rsidRPr="00382197">
        <w:t>and</w:t>
      </w:r>
      <w:r>
        <w:t xml:space="preserve"> </w:t>
      </w:r>
      <w:r w:rsidRPr="00382197">
        <w:t>managing</w:t>
      </w:r>
      <w:r>
        <w:t xml:space="preserve"> </w:t>
      </w:r>
      <w:r w:rsidRPr="00382197">
        <w:t>the</w:t>
      </w:r>
      <w:r>
        <w:t xml:space="preserve"> </w:t>
      </w:r>
      <w:r w:rsidRPr="00382197">
        <w:t>risk</w:t>
      </w:r>
      <w:r>
        <w:t xml:space="preserve"> </w:t>
      </w:r>
      <w:r w:rsidRPr="00382197">
        <w:t>to</w:t>
      </w:r>
      <w:r>
        <w:t xml:space="preserve"> </w:t>
      </w:r>
      <w:r w:rsidRPr="00382197">
        <w:t>people</w:t>
      </w:r>
      <w:r>
        <w:t xml:space="preserve"> </w:t>
      </w:r>
      <w:r w:rsidRPr="00382197">
        <w:t>and</w:t>
      </w:r>
      <w:r>
        <w:t xml:space="preserve"> </w:t>
      </w:r>
      <w:r w:rsidRPr="00382197">
        <w:t>health</w:t>
      </w:r>
      <w:r>
        <w:t xml:space="preserve"> </w:t>
      </w:r>
      <w:r w:rsidRPr="00382197">
        <w:t>care</w:t>
      </w:r>
      <w:r>
        <w:t xml:space="preserve"> </w:t>
      </w:r>
      <w:r w:rsidRPr="00382197">
        <w:t>and</w:t>
      </w:r>
      <w:r>
        <w:t xml:space="preserve"> </w:t>
      </w:r>
      <w:r w:rsidRPr="00382197">
        <w:t>support</w:t>
      </w:r>
      <w:r>
        <w:t xml:space="preserve"> </w:t>
      </w:r>
      <w:r w:rsidRPr="00382197">
        <w:t>workers</w:t>
      </w:r>
    </w:p>
    <w:p w14:paraId="612AB7DC" w14:textId="77777777" w:rsidR="00DB1B6E" w:rsidRPr="00382197" w:rsidRDefault="00DB1B6E" w:rsidP="00314D2B">
      <w:pPr>
        <w:pStyle w:val="Bullet"/>
      </w:pPr>
      <w:r>
        <w:t>p</w:t>
      </w:r>
      <w:r w:rsidRPr="00382197">
        <w:t>rogress</w:t>
      </w:r>
      <w:r>
        <w:t xml:space="preserve"> </w:t>
      </w:r>
      <w:r w:rsidRPr="00382197">
        <w:t>towards</w:t>
      </w:r>
      <w:r>
        <w:t xml:space="preserve"> </w:t>
      </w:r>
      <w:r w:rsidRPr="00382197">
        <w:t>eliminating</w:t>
      </w:r>
      <w:r>
        <w:t xml:space="preserve"> </w:t>
      </w:r>
      <w:r w:rsidRPr="00382197">
        <w:t>restraint</w:t>
      </w:r>
      <w:r>
        <w:t xml:space="preserve"> </w:t>
      </w:r>
      <w:r w:rsidRPr="00382197">
        <w:t>and</w:t>
      </w:r>
      <w:r>
        <w:t xml:space="preserve"> </w:t>
      </w:r>
      <w:r w:rsidRPr="00382197">
        <w:t>development</w:t>
      </w:r>
      <w:r>
        <w:t xml:space="preserve"> </w:t>
      </w:r>
      <w:r w:rsidRPr="00382197">
        <w:t>of</w:t>
      </w:r>
      <w:r>
        <w:t xml:space="preserve"> </w:t>
      </w:r>
      <w:r w:rsidRPr="00382197">
        <w:t>alternative</w:t>
      </w:r>
      <w:sdt>
        <w:sdtPr>
          <w:tag w:val="goog_rdk_51"/>
          <w:id w:val="150417160"/>
        </w:sdtPr>
        <w:sdtContent>
          <w:r w:rsidRPr="00131A76">
            <w:rPr>
              <w:rFonts w:eastAsia="Quattrocento Sans"/>
            </w:rPr>
            <w:t>s</w:t>
          </w:r>
        </w:sdtContent>
      </w:sdt>
      <w:r>
        <w:t xml:space="preserve"> </w:t>
      </w:r>
      <w:r w:rsidRPr="00382197">
        <w:t>to</w:t>
      </w:r>
      <w:r>
        <w:t xml:space="preserve"> </w:t>
      </w:r>
      <w:r w:rsidRPr="00382197">
        <w:t>using</w:t>
      </w:r>
      <w:r>
        <w:t xml:space="preserve"> </w:t>
      </w:r>
      <w:r w:rsidRPr="00382197">
        <w:t>restraint</w:t>
      </w:r>
    </w:p>
    <w:p w14:paraId="3EDC5873" w14:textId="77777777" w:rsidR="00DB1B6E" w:rsidRPr="00382197" w:rsidRDefault="00DB1B6E" w:rsidP="00314D2B">
      <w:pPr>
        <w:pStyle w:val="Bullet"/>
      </w:pPr>
      <w:r>
        <w:t>a</w:t>
      </w:r>
      <w:r w:rsidRPr="00382197">
        <w:t>dverse</w:t>
      </w:r>
      <w:r>
        <w:t xml:space="preserve"> </w:t>
      </w:r>
      <w:sdt>
        <w:sdtPr>
          <w:tag w:val="goog_rdk_52"/>
          <w:id w:val="-1726444727"/>
        </w:sdtPr>
        <w:sdtContent/>
      </w:sdt>
      <w:r w:rsidRPr="00382197">
        <w:t>outcomes</w:t>
      </w:r>
    </w:p>
    <w:p w14:paraId="263A1257" w14:textId="77777777" w:rsidR="00DB1B6E" w:rsidRPr="00382197" w:rsidRDefault="00DB1B6E" w:rsidP="00314D2B">
      <w:pPr>
        <w:pStyle w:val="Bullet"/>
      </w:pPr>
      <w:r>
        <w:t>c</w:t>
      </w:r>
      <w:r w:rsidRPr="00382197">
        <w:t>ompliance</w:t>
      </w:r>
      <w:r>
        <w:t xml:space="preserve"> </w:t>
      </w:r>
      <w:r w:rsidRPr="00382197">
        <w:t>with</w:t>
      </w:r>
      <w:r>
        <w:t xml:space="preserve"> </w:t>
      </w:r>
      <w:r w:rsidRPr="00382197">
        <w:t>policies</w:t>
      </w:r>
      <w:r>
        <w:t xml:space="preserve"> </w:t>
      </w:r>
      <w:r w:rsidRPr="00382197">
        <w:t>and</w:t>
      </w:r>
      <w:r>
        <w:t xml:space="preserve"> </w:t>
      </w:r>
      <w:r w:rsidRPr="00382197">
        <w:t>procedures,</w:t>
      </w:r>
      <w:r>
        <w:t xml:space="preserve"> </w:t>
      </w:r>
      <w:r w:rsidRPr="00382197">
        <w:t>and</w:t>
      </w:r>
      <w:r>
        <w:t xml:space="preserve"> </w:t>
      </w:r>
      <w:r w:rsidRPr="00382197">
        <w:t>whe</w:t>
      </w:r>
      <w:r>
        <w:t xml:space="preserve">ther </w:t>
      </w:r>
      <w:r w:rsidRPr="00382197">
        <w:t>changes</w:t>
      </w:r>
      <w:r>
        <w:t xml:space="preserve"> </w:t>
      </w:r>
      <w:r w:rsidRPr="00382197">
        <w:t>are</w:t>
      </w:r>
      <w:r>
        <w:t xml:space="preserve"> </w:t>
      </w:r>
      <w:r w:rsidRPr="00382197">
        <w:t>required</w:t>
      </w:r>
    </w:p>
    <w:p w14:paraId="1CDE4FED" w14:textId="77777777" w:rsidR="00DB1B6E" w:rsidRPr="00382197" w:rsidRDefault="00DB1B6E" w:rsidP="00314D2B">
      <w:pPr>
        <w:pStyle w:val="Bullet"/>
      </w:pPr>
      <w:r>
        <w:t>w</w:t>
      </w:r>
      <w:r w:rsidRPr="00382197">
        <w:t>hether</w:t>
      </w:r>
      <w:r>
        <w:t xml:space="preserve"> </w:t>
      </w:r>
      <w:r w:rsidRPr="00382197">
        <w:t>the</w:t>
      </w:r>
      <w:r>
        <w:t xml:space="preserve"> </w:t>
      </w:r>
      <w:r w:rsidRPr="00382197">
        <w:t>approved</w:t>
      </w:r>
      <w:r>
        <w:t xml:space="preserve"> </w:t>
      </w:r>
      <w:r w:rsidRPr="00382197">
        <w:t>restraint</w:t>
      </w:r>
      <w:r>
        <w:t xml:space="preserve"> </w:t>
      </w:r>
      <w:r w:rsidRPr="00382197">
        <w:t>is</w:t>
      </w:r>
      <w:r>
        <w:t xml:space="preserve"> </w:t>
      </w:r>
      <w:r w:rsidRPr="00382197">
        <w:t>necessary;</w:t>
      </w:r>
      <w:r>
        <w:t xml:space="preserve"> </w:t>
      </w:r>
      <w:r w:rsidRPr="00382197">
        <w:t>safe;</w:t>
      </w:r>
      <w:r>
        <w:t xml:space="preserve"> </w:t>
      </w:r>
      <w:r w:rsidRPr="00382197">
        <w:t>of</w:t>
      </w:r>
      <w:r>
        <w:t xml:space="preserve"> </w:t>
      </w:r>
      <w:r w:rsidRPr="00382197">
        <w:t>an</w:t>
      </w:r>
      <w:r>
        <w:t xml:space="preserve"> </w:t>
      </w:r>
      <w:r w:rsidRPr="00382197">
        <w:t>appropriate</w:t>
      </w:r>
      <w:r>
        <w:t xml:space="preserve"> </w:t>
      </w:r>
      <w:r w:rsidRPr="00131A76">
        <w:rPr>
          <w:rFonts w:eastAsia="Quattrocento Sans"/>
        </w:rPr>
        <w:t>dur</w:t>
      </w:r>
      <w:sdt>
        <w:sdtPr>
          <w:tag w:val="goog_rdk_53"/>
          <w:id w:val="-751125520"/>
        </w:sdtPr>
        <w:sdtContent>
          <w:r w:rsidRPr="00131A76">
            <w:rPr>
              <w:rFonts w:eastAsia="Quattrocento Sans"/>
            </w:rPr>
            <w:t>ation</w:t>
          </w:r>
        </w:sdtContent>
      </w:sdt>
      <w:r w:rsidRPr="00382197">
        <w:t>;</w:t>
      </w:r>
      <w:r>
        <w:t xml:space="preserve"> </w:t>
      </w:r>
      <w:r w:rsidRPr="00382197">
        <w:t>and</w:t>
      </w:r>
      <w:r>
        <w:t xml:space="preserve"> </w:t>
      </w:r>
      <w:r w:rsidRPr="00382197">
        <w:t>in</w:t>
      </w:r>
      <w:r>
        <w:t xml:space="preserve"> </w:t>
      </w:r>
      <w:r w:rsidRPr="00382197">
        <w:t>accordance</w:t>
      </w:r>
      <w:r>
        <w:t xml:space="preserve"> </w:t>
      </w:r>
      <w:r w:rsidRPr="00382197">
        <w:t>with</w:t>
      </w:r>
      <w:r>
        <w:t xml:space="preserve"> </w:t>
      </w:r>
      <w:r w:rsidRPr="00382197">
        <w:t>the</w:t>
      </w:r>
      <w:r>
        <w:t xml:space="preserve"> </w:t>
      </w:r>
      <w:r w:rsidRPr="00382197">
        <w:t>person’s</w:t>
      </w:r>
      <w:r>
        <w:t xml:space="preserve"> </w:t>
      </w:r>
      <w:r w:rsidRPr="00382197">
        <w:t>health</w:t>
      </w:r>
      <w:r>
        <w:t xml:space="preserve"> </w:t>
      </w:r>
      <w:r w:rsidRPr="00382197">
        <w:t>care</w:t>
      </w:r>
      <w:sdt>
        <w:sdtPr>
          <w:tag w:val="goog_rdk_55"/>
          <w:id w:val="1228421640"/>
        </w:sdtPr>
        <w:sdtContent>
          <w:r w:rsidRPr="00131A76">
            <w:rPr>
              <w:rFonts w:eastAsia="Quattrocento Sans"/>
            </w:rPr>
            <w:t>,</w:t>
          </w:r>
        </w:sdtContent>
      </w:sdt>
      <w:r>
        <w:t xml:space="preserve"> </w:t>
      </w:r>
      <w:r w:rsidRPr="00382197">
        <w:t>support</w:t>
      </w:r>
      <w:r>
        <w:t xml:space="preserve"> </w:t>
      </w:r>
      <w:r w:rsidRPr="00382197">
        <w:t>workers’</w:t>
      </w:r>
      <w:r>
        <w:t xml:space="preserve"> </w:t>
      </w:r>
      <w:r w:rsidRPr="00382197">
        <w:t>feedback</w:t>
      </w:r>
      <w:sdt>
        <w:sdtPr>
          <w:tag w:val="goog_rdk_57"/>
          <w:id w:val="-1503118242"/>
        </w:sdtPr>
        <w:sdtContent>
          <w:r w:rsidRPr="00131A76">
            <w:rPr>
              <w:rFonts w:eastAsia="Quattrocento Sans"/>
            </w:rPr>
            <w:t>,</w:t>
          </w:r>
        </w:sdtContent>
      </w:sdt>
      <w:r>
        <w:t xml:space="preserve"> </w:t>
      </w:r>
      <w:r w:rsidRPr="00382197">
        <w:t>and</w:t>
      </w:r>
      <w:r>
        <w:t xml:space="preserve"> </w:t>
      </w:r>
      <w:r w:rsidRPr="00382197">
        <w:t>current</w:t>
      </w:r>
      <w:r>
        <w:t xml:space="preserve"> </w:t>
      </w:r>
      <w:r w:rsidRPr="00382197">
        <w:t>evidence-based</w:t>
      </w:r>
      <w:r>
        <w:t xml:space="preserve"> </w:t>
      </w:r>
      <w:r w:rsidRPr="00382197">
        <w:t>best</w:t>
      </w:r>
      <w:r>
        <w:t xml:space="preserve"> </w:t>
      </w:r>
      <w:r w:rsidRPr="00382197">
        <w:t>practice</w:t>
      </w:r>
    </w:p>
    <w:p w14:paraId="17ACF30B" w14:textId="77777777" w:rsidR="00DB1B6E" w:rsidRPr="00382197" w:rsidRDefault="00DB1B6E" w:rsidP="00314D2B">
      <w:pPr>
        <w:pStyle w:val="Bullet"/>
      </w:pPr>
      <w:r>
        <w:t>i</w:t>
      </w:r>
      <w:r w:rsidRPr="00382197">
        <w:t>f</w:t>
      </w:r>
      <w:r>
        <w:t xml:space="preserve"> </w:t>
      </w:r>
      <w:r w:rsidRPr="00382197">
        <w:t>the</w:t>
      </w:r>
      <w:r>
        <w:t xml:space="preserve"> </w:t>
      </w:r>
      <w:r w:rsidRPr="00382197">
        <w:t>person’s</w:t>
      </w:r>
      <w:r>
        <w:t xml:space="preserve"> </w:t>
      </w:r>
      <w:r w:rsidRPr="00382197">
        <w:t>care</w:t>
      </w:r>
      <w:r>
        <w:t xml:space="preserve"> </w:t>
      </w:r>
      <w:r w:rsidRPr="00382197">
        <w:t>or</w:t>
      </w:r>
      <w:r>
        <w:t xml:space="preserve"> </w:t>
      </w:r>
      <w:r w:rsidRPr="00382197">
        <w:t>support</w:t>
      </w:r>
      <w:r>
        <w:t xml:space="preserve"> </w:t>
      </w:r>
      <w:r w:rsidRPr="00382197">
        <w:t>plans</w:t>
      </w:r>
      <w:r>
        <w:t xml:space="preserve"> </w:t>
      </w:r>
      <w:r w:rsidRPr="00382197">
        <w:t>identified</w:t>
      </w:r>
      <w:r>
        <w:t xml:space="preserve"> </w:t>
      </w:r>
      <w:r w:rsidRPr="00382197">
        <w:t>alternative</w:t>
      </w:r>
      <w:r>
        <w:t xml:space="preserve"> </w:t>
      </w:r>
      <w:r w:rsidRPr="00382197">
        <w:t>techniques</w:t>
      </w:r>
      <w:r>
        <w:t xml:space="preserve"> </w:t>
      </w:r>
      <w:r w:rsidRPr="00382197">
        <w:t>to</w:t>
      </w:r>
      <w:r>
        <w:t xml:space="preserve"> </w:t>
      </w:r>
      <w:sdt>
        <w:sdtPr>
          <w:tag w:val="goog_rdk_58"/>
          <w:id w:val="964318648"/>
        </w:sdtPr>
        <w:sdtContent/>
      </w:sdt>
      <w:r w:rsidRPr="00382197">
        <w:t>restraint</w:t>
      </w:r>
    </w:p>
    <w:p w14:paraId="60F4AC75" w14:textId="77777777" w:rsidR="00DB1B6E" w:rsidRPr="00382197" w:rsidRDefault="00DB1B6E" w:rsidP="00314D2B">
      <w:pPr>
        <w:pStyle w:val="Bullet"/>
      </w:pPr>
      <w:r w:rsidRPr="334F3341">
        <w:rPr>
          <w:color w:val="000000" w:themeColor="text1"/>
        </w:rPr>
        <w:t>the person</w:t>
      </w:r>
      <w:r>
        <w:rPr>
          <w:color w:val="000000" w:themeColor="text1"/>
        </w:rPr>
        <w:t>’s</w:t>
      </w:r>
      <w:r w:rsidRPr="334F3341">
        <w:rPr>
          <w:color w:val="000000" w:themeColor="text1"/>
        </w:rPr>
        <w:t xml:space="preserve"> perspectives </w:t>
      </w:r>
      <w:r>
        <w:rPr>
          <w:color w:val="000000" w:themeColor="text1"/>
        </w:rPr>
        <w:t xml:space="preserve">and those of their </w:t>
      </w:r>
      <w:r w:rsidRPr="334F3341">
        <w:rPr>
          <w:color w:val="000000" w:themeColor="text1"/>
        </w:rPr>
        <w:t>whānau are documented as part of the comprehensive review</w:t>
      </w:r>
    </w:p>
    <w:p w14:paraId="2588FEF0" w14:textId="77777777" w:rsidR="00DB1B6E" w:rsidRPr="00382197" w:rsidRDefault="00DB1B6E" w:rsidP="00314D2B">
      <w:pPr>
        <w:pStyle w:val="Bullet"/>
      </w:pPr>
      <w:r>
        <w:t>c</w:t>
      </w:r>
      <w:r w:rsidRPr="00382197">
        <w:t>onsideration</w:t>
      </w:r>
      <w:r>
        <w:t xml:space="preserve"> </w:t>
      </w:r>
      <w:r w:rsidRPr="00382197">
        <w:t>of</w:t>
      </w:r>
      <w:r>
        <w:t xml:space="preserve"> </w:t>
      </w:r>
      <w:r w:rsidRPr="00382197">
        <w:t>the</w:t>
      </w:r>
      <w:r>
        <w:t xml:space="preserve"> </w:t>
      </w:r>
      <w:r w:rsidRPr="00382197">
        <w:t>role</w:t>
      </w:r>
      <w:r>
        <w:t xml:space="preserve"> </w:t>
      </w:r>
      <w:r w:rsidRPr="00382197">
        <w:t>of</w:t>
      </w:r>
      <w:r>
        <w:t xml:space="preserve"> </w:t>
      </w:r>
      <w:r w:rsidRPr="00382197">
        <w:t>whānau</w:t>
      </w:r>
      <w:r>
        <w:t xml:space="preserve"> </w:t>
      </w:r>
      <w:r w:rsidRPr="00382197">
        <w:t>at</w:t>
      </w:r>
      <w:r>
        <w:t xml:space="preserve"> </w:t>
      </w:r>
      <w:r w:rsidRPr="00382197">
        <w:t>the</w:t>
      </w:r>
      <w:r>
        <w:t xml:space="preserve"> </w:t>
      </w:r>
      <w:r w:rsidRPr="00382197">
        <w:t>onset</w:t>
      </w:r>
      <w:r>
        <w:t xml:space="preserve"> </w:t>
      </w:r>
      <w:r w:rsidRPr="00382197">
        <w:t>and</w:t>
      </w:r>
      <w:r>
        <w:t xml:space="preserve"> </w:t>
      </w:r>
      <w:r w:rsidRPr="00382197">
        <w:t>evaluation</w:t>
      </w:r>
      <w:r>
        <w:t xml:space="preserve"> </w:t>
      </w:r>
      <w:r w:rsidRPr="00382197">
        <w:t>of</w:t>
      </w:r>
      <w:r>
        <w:t xml:space="preserve"> every instance of re</w:t>
      </w:r>
      <w:r w:rsidRPr="00382197">
        <w:t>straint</w:t>
      </w:r>
    </w:p>
    <w:p w14:paraId="13A90F63" w14:textId="77777777" w:rsidR="00DB1B6E" w:rsidRPr="00382197" w:rsidRDefault="00DB1B6E" w:rsidP="00314D2B">
      <w:pPr>
        <w:pStyle w:val="Bullet"/>
      </w:pPr>
      <w:r>
        <w:t>d</w:t>
      </w:r>
      <w:r w:rsidRPr="00382197">
        <w:t>ata</w:t>
      </w:r>
      <w:r>
        <w:t xml:space="preserve"> </w:t>
      </w:r>
      <w:r w:rsidRPr="00382197">
        <w:t>collection</w:t>
      </w:r>
      <w:r>
        <w:t xml:space="preserve"> </w:t>
      </w:r>
      <w:r w:rsidRPr="00382197">
        <w:t>and</w:t>
      </w:r>
      <w:r>
        <w:t xml:space="preserve"> </w:t>
      </w:r>
      <w:r w:rsidRPr="00382197">
        <w:t>analysis</w:t>
      </w:r>
      <w:r>
        <w:t xml:space="preserve"> </w:t>
      </w:r>
      <w:r w:rsidRPr="00382197">
        <w:t>(</w:t>
      </w:r>
      <w:r>
        <w:t xml:space="preserve">including identifying </w:t>
      </w:r>
      <w:r w:rsidRPr="00382197">
        <w:t>changes</w:t>
      </w:r>
      <w:r>
        <w:t xml:space="preserve"> </w:t>
      </w:r>
      <w:r w:rsidRPr="00382197">
        <w:t>to</w:t>
      </w:r>
      <w:r>
        <w:t xml:space="preserve"> </w:t>
      </w:r>
      <w:r w:rsidRPr="00382197">
        <w:t>care</w:t>
      </w:r>
      <w:r>
        <w:t xml:space="preserve"> </w:t>
      </w:r>
      <w:r w:rsidRPr="00382197">
        <w:t>or</w:t>
      </w:r>
      <w:r>
        <w:t xml:space="preserve"> </w:t>
      </w:r>
      <w:r w:rsidRPr="00382197">
        <w:t>support</w:t>
      </w:r>
      <w:r>
        <w:t xml:space="preserve"> </w:t>
      </w:r>
      <w:r w:rsidRPr="00382197">
        <w:t>plans</w:t>
      </w:r>
      <w:r>
        <w:t xml:space="preserve"> </w:t>
      </w:r>
      <w:r w:rsidRPr="00382197">
        <w:t>and</w:t>
      </w:r>
      <w:r>
        <w:t xml:space="preserve"> </w:t>
      </w:r>
      <w:r w:rsidRPr="00382197">
        <w:t>documenting</w:t>
      </w:r>
      <w:r>
        <w:t xml:space="preserve"> </w:t>
      </w:r>
      <w:r w:rsidRPr="00382197">
        <w:t>and</w:t>
      </w:r>
      <w:r>
        <w:t xml:space="preserve"> </w:t>
      </w:r>
      <w:r w:rsidRPr="00382197">
        <w:t>analysing</w:t>
      </w:r>
      <w:r>
        <w:t xml:space="preserve"> </w:t>
      </w:r>
      <w:r w:rsidRPr="00382197">
        <w:t>learnings</w:t>
      </w:r>
      <w:r>
        <w:t xml:space="preserve"> </w:t>
      </w:r>
      <w:r w:rsidRPr="00382197">
        <w:t>from</w:t>
      </w:r>
      <w:r>
        <w:t xml:space="preserve"> </w:t>
      </w:r>
      <w:r w:rsidRPr="00382197">
        <w:t>each</w:t>
      </w:r>
      <w:r>
        <w:t xml:space="preserve"> </w:t>
      </w:r>
      <w:r w:rsidRPr="00382197">
        <w:t>event)</w:t>
      </w:r>
    </w:p>
    <w:p w14:paraId="57C00668" w14:textId="517AACC6" w:rsidR="00DB1B6E" w:rsidRPr="00382197" w:rsidRDefault="00DB1B6E" w:rsidP="00314D2B">
      <w:pPr>
        <w:pStyle w:val="Bullet"/>
      </w:pPr>
      <w:r w:rsidRPr="334F3341">
        <w:rPr>
          <w:color w:val="000000" w:themeColor="text1"/>
        </w:rPr>
        <w:t>service provider initiatives and approaches supporting a restraint-free environment</w:t>
      </w:r>
      <w:r>
        <w:rPr>
          <w:color w:val="000000" w:themeColor="text1"/>
        </w:rPr>
        <w:t>.</w:t>
      </w:r>
    </w:p>
    <w:p w14:paraId="68CE9F6F" w14:textId="77777777" w:rsidR="00314D2B" w:rsidRDefault="00314D2B" w:rsidP="00DB1B6E">
      <w:pPr>
        <w:spacing w:line="276" w:lineRule="auto"/>
        <w:rPr>
          <w:rFonts w:cs="Segoe UI"/>
        </w:rPr>
      </w:pPr>
    </w:p>
    <w:p w14:paraId="7CC29B85" w14:textId="53CC89C8" w:rsidR="00DB1B6E" w:rsidRDefault="00DB1B6E" w:rsidP="00314D2B">
      <w:r>
        <w:t xml:space="preserve">Services should report the outcome of such reviews to the governance body. </w:t>
      </w:r>
    </w:p>
    <w:p w14:paraId="5A49225D" w14:textId="77777777" w:rsidR="00FF5CA4" w:rsidRDefault="00FF5CA4" w:rsidP="00314D2B"/>
    <w:p w14:paraId="50D5320E" w14:textId="633A9A95" w:rsidR="00DB1B6E" w:rsidRDefault="00DB1B6E" w:rsidP="00314D2B">
      <w:r>
        <w:t xml:space="preserve">Ngā Paerewa criterion 6.4.7 </w:t>
      </w:r>
      <w:r w:rsidRPr="00131A76">
        <w:rPr>
          <w:rFonts w:eastAsia="Quattrocento Sans"/>
        </w:rPr>
        <w:t>require</w:t>
      </w:r>
      <w:r>
        <w:rPr>
          <w:rFonts w:eastAsia="Quattrocento Sans"/>
        </w:rPr>
        <w:t>s</w:t>
      </w:r>
      <w:r>
        <w:t xml:space="preserve"> that service </w:t>
      </w:r>
      <w:r w:rsidRPr="00131A76">
        <w:rPr>
          <w:rFonts w:eastAsia="Quattrocento Sans"/>
        </w:rPr>
        <w:t>providers</w:t>
      </w:r>
      <w:r>
        <w:rPr>
          <w:rFonts w:eastAsia="Quattrocento Sans"/>
        </w:rPr>
        <w:t xml:space="preserve"> </w:t>
      </w:r>
      <w:r w:rsidRPr="00131A76">
        <w:rPr>
          <w:rFonts w:eastAsia="Quattrocento Sans"/>
        </w:rPr>
        <w:t>conduct</w:t>
      </w:r>
      <w:r>
        <w:t xml:space="preserve"> comprehensive reviews at least 6-monthly of all seclusion events, to determine how the service is working towards maintaining zero seclusion, </w:t>
      </w:r>
      <w:r w:rsidRPr="00131A76">
        <w:rPr>
          <w:rFonts w:eastAsia="Quattrocento Sans"/>
        </w:rPr>
        <w:t>and</w:t>
      </w:r>
      <w:r>
        <w:rPr>
          <w:rFonts w:eastAsia="Quattrocento Sans"/>
        </w:rPr>
        <w:t xml:space="preserve"> </w:t>
      </w:r>
      <w:r>
        <w:t>to determine:</w:t>
      </w:r>
    </w:p>
    <w:p w14:paraId="1DEE1CED" w14:textId="77777777" w:rsidR="00DB1B6E" w:rsidRPr="00E22D4C" w:rsidRDefault="00DB1B6E" w:rsidP="00314D2B">
      <w:pPr>
        <w:pStyle w:val="Bullet"/>
      </w:pPr>
      <w:r>
        <w:t>t</w:t>
      </w:r>
      <w:r w:rsidRPr="00145063">
        <w:t>hat</w:t>
      </w:r>
      <w:r>
        <w:t xml:space="preserve"> </w:t>
      </w:r>
      <w:r w:rsidRPr="00145063">
        <w:t>a</w:t>
      </w:r>
      <w:r>
        <w:t xml:space="preserve"> </w:t>
      </w:r>
      <w:r w:rsidRPr="00B11EF4">
        <w:t>human rights-based approach</w:t>
      </w:r>
      <w:r>
        <w:t xml:space="preserve"> </w:t>
      </w:r>
      <w:r w:rsidRPr="00145063">
        <w:t>underpins</w:t>
      </w:r>
      <w:r>
        <w:t xml:space="preserve"> </w:t>
      </w:r>
      <w:r w:rsidRPr="00145063">
        <w:t>the</w:t>
      </w:r>
      <w:r>
        <w:t xml:space="preserve"> </w:t>
      </w:r>
      <w:r w:rsidRPr="00145063">
        <w:t>review</w:t>
      </w:r>
      <w:r>
        <w:t xml:space="preserve"> </w:t>
      </w:r>
      <w:r w:rsidRPr="00145063">
        <w:t>process</w:t>
      </w:r>
      <w:r>
        <w:t xml:space="preserve"> </w:t>
      </w:r>
      <w:r>
        <w:rPr>
          <w:rFonts w:cs="Segoe UI"/>
        </w:rPr>
        <w:t>(see section 2.2 above)</w:t>
      </w:r>
    </w:p>
    <w:p w14:paraId="52D881C5" w14:textId="77777777" w:rsidR="00DB1B6E" w:rsidRPr="001362A9" w:rsidRDefault="00DB1B6E" w:rsidP="00314D2B">
      <w:pPr>
        <w:pStyle w:val="Bullet"/>
      </w:pPr>
      <w:r>
        <w:t>t</w:t>
      </w:r>
      <w:r w:rsidRPr="00E22D4C">
        <w:t>he</w:t>
      </w:r>
      <w:r>
        <w:t xml:space="preserve"> </w:t>
      </w:r>
      <w:r w:rsidRPr="00E22D4C">
        <w:t>number</w:t>
      </w:r>
      <w:r>
        <w:t xml:space="preserve"> </w:t>
      </w:r>
      <w:r w:rsidRPr="00E22D4C">
        <w:t>of</w:t>
      </w:r>
      <w:r>
        <w:t xml:space="preserve"> </w:t>
      </w:r>
      <w:r w:rsidRPr="00E22D4C">
        <w:t>people</w:t>
      </w:r>
      <w:r>
        <w:t xml:space="preserve"> </w:t>
      </w:r>
      <w:r w:rsidRPr="00E22D4C">
        <w:t>secluded,</w:t>
      </w:r>
      <w:r>
        <w:t xml:space="preserve"> </w:t>
      </w:r>
      <w:r w:rsidRPr="00E22D4C">
        <w:t>the</w:t>
      </w:r>
      <w:r>
        <w:t xml:space="preserve"> </w:t>
      </w:r>
      <w:r w:rsidRPr="00E22D4C">
        <w:t>number</w:t>
      </w:r>
      <w:r>
        <w:t xml:space="preserve"> </w:t>
      </w:r>
      <w:r w:rsidRPr="00E22D4C">
        <w:t>of</w:t>
      </w:r>
      <w:r>
        <w:t xml:space="preserve"> </w:t>
      </w:r>
      <w:r w:rsidRPr="00E22D4C">
        <w:t>episodes</w:t>
      </w:r>
      <w:r>
        <w:t xml:space="preserve"> </w:t>
      </w:r>
      <w:r w:rsidRPr="00E22D4C">
        <w:t>of</w:t>
      </w:r>
      <w:r>
        <w:t xml:space="preserve"> </w:t>
      </w:r>
      <w:r w:rsidRPr="00E22D4C">
        <w:t>seclusion,</w:t>
      </w:r>
      <w:r>
        <w:t xml:space="preserve"> </w:t>
      </w:r>
      <w:r w:rsidRPr="00E22D4C">
        <w:t>their</w:t>
      </w:r>
      <w:r>
        <w:t xml:space="preserve"> </w:t>
      </w:r>
      <w:r w:rsidRPr="00E22D4C">
        <w:t>duration,</w:t>
      </w:r>
      <w:r>
        <w:t xml:space="preserve"> </w:t>
      </w:r>
      <w:r w:rsidRPr="001362A9">
        <w:t>demographics</w:t>
      </w:r>
      <w:r>
        <w:t xml:space="preserve"> </w:t>
      </w:r>
      <w:r w:rsidRPr="001362A9">
        <w:t>and</w:t>
      </w:r>
      <w:r>
        <w:t xml:space="preserve"> </w:t>
      </w:r>
      <w:r w:rsidRPr="001362A9">
        <w:t>any</w:t>
      </w:r>
      <w:r>
        <w:t xml:space="preserve"> </w:t>
      </w:r>
      <w:r w:rsidRPr="001362A9">
        <w:t>trends</w:t>
      </w:r>
    </w:p>
    <w:p w14:paraId="56F73BF4" w14:textId="77777777" w:rsidR="00DB1B6E" w:rsidRPr="001362A9" w:rsidRDefault="00DB1B6E" w:rsidP="00314D2B">
      <w:pPr>
        <w:pStyle w:val="Bullet"/>
      </w:pPr>
      <w:r>
        <w:rPr>
          <w:rFonts w:cs="Segoe UI"/>
        </w:rPr>
        <w:t xml:space="preserve">how the service is </w:t>
      </w:r>
      <w:r>
        <w:t>m</w:t>
      </w:r>
      <w:r w:rsidRPr="001362A9">
        <w:t>itigating</w:t>
      </w:r>
      <w:r>
        <w:t xml:space="preserve"> </w:t>
      </w:r>
      <w:r w:rsidRPr="001362A9">
        <w:t>and</w:t>
      </w:r>
      <w:r>
        <w:t xml:space="preserve"> </w:t>
      </w:r>
      <w:r w:rsidRPr="001362A9">
        <w:t>managing</w:t>
      </w:r>
      <w:r>
        <w:t xml:space="preserve"> </w:t>
      </w:r>
      <w:r w:rsidRPr="001362A9">
        <w:t>the</w:t>
      </w:r>
      <w:r>
        <w:t xml:space="preserve"> </w:t>
      </w:r>
      <w:r w:rsidRPr="001362A9">
        <w:t>risk</w:t>
      </w:r>
      <w:r>
        <w:t xml:space="preserve"> </w:t>
      </w:r>
      <w:r w:rsidRPr="001362A9">
        <w:t>to</w:t>
      </w:r>
      <w:r>
        <w:t xml:space="preserve"> </w:t>
      </w:r>
      <w:r w:rsidRPr="001362A9">
        <w:t>the</w:t>
      </w:r>
      <w:r>
        <w:t xml:space="preserve"> </w:t>
      </w:r>
      <w:r w:rsidRPr="001362A9">
        <w:t>person,</w:t>
      </w:r>
      <w:r>
        <w:t xml:space="preserve"> </w:t>
      </w:r>
      <w:r w:rsidRPr="001362A9">
        <w:t>other</w:t>
      </w:r>
      <w:r>
        <w:t xml:space="preserve"> </w:t>
      </w:r>
      <w:r w:rsidRPr="001362A9">
        <w:t>people</w:t>
      </w:r>
      <w:r>
        <w:t xml:space="preserve"> </w:t>
      </w:r>
      <w:r w:rsidRPr="001362A9">
        <w:t>in</w:t>
      </w:r>
      <w:r>
        <w:t xml:space="preserve"> </w:t>
      </w:r>
      <w:r w:rsidRPr="001362A9">
        <w:t>the</w:t>
      </w:r>
      <w:r>
        <w:t xml:space="preserve"> </w:t>
      </w:r>
      <w:r w:rsidRPr="001362A9">
        <w:t>environment,</w:t>
      </w:r>
      <w:r>
        <w:t xml:space="preserve"> </w:t>
      </w:r>
      <w:r w:rsidRPr="001362A9">
        <w:t>and</w:t>
      </w:r>
      <w:r>
        <w:t xml:space="preserve"> </w:t>
      </w:r>
      <w:r w:rsidRPr="001362A9">
        <w:t>health</w:t>
      </w:r>
      <w:r>
        <w:t xml:space="preserve"> </w:t>
      </w:r>
      <w:r w:rsidRPr="001362A9">
        <w:t>care</w:t>
      </w:r>
      <w:r>
        <w:t xml:space="preserve"> </w:t>
      </w:r>
      <w:r w:rsidRPr="001362A9">
        <w:t>and</w:t>
      </w:r>
      <w:r>
        <w:t xml:space="preserve"> </w:t>
      </w:r>
      <w:r w:rsidRPr="001362A9">
        <w:t>support</w:t>
      </w:r>
      <w:r>
        <w:t xml:space="preserve"> </w:t>
      </w:r>
      <w:r w:rsidRPr="001362A9">
        <w:t>workers</w:t>
      </w:r>
    </w:p>
    <w:p w14:paraId="65C3F43A" w14:textId="77777777" w:rsidR="00DB1B6E" w:rsidRPr="0059689D" w:rsidRDefault="00DB1B6E" w:rsidP="00314D2B">
      <w:pPr>
        <w:pStyle w:val="Bullet"/>
      </w:pPr>
      <w:r>
        <w:t>pr</w:t>
      </w:r>
      <w:r w:rsidRPr="001362A9">
        <w:t>ogress</w:t>
      </w:r>
      <w:r>
        <w:t xml:space="preserve"> </w:t>
      </w:r>
      <w:r w:rsidRPr="001362A9">
        <w:t>towards</w:t>
      </w:r>
      <w:r>
        <w:t xml:space="preserve"> </w:t>
      </w:r>
      <w:r w:rsidRPr="001362A9">
        <w:t>eliminating</w:t>
      </w:r>
      <w:r>
        <w:t xml:space="preserve"> </w:t>
      </w:r>
      <w:r w:rsidRPr="001362A9">
        <w:t>seclusion,</w:t>
      </w:r>
      <w:r>
        <w:t xml:space="preserve"> </w:t>
      </w:r>
      <w:r w:rsidRPr="001362A9">
        <w:t>and</w:t>
      </w:r>
      <w:r>
        <w:t xml:space="preserve"> </w:t>
      </w:r>
      <w:r w:rsidRPr="001362A9">
        <w:t>development</w:t>
      </w:r>
      <w:r>
        <w:t xml:space="preserve"> </w:t>
      </w:r>
      <w:r w:rsidRPr="001362A9">
        <w:t>of</w:t>
      </w:r>
      <w:r>
        <w:t xml:space="preserve"> </w:t>
      </w:r>
      <w:r w:rsidRPr="001362A9">
        <w:t>the</w:t>
      </w:r>
      <w:r>
        <w:t xml:space="preserve"> </w:t>
      </w:r>
      <w:r w:rsidRPr="001362A9">
        <w:t>many</w:t>
      </w:r>
      <w:r>
        <w:t xml:space="preserve"> </w:t>
      </w:r>
      <w:r w:rsidRPr="001362A9">
        <w:t>alternatives</w:t>
      </w:r>
      <w:r>
        <w:t xml:space="preserve"> </w:t>
      </w:r>
      <w:r w:rsidRPr="0059689D">
        <w:t>to</w:t>
      </w:r>
      <w:r>
        <w:t xml:space="preserve"> </w:t>
      </w:r>
      <w:r w:rsidRPr="0059689D">
        <w:t>using</w:t>
      </w:r>
      <w:r>
        <w:t xml:space="preserve"> </w:t>
      </w:r>
      <w:r w:rsidRPr="0059689D">
        <w:t>seclusion</w:t>
      </w:r>
    </w:p>
    <w:p w14:paraId="297D4730" w14:textId="77777777" w:rsidR="00DB1B6E" w:rsidRPr="0059689D" w:rsidRDefault="00DB1B6E" w:rsidP="00314D2B">
      <w:pPr>
        <w:pStyle w:val="Bullet"/>
      </w:pPr>
      <w:r>
        <w:t>a</w:t>
      </w:r>
      <w:r w:rsidRPr="0059689D">
        <w:t>dverse</w:t>
      </w:r>
      <w:r>
        <w:t xml:space="preserve"> </w:t>
      </w:r>
      <w:r w:rsidRPr="0059689D">
        <w:t>outcomes</w:t>
      </w:r>
    </w:p>
    <w:p w14:paraId="4620C86A" w14:textId="77777777" w:rsidR="00DB1B6E" w:rsidRDefault="00DB1B6E" w:rsidP="00314D2B">
      <w:pPr>
        <w:pStyle w:val="Bullet"/>
      </w:pPr>
      <w:r>
        <w:t>c</w:t>
      </w:r>
      <w:r w:rsidRPr="0059689D">
        <w:t>ompliance</w:t>
      </w:r>
      <w:r>
        <w:t xml:space="preserve"> </w:t>
      </w:r>
      <w:r w:rsidRPr="0059689D">
        <w:t>with</w:t>
      </w:r>
      <w:r>
        <w:t xml:space="preserve"> </w:t>
      </w:r>
      <w:r w:rsidRPr="0059689D">
        <w:t>policies</w:t>
      </w:r>
      <w:r>
        <w:t xml:space="preserve"> </w:t>
      </w:r>
      <w:r w:rsidRPr="0059689D">
        <w:t>and</w:t>
      </w:r>
      <w:r>
        <w:t xml:space="preserve"> </w:t>
      </w:r>
      <w:r w:rsidRPr="0059689D">
        <w:t>procedures,</w:t>
      </w:r>
      <w:r>
        <w:t xml:space="preserve"> </w:t>
      </w:r>
      <w:r w:rsidRPr="0059689D">
        <w:t>and</w:t>
      </w:r>
      <w:r>
        <w:t xml:space="preserve"> </w:t>
      </w:r>
      <w:r w:rsidRPr="0059689D">
        <w:t>whether</w:t>
      </w:r>
      <w:r>
        <w:t xml:space="preserve"> </w:t>
      </w:r>
      <w:r w:rsidRPr="0059689D">
        <w:t>changes</w:t>
      </w:r>
      <w:r>
        <w:t xml:space="preserve"> </w:t>
      </w:r>
      <w:r w:rsidRPr="0059689D">
        <w:t>are</w:t>
      </w:r>
      <w:r>
        <w:t xml:space="preserve"> </w:t>
      </w:r>
      <w:r w:rsidRPr="0059689D">
        <w:t>required</w:t>
      </w:r>
    </w:p>
    <w:p w14:paraId="72B56B63" w14:textId="77777777" w:rsidR="00DB1B6E" w:rsidRPr="0059689D" w:rsidRDefault="00DB1B6E" w:rsidP="00314D2B">
      <w:pPr>
        <w:pStyle w:val="Bullet"/>
      </w:pPr>
      <w:r>
        <w:lastRenderedPageBreak/>
        <w:t>w</w:t>
      </w:r>
      <w:r w:rsidRPr="0059689D">
        <w:t>hether</w:t>
      </w:r>
      <w:r>
        <w:t xml:space="preserve"> </w:t>
      </w:r>
      <w:r w:rsidRPr="0059689D">
        <w:t>there</w:t>
      </w:r>
      <w:r>
        <w:t xml:space="preserve"> </w:t>
      </w:r>
      <w:r w:rsidRPr="0059689D">
        <w:t>are</w:t>
      </w:r>
      <w:r>
        <w:t xml:space="preserve"> </w:t>
      </w:r>
      <w:r w:rsidRPr="0059689D">
        <w:t>additional</w:t>
      </w:r>
      <w:r>
        <w:t xml:space="preserve"> </w:t>
      </w:r>
      <w:r w:rsidRPr="0059689D">
        <w:t>education</w:t>
      </w:r>
      <w:r>
        <w:t xml:space="preserve"> </w:t>
      </w:r>
      <w:r w:rsidRPr="0059689D">
        <w:t>or</w:t>
      </w:r>
      <w:r>
        <w:t xml:space="preserve"> </w:t>
      </w:r>
      <w:r w:rsidRPr="0059689D">
        <w:t>training</w:t>
      </w:r>
      <w:r>
        <w:t xml:space="preserve"> </w:t>
      </w:r>
      <w:r w:rsidRPr="0059689D">
        <w:t>needs,</w:t>
      </w:r>
      <w:r>
        <w:t xml:space="preserve"> </w:t>
      </w:r>
      <w:r w:rsidRPr="0059689D">
        <w:t>or</w:t>
      </w:r>
      <w:r>
        <w:t xml:space="preserve"> </w:t>
      </w:r>
      <w:r w:rsidRPr="0059689D">
        <w:t>changes</w:t>
      </w:r>
      <w:r>
        <w:t xml:space="preserve"> </w:t>
      </w:r>
      <w:r w:rsidRPr="0059689D">
        <w:t>required</w:t>
      </w:r>
      <w:r>
        <w:t xml:space="preserve"> </w:t>
      </w:r>
      <w:r w:rsidRPr="0059689D">
        <w:t>to</w:t>
      </w:r>
      <w:r>
        <w:t xml:space="preserve"> </w:t>
      </w:r>
      <w:r w:rsidRPr="0059689D">
        <w:t>existing</w:t>
      </w:r>
      <w:r>
        <w:t xml:space="preserve"> </w:t>
      </w:r>
      <w:r w:rsidRPr="0059689D">
        <w:t>seclusion-elimination</w:t>
      </w:r>
      <w:r>
        <w:t xml:space="preserve"> </w:t>
      </w:r>
      <w:r w:rsidRPr="0059689D">
        <w:t>education</w:t>
      </w:r>
    </w:p>
    <w:p w14:paraId="34E5AFD9" w14:textId="77777777" w:rsidR="00DB1B6E" w:rsidRDefault="00DB1B6E" w:rsidP="00314D2B">
      <w:pPr>
        <w:pStyle w:val="Bullet"/>
      </w:pPr>
      <w:r w:rsidRPr="004630A2">
        <w:t>service provider initiatives, and approaches that support and will achieve zero seclusion</w:t>
      </w:r>
      <w:r>
        <w:t>.</w:t>
      </w:r>
    </w:p>
    <w:p w14:paraId="7DED4E5F" w14:textId="77777777" w:rsidR="00314D2B" w:rsidRDefault="00314D2B" w:rsidP="00314D2B"/>
    <w:p w14:paraId="6A97ED79" w14:textId="28D7E808" w:rsidR="00DB1B6E" w:rsidRPr="005A49D6" w:rsidRDefault="00DB1B6E" w:rsidP="00314D2B">
      <w:r>
        <w:t>Services should report t</w:t>
      </w:r>
      <w:r w:rsidRPr="005A49D6">
        <w:t xml:space="preserve">he outcome of </w:t>
      </w:r>
      <w:r>
        <w:t xml:space="preserve">such </w:t>
      </w:r>
      <w:r w:rsidRPr="005A49D6">
        <w:t>review</w:t>
      </w:r>
      <w:r>
        <w:t>s</w:t>
      </w:r>
      <w:r w:rsidRPr="005A49D6">
        <w:t xml:space="preserve"> to the governance body.</w:t>
      </w:r>
    </w:p>
    <w:p w14:paraId="617E2C66" w14:textId="77777777" w:rsidR="00DB1B6E" w:rsidRDefault="00DB1B6E" w:rsidP="00314D2B">
      <w:pPr>
        <w:pStyle w:val="Heading2"/>
      </w:pPr>
      <w:bookmarkStart w:id="636" w:name="_Toc131663867"/>
      <w:bookmarkStart w:id="637" w:name="_Toc132355351"/>
      <w:r w:rsidRPr="008E67DC">
        <w:t xml:space="preserve">Reporting to </w:t>
      </w:r>
      <w:r>
        <w:t>Manatū Hauora</w:t>
      </w:r>
      <w:bookmarkEnd w:id="636"/>
      <w:bookmarkEnd w:id="637"/>
    </w:p>
    <w:p w14:paraId="407A1F0B" w14:textId="54A0CDBD" w:rsidR="00DB1B6E" w:rsidRDefault="00DB1B6E" w:rsidP="00314D2B">
      <w:r>
        <w:t xml:space="preserve">The Director of Mental Health requires the DAMHS to submit restraint data on a quarterly basis. This currently includes data on the number of people restrained and the number of restraint events, alongside the ethnicity, gender and age of the people restrained and the type of restraint </w:t>
      </w:r>
      <w:sdt>
        <w:sdtPr>
          <w:tag w:val="goog_rdk_60"/>
          <w:id w:val="-1969122646"/>
        </w:sdtPr>
        <w:sdtContent/>
      </w:sdt>
      <w:r>
        <w:t>used.</w:t>
      </w:r>
    </w:p>
    <w:p w14:paraId="3801B96E" w14:textId="77777777" w:rsidR="00314D2B" w:rsidRDefault="00314D2B" w:rsidP="00314D2B"/>
    <w:p w14:paraId="2805C89B" w14:textId="77777777" w:rsidR="00DB1B6E" w:rsidRPr="00EE3D00" w:rsidRDefault="00DB1B6E" w:rsidP="00314D2B">
      <w:r w:rsidRPr="00761BD2">
        <w:t>In</w:t>
      </w:r>
      <w:r>
        <w:t xml:space="preserve"> </w:t>
      </w:r>
      <w:r w:rsidRPr="00761BD2">
        <w:t>addition</w:t>
      </w:r>
      <w:r>
        <w:t xml:space="preserve"> </w:t>
      </w:r>
      <w:r w:rsidRPr="00761BD2">
        <w:t>to</w:t>
      </w:r>
      <w:r>
        <w:t xml:space="preserve"> </w:t>
      </w:r>
      <w:r w:rsidRPr="00761BD2">
        <w:t>this,</w:t>
      </w:r>
      <w:r>
        <w:t xml:space="preserve"> </w:t>
      </w:r>
      <w:r w:rsidRPr="00761BD2">
        <w:t>mental</w:t>
      </w:r>
      <w:r>
        <w:t xml:space="preserve"> </w:t>
      </w:r>
      <w:r w:rsidRPr="00761BD2">
        <w:t>health</w:t>
      </w:r>
      <w:r>
        <w:t xml:space="preserve"> </w:t>
      </w:r>
      <w:r w:rsidRPr="00761BD2">
        <w:t>services</w:t>
      </w:r>
      <w:r>
        <w:t xml:space="preserve"> must </w:t>
      </w:r>
      <w:r w:rsidRPr="00761BD2">
        <w:t>report</w:t>
      </w:r>
      <w:r>
        <w:t xml:space="preserve"> </w:t>
      </w:r>
      <w:r w:rsidRPr="00761BD2">
        <w:t>to</w:t>
      </w:r>
      <w:r>
        <w:t xml:space="preserve"> Manatū Hauora </w:t>
      </w:r>
      <w:r w:rsidRPr="00761BD2">
        <w:t>on</w:t>
      </w:r>
      <w:r>
        <w:t xml:space="preserve"> </w:t>
      </w:r>
      <w:r w:rsidRPr="00761BD2">
        <w:t>the</w:t>
      </w:r>
      <w:r>
        <w:t xml:space="preserve"> </w:t>
      </w:r>
      <w:r w:rsidRPr="00761BD2">
        <w:t>use</w:t>
      </w:r>
      <w:r>
        <w:t xml:space="preserve"> </w:t>
      </w:r>
      <w:r w:rsidRPr="00761BD2">
        <w:t>of</w:t>
      </w:r>
      <w:r>
        <w:t xml:space="preserve"> </w:t>
      </w:r>
      <w:r w:rsidRPr="00761BD2">
        <w:t>seclusion</w:t>
      </w:r>
      <w:r>
        <w:t xml:space="preserve"> </w:t>
      </w:r>
      <w:r w:rsidRPr="00761BD2">
        <w:t>via</w:t>
      </w:r>
      <w:r>
        <w:t xml:space="preserve"> the </w:t>
      </w:r>
      <w:r>
        <w:rPr>
          <w:color w:val="000000"/>
        </w:rPr>
        <w:t>Programme for the Integration of Mental Health Data (</w:t>
      </w:r>
      <w:r w:rsidRPr="00761BD2">
        <w:t>PRIMHD</w:t>
      </w:r>
      <w:r>
        <w:t xml:space="preserve">) </w:t>
      </w:r>
      <w:r w:rsidRPr="00761BD2">
        <w:t>for</w:t>
      </w:r>
      <w:r>
        <w:t xml:space="preserve"> </w:t>
      </w:r>
      <w:r w:rsidRPr="00761BD2">
        <w:t>monitoring</w:t>
      </w:r>
      <w:r>
        <w:t xml:space="preserve"> </w:t>
      </w:r>
      <w:r w:rsidRPr="00761BD2">
        <w:t>purposes.</w:t>
      </w:r>
    </w:p>
    <w:p w14:paraId="00EDB376" w14:textId="77777777" w:rsidR="00DB1B6E" w:rsidRPr="006563E7" w:rsidRDefault="00DB1B6E" w:rsidP="00314D2B">
      <w:pPr>
        <w:pStyle w:val="Heading2"/>
      </w:pPr>
      <w:bookmarkStart w:id="638" w:name="_Toc131663868"/>
      <w:bookmarkStart w:id="639" w:name="_Toc132355352"/>
      <w:r>
        <w:t>Complaints</w:t>
      </w:r>
      <w:bookmarkEnd w:id="638"/>
      <w:bookmarkEnd w:id="639"/>
    </w:p>
    <w:p w14:paraId="3A0A5E7B" w14:textId="23ADB19F" w:rsidR="00DB1B6E" w:rsidRDefault="00DB1B6E" w:rsidP="00314D2B">
      <w:r w:rsidRPr="00451E63">
        <w:t xml:space="preserve">Upholding a person’s right to complain is particularly important in the context of </w:t>
      </w:r>
      <w:r>
        <w:t xml:space="preserve">seclusion and restraint, because these practices </w:t>
      </w:r>
      <w:r w:rsidRPr="00451E63">
        <w:t xml:space="preserve">override people’s autonomy and reinforce the power imbalance between service providers and people receiving treatment. Ensuring </w:t>
      </w:r>
      <w:r>
        <w:t xml:space="preserve">that </w:t>
      </w:r>
      <w:r w:rsidRPr="00451E63">
        <w:t xml:space="preserve">people feel safe and empowered to speak up when they have concerns about these practices is critical for their wellbeing and helps to build and restore trust. It also contributes to quality improvement and </w:t>
      </w:r>
      <w:r>
        <w:t xml:space="preserve">services’ </w:t>
      </w:r>
      <w:r w:rsidRPr="00451E63">
        <w:t>ability to monitor progress over time.</w:t>
      </w:r>
    </w:p>
    <w:p w14:paraId="5983DAD4" w14:textId="77777777" w:rsidR="00314D2B" w:rsidRPr="00451E63" w:rsidRDefault="00314D2B" w:rsidP="00314D2B"/>
    <w:p w14:paraId="3AD75965" w14:textId="77777777" w:rsidR="00DB1B6E" w:rsidRPr="00451E63" w:rsidRDefault="00DB1B6E" w:rsidP="00314D2B">
      <w:r w:rsidRPr="00451E63">
        <w:t>S</w:t>
      </w:r>
      <w:r>
        <w:t>ubs</w:t>
      </w:r>
      <w:r w:rsidRPr="00451E63">
        <w:t xml:space="preserve">ection 1.8 of Ngā Paerewa relates to </w:t>
      </w:r>
      <w:r>
        <w:t xml:space="preserve">people’s </w:t>
      </w:r>
      <w:r w:rsidRPr="00451E63">
        <w:t>right to complain</w:t>
      </w:r>
      <w:r>
        <w:t xml:space="preserve">. It </w:t>
      </w:r>
      <w:r w:rsidRPr="00451E63">
        <w:t>sets out the outcomes sought and the criteria for service providers</w:t>
      </w:r>
      <w:r>
        <w:t>. It requires them to:</w:t>
      </w:r>
      <w:r w:rsidRPr="00451E63">
        <w:t xml:space="preserve"> </w:t>
      </w:r>
    </w:p>
    <w:p w14:paraId="728D4C48" w14:textId="77777777" w:rsidR="00DB1B6E" w:rsidRPr="00451E63" w:rsidRDefault="00DB1B6E" w:rsidP="00314D2B">
      <w:pPr>
        <w:pStyle w:val="Bullet"/>
      </w:pPr>
      <w:r>
        <w:t xml:space="preserve">understand, respect and uphold the right of </w:t>
      </w:r>
      <w:r w:rsidRPr="00AC6B7C">
        <w:t>t</w:t>
      </w:r>
      <w:r>
        <w:t>ā</w:t>
      </w:r>
      <w:r w:rsidRPr="00AC6B7C">
        <w:t>ngata whaiora</w:t>
      </w:r>
      <w:r w:rsidRPr="00451E63">
        <w:t xml:space="preserve"> to make a complaint </w:t>
      </w:r>
    </w:p>
    <w:p w14:paraId="31B46922" w14:textId="77777777" w:rsidR="00DB1B6E" w:rsidRDefault="00DB1B6E" w:rsidP="00314D2B">
      <w:pPr>
        <w:pStyle w:val="Bullet"/>
      </w:pPr>
      <w:r>
        <w:t xml:space="preserve">inform </w:t>
      </w:r>
      <w:r w:rsidRPr="00AC6B7C">
        <w:t>t</w:t>
      </w:r>
      <w:r>
        <w:t>ā</w:t>
      </w:r>
      <w:r w:rsidRPr="00AC6B7C">
        <w:t xml:space="preserve">ngata whaiora </w:t>
      </w:r>
      <w:r w:rsidRPr="00451E63">
        <w:t xml:space="preserve">about </w:t>
      </w:r>
      <w:r>
        <w:t xml:space="preserve">the complaints process </w:t>
      </w:r>
      <w:r w:rsidRPr="00451E63">
        <w:t xml:space="preserve">and </w:t>
      </w:r>
      <w:r>
        <w:t xml:space="preserve">ensure they </w:t>
      </w:r>
      <w:r w:rsidRPr="00451E63">
        <w:t>have easy access to a fair and responsive complaints process that is sensitive to, and resp</w:t>
      </w:r>
      <w:r>
        <w:t>ects</w:t>
      </w:r>
      <w:r w:rsidRPr="00451E63">
        <w:t xml:space="preserve">, </w:t>
      </w:r>
      <w:r>
        <w:t>their</w:t>
      </w:r>
      <w:r w:rsidRPr="00451E63">
        <w:t xml:space="preserve"> values and beliefs </w:t>
      </w:r>
    </w:p>
    <w:p w14:paraId="7132044E" w14:textId="77777777" w:rsidR="00DB1B6E" w:rsidRPr="00451E63" w:rsidRDefault="00DB1B6E" w:rsidP="00314D2B">
      <w:pPr>
        <w:pStyle w:val="Bullet"/>
      </w:pPr>
      <w:r>
        <w:t xml:space="preserve">address and resolve </w:t>
      </w:r>
      <w:r w:rsidRPr="00AC6B7C">
        <w:t>t</w:t>
      </w:r>
      <w:r>
        <w:t>ā</w:t>
      </w:r>
      <w:r w:rsidRPr="00AC6B7C">
        <w:t xml:space="preserve">ngata whaiora's </w:t>
      </w:r>
      <w:r w:rsidRPr="00451E63">
        <w:t>complaint</w:t>
      </w:r>
      <w:r>
        <w:t>s</w:t>
      </w:r>
      <w:r w:rsidRPr="00451E63">
        <w:t xml:space="preserve"> in accordance with </w:t>
      </w:r>
      <w:r>
        <w:t xml:space="preserve">the </w:t>
      </w:r>
      <w:r w:rsidRPr="00451E63">
        <w:t>Code of Rights</w:t>
      </w:r>
    </w:p>
    <w:p w14:paraId="26DC2511" w14:textId="77777777" w:rsidR="00DB1B6E" w:rsidRPr="00451E63" w:rsidRDefault="00DB1B6E" w:rsidP="00314D2B">
      <w:pPr>
        <w:pStyle w:val="Bullet"/>
      </w:pPr>
      <w:r>
        <w:t xml:space="preserve">inform </w:t>
      </w:r>
      <w:r w:rsidRPr="00AC6B7C">
        <w:t>t</w:t>
      </w:r>
      <w:r>
        <w:t>ā</w:t>
      </w:r>
      <w:r w:rsidRPr="00AC6B7C">
        <w:t xml:space="preserve">ngata whaiora </w:t>
      </w:r>
      <w:r w:rsidRPr="00451E63">
        <w:t xml:space="preserve">of the findings of </w:t>
      </w:r>
      <w:r>
        <w:t>their</w:t>
      </w:r>
      <w:r w:rsidRPr="00451E63">
        <w:t xml:space="preserve"> complaint</w:t>
      </w:r>
    </w:p>
    <w:p w14:paraId="6686B30C" w14:textId="77777777" w:rsidR="00DB1B6E" w:rsidRDefault="00DB1B6E" w:rsidP="00314D2B">
      <w:pPr>
        <w:pStyle w:val="Bullet"/>
      </w:pPr>
      <w:r>
        <w:t>ensure that t</w:t>
      </w:r>
      <w:r w:rsidRPr="00451E63">
        <w:t xml:space="preserve">he Code </w:t>
      </w:r>
      <w:r>
        <w:t xml:space="preserve">of </w:t>
      </w:r>
      <w:r w:rsidRPr="00451E63">
        <w:t xml:space="preserve">Rights and the complaints process work equitably for Māori.  </w:t>
      </w:r>
    </w:p>
    <w:p w14:paraId="560192F5" w14:textId="77777777" w:rsidR="00314D2B" w:rsidRDefault="00314D2B" w:rsidP="00314D2B"/>
    <w:p w14:paraId="588FC433" w14:textId="283A0C96" w:rsidR="00DB1B6E" w:rsidRPr="004E2E5A" w:rsidRDefault="00DB1B6E" w:rsidP="00314D2B">
      <w:pPr>
        <w:rPr>
          <w:color w:val="000000"/>
        </w:rPr>
      </w:pPr>
      <w:r w:rsidRPr="004E2E5A">
        <w:t xml:space="preserve">In addition, anyone who is subject to the Mental Health Act can contact a district inspector, who is empowered to investigate complaints of breaches of the rights of patients under section 75 of the </w:t>
      </w:r>
      <w:r>
        <w:t xml:space="preserve">Mental Health </w:t>
      </w:r>
      <w:r w:rsidRPr="004E2E5A">
        <w:t xml:space="preserve">Act. </w:t>
      </w:r>
    </w:p>
    <w:p w14:paraId="1E66C780" w14:textId="77777777" w:rsidR="00DB1B6E" w:rsidRDefault="00DB1B6E" w:rsidP="00DB1B6E">
      <w:pPr>
        <w:pBdr>
          <w:top w:val="nil"/>
          <w:left w:val="nil"/>
          <w:bottom w:val="nil"/>
          <w:right w:val="nil"/>
          <w:between w:val="nil"/>
        </w:pBdr>
        <w:spacing w:after="384" w:line="276" w:lineRule="auto"/>
      </w:pPr>
      <w:r>
        <w:br w:type="page"/>
      </w:r>
    </w:p>
    <w:p w14:paraId="68002D59" w14:textId="77777777" w:rsidR="00DB1B6E" w:rsidRPr="00314D2B" w:rsidRDefault="00DB1B6E" w:rsidP="00314D2B">
      <w:pPr>
        <w:pStyle w:val="Heading1"/>
        <w:numPr>
          <w:ilvl w:val="0"/>
          <w:numId w:val="0"/>
        </w:numPr>
        <w:ind w:left="1134" w:hanging="1134"/>
        <w:rPr>
          <w:szCs w:val="72"/>
        </w:rPr>
      </w:pPr>
      <w:bookmarkStart w:id="640" w:name="_Toc103152187"/>
      <w:bookmarkStart w:id="641" w:name="_Toc105770684"/>
      <w:bookmarkStart w:id="642" w:name="_Toc131663869"/>
      <w:bookmarkStart w:id="643" w:name="_Toc132355353"/>
      <w:r w:rsidRPr="00314D2B">
        <w:rPr>
          <w:szCs w:val="72"/>
        </w:rPr>
        <w:lastRenderedPageBreak/>
        <w:t>Glossary</w:t>
      </w:r>
      <w:bookmarkEnd w:id="640"/>
      <w:bookmarkEnd w:id="641"/>
      <w:bookmarkEnd w:id="642"/>
      <w:bookmarkEnd w:id="643"/>
    </w:p>
    <w:tbl>
      <w:tblPr>
        <w:tblStyle w:val="TableGrid"/>
        <w:tblW w:w="80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533"/>
      </w:tblGrid>
      <w:tr w:rsidR="00DB1B6E" w:rsidRPr="00314D2B" w14:paraId="5BDCFD7F" w14:textId="77777777" w:rsidTr="00314D2B">
        <w:trPr>
          <w:trHeight w:val="337"/>
        </w:trPr>
        <w:tc>
          <w:tcPr>
            <w:tcW w:w="2547" w:type="dxa"/>
          </w:tcPr>
          <w:p w14:paraId="69D8A3D8" w14:textId="77777777" w:rsidR="00DB1B6E" w:rsidRPr="00314D2B" w:rsidRDefault="00DB1B6E" w:rsidP="00FF5CA4">
            <w:pPr>
              <w:spacing w:before="140"/>
              <w:rPr>
                <w:b/>
                <w:bCs/>
              </w:rPr>
            </w:pPr>
            <w:r w:rsidRPr="00314D2B">
              <w:rPr>
                <w:b/>
                <w:bCs/>
              </w:rPr>
              <w:t>Term</w:t>
            </w:r>
          </w:p>
        </w:tc>
        <w:tc>
          <w:tcPr>
            <w:tcW w:w="5533" w:type="dxa"/>
          </w:tcPr>
          <w:p w14:paraId="3712809E" w14:textId="77777777" w:rsidR="00DB1B6E" w:rsidRPr="00314D2B" w:rsidRDefault="00DB1B6E" w:rsidP="00FF5CA4">
            <w:pPr>
              <w:spacing w:before="140"/>
              <w:rPr>
                <w:b/>
                <w:bCs/>
              </w:rPr>
            </w:pPr>
            <w:r w:rsidRPr="00314D2B">
              <w:rPr>
                <w:b/>
                <w:bCs/>
              </w:rPr>
              <w:t>Definition</w:t>
            </w:r>
          </w:p>
        </w:tc>
      </w:tr>
      <w:tr w:rsidR="00DB1B6E" w:rsidRPr="00D662F5" w14:paraId="75AC4D6E" w14:textId="77777777" w:rsidTr="00314D2B">
        <w:trPr>
          <w:trHeight w:val="337"/>
        </w:trPr>
        <w:tc>
          <w:tcPr>
            <w:tcW w:w="2547" w:type="dxa"/>
          </w:tcPr>
          <w:p w14:paraId="47F5D1A5" w14:textId="77777777" w:rsidR="00DB1B6E" w:rsidRPr="00D662F5" w:rsidRDefault="00DB1B6E" w:rsidP="00314D2B">
            <w:pPr>
              <w:spacing w:before="140" w:after="140"/>
            </w:pPr>
            <w:r w:rsidRPr="00D662F5">
              <w:rPr>
                <w:lang w:eastAsia="en-NZ"/>
              </w:rPr>
              <w:t>Child</w:t>
            </w:r>
            <w:r>
              <w:rPr>
                <w:lang w:eastAsia="en-NZ"/>
              </w:rPr>
              <w:t>/tamariki</w:t>
            </w:r>
          </w:p>
        </w:tc>
        <w:tc>
          <w:tcPr>
            <w:tcW w:w="5533" w:type="dxa"/>
          </w:tcPr>
          <w:p w14:paraId="3C787EFC" w14:textId="77777777" w:rsidR="00DB1B6E" w:rsidRPr="002E10C7" w:rsidRDefault="00DB1B6E" w:rsidP="00314D2B">
            <w:pPr>
              <w:spacing w:before="140" w:after="140"/>
              <w:rPr>
                <w:color w:val="000000"/>
              </w:rPr>
            </w:pPr>
            <w:r w:rsidRPr="002E10C7">
              <w:rPr>
                <w:color w:val="000000"/>
              </w:rPr>
              <w:t>A person under the age of 14 years, as defined in section 2(2) of the Oranga Tamariki Act 1989.</w:t>
            </w:r>
          </w:p>
        </w:tc>
      </w:tr>
      <w:tr w:rsidR="00DB1B6E" w:rsidRPr="00D662F5" w14:paraId="18749912" w14:textId="77777777" w:rsidTr="00314D2B">
        <w:trPr>
          <w:trHeight w:val="337"/>
        </w:trPr>
        <w:tc>
          <w:tcPr>
            <w:tcW w:w="2547" w:type="dxa"/>
          </w:tcPr>
          <w:p w14:paraId="6E236487" w14:textId="77777777" w:rsidR="00DB1B6E" w:rsidRPr="00D662F5" w:rsidRDefault="00DB1B6E" w:rsidP="00314D2B">
            <w:pPr>
              <w:spacing w:before="140" w:after="140"/>
            </w:pPr>
            <w:r w:rsidRPr="0034724D">
              <w:t>Code of Rights</w:t>
            </w:r>
          </w:p>
        </w:tc>
        <w:tc>
          <w:tcPr>
            <w:tcW w:w="5533" w:type="dxa"/>
          </w:tcPr>
          <w:p w14:paraId="5ED47AB7" w14:textId="77777777" w:rsidR="00DB1B6E" w:rsidRPr="002E10C7" w:rsidRDefault="00DB1B6E" w:rsidP="00314D2B">
            <w:pPr>
              <w:spacing w:before="140" w:after="140"/>
            </w:pPr>
            <w:r w:rsidRPr="002E10C7">
              <w:t>Code of Health and Disability Services Consumers’ Rights</w:t>
            </w:r>
            <w:r>
              <w:t>.</w:t>
            </w:r>
          </w:p>
        </w:tc>
      </w:tr>
      <w:tr w:rsidR="00DB1B6E" w:rsidRPr="00D662F5" w14:paraId="6C05673A" w14:textId="77777777" w:rsidTr="00314D2B">
        <w:trPr>
          <w:trHeight w:val="337"/>
        </w:trPr>
        <w:tc>
          <w:tcPr>
            <w:tcW w:w="2547" w:type="dxa"/>
          </w:tcPr>
          <w:p w14:paraId="4C21122B" w14:textId="77777777" w:rsidR="00DB1B6E" w:rsidRPr="00D662F5" w:rsidRDefault="00DB1B6E" w:rsidP="00314D2B">
            <w:pPr>
              <w:spacing w:before="140" w:after="140"/>
              <w:rPr>
                <w:lang w:eastAsia="en-NZ"/>
              </w:rPr>
            </w:pPr>
            <w:r w:rsidRPr="00D662F5">
              <w:t>Director of Area Mental Health Services (DAMHS)</w:t>
            </w:r>
          </w:p>
        </w:tc>
        <w:tc>
          <w:tcPr>
            <w:tcW w:w="5533" w:type="dxa"/>
          </w:tcPr>
          <w:p w14:paraId="2BC2D22A" w14:textId="77777777" w:rsidR="00DB1B6E" w:rsidRPr="002E10C7" w:rsidRDefault="00DB1B6E" w:rsidP="00314D2B">
            <w:pPr>
              <w:spacing w:before="140" w:after="140"/>
              <w:rPr>
                <w:color w:val="000000"/>
                <w:highlight w:val="yellow"/>
              </w:rPr>
            </w:pPr>
            <w:r>
              <w:t xml:space="preserve">A person </w:t>
            </w:r>
            <w:r w:rsidRPr="002E10C7">
              <w:t>appointed by the Director-General of Health under section 92 of the Mental Health Act</w:t>
            </w:r>
            <w:r>
              <w:t xml:space="preserve"> who is </w:t>
            </w:r>
            <w:r w:rsidRPr="002E10C7">
              <w:t>responsible for the day-to-day operation of the Mental Health Act in their appointed area.</w:t>
            </w:r>
            <w:r>
              <w:rPr>
                <w:rStyle w:val="FootnoteReference"/>
                <w:rFonts w:cs="Segoe UI"/>
              </w:rPr>
              <w:footnoteReference w:id="155"/>
            </w:r>
            <w:r w:rsidRPr="002E10C7">
              <w:t xml:space="preserve"> </w:t>
            </w:r>
          </w:p>
        </w:tc>
      </w:tr>
      <w:tr w:rsidR="00DB1B6E" w:rsidRPr="00D662F5" w14:paraId="1464E9AC" w14:textId="77777777" w:rsidTr="00314D2B">
        <w:trPr>
          <w:trHeight w:val="337"/>
        </w:trPr>
        <w:tc>
          <w:tcPr>
            <w:tcW w:w="2547" w:type="dxa"/>
          </w:tcPr>
          <w:p w14:paraId="26561156" w14:textId="77777777" w:rsidR="00DB1B6E" w:rsidRPr="00D662F5" w:rsidRDefault="00DB1B6E" w:rsidP="00314D2B">
            <w:pPr>
              <w:spacing w:before="140" w:after="140"/>
            </w:pPr>
            <w:r>
              <w:t>Director of Mental Health</w:t>
            </w:r>
          </w:p>
        </w:tc>
        <w:tc>
          <w:tcPr>
            <w:tcW w:w="5533" w:type="dxa"/>
          </w:tcPr>
          <w:p w14:paraId="4EE3CE0F" w14:textId="77777777" w:rsidR="00DB1B6E" w:rsidRPr="002E10C7" w:rsidRDefault="00DB1B6E" w:rsidP="00314D2B">
            <w:pPr>
              <w:spacing w:before="140" w:after="140"/>
            </w:pPr>
            <w:r>
              <w:t xml:space="preserve">A person </w:t>
            </w:r>
            <w:r w:rsidRPr="00DD0CED">
              <w:t>appointed under section 91 of the Mental Health Act</w:t>
            </w:r>
            <w:r>
              <w:t xml:space="preserve"> who </w:t>
            </w:r>
            <w:r w:rsidRPr="00DD0CED">
              <w:t xml:space="preserve">is responsible for the general administration of the </w:t>
            </w:r>
            <w:r>
              <w:t xml:space="preserve">Mental Health </w:t>
            </w:r>
            <w:r w:rsidRPr="00DD0CED">
              <w:t xml:space="preserve">Act. </w:t>
            </w:r>
          </w:p>
        </w:tc>
      </w:tr>
      <w:tr w:rsidR="00DB1B6E" w:rsidRPr="00D662F5" w14:paraId="51BA38FD" w14:textId="77777777" w:rsidTr="00314D2B">
        <w:trPr>
          <w:trHeight w:val="337"/>
        </w:trPr>
        <w:tc>
          <w:tcPr>
            <w:tcW w:w="2547" w:type="dxa"/>
          </w:tcPr>
          <w:p w14:paraId="7E652540" w14:textId="77777777" w:rsidR="00DB1B6E" w:rsidRPr="00D662F5" w:rsidRDefault="00DB1B6E" w:rsidP="00314D2B">
            <w:pPr>
              <w:spacing w:before="140" w:after="140"/>
              <w:rPr>
                <w:lang w:eastAsia="en-NZ"/>
              </w:rPr>
            </w:pPr>
            <w:r w:rsidRPr="00D662F5">
              <w:rPr>
                <w:lang w:eastAsia="en-NZ"/>
              </w:rPr>
              <w:t xml:space="preserve">District inspector </w:t>
            </w:r>
          </w:p>
        </w:tc>
        <w:tc>
          <w:tcPr>
            <w:tcW w:w="5533" w:type="dxa"/>
          </w:tcPr>
          <w:p w14:paraId="09530A2E" w14:textId="77777777" w:rsidR="00DB1B6E" w:rsidRPr="002E10C7" w:rsidRDefault="00DB1B6E" w:rsidP="00314D2B">
            <w:pPr>
              <w:spacing w:before="140" w:after="140"/>
              <w:rPr>
                <w:color w:val="000000"/>
                <w:highlight w:val="yellow"/>
              </w:rPr>
            </w:pPr>
            <w:r>
              <w:rPr>
                <w:color w:val="000000"/>
              </w:rPr>
              <w:t xml:space="preserve">A </w:t>
            </w:r>
            <w:r w:rsidRPr="002E10C7">
              <w:rPr>
                <w:color w:val="000000"/>
              </w:rPr>
              <w:t xml:space="preserve">lawyer appointed under section 94 of the Mental Health Act by the Minister of Health to protect the rights of people receiving treatment under the Act. </w:t>
            </w:r>
            <w:r>
              <w:rPr>
                <w:color w:val="000000"/>
              </w:rPr>
              <w:t xml:space="preserve">District inspectors </w:t>
            </w:r>
            <w:r w:rsidRPr="002E10C7">
              <w:rPr>
                <w:color w:val="000000"/>
              </w:rPr>
              <w:t xml:space="preserve">are independent from the </w:t>
            </w:r>
            <w:r>
              <w:rPr>
                <w:color w:val="000000"/>
              </w:rPr>
              <w:t>Manatū Hauora</w:t>
            </w:r>
            <w:r w:rsidRPr="002E10C7">
              <w:rPr>
                <w:color w:val="000000"/>
              </w:rPr>
              <w:t xml:space="preserve"> and from health and disability services.</w:t>
            </w:r>
            <w:r>
              <w:rPr>
                <w:rStyle w:val="FootnoteReference"/>
                <w:rFonts w:cs="Segoe UI"/>
                <w:color w:val="000000"/>
              </w:rPr>
              <w:footnoteReference w:id="156"/>
            </w:r>
          </w:p>
        </w:tc>
      </w:tr>
      <w:tr w:rsidR="00DB1B6E" w:rsidRPr="00D662F5" w14:paraId="6D10DB5E" w14:textId="77777777" w:rsidTr="00314D2B">
        <w:trPr>
          <w:trHeight w:val="337"/>
        </w:trPr>
        <w:tc>
          <w:tcPr>
            <w:tcW w:w="2547" w:type="dxa"/>
          </w:tcPr>
          <w:p w14:paraId="7029172D" w14:textId="77777777" w:rsidR="00DB1B6E" w:rsidRPr="000E4CDB" w:rsidRDefault="00DB1B6E" w:rsidP="00314D2B">
            <w:pPr>
              <w:spacing w:before="140" w:after="140"/>
              <w:rPr>
                <w:bCs/>
                <w:lang w:eastAsia="en-NZ"/>
              </w:rPr>
            </w:pPr>
            <w:r w:rsidRPr="000E4CDB">
              <w:rPr>
                <w:bCs/>
              </w:rPr>
              <w:t>Environmental restraint</w:t>
            </w:r>
          </w:p>
        </w:tc>
        <w:tc>
          <w:tcPr>
            <w:tcW w:w="5533" w:type="dxa"/>
          </w:tcPr>
          <w:p w14:paraId="736B0E4F" w14:textId="77777777" w:rsidR="00DB1B6E" w:rsidRPr="000E4CDB" w:rsidRDefault="00DB1B6E" w:rsidP="00314D2B">
            <w:pPr>
              <w:spacing w:before="140" w:after="140"/>
              <w:rPr>
                <w:color w:val="000000"/>
              </w:rPr>
            </w:pPr>
            <w:r>
              <w:rPr>
                <w:color w:val="000000" w:themeColor="text1"/>
              </w:rPr>
              <w:t>W</w:t>
            </w:r>
            <w:r w:rsidRPr="000E4CDB">
              <w:t>here a service provider intentionally restricts a person’s normal access to their environment</w:t>
            </w:r>
            <w:r>
              <w:t>; f</w:t>
            </w:r>
            <w:r w:rsidRPr="000E4CDB">
              <w:t>or example, where a person’s normal access to their environment is intentionally restricted by locking or blocking doors.</w:t>
            </w:r>
          </w:p>
        </w:tc>
      </w:tr>
      <w:tr w:rsidR="00DB1B6E" w:rsidRPr="00D662F5" w14:paraId="31834E6D" w14:textId="77777777" w:rsidTr="00314D2B">
        <w:trPr>
          <w:trHeight w:val="578"/>
        </w:trPr>
        <w:tc>
          <w:tcPr>
            <w:tcW w:w="2547" w:type="dxa"/>
          </w:tcPr>
          <w:p w14:paraId="3ABC89ED" w14:textId="77777777" w:rsidR="00DB1B6E" w:rsidRPr="004B60DB" w:rsidRDefault="00DB1B6E" w:rsidP="00314D2B">
            <w:pPr>
              <w:spacing w:before="140" w:after="140"/>
              <w:rPr>
                <w:i/>
                <w:iCs/>
                <w:lang w:eastAsia="en-NZ"/>
              </w:rPr>
            </w:pPr>
            <w:r w:rsidRPr="004B60DB">
              <w:rPr>
                <w:i/>
                <w:iCs/>
              </w:rPr>
              <w:t>He Ara Oranga</w:t>
            </w:r>
          </w:p>
        </w:tc>
        <w:tc>
          <w:tcPr>
            <w:tcW w:w="5533" w:type="dxa"/>
          </w:tcPr>
          <w:p w14:paraId="6E042EC6" w14:textId="77777777" w:rsidR="00DB1B6E" w:rsidRPr="002E10C7" w:rsidRDefault="00DB1B6E" w:rsidP="00314D2B">
            <w:pPr>
              <w:spacing w:before="140" w:after="140"/>
              <w:rPr>
                <w:color w:val="000000"/>
              </w:rPr>
            </w:pPr>
            <w:r w:rsidRPr="002E10C7">
              <w:rPr>
                <w:i/>
              </w:rPr>
              <w:t>He Ara Oranga: Report of the Government Inquiry into Mental Health and Addiction</w:t>
            </w:r>
            <w:r>
              <w:rPr>
                <w:color w:val="000000"/>
              </w:rPr>
              <w:t>.</w:t>
            </w:r>
            <w:r>
              <w:rPr>
                <w:rStyle w:val="FootnoteReference"/>
                <w:rFonts w:cs="Segoe UI"/>
                <w:color w:val="000000"/>
              </w:rPr>
              <w:footnoteReference w:id="157"/>
            </w:r>
            <w:r>
              <w:rPr>
                <w:color w:val="000000"/>
              </w:rPr>
              <w:t xml:space="preserve"> </w:t>
            </w:r>
          </w:p>
        </w:tc>
      </w:tr>
      <w:tr w:rsidR="00DB1B6E" w:rsidRPr="00D662F5" w14:paraId="090850F1" w14:textId="77777777" w:rsidTr="00314D2B">
        <w:trPr>
          <w:trHeight w:val="578"/>
        </w:trPr>
        <w:tc>
          <w:tcPr>
            <w:tcW w:w="2547" w:type="dxa"/>
          </w:tcPr>
          <w:p w14:paraId="1564860A" w14:textId="77777777" w:rsidR="00DB1B6E" w:rsidRPr="00D662F5" w:rsidRDefault="00DB1B6E" w:rsidP="00314D2B">
            <w:pPr>
              <w:spacing w:before="140" w:after="140"/>
            </w:pPr>
            <w:r w:rsidRPr="00F567EF">
              <w:t>Least restrictive practice</w:t>
            </w:r>
            <w:r>
              <w:t>s</w:t>
            </w:r>
          </w:p>
        </w:tc>
        <w:tc>
          <w:tcPr>
            <w:tcW w:w="5533" w:type="dxa"/>
          </w:tcPr>
          <w:p w14:paraId="4C76EA53" w14:textId="77777777" w:rsidR="00DB1B6E" w:rsidRPr="00B81CC3" w:rsidRDefault="00DB1B6E" w:rsidP="00314D2B">
            <w:pPr>
              <w:spacing w:before="140" w:after="140"/>
              <w:rPr>
                <w:iCs/>
              </w:rPr>
            </w:pPr>
            <w:r>
              <w:rPr>
                <w:iCs/>
              </w:rPr>
              <w:t>Under section 0.3 of Ngā Paerewa, ‘practices that enhance a [tangata whaiora’s] autonomy and respect their rights, individual worth, dignity, and privacy. Restrictive practices make someone do something they do not want to do or stop someone doing something they want to do’</w:t>
            </w:r>
            <w:r>
              <w:t>.</w:t>
            </w:r>
          </w:p>
        </w:tc>
      </w:tr>
      <w:tr w:rsidR="00DB1B6E" w:rsidRPr="00D662F5" w14:paraId="62BBD4F1" w14:textId="77777777" w:rsidTr="00314D2B">
        <w:trPr>
          <w:trHeight w:val="814"/>
        </w:trPr>
        <w:tc>
          <w:tcPr>
            <w:tcW w:w="2547" w:type="dxa"/>
          </w:tcPr>
          <w:p w14:paraId="1F15D869" w14:textId="77777777" w:rsidR="00DB1B6E" w:rsidRPr="00D662F5" w:rsidRDefault="00DB1B6E" w:rsidP="00314D2B">
            <w:pPr>
              <w:spacing w:before="140" w:after="140"/>
            </w:pPr>
            <w:r w:rsidRPr="00D662F5">
              <w:lastRenderedPageBreak/>
              <w:t>Lived experience</w:t>
            </w:r>
          </w:p>
        </w:tc>
        <w:tc>
          <w:tcPr>
            <w:tcW w:w="5533" w:type="dxa"/>
          </w:tcPr>
          <w:p w14:paraId="241C0A17" w14:textId="77777777" w:rsidR="00DB1B6E" w:rsidRPr="002E10C7" w:rsidRDefault="00DB1B6E" w:rsidP="00314D2B">
            <w:pPr>
              <w:spacing w:before="140" w:after="140"/>
            </w:pPr>
            <w:r>
              <w:t xml:space="preserve">Under section 0.3 of </w:t>
            </w:r>
            <w:r w:rsidRPr="002E10C7">
              <w:t>Ngā Paerewa</w:t>
            </w:r>
            <w:r>
              <w:t>, ‘</w:t>
            </w:r>
            <w:r w:rsidRPr="002E10C7">
              <w:t>Expertise, skills, and knowledge gained through direct, first-hand receipt of care of support services</w:t>
            </w:r>
            <w:r>
              <w:t>’</w:t>
            </w:r>
            <w:r w:rsidRPr="002E10C7">
              <w:t xml:space="preserve">. </w:t>
            </w:r>
          </w:p>
        </w:tc>
      </w:tr>
      <w:tr w:rsidR="00DB1B6E" w:rsidRPr="00D662F5" w14:paraId="69B05E3E" w14:textId="77777777" w:rsidTr="00314D2B">
        <w:trPr>
          <w:trHeight w:val="337"/>
        </w:trPr>
        <w:tc>
          <w:tcPr>
            <w:tcW w:w="2547" w:type="dxa"/>
          </w:tcPr>
          <w:p w14:paraId="5AE5116B" w14:textId="77777777" w:rsidR="00DB1B6E" w:rsidRPr="00D662F5" w:rsidRDefault="00DB1B6E" w:rsidP="00314D2B">
            <w:pPr>
              <w:spacing w:before="140" w:after="140"/>
            </w:pPr>
            <w:r>
              <w:t>Lived experience advisor</w:t>
            </w:r>
          </w:p>
        </w:tc>
        <w:tc>
          <w:tcPr>
            <w:tcW w:w="5533" w:type="dxa"/>
          </w:tcPr>
          <w:p w14:paraId="20DA16FB" w14:textId="77777777" w:rsidR="00DB1B6E" w:rsidRPr="002E10C7" w:rsidRDefault="00DB1B6E" w:rsidP="00314D2B">
            <w:pPr>
              <w:spacing w:before="140" w:after="140"/>
            </w:pPr>
            <w:r>
              <w:t>A person with a personal lived experience of mental health or addiction challenges who is employed to provide support, advocacy and advice within a service. Other job titles that bring a lived experience perspective are ‘lived experience worker’ and ‘peer support worker’. Te Pou states that people in these roles are ‘</w:t>
            </w:r>
            <w:r w:rsidRPr="00451E63">
              <w:t>trained and employed in specific and identified lived experience roles to support others and inform and lead policy, process and service development using our experience, shared values, competencies, and approaches</w:t>
            </w:r>
            <w:r>
              <w:t xml:space="preserve"> [… and] </w:t>
            </w:r>
            <w:r w:rsidRPr="00451E63">
              <w:t>may be employed anywhere in mental health, addiction, health, and social sectors, where people who are experiencing mental health and addiction needs seek support</w:t>
            </w:r>
            <w:r>
              <w:t>’</w:t>
            </w:r>
            <w:r w:rsidRPr="00451E63">
              <w:t>.</w:t>
            </w:r>
            <w:r>
              <w:rPr>
                <w:rStyle w:val="FootnoteReference"/>
                <w:rFonts w:cs="Segoe UI"/>
              </w:rPr>
              <w:footnoteReference w:id="158"/>
            </w:r>
            <w:r>
              <w:t xml:space="preserve"> </w:t>
            </w:r>
            <w:r w:rsidRPr="00451E63">
              <w:t>See also ‘Peer’.</w:t>
            </w:r>
            <w:r>
              <w:rPr>
                <w:color w:val="000000" w:themeColor="text1"/>
              </w:rPr>
              <w:t xml:space="preserve"> </w:t>
            </w:r>
          </w:p>
        </w:tc>
      </w:tr>
      <w:tr w:rsidR="00DB1B6E" w:rsidRPr="00D662F5" w14:paraId="135EF714" w14:textId="77777777" w:rsidTr="00314D2B">
        <w:trPr>
          <w:trHeight w:val="337"/>
        </w:trPr>
        <w:tc>
          <w:tcPr>
            <w:tcW w:w="2547" w:type="dxa"/>
          </w:tcPr>
          <w:p w14:paraId="2E1C602B" w14:textId="77777777" w:rsidR="00DB1B6E" w:rsidRDefault="00DB1B6E" w:rsidP="00314D2B">
            <w:pPr>
              <w:spacing w:before="140" w:after="140"/>
            </w:pPr>
            <w:r>
              <w:t>Guidelines to the Mental Health Act</w:t>
            </w:r>
          </w:p>
        </w:tc>
        <w:tc>
          <w:tcPr>
            <w:tcW w:w="5533" w:type="dxa"/>
          </w:tcPr>
          <w:p w14:paraId="11A21DD4" w14:textId="77777777" w:rsidR="00DB1B6E" w:rsidRPr="00E14F25" w:rsidRDefault="00DB1B6E" w:rsidP="00314D2B">
            <w:pPr>
              <w:spacing w:before="140" w:after="140"/>
              <w:rPr>
                <w:i/>
                <w:iCs/>
              </w:rPr>
            </w:pPr>
            <w:r w:rsidRPr="00E14F25">
              <w:rPr>
                <w:i/>
                <w:iCs/>
              </w:rPr>
              <w:t>Guidelines to the Mental Health (Compulsory Assessment and Treatment) Act 1992</w:t>
            </w:r>
            <w:r w:rsidRPr="0071594D">
              <w:rPr>
                <w:rStyle w:val="FootnoteReference"/>
                <w:rFonts w:cs="Segoe UI"/>
              </w:rPr>
              <w:footnoteReference w:id="159"/>
            </w:r>
          </w:p>
        </w:tc>
      </w:tr>
      <w:tr w:rsidR="00DB1B6E" w:rsidRPr="00D662F5" w14:paraId="489D26E0" w14:textId="77777777" w:rsidTr="00314D2B">
        <w:trPr>
          <w:trHeight w:val="337"/>
        </w:trPr>
        <w:tc>
          <w:tcPr>
            <w:tcW w:w="2547" w:type="dxa"/>
          </w:tcPr>
          <w:p w14:paraId="3D39826C" w14:textId="77777777" w:rsidR="00DB1B6E" w:rsidRPr="00D662F5" w:rsidRDefault="00DB1B6E" w:rsidP="00314D2B">
            <w:pPr>
              <w:spacing w:before="140" w:after="140"/>
            </w:pPr>
            <w:r w:rsidRPr="00D662F5">
              <w:t>Mental Health (Compulsory Assessment and Treatment) Act 1992 (the Mental Health Act)</w:t>
            </w:r>
          </w:p>
        </w:tc>
        <w:tc>
          <w:tcPr>
            <w:tcW w:w="5533" w:type="dxa"/>
          </w:tcPr>
          <w:p w14:paraId="624D4000" w14:textId="77777777" w:rsidR="00DB1B6E" w:rsidRPr="002E10C7" w:rsidRDefault="00DB1B6E" w:rsidP="00314D2B">
            <w:pPr>
              <w:spacing w:before="140" w:after="140"/>
            </w:pPr>
            <w:r>
              <w:t xml:space="preserve">An Act that </w:t>
            </w:r>
            <w:r w:rsidRPr="002E10C7">
              <w:t xml:space="preserve">provides a legal framework for those </w:t>
            </w:r>
            <w:r>
              <w:t xml:space="preserve">experiencing a mental illness </w:t>
            </w:r>
            <w:r w:rsidRPr="002E10C7">
              <w:t>who require compulsory psychiatric assessment and treatment.</w:t>
            </w:r>
            <w:r>
              <w:t xml:space="preserve"> </w:t>
            </w:r>
            <w:r w:rsidRPr="002E10C7">
              <w:t>The Act defines the rights of patients and proposed patients</w:t>
            </w:r>
            <w:r>
              <w:t>,</w:t>
            </w:r>
            <w:r w:rsidRPr="002E10C7">
              <w:t xml:space="preserve"> to provide protection for those rights, and generally to reform and consolidate the law relating to the assessment and treatment of </w:t>
            </w:r>
            <w:r>
              <w:t>people ex</w:t>
            </w:r>
            <w:r w:rsidRPr="002E10C7">
              <w:t xml:space="preserve"> mental disorder.</w:t>
            </w:r>
          </w:p>
        </w:tc>
      </w:tr>
      <w:tr w:rsidR="00DB1B6E" w:rsidRPr="00D662F5" w14:paraId="1B823815" w14:textId="77777777" w:rsidTr="00314D2B">
        <w:trPr>
          <w:trHeight w:val="337"/>
        </w:trPr>
        <w:tc>
          <w:tcPr>
            <w:tcW w:w="2547" w:type="dxa"/>
          </w:tcPr>
          <w:p w14:paraId="4FE94846" w14:textId="77777777" w:rsidR="00DB1B6E" w:rsidRPr="0034724D" w:rsidRDefault="00DB1B6E" w:rsidP="00314D2B">
            <w:pPr>
              <w:spacing w:before="140" w:after="140"/>
            </w:pPr>
            <w:r w:rsidRPr="0034724D">
              <w:t>Patient</w:t>
            </w:r>
            <w:r>
              <w:t xml:space="preserve"> or proposed patient</w:t>
            </w:r>
          </w:p>
        </w:tc>
        <w:tc>
          <w:tcPr>
            <w:tcW w:w="5533" w:type="dxa"/>
          </w:tcPr>
          <w:p w14:paraId="43868AA8" w14:textId="77777777" w:rsidR="00DB1B6E" w:rsidRPr="002E10C7" w:rsidRDefault="00DB1B6E" w:rsidP="00314D2B">
            <w:pPr>
              <w:spacing w:before="140" w:after="140"/>
              <w:rPr>
                <w:color w:val="000000"/>
              </w:rPr>
            </w:pPr>
            <w:r>
              <w:rPr>
                <w:color w:val="000000" w:themeColor="text1"/>
              </w:rPr>
              <w:t>These terms have the meanings set out in section 2 of the Mental Health Act.</w:t>
            </w:r>
          </w:p>
        </w:tc>
      </w:tr>
      <w:tr w:rsidR="00DB1B6E" w:rsidRPr="00D662F5" w14:paraId="50F6D91E" w14:textId="77777777" w:rsidTr="00314D2B">
        <w:trPr>
          <w:trHeight w:val="337"/>
        </w:trPr>
        <w:tc>
          <w:tcPr>
            <w:tcW w:w="2547" w:type="dxa"/>
          </w:tcPr>
          <w:p w14:paraId="6DAE4A6E" w14:textId="77777777" w:rsidR="00DB1B6E" w:rsidRPr="00D662F5" w:rsidRDefault="00DB1B6E" w:rsidP="00314D2B">
            <w:pPr>
              <w:spacing w:before="140" w:after="140"/>
              <w:rPr>
                <w:color w:val="000000"/>
              </w:rPr>
            </w:pPr>
            <w:r>
              <w:rPr>
                <w:color w:val="000000"/>
              </w:rPr>
              <w:t xml:space="preserve">Peer </w:t>
            </w:r>
          </w:p>
        </w:tc>
        <w:tc>
          <w:tcPr>
            <w:tcW w:w="5533" w:type="dxa"/>
          </w:tcPr>
          <w:p w14:paraId="526A3EC4" w14:textId="77777777" w:rsidR="00DB1B6E" w:rsidRPr="002E10C7" w:rsidRDefault="00DB1B6E" w:rsidP="00314D2B">
            <w:pPr>
              <w:spacing w:before="140" w:after="140"/>
              <w:rPr>
                <w:color w:val="000000" w:themeColor="text1"/>
              </w:rPr>
            </w:pPr>
            <w:r w:rsidRPr="005B3513">
              <w:rPr>
                <w:color w:val="000000" w:themeColor="text1"/>
              </w:rPr>
              <w:t>A person who has had similar experience to another person</w:t>
            </w:r>
            <w:r>
              <w:rPr>
                <w:color w:val="000000" w:themeColor="text1"/>
              </w:rPr>
              <w:t xml:space="preserve"> </w:t>
            </w:r>
            <w:r w:rsidRPr="005B3513">
              <w:rPr>
                <w:color w:val="000000" w:themeColor="text1"/>
              </w:rPr>
              <w:t>or people, such as lived experience of mental distress or addiction that</w:t>
            </w:r>
            <w:r>
              <w:rPr>
                <w:color w:val="000000" w:themeColor="text1"/>
              </w:rPr>
              <w:t xml:space="preserve"> </w:t>
            </w:r>
            <w:r w:rsidRPr="005B3513">
              <w:rPr>
                <w:color w:val="000000" w:themeColor="text1"/>
              </w:rPr>
              <w:t>has had a significant impact on a person’s life.</w:t>
            </w:r>
            <w:r>
              <w:rPr>
                <w:rStyle w:val="FootnoteReference"/>
                <w:rFonts w:cs="Segoe UI"/>
                <w:color w:val="000000" w:themeColor="text1"/>
              </w:rPr>
              <w:footnoteReference w:id="160"/>
            </w:r>
            <w:r>
              <w:rPr>
                <w:color w:val="000000" w:themeColor="text1"/>
              </w:rPr>
              <w:t xml:space="preserve"> </w:t>
            </w:r>
          </w:p>
        </w:tc>
      </w:tr>
      <w:tr w:rsidR="00DB1B6E" w:rsidRPr="00D662F5" w14:paraId="260D9561" w14:textId="77777777" w:rsidTr="00314D2B">
        <w:trPr>
          <w:trHeight w:val="337"/>
        </w:trPr>
        <w:tc>
          <w:tcPr>
            <w:tcW w:w="2547" w:type="dxa"/>
          </w:tcPr>
          <w:p w14:paraId="28F42DAA" w14:textId="77777777" w:rsidR="00DB1B6E" w:rsidRPr="001E1661" w:rsidRDefault="00DB1B6E" w:rsidP="00314D2B">
            <w:pPr>
              <w:spacing w:before="140" w:after="140"/>
            </w:pPr>
            <w:r w:rsidRPr="001E1661">
              <w:t>P</w:t>
            </w:r>
            <w:r w:rsidRPr="001E1661">
              <w:rPr>
                <w:color w:val="000000"/>
              </w:rPr>
              <w:t>ersonal restraint</w:t>
            </w:r>
          </w:p>
        </w:tc>
        <w:tc>
          <w:tcPr>
            <w:tcW w:w="5533" w:type="dxa"/>
          </w:tcPr>
          <w:p w14:paraId="3A889D76" w14:textId="77777777" w:rsidR="00DB1B6E" w:rsidRPr="001E1661" w:rsidRDefault="00DB1B6E" w:rsidP="00314D2B">
            <w:pPr>
              <w:spacing w:before="140" w:after="140"/>
              <w:rPr>
                <w:color w:val="000000"/>
              </w:rPr>
            </w:pPr>
            <w:r w:rsidRPr="00D7716A">
              <w:rPr>
                <w:color w:val="000000"/>
              </w:rPr>
              <w:t>Where a service provider uses their own body to intentionally limit a person’s movement.</w:t>
            </w:r>
            <w:r>
              <w:rPr>
                <w:color w:val="000000"/>
              </w:rPr>
              <w:t xml:space="preserve"> </w:t>
            </w:r>
            <w:r>
              <w:rPr>
                <w:color w:val="000000" w:themeColor="text1"/>
              </w:rPr>
              <w:t xml:space="preserve"> </w:t>
            </w:r>
            <w:r w:rsidRPr="000E4CDB">
              <w:rPr>
                <w:color w:val="000000" w:themeColor="text1"/>
              </w:rPr>
              <w:t>In other jurisdictions</w:t>
            </w:r>
            <w:r>
              <w:rPr>
                <w:color w:val="000000" w:themeColor="text1"/>
              </w:rPr>
              <w:t>,</w:t>
            </w:r>
            <w:r w:rsidRPr="000E4CDB">
              <w:rPr>
                <w:color w:val="000000" w:themeColor="text1"/>
              </w:rPr>
              <w:t xml:space="preserve"> personal restraint is called </w:t>
            </w:r>
            <w:r>
              <w:rPr>
                <w:color w:val="000000" w:themeColor="text1"/>
              </w:rPr>
              <w:t>‘</w:t>
            </w:r>
            <w:r w:rsidRPr="000E4CDB">
              <w:rPr>
                <w:color w:val="000000" w:themeColor="text1"/>
              </w:rPr>
              <w:t>physical restraint</w:t>
            </w:r>
            <w:r>
              <w:rPr>
                <w:color w:val="000000" w:themeColor="text1"/>
              </w:rPr>
              <w:t>’</w:t>
            </w:r>
            <w:r w:rsidRPr="000E4CDB">
              <w:rPr>
                <w:color w:val="000000" w:themeColor="text1"/>
              </w:rPr>
              <w:t xml:space="preserve">.  </w:t>
            </w:r>
          </w:p>
        </w:tc>
      </w:tr>
      <w:tr w:rsidR="00DB1B6E" w:rsidRPr="00D662F5" w14:paraId="74F70F49" w14:textId="77777777" w:rsidTr="00314D2B">
        <w:trPr>
          <w:trHeight w:val="337"/>
        </w:trPr>
        <w:tc>
          <w:tcPr>
            <w:tcW w:w="2547" w:type="dxa"/>
          </w:tcPr>
          <w:p w14:paraId="72287816" w14:textId="77777777" w:rsidR="00DB1B6E" w:rsidRPr="001E1661" w:rsidRDefault="00DB1B6E" w:rsidP="00314D2B">
            <w:pPr>
              <w:spacing w:before="140" w:after="140"/>
            </w:pPr>
            <w:r w:rsidRPr="00E41570">
              <w:rPr>
                <w:color w:val="000000"/>
              </w:rPr>
              <w:lastRenderedPageBreak/>
              <w:t>Physical restraint</w:t>
            </w:r>
          </w:p>
        </w:tc>
        <w:tc>
          <w:tcPr>
            <w:tcW w:w="5533" w:type="dxa"/>
          </w:tcPr>
          <w:p w14:paraId="6410D638" w14:textId="5D02AEA6" w:rsidR="00DB1B6E" w:rsidRPr="00314D2B" w:rsidRDefault="00DB1B6E" w:rsidP="00314D2B">
            <w:pPr>
              <w:spacing w:before="140" w:after="140"/>
              <w:rPr>
                <w:color w:val="000000"/>
              </w:rPr>
            </w:pPr>
            <w:r>
              <w:rPr>
                <w:color w:val="000000" w:themeColor="text1"/>
              </w:rPr>
              <w:t>W</w:t>
            </w:r>
            <w:r w:rsidRPr="000E4CDB">
              <w:rPr>
                <w:color w:val="000000"/>
              </w:rPr>
              <w:t>here a service provider uses equipment, devices or furniture th</w:t>
            </w:r>
            <w:r w:rsidRPr="001E1661">
              <w:rPr>
                <w:color w:val="000000"/>
              </w:rPr>
              <w:t xml:space="preserve">at limits </w:t>
            </w:r>
            <w:r>
              <w:rPr>
                <w:color w:val="000000" w:themeColor="text1"/>
              </w:rPr>
              <w:t xml:space="preserve">a person’s </w:t>
            </w:r>
            <w:r w:rsidRPr="001E1661">
              <w:rPr>
                <w:color w:val="000000"/>
              </w:rPr>
              <w:t>normal freedom of movement.</w:t>
            </w:r>
            <w:r w:rsidRPr="000E4CDB">
              <w:rPr>
                <w:color w:val="000000" w:themeColor="text1"/>
              </w:rPr>
              <w:t xml:space="preserve"> In other jurisdictions</w:t>
            </w:r>
            <w:r>
              <w:rPr>
                <w:color w:val="000000" w:themeColor="text1"/>
              </w:rPr>
              <w:t>,</w:t>
            </w:r>
            <w:r w:rsidRPr="000E4CDB">
              <w:rPr>
                <w:color w:val="000000" w:themeColor="text1"/>
              </w:rPr>
              <w:t xml:space="preserve"> </w:t>
            </w:r>
            <w:r>
              <w:rPr>
                <w:color w:val="000000" w:themeColor="text1"/>
              </w:rPr>
              <w:t>physical</w:t>
            </w:r>
            <w:r w:rsidRPr="000E4CDB">
              <w:rPr>
                <w:color w:val="000000" w:themeColor="text1"/>
              </w:rPr>
              <w:t xml:space="preserve"> restraint is called </w:t>
            </w:r>
            <w:r>
              <w:rPr>
                <w:color w:val="000000" w:themeColor="text1"/>
              </w:rPr>
              <w:t xml:space="preserve">‘mechanical </w:t>
            </w:r>
            <w:r w:rsidRPr="000E4CDB">
              <w:rPr>
                <w:color w:val="000000" w:themeColor="text1"/>
              </w:rPr>
              <w:t>restraint</w:t>
            </w:r>
            <w:r>
              <w:rPr>
                <w:color w:val="000000" w:themeColor="text1"/>
              </w:rPr>
              <w:t>’</w:t>
            </w:r>
            <w:r w:rsidRPr="000E4CDB">
              <w:rPr>
                <w:color w:val="000000" w:themeColor="text1"/>
              </w:rPr>
              <w:t>.</w:t>
            </w:r>
          </w:p>
        </w:tc>
      </w:tr>
      <w:tr w:rsidR="00DB1B6E" w:rsidRPr="00D662F5" w14:paraId="6BC8A418" w14:textId="77777777" w:rsidTr="00314D2B">
        <w:trPr>
          <w:trHeight w:val="337"/>
        </w:trPr>
        <w:tc>
          <w:tcPr>
            <w:tcW w:w="2547" w:type="dxa"/>
          </w:tcPr>
          <w:p w14:paraId="451267C5" w14:textId="77777777" w:rsidR="00DB1B6E" w:rsidRPr="00D662F5" w:rsidRDefault="00DB1B6E" w:rsidP="00314D2B">
            <w:pPr>
              <w:spacing w:before="140" w:after="140"/>
              <w:rPr>
                <w:lang w:eastAsia="en-NZ"/>
              </w:rPr>
            </w:pPr>
            <w:r>
              <w:rPr>
                <w:color w:val="000000"/>
              </w:rPr>
              <w:t xml:space="preserve">Programme for the Integration of Mental Health Data (PRIMHD) </w:t>
            </w:r>
          </w:p>
        </w:tc>
        <w:tc>
          <w:tcPr>
            <w:tcW w:w="5533" w:type="dxa"/>
          </w:tcPr>
          <w:p w14:paraId="6E23BAF8" w14:textId="77777777" w:rsidR="00DB1B6E" w:rsidRPr="002E10C7" w:rsidRDefault="00DB1B6E" w:rsidP="00314D2B">
            <w:pPr>
              <w:spacing w:before="140" w:after="140"/>
              <w:rPr>
                <w:color w:val="000000"/>
              </w:rPr>
            </w:pPr>
            <w:r>
              <w:rPr>
                <w:color w:val="000000"/>
              </w:rPr>
              <w:t>Manatū Hauora’s</w:t>
            </w:r>
            <w:r w:rsidRPr="002E10C7">
              <w:rPr>
                <w:color w:val="000000"/>
              </w:rPr>
              <w:t xml:space="preserve"> single national mental health and addiction information collection </w:t>
            </w:r>
            <w:r w:rsidRPr="008E2FF2">
              <w:rPr>
                <w:color w:val="000000"/>
              </w:rPr>
              <w:t>of service</w:t>
            </w:r>
            <w:r w:rsidRPr="002E10C7">
              <w:rPr>
                <w:color w:val="000000"/>
              </w:rPr>
              <w:t xml:space="preserve"> activity and outcomes data for health consumers. </w:t>
            </w:r>
          </w:p>
        </w:tc>
      </w:tr>
      <w:tr w:rsidR="00DB1B6E" w:rsidRPr="00D662F5" w14:paraId="5D91F776" w14:textId="77777777" w:rsidTr="00314D2B">
        <w:trPr>
          <w:trHeight w:val="337"/>
        </w:trPr>
        <w:tc>
          <w:tcPr>
            <w:tcW w:w="2547" w:type="dxa"/>
          </w:tcPr>
          <w:p w14:paraId="0B4C0B0F" w14:textId="77777777" w:rsidR="00DB1B6E" w:rsidRPr="00D662F5" w:rsidRDefault="00DB1B6E" w:rsidP="00314D2B">
            <w:pPr>
              <w:spacing w:before="140" w:after="140"/>
              <w:rPr>
                <w:lang w:eastAsia="en-NZ"/>
              </w:rPr>
            </w:pPr>
            <w:r w:rsidRPr="00D662F5">
              <w:rPr>
                <w:lang w:eastAsia="en-NZ"/>
              </w:rPr>
              <w:t>Responsible clinician</w:t>
            </w:r>
          </w:p>
        </w:tc>
        <w:tc>
          <w:tcPr>
            <w:tcW w:w="5533" w:type="dxa"/>
          </w:tcPr>
          <w:p w14:paraId="7F50E5EF" w14:textId="77777777" w:rsidR="00DB1B6E" w:rsidRPr="002E10C7" w:rsidRDefault="00DB1B6E" w:rsidP="00314D2B">
            <w:pPr>
              <w:spacing w:before="140" w:after="140"/>
              <w:rPr>
                <w:color w:val="000000"/>
              </w:rPr>
            </w:pPr>
            <w:r>
              <w:rPr>
                <w:color w:val="000000" w:themeColor="text1"/>
              </w:rPr>
              <w:t>Under section 2 of the Mental Health Act,</w:t>
            </w:r>
            <w:r w:rsidRPr="002E10C7" w:rsidDel="0051706F">
              <w:rPr>
                <w:color w:val="000000"/>
              </w:rPr>
              <w:t xml:space="preserve"> </w:t>
            </w:r>
            <w:r>
              <w:rPr>
                <w:color w:val="000000"/>
              </w:rPr>
              <w:t>‘</w:t>
            </w:r>
            <w:r w:rsidRPr="008E2FF2">
              <w:rPr>
                <w:color w:val="000000"/>
              </w:rPr>
              <w:t xml:space="preserve">in relation to a patient, </w:t>
            </w:r>
            <w:r>
              <w:rPr>
                <w:color w:val="000000"/>
              </w:rPr>
              <w:t xml:space="preserve">… </w:t>
            </w:r>
            <w:r w:rsidRPr="008E2FF2">
              <w:rPr>
                <w:color w:val="000000"/>
              </w:rPr>
              <w:t>the clinician in charge of the treatment of that patient</w:t>
            </w:r>
            <w:r>
              <w:rPr>
                <w:color w:val="000000"/>
              </w:rPr>
              <w:t>’.</w:t>
            </w:r>
          </w:p>
        </w:tc>
      </w:tr>
      <w:tr w:rsidR="00DB1B6E" w:rsidRPr="00D662F5" w14:paraId="46E664EE" w14:textId="77777777" w:rsidTr="00314D2B">
        <w:trPr>
          <w:trHeight w:val="337"/>
        </w:trPr>
        <w:tc>
          <w:tcPr>
            <w:tcW w:w="2547" w:type="dxa"/>
          </w:tcPr>
          <w:p w14:paraId="43CF4A9A" w14:textId="77777777" w:rsidR="00DB1B6E" w:rsidRPr="00D662F5" w:rsidRDefault="00DB1B6E" w:rsidP="00314D2B">
            <w:pPr>
              <w:spacing w:before="140" w:after="140"/>
              <w:rPr>
                <w:lang w:eastAsia="en-NZ"/>
              </w:rPr>
            </w:pPr>
            <w:r>
              <w:rPr>
                <w:lang w:eastAsia="en-NZ"/>
              </w:rPr>
              <w:t xml:space="preserve">Restraint </w:t>
            </w:r>
          </w:p>
        </w:tc>
        <w:tc>
          <w:tcPr>
            <w:tcW w:w="5533" w:type="dxa"/>
          </w:tcPr>
          <w:p w14:paraId="026DBC88" w14:textId="77777777" w:rsidR="00DB1B6E" w:rsidRDefault="00DB1B6E" w:rsidP="00314D2B">
            <w:pPr>
              <w:spacing w:before="140" w:after="140"/>
              <w:rPr>
                <w:color w:val="000000" w:themeColor="text1"/>
              </w:rPr>
            </w:pPr>
            <w:r>
              <w:t xml:space="preserve">Under section 0.3 of </w:t>
            </w:r>
            <w:r w:rsidRPr="00CA2668">
              <w:t>Ngā</w:t>
            </w:r>
            <w:r>
              <w:t xml:space="preserve"> </w:t>
            </w:r>
            <w:r w:rsidRPr="00CA2668">
              <w:t>Paerewa</w:t>
            </w:r>
            <w:r>
              <w:t>, '</w:t>
            </w:r>
            <w:r w:rsidRPr="00655DCB">
              <w:t>The</w:t>
            </w:r>
            <w:r>
              <w:t xml:space="preserve"> </w:t>
            </w:r>
            <w:r w:rsidRPr="00CA2668">
              <w:t>use</w:t>
            </w:r>
            <w:r>
              <w:t xml:space="preserve"> </w:t>
            </w:r>
            <w:r w:rsidRPr="00CA2668">
              <w:t>of</w:t>
            </w:r>
            <w:r>
              <w:t xml:space="preserve"> </w:t>
            </w:r>
            <w:r w:rsidRPr="00CA2668">
              <w:t>any</w:t>
            </w:r>
            <w:r>
              <w:t xml:space="preserve"> </w:t>
            </w:r>
            <w:r w:rsidRPr="00CA2668">
              <w:t>intervention</w:t>
            </w:r>
            <w:r>
              <w:t xml:space="preserve"> </w:t>
            </w:r>
            <w:r w:rsidRPr="00CA2668">
              <w:t>by</w:t>
            </w:r>
            <w:r>
              <w:t xml:space="preserve"> </w:t>
            </w:r>
            <w:r w:rsidRPr="00CA2668">
              <w:t>a</w:t>
            </w:r>
            <w:r>
              <w:t xml:space="preserve"> </w:t>
            </w:r>
            <w:r w:rsidRPr="00CA2668">
              <w:t>service</w:t>
            </w:r>
            <w:r>
              <w:t xml:space="preserve"> </w:t>
            </w:r>
            <w:r w:rsidRPr="00CA2668">
              <w:t>provider</w:t>
            </w:r>
            <w:r>
              <w:t xml:space="preserve"> </w:t>
            </w:r>
            <w:r w:rsidRPr="00CA2668">
              <w:t>that</w:t>
            </w:r>
            <w:r>
              <w:t xml:space="preserve"> </w:t>
            </w:r>
            <w:r w:rsidRPr="00CA2668">
              <w:t>limits</w:t>
            </w:r>
            <w:r>
              <w:t xml:space="preserve"> </w:t>
            </w:r>
            <w:r w:rsidRPr="00CA2668">
              <w:t>a</w:t>
            </w:r>
            <w:r>
              <w:t xml:space="preserve"> </w:t>
            </w:r>
            <w:r w:rsidRPr="00CA2668">
              <w:t>person’s</w:t>
            </w:r>
            <w:r>
              <w:t xml:space="preserve"> </w:t>
            </w:r>
            <w:r w:rsidRPr="00CA2668">
              <w:t>normal</w:t>
            </w:r>
            <w:r>
              <w:t xml:space="preserve"> </w:t>
            </w:r>
            <w:r w:rsidRPr="00CA2668">
              <w:t>freedom</w:t>
            </w:r>
            <w:r>
              <w:t xml:space="preserve"> </w:t>
            </w:r>
            <w:r w:rsidRPr="00CA2668">
              <w:t>of</w:t>
            </w:r>
            <w:r>
              <w:t xml:space="preserve"> </w:t>
            </w:r>
            <w:r w:rsidRPr="00CA2668">
              <w:t>movement.</w:t>
            </w:r>
            <w:r>
              <w:t xml:space="preserve"> </w:t>
            </w:r>
            <w:r w:rsidRPr="00CA2668">
              <w:t>Where</w:t>
            </w:r>
            <w:r>
              <w:t xml:space="preserve"> </w:t>
            </w:r>
            <w:r w:rsidRPr="00CA2668">
              <w:t>restraint</w:t>
            </w:r>
            <w:r>
              <w:t xml:space="preserve"> </w:t>
            </w:r>
            <w:r w:rsidRPr="00CA2668">
              <w:t>is</w:t>
            </w:r>
            <w:r>
              <w:t xml:space="preserve"> </w:t>
            </w:r>
            <w:r w:rsidRPr="00CA2668">
              <w:t>consented</w:t>
            </w:r>
            <w:r>
              <w:t xml:space="preserve"> </w:t>
            </w:r>
            <w:r w:rsidRPr="00CA2668">
              <w:t>to</w:t>
            </w:r>
            <w:r>
              <w:t xml:space="preserve"> </w:t>
            </w:r>
            <w:r w:rsidRPr="00CA2668">
              <w:t>by</w:t>
            </w:r>
            <w:r>
              <w:t xml:space="preserve"> </w:t>
            </w:r>
            <w:r w:rsidRPr="00CA2668">
              <w:t>a</w:t>
            </w:r>
            <w:r>
              <w:t xml:space="preserve"> </w:t>
            </w:r>
            <w:r w:rsidRPr="00CA2668">
              <w:t>third</w:t>
            </w:r>
            <w:r>
              <w:t xml:space="preserve"> </w:t>
            </w:r>
            <w:r w:rsidRPr="00CA2668">
              <w:t>party,</w:t>
            </w:r>
            <w:r>
              <w:t xml:space="preserve"> </w:t>
            </w:r>
            <w:r w:rsidRPr="00CA2668">
              <w:t>it</w:t>
            </w:r>
            <w:r>
              <w:t xml:space="preserve"> </w:t>
            </w:r>
            <w:r w:rsidRPr="00CA2668">
              <w:t>is</w:t>
            </w:r>
            <w:r>
              <w:t xml:space="preserve"> </w:t>
            </w:r>
            <w:r w:rsidRPr="00CA2668">
              <w:t>always</w:t>
            </w:r>
            <w:r>
              <w:t xml:space="preserve"> </w:t>
            </w:r>
            <w:r w:rsidRPr="00655DCB">
              <w:t>restraint</w:t>
            </w:r>
            <w:r>
              <w:t>'</w:t>
            </w:r>
            <w:r w:rsidRPr="00CA2668">
              <w:t>.</w:t>
            </w:r>
            <w:r>
              <w:t xml:space="preserve"> See </w:t>
            </w:r>
            <w:r w:rsidRPr="00E41570">
              <w:t>also environmental restraint, personal</w:t>
            </w:r>
            <w:r>
              <w:t xml:space="preserve"> restraint and physical restraint. </w:t>
            </w:r>
          </w:p>
        </w:tc>
      </w:tr>
      <w:tr w:rsidR="00DB1B6E" w:rsidRPr="00D662F5" w14:paraId="5C2F1342" w14:textId="77777777" w:rsidTr="00314D2B">
        <w:trPr>
          <w:trHeight w:val="337"/>
        </w:trPr>
        <w:tc>
          <w:tcPr>
            <w:tcW w:w="2547" w:type="dxa"/>
          </w:tcPr>
          <w:p w14:paraId="0FBAC8CC" w14:textId="77777777" w:rsidR="00DB1B6E" w:rsidRPr="00D662F5" w:rsidRDefault="00DB1B6E" w:rsidP="00314D2B">
            <w:pPr>
              <w:spacing w:before="140" w:after="140"/>
              <w:rPr>
                <w:lang w:eastAsia="en-NZ"/>
              </w:rPr>
            </w:pPr>
            <w:r w:rsidRPr="00D662F5">
              <w:t>Safe Practice and Effective Communication (SPEC)</w:t>
            </w:r>
          </w:p>
        </w:tc>
        <w:tc>
          <w:tcPr>
            <w:tcW w:w="5533" w:type="dxa"/>
          </w:tcPr>
          <w:p w14:paraId="0BB5E56C" w14:textId="77777777" w:rsidR="00DB1B6E" w:rsidRPr="002E10C7" w:rsidRDefault="00DB1B6E" w:rsidP="00314D2B">
            <w:pPr>
              <w:spacing w:before="140" w:after="140"/>
              <w:rPr>
                <w:color w:val="000000"/>
              </w:rPr>
            </w:pPr>
            <w:r>
              <w:t xml:space="preserve">A </w:t>
            </w:r>
            <w:r w:rsidRPr="002E10C7">
              <w:t>national training course that supports best and least restrictive practice in mental health inpatient units.</w:t>
            </w:r>
            <w:r>
              <w:rPr>
                <w:rStyle w:val="FootnoteReference"/>
                <w:rFonts w:cs="Segoe UI"/>
              </w:rPr>
              <w:footnoteReference w:id="161"/>
            </w:r>
          </w:p>
        </w:tc>
      </w:tr>
      <w:tr w:rsidR="00DB1B6E" w:rsidRPr="00D662F5" w14:paraId="1DB6ECF1" w14:textId="77777777" w:rsidTr="00314D2B">
        <w:trPr>
          <w:trHeight w:val="337"/>
        </w:trPr>
        <w:tc>
          <w:tcPr>
            <w:tcW w:w="2547" w:type="dxa"/>
          </w:tcPr>
          <w:p w14:paraId="1502BF91" w14:textId="77777777" w:rsidR="00DB1B6E" w:rsidRPr="00D662F5" w:rsidRDefault="00DB1B6E" w:rsidP="00314D2B">
            <w:pPr>
              <w:spacing w:before="140" w:after="140"/>
            </w:pPr>
            <w:r>
              <w:t>Seclusion</w:t>
            </w:r>
          </w:p>
        </w:tc>
        <w:tc>
          <w:tcPr>
            <w:tcW w:w="5533" w:type="dxa"/>
          </w:tcPr>
          <w:p w14:paraId="257BE96E" w14:textId="77777777" w:rsidR="00DB1B6E" w:rsidRPr="002E10C7" w:rsidRDefault="00DB1B6E" w:rsidP="00314D2B">
            <w:pPr>
              <w:spacing w:before="140" w:after="140"/>
            </w:pPr>
            <w:r>
              <w:t xml:space="preserve">Under section 0.3 of </w:t>
            </w:r>
            <w:r w:rsidRPr="001E1661">
              <w:t>Ngā Paerewa</w:t>
            </w:r>
            <w:r>
              <w:t>,</w:t>
            </w:r>
            <w:r w:rsidRPr="001E1661">
              <w:t xml:space="preserve"> ‘a type of restraint where a person is placed alone in a room or area, at any time and for any duration, from which they cannot freely exit’.</w:t>
            </w:r>
          </w:p>
        </w:tc>
      </w:tr>
      <w:tr w:rsidR="00DB1B6E" w:rsidRPr="00D662F5" w14:paraId="4F815417" w14:textId="77777777" w:rsidTr="00314D2B">
        <w:trPr>
          <w:trHeight w:val="337"/>
        </w:trPr>
        <w:tc>
          <w:tcPr>
            <w:tcW w:w="2547" w:type="dxa"/>
          </w:tcPr>
          <w:p w14:paraId="0DAC9413" w14:textId="77777777" w:rsidR="00DB1B6E" w:rsidRPr="00D662F5" w:rsidRDefault="00DB1B6E" w:rsidP="00314D2B">
            <w:pPr>
              <w:spacing w:before="140" w:after="140"/>
            </w:pPr>
            <w:r w:rsidRPr="00D662F5">
              <w:t>Suitably qualified clinician</w:t>
            </w:r>
          </w:p>
        </w:tc>
        <w:tc>
          <w:tcPr>
            <w:tcW w:w="5533" w:type="dxa"/>
          </w:tcPr>
          <w:p w14:paraId="30B94B0F" w14:textId="6B193E62" w:rsidR="00DB1B6E" w:rsidRPr="002E10C7" w:rsidRDefault="00671220" w:rsidP="00314D2B">
            <w:pPr>
              <w:spacing w:before="140" w:after="140"/>
            </w:pPr>
            <w:r w:rsidRPr="00671220">
              <w:t>A suitably qualified clinician is either a registered nurse or a medical practitioner. The registered nurse must have mental health training and experience (as has been defined for the completion of certificates under section 8B of the Mental Health Act) and must have completed an undergraduate or postgraduate programme in mental health nursing (see Te Ao Māramatanga: New Zealand College of Mental Health Nurses’ mental health nursing standards of practice) and preferably be at a proficient level in a Professional Development and Recognition Programme.</w:t>
            </w:r>
          </w:p>
        </w:tc>
      </w:tr>
      <w:tr w:rsidR="00DB1B6E" w:rsidRPr="00D662F5" w14:paraId="74FA39B0" w14:textId="77777777" w:rsidTr="00314D2B">
        <w:trPr>
          <w:trHeight w:val="337"/>
        </w:trPr>
        <w:tc>
          <w:tcPr>
            <w:tcW w:w="2547" w:type="dxa"/>
          </w:tcPr>
          <w:p w14:paraId="2F83E7CC" w14:textId="77777777" w:rsidR="00DB1B6E" w:rsidRPr="00D662F5" w:rsidRDefault="00DB1B6E" w:rsidP="00314D2B">
            <w:pPr>
              <w:spacing w:before="140" w:after="140"/>
            </w:pPr>
            <w:r w:rsidRPr="00D662F5">
              <w:t>Tangata</w:t>
            </w:r>
            <w:r>
              <w:t xml:space="preserve"> whaiora</w:t>
            </w:r>
            <w:r w:rsidRPr="00D662F5">
              <w:t xml:space="preserve"> </w:t>
            </w:r>
            <w:r>
              <w:t>(singular), tāngata whaiora (plural)</w:t>
            </w:r>
          </w:p>
        </w:tc>
        <w:tc>
          <w:tcPr>
            <w:tcW w:w="5533" w:type="dxa"/>
          </w:tcPr>
          <w:p w14:paraId="72605718" w14:textId="77777777" w:rsidR="00DB1B6E" w:rsidRPr="002E10C7" w:rsidRDefault="00DB1B6E" w:rsidP="00314D2B">
            <w:pPr>
              <w:spacing w:before="140" w:after="140"/>
              <w:rPr>
                <w:color w:val="000000"/>
              </w:rPr>
            </w:pPr>
            <w:r>
              <w:rPr>
                <w:color w:val="000000"/>
              </w:rPr>
              <w:t xml:space="preserve">As defined in </w:t>
            </w:r>
            <w:r w:rsidRPr="00A650A2">
              <w:rPr>
                <w:color w:val="000000"/>
              </w:rPr>
              <w:t>Te Reo Hāpai The Language of Enrichment (a Māori language glossary for use in the mental health, addiction and disability sectors)</w:t>
            </w:r>
            <w:r>
              <w:rPr>
                <w:color w:val="000000"/>
              </w:rPr>
              <w:t>,</w:t>
            </w:r>
            <w:r w:rsidRPr="00A650A2">
              <w:rPr>
                <w:color w:val="000000"/>
              </w:rPr>
              <w:t xml:space="preserve"> a</w:t>
            </w:r>
            <w:r w:rsidRPr="00716E88">
              <w:rPr>
                <w:color w:val="000000"/>
              </w:rPr>
              <w:t xml:space="preserve"> </w:t>
            </w:r>
            <w:r>
              <w:rPr>
                <w:color w:val="000000"/>
              </w:rPr>
              <w:t>p</w:t>
            </w:r>
            <w:r w:rsidRPr="00716E88">
              <w:rPr>
                <w:color w:val="000000"/>
              </w:rPr>
              <w:t>erson</w:t>
            </w:r>
            <w:r>
              <w:rPr>
                <w:color w:val="000000"/>
              </w:rPr>
              <w:t>/people with</w:t>
            </w:r>
            <w:r w:rsidRPr="00716E88">
              <w:rPr>
                <w:color w:val="000000"/>
              </w:rPr>
              <w:t xml:space="preserve"> wellness</w:t>
            </w:r>
            <w:r>
              <w:rPr>
                <w:color w:val="000000"/>
              </w:rPr>
              <w:t>;</w:t>
            </w:r>
            <w:r>
              <w:rPr>
                <w:rStyle w:val="FootnoteReference"/>
                <w:rFonts w:cs="Segoe UI"/>
                <w:color w:val="000000"/>
              </w:rPr>
              <w:footnoteReference w:id="162"/>
            </w:r>
            <w:r>
              <w:rPr>
                <w:color w:val="000000"/>
              </w:rPr>
              <w:t xml:space="preserve"> sometimes used as 3 words: tangata/tāngata whai ora. </w:t>
            </w:r>
          </w:p>
        </w:tc>
      </w:tr>
      <w:tr w:rsidR="00DB1B6E" w:rsidRPr="00D662F5" w14:paraId="711B9EB1" w14:textId="77777777" w:rsidTr="00314D2B">
        <w:trPr>
          <w:trHeight w:val="317"/>
        </w:trPr>
        <w:tc>
          <w:tcPr>
            <w:tcW w:w="2547" w:type="dxa"/>
          </w:tcPr>
          <w:p w14:paraId="3E840C73" w14:textId="77777777" w:rsidR="00DB1B6E" w:rsidRPr="0034724D" w:rsidRDefault="00DB1B6E" w:rsidP="00314D2B">
            <w:pPr>
              <w:spacing w:before="140" w:after="140"/>
              <w:rPr>
                <w:color w:val="000000"/>
              </w:rPr>
            </w:pPr>
            <w:r w:rsidRPr="0034724D">
              <w:rPr>
                <w:color w:val="000000"/>
              </w:rPr>
              <w:lastRenderedPageBreak/>
              <w:t xml:space="preserve">United Nations Convention Against Torture </w:t>
            </w:r>
            <w:r>
              <w:rPr>
                <w:color w:val="000000"/>
              </w:rPr>
              <w:t xml:space="preserve">and </w:t>
            </w:r>
            <w:r w:rsidRPr="0034724D">
              <w:rPr>
                <w:color w:val="000000"/>
              </w:rPr>
              <w:t xml:space="preserve">Other Cruel, Inhuman or Degrading Treatment or Punishment </w:t>
            </w:r>
            <w:r>
              <w:rPr>
                <w:color w:val="000000"/>
              </w:rPr>
              <w:t xml:space="preserve">(CAT) </w:t>
            </w:r>
            <w:r w:rsidRPr="0034724D">
              <w:rPr>
                <w:color w:val="000000"/>
              </w:rPr>
              <w:t xml:space="preserve">and the Optional Protocol </w:t>
            </w:r>
          </w:p>
        </w:tc>
        <w:tc>
          <w:tcPr>
            <w:tcW w:w="5533" w:type="dxa"/>
          </w:tcPr>
          <w:p w14:paraId="6ADE66D3" w14:textId="77777777" w:rsidR="00DB1B6E" w:rsidRPr="002E10C7" w:rsidRDefault="00DB1B6E" w:rsidP="00314D2B">
            <w:pPr>
              <w:spacing w:before="140" w:after="140"/>
            </w:pPr>
            <w:r>
              <w:t xml:space="preserve">A convention that </w:t>
            </w:r>
            <w:r w:rsidRPr="00A24C30">
              <w:t>prohibits torture and other acts of cruel, inhuman, or degrading treatment or punishment</w:t>
            </w:r>
            <w:r>
              <w:t xml:space="preserve"> and provides reporting, inquiry, and complaints procedures. </w:t>
            </w:r>
            <w:r w:rsidRPr="00054175">
              <w:t>The Optional Protocol to the CAT provides for</w:t>
            </w:r>
            <w:r>
              <w:t xml:space="preserve"> </w:t>
            </w:r>
            <w:r w:rsidRPr="00054175">
              <w:t>an independent national preventive mechanism.</w:t>
            </w:r>
            <w:r>
              <w:t xml:space="preserve"> </w:t>
            </w:r>
            <w:r w:rsidRPr="002E10C7">
              <w:t xml:space="preserve">For more information, see </w:t>
            </w:r>
            <w:hyperlink r:id="rId26" w:history="1">
              <w:r w:rsidRPr="002E10C7">
                <w:rPr>
                  <w:rStyle w:val="Hyperlink"/>
                  <w:rFonts w:cs="Segoe UI"/>
                </w:rPr>
                <w:t>www.justice.govt.nz/</w:t>
              </w:r>
            </w:hyperlink>
            <w:r>
              <w:t>.</w:t>
            </w:r>
          </w:p>
        </w:tc>
      </w:tr>
      <w:tr w:rsidR="00DB1B6E" w:rsidRPr="00D662F5" w14:paraId="547C3135" w14:textId="77777777" w:rsidTr="00314D2B">
        <w:trPr>
          <w:trHeight w:val="317"/>
        </w:trPr>
        <w:tc>
          <w:tcPr>
            <w:tcW w:w="2547" w:type="dxa"/>
          </w:tcPr>
          <w:p w14:paraId="4BA3D7D3" w14:textId="77777777" w:rsidR="00DB1B6E" w:rsidRPr="00D662F5" w:rsidDel="00C00EFC" w:rsidRDefault="00DB1B6E" w:rsidP="00314D2B">
            <w:pPr>
              <w:spacing w:before="140" w:after="140"/>
            </w:pPr>
            <w:r w:rsidRPr="0034724D">
              <w:rPr>
                <w:color w:val="000000"/>
              </w:rPr>
              <w:t xml:space="preserve">United Nations Convention on the Elimination of all forms of Racial Discrimination </w:t>
            </w:r>
          </w:p>
        </w:tc>
        <w:tc>
          <w:tcPr>
            <w:tcW w:w="5533" w:type="dxa"/>
          </w:tcPr>
          <w:p w14:paraId="679B864D" w14:textId="77777777" w:rsidR="00DB1B6E" w:rsidRPr="002E10C7" w:rsidRDefault="00DB1B6E" w:rsidP="00314D2B">
            <w:pPr>
              <w:spacing w:before="140" w:after="140"/>
            </w:pPr>
            <w:r>
              <w:t>T</w:t>
            </w:r>
            <w:r w:rsidRPr="002E10C7">
              <w:t>he main international human rights treaty dealing with racial discrimination</w:t>
            </w:r>
            <w:r>
              <w:t>. I</w:t>
            </w:r>
            <w:r w:rsidRPr="002E10C7">
              <w:t xml:space="preserve">t focuses on matters such as addressing race-based discrimination or violence and condemning ideas of racial superiority or hatred. It requires countries to protect human rights in an equitable way, including rights to health and adequate housing, and freedom of expression. For more information, see </w:t>
            </w:r>
            <w:hyperlink r:id="rId27" w:history="1">
              <w:r w:rsidRPr="002E10C7">
                <w:rPr>
                  <w:rStyle w:val="Hyperlink"/>
                  <w:rFonts w:cs="Segoe UI"/>
                </w:rPr>
                <w:t>www.justice.govt.nz/</w:t>
              </w:r>
            </w:hyperlink>
            <w:r>
              <w:t>.</w:t>
            </w:r>
          </w:p>
        </w:tc>
      </w:tr>
      <w:tr w:rsidR="00DB1B6E" w:rsidRPr="00D662F5" w14:paraId="3EDB599F" w14:textId="77777777" w:rsidTr="00314D2B">
        <w:trPr>
          <w:trHeight w:val="337"/>
        </w:trPr>
        <w:tc>
          <w:tcPr>
            <w:tcW w:w="2547" w:type="dxa"/>
          </w:tcPr>
          <w:p w14:paraId="3B78940C" w14:textId="77777777" w:rsidR="00DB1B6E" w:rsidRPr="00D662F5" w:rsidRDefault="00DB1B6E" w:rsidP="00314D2B">
            <w:pPr>
              <w:spacing w:before="140" w:after="140"/>
            </w:pPr>
            <w:r w:rsidRPr="00D662F5">
              <w:t xml:space="preserve">United Nations Convention on the Rights of the Child </w:t>
            </w:r>
          </w:p>
        </w:tc>
        <w:tc>
          <w:tcPr>
            <w:tcW w:w="5533" w:type="dxa"/>
          </w:tcPr>
          <w:p w14:paraId="1BD46960" w14:textId="77777777" w:rsidR="00DB1B6E" w:rsidRPr="002E10C7" w:rsidRDefault="00DB1B6E" w:rsidP="00314D2B">
            <w:pPr>
              <w:spacing w:before="140" w:after="140"/>
              <w:rPr>
                <w:color w:val="000000"/>
              </w:rPr>
            </w:pPr>
            <w:r>
              <w:t>A</w:t>
            </w:r>
            <w:r w:rsidRPr="002E10C7">
              <w:t xml:space="preserve"> comprehensive human rights treaty that enshrines specific children's rights in international law. More information about UNCROC is available on the Office of the Children’s Commissioner’s website</w:t>
            </w:r>
            <w:r>
              <w:t>.</w:t>
            </w:r>
            <w:r>
              <w:rPr>
                <w:rStyle w:val="FootnoteReference"/>
                <w:rFonts w:cs="Segoe UI"/>
              </w:rPr>
              <w:footnoteReference w:id="163"/>
            </w:r>
          </w:p>
        </w:tc>
      </w:tr>
      <w:tr w:rsidR="00DB1B6E" w:rsidRPr="00D662F5" w14:paraId="2E704647" w14:textId="77777777" w:rsidTr="00314D2B">
        <w:trPr>
          <w:trHeight w:val="337"/>
        </w:trPr>
        <w:tc>
          <w:tcPr>
            <w:tcW w:w="2547" w:type="dxa"/>
          </w:tcPr>
          <w:p w14:paraId="000A0920" w14:textId="77777777" w:rsidR="00DB1B6E" w:rsidRPr="00D662F5" w:rsidRDefault="00DB1B6E" w:rsidP="00314D2B">
            <w:pPr>
              <w:spacing w:before="140" w:after="140"/>
            </w:pPr>
            <w:r w:rsidRPr="0034724D">
              <w:rPr>
                <w:color w:val="000000"/>
              </w:rPr>
              <w:t>United Nations Convention on the Rights of Persons with Disabilities</w:t>
            </w:r>
          </w:p>
        </w:tc>
        <w:tc>
          <w:tcPr>
            <w:tcW w:w="5533" w:type="dxa"/>
          </w:tcPr>
          <w:p w14:paraId="1C0CB45E" w14:textId="77777777" w:rsidR="00DB1B6E" w:rsidRPr="002E10C7" w:rsidRDefault="00DB1B6E" w:rsidP="00314D2B">
            <w:pPr>
              <w:spacing w:before="140" w:after="140"/>
            </w:pPr>
            <w:r>
              <w:rPr>
                <w:color w:val="000000"/>
              </w:rPr>
              <w:t>A</w:t>
            </w:r>
            <w:r w:rsidRPr="002E10C7">
              <w:rPr>
                <w:color w:val="000000"/>
              </w:rPr>
              <w:t xml:space="preserve">n international human rights treaty that sets out what is required to implement existing human rights as they relate to disabled people. </w:t>
            </w:r>
            <w:r>
              <w:t>More i</w:t>
            </w:r>
            <w:r w:rsidRPr="002E10C7">
              <w:rPr>
                <w:color w:val="000000"/>
              </w:rPr>
              <w:t>nformation is available on the Office for Disability Issues website</w:t>
            </w:r>
            <w:r>
              <w:rPr>
                <w:color w:val="000000"/>
              </w:rPr>
              <w:t>.</w:t>
            </w:r>
            <w:r>
              <w:rPr>
                <w:rStyle w:val="FootnoteReference"/>
                <w:rFonts w:cs="Segoe UI"/>
                <w:color w:val="000000"/>
              </w:rPr>
              <w:footnoteReference w:id="164"/>
            </w:r>
          </w:p>
        </w:tc>
      </w:tr>
      <w:tr w:rsidR="00DB1B6E" w:rsidRPr="00D662F5" w14:paraId="20057A8A" w14:textId="77777777" w:rsidTr="00314D2B">
        <w:trPr>
          <w:trHeight w:val="337"/>
        </w:trPr>
        <w:tc>
          <w:tcPr>
            <w:tcW w:w="2547" w:type="dxa"/>
          </w:tcPr>
          <w:p w14:paraId="2444E7E3" w14:textId="77777777" w:rsidR="00DB1B6E" w:rsidRPr="00D662F5" w:rsidRDefault="00DB1B6E" w:rsidP="00314D2B">
            <w:pPr>
              <w:spacing w:before="140" w:after="140"/>
            </w:pPr>
            <w:r w:rsidRPr="00D662F5">
              <w:rPr>
                <w:color w:val="000000"/>
              </w:rPr>
              <w:t>United Nations Declaration on the Rights of Indigenous Peoples</w:t>
            </w:r>
          </w:p>
        </w:tc>
        <w:tc>
          <w:tcPr>
            <w:tcW w:w="5533" w:type="dxa"/>
          </w:tcPr>
          <w:p w14:paraId="0280BDFE" w14:textId="77777777" w:rsidR="00DB1B6E" w:rsidRPr="002E10C7" w:rsidRDefault="00DB1B6E" w:rsidP="00314D2B">
            <w:pPr>
              <w:spacing w:before="140" w:after="140"/>
              <w:rPr>
                <w:color w:val="000000"/>
              </w:rPr>
            </w:pPr>
            <w:r>
              <w:rPr>
                <w:color w:val="000000"/>
              </w:rPr>
              <w:t>A</w:t>
            </w:r>
            <w:r w:rsidRPr="002E10C7">
              <w:rPr>
                <w:color w:val="000000"/>
              </w:rPr>
              <w:t xml:space="preserve"> comprehensive international human rights document on the rights of indigenous peoples</w:t>
            </w:r>
            <w:r>
              <w:rPr>
                <w:color w:val="000000"/>
              </w:rPr>
              <w:t xml:space="preserve"> that </w:t>
            </w:r>
            <w:r w:rsidRPr="002E10C7">
              <w:rPr>
                <w:color w:val="000000"/>
              </w:rPr>
              <w:t xml:space="preserve">covers a broad range of rights and freedoms, including the right to self-determination, culture and identity and rights to education, economic development, religious customs, health and language. More information is available </w:t>
            </w:r>
            <w:r>
              <w:rPr>
                <w:color w:val="000000"/>
              </w:rPr>
              <w:t>on Te Puni K</w:t>
            </w:r>
            <w:r w:rsidRPr="0019486A">
              <w:rPr>
                <w:color w:val="000000"/>
              </w:rPr>
              <w:t>ō</w:t>
            </w:r>
            <w:r>
              <w:rPr>
                <w:color w:val="000000"/>
              </w:rPr>
              <w:t>kiri’s website.</w:t>
            </w:r>
            <w:r>
              <w:rPr>
                <w:rStyle w:val="FootnoteReference"/>
                <w:rFonts w:cs="Segoe UI"/>
                <w:color w:val="000000"/>
              </w:rPr>
              <w:footnoteReference w:id="165"/>
            </w:r>
            <w:r>
              <w:rPr>
                <w:color w:val="000000"/>
              </w:rPr>
              <w:t xml:space="preserve"> </w:t>
            </w:r>
          </w:p>
        </w:tc>
      </w:tr>
      <w:tr w:rsidR="00DB1B6E" w:rsidRPr="00D662F5" w14:paraId="37CA78F5" w14:textId="77777777" w:rsidTr="00314D2B">
        <w:trPr>
          <w:trHeight w:val="317"/>
        </w:trPr>
        <w:tc>
          <w:tcPr>
            <w:tcW w:w="2547" w:type="dxa"/>
          </w:tcPr>
          <w:p w14:paraId="0D3ABBA2" w14:textId="77777777" w:rsidR="00DB1B6E" w:rsidRPr="00D662F5" w:rsidRDefault="00DB1B6E" w:rsidP="00314D2B">
            <w:pPr>
              <w:spacing w:before="140" w:after="140"/>
            </w:pPr>
            <w:r w:rsidRPr="00D662F5">
              <w:t>Young person (or young people), rangatahi</w:t>
            </w:r>
          </w:p>
        </w:tc>
        <w:tc>
          <w:tcPr>
            <w:tcW w:w="5533" w:type="dxa"/>
          </w:tcPr>
          <w:p w14:paraId="213CE283" w14:textId="77777777" w:rsidR="00DB1B6E" w:rsidRPr="002E10C7" w:rsidRDefault="00DB1B6E" w:rsidP="00314D2B">
            <w:pPr>
              <w:spacing w:before="140" w:after="140"/>
            </w:pPr>
            <w:r>
              <w:t>Under t</w:t>
            </w:r>
            <w:r w:rsidRPr="002E10C7">
              <w:t>he Mental Health Act</w:t>
            </w:r>
            <w:r>
              <w:t xml:space="preserve">, a person </w:t>
            </w:r>
            <w:r w:rsidRPr="002E10C7">
              <w:t xml:space="preserve">under the age of 17. </w:t>
            </w:r>
          </w:p>
        </w:tc>
      </w:tr>
    </w:tbl>
    <w:p w14:paraId="6D8F1FC6" w14:textId="77777777" w:rsidR="00DB1B6E" w:rsidRDefault="00DB1B6E" w:rsidP="00DB1B6E">
      <w:pPr>
        <w:rPr>
          <w:rFonts w:asciiTheme="majorHAnsi" w:eastAsiaTheme="majorEastAsia" w:hAnsiTheme="majorHAnsi" w:cstheme="majorBidi"/>
          <w:color w:val="365F91" w:themeColor="accent1" w:themeShade="BF"/>
          <w:sz w:val="40"/>
          <w:szCs w:val="40"/>
        </w:rPr>
      </w:pPr>
      <w:bookmarkStart w:id="644" w:name="_Appendix_A:_Legislation"/>
      <w:bookmarkStart w:id="645" w:name="_Toc103152188"/>
      <w:bookmarkStart w:id="646" w:name="_Toc105770685"/>
      <w:bookmarkEnd w:id="644"/>
      <w:r>
        <w:br w:type="page"/>
      </w:r>
    </w:p>
    <w:p w14:paraId="26C2E7CA" w14:textId="77777777" w:rsidR="00DB1B6E" w:rsidRPr="00DB1B6E" w:rsidRDefault="00DB1B6E" w:rsidP="00DB1B6E">
      <w:pPr>
        <w:pStyle w:val="Heading1-nonumbering"/>
        <w:rPr>
          <w:sz w:val="64"/>
          <w:szCs w:val="64"/>
        </w:rPr>
      </w:pPr>
      <w:bookmarkStart w:id="647" w:name="_Toc131663870"/>
      <w:bookmarkStart w:id="648" w:name="_Toc132355354"/>
      <w:r w:rsidRPr="00DB1B6E">
        <w:rPr>
          <w:sz w:val="64"/>
          <w:szCs w:val="64"/>
        </w:rPr>
        <w:lastRenderedPageBreak/>
        <w:t>Appendix A: Legislation specifically related to restraint</w:t>
      </w:r>
      <w:bookmarkEnd w:id="645"/>
      <w:bookmarkEnd w:id="646"/>
      <w:bookmarkEnd w:id="647"/>
      <w:bookmarkEnd w:id="648"/>
    </w:p>
    <w:p w14:paraId="1E4309C6" w14:textId="77777777" w:rsidR="00DB1B6E" w:rsidRPr="00DF355D" w:rsidRDefault="00DB1B6E" w:rsidP="00DB1B6E">
      <w:pPr>
        <w:pStyle w:val="Heading2-nonumbering"/>
      </w:pPr>
      <w:bookmarkStart w:id="649" w:name="_Toc103152189"/>
      <w:bookmarkStart w:id="650" w:name="_Toc105770686"/>
      <w:bookmarkStart w:id="651" w:name="_Toc131663871"/>
      <w:bookmarkStart w:id="652" w:name="_Toc132355355"/>
      <w:r w:rsidRPr="00DF355D">
        <w:t>Mental</w:t>
      </w:r>
      <w:r>
        <w:t xml:space="preserve"> </w:t>
      </w:r>
      <w:r w:rsidRPr="00DF355D">
        <w:t>Health</w:t>
      </w:r>
      <w:r>
        <w:t xml:space="preserve"> </w:t>
      </w:r>
      <w:r w:rsidRPr="00DF355D">
        <w:t>Act</w:t>
      </w:r>
      <w:bookmarkEnd w:id="649"/>
      <w:bookmarkEnd w:id="650"/>
      <w:bookmarkEnd w:id="651"/>
      <w:bookmarkEnd w:id="652"/>
      <w:r>
        <w:t xml:space="preserve"> </w:t>
      </w:r>
    </w:p>
    <w:p w14:paraId="0CDABF29" w14:textId="47EF9F86" w:rsidR="00DB1B6E" w:rsidRDefault="00DB1B6E" w:rsidP="00DB1B6E">
      <w:r w:rsidRPr="00455767">
        <w:t>The</w:t>
      </w:r>
      <w:r>
        <w:t xml:space="preserve"> </w:t>
      </w:r>
      <w:r w:rsidRPr="00455767">
        <w:t>Mental</w:t>
      </w:r>
      <w:r>
        <w:t xml:space="preserve"> </w:t>
      </w:r>
      <w:r w:rsidRPr="00455767">
        <w:t>Health</w:t>
      </w:r>
      <w:r>
        <w:t xml:space="preserve"> </w:t>
      </w:r>
      <w:r w:rsidRPr="00455767">
        <w:t>Act</w:t>
      </w:r>
      <w:r>
        <w:t xml:space="preserve"> sets out</w:t>
      </w:r>
      <w:r w:rsidRPr="00655DCB">
        <w:t xml:space="preserve"> </w:t>
      </w:r>
      <w:r w:rsidRPr="00455767">
        <w:t>specific</w:t>
      </w:r>
      <w:r>
        <w:t xml:space="preserve"> </w:t>
      </w:r>
      <w:r w:rsidRPr="00455767">
        <w:t>powers</w:t>
      </w:r>
      <w:r>
        <w:t xml:space="preserve"> </w:t>
      </w:r>
      <w:r w:rsidRPr="00455767">
        <w:t>to</w:t>
      </w:r>
      <w:r>
        <w:t xml:space="preserve"> </w:t>
      </w:r>
      <w:r w:rsidRPr="00455767">
        <w:t>detain</w:t>
      </w:r>
      <w:r>
        <w:t xml:space="preserve"> </w:t>
      </w:r>
      <w:r w:rsidRPr="00455767">
        <w:t>patients</w:t>
      </w:r>
      <w:r>
        <w:t xml:space="preserve"> </w:t>
      </w:r>
      <w:r w:rsidRPr="00455767">
        <w:t>or</w:t>
      </w:r>
      <w:r>
        <w:t xml:space="preserve"> </w:t>
      </w:r>
      <w:r w:rsidRPr="00455767">
        <w:t>proposed</w:t>
      </w:r>
      <w:r>
        <w:t xml:space="preserve"> </w:t>
      </w:r>
      <w:r w:rsidRPr="00455767">
        <w:t>patients</w:t>
      </w:r>
      <w:r>
        <w:t xml:space="preserve"> </w:t>
      </w:r>
      <w:r w:rsidRPr="00455767">
        <w:t>and</w:t>
      </w:r>
      <w:r>
        <w:t xml:space="preserve"> </w:t>
      </w:r>
      <w:r w:rsidRPr="00455767">
        <w:t>also</w:t>
      </w:r>
      <w:r>
        <w:t xml:space="preserve"> </w:t>
      </w:r>
      <w:r w:rsidRPr="00455767">
        <w:t>permits</w:t>
      </w:r>
      <w:r>
        <w:t xml:space="preserve"> </w:t>
      </w:r>
      <w:r w:rsidRPr="00455767">
        <w:t>the</w:t>
      </w:r>
      <w:r>
        <w:t xml:space="preserve"> </w:t>
      </w:r>
      <w:r w:rsidRPr="00455767">
        <w:t>use</w:t>
      </w:r>
      <w:r>
        <w:t xml:space="preserve"> </w:t>
      </w:r>
      <w:r w:rsidRPr="00455767">
        <w:t>of</w:t>
      </w:r>
      <w:r>
        <w:t xml:space="preserve"> </w:t>
      </w:r>
      <w:r w:rsidRPr="00455767">
        <w:t>force</w:t>
      </w:r>
      <w:r>
        <w:t xml:space="preserve"> </w:t>
      </w:r>
      <w:r w:rsidRPr="00455767">
        <w:t>in</w:t>
      </w:r>
      <w:r>
        <w:t xml:space="preserve"> </w:t>
      </w:r>
      <w:r w:rsidRPr="00455767">
        <w:t>certain</w:t>
      </w:r>
      <w:r>
        <w:t xml:space="preserve"> </w:t>
      </w:r>
      <w:r w:rsidRPr="00455767">
        <w:t>circumstances</w:t>
      </w:r>
      <w:r>
        <w:t xml:space="preserve"> </w:t>
      </w:r>
      <w:r w:rsidRPr="00455767">
        <w:t>under</w:t>
      </w:r>
      <w:r>
        <w:t xml:space="preserve"> </w:t>
      </w:r>
      <w:r w:rsidRPr="00455767">
        <w:t>section</w:t>
      </w:r>
      <w:r>
        <w:t xml:space="preserve"> </w:t>
      </w:r>
      <w:r w:rsidRPr="00455767">
        <w:t>122B.</w:t>
      </w:r>
      <w:r>
        <w:t xml:space="preserve"> </w:t>
      </w:r>
    </w:p>
    <w:p w14:paraId="4EC7C3BA" w14:textId="77777777" w:rsidR="00DB1B6E" w:rsidRDefault="00DB1B6E" w:rsidP="00DB1B6E"/>
    <w:p w14:paraId="3EE42D49" w14:textId="60AC8D8F" w:rsidR="00DB1B6E" w:rsidRDefault="00DB1B6E" w:rsidP="00DB1B6E">
      <w:pPr>
        <w:rPr>
          <w:b/>
        </w:rPr>
      </w:pPr>
      <w:r w:rsidRPr="00DB1B6E">
        <w:rPr>
          <w:b/>
        </w:rPr>
        <w:t>122B Use of force</w:t>
      </w:r>
    </w:p>
    <w:p w14:paraId="56BFA2BB" w14:textId="77777777" w:rsidR="00DB1B6E" w:rsidRPr="00DB1B6E" w:rsidRDefault="00DB1B6E" w:rsidP="00DB1B6E">
      <w:pPr>
        <w:rPr>
          <w:b/>
        </w:rPr>
      </w:pPr>
    </w:p>
    <w:p w14:paraId="52AA157F" w14:textId="64C20E0B" w:rsidR="00DB1B6E" w:rsidRPr="00A714E9" w:rsidRDefault="00DB1B6E" w:rsidP="002C663E">
      <w:pPr>
        <w:pStyle w:val="subprov"/>
        <w:numPr>
          <w:ilvl w:val="3"/>
          <w:numId w:val="24"/>
        </w:numPr>
        <w:shd w:val="clear" w:color="auto" w:fill="FFFFFF"/>
        <w:spacing w:before="0" w:beforeAutospacing="0" w:after="0" w:afterAutospacing="0" w:line="276" w:lineRule="auto"/>
        <w:ind w:left="426" w:hanging="426"/>
        <w:textAlignment w:val="baseline"/>
        <w:rPr>
          <w:rFonts w:ascii="Segoe UI" w:hAnsi="Segoe UI" w:cs="Segoe UI"/>
          <w:color w:val="000000"/>
          <w:sz w:val="21"/>
          <w:szCs w:val="21"/>
        </w:rPr>
      </w:pPr>
      <w:r w:rsidRPr="00A714E9">
        <w:rPr>
          <w:rFonts w:ascii="Segoe UI" w:hAnsi="Segoe UI" w:cs="Segoe UI"/>
          <w:color w:val="000000"/>
          <w:sz w:val="21"/>
          <w:szCs w:val="21"/>
        </w:rPr>
        <w:t>A</w:t>
      </w:r>
      <w:r>
        <w:rPr>
          <w:rFonts w:ascii="Segoe UI" w:hAnsi="Segoe UI" w:cs="Segoe UI"/>
          <w:color w:val="000000"/>
          <w:sz w:val="21"/>
          <w:szCs w:val="21"/>
        </w:rPr>
        <w:t xml:space="preserve"> </w:t>
      </w:r>
      <w:r w:rsidRPr="00A714E9">
        <w:rPr>
          <w:rFonts w:ascii="Segoe UI" w:hAnsi="Segoe UI" w:cs="Segoe UI"/>
          <w:color w:val="000000"/>
          <w:sz w:val="21"/>
          <w:szCs w:val="21"/>
        </w:rPr>
        <w:t>person</w:t>
      </w:r>
      <w:r>
        <w:rPr>
          <w:rFonts w:ascii="Segoe UI" w:hAnsi="Segoe UI" w:cs="Segoe UI"/>
          <w:color w:val="000000"/>
          <w:sz w:val="21"/>
          <w:szCs w:val="21"/>
        </w:rPr>
        <w:t xml:space="preserve"> </w:t>
      </w:r>
      <w:r w:rsidRPr="00A714E9">
        <w:rPr>
          <w:rFonts w:ascii="Segoe UI" w:hAnsi="Segoe UI" w:cs="Segoe UI"/>
          <w:color w:val="000000"/>
          <w:sz w:val="21"/>
          <w:szCs w:val="21"/>
        </w:rPr>
        <w:t>exercising</w:t>
      </w:r>
      <w:r>
        <w:rPr>
          <w:rFonts w:ascii="Segoe UI" w:hAnsi="Segoe UI" w:cs="Segoe UI"/>
          <w:color w:val="000000"/>
          <w:sz w:val="21"/>
          <w:szCs w:val="21"/>
        </w:rPr>
        <w:t xml:space="preserve"> </w:t>
      </w:r>
      <w:r w:rsidRPr="00A714E9">
        <w:rPr>
          <w:rFonts w:ascii="Segoe UI" w:hAnsi="Segoe UI" w:cs="Segoe UI"/>
          <w:color w:val="000000"/>
          <w:sz w:val="21"/>
          <w:szCs w:val="21"/>
        </w:rPr>
        <w:t>a</w:t>
      </w:r>
      <w:r>
        <w:rPr>
          <w:rFonts w:ascii="Segoe UI" w:hAnsi="Segoe UI" w:cs="Segoe UI"/>
          <w:color w:val="000000"/>
          <w:sz w:val="21"/>
          <w:szCs w:val="21"/>
        </w:rPr>
        <w:t xml:space="preserve"> </w:t>
      </w:r>
      <w:r w:rsidRPr="00A714E9">
        <w:rPr>
          <w:rFonts w:ascii="Segoe UI" w:hAnsi="Segoe UI" w:cs="Segoe UI"/>
          <w:color w:val="000000"/>
          <w:sz w:val="21"/>
          <w:szCs w:val="21"/>
        </w:rPr>
        <w:t>power</w:t>
      </w:r>
      <w:r>
        <w:rPr>
          <w:rFonts w:ascii="Segoe UI" w:hAnsi="Segoe UI" w:cs="Segoe UI"/>
          <w:color w:val="000000"/>
          <w:sz w:val="21"/>
          <w:szCs w:val="21"/>
        </w:rPr>
        <w:t xml:space="preserve"> </w:t>
      </w:r>
      <w:r w:rsidRPr="00A714E9">
        <w:rPr>
          <w:rFonts w:ascii="Segoe UI" w:hAnsi="Segoe UI" w:cs="Segoe UI"/>
          <w:color w:val="000000"/>
          <w:sz w:val="21"/>
          <w:szCs w:val="21"/>
        </w:rPr>
        <w:t>specified</w:t>
      </w:r>
      <w:r>
        <w:rPr>
          <w:rFonts w:ascii="Segoe UI" w:hAnsi="Segoe UI" w:cs="Segoe UI"/>
          <w:color w:val="000000"/>
          <w:sz w:val="21"/>
          <w:szCs w:val="21"/>
        </w:rPr>
        <w:t xml:space="preserve"> </w:t>
      </w:r>
      <w:r w:rsidRPr="00A714E9">
        <w:rPr>
          <w:rFonts w:ascii="Segoe UI" w:hAnsi="Segoe UI" w:cs="Segoe UI"/>
          <w:color w:val="000000"/>
          <w:sz w:val="21"/>
          <w:szCs w:val="21"/>
        </w:rPr>
        <w:t>in</w:t>
      </w:r>
      <w:r>
        <w:rPr>
          <w:rFonts w:ascii="Segoe UI" w:hAnsi="Segoe UI" w:cs="Segoe UI"/>
          <w:color w:val="000000"/>
          <w:sz w:val="21"/>
          <w:szCs w:val="21"/>
        </w:rPr>
        <w:t xml:space="preserve"> </w:t>
      </w:r>
      <w:r w:rsidRPr="00A714E9">
        <w:rPr>
          <w:rFonts w:ascii="Segoe UI" w:hAnsi="Segoe UI" w:cs="Segoe UI"/>
          <w:color w:val="000000"/>
          <w:sz w:val="21"/>
          <w:szCs w:val="21"/>
        </w:rPr>
        <w:t>subsection</w:t>
      </w:r>
      <w:r>
        <w:rPr>
          <w:rFonts w:ascii="Segoe UI" w:hAnsi="Segoe UI" w:cs="Segoe UI"/>
          <w:color w:val="000000"/>
          <w:sz w:val="21"/>
          <w:szCs w:val="21"/>
        </w:rPr>
        <w:t xml:space="preserve"> </w:t>
      </w:r>
      <w:r w:rsidRPr="00A714E9">
        <w:rPr>
          <w:rFonts w:ascii="Segoe UI" w:hAnsi="Segoe UI" w:cs="Segoe UI"/>
          <w:color w:val="000000"/>
          <w:sz w:val="21"/>
          <w:szCs w:val="21"/>
        </w:rPr>
        <w:t>(2)</w:t>
      </w:r>
      <w:r>
        <w:rPr>
          <w:rFonts w:ascii="Segoe UI" w:hAnsi="Segoe UI" w:cs="Segoe UI"/>
          <w:color w:val="000000"/>
          <w:sz w:val="21"/>
          <w:szCs w:val="21"/>
        </w:rPr>
        <w:t xml:space="preserve"> </w:t>
      </w:r>
      <w:r w:rsidRPr="00A714E9">
        <w:rPr>
          <w:rFonts w:ascii="Segoe UI" w:hAnsi="Segoe UI" w:cs="Segoe UI"/>
          <w:color w:val="000000"/>
          <w:sz w:val="21"/>
          <w:szCs w:val="21"/>
        </w:rPr>
        <w:t>may,</w:t>
      </w:r>
      <w:r>
        <w:rPr>
          <w:rFonts w:ascii="Segoe UI" w:hAnsi="Segoe UI" w:cs="Segoe UI"/>
          <w:color w:val="000000"/>
          <w:sz w:val="21"/>
          <w:szCs w:val="21"/>
        </w:rPr>
        <w:t xml:space="preserve"> </w:t>
      </w:r>
      <w:r w:rsidRPr="00A714E9">
        <w:rPr>
          <w:rFonts w:ascii="Segoe UI" w:hAnsi="Segoe UI" w:cs="Segoe UI"/>
          <w:color w:val="000000"/>
          <w:sz w:val="21"/>
          <w:szCs w:val="21"/>
        </w:rPr>
        <w:t>if</w:t>
      </w:r>
      <w:r>
        <w:rPr>
          <w:rFonts w:ascii="Segoe UI" w:hAnsi="Segoe UI" w:cs="Segoe UI"/>
          <w:color w:val="000000"/>
          <w:sz w:val="21"/>
          <w:szCs w:val="21"/>
        </w:rPr>
        <w:t xml:space="preserve"> </w:t>
      </w:r>
      <w:r w:rsidRPr="00A714E9">
        <w:rPr>
          <w:rFonts w:ascii="Segoe UI" w:hAnsi="Segoe UI" w:cs="Segoe UI"/>
          <w:color w:val="000000"/>
          <w:sz w:val="21"/>
          <w:szCs w:val="21"/>
        </w:rPr>
        <w:t>he</w:t>
      </w:r>
      <w:r>
        <w:rPr>
          <w:rFonts w:ascii="Segoe UI" w:hAnsi="Segoe UI" w:cs="Segoe UI"/>
          <w:color w:val="000000"/>
          <w:sz w:val="21"/>
          <w:szCs w:val="21"/>
        </w:rPr>
        <w:t xml:space="preserve"> </w:t>
      </w:r>
      <w:r w:rsidRPr="00A714E9">
        <w:rPr>
          <w:rFonts w:ascii="Segoe UI" w:hAnsi="Segoe UI" w:cs="Segoe UI"/>
          <w:color w:val="000000"/>
          <w:sz w:val="21"/>
          <w:szCs w:val="21"/>
        </w:rPr>
        <w:t>or</w:t>
      </w:r>
      <w:r>
        <w:rPr>
          <w:rFonts w:ascii="Segoe UI" w:hAnsi="Segoe UI" w:cs="Segoe UI"/>
          <w:color w:val="000000"/>
          <w:sz w:val="21"/>
          <w:szCs w:val="21"/>
        </w:rPr>
        <w:t xml:space="preserve"> </w:t>
      </w:r>
      <w:r w:rsidRPr="00A714E9">
        <w:rPr>
          <w:rFonts w:ascii="Segoe UI" w:hAnsi="Segoe UI" w:cs="Segoe UI"/>
          <w:color w:val="000000"/>
          <w:sz w:val="21"/>
          <w:szCs w:val="21"/>
        </w:rPr>
        <w:t>she</w:t>
      </w:r>
      <w:r>
        <w:rPr>
          <w:rFonts w:ascii="Segoe UI" w:hAnsi="Segoe UI" w:cs="Segoe UI"/>
          <w:color w:val="000000"/>
          <w:sz w:val="21"/>
          <w:szCs w:val="21"/>
        </w:rPr>
        <w:t xml:space="preserve"> </w:t>
      </w:r>
      <w:r w:rsidRPr="00A714E9">
        <w:rPr>
          <w:rFonts w:ascii="Segoe UI" w:hAnsi="Segoe UI" w:cs="Segoe UI"/>
          <w:color w:val="000000"/>
          <w:sz w:val="21"/>
          <w:szCs w:val="21"/>
        </w:rPr>
        <w:t>is</w:t>
      </w:r>
      <w:r>
        <w:rPr>
          <w:rFonts w:ascii="Segoe UI" w:hAnsi="Segoe UI" w:cs="Segoe UI"/>
          <w:color w:val="000000"/>
          <w:sz w:val="21"/>
          <w:szCs w:val="21"/>
        </w:rPr>
        <w:t xml:space="preserve"> </w:t>
      </w:r>
      <w:r w:rsidRPr="00A714E9">
        <w:rPr>
          <w:rFonts w:ascii="Segoe UI" w:hAnsi="Segoe UI" w:cs="Segoe UI"/>
          <w:color w:val="000000"/>
          <w:sz w:val="21"/>
          <w:szCs w:val="21"/>
        </w:rPr>
        <w:t>exercising</w:t>
      </w:r>
      <w:r>
        <w:rPr>
          <w:rFonts w:ascii="Segoe UI" w:hAnsi="Segoe UI" w:cs="Segoe UI"/>
          <w:color w:val="000000"/>
          <w:sz w:val="21"/>
          <w:szCs w:val="21"/>
        </w:rPr>
        <w:t xml:space="preserve"> </w:t>
      </w:r>
      <w:r w:rsidRPr="00A714E9">
        <w:rPr>
          <w:rFonts w:ascii="Segoe UI" w:hAnsi="Segoe UI" w:cs="Segoe UI"/>
          <w:color w:val="000000"/>
          <w:sz w:val="21"/>
          <w:szCs w:val="21"/>
        </w:rPr>
        <w:t>the</w:t>
      </w:r>
      <w:r>
        <w:rPr>
          <w:rFonts w:ascii="Segoe UI" w:hAnsi="Segoe UI" w:cs="Segoe UI"/>
          <w:color w:val="000000"/>
          <w:sz w:val="21"/>
          <w:szCs w:val="21"/>
        </w:rPr>
        <w:t xml:space="preserve"> </w:t>
      </w:r>
      <w:r w:rsidRPr="00A714E9">
        <w:rPr>
          <w:rFonts w:ascii="Segoe UI" w:hAnsi="Segoe UI" w:cs="Segoe UI"/>
          <w:color w:val="000000"/>
          <w:sz w:val="21"/>
          <w:szCs w:val="21"/>
        </w:rPr>
        <w:t>power</w:t>
      </w:r>
      <w:r>
        <w:rPr>
          <w:rFonts w:ascii="Segoe UI" w:hAnsi="Segoe UI" w:cs="Segoe UI"/>
          <w:color w:val="000000"/>
          <w:sz w:val="21"/>
          <w:szCs w:val="21"/>
        </w:rPr>
        <w:t xml:space="preserve"> </w:t>
      </w:r>
      <w:r w:rsidRPr="00A714E9">
        <w:rPr>
          <w:rFonts w:ascii="Segoe UI" w:hAnsi="Segoe UI" w:cs="Segoe UI"/>
          <w:color w:val="000000"/>
          <w:sz w:val="21"/>
          <w:szCs w:val="21"/>
        </w:rPr>
        <w:t>in</w:t>
      </w:r>
      <w:r>
        <w:rPr>
          <w:rFonts w:ascii="Segoe UI" w:hAnsi="Segoe UI" w:cs="Segoe UI"/>
          <w:color w:val="000000"/>
          <w:sz w:val="21"/>
          <w:szCs w:val="21"/>
        </w:rPr>
        <w:t xml:space="preserve"> </w:t>
      </w:r>
      <w:r w:rsidRPr="00A714E9">
        <w:rPr>
          <w:rFonts w:ascii="Segoe UI" w:hAnsi="Segoe UI" w:cs="Segoe UI"/>
          <w:color w:val="000000"/>
          <w:sz w:val="21"/>
          <w:szCs w:val="21"/>
        </w:rPr>
        <w:t>an</w:t>
      </w:r>
      <w:r>
        <w:rPr>
          <w:rFonts w:ascii="Segoe UI" w:hAnsi="Segoe UI" w:cs="Segoe UI"/>
          <w:color w:val="000000"/>
          <w:sz w:val="21"/>
          <w:szCs w:val="21"/>
        </w:rPr>
        <w:t xml:space="preserve"> </w:t>
      </w:r>
      <w:r w:rsidRPr="00A714E9">
        <w:rPr>
          <w:rFonts w:ascii="Segoe UI" w:hAnsi="Segoe UI" w:cs="Segoe UI"/>
          <w:color w:val="000000"/>
          <w:sz w:val="21"/>
          <w:szCs w:val="21"/>
        </w:rPr>
        <w:t>emergency,</w:t>
      </w:r>
      <w:r>
        <w:rPr>
          <w:rFonts w:ascii="Segoe UI" w:hAnsi="Segoe UI" w:cs="Segoe UI"/>
          <w:color w:val="000000"/>
          <w:sz w:val="21"/>
          <w:szCs w:val="21"/>
        </w:rPr>
        <w:t xml:space="preserve"> </w:t>
      </w:r>
      <w:r w:rsidRPr="00A714E9">
        <w:rPr>
          <w:rFonts w:ascii="Segoe UI" w:hAnsi="Segoe UI" w:cs="Segoe UI"/>
          <w:color w:val="000000"/>
          <w:sz w:val="21"/>
          <w:szCs w:val="21"/>
        </w:rPr>
        <w:t>use</w:t>
      </w:r>
      <w:r>
        <w:rPr>
          <w:rFonts w:ascii="Segoe UI" w:hAnsi="Segoe UI" w:cs="Segoe UI"/>
          <w:color w:val="000000"/>
          <w:sz w:val="21"/>
          <w:szCs w:val="21"/>
        </w:rPr>
        <w:t xml:space="preserve"> </w:t>
      </w:r>
      <w:r w:rsidRPr="00A714E9">
        <w:rPr>
          <w:rFonts w:ascii="Segoe UI" w:hAnsi="Segoe UI" w:cs="Segoe UI"/>
          <w:color w:val="000000"/>
          <w:sz w:val="21"/>
          <w:szCs w:val="21"/>
        </w:rPr>
        <w:t>such</w:t>
      </w:r>
      <w:r>
        <w:rPr>
          <w:rFonts w:ascii="Segoe UI" w:hAnsi="Segoe UI" w:cs="Segoe UI"/>
          <w:color w:val="000000"/>
          <w:sz w:val="21"/>
          <w:szCs w:val="21"/>
        </w:rPr>
        <w:t xml:space="preserve"> </w:t>
      </w:r>
      <w:r w:rsidRPr="00A714E9">
        <w:rPr>
          <w:rFonts w:ascii="Segoe UI" w:hAnsi="Segoe UI" w:cs="Segoe UI"/>
          <w:color w:val="000000"/>
          <w:sz w:val="21"/>
          <w:szCs w:val="21"/>
        </w:rPr>
        <w:t>force</w:t>
      </w:r>
      <w:r>
        <w:rPr>
          <w:rFonts w:ascii="Segoe UI" w:hAnsi="Segoe UI" w:cs="Segoe UI"/>
          <w:color w:val="000000"/>
          <w:sz w:val="21"/>
          <w:szCs w:val="21"/>
        </w:rPr>
        <w:t xml:space="preserve"> </w:t>
      </w:r>
      <w:r w:rsidRPr="00A714E9">
        <w:rPr>
          <w:rFonts w:ascii="Segoe UI" w:hAnsi="Segoe UI" w:cs="Segoe UI"/>
          <w:color w:val="000000"/>
          <w:sz w:val="21"/>
          <w:szCs w:val="21"/>
        </w:rPr>
        <w:t>as</w:t>
      </w:r>
      <w:r>
        <w:rPr>
          <w:rFonts w:ascii="Segoe UI" w:hAnsi="Segoe UI" w:cs="Segoe UI"/>
          <w:color w:val="000000"/>
          <w:sz w:val="21"/>
          <w:szCs w:val="21"/>
        </w:rPr>
        <w:t xml:space="preserve"> </w:t>
      </w:r>
      <w:r w:rsidRPr="00A714E9">
        <w:rPr>
          <w:rFonts w:ascii="Segoe UI" w:hAnsi="Segoe UI" w:cs="Segoe UI"/>
          <w:color w:val="000000"/>
          <w:sz w:val="21"/>
          <w:szCs w:val="21"/>
        </w:rPr>
        <w:t>is</w:t>
      </w:r>
      <w:r>
        <w:rPr>
          <w:rFonts w:ascii="Segoe UI" w:hAnsi="Segoe UI" w:cs="Segoe UI"/>
          <w:color w:val="000000"/>
          <w:sz w:val="21"/>
          <w:szCs w:val="21"/>
        </w:rPr>
        <w:t xml:space="preserve"> </w:t>
      </w:r>
      <w:r w:rsidRPr="00A714E9">
        <w:rPr>
          <w:rFonts w:ascii="Segoe UI" w:hAnsi="Segoe UI" w:cs="Segoe UI"/>
          <w:color w:val="000000"/>
          <w:sz w:val="21"/>
          <w:szCs w:val="21"/>
        </w:rPr>
        <w:t>reasonably</w:t>
      </w:r>
      <w:r>
        <w:rPr>
          <w:rFonts w:ascii="Segoe UI" w:hAnsi="Segoe UI" w:cs="Segoe UI"/>
          <w:color w:val="000000"/>
          <w:sz w:val="21"/>
          <w:szCs w:val="21"/>
        </w:rPr>
        <w:t xml:space="preserve"> </w:t>
      </w:r>
      <w:r w:rsidRPr="00A714E9">
        <w:rPr>
          <w:rFonts w:ascii="Segoe UI" w:hAnsi="Segoe UI" w:cs="Segoe UI"/>
          <w:color w:val="000000"/>
          <w:sz w:val="21"/>
          <w:szCs w:val="21"/>
        </w:rPr>
        <w:t>necessary</w:t>
      </w:r>
      <w:r>
        <w:rPr>
          <w:rFonts w:ascii="Segoe UI" w:hAnsi="Segoe UI" w:cs="Segoe UI"/>
          <w:color w:val="000000"/>
          <w:sz w:val="21"/>
          <w:szCs w:val="21"/>
        </w:rPr>
        <w:t xml:space="preserve"> </w:t>
      </w:r>
      <w:r w:rsidRPr="00A714E9">
        <w:rPr>
          <w:rFonts w:ascii="Segoe UI" w:hAnsi="Segoe UI" w:cs="Segoe UI"/>
          <w:color w:val="000000"/>
          <w:sz w:val="21"/>
          <w:szCs w:val="21"/>
        </w:rPr>
        <w:t>in</w:t>
      </w:r>
      <w:r>
        <w:rPr>
          <w:rFonts w:ascii="Segoe UI" w:hAnsi="Segoe UI" w:cs="Segoe UI"/>
          <w:color w:val="000000"/>
          <w:sz w:val="21"/>
          <w:szCs w:val="21"/>
        </w:rPr>
        <w:t xml:space="preserve"> </w:t>
      </w:r>
      <w:r w:rsidRPr="00A714E9">
        <w:rPr>
          <w:rFonts w:ascii="Segoe UI" w:hAnsi="Segoe UI" w:cs="Segoe UI"/>
          <w:color w:val="000000"/>
          <w:sz w:val="21"/>
          <w:szCs w:val="21"/>
        </w:rPr>
        <w:t>the</w:t>
      </w:r>
      <w:r>
        <w:rPr>
          <w:rFonts w:ascii="Segoe UI" w:hAnsi="Segoe UI" w:cs="Segoe UI"/>
          <w:color w:val="000000"/>
          <w:sz w:val="21"/>
          <w:szCs w:val="21"/>
        </w:rPr>
        <w:t xml:space="preserve"> </w:t>
      </w:r>
      <w:r w:rsidRPr="00A714E9">
        <w:rPr>
          <w:rFonts w:ascii="Segoe UI" w:hAnsi="Segoe UI" w:cs="Segoe UI"/>
          <w:color w:val="000000"/>
          <w:sz w:val="21"/>
          <w:szCs w:val="21"/>
        </w:rPr>
        <w:t>circumstances.</w:t>
      </w:r>
    </w:p>
    <w:p w14:paraId="62078A04" w14:textId="03A1ABB8" w:rsidR="00DB1B6E" w:rsidRPr="00A714E9" w:rsidRDefault="00DB1B6E" w:rsidP="002C663E">
      <w:pPr>
        <w:pStyle w:val="subprov"/>
        <w:numPr>
          <w:ilvl w:val="3"/>
          <w:numId w:val="24"/>
        </w:numPr>
        <w:shd w:val="clear" w:color="auto" w:fill="FFFFFF"/>
        <w:spacing w:before="120" w:beforeAutospacing="0" w:after="0" w:afterAutospacing="0" w:line="276" w:lineRule="auto"/>
        <w:ind w:left="426" w:hanging="426"/>
        <w:textAlignment w:val="baseline"/>
        <w:rPr>
          <w:rFonts w:ascii="Segoe UI" w:hAnsi="Segoe UI" w:cs="Segoe UI"/>
          <w:color w:val="000000"/>
          <w:sz w:val="21"/>
          <w:szCs w:val="21"/>
        </w:rPr>
      </w:pPr>
      <w:r w:rsidRPr="00A714E9">
        <w:rPr>
          <w:rFonts w:ascii="Segoe UI" w:hAnsi="Segoe UI" w:cs="Segoe UI"/>
          <w:color w:val="000000"/>
          <w:sz w:val="21"/>
          <w:szCs w:val="21"/>
        </w:rPr>
        <w:t>The</w:t>
      </w:r>
      <w:r>
        <w:rPr>
          <w:rFonts w:ascii="Segoe UI" w:hAnsi="Segoe UI" w:cs="Segoe UI"/>
          <w:color w:val="000000"/>
          <w:sz w:val="21"/>
          <w:szCs w:val="21"/>
        </w:rPr>
        <w:t xml:space="preserve"> </w:t>
      </w:r>
      <w:r w:rsidRPr="00A714E9">
        <w:rPr>
          <w:rFonts w:ascii="Segoe UI" w:hAnsi="Segoe UI" w:cs="Segoe UI"/>
          <w:color w:val="000000"/>
          <w:sz w:val="21"/>
          <w:szCs w:val="21"/>
        </w:rPr>
        <w:t>powers</w:t>
      </w:r>
      <w:r>
        <w:rPr>
          <w:rFonts w:ascii="Segoe UI" w:hAnsi="Segoe UI" w:cs="Segoe UI"/>
          <w:color w:val="000000"/>
          <w:sz w:val="21"/>
          <w:szCs w:val="21"/>
        </w:rPr>
        <w:t xml:space="preserve"> </w:t>
      </w:r>
      <w:r w:rsidRPr="00A714E9">
        <w:rPr>
          <w:rFonts w:ascii="Segoe UI" w:hAnsi="Segoe UI" w:cs="Segoe UI"/>
          <w:color w:val="000000"/>
          <w:sz w:val="21"/>
          <w:szCs w:val="21"/>
        </w:rPr>
        <w:t>are—</w:t>
      </w:r>
    </w:p>
    <w:p w14:paraId="5646B656" w14:textId="77777777" w:rsidR="00DB1B6E" w:rsidRPr="00A714E9" w:rsidRDefault="00DB1B6E" w:rsidP="002C663E">
      <w:pPr>
        <w:pStyle w:val="Heading5"/>
        <w:numPr>
          <w:ilvl w:val="1"/>
          <w:numId w:val="21"/>
        </w:numPr>
        <w:shd w:val="clear" w:color="auto" w:fill="FFFFFF"/>
        <w:spacing w:line="276" w:lineRule="auto"/>
        <w:ind w:left="851" w:hanging="425"/>
        <w:textAlignment w:val="baseline"/>
        <w:rPr>
          <w:rFonts w:cs="Segoe UI"/>
          <w:color w:val="000000"/>
          <w:sz w:val="21"/>
          <w:szCs w:val="21"/>
        </w:rPr>
      </w:pPr>
      <w:r w:rsidRPr="00A714E9">
        <w:rPr>
          <w:rFonts w:cs="Segoe UI"/>
          <w:color w:val="000000"/>
          <w:sz w:val="21"/>
          <w:szCs w:val="21"/>
        </w:rPr>
        <w:t>a</w:t>
      </w:r>
      <w:r>
        <w:rPr>
          <w:rFonts w:cs="Segoe UI"/>
          <w:color w:val="000000"/>
          <w:sz w:val="21"/>
          <w:szCs w:val="21"/>
        </w:rPr>
        <w:t xml:space="preserve"> </w:t>
      </w:r>
      <w:r w:rsidRPr="00A714E9">
        <w:rPr>
          <w:rFonts w:cs="Segoe UI"/>
          <w:color w:val="000000"/>
          <w:sz w:val="21"/>
          <w:szCs w:val="21"/>
        </w:rPr>
        <w:t>power</w:t>
      </w:r>
      <w:r>
        <w:rPr>
          <w:rFonts w:cs="Segoe UI"/>
          <w:color w:val="000000"/>
          <w:sz w:val="21"/>
          <w:szCs w:val="21"/>
        </w:rPr>
        <w:t xml:space="preserve"> </w:t>
      </w:r>
      <w:r w:rsidRPr="00A714E9">
        <w:rPr>
          <w:rFonts w:cs="Segoe UI"/>
          <w:color w:val="000000"/>
          <w:sz w:val="21"/>
          <w:szCs w:val="21"/>
        </w:rPr>
        <w:t>to</w:t>
      </w:r>
      <w:r>
        <w:rPr>
          <w:rFonts w:cs="Segoe UI"/>
          <w:color w:val="000000"/>
          <w:sz w:val="21"/>
          <w:szCs w:val="21"/>
        </w:rPr>
        <w:t xml:space="preserve"> </w:t>
      </w:r>
      <w:r w:rsidRPr="00A714E9">
        <w:rPr>
          <w:rFonts w:cs="Segoe UI"/>
          <w:color w:val="000000"/>
          <w:sz w:val="21"/>
          <w:szCs w:val="21"/>
        </w:rPr>
        <w:t>take</w:t>
      </w:r>
      <w:r>
        <w:rPr>
          <w:rFonts w:cs="Segoe UI"/>
          <w:color w:val="000000"/>
          <w:sz w:val="21"/>
          <w:szCs w:val="21"/>
        </w:rPr>
        <w:t xml:space="preserve"> </w:t>
      </w:r>
      <w:r w:rsidRPr="00A714E9">
        <w:rPr>
          <w:rFonts w:cs="Segoe UI"/>
          <w:color w:val="000000"/>
          <w:sz w:val="21"/>
          <w:szCs w:val="21"/>
        </w:rPr>
        <w:t>or</w:t>
      </w:r>
      <w:r>
        <w:rPr>
          <w:rFonts w:cs="Segoe UI"/>
          <w:color w:val="000000"/>
          <w:sz w:val="21"/>
          <w:szCs w:val="21"/>
        </w:rPr>
        <w:t xml:space="preserve"> </w:t>
      </w:r>
      <w:r w:rsidRPr="00A714E9">
        <w:rPr>
          <w:rFonts w:cs="Segoe UI"/>
          <w:color w:val="000000"/>
          <w:sz w:val="21"/>
          <w:szCs w:val="21"/>
        </w:rPr>
        <w:t>retake</w:t>
      </w:r>
      <w:r>
        <w:rPr>
          <w:rFonts w:cs="Segoe UI"/>
          <w:color w:val="000000"/>
          <w:sz w:val="21"/>
          <w:szCs w:val="21"/>
        </w:rPr>
        <w:t xml:space="preserve"> </w:t>
      </w:r>
      <w:r w:rsidRPr="00A714E9">
        <w:rPr>
          <w:rFonts w:cs="Segoe UI"/>
          <w:color w:val="000000"/>
          <w:sz w:val="21"/>
          <w:szCs w:val="21"/>
        </w:rPr>
        <w:t>a</w:t>
      </w:r>
      <w:r>
        <w:rPr>
          <w:rFonts w:cs="Segoe UI"/>
          <w:color w:val="000000"/>
          <w:sz w:val="21"/>
          <w:szCs w:val="21"/>
        </w:rPr>
        <w:t xml:space="preserve"> </w:t>
      </w:r>
      <w:r w:rsidRPr="00A714E9">
        <w:rPr>
          <w:rFonts w:cs="Segoe UI"/>
          <w:color w:val="000000"/>
          <w:sz w:val="21"/>
          <w:szCs w:val="21"/>
        </w:rPr>
        <w:t>person,</w:t>
      </w:r>
      <w:r>
        <w:rPr>
          <w:rFonts w:cs="Segoe UI"/>
          <w:color w:val="000000"/>
          <w:sz w:val="21"/>
          <w:szCs w:val="21"/>
        </w:rPr>
        <w:t xml:space="preserve"> </w:t>
      </w:r>
      <w:r w:rsidRPr="00A714E9">
        <w:rPr>
          <w:rFonts w:cs="Segoe UI"/>
          <w:color w:val="000000"/>
          <w:sz w:val="21"/>
          <w:szCs w:val="21"/>
        </w:rPr>
        <w:t>proposed</w:t>
      </w:r>
      <w:r>
        <w:rPr>
          <w:rFonts w:cs="Segoe UI"/>
          <w:color w:val="000000"/>
          <w:sz w:val="21"/>
          <w:szCs w:val="21"/>
        </w:rPr>
        <w:t xml:space="preserve"> </w:t>
      </w:r>
      <w:r w:rsidRPr="00A714E9">
        <w:rPr>
          <w:rFonts w:cs="Segoe UI"/>
          <w:color w:val="000000"/>
          <w:sz w:val="21"/>
          <w:szCs w:val="21"/>
        </w:rPr>
        <w:t>patient,</w:t>
      </w:r>
      <w:r>
        <w:rPr>
          <w:rFonts w:cs="Segoe UI"/>
          <w:color w:val="000000"/>
          <w:sz w:val="21"/>
          <w:szCs w:val="21"/>
        </w:rPr>
        <w:t xml:space="preserve"> </w:t>
      </w:r>
      <w:r w:rsidRPr="00A714E9">
        <w:rPr>
          <w:rFonts w:cs="Segoe UI"/>
          <w:color w:val="000000"/>
          <w:sz w:val="21"/>
          <w:szCs w:val="21"/>
        </w:rPr>
        <w:t>or</w:t>
      </w:r>
      <w:r>
        <w:rPr>
          <w:rFonts w:cs="Segoe UI"/>
          <w:color w:val="000000"/>
          <w:sz w:val="21"/>
          <w:szCs w:val="21"/>
        </w:rPr>
        <w:t xml:space="preserve"> </w:t>
      </w:r>
      <w:r w:rsidRPr="00A714E9">
        <w:rPr>
          <w:rFonts w:cs="Segoe UI"/>
          <w:color w:val="000000"/>
          <w:sz w:val="21"/>
          <w:szCs w:val="21"/>
        </w:rPr>
        <w:t>patient</w:t>
      </w:r>
      <w:r>
        <w:rPr>
          <w:rFonts w:cs="Segoe UI"/>
          <w:color w:val="000000"/>
          <w:sz w:val="21"/>
          <w:szCs w:val="21"/>
        </w:rPr>
        <w:t xml:space="preserve"> </w:t>
      </w:r>
      <w:r w:rsidRPr="00A714E9">
        <w:rPr>
          <w:rFonts w:cs="Segoe UI"/>
          <w:color w:val="000000"/>
          <w:sz w:val="21"/>
          <w:szCs w:val="21"/>
        </w:rPr>
        <w:t>in</w:t>
      </w:r>
      <w:r>
        <w:rPr>
          <w:rFonts w:cs="Segoe UI"/>
          <w:color w:val="000000"/>
          <w:sz w:val="21"/>
          <w:szCs w:val="21"/>
        </w:rPr>
        <w:t xml:space="preserve"> </w:t>
      </w:r>
      <w:r w:rsidRPr="00A714E9">
        <w:rPr>
          <w:rFonts w:cs="Segoe UI"/>
          <w:color w:val="000000"/>
          <w:sz w:val="21"/>
          <w:szCs w:val="21"/>
        </w:rPr>
        <w:t>any</w:t>
      </w:r>
      <w:r>
        <w:rPr>
          <w:rFonts w:cs="Segoe UI"/>
          <w:color w:val="000000"/>
          <w:sz w:val="21"/>
          <w:szCs w:val="21"/>
        </w:rPr>
        <w:t xml:space="preserve"> </w:t>
      </w:r>
      <w:r w:rsidRPr="00A714E9">
        <w:rPr>
          <w:rFonts w:cs="Segoe UI"/>
          <w:color w:val="000000"/>
          <w:sz w:val="21"/>
          <w:szCs w:val="21"/>
        </w:rPr>
        <w:t>of</w:t>
      </w:r>
      <w:r>
        <w:rPr>
          <w:rFonts w:cs="Segoe UI"/>
          <w:color w:val="000000"/>
          <w:sz w:val="21"/>
          <w:szCs w:val="21"/>
        </w:rPr>
        <w:t xml:space="preserve"> </w:t>
      </w:r>
      <w:hyperlink r:id="rId28" w:anchor="DLM263059" w:history="1">
        <w:r w:rsidRPr="00A714E9">
          <w:rPr>
            <w:rStyle w:val="Hyperlink"/>
            <w:rFonts w:cs="Segoe UI"/>
            <w:sz w:val="21"/>
            <w:szCs w:val="21"/>
            <w:bdr w:val="none" w:sz="0" w:space="0" w:color="auto" w:frame="1"/>
          </w:rPr>
          <w:t>sections</w:t>
        </w:r>
        <w:r>
          <w:rPr>
            <w:rStyle w:val="Hyperlink"/>
            <w:rFonts w:cs="Segoe UI"/>
            <w:sz w:val="21"/>
            <w:szCs w:val="21"/>
            <w:bdr w:val="none" w:sz="0" w:space="0" w:color="auto" w:frame="1"/>
          </w:rPr>
          <w:t xml:space="preserve"> </w:t>
        </w:r>
        <w:r w:rsidRPr="00A714E9">
          <w:rPr>
            <w:rStyle w:val="Hyperlink"/>
            <w:rFonts w:cs="Segoe UI"/>
            <w:sz w:val="21"/>
            <w:szCs w:val="21"/>
            <w:bdr w:val="none" w:sz="0" w:space="0" w:color="auto" w:frame="1"/>
          </w:rPr>
          <w:t>32(1)</w:t>
        </w:r>
      </w:hyperlink>
      <w:r w:rsidRPr="00A714E9">
        <w:rPr>
          <w:rFonts w:cs="Segoe UI"/>
          <w:color w:val="000000"/>
          <w:sz w:val="21"/>
          <w:szCs w:val="21"/>
        </w:rPr>
        <w:t>,</w:t>
      </w:r>
      <w:r>
        <w:rPr>
          <w:rFonts w:cs="Segoe UI"/>
          <w:color w:val="000000"/>
          <w:sz w:val="21"/>
          <w:szCs w:val="21"/>
        </w:rPr>
        <w:t xml:space="preserve"> </w:t>
      </w:r>
      <w:hyperlink r:id="rId29" w:anchor="DLM263074" w:history="1">
        <w:r w:rsidRPr="00A714E9">
          <w:rPr>
            <w:rStyle w:val="Hyperlink"/>
            <w:rFonts w:cs="Segoe UI"/>
            <w:sz w:val="21"/>
            <w:szCs w:val="21"/>
            <w:bdr w:val="none" w:sz="0" w:space="0" w:color="auto" w:frame="1"/>
          </w:rPr>
          <w:t>38(4)(d)</w:t>
        </w:r>
      </w:hyperlink>
      <w:r w:rsidRPr="00A714E9">
        <w:rPr>
          <w:rFonts w:cs="Segoe UI"/>
          <w:color w:val="000000"/>
          <w:sz w:val="21"/>
          <w:szCs w:val="21"/>
        </w:rPr>
        <w:t>,</w:t>
      </w:r>
      <w:r>
        <w:rPr>
          <w:rFonts w:cs="Segoe UI"/>
          <w:color w:val="000000"/>
          <w:sz w:val="21"/>
          <w:szCs w:val="21"/>
        </w:rPr>
        <w:t xml:space="preserve"> </w:t>
      </w:r>
      <w:hyperlink r:id="rId30" w:anchor="DLM263078" w:history="1">
        <w:r w:rsidRPr="00A714E9">
          <w:rPr>
            <w:rStyle w:val="Hyperlink"/>
            <w:rFonts w:cs="Segoe UI"/>
            <w:sz w:val="21"/>
            <w:szCs w:val="21"/>
            <w:bdr w:val="none" w:sz="0" w:space="0" w:color="auto" w:frame="1"/>
          </w:rPr>
          <w:t>40(2)</w:t>
        </w:r>
      </w:hyperlink>
      <w:r w:rsidRPr="00A714E9">
        <w:rPr>
          <w:rFonts w:cs="Segoe UI"/>
          <w:color w:val="000000"/>
          <w:sz w:val="21"/>
          <w:szCs w:val="21"/>
        </w:rPr>
        <w:t>,</w:t>
      </w:r>
      <w:r>
        <w:rPr>
          <w:rFonts w:cs="Segoe UI"/>
          <w:color w:val="000000"/>
          <w:sz w:val="21"/>
          <w:szCs w:val="21"/>
        </w:rPr>
        <w:t xml:space="preserve"> </w:t>
      </w:r>
      <w:hyperlink r:id="rId31" w:anchor="DLM263080" w:history="1">
        <w:r w:rsidRPr="00A714E9">
          <w:rPr>
            <w:rStyle w:val="Hyperlink"/>
            <w:rFonts w:cs="Segoe UI"/>
            <w:sz w:val="21"/>
            <w:szCs w:val="21"/>
            <w:bdr w:val="none" w:sz="0" w:space="0" w:color="auto" w:frame="1"/>
          </w:rPr>
          <w:t>41(4)</w:t>
        </w:r>
      </w:hyperlink>
      <w:r w:rsidRPr="00A714E9">
        <w:rPr>
          <w:rFonts w:cs="Segoe UI"/>
          <w:color w:val="000000"/>
          <w:sz w:val="21"/>
          <w:szCs w:val="21"/>
        </w:rPr>
        <w:t>,</w:t>
      </w:r>
      <w:r>
        <w:rPr>
          <w:rFonts w:cs="Segoe UI"/>
          <w:color w:val="000000"/>
          <w:sz w:val="21"/>
          <w:szCs w:val="21"/>
        </w:rPr>
        <w:t xml:space="preserve"> </w:t>
      </w:r>
      <w:hyperlink r:id="rId32" w:anchor="DLM263080" w:history="1">
        <w:r w:rsidRPr="00A714E9">
          <w:rPr>
            <w:rStyle w:val="Hyperlink"/>
            <w:rFonts w:cs="Segoe UI"/>
            <w:sz w:val="21"/>
            <w:szCs w:val="21"/>
            <w:bdr w:val="none" w:sz="0" w:space="0" w:color="auto" w:frame="1"/>
          </w:rPr>
          <w:t>41(5)</w:t>
        </w:r>
      </w:hyperlink>
      <w:r w:rsidRPr="00A714E9">
        <w:rPr>
          <w:rFonts w:cs="Segoe UI"/>
          <w:color w:val="000000"/>
          <w:sz w:val="21"/>
          <w:szCs w:val="21"/>
        </w:rPr>
        <w:t>,</w:t>
      </w:r>
      <w:r>
        <w:rPr>
          <w:rFonts w:cs="Segoe UI"/>
          <w:color w:val="000000"/>
          <w:sz w:val="21"/>
          <w:szCs w:val="21"/>
        </w:rPr>
        <w:t xml:space="preserve"> </w:t>
      </w:r>
      <w:hyperlink r:id="rId33" w:anchor="DLM263080" w:history="1">
        <w:r w:rsidRPr="00A714E9">
          <w:rPr>
            <w:rStyle w:val="Hyperlink"/>
            <w:rFonts w:cs="Segoe UI"/>
            <w:sz w:val="21"/>
            <w:szCs w:val="21"/>
            <w:bdr w:val="none" w:sz="0" w:space="0" w:color="auto" w:frame="1"/>
          </w:rPr>
          <w:t>41(6)</w:t>
        </w:r>
      </w:hyperlink>
      <w:r w:rsidRPr="00A714E9">
        <w:rPr>
          <w:rFonts w:cs="Segoe UI"/>
          <w:color w:val="000000"/>
          <w:sz w:val="21"/>
          <w:szCs w:val="21"/>
        </w:rPr>
        <w:t>,</w:t>
      </w:r>
      <w:r>
        <w:rPr>
          <w:rFonts w:cs="Segoe UI"/>
          <w:color w:val="000000"/>
          <w:sz w:val="21"/>
          <w:szCs w:val="21"/>
        </w:rPr>
        <w:t xml:space="preserve"> </w:t>
      </w:r>
      <w:hyperlink r:id="rId34" w:anchor="DLM263431" w:history="1">
        <w:r w:rsidRPr="00A714E9">
          <w:rPr>
            <w:rStyle w:val="Hyperlink"/>
            <w:rFonts w:cs="Segoe UI"/>
            <w:sz w:val="21"/>
            <w:szCs w:val="21"/>
            <w:bdr w:val="none" w:sz="0" w:space="0" w:color="auto" w:frame="1"/>
          </w:rPr>
          <w:t>50(4)</w:t>
        </w:r>
      </w:hyperlink>
      <w:r w:rsidRPr="00A714E9">
        <w:rPr>
          <w:rFonts w:cs="Segoe UI"/>
          <w:color w:val="000000"/>
          <w:sz w:val="21"/>
          <w:szCs w:val="21"/>
        </w:rPr>
        <w:t>,</w:t>
      </w:r>
      <w:r>
        <w:rPr>
          <w:rFonts w:cs="Segoe UI"/>
          <w:color w:val="000000"/>
          <w:sz w:val="21"/>
          <w:szCs w:val="21"/>
        </w:rPr>
        <w:t xml:space="preserve"> </w:t>
      </w:r>
      <w:hyperlink r:id="rId35" w:anchor="DLM263434" w:history="1">
        <w:r w:rsidRPr="00A714E9">
          <w:rPr>
            <w:rStyle w:val="Hyperlink"/>
            <w:rFonts w:cs="Segoe UI"/>
            <w:sz w:val="21"/>
            <w:szCs w:val="21"/>
            <w:bdr w:val="none" w:sz="0" w:space="0" w:color="auto" w:frame="1"/>
          </w:rPr>
          <w:t>51(3)</w:t>
        </w:r>
      </w:hyperlink>
      <w:r w:rsidRPr="00A714E9">
        <w:rPr>
          <w:rFonts w:cs="Segoe UI"/>
          <w:color w:val="000000"/>
          <w:sz w:val="21"/>
          <w:szCs w:val="21"/>
        </w:rPr>
        <w:t>,</w:t>
      </w:r>
      <w:r>
        <w:rPr>
          <w:rFonts w:cs="Segoe UI"/>
          <w:color w:val="000000"/>
          <w:sz w:val="21"/>
          <w:szCs w:val="21"/>
        </w:rPr>
        <w:t xml:space="preserve"> </w:t>
      </w:r>
      <w:hyperlink r:id="rId36" w:anchor="DLM263438" w:history="1">
        <w:r w:rsidRPr="00A714E9">
          <w:rPr>
            <w:rStyle w:val="Hyperlink"/>
            <w:rFonts w:cs="Segoe UI"/>
            <w:sz w:val="21"/>
            <w:szCs w:val="21"/>
            <w:bdr w:val="none" w:sz="0" w:space="0" w:color="auto" w:frame="1"/>
          </w:rPr>
          <w:t>53</w:t>
        </w:r>
      </w:hyperlink>
      <w:r w:rsidRPr="00A714E9">
        <w:rPr>
          <w:rFonts w:cs="Segoe UI"/>
          <w:color w:val="000000"/>
          <w:sz w:val="21"/>
          <w:szCs w:val="21"/>
        </w:rPr>
        <w:t>,</w:t>
      </w:r>
      <w:r>
        <w:rPr>
          <w:rFonts w:cs="Segoe UI"/>
          <w:color w:val="000000"/>
          <w:sz w:val="21"/>
          <w:szCs w:val="21"/>
        </w:rPr>
        <w:t xml:space="preserve"> </w:t>
      </w:r>
      <w:hyperlink r:id="rId37" w:anchor="DLM263882" w:history="1">
        <w:r w:rsidRPr="00A714E9">
          <w:rPr>
            <w:rStyle w:val="Hyperlink"/>
            <w:rFonts w:cs="Segoe UI"/>
            <w:sz w:val="21"/>
            <w:szCs w:val="21"/>
            <w:bdr w:val="none" w:sz="0" w:space="0" w:color="auto" w:frame="1"/>
          </w:rPr>
          <w:t>109(1)</w:t>
        </w:r>
      </w:hyperlink>
      <w:r w:rsidRPr="00A714E9">
        <w:rPr>
          <w:rFonts w:cs="Segoe UI"/>
          <w:color w:val="000000"/>
          <w:sz w:val="21"/>
          <w:szCs w:val="21"/>
        </w:rPr>
        <w:t>,</w:t>
      </w:r>
      <w:r>
        <w:rPr>
          <w:rFonts w:cs="Segoe UI"/>
          <w:color w:val="000000"/>
          <w:sz w:val="21"/>
          <w:szCs w:val="21"/>
        </w:rPr>
        <w:t xml:space="preserve"> </w:t>
      </w:r>
      <w:hyperlink r:id="rId38" w:anchor="DLM263882" w:history="1">
        <w:r w:rsidRPr="00A714E9">
          <w:rPr>
            <w:rStyle w:val="Hyperlink"/>
            <w:rFonts w:cs="Segoe UI"/>
            <w:sz w:val="21"/>
            <w:szCs w:val="21"/>
            <w:bdr w:val="none" w:sz="0" w:space="0" w:color="auto" w:frame="1"/>
          </w:rPr>
          <w:t>109(4)</w:t>
        </w:r>
      </w:hyperlink>
      <w:r w:rsidRPr="00A714E9">
        <w:rPr>
          <w:rFonts w:cs="Segoe UI"/>
          <w:color w:val="000000"/>
          <w:sz w:val="21"/>
          <w:szCs w:val="21"/>
        </w:rPr>
        <w:t>,</w:t>
      </w:r>
      <w:r>
        <w:rPr>
          <w:rFonts w:cs="Segoe UI"/>
          <w:color w:val="000000"/>
          <w:sz w:val="21"/>
          <w:szCs w:val="21"/>
        </w:rPr>
        <w:t xml:space="preserve"> </w:t>
      </w:r>
      <w:hyperlink r:id="rId39" w:anchor="DLM263892" w:history="1">
        <w:r w:rsidRPr="00A714E9">
          <w:rPr>
            <w:rStyle w:val="Hyperlink"/>
            <w:rFonts w:cs="Segoe UI"/>
            <w:sz w:val="21"/>
            <w:szCs w:val="21"/>
            <w:bdr w:val="none" w:sz="0" w:space="0" w:color="auto" w:frame="1"/>
          </w:rPr>
          <w:t>110C(2)</w:t>
        </w:r>
      </w:hyperlink>
      <w:r w:rsidRPr="00A714E9">
        <w:rPr>
          <w:rFonts w:cs="Segoe UI"/>
          <w:color w:val="000000"/>
          <w:sz w:val="21"/>
          <w:szCs w:val="21"/>
        </w:rPr>
        <w:t>,</w:t>
      </w:r>
      <w:r>
        <w:rPr>
          <w:rFonts w:cs="Segoe UI"/>
          <w:color w:val="000000"/>
          <w:sz w:val="21"/>
          <w:szCs w:val="21"/>
        </w:rPr>
        <w:t xml:space="preserve"> </w:t>
      </w:r>
      <w:hyperlink r:id="rId40" w:anchor="DLM263894" w:history="1">
        <w:r w:rsidRPr="00A714E9">
          <w:rPr>
            <w:rStyle w:val="Hyperlink"/>
            <w:rFonts w:cs="Segoe UI"/>
            <w:sz w:val="21"/>
            <w:szCs w:val="21"/>
            <w:bdr w:val="none" w:sz="0" w:space="0" w:color="auto" w:frame="1"/>
          </w:rPr>
          <w:t>111(2)</w:t>
        </w:r>
      </w:hyperlink>
      <w:r w:rsidRPr="00A714E9">
        <w:rPr>
          <w:rFonts w:cs="Segoe UI"/>
          <w:color w:val="000000"/>
          <w:sz w:val="21"/>
          <w:szCs w:val="21"/>
        </w:rPr>
        <w:t>,</w:t>
      </w:r>
      <w:r>
        <w:rPr>
          <w:rFonts w:cs="Segoe UI"/>
          <w:color w:val="000000"/>
          <w:sz w:val="21"/>
          <w:szCs w:val="21"/>
        </w:rPr>
        <w:t xml:space="preserve"> </w:t>
      </w:r>
      <w:r w:rsidRPr="00A714E9">
        <w:rPr>
          <w:rFonts w:cs="Segoe UI"/>
          <w:color w:val="000000"/>
          <w:sz w:val="21"/>
          <w:szCs w:val="21"/>
        </w:rPr>
        <w:t>or</w:t>
      </w:r>
      <w:r>
        <w:rPr>
          <w:rFonts w:cs="Segoe UI"/>
          <w:color w:val="000000"/>
          <w:sz w:val="21"/>
          <w:szCs w:val="21"/>
        </w:rPr>
        <w:t xml:space="preserve"> </w:t>
      </w:r>
      <w:hyperlink r:id="rId41" w:anchor="DLM264201" w:history="1">
        <w:r w:rsidRPr="00A714E9">
          <w:rPr>
            <w:rStyle w:val="Hyperlink"/>
            <w:rFonts w:cs="Segoe UI"/>
            <w:sz w:val="21"/>
            <w:szCs w:val="21"/>
            <w:bdr w:val="none" w:sz="0" w:space="0" w:color="auto" w:frame="1"/>
          </w:rPr>
          <w:t>113A</w:t>
        </w:r>
      </w:hyperlink>
      <w:r w:rsidRPr="00A714E9">
        <w:rPr>
          <w:rFonts w:cs="Segoe UI"/>
          <w:color w:val="000000"/>
          <w:sz w:val="21"/>
          <w:szCs w:val="21"/>
        </w:rPr>
        <w:t>:</w:t>
      </w:r>
    </w:p>
    <w:p w14:paraId="71CDD6E2" w14:textId="77777777" w:rsidR="00DB1B6E" w:rsidRPr="00A714E9" w:rsidRDefault="00DB1B6E" w:rsidP="002C663E">
      <w:pPr>
        <w:pStyle w:val="Heading5"/>
        <w:numPr>
          <w:ilvl w:val="1"/>
          <w:numId w:val="21"/>
        </w:numPr>
        <w:shd w:val="clear" w:color="auto" w:fill="FFFFFF"/>
        <w:spacing w:line="276" w:lineRule="auto"/>
        <w:ind w:left="851" w:hanging="425"/>
        <w:textAlignment w:val="baseline"/>
        <w:rPr>
          <w:rFonts w:cs="Segoe UI"/>
          <w:color w:val="000000"/>
          <w:sz w:val="21"/>
          <w:szCs w:val="21"/>
        </w:rPr>
      </w:pPr>
      <w:r w:rsidRPr="00A714E9">
        <w:rPr>
          <w:rFonts w:cs="Segoe UI"/>
          <w:color w:val="000000"/>
          <w:sz w:val="21"/>
          <w:szCs w:val="21"/>
        </w:rPr>
        <w:t>a</w:t>
      </w:r>
      <w:r>
        <w:rPr>
          <w:rFonts w:cs="Segoe UI"/>
          <w:color w:val="000000"/>
          <w:sz w:val="21"/>
          <w:szCs w:val="21"/>
        </w:rPr>
        <w:t xml:space="preserve"> </w:t>
      </w:r>
      <w:r w:rsidRPr="00A714E9">
        <w:rPr>
          <w:rFonts w:cs="Segoe UI"/>
          <w:color w:val="000000"/>
          <w:sz w:val="21"/>
          <w:szCs w:val="21"/>
        </w:rPr>
        <w:t>power</w:t>
      </w:r>
      <w:r>
        <w:rPr>
          <w:rFonts w:cs="Segoe UI"/>
          <w:color w:val="000000"/>
          <w:sz w:val="21"/>
          <w:szCs w:val="21"/>
        </w:rPr>
        <w:t xml:space="preserve"> </w:t>
      </w:r>
      <w:r w:rsidRPr="00A714E9">
        <w:rPr>
          <w:rFonts w:cs="Segoe UI"/>
          <w:color w:val="000000"/>
          <w:sz w:val="21"/>
          <w:szCs w:val="21"/>
        </w:rPr>
        <w:t>to</w:t>
      </w:r>
      <w:r>
        <w:rPr>
          <w:rFonts w:cs="Segoe UI"/>
          <w:color w:val="000000"/>
          <w:sz w:val="21"/>
          <w:szCs w:val="21"/>
        </w:rPr>
        <w:t xml:space="preserve"> </w:t>
      </w:r>
      <w:r w:rsidRPr="00A714E9">
        <w:rPr>
          <w:rFonts w:cs="Segoe UI"/>
          <w:color w:val="000000"/>
          <w:sz w:val="21"/>
          <w:szCs w:val="21"/>
        </w:rPr>
        <w:t>detain</w:t>
      </w:r>
      <w:r>
        <w:rPr>
          <w:rFonts w:cs="Segoe UI"/>
          <w:color w:val="000000"/>
          <w:sz w:val="21"/>
          <w:szCs w:val="21"/>
        </w:rPr>
        <w:t xml:space="preserve"> </w:t>
      </w:r>
      <w:r w:rsidRPr="00A714E9">
        <w:rPr>
          <w:rFonts w:cs="Segoe UI"/>
          <w:color w:val="000000"/>
          <w:sz w:val="21"/>
          <w:szCs w:val="21"/>
        </w:rPr>
        <w:t>a</w:t>
      </w:r>
      <w:r>
        <w:rPr>
          <w:rFonts w:cs="Segoe UI"/>
          <w:color w:val="000000"/>
          <w:sz w:val="21"/>
          <w:szCs w:val="21"/>
        </w:rPr>
        <w:t xml:space="preserve"> </w:t>
      </w:r>
      <w:r w:rsidRPr="00A714E9">
        <w:rPr>
          <w:rFonts w:cs="Segoe UI"/>
          <w:color w:val="000000"/>
          <w:sz w:val="21"/>
          <w:szCs w:val="21"/>
        </w:rPr>
        <w:t>person,</w:t>
      </w:r>
      <w:r>
        <w:rPr>
          <w:rFonts w:cs="Segoe UI"/>
          <w:color w:val="000000"/>
          <w:sz w:val="21"/>
          <w:szCs w:val="21"/>
        </w:rPr>
        <w:t xml:space="preserve"> </w:t>
      </w:r>
      <w:r w:rsidRPr="00A714E9">
        <w:rPr>
          <w:rFonts w:cs="Segoe UI"/>
          <w:color w:val="000000"/>
          <w:sz w:val="21"/>
          <w:szCs w:val="21"/>
        </w:rPr>
        <w:t>proposed</w:t>
      </w:r>
      <w:r>
        <w:rPr>
          <w:rFonts w:cs="Segoe UI"/>
          <w:color w:val="000000"/>
          <w:sz w:val="21"/>
          <w:szCs w:val="21"/>
        </w:rPr>
        <w:t xml:space="preserve"> </w:t>
      </w:r>
      <w:r w:rsidRPr="00A714E9">
        <w:rPr>
          <w:rFonts w:cs="Segoe UI"/>
          <w:color w:val="000000"/>
          <w:sz w:val="21"/>
          <w:szCs w:val="21"/>
        </w:rPr>
        <w:t>patient,</w:t>
      </w:r>
      <w:r>
        <w:rPr>
          <w:rFonts w:cs="Segoe UI"/>
          <w:color w:val="000000"/>
          <w:sz w:val="21"/>
          <w:szCs w:val="21"/>
        </w:rPr>
        <w:t xml:space="preserve"> </w:t>
      </w:r>
      <w:r w:rsidRPr="00A714E9">
        <w:rPr>
          <w:rFonts w:cs="Segoe UI"/>
          <w:color w:val="000000"/>
          <w:sz w:val="21"/>
          <w:szCs w:val="21"/>
        </w:rPr>
        <w:t>or</w:t>
      </w:r>
      <w:r>
        <w:rPr>
          <w:rFonts w:cs="Segoe UI"/>
          <w:color w:val="000000"/>
          <w:sz w:val="21"/>
          <w:szCs w:val="21"/>
        </w:rPr>
        <w:t xml:space="preserve"> </w:t>
      </w:r>
      <w:r w:rsidRPr="00A714E9">
        <w:rPr>
          <w:rFonts w:cs="Segoe UI"/>
          <w:color w:val="000000"/>
          <w:sz w:val="21"/>
          <w:szCs w:val="21"/>
        </w:rPr>
        <w:t>patient</w:t>
      </w:r>
      <w:r>
        <w:rPr>
          <w:rFonts w:cs="Segoe UI"/>
          <w:color w:val="000000"/>
          <w:sz w:val="21"/>
          <w:szCs w:val="21"/>
        </w:rPr>
        <w:t xml:space="preserve"> </w:t>
      </w:r>
      <w:r w:rsidRPr="00A714E9">
        <w:rPr>
          <w:rFonts w:cs="Segoe UI"/>
          <w:color w:val="000000"/>
          <w:sz w:val="21"/>
          <w:szCs w:val="21"/>
        </w:rPr>
        <w:t>in</w:t>
      </w:r>
      <w:r>
        <w:rPr>
          <w:rFonts w:cs="Segoe UI"/>
          <w:color w:val="000000"/>
          <w:sz w:val="21"/>
          <w:szCs w:val="21"/>
        </w:rPr>
        <w:t xml:space="preserve"> </w:t>
      </w:r>
      <w:r w:rsidRPr="00A714E9">
        <w:rPr>
          <w:rFonts w:cs="Segoe UI"/>
          <w:color w:val="000000"/>
          <w:sz w:val="21"/>
          <w:szCs w:val="21"/>
        </w:rPr>
        <w:t>any</w:t>
      </w:r>
      <w:r>
        <w:rPr>
          <w:rFonts w:cs="Segoe UI"/>
          <w:color w:val="000000"/>
          <w:sz w:val="21"/>
          <w:szCs w:val="21"/>
        </w:rPr>
        <w:t xml:space="preserve"> </w:t>
      </w:r>
      <w:r w:rsidRPr="00A714E9">
        <w:rPr>
          <w:rFonts w:cs="Segoe UI"/>
          <w:color w:val="000000"/>
          <w:sz w:val="21"/>
          <w:szCs w:val="21"/>
        </w:rPr>
        <w:t>of</w:t>
      </w:r>
      <w:r>
        <w:rPr>
          <w:rFonts w:cs="Segoe UI"/>
          <w:color w:val="000000"/>
          <w:sz w:val="21"/>
          <w:szCs w:val="21"/>
        </w:rPr>
        <w:t xml:space="preserve"> </w:t>
      </w:r>
      <w:hyperlink r:id="rId42" w:anchor="DLM263080" w:history="1">
        <w:r w:rsidRPr="00A714E9">
          <w:rPr>
            <w:rStyle w:val="Hyperlink"/>
            <w:rFonts w:cs="Segoe UI"/>
            <w:sz w:val="21"/>
            <w:szCs w:val="21"/>
            <w:bdr w:val="none" w:sz="0" w:space="0" w:color="auto" w:frame="1"/>
          </w:rPr>
          <w:t>sections</w:t>
        </w:r>
        <w:r>
          <w:rPr>
            <w:rStyle w:val="Hyperlink"/>
            <w:rFonts w:cs="Segoe UI"/>
            <w:sz w:val="21"/>
            <w:szCs w:val="21"/>
            <w:bdr w:val="none" w:sz="0" w:space="0" w:color="auto" w:frame="1"/>
          </w:rPr>
          <w:t xml:space="preserve"> </w:t>
        </w:r>
        <w:r w:rsidRPr="00A714E9">
          <w:rPr>
            <w:rStyle w:val="Hyperlink"/>
            <w:rFonts w:cs="Segoe UI"/>
            <w:sz w:val="21"/>
            <w:szCs w:val="21"/>
            <w:bdr w:val="none" w:sz="0" w:space="0" w:color="auto" w:frame="1"/>
          </w:rPr>
          <w:t>41(3)</w:t>
        </w:r>
      </w:hyperlink>
      <w:r w:rsidRPr="00A714E9">
        <w:rPr>
          <w:rFonts w:cs="Segoe UI"/>
          <w:color w:val="000000"/>
          <w:sz w:val="21"/>
          <w:szCs w:val="21"/>
        </w:rPr>
        <w:t>,</w:t>
      </w:r>
      <w:r>
        <w:rPr>
          <w:rFonts w:cs="Segoe UI"/>
          <w:color w:val="000000"/>
          <w:sz w:val="21"/>
          <w:szCs w:val="21"/>
        </w:rPr>
        <w:t xml:space="preserve"> </w:t>
      </w:r>
      <w:hyperlink r:id="rId43" w:anchor="DLM263080" w:history="1">
        <w:r w:rsidRPr="00A714E9">
          <w:rPr>
            <w:rStyle w:val="Hyperlink"/>
            <w:rFonts w:cs="Segoe UI"/>
            <w:sz w:val="21"/>
            <w:szCs w:val="21"/>
            <w:bdr w:val="none" w:sz="0" w:space="0" w:color="auto" w:frame="1"/>
          </w:rPr>
          <w:t>41(4)</w:t>
        </w:r>
      </w:hyperlink>
      <w:r w:rsidRPr="00A714E9">
        <w:rPr>
          <w:rFonts w:cs="Segoe UI"/>
          <w:color w:val="000000"/>
          <w:sz w:val="21"/>
          <w:szCs w:val="21"/>
        </w:rPr>
        <w:t>,</w:t>
      </w:r>
      <w:r>
        <w:rPr>
          <w:rFonts w:cs="Segoe UI"/>
          <w:color w:val="000000"/>
          <w:sz w:val="21"/>
          <w:szCs w:val="21"/>
        </w:rPr>
        <w:t xml:space="preserve"> </w:t>
      </w:r>
      <w:hyperlink r:id="rId44" w:anchor="DLM263080" w:history="1">
        <w:r w:rsidRPr="00A714E9">
          <w:rPr>
            <w:rStyle w:val="Hyperlink"/>
            <w:rFonts w:cs="Segoe UI"/>
            <w:sz w:val="21"/>
            <w:szCs w:val="21"/>
            <w:bdr w:val="none" w:sz="0" w:space="0" w:color="auto" w:frame="1"/>
          </w:rPr>
          <w:t>41(5)</w:t>
        </w:r>
      </w:hyperlink>
      <w:r w:rsidRPr="00A714E9">
        <w:rPr>
          <w:rFonts w:cs="Segoe UI"/>
          <w:color w:val="000000"/>
          <w:sz w:val="21"/>
          <w:szCs w:val="21"/>
        </w:rPr>
        <w:t>,</w:t>
      </w:r>
      <w:r>
        <w:rPr>
          <w:rFonts w:cs="Segoe UI"/>
          <w:color w:val="000000"/>
          <w:sz w:val="21"/>
          <w:szCs w:val="21"/>
        </w:rPr>
        <w:t xml:space="preserve"> </w:t>
      </w:r>
      <w:hyperlink r:id="rId45" w:anchor="DLM263882" w:history="1">
        <w:r w:rsidRPr="00A714E9">
          <w:rPr>
            <w:rStyle w:val="Hyperlink"/>
            <w:rFonts w:cs="Segoe UI"/>
            <w:sz w:val="21"/>
            <w:szCs w:val="21"/>
            <w:bdr w:val="none" w:sz="0" w:space="0" w:color="auto" w:frame="1"/>
          </w:rPr>
          <w:t>109(4)</w:t>
        </w:r>
      </w:hyperlink>
      <w:r w:rsidRPr="00A714E9">
        <w:rPr>
          <w:rFonts w:cs="Segoe UI"/>
          <w:color w:val="000000"/>
          <w:sz w:val="21"/>
          <w:szCs w:val="21"/>
        </w:rPr>
        <w:t>,</w:t>
      </w:r>
      <w:r>
        <w:rPr>
          <w:rFonts w:cs="Segoe UI"/>
          <w:color w:val="000000"/>
          <w:sz w:val="21"/>
          <w:szCs w:val="21"/>
        </w:rPr>
        <w:t xml:space="preserve"> </w:t>
      </w:r>
      <w:hyperlink r:id="rId46" w:anchor="DLM263892" w:history="1">
        <w:r w:rsidRPr="00A714E9">
          <w:rPr>
            <w:rStyle w:val="Hyperlink"/>
            <w:rFonts w:cs="Segoe UI"/>
            <w:sz w:val="21"/>
            <w:szCs w:val="21"/>
            <w:bdr w:val="none" w:sz="0" w:space="0" w:color="auto" w:frame="1"/>
          </w:rPr>
          <w:t>110C(2)</w:t>
        </w:r>
      </w:hyperlink>
      <w:r w:rsidRPr="00A714E9">
        <w:rPr>
          <w:rFonts w:cs="Segoe UI"/>
          <w:color w:val="000000"/>
          <w:sz w:val="21"/>
          <w:szCs w:val="21"/>
        </w:rPr>
        <w:t>,</w:t>
      </w:r>
      <w:r>
        <w:rPr>
          <w:rFonts w:cs="Segoe UI"/>
          <w:color w:val="000000"/>
          <w:sz w:val="21"/>
          <w:szCs w:val="21"/>
        </w:rPr>
        <w:t xml:space="preserve"> </w:t>
      </w:r>
      <w:hyperlink r:id="rId47" w:anchor="DLM263894" w:history="1">
        <w:r w:rsidRPr="00A714E9">
          <w:rPr>
            <w:rStyle w:val="Hyperlink"/>
            <w:rFonts w:cs="Segoe UI"/>
            <w:sz w:val="21"/>
            <w:szCs w:val="21"/>
            <w:bdr w:val="none" w:sz="0" w:space="0" w:color="auto" w:frame="1"/>
          </w:rPr>
          <w:t>111(2)</w:t>
        </w:r>
      </w:hyperlink>
      <w:r w:rsidRPr="00A714E9">
        <w:rPr>
          <w:rFonts w:cs="Segoe UI"/>
          <w:color w:val="000000"/>
          <w:sz w:val="21"/>
          <w:szCs w:val="21"/>
        </w:rPr>
        <w:t>,</w:t>
      </w:r>
      <w:r>
        <w:rPr>
          <w:rFonts w:cs="Segoe UI"/>
          <w:color w:val="000000"/>
          <w:sz w:val="21"/>
          <w:szCs w:val="21"/>
        </w:rPr>
        <w:t xml:space="preserve"> </w:t>
      </w:r>
      <w:r w:rsidRPr="00A714E9">
        <w:rPr>
          <w:rFonts w:cs="Segoe UI"/>
          <w:color w:val="000000"/>
          <w:sz w:val="21"/>
          <w:szCs w:val="21"/>
        </w:rPr>
        <w:t>or</w:t>
      </w:r>
      <w:r>
        <w:rPr>
          <w:rFonts w:cs="Segoe UI"/>
          <w:color w:val="000000"/>
          <w:sz w:val="21"/>
          <w:szCs w:val="21"/>
        </w:rPr>
        <w:t xml:space="preserve"> </w:t>
      </w:r>
      <w:hyperlink r:id="rId48" w:anchor="DLM263899" w:history="1">
        <w:r w:rsidRPr="00A714E9">
          <w:rPr>
            <w:rStyle w:val="Hyperlink"/>
            <w:rFonts w:cs="Segoe UI"/>
            <w:sz w:val="21"/>
            <w:szCs w:val="21"/>
            <w:bdr w:val="none" w:sz="0" w:space="0" w:color="auto" w:frame="1"/>
          </w:rPr>
          <w:t>113</w:t>
        </w:r>
      </w:hyperlink>
      <w:r w:rsidRPr="00A714E9">
        <w:rPr>
          <w:rFonts w:cs="Segoe UI"/>
          <w:color w:val="000000"/>
          <w:sz w:val="21"/>
          <w:szCs w:val="21"/>
        </w:rPr>
        <w:t>:</w:t>
      </w:r>
    </w:p>
    <w:p w14:paraId="00B98D8C" w14:textId="77777777" w:rsidR="00DB1B6E" w:rsidRPr="00A714E9" w:rsidRDefault="00DB1B6E" w:rsidP="002C663E">
      <w:pPr>
        <w:pStyle w:val="Heading5"/>
        <w:numPr>
          <w:ilvl w:val="1"/>
          <w:numId w:val="21"/>
        </w:numPr>
        <w:shd w:val="clear" w:color="auto" w:fill="FFFFFF"/>
        <w:spacing w:line="276" w:lineRule="auto"/>
        <w:ind w:left="851" w:hanging="425"/>
        <w:textAlignment w:val="baseline"/>
        <w:rPr>
          <w:rFonts w:cs="Segoe UI"/>
          <w:color w:val="000000"/>
          <w:sz w:val="21"/>
          <w:szCs w:val="21"/>
        </w:rPr>
      </w:pPr>
      <w:r w:rsidRPr="00A714E9">
        <w:rPr>
          <w:rFonts w:cs="Segoe UI"/>
          <w:color w:val="000000"/>
          <w:sz w:val="21"/>
          <w:szCs w:val="21"/>
        </w:rPr>
        <w:t>a</w:t>
      </w:r>
      <w:r>
        <w:rPr>
          <w:rFonts w:cs="Segoe UI"/>
          <w:color w:val="000000"/>
          <w:sz w:val="21"/>
          <w:szCs w:val="21"/>
        </w:rPr>
        <w:t xml:space="preserve"> </w:t>
      </w:r>
      <w:r w:rsidRPr="00A714E9">
        <w:rPr>
          <w:rFonts w:cs="Segoe UI"/>
          <w:color w:val="000000"/>
          <w:sz w:val="21"/>
          <w:szCs w:val="21"/>
        </w:rPr>
        <w:t>power</w:t>
      </w:r>
      <w:r>
        <w:rPr>
          <w:rFonts w:cs="Segoe UI"/>
          <w:color w:val="000000"/>
          <w:sz w:val="21"/>
          <w:szCs w:val="21"/>
        </w:rPr>
        <w:t xml:space="preserve"> </w:t>
      </w:r>
      <w:r w:rsidRPr="00A714E9">
        <w:rPr>
          <w:rFonts w:cs="Segoe UI"/>
          <w:color w:val="000000"/>
          <w:sz w:val="21"/>
          <w:szCs w:val="21"/>
        </w:rPr>
        <w:t>to</w:t>
      </w:r>
      <w:r>
        <w:rPr>
          <w:rFonts w:cs="Segoe UI"/>
          <w:color w:val="000000"/>
          <w:sz w:val="21"/>
          <w:szCs w:val="21"/>
        </w:rPr>
        <w:t xml:space="preserve"> </w:t>
      </w:r>
      <w:r w:rsidRPr="00A714E9">
        <w:rPr>
          <w:rFonts w:cs="Segoe UI"/>
          <w:color w:val="000000"/>
          <w:sz w:val="21"/>
          <w:szCs w:val="21"/>
        </w:rPr>
        <w:t>enter</w:t>
      </w:r>
      <w:r>
        <w:rPr>
          <w:rFonts w:cs="Segoe UI"/>
          <w:color w:val="000000"/>
          <w:sz w:val="21"/>
          <w:szCs w:val="21"/>
        </w:rPr>
        <w:t xml:space="preserve"> </w:t>
      </w:r>
      <w:r w:rsidRPr="00A714E9">
        <w:rPr>
          <w:rFonts w:cs="Segoe UI"/>
          <w:color w:val="000000"/>
          <w:sz w:val="21"/>
          <w:szCs w:val="21"/>
        </w:rPr>
        <w:t>premises</w:t>
      </w:r>
      <w:r>
        <w:rPr>
          <w:rFonts w:cs="Segoe UI"/>
          <w:color w:val="000000"/>
          <w:sz w:val="21"/>
          <w:szCs w:val="21"/>
        </w:rPr>
        <w:t xml:space="preserve"> </w:t>
      </w:r>
      <w:r w:rsidRPr="00A714E9">
        <w:rPr>
          <w:rFonts w:cs="Segoe UI"/>
          <w:color w:val="000000"/>
          <w:sz w:val="21"/>
          <w:szCs w:val="21"/>
        </w:rPr>
        <w:t>in</w:t>
      </w:r>
      <w:r>
        <w:rPr>
          <w:rFonts w:cs="Segoe UI"/>
          <w:color w:val="000000"/>
          <w:sz w:val="21"/>
          <w:szCs w:val="21"/>
        </w:rPr>
        <w:t xml:space="preserve"> </w:t>
      </w:r>
      <w:r w:rsidRPr="00A714E9">
        <w:rPr>
          <w:rFonts w:cs="Segoe UI"/>
          <w:color w:val="000000"/>
          <w:sz w:val="21"/>
          <w:szCs w:val="21"/>
        </w:rPr>
        <w:t>either</w:t>
      </w:r>
      <w:r>
        <w:rPr>
          <w:rFonts w:cs="Segoe UI"/>
          <w:color w:val="000000"/>
          <w:sz w:val="21"/>
          <w:szCs w:val="21"/>
        </w:rPr>
        <w:t xml:space="preserve"> </w:t>
      </w:r>
      <w:r w:rsidRPr="00A714E9">
        <w:rPr>
          <w:rFonts w:cs="Segoe UI"/>
          <w:color w:val="000000"/>
          <w:sz w:val="21"/>
          <w:szCs w:val="21"/>
        </w:rPr>
        <w:t>of</w:t>
      </w:r>
      <w:r>
        <w:rPr>
          <w:rFonts w:cs="Segoe UI"/>
          <w:color w:val="000000"/>
          <w:sz w:val="21"/>
          <w:szCs w:val="21"/>
        </w:rPr>
        <w:t xml:space="preserve"> </w:t>
      </w:r>
      <w:hyperlink r:id="rId49" w:anchor="DLM263080" w:history="1">
        <w:r w:rsidRPr="00A714E9">
          <w:rPr>
            <w:rStyle w:val="Hyperlink"/>
            <w:rFonts w:cs="Segoe UI"/>
            <w:sz w:val="21"/>
            <w:szCs w:val="21"/>
            <w:bdr w:val="none" w:sz="0" w:space="0" w:color="auto" w:frame="1"/>
          </w:rPr>
          <w:t>sections</w:t>
        </w:r>
        <w:r>
          <w:rPr>
            <w:rStyle w:val="Hyperlink"/>
            <w:rFonts w:cs="Segoe UI"/>
            <w:sz w:val="21"/>
            <w:szCs w:val="21"/>
            <w:bdr w:val="none" w:sz="0" w:space="0" w:color="auto" w:frame="1"/>
          </w:rPr>
          <w:t xml:space="preserve"> </w:t>
        </w:r>
        <w:r w:rsidRPr="00A714E9">
          <w:rPr>
            <w:rStyle w:val="Hyperlink"/>
            <w:rFonts w:cs="Segoe UI"/>
            <w:sz w:val="21"/>
            <w:szCs w:val="21"/>
            <w:bdr w:val="none" w:sz="0" w:space="0" w:color="auto" w:frame="1"/>
          </w:rPr>
          <w:t>41(2)</w:t>
        </w:r>
      </w:hyperlink>
      <w:r>
        <w:rPr>
          <w:rFonts w:cs="Segoe UI"/>
          <w:color w:val="000000"/>
          <w:sz w:val="21"/>
          <w:szCs w:val="21"/>
        </w:rPr>
        <w:t xml:space="preserve"> </w:t>
      </w:r>
      <w:r w:rsidRPr="00A714E9">
        <w:rPr>
          <w:rFonts w:cs="Segoe UI"/>
          <w:color w:val="000000"/>
          <w:sz w:val="21"/>
          <w:szCs w:val="21"/>
        </w:rPr>
        <w:t>or</w:t>
      </w:r>
      <w:r>
        <w:rPr>
          <w:rFonts w:cs="Segoe UI"/>
          <w:color w:val="000000"/>
          <w:sz w:val="21"/>
          <w:szCs w:val="21"/>
        </w:rPr>
        <w:t xml:space="preserve"> </w:t>
      </w:r>
      <w:hyperlink r:id="rId50" w:anchor="DLM263892" w:history="1">
        <w:r w:rsidRPr="00A714E9">
          <w:rPr>
            <w:rStyle w:val="Hyperlink"/>
            <w:rFonts w:cs="Segoe UI"/>
            <w:sz w:val="21"/>
            <w:szCs w:val="21"/>
            <w:bdr w:val="none" w:sz="0" w:space="0" w:color="auto" w:frame="1"/>
          </w:rPr>
          <w:t>110C(1)</w:t>
        </w:r>
      </w:hyperlink>
      <w:r w:rsidRPr="00A714E9">
        <w:rPr>
          <w:rFonts w:cs="Segoe UI"/>
          <w:color w:val="000000"/>
          <w:sz w:val="21"/>
          <w:szCs w:val="21"/>
        </w:rPr>
        <w:t>.</w:t>
      </w:r>
    </w:p>
    <w:p w14:paraId="6977E7A2" w14:textId="77777777" w:rsidR="00DB1B6E" w:rsidRPr="00A714E9" w:rsidRDefault="00DB1B6E" w:rsidP="00DB1B6E">
      <w:pPr>
        <w:pStyle w:val="subprov"/>
        <w:shd w:val="clear" w:color="auto" w:fill="FFFFFF"/>
        <w:spacing w:before="0" w:beforeAutospacing="0" w:after="0" w:afterAutospacing="0" w:line="276" w:lineRule="auto"/>
        <w:ind w:left="426" w:hanging="426"/>
        <w:textAlignment w:val="baseline"/>
        <w:rPr>
          <w:rFonts w:ascii="Segoe UI" w:hAnsi="Segoe UI" w:cs="Segoe UI"/>
          <w:color w:val="000000"/>
          <w:sz w:val="21"/>
          <w:szCs w:val="21"/>
        </w:rPr>
      </w:pPr>
      <w:r w:rsidRPr="00A714E9">
        <w:rPr>
          <w:rStyle w:val="label"/>
          <w:rFonts w:ascii="Segoe UI" w:eastAsiaTheme="majorEastAsia" w:hAnsi="Segoe UI" w:cs="Segoe UI"/>
          <w:color w:val="000000"/>
          <w:sz w:val="21"/>
          <w:szCs w:val="21"/>
          <w:bdr w:val="none" w:sz="0" w:space="0" w:color="auto" w:frame="1"/>
        </w:rPr>
        <w:t>(2A)</w:t>
      </w:r>
      <w:r>
        <w:rPr>
          <w:rStyle w:val="label"/>
          <w:rFonts w:ascii="Segoe UI" w:eastAsiaTheme="majorEastAsia" w:hAnsi="Segoe UI" w:cs="Segoe UI"/>
          <w:color w:val="000000"/>
          <w:sz w:val="21"/>
          <w:szCs w:val="21"/>
          <w:bdr w:val="none" w:sz="0" w:space="0" w:color="auto" w:frame="1"/>
        </w:rPr>
        <w:t xml:space="preserve"> </w:t>
      </w:r>
      <w:r w:rsidRPr="00A714E9">
        <w:rPr>
          <w:rFonts w:ascii="Segoe UI" w:hAnsi="Segoe UI" w:cs="Segoe UI"/>
          <w:color w:val="000000"/>
          <w:sz w:val="21"/>
          <w:szCs w:val="21"/>
        </w:rPr>
        <w:t>A</w:t>
      </w:r>
      <w:r>
        <w:rPr>
          <w:rFonts w:ascii="Segoe UI" w:hAnsi="Segoe UI" w:cs="Segoe UI"/>
          <w:color w:val="000000"/>
          <w:sz w:val="21"/>
          <w:szCs w:val="21"/>
        </w:rPr>
        <w:t xml:space="preserve"> </w:t>
      </w:r>
      <w:r w:rsidRPr="00A714E9">
        <w:rPr>
          <w:rFonts w:ascii="Segoe UI" w:hAnsi="Segoe UI" w:cs="Segoe UI"/>
          <w:color w:val="000000"/>
          <w:sz w:val="21"/>
          <w:szCs w:val="21"/>
        </w:rPr>
        <w:t>person</w:t>
      </w:r>
      <w:r>
        <w:rPr>
          <w:rFonts w:ascii="Segoe UI" w:hAnsi="Segoe UI" w:cs="Segoe UI"/>
          <w:color w:val="000000"/>
          <w:sz w:val="21"/>
          <w:szCs w:val="21"/>
        </w:rPr>
        <w:t xml:space="preserve"> </w:t>
      </w:r>
      <w:r w:rsidRPr="00A714E9">
        <w:rPr>
          <w:rFonts w:ascii="Segoe UI" w:hAnsi="Segoe UI" w:cs="Segoe UI"/>
          <w:color w:val="000000"/>
          <w:sz w:val="21"/>
          <w:szCs w:val="21"/>
        </w:rPr>
        <w:t>permitted</w:t>
      </w:r>
      <w:r>
        <w:rPr>
          <w:rFonts w:ascii="Segoe UI" w:hAnsi="Segoe UI" w:cs="Segoe UI"/>
          <w:color w:val="000000"/>
          <w:sz w:val="21"/>
          <w:szCs w:val="21"/>
        </w:rPr>
        <w:t xml:space="preserve"> </w:t>
      </w:r>
      <w:r w:rsidRPr="00A714E9">
        <w:rPr>
          <w:rFonts w:ascii="Segoe UI" w:hAnsi="Segoe UI" w:cs="Segoe UI"/>
          <w:color w:val="000000"/>
          <w:sz w:val="21"/>
          <w:szCs w:val="21"/>
        </w:rPr>
        <w:t>to</w:t>
      </w:r>
      <w:r>
        <w:rPr>
          <w:rFonts w:ascii="Segoe UI" w:hAnsi="Segoe UI" w:cs="Segoe UI"/>
          <w:color w:val="000000"/>
          <w:sz w:val="21"/>
          <w:szCs w:val="21"/>
        </w:rPr>
        <w:t xml:space="preserve"> </w:t>
      </w:r>
      <w:r w:rsidRPr="00A714E9">
        <w:rPr>
          <w:rFonts w:ascii="Segoe UI" w:hAnsi="Segoe UI" w:cs="Segoe UI"/>
          <w:color w:val="000000"/>
          <w:sz w:val="21"/>
          <w:szCs w:val="21"/>
        </w:rPr>
        <w:t>restrain</w:t>
      </w:r>
      <w:r>
        <w:rPr>
          <w:rFonts w:ascii="Segoe UI" w:hAnsi="Segoe UI" w:cs="Segoe UI"/>
          <w:color w:val="000000"/>
          <w:sz w:val="21"/>
          <w:szCs w:val="21"/>
        </w:rPr>
        <w:t xml:space="preserve"> </w:t>
      </w:r>
      <w:r w:rsidRPr="00A714E9">
        <w:rPr>
          <w:rFonts w:ascii="Segoe UI" w:hAnsi="Segoe UI" w:cs="Segoe UI"/>
          <w:color w:val="000000"/>
          <w:sz w:val="21"/>
          <w:szCs w:val="21"/>
        </w:rPr>
        <w:t>a</w:t>
      </w:r>
      <w:r>
        <w:rPr>
          <w:rFonts w:ascii="Segoe UI" w:hAnsi="Segoe UI" w:cs="Segoe UI"/>
          <w:color w:val="000000"/>
          <w:sz w:val="21"/>
          <w:szCs w:val="21"/>
        </w:rPr>
        <w:t xml:space="preserve"> </w:t>
      </w:r>
      <w:r w:rsidRPr="00A714E9">
        <w:rPr>
          <w:rFonts w:ascii="Segoe UI" w:hAnsi="Segoe UI" w:cs="Segoe UI"/>
          <w:color w:val="000000"/>
          <w:sz w:val="21"/>
          <w:szCs w:val="21"/>
        </w:rPr>
        <w:t>transported</w:t>
      </w:r>
      <w:r>
        <w:rPr>
          <w:rFonts w:ascii="Segoe UI" w:hAnsi="Segoe UI" w:cs="Segoe UI"/>
          <w:color w:val="000000"/>
          <w:sz w:val="21"/>
          <w:szCs w:val="21"/>
        </w:rPr>
        <w:t xml:space="preserve"> </w:t>
      </w:r>
      <w:r w:rsidRPr="00A714E9">
        <w:rPr>
          <w:rFonts w:ascii="Segoe UI" w:hAnsi="Segoe UI" w:cs="Segoe UI"/>
          <w:color w:val="000000"/>
          <w:sz w:val="21"/>
          <w:szCs w:val="21"/>
        </w:rPr>
        <w:t>special</w:t>
      </w:r>
      <w:r>
        <w:rPr>
          <w:rFonts w:ascii="Segoe UI" w:hAnsi="Segoe UI" w:cs="Segoe UI"/>
          <w:color w:val="000000"/>
          <w:sz w:val="21"/>
          <w:szCs w:val="21"/>
        </w:rPr>
        <w:t xml:space="preserve"> </w:t>
      </w:r>
      <w:r w:rsidRPr="00A714E9">
        <w:rPr>
          <w:rFonts w:ascii="Segoe UI" w:hAnsi="Segoe UI" w:cs="Segoe UI"/>
          <w:color w:val="000000"/>
          <w:sz w:val="21"/>
          <w:szCs w:val="21"/>
        </w:rPr>
        <w:t>patient</w:t>
      </w:r>
      <w:r>
        <w:rPr>
          <w:rFonts w:ascii="Segoe UI" w:hAnsi="Segoe UI" w:cs="Segoe UI"/>
          <w:color w:val="000000"/>
          <w:sz w:val="21"/>
          <w:szCs w:val="21"/>
        </w:rPr>
        <w:t xml:space="preserve"> </w:t>
      </w:r>
      <w:r w:rsidRPr="00A714E9">
        <w:rPr>
          <w:rFonts w:ascii="Segoe UI" w:hAnsi="Segoe UI" w:cs="Segoe UI"/>
          <w:color w:val="000000"/>
          <w:sz w:val="21"/>
          <w:szCs w:val="21"/>
        </w:rPr>
        <w:t>or</w:t>
      </w:r>
      <w:r>
        <w:rPr>
          <w:rFonts w:ascii="Segoe UI" w:hAnsi="Segoe UI" w:cs="Segoe UI"/>
          <w:color w:val="000000"/>
          <w:sz w:val="21"/>
          <w:szCs w:val="21"/>
        </w:rPr>
        <w:t xml:space="preserve"> </w:t>
      </w:r>
      <w:r w:rsidRPr="00A714E9">
        <w:rPr>
          <w:rFonts w:ascii="Segoe UI" w:hAnsi="Segoe UI" w:cs="Segoe UI"/>
          <w:color w:val="000000"/>
          <w:sz w:val="21"/>
          <w:szCs w:val="21"/>
        </w:rPr>
        <w:t>use</w:t>
      </w:r>
      <w:r>
        <w:rPr>
          <w:rFonts w:ascii="Segoe UI" w:hAnsi="Segoe UI" w:cs="Segoe UI"/>
          <w:color w:val="000000"/>
          <w:sz w:val="21"/>
          <w:szCs w:val="21"/>
        </w:rPr>
        <w:t xml:space="preserve"> </w:t>
      </w:r>
      <w:r w:rsidRPr="00A714E9">
        <w:rPr>
          <w:rFonts w:ascii="Segoe UI" w:hAnsi="Segoe UI" w:cs="Segoe UI"/>
          <w:color w:val="000000"/>
          <w:sz w:val="21"/>
          <w:szCs w:val="21"/>
        </w:rPr>
        <w:t>any</w:t>
      </w:r>
      <w:r>
        <w:rPr>
          <w:rFonts w:ascii="Segoe UI" w:hAnsi="Segoe UI" w:cs="Segoe UI"/>
          <w:color w:val="000000"/>
          <w:sz w:val="21"/>
          <w:szCs w:val="21"/>
        </w:rPr>
        <w:t xml:space="preserve"> </w:t>
      </w:r>
      <w:r w:rsidRPr="00A714E9">
        <w:rPr>
          <w:rFonts w:ascii="Segoe UI" w:hAnsi="Segoe UI" w:cs="Segoe UI"/>
          <w:color w:val="000000"/>
          <w:sz w:val="21"/>
          <w:szCs w:val="21"/>
        </w:rPr>
        <w:t>other</w:t>
      </w:r>
      <w:r>
        <w:rPr>
          <w:rFonts w:ascii="Segoe UI" w:hAnsi="Segoe UI" w:cs="Segoe UI"/>
          <w:color w:val="000000"/>
          <w:sz w:val="21"/>
          <w:szCs w:val="21"/>
        </w:rPr>
        <w:t xml:space="preserve"> </w:t>
      </w:r>
      <w:r w:rsidRPr="00A714E9">
        <w:rPr>
          <w:rFonts w:ascii="Segoe UI" w:hAnsi="Segoe UI" w:cs="Segoe UI"/>
          <w:color w:val="000000"/>
          <w:sz w:val="21"/>
          <w:szCs w:val="21"/>
        </w:rPr>
        <w:t>force</w:t>
      </w:r>
      <w:r>
        <w:rPr>
          <w:rFonts w:ascii="Segoe UI" w:hAnsi="Segoe UI" w:cs="Segoe UI"/>
          <w:color w:val="000000"/>
          <w:sz w:val="21"/>
          <w:szCs w:val="21"/>
        </w:rPr>
        <w:t xml:space="preserve"> </w:t>
      </w:r>
      <w:r w:rsidRPr="00A714E9">
        <w:rPr>
          <w:rFonts w:ascii="Segoe UI" w:hAnsi="Segoe UI" w:cs="Segoe UI"/>
          <w:color w:val="000000"/>
          <w:sz w:val="21"/>
          <w:szCs w:val="21"/>
        </w:rPr>
        <w:t>under</w:t>
      </w:r>
      <w:r>
        <w:rPr>
          <w:rFonts w:ascii="Segoe UI" w:hAnsi="Segoe UI" w:cs="Segoe UI"/>
          <w:color w:val="000000"/>
          <w:sz w:val="21"/>
          <w:szCs w:val="21"/>
        </w:rPr>
        <w:t xml:space="preserve"> </w:t>
      </w:r>
      <w:hyperlink r:id="rId51" w:anchor="LMS588873" w:history="1">
        <w:r w:rsidRPr="00A714E9">
          <w:rPr>
            <w:rStyle w:val="Hyperlink"/>
            <w:rFonts w:ascii="Segoe UI" w:eastAsiaTheme="majorEastAsia" w:hAnsi="Segoe UI" w:cs="Segoe UI"/>
            <w:sz w:val="21"/>
            <w:szCs w:val="21"/>
            <w:bdr w:val="none" w:sz="0" w:space="0" w:color="auto" w:frame="1"/>
          </w:rPr>
          <w:t>section</w:t>
        </w:r>
        <w:r>
          <w:rPr>
            <w:rStyle w:val="Hyperlink"/>
            <w:rFonts w:ascii="Segoe UI" w:eastAsiaTheme="majorEastAsia" w:hAnsi="Segoe UI" w:cs="Segoe UI"/>
            <w:sz w:val="21"/>
            <w:szCs w:val="21"/>
            <w:bdr w:val="none" w:sz="0" w:space="0" w:color="auto" w:frame="1"/>
          </w:rPr>
          <w:t xml:space="preserve"> </w:t>
        </w:r>
        <w:r w:rsidRPr="00A714E9">
          <w:rPr>
            <w:rStyle w:val="Hyperlink"/>
            <w:rFonts w:ascii="Segoe UI" w:eastAsiaTheme="majorEastAsia" w:hAnsi="Segoe UI" w:cs="Segoe UI"/>
            <w:sz w:val="21"/>
            <w:szCs w:val="21"/>
            <w:bdr w:val="none" w:sz="0" w:space="0" w:color="auto" w:frame="1"/>
          </w:rPr>
          <w:t>53A</w:t>
        </w:r>
      </w:hyperlink>
      <w:r>
        <w:rPr>
          <w:rFonts w:ascii="Segoe UI" w:hAnsi="Segoe UI" w:cs="Segoe UI"/>
          <w:color w:val="000000"/>
          <w:sz w:val="21"/>
          <w:szCs w:val="21"/>
        </w:rPr>
        <w:t xml:space="preserve"> </w:t>
      </w:r>
      <w:r w:rsidRPr="00A714E9">
        <w:rPr>
          <w:rFonts w:ascii="Segoe UI" w:hAnsi="Segoe UI" w:cs="Segoe UI"/>
          <w:color w:val="000000"/>
          <w:sz w:val="21"/>
          <w:szCs w:val="21"/>
        </w:rPr>
        <w:t>may</w:t>
      </w:r>
      <w:r>
        <w:rPr>
          <w:rFonts w:ascii="Segoe UI" w:hAnsi="Segoe UI" w:cs="Segoe UI"/>
          <w:color w:val="000000"/>
          <w:sz w:val="21"/>
          <w:szCs w:val="21"/>
        </w:rPr>
        <w:t xml:space="preserve"> </w:t>
      </w:r>
      <w:r w:rsidRPr="00A714E9">
        <w:rPr>
          <w:rFonts w:ascii="Segoe UI" w:hAnsi="Segoe UI" w:cs="Segoe UI"/>
          <w:color w:val="000000"/>
          <w:sz w:val="21"/>
          <w:szCs w:val="21"/>
        </w:rPr>
        <w:t>use</w:t>
      </w:r>
      <w:r>
        <w:rPr>
          <w:rFonts w:ascii="Segoe UI" w:hAnsi="Segoe UI" w:cs="Segoe UI"/>
          <w:color w:val="000000"/>
          <w:sz w:val="21"/>
          <w:szCs w:val="21"/>
        </w:rPr>
        <w:t xml:space="preserve"> </w:t>
      </w:r>
      <w:r w:rsidRPr="00A714E9">
        <w:rPr>
          <w:rFonts w:ascii="Segoe UI" w:hAnsi="Segoe UI" w:cs="Segoe UI"/>
          <w:color w:val="000000"/>
          <w:sz w:val="21"/>
          <w:szCs w:val="21"/>
        </w:rPr>
        <w:t>such</w:t>
      </w:r>
      <w:r>
        <w:rPr>
          <w:rFonts w:ascii="Segoe UI" w:hAnsi="Segoe UI" w:cs="Segoe UI"/>
          <w:color w:val="000000"/>
          <w:sz w:val="21"/>
          <w:szCs w:val="21"/>
        </w:rPr>
        <w:t xml:space="preserve"> </w:t>
      </w:r>
      <w:r w:rsidRPr="00A714E9">
        <w:rPr>
          <w:rFonts w:ascii="Segoe UI" w:hAnsi="Segoe UI" w:cs="Segoe UI"/>
          <w:color w:val="000000"/>
          <w:sz w:val="21"/>
          <w:szCs w:val="21"/>
        </w:rPr>
        <w:t>force</w:t>
      </w:r>
      <w:r>
        <w:rPr>
          <w:rFonts w:ascii="Segoe UI" w:hAnsi="Segoe UI" w:cs="Segoe UI"/>
          <w:color w:val="000000"/>
          <w:sz w:val="21"/>
          <w:szCs w:val="21"/>
        </w:rPr>
        <w:t xml:space="preserve"> </w:t>
      </w:r>
      <w:r w:rsidRPr="00A714E9">
        <w:rPr>
          <w:rFonts w:ascii="Segoe UI" w:hAnsi="Segoe UI" w:cs="Segoe UI"/>
          <w:color w:val="000000"/>
          <w:sz w:val="21"/>
          <w:szCs w:val="21"/>
        </w:rPr>
        <w:t>as</w:t>
      </w:r>
      <w:r>
        <w:rPr>
          <w:rFonts w:ascii="Segoe UI" w:hAnsi="Segoe UI" w:cs="Segoe UI"/>
          <w:color w:val="000000"/>
          <w:sz w:val="21"/>
          <w:szCs w:val="21"/>
        </w:rPr>
        <w:t xml:space="preserve"> </w:t>
      </w:r>
      <w:r w:rsidRPr="00A714E9">
        <w:rPr>
          <w:rFonts w:ascii="Segoe UI" w:hAnsi="Segoe UI" w:cs="Segoe UI"/>
          <w:color w:val="000000"/>
          <w:sz w:val="21"/>
          <w:szCs w:val="21"/>
        </w:rPr>
        <w:t>is</w:t>
      </w:r>
      <w:r>
        <w:rPr>
          <w:rFonts w:ascii="Segoe UI" w:hAnsi="Segoe UI" w:cs="Segoe UI"/>
          <w:color w:val="000000"/>
          <w:sz w:val="21"/>
          <w:szCs w:val="21"/>
        </w:rPr>
        <w:t xml:space="preserve"> </w:t>
      </w:r>
      <w:r w:rsidRPr="00A714E9">
        <w:rPr>
          <w:rFonts w:ascii="Segoe UI" w:hAnsi="Segoe UI" w:cs="Segoe UI"/>
          <w:color w:val="000000"/>
          <w:sz w:val="21"/>
          <w:szCs w:val="21"/>
        </w:rPr>
        <w:t>reasonably</w:t>
      </w:r>
      <w:r>
        <w:rPr>
          <w:rFonts w:ascii="Segoe UI" w:hAnsi="Segoe UI" w:cs="Segoe UI"/>
          <w:color w:val="000000"/>
          <w:sz w:val="21"/>
          <w:szCs w:val="21"/>
        </w:rPr>
        <w:t xml:space="preserve"> </w:t>
      </w:r>
      <w:r w:rsidRPr="00A714E9">
        <w:rPr>
          <w:rFonts w:ascii="Segoe UI" w:hAnsi="Segoe UI" w:cs="Segoe UI"/>
          <w:color w:val="000000"/>
          <w:sz w:val="21"/>
          <w:szCs w:val="21"/>
        </w:rPr>
        <w:t>necessary</w:t>
      </w:r>
      <w:r>
        <w:rPr>
          <w:rFonts w:ascii="Segoe UI" w:hAnsi="Segoe UI" w:cs="Segoe UI"/>
          <w:color w:val="000000"/>
          <w:sz w:val="21"/>
          <w:szCs w:val="21"/>
        </w:rPr>
        <w:t xml:space="preserve"> </w:t>
      </w:r>
      <w:r w:rsidRPr="00A714E9">
        <w:rPr>
          <w:rFonts w:ascii="Segoe UI" w:hAnsi="Segoe UI" w:cs="Segoe UI"/>
          <w:color w:val="000000"/>
          <w:sz w:val="21"/>
          <w:szCs w:val="21"/>
        </w:rPr>
        <w:t>in</w:t>
      </w:r>
      <w:r>
        <w:rPr>
          <w:rFonts w:ascii="Segoe UI" w:hAnsi="Segoe UI" w:cs="Segoe UI"/>
          <w:color w:val="000000"/>
          <w:sz w:val="21"/>
          <w:szCs w:val="21"/>
        </w:rPr>
        <w:t xml:space="preserve"> </w:t>
      </w:r>
      <w:r w:rsidRPr="00A714E9">
        <w:rPr>
          <w:rFonts w:ascii="Segoe UI" w:hAnsi="Segoe UI" w:cs="Segoe UI"/>
          <w:color w:val="000000"/>
          <w:sz w:val="21"/>
          <w:szCs w:val="21"/>
        </w:rPr>
        <w:t>the</w:t>
      </w:r>
      <w:r>
        <w:rPr>
          <w:rFonts w:ascii="Segoe UI" w:hAnsi="Segoe UI" w:cs="Segoe UI"/>
          <w:color w:val="000000"/>
          <w:sz w:val="21"/>
          <w:szCs w:val="21"/>
        </w:rPr>
        <w:t xml:space="preserve"> </w:t>
      </w:r>
      <w:r w:rsidRPr="00A714E9">
        <w:rPr>
          <w:rFonts w:ascii="Segoe UI" w:hAnsi="Segoe UI" w:cs="Segoe UI"/>
          <w:color w:val="000000"/>
          <w:sz w:val="21"/>
          <w:szCs w:val="21"/>
        </w:rPr>
        <w:t>circumstances.</w:t>
      </w:r>
    </w:p>
    <w:p w14:paraId="37FE1F66" w14:textId="166F2F7F" w:rsidR="00DB1B6E" w:rsidRPr="00DB1B6E" w:rsidRDefault="00DB1B6E" w:rsidP="002C663E">
      <w:pPr>
        <w:pStyle w:val="subprov"/>
        <w:numPr>
          <w:ilvl w:val="3"/>
          <w:numId w:val="24"/>
        </w:numPr>
        <w:shd w:val="clear" w:color="auto" w:fill="FFFFFF"/>
        <w:spacing w:before="120" w:beforeAutospacing="0" w:after="0" w:afterAutospacing="0" w:line="276" w:lineRule="auto"/>
        <w:ind w:left="426" w:hanging="426"/>
        <w:textAlignment w:val="baseline"/>
        <w:rPr>
          <w:rFonts w:ascii="Segoe UI" w:hAnsi="Segoe UI" w:cs="Segoe UI"/>
          <w:color w:val="000000"/>
          <w:sz w:val="21"/>
          <w:szCs w:val="21"/>
        </w:rPr>
      </w:pPr>
      <w:r w:rsidRPr="00DB1B6E">
        <w:rPr>
          <w:rFonts w:ascii="Segoe UI" w:hAnsi="Segoe UI" w:cs="Segoe UI"/>
          <w:color w:val="000000"/>
          <w:sz w:val="21"/>
          <w:szCs w:val="21"/>
        </w:rPr>
        <w:t xml:space="preserve">A person treating a patient to whom </w:t>
      </w:r>
      <w:hyperlink r:id="rId52" w:anchor="DLM263447" w:history="1">
        <w:r w:rsidRPr="00DB1B6E">
          <w:rPr>
            <w:rFonts w:ascii="Segoe UI" w:hAnsi="Segoe UI" w:cs="Segoe UI"/>
            <w:b/>
            <w:color w:val="000000"/>
            <w:sz w:val="21"/>
            <w:szCs w:val="21"/>
          </w:rPr>
          <w:t>section 58</w:t>
        </w:r>
      </w:hyperlink>
      <w:r w:rsidRPr="00DB1B6E">
        <w:rPr>
          <w:rFonts w:ascii="Segoe UI" w:hAnsi="Segoe UI" w:cs="Segoe UI"/>
          <w:sz w:val="21"/>
          <w:szCs w:val="21"/>
        </w:rPr>
        <w:t xml:space="preserve"> or</w:t>
      </w:r>
      <w:r w:rsidRPr="00DB1B6E">
        <w:rPr>
          <w:rFonts w:ascii="Segoe UI" w:hAnsi="Segoe UI" w:cs="Segoe UI"/>
          <w:color w:val="000000"/>
          <w:sz w:val="21"/>
          <w:szCs w:val="21"/>
        </w:rPr>
        <w:t xml:space="preserve"> </w:t>
      </w:r>
      <w:hyperlink r:id="rId53" w:anchor="DLM263449" w:history="1">
        <w:r w:rsidRPr="00DB1B6E">
          <w:rPr>
            <w:rFonts w:ascii="Segoe UI" w:hAnsi="Segoe UI" w:cs="Segoe UI"/>
            <w:b/>
            <w:color w:val="000000"/>
            <w:sz w:val="21"/>
            <w:szCs w:val="21"/>
          </w:rPr>
          <w:t>section 59</w:t>
        </w:r>
      </w:hyperlink>
      <w:r w:rsidRPr="00DB1B6E">
        <w:rPr>
          <w:rFonts w:ascii="Segoe UI" w:hAnsi="Segoe UI" w:cs="Segoe UI"/>
          <w:color w:val="000000"/>
          <w:sz w:val="21"/>
          <w:szCs w:val="21"/>
        </w:rPr>
        <w:t xml:space="preserve"> applies may use such force as is reasonably necessary in the circumstances.</w:t>
      </w:r>
    </w:p>
    <w:p w14:paraId="2B07606D" w14:textId="53D34FA7" w:rsidR="00DB1B6E" w:rsidRPr="00DB1B6E" w:rsidRDefault="00DB1B6E" w:rsidP="002C663E">
      <w:pPr>
        <w:pStyle w:val="subprov"/>
        <w:numPr>
          <w:ilvl w:val="3"/>
          <w:numId w:val="24"/>
        </w:numPr>
        <w:shd w:val="clear" w:color="auto" w:fill="FFFFFF"/>
        <w:spacing w:before="120" w:beforeAutospacing="0" w:after="0" w:afterAutospacing="0" w:line="276" w:lineRule="auto"/>
        <w:ind w:left="426" w:hanging="426"/>
        <w:textAlignment w:val="baseline"/>
        <w:rPr>
          <w:rFonts w:ascii="Segoe UI" w:hAnsi="Segoe UI" w:cs="Segoe UI"/>
          <w:color w:val="000000"/>
          <w:sz w:val="21"/>
          <w:szCs w:val="21"/>
        </w:rPr>
      </w:pPr>
      <w:r w:rsidRPr="00DB1B6E">
        <w:rPr>
          <w:rFonts w:ascii="Segoe UI" w:hAnsi="Segoe UI" w:cs="Segoe UI"/>
          <w:color w:val="000000"/>
          <w:sz w:val="21"/>
          <w:szCs w:val="21"/>
        </w:rPr>
        <w:t>If force has been used under this section,—</w:t>
      </w:r>
    </w:p>
    <w:p w14:paraId="550AFD4E" w14:textId="77777777" w:rsidR="00DB1B6E" w:rsidRPr="00A714E9" w:rsidRDefault="00DB1B6E" w:rsidP="002C663E">
      <w:pPr>
        <w:pStyle w:val="Heading5"/>
        <w:numPr>
          <w:ilvl w:val="1"/>
          <w:numId w:val="25"/>
        </w:numPr>
        <w:shd w:val="clear" w:color="auto" w:fill="FFFFFF"/>
        <w:spacing w:line="276" w:lineRule="auto"/>
        <w:ind w:left="851" w:hanging="425"/>
        <w:textAlignment w:val="baseline"/>
        <w:rPr>
          <w:rFonts w:cs="Segoe UI"/>
          <w:color w:val="000000"/>
          <w:sz w:val="21"/>
          <w:szCs w:val="21"/>
        </w:rPr>
      </w:pPr>
      <w:r w:rsidRPr="00A714E9">
        <w:rPr>
          <w:rFonts w:cs="Segoe UI"/>
          <w:color w:val="000000"/>
          <w:sz w:val="21"/>
          <w:szCs w:val="21"/>
        </w:rPr>
        <w:t>the</w:t>
      </w:r>
      <w:r>
        <w:rPr>
          <w:rFonts w:cs="Segoe UI"/>
          <w:color w:val="000000"/>
          <w:sz w:val="21"/>
          <w:szCs w:val="21"/>
        </w:rPr>
        <w:t xml:space="preserve"> </w:t>
      </w:r>
      <w:r w:rsidRPr="00A714E9">
        <w:rPr>
          <w:rFonts w:cs="Segoe UI"/>
          <w:color w:val="000000"/>
          <w:sz w:val="21"/>
          <w:szCs w:val="21"/>
        </w:rPr>
        <w:t>circumstances</w:t>
      </w:r>
      <w:r>
        <w:rPr>
          <w:rFonts w:cs="Segoe UI"/>
          <w:color w:val="000000"/>
          <w:sz w:val="21"/>
          <w:szCs w:val="21"/>
        </w:rPr>
        <w:t xml:space="preserve"> </w:t>
      </w:r>
      <w:r w:rsidRPr="00A714E9">
        <w:rPr>
          <w:rFonts w:cs="Segoe UI"/>
          <w:color w:val="000000"/>
          <w:sz w:val="21"/>
          <w:szCs w:val="21"/>
        </w:rPr>
        <w:t>in</w:t>
      </w:r>
      <w:r>
        <w:rPr>
          <w:rFonts w:cs="Segoe UI"/>
          <w:color w:val="000000"/>
          <w:sz w:val="21"/>
          <w:szCs w:val="21"/>
        </w:rPr>
        <w:t xml:space="preserve"> </w:t>
      </w:r>
      <w:r w:rsidRPr="00A714E9">
        <w:rPr>
          <w:rFonts w:cs="Segoe UI"/>
          <w:color w:val="000000"/>
          <w:sz w:val="21"/>
          <w:szCs w:val="21"/>
        </w:rPr>
        <w:t>which</w:t>
      </w:r>
      <w:r>
        <w:rPr>
          <w:rFonts w:cs="Segoe UI"/>
          <w:color w:val="000000"/>
          <w:sz w:val="21"/>
          <w:szCs w:val="21"/>
        </w:rPr>
        <w:t xml:space="preserve"> </w:t>
      </w:r>
      <w:r w:rsidRPr="00A714E9">
        <w:rPr>
          <w:rFonts w:cs="Segoe UI"/>
          <w:color w:val="000000"/>
          <w:sz w:val="21"/>
          <w:szCs w:val="21"/>
        </w:rPr>
        <w:t>the</w:t>
      </w:r>
      <w:r>
        <w:rPr>
          <w:rFonts w:cs="Segoe UI"/>
          <w:color w:val="000000"/>
          <w:sz w:val="21"/>
          <w:szCs w:val="21"/>
        </w:rPr>
        <w:t xml:space="preserve"> </w:t>
      </w:r>
      <w:r w:rsidRPr="00A714E9">
        <w:rPr>
          <w:rFonts w:cs="Segoe UI"/>
          <w:color w:val="000000"/>
          <w:sz w:val="21"/>
          <w:szCs w:val="21"/>
        </w:rPr>
        <w:t>force</w:t>
      </w:r>
      <w:r>
        <w:rPr>
          <w:rFonts w:cs="Segoe UI"/>
          <w:color w:val="000000"/>
          <w:sz w:val="21"/>
          <w:szCs w:val="21"/>
        </w:rPr>
        <w:t xml:space="preserve"> </w:t>
      </w:r>
      <w:r w:rsidRPr="00A714E9">
        <w:rPr>
          <w:rFonts w:cs="Segoe UI"/>
          <w:color w:val="000000"/>
          <w:sz w:val="21"/>
          <w:szCs w:val="21"/>
        </w:rPr>
        <w:t>was</w:t>
      </w:r>
      <w:r>
        <w:rPr>
          <w:rFonts w:cs="Segoe UI"/>
          <w:color w:val="000000"/>
          <w:sz w:val="21"/>
          <w:szCs w:val="21"/>
        </w:rPr>
        <w:t xml:space="preserve"> </w:t>
      </w:r>
      <w:r w:rsidRPr="00A714E9">
        <w:rPr>
          <w:rFonts w:cs="Segoe UI"/>
          <w:color w:val="000000"/>
          <w:sz w:val="21"/>
          <w:szCs w:val="21"/>
        </w:rPr>
        <w:t>used</w:t>
      </w:r>
      <w:r>
        <w:rPr>
          <w:rFonts w:cs="Segoe UI"/>
          <w:color w:val="000000"/>
          <w:sz w:val="21"/>
          <w:szCs w:val="21"/>
        </w:rPr>
        <w:t xml:space="preserve"> </w:t>
      </w:r>
      <w:r w:rsidRPr="00A714E9">
        <w:rPr>
          <w:rFonts w:cs="Segoe UI"/>
          <w:color w:val="000000"/>
          <w:sz w:val="21"/>
          <w:szCs w:val="21"/>
        </w:rPr>
        <w:t>must</w:t>
      </w:r>
      <w:r>
        <w:rPr>
          <w:rFonts w:cs="Segoe UI"/>
          <w:color w:val="000000"/>
          <w:sz w:val="21"/>
          <w:szCs w:val="21"/>
        </w:rPr>
        <w:t xml:space="preserve"> </w:t>
      </w:r>
      <w:r w:rsidRPr="00A714E9">
        <w:rPr>
          <w:rFonts w:cs="Segoe UI"/>
          <w:color w:val="000000"/>
          <w:sz w:val="21"/>
          <w:szCs w:val="21"/>
        </w:rPr>
        <w:t>be</w:t>
      </w:r>
      <w:r>
        <w:rPr>
          <w:rFonts w:cs="Segoe UI"/>
          <w:color w:val="000000"/>
          <w:sz w:val="21"/>
          <w:szCs w:val="21"/>
        </w:rPr>
        <w:t xml:space="preserve"> </w:t>
      </w:r>
      <w:r w:rsidRPr="00A714E9">
        <w:rPr>
          <w:rFonts w:cs="Segoe UI"/>
          <w:color w:val="000000"/>
          <w:sz w:val="21"/>
          <w:szCs w:val="21"/>
        </w:rPr>
        <w:t>recorded</w:t>
      </w:r>
      <w:r>
        <w:rPr>
          <w:rFonts w:cs="Segoe UI"/>
          <w:color w:val="000000"/>
          <w:sz w:val="21"/>
          <w:szCs w:val="21"/>
        </w:rPr>
        <w:t xml:space="preserve"> </w:t>
      </w:r>
      <w:r w:rsidRPr="00A714E9">
        <w:rPr>
          <w:rFonts w:cs="Segoe UI"/>
          <w:color w:val="000000"/>
          <w:sz w:val="21"/>
          <w:szCs w:val="21"/>
        </w:rPr>
        <w:t>as</w:t>
      </w:r>
      <w:r>
        <w:rPr>
          <w:rFonts w:cs="Segoe UI"/>
          <w:color w:val="000000"/>
          <w:sz w:val="21"/>
          <w:szCs w:val="21"/>
        </w:rPr>
        <w:t xml:space="preserve"> </w:t>
      </w:r>
      <w:r w:rsidRPr="00A714E9">
        <w:rPr>
          <w:rFonts w:cs="Segoe UI"/>
          <w:color w:val="000000"/>
          <w:sz w:val="21"/>
          <w:szCs w:val="21"/>
        </w:rPr>
        <w:t>soon</w:t>
      </w:r>
      <w:r>
        <w:rPr>
          <w:rFonts w:cs="Segoe UI"/>
          <w:color w:val="000000"/>
          <w:sz w:val="21"/>
          <w:szCs w:val="21"/>
        </w:rPr>
        <w:t xml:space="preserve"> </w:t>
      </w:r>
      <w:r w:rsidRPr="00A714E9">
        <w:rPr>
          <w:rFonts w:cs="Segoe UI"/>
          <w:color w:val="000000"/>
          <w:sz w:val="21"/>
          <w:szCs w:val="21"/>
        </w:rPr>
        <w:t>as</w:t>
      </w:r>
      <w:r>
        <w:rPr>
          <w:rFonts w:cs="Segoe UI"/>
          <w:color w:val="000000"/>
          <w:sz w:val="21"/>
          <w:szCs w:val="21"/>
        </w:rPr>
        <w:t xml:space="preserve"> </w:t>
      </w:r>
      <w:r w:rsidRPr="00A714E9">
        <w:rPr>
          <w:rFonts w:cs="Segoe UI"/>
          <w:color w:val="000000"/>
          <w:sz w:val="21"/>
          <w:szCs w:val="21"/>
        </w:rPr>
        <w:t>practicable;</w:t>
      </w:r>
      <w:r>
        <w:rPr>
          <w:rFonts w:cs="Segoe UI"/>
          <w:color w:val="000000"/>
          <w:sz w:val="21"/>
          <w:szCs w:val="21"/>
        </w:rPr>
        <w:t xml:space="preserve"> </w:t>
      </w:r>
      <w:r w:rsidRPr="00A714E9">
        <w:rPr>
          <w:rFonts w:cs="Segoe UI"/>
          <w:color w:val="000000"/>
          <w:sz w:val="21"/>
          <w:szCs w:val="21"/>
        </w:rPr>
        <w:t>and</w:t>
      </w:r>
    </w:p>
    <w:p w14:paraId="21A46CA9" w14:textId="77777777" w:rsidR="00DB1B6E" w:rsidRPr="00A714E9" w:rsidRDefault="00DB1B6E" w:rsidP="002C663E">
      <w:pPr>
        <w:pStyle w:val="Heading5"/>
        <w:numPr>
          <w:ilvl w:val="1"/>
          <w:numId w:val="25"/>
        </w:numPr>
        <w:shd w:val="clear" w:color="auto" w:fill="FFFFFF"/>
        <w:spacing w:line="276" w:lineRule="auto"/>
        <w:ind w:left="851" w:hanging="425"/>
        <w:textAlignment w:val="baseline"/>
        <w:rPr>
          <w:rFonts w:cs="Segoe UI"/>
          <w:color w:val="000000"/>
          <w:sz w:val="21"/>
          <w:szCs w:val="21"/>
        </w:rPr>
      </w:pPr>
      <w:r w:rsidRPr="00A714E9">
        <w:rPr>
          <w:rFonts w:cs="Segoe UI"/>
          <w:color w:val="000000"/>
          <w:sz w:val="21"/>
          <w:szCs w:val="21"/>
        </w:rPr>
        <w:t>a</w:t>
      </w:r>
      <w:r>
        <w:rPr>
          <w:rFonts w:cs="Segoe UI"/>
          <w:color w:val="000000"/>
          <w:sz w:val="21"/>
          <w:szCs w:val="21"/>
        </w:rPr>
        <w:t xml:space="preserve"> </w:t>
      </w:r>
      <w:r w:rsidRPr="00A714E9">
        <w:rPr>
          <w:rFonts w:cs="Segoe UI"/>
          <w:color w:val="000000"/>
          <w:sz w:val="21"/>
          <w:szCs w:val="21"/>
        </w:rPr>
        <w:t>copy</w:t>
      </w:r>
      <w:r>
        <w:rPr>
          <w:rFonts w:cs="Segoe UI"/>
          <w:color w:val="000000"/>
          <w:sz w:val="21"/>
          <w:szCs w:val="21"/>
        </w:rPr>
        <w:t xml:space="preserve"> </w:t>
      </w:r>
      <w:r w:rsidRPr="00A714E9">
        <w:rPr>
          <w:rFonts w:cs="Segoe UI"/>
          <w:color w:val="000000"/>
          <w:sz w:val="21"/>
          <w:szCs w:val="21"/>
        </w:rPr>
        <w:t>of</w:t>
      </w:r>
      <w:r>
        <w:rPr>
          <w:rFonts w:cs="Segoe UI"/>
          <w:color w:val="000000"/>
          <w:sz w:val="21"/>
          <w:szCs w:val="21"/>
        </w:rPr>
        <w:t xml:space="preserve"> </w:t>
      </w:r>
      <w:r w:rsidRPr="00A714E9">
        <w:rPr>
          <w:rFonts w:cs="Segoe UI"/>
          <w:color w:val="000000"/>
          <w:sz w:val="21"/>
          <w:szCs w:val="21"/>
        </w:rPr>
        <w:t>the</w:t>
      </w:r>
      <w:r>
        <w:rPr>
          <w:rFonts w:cs="Segoe UI"/>
          <w:color w:val="000000"/>
          <w:sz w:val="21"/>
          <w:szCs w:val="21"/>
        </w:rPr>
        <w:t xml:space="preserve"> </w:t>
      </w:r>
      <w:r w:rsidRPr="00A714E9">
        <w:rPr>
          <w:rFonts w:cs="Segoe UI"/>
          <w:color w:val="000000"/>
          <w:sz w:val="21"/>
          <w:szCs w:val="21"/>
        </w:rPr>
        <w:t>record</w:t>
      </w:r>
      <w:r>
        <w:rPr>
          <w:rFonts w:cs="Segoe UI"/>
          <w:color w:val="000000"/>
          <w:sz w:val="21"/>
          <w:szCs w:val="21"/>
        </w:rPr>
        <w:t xml:space="preserve"> </w:t>
      </w:r>
      <w:r w:rsidRPr="00A714E9">
        <w:rPr>
          <w:rFonts w:cs="Segoe UI"/>
          <w:color w:val="000000"/>
          <w:sz w:val="21"/>
          <w:szCs w:val="21"/>
        </w:rPr>
        <w:t>must</w:t>
      </w:r>
      <w:r>
        <w:rPr>
          <w:rFonts w:cs="Segoe UI"/>
          <w:color w:val="000000"/>
          <w:sz w:val="21"/>
          <w:szCs w:val="21"/>
        </w:rPr>
        <w:t xml:space="preserve"> </w:t>
      </w:r>
      <w:r w:rsidRPr="00A714E9">
        <w:rPr>
          <w:rFonts w:cs="Segoe UI"/>
          <w:color w:val="000000"/>
          <w:sz w:val="21"/>
          <w:szCs w:val="21"/>
        </w:rPr>
        <w:t>be</w:t>
      </w:r>
      <w:r>
        <w:rPr>
          <w:rFonts w:cs="Segoe UI"/>
          <w:color w:val="000000"/>
          <w:sz w:val="21"/>
          <w:szCs w:val="21"/>
        </w:rPr>
        <w:t xml:space="preserve"> </w:t>
      </w:r>
      <w:r w:rsidRPr="00A714E9">
        <w:rPr>
          <w:rFonts w:cs="Segoe UI"/>
          <w:color w:val="000000"/>
          <w:sz w:val="21"/>
          <w:szCs w:val="21"/>
        </w:rPr>
        <w:t>given</w:t>
      </w:r>
      <w:r>
        <w:rPr>
          <w:rFonts w:cs="Segoe UI"/>
          <w:color w:val="000000"/>
          <w:sz w:val="21"/>
          <w:szCs w:val="21"/>
        </w:rPr>
        <w:t xml:space="preserve"> </w:t>
      </w:r>
      <w:r w:rsidRPr="00A714E9">
        <w:rPr>
          <w:rFonts w:cs="Segoe UI"/>
          <w:color w:val="000000"/>
          <w:sz w:val="21"/>
          <w:szCs w:val="21"/>
        </w:rPr>
        <w:t>to</w:t>
      </w:r>
      <w:r>
        <w:rPr>
          <w:rFonts w:cs="Segoe UI"/>
          <w:color w:val="000000"/>
          <w:sz w:val="21"/>
          <w:szCs w:val="21"/>
        </w:rPr>
        <w:t xml:space="preserve"> </w:t>
      </w:r>
      <w:r w:rsidRPr="00A714E9">
        <w:rPr>
          <w:rFonts w:cs="Segoe UI"/>
          <w:color w:val="000000"/>
          <w:sz w:val="21"/>
          <w:szCs w:val="21"/>
        </w:rPr>
        <w:t>the</w:t>
      </w:r>
      <w:r>
        <w:rPr>
          <w:rFonts w:cs="Segoe UI"/>
          <w:color w:val="000000"/>
          <w:sz w:val="21"/>
          <w:szCs w:val="21"/>
        </w:rPr>
        <w:t xml:space="preserve"> DAMHS </w:t>
      </w:r>
      <w:r w:rsidRPr="00A714E9">
        <w:rPr>
          <w:rFonts w:cs="Segoe UI"/>
          <w:color w:val="000000"/>
          <w:sz w:val="21"/>
          <w:szCs w:val="21"/>
        </w:rPr>
        <w:t>as</w:t>
      </w:r>
      <w:r>
        <w:rPr>
          <w:rFonts w:cs="Segoe UI"/>
          <w:color w:val="000000"/>
          <w:sz w:val="21"/>
          <w:szCs w:val="21"/>
        </w:rPr>
        <w:t xml:space="preserve"> </w:t>
      </w:r>
      <w:r w:rsidRPr="00A714E9">
        <w:rPr>
          <w:rFonts w:cs="Segoe UI"/>
          <w:color w:val="000000"/>
          <w:sz w:val="21"/>
          <w:szCs w:val="21"/>
        </w:rPr>
        <w:t>soon</w:t>
      </w:r>
      <w:r>
        <w:rPr>
          <w:rFonts w:cs="Segoe UI"/>
          <w:color w:val="000000"/>
          <w:sz w:val="21"/>
          <w:szCs w:val="21"/>
        </w:rPr>
        <w:t xml:space="preserve"> </w:t>
      </w:r>
      <w:r w:rsidRPr="00A714E9">
        <w:rPr>
          <w:rFonts w:cs="Segoe UI"/>
          <w:color w:val="000000"/>
          <w:sz w:val="21"/>
          <w:szCs w:val="21"/>
        </w:rPr>
        <w:t>as</w:t>
      </w:r>
      <w:r>
        <w:rPr>
          <w:rFonts w:cs="Segoe UI"/>
          <w:color w:val="000000"/>
          <w:sz w:val="21"/>
          <w:szCs w:val="21"/>
        </w:rPr>
        <w:t xml:space="preserve"> </w:t>
      </w:r>
      <w:r w:rsidRPr="00A714E9">
        <w:rPr>
          <w:rFonts w:cs="Segoe UI"/>
          <w:color w:val="000000"/>
          <w:sz w:val="21"/>
          <w:szCs w:val="21"/>
        </w:rPr>
        <w:t>practicable.</w:t>
      </w:r>
    </w:p>
    <w:p w14:paraId="3BE94245" w14:textId="77777777" w:rsidR="00DB1B6E" w:rsidRDefault="00DB1B6E" w:rsidP="00DB1B6E">
      <w:r w:rsidRPr="00455767">
        <w:t>Guidance</w:t>
      </w:r>
      <w:r>
        <w:t xml:space="preserve"> </w:t>
      </w:r>
      <w:r w:rsidRPr="00455767">
        <w:t>on</w:t>
      </w:r>
      <w:r>
        <w:t xml:space="preserve"> </w:t>
      </w:r>
      <w:r w:rsidRPr="00455767">
        <w:t>the</w:t>
      </w:r>
      <w:r>
        <w:t xml:space="preserve"> </w:t>
      </w:r>
      <w:r w:rsidRPr="00455767">
        <w:t>use</w:t>
      </w:r>
      <w:r>
        <w:t xml:space="preserve"> </w:t>
      </w:r>
      <w:r w:rsidRPr="00455767">
        <w:t>of</w:t>
      </w:r>
      <w:r>
        <w:t xml:space="preserve"> </w:t>
      </w:r>
      <w:r w:rsidRPr="00455767">
        <w:t>force</w:t>
      </w:r>
      <w:r>
        <w:t xml:space="preserve"> </w:t>
      </w:r>
      <w:r w:rsidRPr="00455767">
        <w:t>under</w:t>
      </w:r>
      <w:r>
        <w:t xml:space="preserve"> </w:t>
      </w:r>
      <w:r w:rsidRPr="00455767">
        <w:t>the</w:t>
      </w:r>
      <w:r>
        <w:t xml:space="preserve"> </w:t>
      </w:r>
      <w:r w:rsidRPr="00455767">
        <w:t>Mental</w:t>
      </w:r>
      <w:r>
        <w:t xml:space="preserve"> </w:t>
      </w:r>
      <w:r w:rsidRPr="00455767">
        <w:t>Health</w:t>
      </w:r>
      <w:r>
        <w:t xml:space="preserve"> </w:t>
      </w:r>
      <w:r w:rsidRPr="00455767">
        <w:t>Act</w:t>
      </w:r>
      <w:r>
        <w:t xml:space="preserve"> </w:t>
      </w:r>
      <w:r w:rsidRPr="00455767">
        <w:t>is</w:t>
      </w:r>
      <w:r>
        <w:t xml:space="preserve"> </w:t>
      </w:r>
      <w:r w:rsidRPr="00455767">
        <w:t>provided</w:t>
      </w:r>
      <w:r>
        <w:t xml:space="preserve"> </w:t>
      </w:r>
      <w:r w:rsidRPr="00455767">
        <w:t>in</w:t>
      </w:r>
      <w:r>
        <w:t xml:space="preserve"> </w:t>
      </w:r>
      <w:r w:rsidRPr="00455767">
        <w:t>the</w:t>
      </w:r>
      <w:r>
        <w:t xml:space="preserve"> </w:t>
      </w:r>
      <w:r w:rsidRPr="00CC1EBA">
        <w:rPr>
          <w:i/>
        </w:rPr>
        <w:t>Guidelines to the Mental Health</w:t>
      </w:r>
      <w:r>
        <w:t xml:space="preserve"> </w:t>
      </w:r>
      <w:r w:rsidRPr="00AD2FBD">
        <w:rPr>
          <w:i/>
          <w:iCs/>
        </w:rPr>
        <w:t>Act</w:t>
      </w:r>
      <w:r w:rsidRPr="00455767">
        <w:t>.</w:t>
      </w:r>
    </w:p>
    <w:p w14:paraId="7EA037B7" w14:textId="77777777" w:rsidR="00DB1B6E" w:rsidRPr="00DB1B6E" w:rsidRDefault="00DB1B6E" w:rsidP="00DB1B6E">
      <w:pPr>
        <w:pStyle w:val="Heading2-nonumbering"/>
      </w:pPr>
      <w:bookmarkStart w:id="653" w:name="_Toc103152190"/>
      <w:bookmarkStart w:id="654" w:name="_Toc105770687"/>
      <w:bookmarkStart w:id="655" w:name="_Toc131663872"/>
      <w:bookmarkStart w:id="656" w:name="_Toc132355356"/>
      <w:r w:rsidRPr="00DB1B6E">
        <w:lastRenderedPageBreak/>
        <w:t>Crimes Act</w:t>
      </w:r>
      <w:bookmarkEnd w:id="653"/>
      <w:bookmarkEnd w:id="654"/>
      <w:bookmarkEnd w:id="655"/>
      <w:bookmarkEnd w:id="656"/>
      <w:r w:rsidRPr="00DB1B6E">
        <w:t xml:space="preserve"> </w:t>
      </w:r>
    </w:p>
    <w:p w14:paraId="638661D6" w14:textId="551AC0EC" w:rsidR="00DB1B6E" w:rsidRDefault="00DB1B6E" w:rsidP="00DB1B6E">
      <w:r w:rsidRPr="00455767">
        <w:t>In</w:t>
      </w:r>
      <w:r>
        <w:t xml:space="preserve"> </w:t>
      </w:r>
      <w:r w:rsidRPr="00455767">
        <w:t>addition,</w:t>
      </w:r>
      <w:r>
        <w:t xml:space="preserve"> </w:t>
      </w:r>
      <w:r w:rsidRPr="00455767">
        <w:t>there</w:t>
      </w:r>
      <w:r>
        <w:t xml:space="preserve"> </w:t>
      </w:r>
      <w:r w:rsidRPr="00455767">
        <w:t>are</w:t>
      </w:r>
      <w:r>
        <w:t xml:space="preserve"> </w:t>
      </w:r>
      <w:r w:rsidRPr="00455767">
        <w:t>a</w:t>
      </w:r>
      <w:r>
        <w:t xml:space="preserve"> </w:t>
      </w:r>
      <w:r w:rsidRPr="00455767">
        <w:t>number</w:t>
      </w:r>
      <w:r>
        <w:t xml:space="preserve"> </w:t>
      </w:r>
      <w:r w:rsidRPr="00455767">
        <w:t>of</w:t>
      </w:r>
      <w:r>
        <w:t xml:space="preserve"> relevant</w:t>
      </w:r>
      <w:r w:rsidRPr="00655DCB">
        <w:t xml:space="preserve"> </w:t>
      </w:r>
      <w:r w:rsidRPr="00455767">
        <w:t>sections</w:t>
      </w:r>
      <w:r>
        <w:t xml:space="preserve"> </w:t>
      </w:r>
      <w:r w:rsidRPr="00455767">
        <w:t>in</w:t>
      </w:r>
      <w:r>
        <w:t xml:space="preserve"> </w:t>
      </w:r>
      <w:r w:rsidRPr="00455767">
        <w:t>the</w:t>
      </w:r>
      <w:r>
        <w:t xml:space="preserve"> </w:t>
      </w:r>
      <w:r w:rsidRPr="00455767">
        <w:t>Crimes</w:t>
      </w:r>
      <w:r>
        <w:t xml:space="preserve"> </w:t>
      </w:r>
      <w:r w:rsidRPr="00455767">
        <w:t>Act</w:t>
      </w:r>
      <w:r>
        <w:t xml:space="preserve"> </w:t>
      </w:r>
      <w:r w:rsidRPr="00455767">
        <w:t>1961</w:t>
      </w:r>
      <w:r>
        <w:t>, including sections 41(1), 48(1) and 151, which are as follows.</w:t>
      </w:r>
    </w:p>
    <w:p w14:paraId="7E680A14" w14:textId="77777777" w:rsidR="00DB1B6E" w:rsidRPr="00455767" w:rsidRDefault="00DB1B6E" w:rsidP="00DB1B6E"/>
    <w:p w14:paraId="35644069" w14:textId="78579421" w:rsidR="00DB1B6E" w:rsidRDefault="00DB1B6E" w:rsidP="00DB1B6E">
      <w:pPr>
        <w:rPr>
          <w:b/>
        </w:rPr>
      </w:pPr>
      <w:r w:rsidRPr="00455767">
        <w:rPr>
          <w:b/>
        </w:rPr>
        <w:t>Section</w:t>
      </w:r>
      <w:r>
        <w:rPr>
          <w:b/>
        </w:rPr>
        <w:t xml:space="preserve"> </w:t>
      </w:r>
      <w:r w:rsidRPr="00455767">
        <w:rPr>
          <w:b/>
        </w:rPr>
        <w:t>41</w:t>
      </w:r>
      <w:r>
        <w:rPr>
          <w:b/>
        </w:rPr>
        <w:t xml:space="preserve"> </w:t>
      </w:r>
      <w:r w:rsidRPr="00455767">
        <w:rPr>
          <w:b/>
        </w:rPr>
        <w:t>Prevention</w:t>
      </w:r>
      <w:r>
        <w:rPr>
          <w:b/>
        </w:rPr>
        <w:t xml:space="preserve"> </w:t>
      </w:r>
      <w:r w:rsidRPr="00455767">
        <w:rPr>
          <w:b/>
        </w:rPr>
        <w:t>of</w:t>
      </w:r>
      <w:r>
        <w:rPr>
          <w:b/>
        </w:rPr>
        <w:t xml:space="preserve"> </w:t>
      </w:r>
      <w:r w:rsidRPr="00455767">
        <w:rPr>
          <w:b/>
        </w:rPr>
        <w:t>suicide</w:t>
      </w:r>
      <w:r>
        <w:rPr>
          <w:b/>
        </w:rPr>
        <w:t xml:space="preserve"> </w:t>
      </w:r>
      <w:r w:rsidRPr="00455767">
        <w:rPr>
          <w:b/>
        </w:rPr>
        <w:t>or</w:t>
      </w:r>
      <w:r>
        <w:rPr>
          <w:b/>
        </w:rPr>
        <w:t xml:space="preserve"> </w:t>
      </w:r>
      <w:r w:rsidRPr="00455767">
        <w:rPr>
          <w:b/>
        </w:rPr>
        <w:t>certain</w:t>
      </w:r>
      <w:r>
        <w:rPr>
          <w:b/>
        </w:rPr>
        <w:t xml:space="preserve"> </w:t>
      </w:r>
      <w:r w:rsidRPr="00455767">
        <w:rPr>
          <w:b/>
        </w:rPr>
        <w:t>offences</w:t>
      </w:r>
    </w:p>
    <w:p w14:paraId="52DAA15C" w14:textId="77777777" w:rsidR="00DB1B6E" w:rsidRPr="00455767" w:rsidRDefault="00DB1B6E" w:rsidP="00DB1B6E">
      <w:pPr>
        <w:rPr>
          <w:b/>
        </w:rPr>
      </w:pPr>
    </w:p>
    <w:p w14:paraId="6207C4AC" w14:textId="1465FF99" w:rsidR="00DB1B6E" w:rsidRPr="00003487" w:rsidRDefault="00DB1B6E" w:rsidP="002C663E">
      <w:pPr>
        <w:pStyle w:val="ListParagraph"/>
        <w:numPr>
          <w:ilvl w:val="3"/>
          <w:numId w:val="27"/>
        </w:numPr>
        <w:ind w:left="426" w:hanging="426"/>
      </w:pPr>
      <w:r w:rsidRPr="00003487">
        <w:t>Everyone is justified in using such force as may be reasonable and necessary in order to prevent the commission of suicide</w:t>
      </w:r>
      <w:r>
        <w:t>,</w:t>
      </w:r>
      <w:r w:rsidRPr="00003487">
        <w:t xml:space="preserve"> or </w:t>
      </w:r>
      <w:r>
        <w:t xml:space="preserve">the </w:t>
      </w:r>
      <w:r w:rsidRPr="00003487">
        <w:t>commission of an offence which would be likely to cause immediate and serious injury to the person or property of any</w:t>
      </w:r>
      <w:r>
        <w:t xml:space="preserve"> </w:t>
      </w:r>
      <w:r w:rsidRPr="00003487">
        <w:t xml:space="preserve">one, or in order to prevent any act being done which he </w:t>
      </w:r>
      <w:r>
        <w:t xml:space="preserve">or she </w:t>
      </w:r>
      <w:r w:rsidRPr="00003487">
        <w:t xml:space="preserve">believes, on reasonable grounds, would, if committed, amount to suicide or to any such offence.  </w:t>
      </w:r>
    </w:p>
    <w:p w14:paraId="7F2AA89C" w14:textId="77777777" w:rsidR="00DB1B6E" w:rsidRDefault="00DB1B6E" w:rsidP="00DB1B6E">
      <w:pPr>
        <w:rPr>
          <w:b/>
        </w:rPr>
      </w:pPr>
    </w:p>
    <w:p w14:paraId="5F10F417" w14:textId="286D2B80" w:rsidR="00DB1B6E" w:rsidRDefault="00DB1B6E" w:rsidP="00DB1B6E">
      <w:pPr>
        <w:rPr>
          <w:b/>
        </w:rPr>
      </w:pPr>
      <w:r w:rsidRPr="00455767">
        <w:rPr>
          <w:b/>
        </w:rPr>
        <w:t>Section</w:t>
      </w:r>
      <w:r>
        <w:rPr>
          <w:b/>
        </w:rPr>
        <w:t xml:space="preserve"> </w:t>
      </w:r>
      <w:r w:rsidRPr="00455767">
        <w:rPr>
          <w:b/>
        </w:rPr>
        <w:t>48</w:t>
      </w:r>
      <w:r>
        <w:rPr>
          <w:b/>
        </w:rPr>
        <w:t xml:space="preserve"> </w:t>
      </w:r>
      <w:r w:rsidRPr="00455767">
        <w:rPr>
          <w:b/>
        </w:rPr>
        <w:t>Self-defence</w:t>
      </w:r>
      <w:r>
        <w:rPr>
          <w:b/>
        </w:rPr>
        <w:t xml:space="preserve"> </w:t>
      </w:r>
      <w:r w:rsidRPr="00455767">
        <w:rPr>
          <w:b/>
        </w:rPr>
        <w:t>and</w:t>
      </w:r>
      <w:r>
        <w:rPr>
          <w:b/>
        </w:rPr>
        <w:t xml:space="preserve"> </w:t>
      </w:r>
      <w:r w:rsidRPr="00455767">
        <w:rPr>
          <w:b/>
        </w:rPr>
        <w:t>defence</w:t>
      </w:r>
      <w:r>
        <w:rPr>
          <w:b/>
        </w:rPr>
        <w:t xml:space="preserve"> </w:t>
      </w:r>
      <w:r w:rsidRPr="00455767">
        <w:rPr>
          <w:b/>
        </w:rPr>
        <w:t>of</w:t>
      </w:r>
      <w:r>
        <w:rPr>
          <w:b/>
        </w:rPr>
        <w:t xml:space="preserve"> </w:t>
      </w:r>
      <w:r w:rsidRPr="00455767">
        <w:rPr>
          <w:b/>
        </w:rPr>
        <w:t>another</w:t>
      </w:r>
    </w:p>
    <w:p w14:paraId="38CFA4E4" w14:textId="77777777" w:rsidR="00DB1B6E" w:rsidRDefault="00DB1B6E" w:rsidP="00DB1B6E"/>
    <w:p w14:paraId="28710EFE" w14:textId="68DC324A" w:rsidR="00DB1B6E" w:rsidRPr="0084523C" w:rsidRDefault="00DB1B6E" w:rsidP="002C663E">
      <w:pPr>
        <w:pStyle w:val="ListParagraph"/>
        <w:numPr>
          <w:ilvl w:val="3"/>
          <w:numId w:val="28"/>
        </w:numPr>
        <w:ind w:left="426" w:hanging="426"/>
      </w:pPr>
      <w:r w:rsidRPr="00455767">
        <w:t>Everyone</w:t>
      </w:r>
      <w:r>
        <w:t xml:space="preserve"> </w:t>
      </w:r>
      <w:r w:rsidRPr="00455767">
        <w:t>is</w:t>
      </w:r>
      <w:r>
        <w:t xml:space="preserve"> </w:t>
      </w:r>
      <w:r w:rsidRPr="00455767">
        <w:t>justified</w:t>
      </w:r>
      <w:r>
        <w:t xml:space="preserve"> </w:t>
      </w:r>
      <w:r w:rsidRPr="00455767">
        <w:t>in</w:t>
      </w:r>
      <w:r>
        <w:t xml:space="preserve"> </w:t>
      </w:r>
      <w:r w:rsidRPr="00455767">
        <w:t>using,</w:t>
      </w:r>
      <w:r>
        <w:t xml:space="preserve"> </w:t>
      </w:r>
      <w:r w:rsidRPr="00455767">
        <w:t>in</w:t>
      </w:r>
      <w:r>
        <w:t xml:space="preserve"> </w:t>
      </w:r>
      <w:r w:rsidRPr="00455767">
        <w:t>defence</w:t>
      </w:r>
      <w:r>
        <w:t xml:space="preserve"> </w:t>
      </w:r>
      <w:r w:rsidRPr="00455767">
        <w:t>of</w:t>
      </w:r>
      <w:r>
        <w:t xml:space="preserve"> himself or herself </w:t>
      </w:r>
      <w:r w:rsidRPr="00455767">
        <w:t>or</w:t>
      </w:r>
      <w:r>
        <w:t xml:space="preserve"> </w:t>
      </w:r>
      <w:r w:rsidRPr="00455767">
        <w:t>another,</w:t>
      </w:r>
      <w:r>
        <w:t xml:space="preserve"> </w:t>
      </w:r>
      <w:r w:rsidRPr="00455767">
        <w:t>such</w:t>
      </w:r>
      <w:r>
        <w:t xml:space="preserve"> </w:t>
      </w:r>
      <w:r w:rsidRPr="00455767">
        <w:t>force</w:t>
      </w:r>
      <w:r>
        <w:t xml:space="preserve"> </w:t>
      </w:r>
      <w:r w:rsidRPr="00455767">
        <w:t>as,</w:t>
      </w:r>
      <w:r>
        <w:t xml:space="preserve"> </w:t>
      </w:r>
      <w:r w:rsidRPr="00455767">
        <w:t>in</w:t>
      </w:r>
      <w:r>
        <w:t xml:space="preserve"> </w:t>
      </w:r>
      <w:r w:rsidRPr="00455767">
        <w:t>the</w:t>
      </w:r>
      <w:r>
        <w:t xml:space="preserve"> </w:t>
      </w:r>
      <w:r w:rsidRPr="00455767">
        <w:t>circumstances</w:t>
      </w:r>
      <w:r>
        <w:t xml:space="preserve"> </w:t>
      </w:r>
      <w:r w:rsidRPr="00455767">
        <w:t>as</w:t>
      </w:r>
      <w:r>
        <w:t xml:space="preserve"> he or she </w:t>
      </w:r>
      <w:r w:rsidRPr="00455767">
        <w:t>believe</w:t>
      </w:r>
      <w:r>
        <w:t xml:space="preserve">s </w:t>
      </w:r>
      <w:r w:rsidRPr="00455767">
        <w:t>them</w:t>
      </w:r>
      <w:r>
        <w:t xml:space="preserve"> </w:t>
      </w:r>
      <w:r w:rsidRPr="00455767">
        <w:t>to</w:t>
      </w:r>
      <w:r>
        <w:t xml:space="preserve"> </w:t>
      </w:r>
      <w:r w:rsidRPr="00455767">
        <w:t>be</w:t>
      </w:r>
      <w:r>
        <w:t xml:space="preserve">, it is </w:t>
      </w:r>
      <w:r w:rsidRPr="00455767">
        <w:t>reasonable</w:t>
      </w:r>
      <w:r>
        <w:t xml:space="preserve"> </w:t>
      </w:r>
      <w:r w:rsidRPr="00455767">
        <w:t>to</w:t>
      </w:r>
      <w:r>
        <w:t xml:space="preserve"> </w:t>
      </w:r>
      <w:r w:rsidRPr="0084523C">
        <w:t>use.</w:t>
      </w:r>
      <w:r>
        <w:t xml:space="preserve"> </w:t>
      </w:r>
    </w:p>
    <w:p w14:paraId="0B733367" w14:textId="77777777" w:rsidR="00DB1B6E" w:rsidRDefault="00DB1B6E" w:rsidP="00DB1B6E">
      <w:pPr>
        <w:rPr>
          <w:b/>
        </w:rPr>
      </w:pPr>
    </w:p>
    <w:p w14:paraId="1458EAB0" w14:textId="22936415" w:rsidR="00DB1B6E" w:rsidRDefault="00DB1B6E" w:rsidP="00DB1B6E">
      <w:pPr>
        <w:rPr>
          <w:b/>
        </w:rPr>
      </w:pPr>
      <w:r w:rsidRPr="00455767">
        <w:rPr>
          <w:b/>
        </w:rPr>
        <w:t>Section</w:t>
      </w:r>
      <w:r>
        <w:rPr>
          <w:b/>
        </w:rPr>
        <w:t xml:space="preserve"> </w:t>
      </w:r>
      <w:r w:rsidRPr="00455767">
        <w:rPr>
          <w:b/>
        </w:rPr>
        <w:t>151</w:t>
      </w:r>
      <w:r>
        <w:rPr>
          <w:b/>
        </w:rPr>
        <w:t xml:space="preserve"> </w:t>
      </w:r>
      <w:r w:rsidRPr="00455767">
        <w:rPr>
          <w:b/>
        </w:rPr>
        <w:t>Duty</w:t>
      </w:r>
      <w:r>
        <w:rPr>
          <w:b/>
        </w:rPr>
        <w:t xml:space="preserve"> </w:t>
      </w:r>
      <w:r w:rsidRPr="00455767">
        <w:rPr>
          <w:b/>
        </w:rPr>
        <w:t>to</w:t>
      </w:r>
      <w:r>
        <w:rPr>
          <w:b/>
        </w:rPr>
        <w:t xml:space="preserve"> p</w:t>
      </w:r>
      <w:r w:rsidRPr="00455767">
        <w:rPr>
          <w:b/>
        </w:rPr>
        <w:t>rovide</w:t>
      </w:r>
      <w:r>
        <w:rPr>
          <w:b/>
        </w:rPr>
        <w:t xml:space="preserve"> n</w:t>
      </w:r>
      <w:r w:rsidRPr="00455767">
        <w:rPr>
          <w:b/>
        </w:rPr>
        <w:t>ecessities</w:t>
      </w:r>
      <w:r>
        <w:rPr>
          <w:b/>
        </w:rPr>
        <w:t xml:space="preserve"> </w:t>
      </w:r>
      <w:r w:rsidRPr="00455767">
        <w:rPr>
          <w:b/>
        </w:rPr>
        <w:t>and</w:t>
      </w:r>
      <w:r>
        <w:rPr>
          <w:b/>
        </w:rPr>
        <w:t xml:space="preserve"> </w:t>
      </w:r>
      <w:r w:rsidRPr="00455767">
        <w:rPr>
          <w:b/>
        </w:rPr>
        <w:t>protect</w:t>
      </w:r>
      <w:r>
        <w:rPr>
          <w:b/>
        </w:rPr>
        <w:t xml:space="preserve"> </w:t>
      </w:r>
      <w:r w:rsidRPr="00455767">
        <w:rPr>
          <w:b/>
        </w:rPr>
        <w:t>from</w:t>
      </w:r>
      <w:r>
        <w:rPr>
          <w:b/>
        </w:rPr>
        <w:t xml:space="preserve"> </w:t>
      </w:r>
      <w:r w:rsidRPr="00455767">
        <w:rPr>
          <w:b/>
        </w:rPr>
        <w:t>injury</w:t>
      </w:r>
    </w:p>
    <w:p w14:paraId="3628A9BD" w14:textId="77777777" w:rsidR="00DB1B6E" w:rsidRDefault="00DB1B6E" w:rsidP="00DB1B6E"/>
    <w:p w14:paraId="32300F32" w14:textId="10F5862A" w:rsidR="00DB1B6E" w:rsidRPr="00455767" w:rsidRDefault="00DB1B6E" w:rsidP="00DB1B6E">
      <w:r w:rsidRPr="00455767">
        <w:t>Every</w:t>
      </w:r>
      <w:r>
        <w:t xml:space="preserve">one </w:t>
      </w:r>
      <w:r w:rsidRPr="00455767">
        <w:t>who</w:t>
      </w:r>
      <w:r>
        <w:t xml:space="preserve"> </w:t>
      </w:r>
      <w:r w:rsidRPr="00455767">
        <w:t>has</w:t>
      </w:r>
      <w:r>
        <w:t xml:space="preserve"> </w:t>
      </w:r>
      <w:r w:rsidRPr="00455767">
        <w:t>actual</w:t>
      </w:r>
      <w:r>
        <w:t xml:space="preserve"> </w:t>
      </w:r>
      <w:r w:rsidRPr="00455767">
        <w:t>care</w:t>
      </w:r>
      <w:r>
        <w:t xml:space="preserve"> </w:t>
      </w:r>
      <w:r w:rsidRPr="00455767">
        <w:t>or</w:t>
      </w:r>
      <w:r>
        <w:t xml:space="preserve"> </w:t>
      </w:r>
      <w:r w:rsidRPr="00455767">
        <w:t>charge</w:t>
      </w:r>
      <w:r>
        <w:t xml:space="preserve"> </w:t>
      </w:r>
      <w:r w:rsidRPr="00455767">
        <w:t>of</w:t>
      </w:r>
      <w:r>
        <w:t xml:space="preserve"> </w:t>
      </w:r>
      <w:r w:rsidRPr="00455767">
        <w:t>a</w:t>
      </w:r>
      <w:r>
        <w:t xml:space="preserve"> </w:t>
      </w:r>
      <w:r w:rsidRPr="00455767">
        <w:t>person</w:t>
      </w:r>
      <w:r>
        <w:t xml:space="preserve"> </w:t>
      </w:r>
      <w:r w:rsidRPr="00455767">
        <w:t>who</w:t>
      </w:r>
      <w:r>
        <w:t xml:space="preserve"> </w:t>
      </w:r>
      <w:r w:rsidRPr="00455767">
        <w:t>is</w:t>
      </w:r>
      <w:r>
        <w:t xml:space="preserve"> </w:t>
      </w:r>
      <w:r w:rsidRPr="00455767">
        <w:t>a</w:t>
      </w:r>
      <w:r>
        <w:t xml:space="preserve"> </w:t>
      </w:r>
      <w:r w:rsidRPr="00455767">
        <w:t>vulnerable</w:t>
      </w:r>
      <w:r>
        <w:t xml:space="preserve"> </w:t>
      </w:r>
      <w:r w:rsidRPr="00455767">
        <w:t>adult</w:t>
      </w:r>
      <w:r>
        <w:t xml:space="preserve"> </w:t>
      </w:r>
      <w:r w:rsidRPr="00455767">
        <w:t>and</w:t>
      </w:r>
      <w:r>
        <w:t xml:space="preserve"> </w:t>
      </w:r>
      <w:r w:rsidRPr="00455767">
        <w:t>who</w:t>
      </w:r>
      <w:r>
        <w:t xml:space="preserve"> </w:t>
      </w:r>
      <w:r w:rsidRPr="00455767">
        <w:t>is</w:t>
      </w:r>
      <w:r>
        <w:t xml:space="preserve"> </w:t>
      </w:r>
      <w:r w:rsidRPr="00455767">
        <w:t>unable</w:t>
      </w:r>
      <w:r>
        <w:t xml:space="preserve"> </w:t>
      </w:r>
      <w:r w:rsidRPr="00455767">
        <w:t>to</w:t>
      </w:r>
      <w:r>
        <w:t xml:space="preserve"> </w:t>
      </w:r>
      <w:r w:rsidRPr="00455767">
        <w:t>provide</w:t>
      </w:r>
      <w:r>
        <w:t xml:space="preserve"> </w:t>
      </w:r>
      <w:r w:rsidRPr="00455767">
        <w:t>himself</w:t>
      </w:r>
      <w:r>
        <w:t xml:space="preserve"> </w:t>
      </w:r>
      <w:r w:rsidRPr="00455767">
        <w:t>or</w:t>
      </w:r>
      <w:r>
        <w:t xml:space="preserve"> </w:t>
      </w:r>
      <w:r w:rsidRPr="00455767">
        <w:t>herself</w:t>
      </w:r>
      <w:r>
        <w:t xml:space="preserve"> </w:t>
      </w:r>
      <w:r w:rsidRPr="00455767">
        <w:t>with</w:t>
      </w:r>
      <w:r>
        <w:t xml:space="preserve"> </w:t>
      </w:r>
      <w:r w:rsidRPr="00455767">
        <w:t>necessaries</w:t>
      </w:r>
      <w:r>
        <w:t xml:space="preserve"> </w:t>
      </w:r>
      <w:r w:rsidRPr="00455767">
        <w:t>is</w:t>
      </w:r>
      <w:r>
        <w:t xml:space="preserve"> </w:t>
      </w:r>
      <w:r w:rsidRPr="00455767">
        <w:t>under</w:t>
      </w:r>
      <w:r>
        <w:t xml:space="preserve"> </w:t>
      </w:r>
      <w:r w:rsidRPr="00455767">
        <w:t>a</w:t>
      </w:r>
      <w:r>
        <w:t xml:space="preserve"> </w:t>
      </w:r>
      <w:r w:rsidRPr="00455767">
        <w:t>legal</w:t>
      </w:r>
      <w:r>
        <w:t xml:space="preserve"> </w:t>
      </w:r>
      <w:r w:rsidRPr="00455767">
        <w:t>duty—</w:t>
      </w:r>
    </w:p>
    <w:p w14:paraId="78C3BFE9" w14:textId="77777777" w:rsidR="00DB1B6E" w:rsidRPr="0084523C" w:rsidRDefault="00DB1B6E" w:rsidP="002C663E">
      <w:pPr>
        <w:pStyle w:val="Heading5"/>
        <w:numPr>
          <w:ilvl w:val="1"/>
          <w:numId w:val="26"/>
        </w:numPr>
        <w:shd w:val="clear" w:color="auto" w:fill="FFFFFF"/>
        <w:spacing w:line="276" w:lineRule="auto"/>
        <w:ind w:left="567" w:hanging="283"/>
        <w:jc w:val="both"/>
        <w:textAlignment w:val="baseline"/>
        <w:rPr>
          <w:rFonts w:cs="Segoe UI"/>
          <w:color w:val="000000"/>
          <w:sz w:val="21"/>
          <w:szCs w:val="21"/>
        </w:rPr>
      </w:pPr>
      <w:r w:rsidRPr="0084523C">
        <w:rPr>
          <w:rFonts w:cs="Segoe UI"/>
          <w:color w:val="000000"/>
          <w:sz w:val="21"/>
          <w:szCs w:val="21"/>
        </w:rPr>
        <w:t>to provide that person with necessaries; and</w:t>
      </w:r>
    </w:p>
    <w:p w14:paraId="08A64A2E" w14:textId="77777777" w:rsidR="00DB1B6E" w:rsidRPr="0084523C" w:rsidRDefault="00DB1B6E" w:rsidP="002C663E">
      <w:pPr>
        <w:pStyle w:val="Heading5"/>
        <w:numPr>
          <w:ilvl w:val="1"/>
          <w:numId w:val="26"/>
        </w:numPr>
        <w:shd w:val="clear" w:color="auto" w:fill="FFFFFF"/>
        <w:spacing w:after="240" w:line="276" w:lineRule="auto"/>
        <w:ind w:left="567" w:hanging="283"/>
        <w:jc w:val="both"/>
        <w:textAlignment w:val="baseline"/>
        <w:rPr>
          <w:rFonts w:cs="Segoe UI"/>
          <w:color w:val="000000"/>
          <w:sz w:val="21"/>
          <w:szCs w:val="21"/>
        </w:rPr>
      </w:pPr>
      <w:r w:rsidRPr="0084523C">
        <w:rPr>
          <w:rFonts w:cs="Segoe UI"/>
          <w:color w:val="000000"/>
          <w:sz w:val="21"/>
          <w:szCs w:val="21"/>
        </w:rPr>
        <w:t>to take reasonable steps to protect that person from injury.</w:t>
      </w:r>
    </w:p>
    <w:p w14:paraId="6E7875FD" w14:textId="77777777" w:rsidR="00DB1B6E" w:rsidRDefault="00DB1B6E" w:rsidP="00DB1B6E">
      <w:pPr>
        <w:spacing w:line="276" w:lineRule="auto"/>
        <w:rPr>
          <w:rFonts w:cs="Segoe UI"/>
          <w:b/>
        </w:rPr>
      </w:pPr>
      <w:r w:rsidRPr="00455767">
        <w:rPr>
          <w:rFonts w:cs="Segoe UI"/>
          <w:b/>
        </w:rPr>
        <w:t>Section</w:t>
      </w:r>
      <w:r>
        <w:rPr>
          <w:rFonts w:cs="Segoe UI"/>
          <w:b/>
        </w:rPr>
        <w:t xml:space="preserve"> </w:t>
      </w:r>
      <w:r w:rsidRPr="00455767">
        <w:rPr>
          <w:rFonts w:cs="Segoe UI"/>
          <w:b/>
        </w:rPr>
        <w:t>157</w:t>
      </w:r>
      <w:r>
        <w:rPr>
          <w:rFonts w:cs="Segoe UI"/>
          <w:b/>
        </w:rPr>
        <w:t xml:space="preserve"> </w:t>
      </w:r>
      <w:r w:rsidRPr="00455767">
        <w:rPr>
          <w:rFonts w:cs="Segoe UI"/>
          <w:b/>
        </w:rPr>
        <w:t>Duty</w:t>
      </w:r>
      <w:r>
        <w:rPr>
          <w:rFonts w:cs="Segoe UI"/>
          <w:b/>
        </w:rPr>
        <w:t xml:space="preserve"> </w:t>
      </w:r>
      <w:r w:rsidRPr="00455767">
        <w:rPr>
          <w:rFonts w:cs="Segoe UI"/>
          <w:b/>
        </w:rPr>
        <w:t>to</w:t>
      </w:r>
      <w:r>
        <w:rPr>
          <w:rFonts w:cs="Segoe UI"/>
          <w:b/>
        </w:rPr>
        <w:t xml:space="preserve"> a</w:t>
      </w:r>
      <w:r w:rsidRPr="00455767">
        <w:rPr>
          <w:rFonts w:cs="Segoe UI"/>
          <w:b/>
        </w:rPr>
        <w:t>void</w:t>
      </w:r>
      <w:r>
        <w:rPr>
          <w:rFonts w:cs="Segoe UI"/>
          <w:b/>
        </w:rPr>
        <w:t xml:space="preserve"> o</w:t>
      </w:r>
      <w:r w:rsidRPr="00455767">
        <w:rPr>
          <w:rFonts w:cs="Segoe UI"/>
          <w:b/>
        </w:rPr>
        <w:t>missions</w:t>
      </w:r>
      <w:r>
        <w:rPr>
          <w:rFonts w:cs="Segoe UI"/>
          <w:b/>
        </w:rPr>
        <w:t xml:space="preserve"> d</w:t>
      </w:r>
      <w:r w:rsidRPr="00455767">
        <w:rPr>
          <w:rFonts w:cs="Segoe UI"/>
          <w:b/>
        </w:rPr>
        <w:t>angerous</w:t>
      </w:r>
      <w:r>
        <w:rPr>
          <w:rFonts w:cs="Segoe UI"/>
          <w:b/>
        </w:rPr>
        <w:t xml:space="preserve"> </w:t>
      </w:r>
      <w:r w:rsidRPr="00455767">
        <w:rPr>
          <w:rFonts w:cs="Segoe UI"/>
          <w:b/>
        </w:rPr>
        <w:t>to</w:t>
      </w:r>
      <w:r>
        <w:rPr>
          <w:rFonts w:cs="Segoe UI"/>
          <w:b/>
        </w:rPr>
        <w:t xml:space="preserve"> l</w:t>
      </w:r>
      <w:r w:rsidRPr="00455767">
        <w:rPr>
          <w:rFonts w:cs="Segoe UI"/>
          <w:b/>
        </w:rPr>
        <w:t>ife</w:t>
      </w:r>
      <w:r>
        <w:rPr>
          <w:rFonts w:cs="Segoe UI"/>
          <w:b/>
        </w:rPr>
        <w:t xml:space="preserve"> </w:t>
      </w:r>
    </w:p>
    <w:p w14:paraId="20001127" w14:textId="77777777" w:rsidR="00DB1B6E" w:rsidRDefault="00DB1B6E" w:rsidP="00DB1B6E"/>
    <w:p w14:paraId="1E535C5B" w14:textId="659F0141" w:rsidR="00DB1B6E" w:rsidRPr="00455767" w:rsidRDefault="00DB1B6E" w:rsidP="00DB1B6E">
      <w:r w:rsidRPr="00455767">
        <w:t>Everyone</w:t>
      </w:r>
      <w:r>
        <w:t xml:space="preserve"> </w:t>
      </w:r>
      <w:r w:rsidRPr="00455767">
        <w:t>who</w:t>
      </w:r>
      <w:r>
        <w:t xml:space="preserve"> </w:t>
      </w:r>
      <w:r w:rsidRPr="00455767">
        <w:t>undertakes</w:t>
      </w:r>
      <w:r>
        <w:t xml:space="preserve"> </w:t>
      </w:r>
      <w:r w:rsidRPr="00455767">
        <w:t>to</w:t>
      </w:r>
      <w:r>
        <w:t xml:space="preserve"> </w:t>
      </w:r>
      <w:r w:rsidRPr="00455767">
        <w:t>do</w:t>
      </w:r>
      <w:r>
        <w:t xml:space="preserve"> </w:t>
      </w:r>
      <w:r w:rsidRPr="00455767">
        <w:t>any</w:t>
      </w:r>
      <w:r>
        <w:t xml:space="preserve"> </w:t>
      </w:r>
      <w:r w:rsidRPr="00455767">
        <w:t>act</w:t>
      </w:r>
      <w:r>
        <w:t xml:space="preserve"> </w:t>
      </w:r>
      <w:r w:rsidRPr="00455767">
        <w:t>the</w:t>
      </w:r>
      <w:r>
        <w:t xml:space="preserve"> </w:t>
      </w:r>
      <w:r w:rsidRPr="00455767">
        <w:t>omission</w:t>
      </w:r>
      <w:r>
        <w:t xml:space="preserve"> to do </w:t>
      </w:r>
      <w:r w:rsidRPr="00455767">
        <w:t>which</w:t>
      </w:r>
      <w:r>
        <w:t xml:space="preserve"> </w:t>
      </w:r>
      <w:r w:rsidRPr="00455767">
        <w:t>is</w:t>
      </w:r>
      <w:r>
        <w:t xml:space="preserve"> </w:t>
      </w:r>
      <w:r w:rsidRPr="00455767">
        <w:t>or</w:t>
      </w:r>
      <w:r>
        <w:t xml:space="preserve"> </w:t>
      </w:r>
      <w:r w:rsidRPr="00455767">
        <w:t>may</w:t>
      </w:r>
      <w:r>
        <w:t xml:space="preserve"> </w:t>
      </w:r>
      <w:r w:rsidRPr="00455767">
        <w:t>be</w:t>
      </w:r>
      <w:r>
        <w:t xml:space="preserve"> </w:t>
      </w:r>
      <w:r w:rsidRPr="00455767">
        <w:t>dangerous</w:t>
      </w:r>
      <w:r>
        <w:t xml:space="preserve"> </w:t>
      </w:r>
      <w:r w:rsidRPr="00455767">
        <w:t>to</w:t>
      </w:r>
      <w:r>
        <w:t xml:space="preserve"> </w:t>
      </w:r>
      <w:r w:rsidRPr="00455767">
        <w:t>life</w:t>
      </w:r>
      <w:r>
        <w:t xml:space="preserve"> </w:t>
      </w:r>
      <w:r w:rsidRPr="00455767">
        <w:t>is</w:t>
      </w:r>
      <w:r>
        <w:t xml:space="preserve"> </w:t>
      </w:r>
      <w:r w:rsidRPr="00455767">
        <w:t>under</w:t>
      </w:r>
      <w:r>
        <w:t xml:space="preserve"> </w:t>
      </w:r>
      <w:r w:rsidRPr="00455767">
        <w:t>a</w:t>
      </w:r>
      <w:r>
        <w:t xml:space="preserve"> </w:t>
      </w:r>
      <w:r w:rsidRPr="00455767">
        <w:t>legal</w:t>
      </w:r>
      <w:r>
        <w:t xml:space="preserve"> </w:t>
      </w:r>
      <w:r w:rsidRPr="00455767">
        <w:t>duty</w:t>
      </w:r>
      <w:r>
        <w:t xml:space="preserve"> </w:t>
      </w:r>
      <w:r w:rsidRPr="00455767">
        <w:t>to</w:t>
      </w:r>
      <w:r>
        <w:t xml:space="preserve"> </w:t>
      </w:r>
      <w:r w:rsidRPr="00455767">
        <w:t>do</w:t>
      </w:r>
      <w:r>
        <w:t xml:space="preserve"> </w:t>
      </w:r>
      <w:r w:rsidRPr="00455767">
        <w:t>that</w:t>
      </w:r>
      <w:r>
        <w:t xml:space="preserve"> </w:t>
      </w:r>
      <w:r w:rsidRPr="00455767">
        <w:t>act.</w:t>
      </w:r>
    </w:p>
    <w:p w14:paraId="7F0AC2D5" w14:textId="77777777" w:rsidR="00DB1B6E" w:rsidRDefault="00DB1B6E" w:rsidP="00DB1B6E">
      <w:pPr>
        <w:spacing w:line="276" w:lineRule="auto"/>
      </w:pPr>
      <w:r>
        <w:br w:type="page"/>
      </w:r>
    </w:p>
    <w:p w14:paraId="5AE152EC" w14:textId="77777777" w:rsidR="00DB1B6E" w:rsidRPr="00A45DF0" w:rsidRDefault="00DB1B6E" w:rsidP="00DB1B6E">
      <w:pPr>
        <w:pStyle w:val="Heading1-nonumbering"/>
        <w:rPr>
          <w:sz w:val="64"/>
          <w:szCs w:val="64"/>
        </w:rPr>
      </w:pPr>
      <w:bookmarkStart w:id="657" w:name="_Toc103152191"/>
      <w:bookmarkStart w:id="658" w:name="_Toc105770688"/>
      <w:bookmarkStart w:id="659" w:name="_Toc131663873"/>
      <w:bookmarkStart w:id="660" w:name="_Toc132355357"/>
      <w:r w:rsidRPr="00A45DF0">
        <w:rPr>
          <w:sz w:val="64"/>
          <w:szCs w:val="64"/>
        </w:rPr>
        <w:lastRenderedPageBreak/>
        <w:t>Appendix B: Recommended guidelines and other documents</w:t>
      </w:r>
      <w:bookmarkEnd w:id="657"/>
      <w:bookmarkEnd w:id="658"/>
      <w:bookmarkEnd w:id="659"/>
      <w:bookmarkEnd w:id="660"/>
    </w:p>
    <w:p w14:paraId="11371728" w14:textId="6FE9F8D3" w:rsidR="00DB1B6E" w:rsidRDefault="00DB1B6E" w:rsidP="00DB1B6E">
      <w:r w:rsidRPr="000C34EE">
        <w:t xml:space="preserve">Government Inquiry into Mental Health and Addiction. 2018. </w:t>
      </w:r>
      <w:r w:rsidRPr="000F564C">
        <w:rPr>
          <w:i/>
          <w:iCs/>
        </w:rPr>
        <w:t>He Ara Oranga: Report of the Government Inquiry into Mental Health and Addiction</w:t>
      </w:r>
      <w:r w:rsidRPr="000C34EE">
        <w:t xml:space="preserve">. Wellington: Government Inquiry into Mental Health and Addiction. </w:t>
      </w:r>
    </w:p>
    <w:p w14:paraId="7DFBB4D4" w14:textId="77777777" w:rsidR="00DB1B6E" w:rsidRPr="000C34EE" w:rsidRDefault="00DB1B6E" w:rsidP="00DB1B6E"/>
    <w:p w14:paraId="098010D5" w14:textId="3C5524B9" w:rsidR="00DB1B6E" w:rsidRDefault="00DB1B6E" w:rsidP="00DB1B6E">
      <w:r w:rsidRPr="000C34EE">
        <w:t xml:space="preserve">Huriwai T, Baker M. 2016. </w:t>
      </w:r>
      <w:r w:rsidRPr="000F564C">
        <w:rPr>
          <w:i/>
          <w:iCs/>
        </w:rPr>
        <w:t>Manaaki: Mana enhancing and mana protecting practice</w:t>
      </w:r>
      <w:r w:rsidRPr="000C34EE">
        <w:t xml:space="preserve">. Wellington: Te Rau Matatini. </w:t>
      </w:r>
    </w:p>
    <w:p w14:paraId="296EA2DA" w14:textId="77777777" w:rsidR="00DB1B6E" w:rsidRPr="000C34EE" w:rsidRDefault="00DB1B6E" w:rsidP="00DB1B6E"/>
    <w:p w14:paraId="111270CE" w14:textId="146A5047" w:rsidR="00DB1B6E" w:rsidRDefault="00DB1B6E" w:rsidP="00DB1B6E">
      <w:r w:rsidRPr="000C34EE">
        <w:t xml:space="preserve">Māori Advisory Group. 2020. </w:t>
      </w:r>
      <w:r w:rsidRPr="000F564C">
        <w:rPr>
          <w:i/>
          <w:iCs/>
        </w:rPr>
        <w:t xml:space="preserve">Mental </w:t>
      </w:r>
      <w:r>
        <w:rPr>
          <w:i/>
          <w:iCs/>
        </w:rPr>
        <w:t>H</w:t>
      </w:r>
      <w:r w:rsidRPr="000F564C">
        <w:rPr>
          <w:i/>
          <w:iCs/>
        </w:rPr>
        <w:t xml:space="preserve">ealth and </w:t>
      </w:r>
      <w:r>
        <w:rPr>
          <w:i/>
          <w:iCs/>
        </w:rPr>
        <w:t>A</w:t>
      </w:r>
      <w:r w:rsidRPr="000F564C">
        <w:rPr>
          <w:i/>
          <w:iCs/>
        </w:rPr>
        <w:t xml:space="preserve">ddiction </w:t>
      </w:r>
      <w:r>
        <w:rPr>
          <w:i/>
          <w:iCs/>
        </w:rPr>
        <w:t>Q</w:t>
      </w:r>
      <w:r w:rsidRPr="000F564C">
        <w:rPr>
          <w:i/>
          <w:iCs/>
        </w:rPr>
        <w:t xml:space="preserve">uality </w:t>
      </w:r>
      <w:r>
        <w:rPr>
          <w:i/>
          <w:iCs/>
        </w:rPr>
        <w:t>I</w:t>
      </w:r>
      <w:r w:rsidRPr="000F564C">
        <w:rPr>
          <w:i/>
          <w:iCs/>
        </w:rPr>
        <w:t xml:space="preserve">mprovement </w:t>
      </w:r>
      <w:r>
        <w:rPr>
          <w:i/>
          <w:iCs/>
        </w:rPr>
        <w:t>P</w:t>
      </w:r>
      <w:r w:rsidRPr="000F564C">
        <w:rPr>
          <w:i/>
          <w:iCs/>
        </w:rPr>
        <w:t xml:space="preserve">rogramme: </w:t>
      </w:r>
      <w:r>
        <w:rPr>
          <w:i/>
          <w:iCs/>
        </w:rPr>
        <w:t>T</w:t>
      </w:r>
      <w:r w:rsidRPr="000F564C">
        <w:rPr>
          <w:i/>
          <w:iCs/>
        </w:rPr>
        <w:t>ools and resources provided by the group as at 2018</w:t>
      </w:r>
      <w:r w:rsidRPr="000C34EE">
        <w:t xml:space="preserve">. Wellington: Health Quality &amp; Safety Commission. </w:t>
      </w:r>
    </w:p>
    <w:p w14:paraId="4D96676B" w14:textId="77777777" w:rsidR="00DB1B6E" w:rsidRPr="000C34EE" w:rsidRDefault="00DB1B6E" w:rsidP="00DB1B6E"/>
    <w:p w14:paraId="0B7E55DF" w14:textId="1E0A537B" w:rsidR="00DB1B6E" w:rsidRDefault="00DB1B6E" w:rsidP="00DB1B6E">
      <w:r w:rsidRPr="000C34EE">
        <w:t xml:space="preserve">Ministry of Health. 2020. </w:t>
      </w:r>
      <w:r w:rsidRPr="000F564C">
        <w:rPr>
          <w:i/>
          <w:iCs/>
        </w:rPr>
        <w:t>Human Rights and the Mental Health (Compulsory Assessment and Treatment) Act 1992</w:t>
      </w:r>
      <w:r w:rsidRPr="000C34EE">
        <w:t xml:space="preserve">. Wellington. Ministry of Health. </w:t>
      </w:r>
    </w:p>
    <w:p w14:paraId="0D3166D6" w14:textId="77777777" w:rsidR="00DB1B6E" w:rsidRPr="000C34EE" w:rsidRDefault="00DB1B6E" w:rsidP="00DB1B6E"/>
    <w:p w14:paraId="08B106FC" w14:textId="3B42C85B" w:rsidR="00DB1B6E" w:rsidRDefault="00DB1B6E" w:rsidP="00DB1B6E">
      <w:r w:rsidRPr="000C34EE">
        <w:t>Ministry of Health. 202</w:t>
      </w:r>
      <w:r>
        <w:t>2</w:t>
      </w:r>
      <w:r w:rsidRPr="000C34EE">
        <w:t xml:space="preserve">. </w:t>
      </w:r>
      <w:r w:rsidRPr="000F564C">
        <w:rPr>
          <w:i/>
          <w:iCs/>
        </w:rPr>
        <w:t>Guidelines to the Mental Health (Compulsory Assessment and Treatment) Act 1992</w:t>
      </w:r>
      <w:r w:rsidRPr="000C34EE">
        <w:t xml:space="preserve">. Wellington. Ministry of Health. </w:t>
      </w:r>
    </w:p>
    <w:p w14:paraId="0C0D0FC5" w14:textId="77777777" w:rsidR="00DB1B6E" w:rsidRPr="000C34EE" w:rsidRDefault="00DB1B6E" w:rsidP="00DB1B6E"/>
    <w:p w14:paraId="0A65A327" w14:textId="6C22C1B2" w:rsidR="00DB1B6E" w:rsidRDefault="00DB1B6E" w:rsidP="00DB1B6E">
      <w:r w:rsidRPr="000C34EE">
        <w:t xml:space="preserve">Shalev S. 2017. </w:t>
      </w:r>
      <w:r w:rsidRPr="000F564C">
        <w:rPr>
          <w:i/>
          <w:iCs/>
        </w:rPr>
        <w:t>Thinking outside the Box? A Review of Seclusion and Restraint Practices in New Zealand</w:t>
      </w:r>
      <w:r>
        <w:t>. Wellington:</w:t>
      </w:r>
      <w:r w:rsidRPr="000C34EE">
        <w:t xml:space="preserve"> Human Rights Commission. </w:t>
      </w:r>
    </w:p>
    <w:p w14:paraId="0C6DAE4C" w14:textId="77777777" w:rsidR="00DB1B6E" w:rsidRPr="000C34EE" w:rsidRDefault="00DB1B6E" w:rsidP="00DB1B6E"/>
    <w:p w14:paraId="7830CC15" w14:textId="77777777" w:rsidR="00DB1B6E" w:rsidRPr="000C34EE" w:rsidRDefault="00DB1B6E" w:rsidP="00DB1B6E">
      <w:pPr>
        <w:rPr>
          <w:i/>
        </w:rPr>
      </w:pPr>
      <w:r w:rsidRPr="000C34EE">
        <w:t xml:space="preserve">Shalev S. 2020. </w:t>
      </w:r>
      <w:r w:rsidRPr="000F564C">
        <w:rPr>
          <w:i/>
          <w:iCs/>
        </w:rPr>
        <w:t>Time for a Paradigm Shift</w:t>
      </w:r>
      <w:r>
        <w:rPr>
          <w:i/>
          <w:iCs/>
        </w:rPr>
        <w:t>:</w:t>
      </w:r>
      <w:r w:rsidRPr="000F564C">
        <w:rPr>
          <w:i/>
          <w:iCs/>
        </w:rPr>
        <w:t xml:space="preserve"> A Follow Up Review of Seclusion and Restraint Practices in New Zealand</w:t>
      </w:r>
      <w:r w:rsidRPr="000C34EE">
        <w:t xml:space="preserve">. </w:t>
      </w:r>
      <w:r>
        <w:t xml:space="preserve">Wellington: </w:t>
      </w:r>
      <w:r w:rsidRPr="000C34EE">
        <w:t xml:space="preserve">Human Rights Commission. </w:t>
      </w:r>
    </w:p>
    <w:p w14:paraId="1BAAF164" w14:textId="77777777" w:rsidR="001A719A" w:rsidRPr="001A719A" w:rsidRDefault="001A719A" w:rsidP="00B0292E">
      <w:pPr>
        <w:rPr>
          <w:rFonts w:eastAsiaTheme="majorEastAsia"/>
        </w:rPr>
      </w:pPr>
    </w:p>
    <w:p w14:paraId="7E87757B" w14:textId="77777777" w:rsidR="00C5711F" w:rsidRPr="00C5711F" w:rsidRDefault="00C5711F" w:rsidP="00C5711F">
      <w:bookmarkStart w:id="661" w:name="_Toc61960267"/>
      <w:bookmarkStart w:id="662" w:name="_Toc63240798"/>
      <w:bookmarkEnd w:id="14"/>
      <w:bookmarkEnd w:id="15"/>
      <w:bookmarkEnd w:id="16"/>
      <w:bookmarkEnd w:id="661"/>
      <w:bookmarkEnd w:id="662"/>
    </w:p>
    <w:sectPr w:rsidR="00C5711F" w:rsidRPr="00C5711F" w:rsidSect="00A45DF0">
      <w:pgSz w:w="11906" w:h="16838"/>
      <w:pgMar w:top="1418" w:right="1558" w:bottom="1134" w:left="1843" w:header="709" w:footer="454"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D5A7" w14:textId="77777777" w:rsidR="00306FED" w:rsidRDefault="00306FED">
      <w:r>
        <w:separator/>
      </w:r>
    </w:p>
    <w:p w14:paraId="29F63AC4" w14:textId="77777777" w:rsidR="00306FED" w:rsidRDefault="00306FED"/>
  </w:endnote>
  <w:endnote w:type="continuationSeparator" w:id="0">
    <w:p w14:paraId="3BC7BBC9" w14:textId="77777777" w:rsidR="00306FED" w:rsidRDefault="00306FED">
      <w:r>
        <w:continuationSeparator/>
      </w:r>
    </w:p>
    <w:p w14:paraId="787BE0E3" w14:textId="77777777" w:rsidR="00306FED" w:rsidRDefault="00306FED"/>
  </w:endnote>
  <w:endnote w:type="continuationNotice" w:id="1">
    <w:p w14:paraId="22DA8CDB" w14:textId="77777777" w:rsidR="00306FED" w:rsidRDefault="00306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isMacron Regular">
    <w:altName w:val="Calibri"/>
    <w:panose1 w:val="00000000000000000000"/>
    <w:charset w:val="00"/>
    <w:family w:val="swiss"/>
    <w:notTrueType/>
    <w:pitch w:val="default"/>
    <w:sig w:usb0="00000003" w:usb1="00000000" w:usb2="00000000" w:usb3="00000000" w:csb0="00000001" w:csb1="00000000"/>
  </w:font>
  <w:font w:name="Quattrocento Sans">
    <w:altName w:val="Quattrocento Sans"/>
    <w:charset w:val="00"/>
    <w:family w:val="swiss"/>
    <w:pitch w:val="variable"/>
    <w:sig w:usb0="800000BF" w:usb1="4000005B" w:usb2="00000000" w:usb3="00000000" w:csb0="00000001" w:csb1="00000000"/>
  </w:font>
  <w:font w:name="Lato-Regular">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1372CE5" w14:paraId="147CE3C8" w14:textId="77777777" w:rsidTr="51372CE5">
      <w:trPr>
        <w:trHeight w:val="300"/>
      </w:trPr>
      <w:tc>
        <w:tcPr>
          <w:tcW w:w="3210" w:type="dxa"/>
        </w:tcPr>
        <w:p w14:paraId="5A4A03FA" w14:textId="1DA5DEA7" w:rsidR="51372CE5" w:rsidRDefault="51372CE5" w:rsidP="51372CE5">
          <w:pPr>
            <w:pStyle w:val="Header"/>
            <w:ind w:left="-115"/>
          </w:pPr>
        </w:p>
      </w:tc>
      <w:tc>
        <w:tcPr>
          <w:tcW w:w="3210" w:type="dxa"/>
        </w:tcPr>
        <w:p w14:paraId="58D5B16E" w14:textId="75287FBF" w:rsidR="51372CE5" w:rsidRDefault="51372CE5" w:rsidP="51372CE5">
          <w:pPr>
            <w:pStyle w:val="Header"/>
            <w:jc w:val="center"/>
          </w:pPr>
        </w:p>
      </w:tc>
      <w:tc>
        <w:tcPr>
          <w:tcW w:w="3210" w:type="dxa"/>
        </w:tcPr>
        <w:p w14:paraId="1DC69B4B" w14:textId="178E7090" w:rsidR="51372CE5" w:rsidRDefault="51372CE5" w:rsidP="51372CE5">
          <w:pPr>
            <w:pStyle w:val="Header"/>
            <w:ind w:right="-115"/>
            <w:jc w:val="right"/>
          </w:pPr>
        </w:p>
      </w:tc>
    </w:tr>
  </w:tbl>
  <w:p w14:paraId="6D442A71" w14:textId="01A9B15E" w:rsidR="51372CE5" w:rsidRDefault="51372CE5" w:rsidP="51372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BF" w14:textId="25EC4E47" w:rsidR="00A26CD1" w:rsidRPr="00581136" w:rsidRDefault="00A26CD1" w:rsidP="005A79E5">
    <w:pPr>
      <w:pStyle w:val="Footer"/>
      <w:pBdr>
        <w:bottom w:val="single" w:sz="4" w:space="1" w:color="auto"/>
      </w:pBdr>
      <w:tabs>
        <w:tab w:val="right" w:pos="9639"/>
      </w:tabs>
      <w:rPr>
        <w:b/>
      </w:rPr>
    </w:pPr>
    <w:r w:rsidRPr="00581136">
      <w:rPr>
        <w:b/>
      </w:rPr>
      <w:t xml:space="preserve">Released </w:t>
    </w:r>
    <w:r>
      <w:rPr>
        <w:b/>
      </w:rPr>
      <w:t>2023</w:t>
    </w:r>
    <w:r w:rsidRPr="00581136">
      <w:rPr>
        <w:b/>
      </w:rPr>
      <w:tab/>
      <w:t>health.govt.nz</w:t>
    </w:r>
  </w:p>
  <w:p w14:paraId="7E878EC0" w14:textId="77777777" w:rsidR="00A26CD1" w:rsidRPr="005A79E5" w:rsidRDefault="00A26CD1">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1" w14:textId="77777777" w:rsidR="00A26CD1" w:rsidRDefault="00A26CD1" w:rsidP="004D6689">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2" w14:textId="77777777" w:rsidR="00A26CD1" w:rsidRDefault="00A26C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A26CD1" w14:paraId="7E878EC7" w14:textId="77777777" w:rsidTr="00D662F8">
      <w:trPr>
        <w:cantSplit/>
      </w:trPr>
      <w:tc>
        <w:tcPr>
          <w:tcW w:w="709" w:type="dxa"/>
          <w:vAlign w:val="center"/>
        </w:tcPr>
        <w:p w14:paraId="7E878EC5" w14:textId="77777777" w:rsidR="00A26CD1" w:rsidRPr="00931466" w:rsidRDefault="00A26CD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7E878EC6" w14:textId="36069FDD" w:rsidR="00A26CD1" w:rsidRDefault="00A26CD1" w:rsidP="0069770E">
          <w:pPr>
            <w:pStyle w:val="RectoFooter"/>
            <w:jc w:val="left"/>
          </w:pPr>
          <w:r w:rsidRPr="00314D2B">
            <w:t xml:space="preserve">Guidelines for Reducing and Eliminating Seclusion and Restraint </w:t>
          </w:r>
          <w:r>
            <w:br/>
          </w:r>
          <w:r w:rsidRPr="00314D2B">
            <w:t>Under the Mental Health (Compulsory Assessment and Treatment) Act 1992</w:t>
          </w:r>
        </w:p>
      </w:tc>
    </w:tr>
  </w:tbl>
  <w:p w14:paraId="7E878EC8" w14:textId="77777777" w:rsidR="00A26CD1" w:rsidRPr="00571223" w:rsidRDefault="00A26CD1"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A26CD1" w14:paraId="7E878ECB" w14:textId="77777777" w:rsidTr="006E2886">
      <w:trPr>
        <w:cantSplit/>
      </w:trPr>
      <w:tc>
        <w:tcPr>
          <w:tcW w:w="8080" w:type="dxa"/>
          <w:vAlign w:val="center"/>
        </w:tcPr>
        <w:p w14:paraId="7E878EC9" w14:textId="4C74C06B" w:rsidR="00A26CD1" w:rsidRDefault="00A26CD1" w:rsidP="000C3DE6">
          <w:pPr>
            <w:pStyle w:val="RectoFooter"/>
          </w:pPr>
          <w:r w:rsidRPr="00A45DF0">
            <w:t xml:space="preserve">GUIDELINES FOR REDUCING AND ELIMINATING SECLUSION AND RESTRAINT </w:t>
          </w:r>
          <w:r>
            <w:br/>
          </w:r>
          <w:r w:rsidRPr="00A45DF0">
            <w:t xml:space="preserve">UNDER THE MENTAL HEALTH (COMPULSORY ASSESSMENT AND TREATMENT) ACT 1992 </w:t>
          </w:r>
        </w:p>
      </w:tc>
      <w:tc>
        <w:tcPr>
          <w:tcW w:w="709" w:type="dxa"/>
          <w:vAlign w:val="center"/>
        </w:tcPr>
        <w:p w14:paraId="7E878ECA" w14:textId="77777777" w:rsidR="00A26CD1" w:rsidRPr="00931466" w:rsidRDefault="00A26CD1"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E878ECC" w14:textId="77777777" w:rsidR="00A26CD1" w:rsidRPr="00581EB8" w:rsidRDefault="00A26CD1"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82B3" w14:textId="77777777" w:rsidR="00306FED" w:rsidRPr="00A26E6B" w:rsidRDefault="00306FED" w:rsidP="00A26E6B"/>
  </w:footnote>
  <w:footnote w:type="continuationSeparator" w:id="0">
    <w:p w14:paraId="4F6F3DAB" w14:textId="77777777" w:rsidR="00306FED" w:rsidRDefault="00306FED">
      <w:r>
        <w:continuationSeparator/>
      </w:r>
    </w:p>
    <w:p w14:paraId="799DA49B" w14:textId="77777777" w:rsidR="00306FED" w:rsidRDefault="00306FED"/>
  </w:footnote>
  <w:footnote w:type="continuationNotice" w:id="1">
    <w:p w14:paraId="1180379F" w14:textId="77777777" w:rsidR="00306FED" w:rsidRDefault="00306FED"/>
  </w:footnote>
  <w:footnote w:id="2">
    <w:p w14:paraId="7DDC79AA" w14:textId="77777777" w:rsidR="00A26CD1" w:rsidRPr="008468B8" w:rsidRDefault="00A26CD1" w:rsidP="003F6B0A">
      <w:pPr>
        <w:pStyle w:val="FootnoteText"/>
        <w:rPr>
          <w:rFonts w:cs="Segoe UI"/>
          <w:sz w:val="16"/>
          <w:szCs w:val="16"/>
          <w:lang w:val="en-US"/>
        </w:rPr>
      </w:pPr>
      <w:r w:rsidRPr="002102FD">
        <w:rPr>
          <w:rStyle w:val="FootnoteReference"/>
          <w:rFonts w:cs="Segoe UI"/>
          <w:sz w:val="16"/>
          <w:szCs w:val="16"/>
        </w:rPr>
        <w:footnoteRef/>
      </w:r>
      <w:r>
        <w:t xml:space="preserve"> </w:t>
      </w:r>
      <w:r w:rsidRPr="008468B8">
        <w:rPr>
          <w:rFonts w:cs="Segoe UI"/>
          <w:sz w:val="16"/>
          <w:szCs w:val="16"/>
        </w:rPr>
        <w:t xml:space="preserve">Government Inquiry into Mental Health and Addiction. 2018. </w:t>
      </w:r>
      <w:r w:rsidRPr="008468B8">
        <w:rPr>
          <w:rFonts w:cs="Segoe UI"/>
          <w:i/>
          <w:sz w:val="16"/>
          <w:szCs w:val="16"/>
        </w:rPr>
        <w:t>He Ara Oranga: Report of the Government Inquiry into Mental Health and Addiction</w:t>
      </w:r>
      <w:r w:rsidRPr="008468B8">
        <w:rPr>
          <w:rFonts w:cs="Segoe UI"/>
          <w:sz w:val="16"/>
          <w:szCs w:val="16"/>
        </w:rPr>
        <w:t>. Wellington: Government Inquiry into Mental Health and Addiction.</w:t>
      </w:r>
    </w:p>
  </w:footnote>
  <w:footnote w:id="3">
    <w:p w14:paraId="0E3462D3" w14:textId="77777777" w:rsidR="00A26CD1" w:rsidRDefault="00A26CD1" w:rsidP="003F6B0A">
      <w:pPr>
        <w:pStyle w:val="FootnoteText"/>
      </w:pPr>
      <w:r>
        <w:rPr>
          <w:rStyle w:val="FootnoteReference"/>
        </w:rPr>
        <w:footnoteRef/>
      </w:r>
      <w:r>
        <w:t xml:space="preserve"> </w:t>
      </w:r>
      <w:bookmarkStart w:id="5" w:name="_Hlk131578487"/>
      <w:r w:rsidRPr="008468B8">
        <w:rPr>
          <w:rFonts w:cs="Segoe UI"/>
          <w:sz w:val="16"/>
          <w:szCs w:val="16"/>
        </w:rPr>
        <w:t xml:space="preserve">Ministry of Health. 2021. </w:t>
      </w:r>
      <w:r w:rsidRPr="008468B8">
        <w:rPr>
          <w:rFonts w:cs="Segoe UI"/>
          <w:i/>
          <w:sz w:val="16"/>
          <w:szCs w:val="16"/>
        </w:rPr>
        <w:t>Kia Manawanui Aotearoa: Long-term pathway to mental wellbeing</w:t>
      </w:r>
      <w:r w:rsidRPr="008468B8">
        <w:rPr>
          <w:rFonts w:cs="Segoe UI"/>
          <w:sz w:val="16"/>
          <w:szCs w:val="16"/>
        </w:rPr>
        <w:t>. Wellington: Ministry of Health.</w:t>
      </w:r>
      <w:bookmarkEnd w:id="5"/>
    </w:p>
  </w:footnote>
  <w:footnote w:id="4">
    <w:p w14:paraId="0ABFFA11" w14:textId="77777777" w:rsidR="00A26CD1" w:rsidRDefault="00A26CD1" w:rsidP="003F6B0A">
      <w:pPr>
        <w:pStyle w:val="FootnoteText"/>
      </w:pPr>
      <w:r>
        <w:rPr>
          <w:rStyle w:val="FootnoteReference"/>
        </w:rPr>
        <w:footnoteRef/>
      </w:r>
      <w:r>
        <w:t xml:space="preserve"> </w:t>
      </w:r>
      <w:r w:rsidRPr="007F4BE4">
        <w:t xml:space="preserve">Ministry of Health. 2022. </w:t>
      </w:r>
      <w:r w:rsidRPr="007F4BE4">
        <w:rPr>
          <w:i/>
          <w:iCs/>
        </w:rPr>
        <w:t>Guidelines to the Mental Health (Compulsory Assessment and Treatment) Act 1992</w:t>
      </w:r>
      <w:r w:rsidRPr="007F4BE4">
        <w:t>. Wellington: Ministry of Health.</w:t>
      </w:r>
    </w:p>
  </w:footnote>
  <w:footnote w:id="5">
    <w:p w14:paraId="01E9279C" w14:textId="77777777" w:rsidR="00A26CD1" w:rsidRDefault="00A26CD1" w:rsidP="003F6B0A">
      <w:pPr>
        <w:pStyle w:val="FootnoteText"/>
      </w:pPr>
      <w:r w:rsidRPr="00EC5F33">
        <w:rPr>
          <w:rStyle w:val="FootnoteReference"/>
          <w:rFonts w:cs="Segoe UI"/>
          <w:sz w:val="16"/>
          <w:szCs w:val="16"/>
        </w:rPr>
        <w:footnoteRef/>
      </w:r>
      <w:r w:rsidRPr="00EC5F33">
        <w:rPr>
          <w:rFonts w:cs="Segoe UI"/>
          <w:sz w:val="16"/>
          <w:szCs w:val="16"/>
        </w:rPr>
        <w:t xml:space="preserve"> </w:t>
      </w:r>
      <w:hyperlink r:id="rId1" w:history="1">
        <w:r w:rsidRPr="00FD6806">
          <w:rPr>
            <w:rStyle w:val="Hyperlink"/>
            <w:rFonts w:cs="Segoe UI"/>
            <w:sz w:val="16"/>
            <w:szCs w:val="16"/>
          </w:rPr>
          <w:t>www.health.govt.nz/our-work/populations/maori-health/he-korowai-oranga/pae-ora-healthy-futures</w:t>
        </w:r>
      </w:hyperlink>
      <w:r w:rsidRPr="00EC5F33">
        <w:rPr>
          <w:rFonts w:cs="Segoe UI"/>
          <w:sz w:val="16"/>
          <w:szCs w:val="16"/>
        </w:rPr>
        <w:t xml:space="preserve"> (accessed 23 March 2023) </w:t>
      </w:r>
    </w:p>
  </w:footnote>
  <w:footnote w:id="6">
    <w:p w14:paraId="68A13F72" w14:textId="77777777" w:rsidR="00A26CD1" w:rsidRDefault="00A26CD1" w:rsidP="003F6B0A">
      <w:pPr>
        <w:pStyle w:val="FootnoteText"/>
      </w:pPr>
      <w:r w:rsidRPr="006C3610">
        <w:rPr>
          <w:rStyle w:val="FootnoteReference"/>
          <w:rFonts w:cs="Segoe UI"/>
          <w:sz w:val="16"/>
          <w:szCs w:val="16"/>
        </w:rPr>
        <w:footnoteRef/>
      </w:r>
      <w:r>
        <w:t xml:space="preserve"> </w:t>
      </w:r>
      <w:hyperlink r:id="rId2" w:history="1">
        <w:r w:rsidRPr="00FD6806">
          <w:rPr>
            <w:rStyle w:val="Hyperlink"/>
            <w:rFonts w:cs="Segoe UI"/>
            <w:sz w:val="16"/>
            <w:szCs w:val="16"/>
          </w:rPr>
          <w:t>www.tepou.co.nz/initiatives/mha/mental-health-act-e-learning</w:t>
        </w:r>
      </w:hyperlink>
      <w:r w:rsidRPr="00520C9E">
        <w:rPr>
          <w:rFonts w:cs="Segoe UI"/>
          <w:sz w:val="16"/>
          <w:szCs w:val="16"/>
        </w:rPr>
        <w:t xml:space="preserve"> (accessed 29 March 2023).</w:t>
      </w:r>
    </w:p>
  </w:footnote>
  <w:footnote w:id="7">
    <w:p w14:paraId="2E8E1F4F" w14:textId="77777777" w:rsidR="00A26CD1" w:rsidRPr="0084307F" w:rsidRDefault="00A26CD1" w:rsidP="003F6B0A">
      <w:pPr>
        <w:pStyle w:val="FootnoteText"/>
        <w:rPr>
          <w:rFonts w:eastAsiaTheme="minorEastAsia" w:cs="Segoe UI"/>
          <w:color w:val="222222"/>
          <w:sz w:val="16"/>
          <w:szCs w:val="16"/>
          <w:highlight w:val="white"/>
        </w:rPr>
      </w:pPr>
      <w:r w:rsidRPr="006C3610">
        <w:rPr>
          <w:rStyle w:val="FootnoteReference"/>
          <w:rFonts w:cs="Segoe UI"/>
          <w:sz w:val="16"/>
          <w:szCs w:val="16"/>
        </w:rPr>
        <w:footnoteRef/>
      </w:r>
      <w:r>
        <w:t xml:space="preserve"> </w:t>
      </w:r>
      <w:r w:rsidRPr="0084307F">
        <w:rPr>
          <w:rFonts w:eastAsiaTheme="minorEastAsia" w:cs="Segoe UI"/>
          <w:color w:val="222222"/>
          <w:sz w:val="16"/>
          <w:szCs w:val="16"/>
          <w:highlight w:val="white"/>
        </w:rPr>
        <w:t>Ministry of Health. 2022. Guidelines for the Safe Transport of Special Patients in the Care of Regional Forensic Mental Health Services. Wellington: Ministry of Health.</w:t>
      </w:r>
    </w:p>
  </w:footnote>
  <w:footnote w:id="8">
    <w:p w14:paraId="1D53D844" w14:textId="77777777" w:rsidR="00A26CD1" w:rsidRPr="00CA7C26" w:rsidRDefault="00A26CD1" w:rsidP="003F6B0A">
      <w:pPr>
        <w:pStyle w:val="FootnoteText"/>
        <w:rPr>
          <w:lang w:val="en-US"/>
        </w:rPr>
      </w:pPr>
      <w:r w:rsidRPr="00CA1DB5">
        <w:rPr>
          <w:rStyle w:val="FootnoteReference"/>
          <w:rFonts w:cs="Segoe UI"/>
          <w:sz w:val="16"/>
          <w:szCs w:val="16"/>
        </w:rPr>
        <w:footnoteRef/>
      </w:r>
      <w:r w:rsidRPr="0084307F">
        <w:rPr>
          <w:rStyle w:val="FootnoteReference"/>
        </w:rPr>
        <w:t xml:space="preserve"> </w:t>
      </w:r>
      <w:r w:rsidRPr="0084307F">
        <w:rPr>
          <w:rFonts w:eastAsiaTheme="minorEastAsia" w:cs="Segoe UI"/>
          <w:color w:val="222222"/>
          <w:sz w:val="16"/>
          <w:szCs w:val="16"/>
          <w:highlight w:val="white"/>
        </w:rPr>
        <w:t>Ministry of Health. 2022. Guidelines to the Mental Health (Compulsory Assessment and Treatment) Act 1992. Wellington: Ministry of Health;</w:t>
      </w:r>
      <w:r>
        <w:t xml:space="preserve"> </w:t>
      </w:r>
      <w:r w:rsidRPr="00145063">
        <w:rPr>
          <w:color w:val="000000"/>
          <w:sz w:val="16"/>
        </w:rPr>
        <w:t xml:space="preserve">Ministry of Health. 2020. </w:t>
      </w:r>
      <w:r w:rsidRPr="00BE76C6">
        <w:rPr>
          <w:i/>
          <w:iCs/>
          <w:color w:val="000000"/>
          <w:sz w:val="16"/>
        </w:rPr>
        <w:t>Human Rights and the Mental Health (Compulsory Assessment and Treatment) Act 1992</w:t>
      </w:r>
      <w:r w:rsidRPr="00145063">
        <w:rPr>
          <w:color w:val="000000"/>
          <w:sz w:val="16"/>
        </w:rPr>
        <w:t>. Wellington: Ministry of Health.</w:t>
      </w:r>
    </w:p>
  </w:footnote>
  <w:footnote w:id="9">
    <w:p w14:paraId="349C75E1" w14:textId="77777777" w:rsidR="00A26CD1" w:rsidRPr="00D04372" w:rsidRDefault="00A26CD1" w:rsidP="003F6B0A">
      <w:pPr>
        <w:pStyle w:val="FootnoteText"/>
        <w:rPr>
          <w:lang w:val="en-US"/>
        </w:rPr>
      </w:pPr>
      <w:r w:rsidRPr="00CA1DB5">
        <w:rPr>
          <w:rStyle w:val="FootnoteReference"/>
          <w:rFonts w:cs="Segoe UI"/>
          <w:sz w:val="16"/>
          <w:szCs w:val="16"/>
        </w:rPr>
        <w:footnoteRef/>
      </w:r>
      <w:r>
        <w:t xml:space="preserve"> </w:t>
      </w:r>
      <w:hyperlink r:id="rId3" w:history="1">
        <w:r w:rsidRPr="00FF56EE">
          <w:rPr>
            <w:rStyle w:val="Hyperlink"/>
            <w:rFonts w:cs="Segoe UI"/>
            <w:sz w:val="16"/>
            <w:szCs w:val="16"/>
          </w:rPr>
          <w:t>www.tepou.co.nz/initiatives/reducing-seclusion-and-restraint/the-six-core-strategies-service-review-tool</w:t>
        </w:r>
      </w:hyperlink>
      <w:r>
        <w:t xml:space="preserve"> </w:t>
      </w:r>
      <w:r w:rsidRPr="0084307F">
        <w:rPr>
          <w:rFonts w:cs="Segoe UI"/>
          <w:sz w:val="16"/>
          <w:szCs w:val="16"/>
        </w:rPr>
        <w:t>(accessed 29 March 2023).</w:t>
      </w:r>
    </w:p>
  </w:footnote>
  <w:footnote w:id="10">
    <w:p w14:paraId="71631605" w14:textId="77777777" w:rsidR="00A26CD1" w:rsidRPr="00CA7C26" w:rsidRDefault="00A26CD1" w:rsidP="00110CAA">
      <w:pPr>
        <w:ind w:left="284" w:hanging="284"/>
        <w:rPr>
          <w:lang w:val="en-US"/>
        </w:rPr>
      </w:pPr>
      <w:r w:rsidRPr="00B612A4">
        <w:rPr>
          <w:rStyle w:val="FootnoteReference"/>
          <w:rFonts w:cs="Segoe UI"/>
          <w:sz w:val="16"/>
          <w:szCs w:val="16"/>
        </w:rPr>
        <w:footnoteRef/>
      </w:r>
      <w:r>
        <w:t xml:space="preserve"> </w:t>
      </w:r>
      <w:r w:rsidRPr="00DD58FB">
        <w:rPr>
          <w:rFonts w:cs="Segoe UI"/>
          <w:color w:val="222222"/>
          <w:sz w:val="16"/>
          <w:szCs w:val="16"/>
          <w:highlight w:val="white"/>
        </w:rPr>
        <w:t>Ministry of Health. 2022. Special Patients and Restricted Patients: Guidelines for Regional Forensic Mental Health Services. Wellington: Ministry of Health.</w:t>
      </w:r>
    </w:p>
  </w:footnote>
  <w:footnote w:id="11">
    <w:p w14:paraId="5C089D62" w14:textId="77777777" w:rsidR="00A26CD1" w:rsidRPr="0032771A" w:rsidRDefault="00A26CD1" w:rsidP="00110CAA">
      <w:pPr>
        <w:pStyle w:val="FootnoteText"/>
        <w:rPr>
          <w:lang w:val="en-US"/>
        </w:rPr>
      </w:pPr>
      <w:r w:rsidRPr="00384CCF">
        <w:rPr>
          <w:rStyle w:val="FootnoteReference"/>
          <w:rFonts w:cs="Segoe UI"/>
          <w:sz w:val="16"/>
          <w:szCs w:val="16"/>
        </w:rPr>
        <w:footnoteRef/>
      </w:r>
      <w:r>
        <w:t xml:space="preserve"> </w:t>
      </w:r>
      <w:hyperlink r:id="rId4" w:history="1">
        <w:r w:rsidRPr="00FF56EE">
          <w:rPr>
            <w:rStyle w:val="Hyperlink"/>
            <w:rFonts w:cs="Segoe UI"/>
            <w:sz w:val="16"/>
            <w:szCs w:val="16"/>
          </w:rPr>
          <w:t>www.hqsc.govt.nz/assets/Our-work/Mental-health-and-addiction/Resources/Zero-seclusion-change-package/Zero-seclusion-change-package-final.pdf</w:t>
        </w:r>
      </w:hyperlink>
      <w:r>
        <w:t xml:space="preserve"> </w:t>
      </w:r>
      <w:r w:rsidRPr="0084307F">
        <w:rPr>
          <w:rFonts w:cs="Segoe UI"/>
          <w:sz w:val="16"/>
          <w:szCs w:val="16"/>
        </w:rPr>
        <w:t>(accessed 29 March 2023).</w:t>
      </w:r>
    </w:p>
  </w:footnote>
  <w:footnote w:id="12">
    <w:p w14:paraId="26BCEE6E" w14:textId="77777777" w:rsidR="00A26CD1" w:rsidRPr="00477229" w:rsidRDefault="00A26CD1" w:rsidP="00110CAA">
      <w:pPr>
        <w:pStyle w:val="FootnoteText"/>
        <w:rPr>
          <w:rFonts w:eastAsiaTheme="minorEastAsia" w:cs="Segoe UI"/>
          <w:color w:val="222222"/>
          <w:sz w:val="16"/>
          <w:szCs w:val="16"/>
          <w:highlight w:val="white"/>
        </w:rPr>
      </w:pPr>
      <w:r w:rsidRPr="00477229">
        <w:rPr>
          <w:rStyle w:val="FootnoteReference"/>
          <w:rFonts w:cs="Segoe UI"/>
          <w:sz w:val="16"/>
          <w:szCs w:val="16"/>
        </w:rPr>
        <w:footnoteRef/>
      </w:r>
      <w:r w:rsidRPr="00477229">
        <w:rPr>
          <w:rFonts w:cs="Segoe UI"/>
          <w:sz w:val="16"/>
          <w:szCs w:val="16"/>
        </w:rPr>
        <w:t xml:space="preserve"> </w:t>
      </w:r>
      <w:r w:rsidRPr="00477229">
        <w:rPr>
          <w:rFonts w:eastAsiaTheme="minorEastAsia" w:cs="Segoe UI"/>
          <w:color w:val="222222"/>
          <w:sz w:val="16"/>
          <w:szCs w:val="16"/>
          <w:highlight w:val="white"/>
        </w:rPr>
        <w:t xml:space="preserve">Ministry of Health. 2012. </w:t>
      </w:r>
      <w:r w:rsidRPr="0032771A">
        <w:rPr>
          <w:rFonts w:eastAsiaTheme="minorEastAsia" w:cs="Segoe UI"/>
          <w:i/>
          <w:iCs/>
          <w:color w:val="222222"/>
          <w:sz w:val="16"/>
          <w:szCs w:val="16"/>
          <w:highlight w:val="white"/>
        </w:rPr>
        <w:t>Rising to the Challenge: The Mental Health and Addiction Service Development Plan 2012–2017</w:t>
      </w:r>
      <w:r w:rsidRPr="00477229">
        <w:rPr>
          <w:rFonts w:eastAsiaTheme="minorEastAsia" w:cs="Segoe UI"/>
          <w:color w:val="222222"/>
          <w:sz w:val="16"/>
          <w:szCs w:val="16"/>
          <w:highlight w:val="white"/>
        </w:rPr>
        <w:t>. Wellington: Ministry of Health.</w:t>
      </w:r>
    </w:p>
  </w:footnote>
  <w:footnote w:id="13">
    <w:p w14:paraId="3913B9E5" w14:textId="77777777" w:rsidR="00A26CD1" w:rsidRPr="008F15CC" w:rsidRDefault="00A26CD1" w:rsidP="00110CAA">
      <w:pPr>
        <w:pStyle w:val="FootnoteText"/>
        <w:rPr>
          <w:rFonts w:eastAsiaTheme="minorEastAsia" w:cs="Segoe UI"/>
          <w:color w:val="222222"/>
          <w:sz w:val="16"/>
          <w:szCs w:val="16"/>
          <w:highlight w:val="white"/>
        </w:rPr>
      </w:pPr>
      <w:r w:rsidRPr="00384CCF">
        <w:rPr>
          <w:rStyle w:val="FootnoteReference"/>
          <w:rFonts w:cs="Segoe UI"/>
          <w:sz w:val="16"/>
          <w:szCs w:val="16"/>
        </w:rPr>
        <w:footnoteRef/>
      </w:r>
      <w:r>
        <w:t xml:space="preserve"> </w:t>
      </w:r>
      <w:r w:rsidRPr="008F15CC">
        <w:rPr>
          <w:rFonts w:eastAsiaTheme="minorEastAsia" w:cs="Segoe UI"/>
          <w:color w:val="222222"/>
          <w:sz w:val="16"/>
          <w:szCs w:val="16"/>
          <w:highlight w:val="white"/>
        </w:rPr>
        <w:t>Te Pou</w:t>
      </w:r>
      <w:r>
        <w:rPr>
          <w:rFonts w:eastAsiaTheme="minorEastAsia" w:cs="Segoe UI"/>
          <w:color w:val="222222"/>
          <w:sz w:val="16"/>
          <w:szCs w:val="16"/>
          <w:highlight w:val="white"/>
        </w:rPr>
        <w:t xml:space="preserve"> o </w:t>
      </w:r>
      <w:r w:rsidRPr="00D72DC8">
        <w:rPr>
          <w:rFonts w:cs="Segoe UI"/>
          <w:sz w:val="16"/>
          <w:szCs w:val="16"/>
        </w:rPr>
        <w:t>te Whakaaro Nu</w:t>
      </w:r>
      <w:r>
        <w:rPr>
          <w:rFonts w:cs="Segoe UI"/>
          <w:sz w:val="16"/>
          <w:szCs w:val="16"/>
        </w:rPr>
        <w:t>i</w:t>
      </w:r>
      <w:r w:rsidRPr="008F15CC">
        <w:rPr>
          <w:rFonts w:eastAsiaTheme="minorEastAsia" w:cs="Segoe UI"/>
          <w:color w:val="222222"/>
          <w:sz w:val="16"/>
          <w:szCs w:val="16"/>
          <w:highlight w:val="white"/>
        </w:rPr>
        <w:t xml:space="preserve">. 2008. </w:t>
      </w:r>
      <w:r w:rsidRPr="0032771A">
        <w:rPr>
          <w:rFonts w:eastAsiaTheme="minorEastAsia" w:cs="Segoe UI"/>
          <w:i/>
          <w:iCs/>
          <w:color w:val="222222"/>
          <w:sz w:val="16"/>
          <w:szCs w:val="16"/>
          <w:highlight w:val="white"/>
        </w:rPr>
        <w:t>Reducing and Eliminating Seclusion in Mental Health Inpatient Services: An Evidence Review for the Health Quality &amp; Safety Commission New Zealand</w:t>
      </w:r>
      <w:r w:rsidRPr="008F15CC">
        <w:rPr>
          <w:rFonts w:eastAsiaTheme="minorEastAsia" w:cs="Segoe UI"/>
          <w:color w:val="222222"/>
          <w:sz w:val="16"/>
          <w:szCs w:val="16"/>
          <w:highlight w:val="white"/>
        </w:rPr>
        <w:t>. Auckland: Te Pou</w:t>
      </w:r>
      <w:r>
        <w:rPr>
          <w:rFonts w:eastAsiaTheme="minorEastAsia" w:cs="Segoe UI"/>
          <w:color w:val="222222"/>
          <w:sz w:val="16"/>
          <w:szCs w:val="16"/>
          <w:highlight w:val="white"/>
        </w:rPr>
        <w:t xml:space="preserve"> o </w:t>
      </w:r>
      <w:r w:rsidRPr="00D72DC8">
        <w:rPr>
          <w:rFonts w:cs="Segoe UI"/>
          <w:sz w:val="16"/>
          <w:szCs w:val="16"/>
        </w:rPr>
        <w:t>te Whakaaro Nu</w:t>
      </w:r>
      <w:r>
        <w:rPr>
          <w:rFonts w:cs="Segoe UI"/>
          <w:sz w:val="16"/>
          <w:szCs w:val="16"/>
        </w:rPr>
        <w:t>i</w:t>
      </w:r>
      <w:r w:rsidRPr="008F15CC">
        <w:rPr>
          <w:rFonts w:eastAsiaTheme="minorEastAsia" w:cs="Segoe UI"/>
          <w:color w:val="222222"/>
          <w:sz w:val="16"/>
          <w:szCs w:val="16"/>
          <w:highlight w:val="white"/>
        </w:rPr>
        <w:t xml:space="preserve">. </w:t>
      </w:r>
    </w:p>
  </w:footnote>
  <w:footnote w:id="14">
    <w:p w14:paraId="44CF480E" w14:textId="77777777" w:rsidR="00A26CD1" w:rsidRPr="00477229" w:rsidRDefault="00A26CD1" w:rsidP="00110CAA">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Bigwood S. 2008. ‘It’s part of the job, but it spoils the job’: A phenomenological study of physical restraint. </w:t>
      </w:r>
      <w:r w:rsidRPr="00477229">
        <w:rPr>
          <w:rFonts w:cs="Segoe UI"/>
          <w:i/>
          <w:iCs/>
          <w:sz w:val="16"/>
          <w:szCs w:val="16"/>
        </w:rPr>
        <w:t xml:space="preserve">International Journal of Mental Health Nursing </w:t>
      </w:r>
      <w:r w:rsidRPr="0032771A">
        <w:rPr>
          <w:rFonts w:cs="Segoe UI"/>
          <w:sz w:val="16"/>
          <w:szCs w:val="16"/>
        </w:rPr>
        <w:t>17</w:t>
      </w:r>
      <w:r w:rsidRPr="00477229">
        <w:rPr>
          <w:rFonts w:cs="Segoe UI"/>
          <w:sz w:val="16"/>
          <w:szCs w:val="16"/>
        </w:rPr>
        <w:t>(3)</w:t>
      </w:r>
      <w:r>
        <w:rPr>
          <w:rFonts w:cs="Segoe UI"/>
          <w:sz w:val="16"/>
          <w:szCs w:val="16"/>
        </w:rPr>
        <w:t>:</w:t>
      </w:r>
      <w:r w:rsidRPr="00477229">
        <w:rPr>
          <w:rFonts w:cs="Segoe UI"/>
          <w:sz w:val="16"/>
          <w:szCs w:val="16"/>
        </w:rPr>
        <w:t xml:space="preserve"> 215</w:t>
      </w:r>
      <w:r>
        <w:rPr>
          <w:rFonts w:cs="Segoe UI"/>
          <w:sz w:val="16"/>
          <w:szCs w:val="16"/>
        </w:rPr>
        <w:t>–</w:t>
      </w:r>
      <w:r w:rsidRPr="00477229">
        <w:rPr>
          <w:rFonts w:cs="Segoe UI"/>
          <w:sz w:val="16"/>
          <w:szCs w:val="16"/>
        </w:rPr>
        <w:t>22.</w:t>
      </w:r>
    </w:p>
  </w:footnote>
  <w:footnote w:id="15">
    <w:p w14:paraId="5F0C0DF6" w14:textId="77777777" w:rsidR="00A26CD1" w:rsidRPr="0084307F" w:rsidRDefault="00A26CD1" w:rsidP="00110CAA">
      <w:pPr>
        <w:pStyle w:val="FootnoteText"/>
        <w:rPr>
          <w:rFonts w:eastAsiaTheme="minorEastAsia" w:cs="Segoe UI"/>
          <w:color w:val="211D1E"/>
          <w:sz w:val="16"/>
          <w:szCs w:val="16"/>
        </w:rPr>
      </w:pPr>
      <w:r w:rsidRPr="00477229">
        <w:rPr>
          <w:rStyle w:val="FootnoteReference"/>
          <w:rFonts w:cs="Segoe UI"/>
          <w:sz w:val="16"/>
          <w:szCs w:val="16"/>
        </w:rPr>
        <w:footnoteRef/>
      </w:r>
      <w:r w:rsidRPr="00477229">
        <w:rPr>
          <w:rFonts w:cs="Segoe UI"/>
          <w:sz w:val="16"/>
          <w:szCs w:val="16"/>
        </w:rPr>
        <w:t xml:space="preserve"> Cultural harm has been defined as </w:t>
      </w:r>
      <w:r>
        <w:rPr>
          <w:rFonts w:cs="Segoe UI"/>
          <w:sz w:val="16"/>
          <w:szCs w:val="16"/>
        </w:rPr>
        <w:t>‘</w:t>
      </w:r>
      <w:r w:rsidRPr="00477229">
        <w:rPr>
          <w:rFonts w:cs="Segoe UI"/>
          <w:sz w:val="16"/>
          <w:szCs w:val="16"/>
        </w:rPr>
        <w:t>conduct that results in, or contributes to, the breakdown of the spiritual, moral, physical and emotional wellbeing of indigenous peoples or members of other groups sharing an ethnicity or cultural identity, and includes racist conduct</w:t>
      </w:r>
      <w:r>
        <w:rPr>
          <w:rFonts w:cs="Segoe UI"/>
          <w:sz w:val="16"/>
          <w:szCs w:val="16"/>
        </w:rPr>
        <w:t>’:</w:t>
      </w:r>
      <w:r w:rsidRPr="00477229">
        <w:rPr>
          <w:rFonts w:cs="Segoe UI"/>
          <w:sz w:val="16"/>
          <w:szCs w:val="16"/>
        </w:rPr>
        <w:t xml:space="preserve"> </w:t>
      </w:r>
      <w:r>
        <w:rPr>
          <w:rFonts w:cs="Segoe UI"/>
          <w:sz w:val="16"/>
          <w:szCs w:val="16"/>
        </w:rPr>
        <w:t xml:space="preserve">see </w:t>
      </w:r>
      <w:hyperlink r:id="rId5" w:history="1">
        <w:r w:rsidRPr="00477229">
          <w:rPr>
            <w:rStyle w:val="Hyperlink"/>
            <w:rFonts w:cs="Segoe UI"/>
            <w:sz w:val="16"/>
            <w:szCs w:val="16"/>
          </w:rPr>
          <w:t>royalsociety.org.nz/assets/Uploads/Code-of-Prof-Stds-and-Ethics-Revision-2.pdf</w:t>
        </w:r>
      </w:hyperlink>
      <w:r w:rsidRPr="00477229">
        <w:rPr>
          <w:rFonts w:cs="Segoe UI"/>
          <w:sz w:val="16"/>
          <w:szCs w:val="16"/>
        </w:rPr>
        <w:t xml:space="preserve"> </w:t>
      </w:r>
      <w:r w:rsidRPr="0084307F">
        <w:rPr>
          <w:rFonts w:eastAsiaTheme="minorEastAsia" w:cs="Segoe UI"/>
          <w:color w:val="211D1E"/>
          <w:sz w:val="16"/>
          <w:szCs w:val="16"/>
        </w:rPr>
        <w:t>(accessed 29 March 2023).</w:t>
      </w:r>
    </w:p>
  </w:footnote>
  <w:footnote w:id="16">
    <w:p w14:paraId="6C807E24" w14:textId="77777777" w:rsidR="00A26CD1" w:rsidRPr="00477229" w:rsidRDefault="00A26CD1" w:rsidP="00110CAA">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Brophy</w:t>
      </w:r>
      <w:r w:rsidRPr="002548A5">
        <w:rPr>
          <w:rFonts w:cs="Segoe UI"/>
          <w:sz w:val="16"/>
          <w:szCs w:val="16"/>
        </w:rPr>
        <w:t xml:space="preserve">, LM, Roper CE, Hamilton BE, </w:t>
      </w:r>
      <w:r>
        <w:rPr>
          <w:rFonts w:cs="Segoe UI"/>
          <w:sz w:val="16"/>
          <w:szCs w:val="16"/>
        </w:rPr>
        <w:t>et al</w:t>
      </w:r>
      <w:r w:rsidRPr="00477229">
        <w:rPr>
          <w:rFonts w:cs="Segoe UI"/>
          <w:sz w:val="16"/>
          <w:szCs w:val="16"/>
        </w:rPr>
        <w:t xml:space="preserve">. 2016. Consumers and their supporters’ perspectives on poor practice and the use of seclusion and restraint in mental health settings: results from Australian focus groups. </w:t>
      </w:r>
      <w:r w:rsidRPr="0032771A">
        <w:rPr>
          <w:rFonts w:cs="Segoe UI"/>
          <w:i/>
          <w:iCs/>
          <w:sz w:val="16"/>
          <w:szCs w:val="16"/>
        </w:rPr>
        <w:t xml:space="preserve">International </w:t>
      </w:r>
      <w:r>
        <w:rPr>
          <w:rFonts w:cs="Segoe UI"/>
          <w:i/>
          <w:iCs/>
          <w:sz w:val="16"/>
          <w:szCs w:val="16"/>
        </w:rPr>
        <w:t>J</w:t>
      </w:r>
      <w:r w:rsidRPr="0032771A">
        <w:rPr>
          <w:rFonts w:cs="Segoe UI"/>
          <w:i/>
          <w:iCs/>
          <w:sz w:val="16"/>
          <w:szCs w:val="16"/>
        </w:rPr>
        <w:t xml:space="preserve">ournal of </w:t>
      </w:r>
      <w:r>
        <w:rPr>
          <w:rFonts w:cs="Segoe UI"/>
          <w:i/>
          <w:iCs/>
          <w:sz w:val="16"/>
          <w:szCs w:val="16"/>
        </w:rPr>
        <w:t>M</w:t>
      </w:r>
      <w:r w:rsidRPr="0032771A">
        <w:rPr>
          <w:rFonts w:cs="Segoe UI"/>
          <w:i/>
          <w:iCs/>
          <w:sz w:val="16"/>
          <w:szCs w:val="16"/>
        </w:rPr>
        <w:t xml:space="preserve">ental </w:t>
      </w:r>
      <w:r>
        <w:rPr>
          <w:rFonts w:cs="Segoe UI"/>
          <w:i/>
          <w:iCs/>
          <w:sz w:val="16"/>
          <w:szCs w:val="16"/>
        </w:rPr>
        <w:t>H</w:t>
      </w:r>
      <w:r w:rsidRPr="0032771A">
        <w:rPr>
          <w:rFonts w:cs="Segoe UI"/>
          <w:i/>
          <w:iCs/>
          <w:sz w:val="16"/>
          <w:szCs w:val="16"/>
        </w:rPr>
        <w:t xml:space="preserve">ealth </w:t>
      </w:r>
      <w:r>
        <w:rPr>
          <w:rFonts w:cs="Segoe UI"/>
          <w:i/>
          <w:iCs/>
          <w:sz w:val="16"/>
          <w:szCs w:val="16"/>
        </w:rPr>
        <w:t>S</w:t>
      </w:r>
      <w:r w:rsidRPr="0032771A">
        <w:rPr>
          <w:rFonts w:cs="Segoe UI"/>
          <w:i/>
          <w:iCs/>
          <w:sz w:val="16"/>
          <w:szCs w:val="16"/>
        </w:rPr>
        <w:t>ystems</w:t>
      </w:r>
      <w:r w:rsidRPr="00477229">
        <w:rPr>
          <w:rFonts w:cs="Segoe UI"/>
          <w:sz w:val="16"/>
          <w:szCs w:val="16"/>
        </w:rPr>
        <w:t xml:space="preserve"> 10(1)</w:t>
      </w:r>
      <w:r>
        <w:rPr>
          <w:rFonts w:cs="Segoe UI"/>
          <w:sz w:val="16"/>
          <w:szCs w:val="16"/>
        </w:rPr>
        <w:t>:</w:t>
      </w:r>
      <w:r w:rsidRPr="00477229">
        <w:rPr>
          <w:rFonts w:cs="Segoe UI"/>
          <w:sz w:val="16"/>
          <w:szCs w:val="16"/>
        </w:rPr>
        <w:t xml:space="preserve"> 1</w:t>
      </w:r>
      <w:r>
        <w:rPr>
          <w:rFonts w:cs="Segoe UI"/>
          <w:sz w:val="16"/>
          <w:szCs w:val="16"/>
        </w:rPr>
        <w:t>–</w:t>
      </w:r>
      <w:r w:rsidRPr="00477229">
        <w:rPr>
          <w:rFonts w:cs="Segoe UI"/>
          <w:sz w:val="16"/>
          <w:szCs w:val="16"/>
        </w:rPr>
        <w:t>10.</w:t>
      </w:r>
    </w:p>
  </w:footnote>
  <w:footnote w:id="17">
    <w:p w14:paraId="18741AE0" w14:textId="77777777" w:rsidR="00A26CD1" w:rsidRPr="00EE465E" w:rsidRDefault="00A26CD1" w:rsidP="00110CAA">
      <w:pPr>
        <w:pBdr>
          <w:top w:val="nil"/>
          <w:left w:val="nil"/>
          <w:bottom w:val="nil"/>
          <w:right w:val="nil"/>
          <w:between w:val="nil"/>
        </w:pBdr>
        <w:ind w:left="284" w:hanging="284"/>
        <w:rPr>
          <w:rFonts w:cs="Segoe UI"/>
          <w:color w:val="000000"/>
          <w:sz w:val="16"/>
          <w:szCs w:val="16"/>
        </w:rPr>
      </w:pPr>
      <w:r w:rsidRPr="00477229">
        <w:rPr>
          <w:rStyle w:val="FootnoteReference"/>
          <w:rFonts w:cs="Segoe UI"/>
          <w:sz w:val="16"/>
          <w:szCs w:val="16"/>
        </w:rPr>
        <w:footnoteRef/>
      </w:r>
      <w:r w:rsidRPr="00477229">
        <w:rPr>
          <w:rFonts w:cs="Segoe UI"/>
          <w:color w:val="000000"/>
          <w:sz w:val="16"/>
          <w:szCs w:val="16"/>
        </w:rPr>
        <w:t xml:space="preserve"> </w:t>
      </w:r>
      <w:r w:rsidRPr="00477229">
        <w:rPr>
          <w:rFonts w:cs="Segoe UI"/>
          <w:color w:val="222222"/>
          <w:sz w:val="16"/>
          <w:szCs w:val="16"/>
          <w:highlight w:val="white"/>
        </w:rPr>
        <w:t xml:space="preserve">Kinner SA, Harvey C, Hamilton B, </w:t>
      </w:r>
      <w:r>
        <w:rPr>
          <w:rFonts w:cs="Segoe UI"/>
          <w:color w:val="222222"/>
          <w:sz w:val="16"/>
          <w:szCs w:val="16"/>
          <w:highlight w:val="white"/>
        </w:rPr>
        <w:t>et al</w:t>
      </w:r>
      <w:r w:rsidRPr="00477229">
        <w:rPr>
          <w:rFonts w:cs="Segoe UI"/>
          <w:color w:val="222222"/>
          <w:sz w:val="16"/>
          <w:szCs w:val="16"/>
          <w:highlight w:val="white"/>
        </w:rPr>
        <w:t>. 2017. Attitudes towards seclusion and restraint in mental health settings: findings from a large, community-based survey of consumers, carers and mental health professionals. </w:t>
      </w:r>
      <w:r w:rsidRPr="00477229">
        <w:rPr>
          <w:rFonts w:cs="Segoe UI"/>
          <w:i/>
          <w:color w:val="222222"/>
          <w:sz w:val="16"/>
          <w:szCs w:val="16"/>
          <w:highlight w:val="white"/>
        </w:rPr>
        <w:t>Epidemiology and Psychiatric Sciences</w:t>
      </w:r>
      <w:r w:rsidRPr="00477229">
        <w:rPr>
          <w:rFonts w:cs="Segoe UI"/>
          <w:color w:val="222222"/>
          <w:sz w:val="16"/>
          <w:szCs w:val="16"/>
          <w:highlight w:val="white"/>
        </w:rPr>
        <w:t> </w:t>
      </w:r>
      <w:r w:rsidRPr="0032771A">
        <w:rPr>
          <w:rFonts w:cs="Segoe UI"/>
          <w:iCs/>
          <w:color w:val="222222"/>
          <w:sz w:val="16"/>
          <w:szCs w:val="16"/>
          <w:highlight w:val="white"/>
        </w:rPr>
        <w:t>26</w:t>
      </w:r>
      <w:r w:rsidRPr="00477229">
        <w:rPr>
          <w:rFonts w:cs="Segoe UI"/>
          <w:color w:val="222222"/>
          <w:sz w:val="16"/>
          <w:szCs w:val="16"/>
          <w:highlight w:val="white"/>
        </w:rPr>
        <w:t>(5)</w:t>
      </w:r>
      <w:r>
        <w:rPr>
          <w:rFonts w:cs="Segoe UI"/>
          <w:color w:val="222222"/>
          <w:sz w:val="16"/>
          <w:szCs w:val="16"/>
          <w:highlight w:val="white"/>
        </w:rPr>
        <w:t>:</w:t>
      </w:r>
      <w:r w:rsidRPr="00477229">
        <w:rPr>
          <w:rFonts w:cs="Segoe UI"/>
          <w:color w:val="222222"/>
          <w:sz w:val="16"/>
          <w:szCs w:val="16"/>
          <w:highlight w:val="white"/>
        </w:rPr>
        <w:t xml:space="preserve"> 535</w:t>
      </w:r>
      <w:r>
        <w:rPr>
          <w:rFonts w:cs="Segoe UI"/>
          <w:color w:val="222222"/>
          <w:sz w:val="16"/>
          <w:szCs w:val="16"/>
          <w:highlight w:val="white"/>
        </w:rPr>
        <w:t>–</w:t>
      </w:r>
      <w:r w:rsidRPr="00477229">
        <w:rPr>
          <w:rFonts w:cs="Segoe UI"/>
          <w:color w:val="222222"/>
          <w:sz w:val="16"/>
          <w:szCs w:val="16"/>
          <w:highlight w:val="white"/>
        </w:rPr>
        <w:t>44.</w:t>
      </w:r>
    </w:p>
  </w:footnote>
  <w:footnote w:id="18">
    <w:p w14:paraId="3937B727" w14:textId="77777777" w:rsidR="00A26CD1" w:rsidRPr="00477229" w:rsidRDefault="00A26CD1" w:rsidP="00110CAA">
      <w:pPr>
        <w:pBdr>
          <w:top w:val="nil"/>
          <w:left w:val="nil"/>
          <w:bottom w:val="nil"/>
          <w:right w:val="nil"/>
          <w:between w:val="nil"/>
        </w:pBdr>
        <w:ind w:left="284" w:hanging="284"/>
        <w:rPr>
          <w:rFonts w:cs="Segoe UI"/>
          <w:color w:val="000000"/>
          <w:sz w:val="16"/>
          <w:szCs w:val="16"/>
        </w:rPr>
      </w:pPr>
      <w:r w:rsidRPr="00477229">
        <w:rPr>
          <w:rStyle w:val="FootnoteReference"/>
          <w:rFonts w:cs="Segoe UI"/>
          <w:sz w:val="16"/>
          <w:szCs w:val="16"/>
        </w:rPr>
        <w:footnoteRef/>
      </w:r>
      <w:r w:rsidRPr="00477229">
        <w:rPr>
          <w:rFonts w:cs="Segoe UI"/>
          <w:color w:val="000000"/>
          <w:sz w:val="16"/>
          <w:szCs w:val="16"/>
        </w:rPr>
        <w:t xml:space="preserve"> Barnett R, Stirling C, Pandyan AD. 2012</w:t>
      </w:r>
      <w:r>
        <w:rPr>
          <w:rFonts w:cs="Segoe UI"/>
          <w:color w:val="000000"/>
          <w:sz w:val="16"/>
          <w:szCs w:val="16"/>
        </w:rPr>
        <w:t>.</w:t>
      </w:r>
      <w:r w:rsidRPr="00477229">
        <w:rPr>
          <w:rFonts w:cs="Segoe UI"/>
          <w:color w:val="000000"/>
          <w:sz w:val="16"/>
          <w:szCs w:val="16"/>
        </w:rPr>
        <w:t xml:space="preserve"> A review of the scientific literature related to the adverse impact of physical restraint: gaining a clearer understanding of the physiological factors involved in cases of restraint-related death. </w:t>
      </w:r>
      <w:r w:rsidRPr="0032771A">
        <w:rPr>
          <w:rFonts w:cs="Segoe UI"/>
          <w:i/>
          <w:iCs/>
          <w:color w:val="000000"/>
          <w:sz w:val="16"/>
          <w:szCs w:val="16"/>
        </w:rPr>
        <w:t>Medicine, Science and the Law</w:t>
      </w:r>
      <w:r w:rsidRPr="00477229">
        <w:rPr>
          <w:rFonts w:cs="Segoe UI"/>
          <w:color w:val="000000"/>
          <w:sz w:val="16"/>
          <w:szCs w:val="16"/>
        </w:rPr>
        <w:t xml:space="preserve"> 52(3):</w:t>
      </w:r>
      <w:r>
        <w:rPr>
          <w:rFonts w:cs="Segoe UI"/>
          <w:color w:val="000000"/>
          <w:sz w:val="16"/>
          <w:szCs w:val="16"/>
        </w:rPr>
        <w:t xml:space="preserve"> </w:t>
      </w:r>
      <w:r w:rsidRPr="00477229">
        <w:rPr>
          <w:rFonts w:cs="Segoe UI"/>
          <w:color w:val="000000"/>
          <w:sz w:val="16"/>
          <w:szCs w:val="16"/>
        </w:rPr>
        <w:t>137</w:t>
      </w:r>
      <w:r>
        <w:rPr>
          <w:rFonts w:cs="Segoe UI"/>
          <w:color w:val="000000"/>
          <w:sz w:val="16"/>
          <w:szCs w:val="16"/>
        </w:rPr>
        <w:t>–</w:t>
      </w:r>
      <w:r w:rsidRPr="00477229">
        <w:rPr>
          <w:rFonts w:cs="Segoe UI"/>
          <w:color w:val="000000"/>
          <w:sz w:val="16"/>
          <w:szCs w:val="16"/>
        </w:rPr>
        <w:t>42.</w:t>
      </w:r>
    </w:p>
  </w:footnote>
  <w:footnote w:id="19">
    <w:p w14:paraId="297A1A5A" w14:textId="77777777" w:rsidR="00A26CD1" w:rsidRDefault="00A26CD1" w:rsidP="00110CAA">
      <w:pPr>
        <w:pStyle w:val="FootnoteText"/>
      </w:pPr>
      <w:r w:rsidRPr="00384CCF">
        <w:rPr>
          <w:rStyle w:val="FootnoteReference"/>
          <w:rFonts w:cs="Segoe UI"/>
          <w:sz w:val="16"/>
          <w:szCs w:val="16"/>
        </w:rPr>
        <w:footnoteRef/>
      </w:r>
      <w:r>
        <w:t xml:space="preserve"> </w:t>
      </w:r>
      <w:r>
        <w:rPr>
          <w:rFonts w:eastAsiaTheme="minorEastAsia" w:cs="Segoe UI"/>
          <w:color w:val="211D1E"/>
          <w:sz w:val="16"/>
          <w:szCs w:val="16"/>
        </w:rPr>
        <w:t xml:space="preserve">Ministry of Health. 2022. </w:t>
      </w:r>
      <w:r w:rsidRPr="0032771A">
        <w:rPr>
          <w:rFonts w:eastAsiaTheme="minorEastAsia" w:cs="Segoe UI"/>
          <w:i/>
          <w:iCs/>
          <w:color w:val="211D1E"/>
          <w:sz w:val="16"/>
          <w:szCs w:val="16"/>
        </w:rPr>
        <w:t>Office of the Director of Mental Health and Addiction Services Regulatory Report 1 July 2020 to 30 June 2021</w:t>
      </w:r>
      <w:r w:rsidRPr="00370ABE">
        <w:rPr>
          <w:rFonts w:eastAsiaTheme="minorEastAsia" w:cs="Segoe UI"/>
          <w:color w:val="211D1E"/>
          <w:sz w:val="16"/>
          <w:szCs w:val="16"/>
        </w:rPr>
        <w:t>.</w:t>
      </w:r>
      <w:r>
        <w:rPr>
          <w:rFonts w:eastAsiaTheme="minorEastAsia" w:cs="Segoe UI"/>
          <w:color w:val="211D1E"/>
          <w:sz w:val="16"/>
          <w:szCs w:val="16"/>
        </w:rPr>
        <w:t xml:space="preserve"> Wellington: Ministry of Health.</w:t>
      </w:r>
    </w:p>
  </w:footnote>
  <w:footnote w:id="20">
    <w:p w14:paraId="4C51B79A" w14:textId="77777777" w:rsidR="00A26CD1" w:rsidRPr="00477229" w:rsidRDefault="00A26CD1" w:rsidP="00110CAA">
      <w:pPr>
        <w:pBdr>
          <w:top w:val="nil"/>
          <w:left w:val="nil"/>
          <w:bottom w:val="nil"/>
          <w:right w:val="nil"/>
          <w:between w:val="nil"/>
        </w:pBdr>
        <w:ind w:left="284" w:hanging="284"/>
        <w:rPr>
          <w:rFonts w:cs="Segoe UI"/>
          <w:color w:val="000000"/>
          <w:sz w:val="16"/>
          <w:szCs w:val="16"/>
        </w:rPr>
      </w:pPr>
      <w:r w:rsidRPr="00477229">
        <w:rPr>
          <w:rStyle w:val="FootnoteReference"/>
          <w:rFonts w:cs="Segoe UI"/>
          <w:sz w:val="16"/>
          <w:szCs w:val="16"/>
        </w:rPr>
        <w:footnoteRef/>
      </w:r>
      <w:r w:rsidRPr="00477229">
        <w:rPr>
          <w:rFonts w:cs="Segoe UI"/>
          <w:color w:val="000000"/>
          <w:sz w:val="16"/>
          <w:szCs w:val="16"/>
        </w:rPr>
        <w:t xml:space="preserve"> </w:t>
      </w:r>
      <w:r w:rsidRPr="00477229">
        <w:rPr>
          <w:rFonts w:cs="Segoe UI"/>
          <w:color w:val="211D1E"/>
          <w:sz w:val="16"/>
          <w:szCs w:val="16"/>
        </w:rPr>
        <w:t>Mohr WK, Petti TA, Mohr BD. 2003</w:t>
      </w:r>
      <w:r>
        <w:rPr>
          <w:rFonts w:cs="Segoe UI"/>
          <w:color w:val="211D1E"/>
          <w:sz w:val="16"/>
          <w:szCs w:val="16"/>
        </w:rPr>
        <w:t>.</w:t>
      </w:r>
      <w:r w:rsidRPr="00477229">
        <w:rPr>
          <w:rFonts w:cs="Segoe UI"/>
          <w:color w:val="211D1E"/>
          <w:sz w:val="16"/>
          <w:szCs w:val="16"/>
        </w:rPr>
        <w:t xml:space="preserve"> Adverse Effects Associated with Physical Restraint</w:t>
      </w:r>
      <w:r>
        <w:rPr>
          <w:rFonts w:cs="Segoe UI"/>
          <w:color w:val="211D1E"/>
          <w:sz w:val="16"/>
          <w:szCs w:val="16"/>
        </w:rPr>
        <w:t>.</w:t>
      </w:r>
      <w:r w:rsidRPr="00477229">
        <w:rPr>
          <w:rFonts w:cs="Segoe UI"/>
          <w:color w:val="211D1E"/>
          <w:sz w:val="16"/>
          <w:szCs w:val="16"/>
        </w:rPr>
        <w:t xml:space="preserve"> </w:t>
      </w:r>
      <w:r w:rsidRPr="0032771A">
        <w:rPr>
          <w:rFonts w:cs="Segoe UI"/>
          <w:i/>
          <w:iCs/>
          <w:color w:val="211D1E"/>
          <w:sz w:val="16"/>
          <w:szCs w:val="16"/>
        </w:rPr>
        <w:t>Canadian Journal of Psychiatry</w:t>
      </w:r>
      <w:r w:rsidRPr="00477229">
        <w:rPr>
          <w:rFonts w:cs="Segoe UI"/>
          <w:color w:val="211D1E"/>
          <w:sz w:val="16"/>
          <w:szCs w:val="16"/>
        </w:rPr>
        <w:t xml:space="preserve"> </w:t>
      </w:r>
      <w:r>
        <w:rPr>
          <w:rFonts w:cs="Segoe UI"/>
          <w:color w:val="211D1E"/>
          <w:sz w:val="16"/>
          <w:szCs w:val="16"/>
        </w:rPr>
        <w:t>48(</w:t>
      </w:r>
      <w:r w:rsidRPr="00477229">
        <w:rPr>
          <w:rFonts w:cs="Segoe UI"/>
          <w:color w:val="211D1E"/>
          <w:sz w:val="16"/>
          <w:szCs w:val="16"/>
        </w:rPr>
        <w:t>5</w:t>
      </w:r>
      <w:r>
        <w:rPr>
          <w:rFonts w:cs="Segoe UI"/>
          <w:color w:val="211D1E"/>
          <w:sz w:val="16"/>
          <w:szCs w:val="16"/>
        </w:rPr>
        <w:t>):</w:t>
      </w:r>
      <w:r w:rsidRPr="00477229">
        <w:rPr>
          <w:rFonts w:cs="Segoe UI"/>
          <w:color w:val="211D1E"/>
          <w:sz w:val="16"/>
          <w:szCs w:val="16"/>
        </w:rPr>
        <w:t xml:space="preserve"> 330</w:t>
      </w:r>
      <w:r>
        <w:rPr>
          <w:rFonts w:cs="Segoe UI"/>
          <w:color w:val="211D1E"/>
          <w:sz w:val="16"/>
          <w:szCs w:val="16"/>
        </w:rPr>
        <w:t>–</w:t>
      </w:r>
      <w:r w:rsidRPr="00477229">
        <w:rPr>
          <w:rFonts w:cs="Segoe UI"/>
          <w:color w:val="211D1E"/>
          <w:sz w:val="16"/>
          <w:szCs w:val="16"/>
        </w:rPr>
        <w:t>7.</w:t>
      </w:r>
    </w:p>
  </w:footnote>
  <w:footnote w:id="21">
    <w:p w14:paraId="7C3B5493" w14:textId="77777777" w:rsidR="00A26CD1" w:rsidRPr="00477229" w:rsidRDefault="00A26CD1" w:rsidP="00B0292E">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w:t>
      </w:r>
      <w:hyperlink r:id="rId6" w:history="1">
        <w:r w:rsidRPr="00817246">
          <w:rPr>
            <w:rStyle w:val="Hyperlink"/>
            <w:rFonts w:cs="Segoe UI"/>
            <w:sz w:val="16"/>
            <w:szCs w:val="16"/>
          </w:rPr>
          <w:t>www.hqsc.govt.nz/resources/resource-library/zero-seclusion-case-studies-how-dhbs-are-successfully-reducing-the-use-of-seclusion/</w:t>
        </w:r>
      </w:hyperlink>
      <w:r w:rsidRPr="00817246">
        <w:rPr>
          <w:rFonts w:cs="Segoe UI"/>
          <w:sz w:val="16"/>
          <w:szCs w:val="16"/>
        </w:rPr>
        <w:t xml:space="preserve"> (accessed 28 March 2023).</w:t>
      </w:r>
      <w:r>
        <w:rPr>
          <w:rFonts w:cs="Segoe UI"/>
          <w:sz w:val="16"/>
          <w:szCs w:val="16"/>
        </w:rPr>
        <w:t xml:space="preserve"> </w:t>
      </w:r>
    </w:p>
  </w:footnote>
  <w:footnote w:id="22">
    <w:p w14:paraId="0B2887F0" w14:textId="77777777" w:rsidR="00A26CD1" w:rsidRPr="003E0E16" w:rsidRDefault="00A26CD1" w:rsidP="00B0292E">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w:t>
      </w:r>
      <w:r w:rsidRPr="00B6194E">
        <w:rPr>
          <w:color w:val="211D1E"/>
          <w:sz w:val="16"/>
        </w:rPr>
        <w:t xml:space="preserve">Te Pou provides a range of resources and evidence on least restrictive practice at </w:t>
      </w:r>
      <w:hyperlink r:id="rId7" w:history="1">
        <w:r w:rsidRPr="002548A5">
          <w:rPr>
            <w:rStyle w:val="Hyperlink"/>
            <w:sz w:val="16"/>
          </w:rPr>
          <w:t>www.tepou.co.nz/initiatives/reducing-seclusion-and-restraint</w:t>
        </w:r>
      </w:hyperlink>
      <w:r>
        <w:rPr>
          <w:color w:val="211D1E"/>
          <w:sz w:val="16"/>
        </w:rPr>
        <w:t xml:space="preserve"> (accessed 28 March 2023).</w:t>
      </w:r>
    </w:p>
  </w:footnote>
  <w:footnote w:id="23">
    <w:p w14:paraId="2CF3B178" w14:textId="77777777" w:rsidR="00A26CD1" w:rsidRPr="0034724D" w:rsidRDefault="00A26CD1" w:rsidP="00B0292E">
      <w:pPr>
        <w:pBdr>
          <w:top w:val="nil"/>
          <w:left w:val="nil"/>
          <w:bottom w:val="nil"/>
          <w:right w:val="nil"/>
          <w:between w:val="nil"/>
        </w:pBdr>
        <w:rPr>
          <w:rFonts w:cs="Segoe UI"/>
          <w:color w:val="000000"/>
          <w:sz w:val="16"/>
        </w:rPr>
      </w:pPr>
      <w:r w:rsidRPr="00477229">
        <w:rPr>
          <w:rStyle w:val="FootnoteReference"/>
          <w:rFonts w:cs="Segoe UI"/>
          <w:sz w:val="16"/>
          <w:szCs w:val="16"/>
        </w:rPr>
        <w:footnoteRef/>
      </w:r>
      <w:r w:rsidRPr="00477229">
        <w:rPr>
          <w:rFonts w:cs="Segoe UI"/>
          <w:color w:val="000000"/>
          <w:sz w:val="16"/>
          <w:szCs w:val="16"/>
        </w:rPr>
        <w:t xml:space="preserve"> </w:t>
      </w:r>
      <w:hyperlink r:id="rId8" w:history="1">
        <w:r w:rsidRPr="00FF56EE">
          <w:rPr>
            <w:rStyle w:val="Hyperlink"/>
            <w:rFonts w:cs="Segoe UI"/>
            <w:sz w:val="16"/>
            <w:szCs w:val="16"/>
          </w:rPr>
          <w:t>www.health.govt.nz/our-work/populations/maori-health/te-tiriti-o-waitangi</w:t>
        </w:r>
      </w:hyperlink>
      <w:r>
        <w:rPr>
          <w:rFonts w:cs="Segoe UI"/>
          <w:color w:val="000000"/>
          <w:sz w:val="16"/>
        </w:rPr>
        <w:t xml:space="preserve"> (accessed 28 March 2023).</w:t>
      </w:r>
    </w:p>
  </w:footnote>
  <w:footnote w:id="24">
    <w:p w14:paraId="1BEC13AD" w14:textId="77777777" w:rsidR="00A26CD1" w:rsidRPr="00694B41" w:rsidRDefault="00A26CD1" w:rsidP="0013032B">
      <w:pPr>
        <w:pBdr>
          <w:top w:val="nil"/>
          <w:left w:val="nil"/>
          <w:bottom w:val="nil"/>
          <w:right w:val="nil"/>
          <w:between w:val="nil"/>
        </w:pBdr>
        <w:ind w:left="284" w:hanging="284"/>
        <w:rPr>
          <w:rFonts w:cs="Segoe UI"/>
          <w:color w:val="000000"/>
          <w:sz w:val="16"/>
          <w:szCs w:val="16"/>
        </w:rPr>
      </w:pPr>
      <w:r w:rsidRPr="00694B41">
        <w:rPr>
          <w:rStyle w:val="FootnoteReference"/>
          <w:rFonts w:cs="Segoe UI"/>
          <w:sz w:val="16"/>
          <w:szCs w:val="16"/>
        </w:rPr>
        <w:footnoteRef/>
      </w:r>
      <w:r w:rsidRPr="00694B41">
        <w:rPr>
          <w:rFonts w:cs="Segoe UI"/>
          <w:color w:val="000000"/>
          <w:sz w:val="16"/>
          <w:szCs w:val="16"/>
        </w:rPr>
        <w:t xml:space="preserve"> Ministry of Health. 2022. </w:t>
      </w:r>
      <w:hyperlink r:id="rId9">
        <w:r w:rsidRPr="00694B41">
          <w:rPr>
            <w:rFonts w:eastAsia="Quattrocento Sans" w:cs="Segoe UI"/>
            <w:i/>
            <w:iCs/>
            <w:color w:val="0563C1"/>
            <w:sz w:val="16"/>
            <w:szCs w:val="16"/>
            <w:u w:val="single"/>
          </w:rPr>
          <w:t>Guidelines to the Mental Health (Compulsory Assessment and Treatment) Act 1992</w:t>
        </w:r>
      </w:hyperlink>
      <w:r w:rsidRPr="00694B41">
        <w:rPr>
          <w:rFonts w:eastAsia="Quattrocento Sans" w:cs="Segoe UI"/>
          <w:color w:val="000000"/>
          <w:sz w:val="16"/>
          <w:szCs w:val="16"/>
        </w:rPr>
        <w:t>.</w:t>
      </w:r>
      <w:r w:rsidRPr="00694B41">
        <w:rPr>
          <w:rFonts w:cs="Segoe UI"/>
          <w:color w:val="000000"/>
          <w:sz w:val="16"/>
          <w:szCs w:val="16"/>
        </w:rPr>
        <w:t xml:space="preserve"> Wellington: Ministry of Health.</w:t>
      </w:r>
    </w:p>
  </w:footnote>
  <w:footnote w:id="25">
    <w:p w14:paraId="4ABB8779" w14:textId="77777777" w:rsidR="00A26CD1" w:rsidRPr="00694B41" w:rsidRDefault="00A26CD1" w:rsidP="0013032B">
      <w:pPr>
        <w:pBdr>
          <w:top w:val="nil"/>
          <w:left w:val="nil"/>
          <w:bottom w:val="nil"/>
          <w:right w:val="nil"/>
          <w:between w:val="nil"/>
        </w:pBdr>
        <w:ind w:left="284" w:hanging="284"/>
        <w:rPr>
          <w:rFonts w:cs="Segoe UI"/>
          <w:color w:val="000000"/>
          <w:sz w:val="16"/>
          <w:szCs w:val="16"/>
        </w:rPr>
      </w:pPr>
      <w:r w:rsidRPr="00694B41">
        <w:rPr>
          <w:rStyle w:val="FootnoteReference"/>
          <w:rFonts w:cs="Segoe UI"/>
          <w:sz w:val="16"/>
          <w:szCs w:val="16"/>
        </w:rPr>
        <w:footnoteRef/>
      </w:r>
      <w:r w:rsidRPr="00694B41">
        <w:rPr>
          <w:rFonts w:cs="Segoe UI"/>
          <w:color w:val="000000"/>
          <w:sz w:val="16"/>
          <w:szCs w:val="16"/>
        </w:rPr>
        <w:t xml:space="preserve"> The </w:t>
      </w:r>
      <w:r w:rsidRPr="00694B41">
        <w:rPr>
          <w:rFonts w:cs="Segoe UI"/>
          <w:sz w:val="16"/>
          <w:szCs w:val="16"/>
          <w:highlight w:val="white"/>
        </w:rPr>
        <w:t xml:space="preserve">Ministry’s definition of equity was signed off by Director-General of Health Dr Ashley Bloomfield, in March 2019. </w:t>
      </w:r>
      <w:r w:rsidRPr="00694B41">
        <w:rPr>
          <w:rFonts w:eastAsia="Quattrocento Sans" w:cs="Segoe UI"/>
          <w:sz w:val="16"/>
          <w:szCs w:val="16"/>
          <w:highlight w:val="white"/>
        </w:rPr>
        <w:t xml:space="preserve">See </w:t>
      </w:r>
      <w:hyperlink r:id="rId10" w:history="1">
        <w:r w:rsidRPr="00694B41">
          <w:rPr>
            <w:rStyle w:val="Hyperlink"/>
            <w:rFonts w:eastAsia="Quattrocento Sans" w:cs="Segoe UI"/>
            <w:sz w:val="16"/>
            <w:szCs w:val="16"/>
            <w:highlight w:val="white"/>
          </w:rPr>
          <w:t>www.health.govt.nz/about-ministry/what-we-do/work-programme-2019-20/achieving-equity</w:t>
        </w:r>
      </w:hyperlink>
      <w:r w:rsidRPr="00694B41">
        <w:rPr>
          <w:rFonts w:eastAsia="Quattrocento Sans" w:cs="Segoe UI"/>
          <w:color w:val="002639"/>
          <w:sz w:val="16"/>
          <w:szCs w:val="16"/>
          <w:highlight w:val="white"/>
        </w:rPr>
        <w:t xml:space="preserve"> </w:t>
      </w:r>
      <w:r w:rsidRPr="00694B41">
        <w:rPr>
          <w:rFonts w:eastAsia="Quattrocento Sans" w:cs="Segoe UI"/>
          <w:color w:val="002639"/>
          <w:sz w:val="16"/>
          <w:szCs w:val="16"/>
        </w:rPr>
        <w:t>(accessed 223 March 2023).</w:t>
      </w:r>
    </w:p>
  </w:footnote>
  <w:footnote w:id="26">
    <w:p w14:paraId="17490C91" w14:textId="77777777" w:rsidR="00A26CD1" w:rsidRPr="00694B41" w:rsidRDefault="00A26CD1" w:rsidP="00B0292E">
      <w:pPr>
        <w:pStyle w:val="FootnoteText"/>
        <w:rPr>
          <w:rFonts w:cs="Segoe UI"/>
          <w:sz w:val="16"/>
          <w:szCs w:val="16"/>
        </w:rPr>
      </w:pPr>
      <w:r w:rsidRPr="00694B41">
        <w:rPr>
          <w:rStyle w:val="FootnoteReference"/>
          <w:rFonts w:cs="Segoe UI"/>
          <w:sz w:val="16"/>
          <w:szCs w:val="16"/>
        </w:rPr>
        <w:footnoteRef/>
      </w:r>
      <w:r w:rsidRPr="00694B41">
        <w:rPr>
          <w:rFonts w:cs="Segoe UI"/>
          <w:sz w:val="16"/>
          <w:szCs w:val="16"/>
        </w:rPr>
        <w:t xml:space="preserve"> </w:t>
      </w:r>
      <w:hyperlink r:id="rId11" w:history="1">
        <w:r w:rsidRPr="00FF56EE">
          <w:rPr>
            <w:rStyle w:val="Hyperlink"/>
            <w:rFonts w:cs="Segoe UI"/>
            <w:sz w:val="16"/>
            <w:szCs w:val="16"/>
          </w:rPr>
          <w:t>www.health.govt.nz/about-ministry/what-we-do/combatting-racism-health-system</w:t>
        </w:r>
      </w:hyperlink>
      <w:r w:rsidRPr="00694B41">
        <w:rPr>
          <w:rFonts w:cs="Segoe UI"/>
          <w:sz w:val="16"/>
          <w:szCs w:val="16"/>
        </w:rPr>
        <w:t xml:space="preserve"> (accessed 28 March 2023). </w:t>
      </w:r>
    </w:p>
  </w:footnote>
  <w:footnote w:id="27">
    <w:p w14:paraId="6873E7D2" w14:textId="77777777" w:rsidR="00A26CD1" w:rsidRPr="00694B41" w:rsidRDefault="00A26CD1" w:rsidP="00B0292E">
      <w:pPr>
        <w:pStyle w:val="FootnoteText"/>
        <w:rPr>
          <w:rFonts w:cs="Segoe UI"/>
          <w:sz w:val="16"/>
          <w:szCs w:val="16"/>
        </w:rPr>
      </w:pPr>
      <w:r w:rsidRPr="00694B41">
        <w:rPr>
          <w:rStyle w:val="FootnoteReference"/>
          <w:rFonts w:cs="Segoe UI"/>
          <w:sz w:val="16"/>
          <w:szCs w:val="16"/>
        </w:rPr>
        <w:footnoteRef/>
      </w:r>
      <w:r w:rsidRPr="00694B41">
        <w:rPr>
          <w:rFonts w:cs="Segoe UI"/>
          <w:sz w:val="16"/>
          <w:szCs w:val="16"/>
        </w:rPr>
        <w:t xml:space="preserve"> </w:t>
      </w:r>
      <w:hyperlink r:id="rId12" w:history="1">
        <w:r w:rsidRPr="00694B41">
          <w:rPr>
            <w:rStyle w:val="Hyperlink"/>
            <w:rFonts w:cs="Segoe UI"/>
            <w:sz w:val="16"/>
            <w:szCs w:val="16"/>
          </w:rPr>
          <w:t>www.health.govt.nz/our-work/populations/maori-health/maori-health-models/maori-health-models-te-whare-tapa-wha</w:t>
        </w:r>
      </w:hyperlink>
      <w:r w:rsidRPr="00694B41">
        <w:rPr>
          <w:rFonts w:cs="Segoe UI"/>
          <w:sz w:val="16"/>
          <w:szCs w:val="16"/>
        </w:rPr>
        <w:t xml:space="preserve"> (accessed 28 March 2023). </w:t>
      </w:r>
    </w:p>
  </w:footnote>
  <w:footnote w:id="28">
    <w:p w14:paraId="419158A1" w14:textId="77777777" w:rsidR="00A26CD1" w:rsidRPr="007022F9" w:rsidRDefault="00A26CD1" w:rsidP="0013032B">
      <w:pPr>
        <w:pBdr>
          <w:top w:val="nil"/>
          <w:left w:val="nil"/>
          <w:bottom w:val="nil"/>
          <w:right w:val="nil"/>
          <w:between w:val="nil"/>
        </w:pBdr>
        <w:ind w:left="284" w:hanging="284"/>
        <w:rPr>
          <w:color w:val="000000"/>
          <w:sz w:val="16"/>
        </w:rPr>
      </w:pPr>
      <w:r w:rsidRPr="00694B41">
        <w:rPr>
          <w:rStyle w:val="FootnoteReference"/>
          <w:rFonts w:cs="Segoe UI"/>
          <w:sz w:val="16"/>
          <w:szCs w:val="16"/>
        </w:rPr>
        <w:footnoteRef/>
      </w:r>
      <w:r w:rsidRPr="00694B41">
        <w:rPr>
          <w:rFonts w:cs="Segoe UI"/>
          <w:color w:val="000000"/>
          <w:sz w:val="16"/>
          <w:szCs w:val="16"/>
        </w:rPr>
        <w:t xml:space="preserve"> Ministry of Health. 2021. </w:t>
      </w:r>
      <w:r w:rsidRPr="00694B41">
        <w:rPr>
          <w:rFonts w:cs="Segoe UI"/>
          <w:i/>
          <w:iCs/>
          <w:color w:val="000000"/>
          <w:sz w:val="16"/>
          <w:szCs w:val="16"/>
        </w:rPr>
        <w:t>Office of the Director of Mental Health and Addiction Services Annual Report 2018 and 2019</w:t>
      </w:r>
      <w:r w:rsidRPr="00694B41">
        <w:rPr>
          <w:rFonts w:cs="Segoe UI"/>
          <w:color w:val="000000"/>
          <w:sz w:val="16"/>
          <w:szCs w:val="16"/>
        </w:rPr>
        <w:t>. Wellington: Ministry of Health.</w:t>
      </w:r>
    </w:p>
  </w:footnote>
  <w:footnote w:id="29">
    <w:p w14:paraId="0001DD34" w14:textId="77777777" w:rsidR="00A26CD1" w:rsidRPr="006072DF" w:rsidRDefault="00A26CD1" w:rsidP="00B0292E">
      <w:pPr>
        <w:pStyle w:val="FootnoteText"/>
        <w:rPr>
          <w:rFonts w:cs="Segoe UI"/>
          <w:sz w:val="16"/>
          <w:szCs w:val="16"/>
        </w:rPr>
      </w:pPr>
      <w:r w:rsidRPr="006072DF">
        <w:rPr>
          <w:rStyle w:val="FootnoteReference"/>
          <w:rFonts w:cs="Segoe UI"/>
          <w:sz w:val="16"/>
          <w:szCs w:val="16"/>
        </w:rPr>
        <w:footnoteRef/>
      </w:r>
      <w:r w:rsidRPr="006072DF">
        <w:rPr>
          <w:rFonts w:cs="Segoe UI"/>
          <w:sz w:val="16"/>
          <w:szCs w:val="16"/>
        </w:rPr>
        <w:t xml:space="preserve"> Waitangi Tribunal. 2019. </w:t>
      </w:r>
      <w:r w:rsidRPr="00694B41">
        <w:rPr>
          <w:rFonts w:cs="Segoe UI"/>
          <w:i/>
          <w:iCs/>
          <w:sz w:val="16"/>
          <w:szCs w:val="16"/>
        </w:rPr>
        <w:t>Hauora: Report on stage one of the health services and outcomes kaupapa inquiry. WAI 2575</w:t>
      </w:r>
      <w:r>
        <w:rPr>
          <w:rFonts w:cs="Segoe UI"/>
          <w:sz w:val="16"/>
          <w:szCs w:val="16"/>
        </w:rPr>
        <w:t>. Wellington:</w:t>
      </w:r>
      <w:r w:rsidRPr="006072DF">
        <w:rPr>
          <w:rFonts w:cs="Segoe UI"/>
          <w:sz w:val="16"/>
          <w:szCs w:val="16"/>
        </w:rPr>
        <w:t xml:space="preserve"> Waitangi Tribunal</w:t>
      </w:r>
      <w:r>
        <w:rPr>
          <w:rFonts w:cs="Segoe UI"/>
          <w:sz w:val="16"/>
          <w:szCs w:val="16"/>
        </w:rPr>
        <w:t>, p</w:t>
      </w:r>
      <w:r w:rsidRPr="006072DF">
        <w:rPr>
          <w:rFonts w:cs="Segoe UI"/>
          <w:sz w:val="16"/>
          <w:szCs w:val="16"/>
        </w:rPr>
        <w:t xml:space="preserve">.155. </w:t>
      </w:r>
    </w:p>
  </w:footnote>
  <w:footnote w:id="30">
    <w:p w14:paraId="628FB6A8" w14:textId="77777777" w:rsidR="00A26CD1" w:rsidRDefault="00A26CD1" w:rsidP="00B0292E">
      <w:pPr>
        <w:pStyle w:val="FootnoteText"/>
      </w:pPr>
      <w:r w:rsidRPr="00480ED0">
        <w:rPr>
          <w:rFonts w:cs="Segoe UI"/>
          <w:sz w:val="16"/>
          <w:szCs w:val="16"/>
          <w:vertAlign w:val="superscript"/>
        </w:rPr>
        <w:footnoteRef/>
      </w:r>
      <w:r w:rsidRPr="00480ED0">
        <w:rPr>
          <w:rFonts w:cs="Segoe UI"/>
          <w:sz w:val="16"/>
          <w:szCs w:val="16"/>
        </w:rPr>
        <w:t xml:space="preserve"> </w:t>
      </w:r>
      <w:hyperlink r:id="rId13" w:history="1">
        <w:r w:rsidRPr="00C11F6F">
          <w:rPr>
            <w:rStyle w:val="Hyperlink"/>
            <w:rFonts w:cs="Segoe UI"/>
            <w:sz w:val="16"/>
            <w:szCs w:val="16"/>
          </w:rPr>
          <w:t>tikatangata.org.nz/news/new-guide-to-help-health-professionals-deliver-rights-to-healthcare-and-health-protection</w:t>
        </w:r>
      </w:hyperlink>
      <w:r>
        <w:rPr>
          <w:rFonts w:cs="Segoe UI"/>
          <w:sz w:val="16"/>
          <w:szCs w:val="16"/>
        </w:rPr>
        <w:t xml:space="preserve"> (accessed 28 March 2023).</w:t>
      </w:r>
    </w:p>
  </w:footnote>
  <w:footnote w:id="31">
    <w:p w14:paraId="3E5F2FA9" w14:textId="77777777" w:rsidR="00A26CD1" w:rsidRPr="00270B84" w:rsidRDefault="00A26CD1" w:rsidP="0013032B">
      <w:pPr>
        <w:pBdr>
          <w:top w:val="nil"/>
          <w:left w:val="nil"/>
          <w:bottom w:val="nil"/>
          <w:right w:val="nil"/>
          <w:between w:val="nil"/>
        </w:pBdr>
        <w:ind w:left="284" w:hanging="284"/>
        <w:rPr>
          <w:color w:val="000000"/>
          <w:sz w:val="16"/>
        </w:rPr>
      </w:pPr>
      <w:r w:rsidRPr="00304079">
        <w:rPr>
          <w:rStyle w:val="FootnoteReference"/>
          <w:rFonts w:cs="Segoe UI"/>
          <w:sz w:val="16"/>
        </w:rPr>
        <w:footnoteRef/>
      </w:r>
      <w:r w:rsidRPr="007022F9">
        <w:rPr>
          <w:sz w:val="16"/>
        </w:rPr>
        <w:t xml:space="preserve"> </w:t>
      </w:r>
      <w:r w:rsidRPr="00145063">
        <w:rPr>
          <w:color w:val="000000"/>
          <w:sz w:val="16"/>
        </w:rPr>
        <w:t xml:space="preserve">Ministry of Health. 2020. </w:t>
      </w:r>
      <w:r w:rsidRPr="000C2567">
        <w:rPr>
          <w:i/>
          <w:iCs/>
          <w:color w:val="000000"/>
          <w:sz w:val="16"/>
        </w:rPr>
        <w:t>Human Rights and the Mental Health (Compulsory Assessment and Treatment) Act 1992</w:t>
      </w:r>
      <w:r w:rsidRPr="00145063">
        <w:rPr>
          <w:color w:val="000000"/>
          <w:sz w:val="16"/>
        </w:rPr>
        <w:t>. Wellington: Ministry of Health.</w:t>
      </w:r>
    </w:p>
  </w:footnote>
  <w:footnote w:id="32">
    <w:p w14:paraId="64B44BEC" w14:textId="77777777" w:rsidR="00A26CD1" w:rsidRPr="00145063" w:rsidRDefault="00A26CD1" w:rsidP="0013032B">
      <w:pPr>
        <w:pBdr>
          <w:top w:val="nil"/>
          <w:left w:val="nil"/>
          <w:bottom w:val="nil"/>
          <w:right w:val="nil"/>
          <w:between w:val="nil"/>
        </w:pBdr>
        <w:ind w:left="284" w:hanging="284"/>
        <w:rPr>
          <w:color w:val="000000"/>
          <w:sz w:val="16"/>
        </w:rPr>
      </w:pPr>
      <w:r w:rsidRPr="00F867B0">
        <w:rPr>
          <w:rStyle w:val="FootnoteReference"/>
          <w:rFonts w:cs="Segoe UI"/>
          <w:sz w:val="16"/>
          <w:szCs w:val="16"/>
        </w:rPr>
        <w:footnoteRef/>
      </w:r>
      <w:r w:rsidRPr="00145063">
        <w:rPr>
          <w:color w:val="000000"/>
          <w:sz w:val="16"/>
        </w:rPr>
        <w:t xml:space="preserve"> Ministry of Health. 2020. </w:t>
      </w:r>
      <w:r w:rsidRPr="000C2567">
        <w:rPr>
          <w:i/>
          <w:iCs/>
          <w:color w:val="000000"/>
          <w:sz w:val="16"/>
        </w:rPr>
        <w:t>Human Rights and the Mental Health (Compulsory Assessment and Treatment) Act 1992</w:t>
      </w:r>
      <w:r w:rsidRPr="00145063">
        <w:rPr>
          <w:color w:val="000000"/>
          <w:sz w:val="16"/>
        </w:rPr>
        <w:t>. Wellington: Ministry of Health.</w:t>
      </w:r>
    </w:p>
  </w:footnote>
  <w:footnote w:id="33">
    <w:p w14:paraId="73D17B4B" w14:textId="77777777" w:rsidR="00A26CD1" w:rsidRPr="000C2567" w:rsidRDefault="00A26CD1" w:rsidP="00B0292E">
      <w:pPr>
        <w:pStyle w:val="FootnoteText"/>
        <w:rPr>
          <w:rFonts w:eastAsiaTheme="minorEastAsia"/>
          <w:color w:val="000000"/>
          <w:sz w:val="16"/>
          <w:szCs w:val="21"/>
        </w:rPr>
      </w:pPr>
      <w:r w:rsidRPr="00304079">
        <w:rPr>
          <w:rStyle w:val="FootnoteReference"/>
          <w:rFonts w:cs="Segoe UI"/>
          <w:sz w:val="16"/>
          <w:szCs w:val="16"/>
        </w:rPr>
        <w:footnoteRef/>
      </w:r>
      <w:r>
        <w:t xml:space="preserve"> </w:t>
      </w:r>
      <w:r w:rsidRPr="0084307F">
        <w:rPr>
          <w:rFonts w:eastAsiaTheme="minorEastAsia"/>
          <w:color w:val="000000"/>
          <w:sz w:val="16"/>
          <w:szCs w:val="21"/>
        </w:rPr>
        <w:t>Government Inquiry into Mental Health and Addiction. 2018. He Ara Oranga: Report of the Government Inquiry into Mental Health and Addiction. Wellington: Government Inquiry into Mental Health and Addiction.</w:t>
      </w:r>
    </w:p>
  </w:footnote>
  <w:footnote w:id="34">
    <w:p w14:paraId="4673CEED" w14:textId="77777777" w:rsidR="00A26CD1" w:rsidRPr="00145063" w:rsidRDefault="00A26CD1" w:rsidP="00B0292E">
      <w:pPr>
        <w:pBdr>
          <w:top w:val="nil"/>
          <w:left w:val="nil"/>
          <w:bottom w:val="nil"/>
          <w:right w:val="nil"/>
          <w:between w:val="nil"/>
        </w:pBdr>
        <w:rPr>
          <w:color w:val="000000"/>
          <w:sz w:val="16"/>
        </w:rPr>
      </w:pPr>
      <w:r w:rsidRPr="00F867B0">
        <w:rPr>
          <w:rStyle w:val="FootnoteReference"/>
          <w:rFonts w:cs="Segoe UI"/>
          <w:sz w:val="16"/>
          <w:szCs w:val="16"/>
        </w:rPr>
        <w:footnoteRef/>
      </w:r>
      <w:r w:rsidRPr="00145063">
        <w:rPr>
          <w:color w:val="000000"/>
          <w:sz w:val="16"/>
        </w:rPr>
        <w:t xml:space="preserve"> </w:t>
      </w:r>
      <w:r w:rsidRPr="000C2567">
        <w:rPr>
          <w:i/>
          <w:iCs/>
          <w:color w:val="000000"/>
          <w:sz w:val="16"/>
        </w:rPr>
        <w:t>He Ara Oranga</w:t>
      </w:r>
      <w:r w:rsidRPr="00145063">
        <w:rPr>
          <w:color w:val="000000"/>
          <w:sz w:val="16"/>
        </w:rPr>
        <w:t>, p.</w:t>
      </w:r>
      <w:r>
        <w:rPr>
          <w:color w:val="000000"/>
          <w:sz w:val="16"/>
        </w:rPr>
        <w:t xml:space="preserve"> </w:t>
      </w:r>
      <w:r w:rsidRPr="00145063">
        <w:rPr>
          <w:color w:val="000000"/>
          <w:sz w:val="16"/>
        </w:rPr>
        <w:t>14</w:t>
      </w:r>
      <w:r>
        <w:rPr>
          <w:color w:val="000000"/>
          <w:sz w:val="16"/>
        </w:rPr>
        <w:t>.</w:t>
      </w:r>
    </w:p>
  </w:footnote>
  <w:footnote w:id="35">
    <w:p w14:paraId="63D63C7A" w14:textId="77777777" w:rsidR="00A26CD1" w:rsidRPr="00145063" w:rsidRDefault="00A26CD1" w:rsidP="00B0292E">
      <w:pPr>
        <w:pBdr>
          <w:top w:val="nil"/>
          <w:left w:val="nil"/>
          <w:bottom w:val="nil"/>
          <w:right w:val="nil"/>
          <w:between w:val="nil"/>
        </w:pBdr>
        <w:rPr>
          <w:rFonts w:ascii="Quattrocento Sans" w:hAnsi="Quattrocento Sans"/>
          <w:color w:val="000000"/>
          <w:sz w:val="16"/>
        </w:rPr>
      </w:pPr>
      <w:r w:rsidRPr="00F867B0">
        <w:rPr>
          <w:rStyle w:val="FootnoteReference"/>
          <w:rFonts w:cs="Segoe UI"/>
          <w:sz w:val="16"/>
          <w:szCs w:val="16"/>
        </w:rPr>
        <w:footnoteRef/>
      </w:r>
      <w:r w:rsidRPr="00145063">
        <w:rPr>
          <w:color w:val="000000"/>
          <w:sz w:val="16"/>
        </w:rPr>
        <w:t xml:space="preserve"> </w:t>
      </w:r>
      <w:r w:rsidRPr="000C2567">
        <w:rPr>
          <w:i/>
          <w:iCs/>
          <w:color w:val="000000"/>
          <w:sz w:val="16"/>
        </w:rPr>
        <w:t>He Ara Oranga</w:t>
      </w:r>
      <w:r w:rsidRPr="00145063">
        <w:rPr>
          <w:color w:val="000000"/>
          <w:sz w:val="16"/>
        </w:rPr>
        <w:t>, p.</w:t>
      </w:r>
      <w:r>
        <w:rPr>
          <w:color w:val="000000"/>
          <w:sz w:val="16"/>
        </w:rPr>
        <w:t xml:space="preserve"> </w:t>
      </w:r>
      <w:r w:rsidRPr="00145063">
        <w:rPr>
          <w:color w:val="000000"/>
          <w:sz w:val="16"/>
        </w:rPr>
        <w:t>189</w:t>
      </w:r>
      <w:r>
        <w:rPr>
          <w:color w:val="000000"/>
          <w:sz w:val="16"/>
        </w:rPr>
        <w:t>.</w:t>
      </w:r>
      <w:r w:rsidRPr="00145063">
        <w:rPr>
          <w:color w:val="000000"/>
          <w:sz w:val="16"/>
        </w:rPr>
        <w:t xml:space="preserve"> </w:t>
      </w:r>
    </w:p>
  </w:footnote>
  <w:footnote w:id="36">
    <w:p w14:paraId="2CDB011E" w14:textId="77777777" w:rsidR="00A26CD1" w:rsidRDefault="00A26CD1" w:rsidP="00B0292E">
      <w:pPr>
        <w:pStyle w:val="FootnoteText"/>
      </w:pPr>
      <w:r w:rsidRPr="00304079">
        <w:rPr>
          <w:rStyle w:val="FootnoteReference"/>
          <w:rFonts w:cs="Segoe UI"/>
          <w:sz w:val="16"/>
          <w:szCs w:val="16"/>
        </w:rPr>
        <w:footnoteRef/>
      </w:r>
      <w:r>
        <w:t xml:space="preserve"> </w:t>
      </w:r>
      <w:r w:rsidRPr="0084307F">
        <w:rPr>
          <w:rFonts w:eastAsiaTheme="minorEastAsia"/>
          <w:color w:val="000000"/>
          <w:sz w:val="16"/>
          <w:szCs w:val="21"/>
        </w:rPr>
        <w:t>Ministry of Health. 2021. Kia Manawanui Aotearoa: Long-term pathway to mental wellbeing. Wellington: Ministry of Health.</w:t>
      </w:r>
    </w:p>
  </w:footnote>
  <w:footnote w:id="37">
    <w:p w14:paraId="68C6ABD8" w14:textId="77777777" w:rsidR="00A26CD1" w:rsidRPr="00145063" w:rsidRDefault="00A26CD1" w:rsidP="0023476E">
      <w:pPr>
        <w:pBdr>
          <w:top w:val="nil"/>
          <w:left w:val="nil"/>
          <w:bottom w:val="nil"/>
          <w:right w:val="nil"/>
          <w:between w:val="nil"/>
        </w:pBdr>
        <w:ind w:left="284" w:hanging="284"/>
        <w:rPr>
          <w:color w:val="000000"/>
          <w:sz w:val="16"/>
        </w:rPr>
      </w:pPr>
      <w:r w:rsidRPr="00F867B0">
        <w:rPr>
          <w:rStyle w:val="FootnoteReference"/>
          <w:rFonts w:cs="Segoe UI"/>
          <w:sz w:val="16"/>
          <w:szCs w:val="16"/>
        </w:rPr>
        <w:footnoteRef/>
      </w:r>
      <w:r w:rsidRPr="00145063">
        <w:rPr>
          <w:color w:val="000000"/>
          <w:sz w:val="16"/>
        </w:rPr>
        <w:t xml:space="preserve"> Ngā Paerewa came into effect on 28 February 2022, </w:t>
      </w:r>
      <w:r>
        <w:rPr>
          <w:color w:val="000000"/>
          <w:sz w:val="16"/>
        </w:rPr>
        <w:t xml:space="preserve">and </w:t>
      </w:r>
      <w:r w:rsidRPr="00145063">
        <w:rPr>
          <w:color w:val="000000"/>
          <w:sz w:val="16"/>
        </w:rPr>
        <w:t>replac</w:t>
      </w:r>
      <w:r>
        <w:rPr>
          <w:color w:val="000000"/>
          <w:sz w:val="16"/>
        </w:rPr>
        <w:t>ed</w:t>
      </w:r>
      <w:r w:rsidRPr="00145063">
        <w:rPr>
          <w:color w:val="000000"/>
          <w:sz w:val="16"/>
        </w:rPr>
        <w:t xml:space="preserve"> the Health and Disability Services Standards (NZS 8134:2008).</w:t>
      </w:r>
    </w:p>
  </w:footnote>
  <w:footnote w:id="38">
    <w:p w14:paraId="76BD207A" w14:textId="77777777" w:rsidR="00A26CD1" w:rsidRPr="00145063" w:rsidRDefault="00A26CD1" w:rsidP="0013032B">
      <w:pPr>
        <w:pBdr>
          <w:top w:val="nil"/>
          <w:left w:val="nil"/>
          <w:bottom w:val="nil"/>
          <w:right w:val="nil"/>
          <w:between w:val="nil"/>
        </w:pBdr>
        <w:ind w:left="284" w:hanging="284"/>
        <w:rPr>
          <w:color w:val="000000"/>
          <w:sz w:val="16"/>
        </w:rPr>
      </w:pPr>
      <w:r w:rsidRPr="00F867B0">
        <w:rPr>
          <w:rStyle w:val="FootnoteReference"/>
          <w:rFonts w:cs="Segoe UI"/>
          <w:sz w:val="16"/>
          <w:szCs w:val="16"/>
        </w:rPr>
        <w:footnoteRef/>
      </w:r>
      <w:r w:rsidRPr="00145063">
        <w:rPr>
          <w:color w:val="000000"/>
          <w:sz w:val="16"/>
        </w:rPr>
        <w:t xml:space="preserve"> These definitions have been </w:t>
      </w:r>
      <w:r>
        <w:rPr>
          <w:color w:val="000000"/>
          <w:sz w:val="16"/>
        </w:rPr>
        <w:t>adapted</w:t>
      </w:r>
      <w:r w:rsidRPr="00145063">
        <w:rPr>
          <w:color w:val="000000"/>
          <w:sz w:val="16"/>
        </w:rPr>
        <w:t xml:space="preserve"> from the (now superseded) Health and Disability Services Standards (NZS 8134:2008)</w:t>
      </w:r>
      <w:r>
        <w:rPr>
          <w:color w:val="000000"/>
          <w:sz w:val="16"/>
        </w:rPr>
        <w:t>.</w:t>
      </w:r>
    </w:p>
  </w:footnote>
  <w:footnote w:id="39">
    <w:p w14:paraId="5093EE5E" w14:textId="77777777" w:rsidR="00A26CD1" w:rsidRPr="00832A70" w:rsidRDefault="00A26CD1" w:rsidP="0023476E">
      <w:pPr>
        <w:pBdr>
          <w:top w:val="nil"/>
          <w:left w:val="nil"/>
          <w:bottom w:val="nil"/>
          <w:right w:val="nil"/>
          <w:between w:val="nil"/>
        </w:pBdr>
        <w:rPr>
          <w:color w:val="000000"/>
          <w:sz w:val="16"/>
        </w:rPr>
      </w:pPr>
      <w:r w:rsidRPr="001C55EA">
        <w:rPr>
          <w:color w:val="000000"/>
          <w:sz w:val="16"/>
          <w:vertAlign w:val="superscript"/>
        </w:rPr>
        <w:footnoteRef/>
      </w:r>
      <w:r w:rsidRPr="001C55EA">
        <w:rPr>
          <w:color w:val="000000"/>
          <w:sz w:val="16"/>
          <w:vertAlign w:val="superscript"/>
        </w:rPr>
        <w:t xml:space="preserve"> </w:t>
      </w:r>
      <w:r w:rsidRPr="00832A70">
        <w:rPr>
          <w:color w:val="000000"/>
          <w:sz w:val="16"/>
        </w:rPr>
        <w:t>In other jurisdictions</w:t>
      </w:r>
      <w:r>
        <w:rPr>
          <w:color w:val="000000"/>
          <w:sz w:val="16"/>
        </w:rPr>
        <w:t>,</w:t>
      </w:r>
      <w:r w:rsidRPr="00832A70">
        <w:rPr>
          <w:color w:val="000000"/>
          <w:sz w:val="16"/>
        </w:rPr>
        <w:t xml:space="preserve"> personal restraint is called </w:t>
      </w:r>
      <w:r>
        <w:rPr>
          <w:color w:val="000000"/>
          <w:sz w:val="16"/>
        </w:rPr>
        <w:t>‘</w:t>
      </w:r>
      <w:r w:rsidRPr="00832A70">
        <w:rPr>
          <w:color w:val="000000"/>
          <w:sz w:val="16"/>
        </w:rPr>
        <w:t>physical restraint</w:t>
      </w:r>
      <w:r>
        <w:rPr>
          <w:color w:val="000000"/>
          <w:sz w:val="16"/>
        </w:rPr>
        <w:t>’</w:t>
      </w:r>
      <w:r w:rsidRPr="00832A70">
        <w:rPr>
          <w:color w:val="000000"/>
          <w:sz w:val="16"/>
        </w:rPr>
        <w:t xml:space="preserve">.  </w:t>
      </w:r>
    </w:p>
  </w:footnote>
  <w:footnote w:id="40">
    <w:p w14:paraId="562C6457" w14:textId="77777777" w:rsidR="00A26CD1" w:rsidRPr="00832A70" w:rsidRDefault="00A26CD1" w:rsidP="0023476E">
      <w:pPr>
        <w:pBdr>
          <w:top w:val="nil"/>
          <w:left w:val="nil"/>
          <w:bottom w:val="nil"/>
          <w:right w:val="nil"/>
          <w:between w:val="nil"/>
        </w:pBdr>
        <w:rPr>
          <w:color w:val="000000"/>
          <w:sz w:val="16"/>
        </w:rPr>
      </w:pPr>
      <w:r w:rsidRPr="001C55EA">
        <w:rPr>
          <w:color w:val="000000"/>
          <w:sz w:val="16"/>
          <w:vertAlign w:val="superscript"/>
        </w:rPr>
        <w:footnoteRef/>
      </w:r>
      <w:r w:rsidRPr="00832A70">
        <w:rPr>
          <w:color w:val="000000"/>
          <w:sz w:val="16"/>
        </w:rPr>
        <w:t xml:space="preserve"> In other jurisdictions</w:t>
      </w:r>
      <w:r>
        <w:rPr>
          <w:color w:val="000000"/>
          <w:sz w:val="16"/>
        </w:rPr>
        <w:t>,</w:t>
      </w:r>
      <w:r w:rsidRPr="00832A70">
        <w:rPr>
          <w:color w:val="000000"/>
          <w:sz w:val="16"/>
        </w:rPr>
        <w:t xml:space="preserve"> physical restraint is called </w:t>
      </w:r>
      <w:r>
        <w:rPr>
          <w:color w:val="000000"/>
          <w:sz w:val="16"/>
        </w:rPr>
        <w:t>‘</w:t>
      </w:r>
      <w:r w:rsidRPr="00832A70">
        <w:rPr>
          <w:color w:val="000000"/>
          <w:sz w:val="16"/>
        </w:rPr>
        <w:t>mechanical restraint</w:t>
      </w:r>
      <w:r>
        <w:rPr>
          <w:color w:val="000000"/>
          <w:sz w:val="16"/>
        </w:rPr>
        <w:t>’</w:t>
      </w:r>
      <w:r w:rsidRPr="00832A70">
        <w:rPr>
          <w:color w:val="000000"/>
          <w:sz w:val="16"/>
        </w:rPr>
        <w:t xml:space="preserve">. </w:t>
      </w:r>
    </w:p>
  </w:footnote>
  <w:footnote w:id="41">
    <w:p w14:paraId="00122F6E" w14:textId="77777777" w:rsidR="00A26CD1" w:rsidRPr="00B4167B" w:rsidRDefault="00A26CD1" w:rsidP="0023476E">
      <w:pPr>
        <w:pStyle w:val="FootnoteText"/>
        <w:rPr>
          <w:rFonts w:cs="Segoe UI"/>
          <w:sz w:val="16"/>
          <w:szCs w:val="16"/>
        </w:rPr>
      </w:pPr>
      <w:r w:rsidRPr="00451E63">
        <w:rPr>
          <w:rStyle w:val="FootnoteReference"/>
          <w:rFonts w:cs="Segoe UI"/>
          <w:sz w:val="16"/>
          <w:szCs w:val="16"/>
        </w:rPr>
        <w:footnoteRef/>
      </w:r>
      <w:r w:rsidRPr="00451E63">
        <w:rPr>
          <w:rFonts w:cs="Segoe UI"/>
          <w:sz w:val="16"/>
          <w:szCs w:val="16"/>
        </w:rPr>
        <w:t xml:space="preserve"> </w:t>
      </w:r>
      <w:hyperlink r:id="rId14" w:history="1">
        <w:r w:rsidRPr="00FF56EE">
          <w:rPr>
            <w:rStyle w:val="Hyperlink"/>
            <w:rFonts w:cs="Segoe UI"/>
            <w:sz w:val="16"/>
            <w:szCs w:val="16"/>
          </w:rPr>
          <w:t>www.health.govt.nz/our-work/regulation-health-and-disability-system/certification-health-care-services/services-standard/resources-nga-paerewa-health-and-disability-services-standard/sector-guidance-nga-paerewa-health-and-disability-services-standard-nzs-81342021/part-3</w:t>
        </w:r>
      </w:hyperlink>
      <w:r>
        <w:t xml:space="preserve"> </w:t>
      </w:r>
      <w:r w:rsidRPr="00B4167B">
        <w:rPr>
          <w:rFonts w:cs="Segoe UI"/>
          <w:sz w:val="16"/>
          <w:szCs w:val="16"/>
        </w:rPr>
        <w:t>(accessed 29 March 2023).</w:t>
      </w:r>
    </w:p>
  </w:footnote>
  <w:footnote w:id="42">
    <w:p w14:paraId="54B24FEC" w14:textId="77777777" w:rsidR="00A26CD1" w:rsidRPr="00B243EC" w:rsidRDefault="00A26CD1" w:rsidP="0023476E">
      <w:pPr>
        <w:pStyle w:val="FootnoteText"/>
        <w:rPr>
          <w:rFonts w:cs="Segoe UI"/>
          <w:color w:val="000000"/>
          <w:sz w:val="16"/>
          <w:szCs w:val="16"/>
        </w:rPr>
      </w:pPr>
      <w:r w:rsidRPr="00B243EC">
        <w:rPr>
          <w:rStyle w:val="FootnoteReference"/>
          <w:rFonts w:cs="Segoe UI"/>
          <w:sz w:val="16"/>
          <w:szCs w:val="16"/>
        </w:rPr>
        <w:footnoteRef/>
      </w:r>
      <w:r w:rsidRPr="00B243EC">
        <w:rPr>
          <w:rFonts w:cs="Segoe UI"/>
          <w:sz w:val="16"/>
          <w:szCs w:val="16"/>
        </w:rPr>
        <w:t xml:space="preserve"> </w:t>
      </w:r>
      <w:hyperlink r:id="rId15" w:history="1">
        <w:r w:rsidRPr="00FD6806">
          <w:rPr>
            <w:rStyle w:val="Hyperlink"/>
            <w:rFonts w:eastAsiaTheme="minorEastAsia" w:cs="Segoe UI"/>
            <w:sz w:val="16"/>
            <w:szCs w:val="16"/>
          </w:rPr>
          <w:t>www.anzca.edu.au/getattachment/eccd42fd-1463-4964-9059-d49396d10472/PS63-Guideline-for-safe-care-for-patients-sedated-in-health-care-facilities-for-acute-behavioural-disturbance</w:t>
        </w:r>
      </w:hyperlink>
      <w:r w:rsidRPr="00B243EC">
        <w:rPr>
          <w:rFonts w:eastAsiaTheme="minorEastAsia" w:cs="Segoe UI"/>
          <w:color w:val="000000"/>
          <w:sz w:val="16"/>
          <w:szCs w:val="16"/>
        </w:rPr>
        <w:t xml:space="preserve"> </w:t>
      </w:r>
      <w:r>
        <w:rPr>
          <w:rFonts w:eastAsiaTheme="minorEastAsia" w:cs="Segoe UI"/>
          <w:color w:val="000000"/>
          <w:sz w:val="16"/>
          <w:szCs w:val="16"/>
        </w:rPr>
        <w:t>(accessed 31 March 2023).</w:t>
      </w:r>
    </w:p>
  </w:footnote>
  <w:footnote w:id="43">
    <w:p w14:paraId="57B0FD15" w14:textId="77777777" w:rsidR="00A26CD1" w:rsidRDefault="00A26CD1" w:rsidP="0023476E">
      <w:pPr>
        <w:pStyle w:val="FootnoteText"/>
      </w:pPr>
      <w:r w:rsidRPr="00CE06B0">
        <w:rPr>
          <w:rStyle w:val="FootnoteReference"/>
          <w:rFonts w:cs="Segoe UI"/>
          <w:sz w:val="16"/>
          <w:szCs w:val="16"/>
        </w:rPr>
        <w:footnoteRef/>
      </w:r>
      <w:r>
        <w:t xml:space="preserve"> </w:t>
      </w:r>
      <w:r w:rsidRPr="00645E19">
        <w:rPr>
          <w:rFonts w:cs="Segoe UI"/>
          <w:sz w:val="16"/>
          <w:szCs w:val="16"/>
        </w:rPr>
        <w:t>See section 1</w:t>
      </w:r>
      <w:r>
        <w:rPr>
          <w:rFonts w:cs="Segoe UI"/>
          <w:sz w:val="16"/>
          <w:szCs w:val="16"/>
        </w:rPr>
        <w:t>4</w:t>
      </w:r>
      <w:r w:rsidRPr="00645E19">
        <w:rPr>
          <w:rFonts w:cs="Segoe UI"/>
          <w:sz w:val="16"/>
          <w:szCs w:val="16"/>
        </w:rPr>
        <w:t xml:space="preserve">.7.3 of the </w:t>
      </w:r>
      <w:r w:rsidRPr="00500AC8">
        <w:rPr>
          <w:rFonts w:cs="Segoe UI"/>
          <w:i/>
          <w:iCs/>
          <w:sz w:val="16"/>
          <w:szCs w:val="16"/>
        </w:rPr>
        <w:t>Guidelines to the Mental Health (Compulsory Assessment and Treatment) Act 1992</w:t>
      </w:r>
      <w:r>
        <w:rPr>
          <w:rFonts w:cs="Segoe UI"/>
          <w:sz w:val="16"/>
          <w:szCs w:val="16"/>
        </w:rPr>
        <w:t>.</w:t>
      </w:r>
    </w:p>
  </w:footnote>
  <w:footnote w:id="44">
    <w:p w14:paraId="7BAD2B5C" w14:textId="77777777" w:rsidR="00A26CD1" w:rsidRPr="00B243EC" w:rsidRDefault="00A26CD1" w:rsidP="0013032B">
      <w:pPr>
        <w:pBdr>
          <w:top w:val="nil"/>
          <w:left w:val="nil"/>
          <w:bottom w:val="nil"/>
          <w:right w:val="nil"/>
          <w:between w:val="nil"/>
        </w:pBdr>
        <w:ind w:left="284" w:hanging="284"/>
        <w:rPr>
          <w:rFonts w:cs="Segoe UI"/>
          <w:color w:val="000000"/>
          <w:sz w:val="16"/>
          <w:szCs w:val="16"/>
        </w:rPr>
      </w:pPr>
      <w:r w:rsidRPr="00B243EC">
        <w:rPr>
          <w:rStyle w:val="FootnoteReference"/>
          <w:rFonts w:cs="Segoe UI"/>
          <w:sz w:val="16"/>
          <w:szCs w:val="16"/>
        </w:rPr>
        <w:footnoteRef/>
      </w:r>
      <w:r w:rsidRPr="00B243EC">
        <w:rPr>
          <w:rFonts w:cs="Segoe UI"/>
          <w:color w:val="000000"/>
          <w:sz w:val="16"/>
          <w:szCs w:val="16"/>
        </w:rPr>
        <w:t xml:space="preserve"> This whole-of-system approach was originally developed in the U</w:t>
      </w:r>
      <w:r>
        <w:rPr>
          <w:rFonts w:cs="Segoe UI"/>
          <w:color w:val="000000"/>
          <w:sz w:val="16"/>
          <w:szCs w:val="16"/>
        </w:rPr>
        <w:t xml:space="preserve">nited </w:t>
      </w:r>
      <w:r w:rsidRPr="00B243EC">
        <w:rPr>
          <w:rFonts w:cs="Segoe UI"/>
          <w:color w:val="000000"/>
          <w:sz w:val="16"/>
          <w:szCs w:val="16"/>
        </w:rPr>
        <w:t>S</w:t>
      </w:r>
      <w:r>
        <w:rPr>
          <w:rFonts w:cs="Segoe UI"/>
          <w:color w:val="000000"/>
          <w:sz w:val="16"/>
          <w:szCs w:val="16"/>
        </w:rPr>
        <w:t>tates</w:t>
      </w:r>
      <w:r w:rsidRPr="00B243EC">
        <w:rPr>
          <w:rFonts w:cs="Segoe UI"/>
          <w:color w:val="000000"/>
          <w:sz w:val="16"/>
          <w:szCs w:val="16"/>
        </w:rPr>
        <w:t xml:space="preserve"> by the National Association of State Mental Health Program Directors Medical Directors Council.</w:t>
      </w:r>
    </w:p>
  </w:footnote>
  <w:footnote w:id="45">
    <w:p w14:paraId="3D655EE2"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Azeem M, </w:t>
      </w:r>
      <w:r>
        <w:rPr>
          <w:rFonts w:cs="Segoe UI"/>
          <w:sz w:val="16"/>
          <w:szCs w:val="16"/>
        </w:rPr>
        <w:t xml:space="preserve">Aujla A, Rammerth M, </w:t>
      </w:r>
      <w:r w:rsidRPr="00B243EC">
        <w:rPr>
          <w:rFonts w:cs="Segoe UI"/>
          <w:sz w:val="16"/>
          <w:szCs w:val="16"/>
        </w:rPr>
        <w:t xml:space="preserve">et al. 2017. Effectiveness of six core strategies based on trauma informed care in reducing seclusions and restraints at a child and adolescent psychiatric hospital. </w:t>
      </w:r>
      <w:r w:rsidRPr="002D7532">
        <w:rPr>
          <w:rFonts w:cs="Segoe UI"/>
          <w:i/>
          <w:iCs/>
          <w:sz w:val="16"/>
          <w:szCs w:val="16"/>
        </w:rPr>
        <w:t>Journal of Child and Adolescent Psychiatric Nursing</w:t>
      </w:r>
      <w:r>
        <w:rPr>
          <w:rFonts w:cs="Segoe UI"/>
          <w:sz w:val="16"/>
          <w:szCs w:val="16"/>
        </w:rPr>
        <w:t xml:space="preserve"> 24(1): 11–15</w:t>
      </w:r>
    </w:p>
  </w:footnote>
  <w:footnote w:id="46">
    <w:p w14:paraId="74F5E4AE" w14:textId="77777777" w:rsidR="00A26CD1" w:rsidRPr="00B243EC" w:rsidRDefault="00A26CD1" w:rsidP="0013032B">
      <w:pPr>
        <w:pBdr>
          <w:top w:val="nil"/>
          <w:left w:val="nil"/>
          <w:bottom w:val="nil"/>
          <w:right w:val="nil"/>
          <w:between w:val="nil"/>
        </w:pBdr>
        <w:ind w:left="284" w:hanging="284"/>
        <w:rPr>
          <w:rFonts w:cs="Segoe UI"/>
          <w:color w:val="000000"/>
          <w:sz w:val="16"/>
          <w:szCs w:val="16"/>
        </w:rPr>
      </w:pPr>
      <w:r w:rsidRPr="00B243EC">
        <w:rPr>
          <w:rStyle w:val="FootnoteReference"/>
          <w:rFonts w:cs="Segoe UI"/>
          <w:sz w:val="16"/>
          <w:szCs w:val="16"/>
        </w:rPr>
        <w:footnoteRef/>
      </w:r>
      <w:r w:rsidRPr="00B243EC">
        <w:rPr>
          <w:rFonts w:cs="Segoe UI"/>
          <w:color w:val="000000"/>
          <w:sz w:val="16"/>
          <w:szCs w:val="16"/>
        </w:rPr>
        <w:t xml:space="preserve"> Te Pou</w:t>
      </w:r>
      <w:r>
        <w:rPr>
          <w:rFonts w:cs="Segoe UI"/>
          <w:color w:val="000000"/>
          <w:sz w:val="16"/>
          <w:szCs w:val="16"/>
        </w:rPr>
        <w:t xml:space="preserve"> </w:t>
      </w:r>
      <w:r w:rsidRPr="00D72DC8">
        <w:rPr>
          <w:rFonts w:cs="Segoe UI"/>
          <w:sz w:val="16"/>
          <w:szCs w:val="16"/>
        </w:rPr>
        <w:t>o te Whakaaro Nu</w:t>
      </w:r>
      <w:r>
        <w:rPr>
          <w:rFonts w:cs="Segoe UI"/>
          <w:sz w:val="16"/>
          <w:szCs w:val="16"/>
        </w:rPr>
        <w:t>i</w:t>
      </w:r>
      <w:r w:rsidRPr="00B243EC">
        <w:rPr>
          <w:rFonts w:cs="Segoe UI"/>
          <w:color w:val="000000"/>
          <w:sz w:val="16"/>
          <w:szCs w:val="16"/>
        </w:rPr>
        <w:t xml:space="preserve">. 2020. </w:t>
      </w:r>
      <w:r w:rsidRPr="00500AC8">
        <w:rPr>
          <w:rFonts w:cs="Segoe UI"/>
          <w:i/>
          <w:iCs/>
          <w:color w:val="000000"/>
          <w:sz w:val="16"/>
          <w:szCs w:val="16"/>
        </w:rPr>
        <w:t>Six Core Strategies© service review tool: New Zealand adaption</w:t>
      </w:r>
      <w:r w:rsidRPr="00B243EC">
        <w:rPr>
          <w:rFonts w:cs="Segoe UI"/>
          <w:color w:val="000000"/>
          <w:sz w:val="16"/>
          <w:szCs w:val="16"/>
        </w:rPr>
        <w:t xml:space="preserve"> (2</w:t>
      </w:r>
      <w:r w:rsidRPr="005171A7">
        <w:rPr>
          <w:rFonts w:cs="Segoe UI"/>
          <w:color w:val="000000"/>
          <w:sz w:val="16"/>
          <w:szCs w:val="16"/>
        </w:rPr>
        <w:t>nd</w:t>
      </w:r>
      <w:r w:rsidRPr="00B243EC">
        <w:rPr>
          <w:rFonts w:cs="Segoe UI"/>
          <w:color w:val="000000"/>
          <w:sz w:val="16"/>
          <w:szCs w:val="16"/>
        </w:rPr>
        <w:t xml:space="preserve"> edition). Auckland: Te Pou</w:t>
      </w:r>
      <w:r>
        <w:rPr>
          <w:rFonts w:cs="Segoe UI"/>
          <w:color w:val="000000"/>
          <w:sz w:val="16"/>
          <w:szCs w:val="16"/>
        </w:rPr>
        <w:t xml:space="preserve"> </w:t>
      </w:r>
      <w:r w:rsidRPr="00D72DC8">
        <w:rPr>
          <w:rFonts w:cs="Segoe UI"/>
          <w:sz w:val="16"/>
          <w:szCs w:val="16"/>
        </w:rPr>
        <w:t>o te Whakaaro Nu</w:t>
      </w:r>
      <w:r>
        <w:rPr>
          <w:rFonts w:cs="Segoe UI"/>
          <w:sz w:val="16"/>
          <w:szCs w:val="16"/>
        </w:rPr>
        <w:t>i</w:t>
      </w:r>
      <w:r w:rsidRPr="00B243EC">
        <w:rPr>
          <w:rFonts w:cs="Segoe UI"/>
          <w:color w:val="000000"/>
          <w:sz w:val="16"/>
          <w:szCs w:val="16"/>
        </w:rPr>
        <w:t>.</w:t>
      </w:r>
    </w:p>
  </w:footnote>
  <w:footnote w:id="47">
    <w:p w14:paraId="1852EC96" w14:textId="77777777" w:rsidR="00A26CD1" w:rsidRPr="007022F9" w:rsidRDefault="00A26CD1" w:rsidP="0013032B">
      <w:pPr>
        <w:ind w:left="284" w:hanging="284"/>
        <w:rPr>
          <w:sz w:val="16"/>
        </w:rPr>
      </w:pPr>
      <w:r w:rsidRPr="00B243EC">
        <w:rPr>
          <w:rStyle w:val="FootnoteReference"/>
          <w:rFonts w:cs="Segoe UI"/>
          <w:sz w:val="16"/>
          <w:szCs w:val="16"/>
        </w:rPr>
        <w:footnoteRef/>
      </w:r>
      <w:r w:rsidRPr="00B243EC">
        <w:rPr>
          <w:rFonts w:eastAsia="Quattrocento Sans" w:cs="Segoe UI"/>
          <w:sz w:val="16"/>
          <w:szCs w:val="16"/>
        </w:rPr>
        <w:t xml:space="preserve"> </w:t>
      </w:r>
      <w:hyperlink r:id="rId16">
        <w:r w:rsidRPr="00B243EC" w:rsidDel="00B76B7F">
          <w:rPr>
            <w:rFonts w:eastAsia="Quattrocento Sans" w:cs="Segoe UI"/>
            <w:color w:val="0563C1"/>
            <w:sz w:val="16"/>
            <w:szCs w:val="16"/>
            <w:u w:val="single"/>
          </w:rPr>
          <w:t>www.tepou.co.nz/initiatives/reducing-seclusion-and-restraint/the-six-core-strategies-service-review-tool</w:t>
        </w:r>
      </w:hyperlink>
      <w:r w:rsidRPr="000E3445">
        <w:rPr>
          <w:rFonts w:eastAsia="Quattrocento Sans" w:cs="Segoe UI"/>
          <w:sz w:val="16"/>
          <w:szCs w:val="16"/>
        </w:rPr>
        <w:t xml:space="preserve"> </w:t>
      </w:r>
      <w:r>
        <w:rPr>
          <w:rFonts w:eastAsia="Quattrocento Sans" w:cs="Segoe UI"/>
          <w:sz w:val="16"/>
          <w:szCs w:val="16"/>
        </w:rPr>
        <w:t>(accessed 29 March 2023).</w:t>
      </w:r>
    </w:p>
  </w:footnote>
  <w:footnote w:id="48">
    <w:p w14:paraId="404AF642" w14:textId="77777777" w:rsidR="00A26CD1" w:rsidRPr="00B243EC" w:rsidRDefault="00A26CD1" w:rsidP="00B7548E">
      <w:pPr>
        <w:pStyle w:val="FootnoteText"/>
        <w:rPr>
          <w:rStyle w:val="Hyperlink"/>
          <w:rFonts w:cs="Segoe UI"/>
          <w:sz w:val="16"/>
          <w:szCs w:val="16"/>
        </w:rPr>
      </w:pPr>
      <w:r w:rsidRPr="00B243EC">
        <w:rPr>
          <w:rStyle w:val="FootnoteReference"/>
          <w:rFonts w:cs="Segoe UI"/>
          <w:sz w:val="16"/>
          <w:szCs w:val="16"/>
        </w:rPr>
        <w:footnoteRef/>
      </w:r>
      <w:r w:rsidRPr="00B243EC">
        <w:rPr>
          <w:rFonts w:cs="Segoe UI"/>
          <w:sz w:val="16"/>
          <w:szCs w:val="16"/>
        </w:rPr>
        <w:t xml:space="preserve"> </w:t>
      </w:r>
      <w:hyperlink r:id="rId17" w:history="1">
        <w:r w:rsidRPr="00FD6806">
          <w:rPr>
            <w:rStyle w:val="Hyperlink"/>
            <w:rFonts w:cs="Segoe UI"/>
            <w:sz w:val="16"/>
            <w:szCs w:val="16"/>
          </w:rPr>
          <w:t>www.hqsc.govt.nz/our-work/mental-health-and-addiction-quality-improvement/projects/zero-seclusion-safety-and-dignity-for-all/</w:t>
        </w:r>
      </w:hyperlink>
      <w:r>
        <w:rPr>
          <w:rStyle w:val="Hyperlink"/>
          <w:rFonts w:cs="Segoe UI"/>
          <w:sz w:val="16"/>
          <w:szCs w:val="16"/>
        </w:rPr>
        <w:t xml:space="preserve"> </w:t>
      </w:r>
      <w:r>
        <w:rPr>
          <w:rFonts w:cs="Segoe UI"/>
          <w:color w:val="222222"/>
          <w:sz w:val="16"/>
          <w:szCs w:val="16"/>
          <w:shd w:val="clear" w:color="auto" w:fill="FFFFFF"/>
        </w:rPr>
        <w:t>(accessed 29 March 2023).</w:t>
      </w:r>
    </w:p>
  </w:footnote>
  <w:footnote w:id="49">
    <w:p w14:paraId="16D60B8F"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t xml:space="preserve"> </w:t>
      </w:r>
      <w:hyperlink r:id="rId18" w:history="1">
        <w:r w:rsidRPr="00FD6806">
          <w:rPr>
            <w:rStyle w:val="Hyperlink"/>
            <w:rFonts w:cs="Segoe UI"/>
            <w:sz w:val="16"/>
            <w:szCs w:val="16"/>
          </w:rPr>
          <w:t>www.hqsc.govt.nz/news/consumers-experience-of-seclusion/</w:t>
        </w:r>
      </w:hyperlink>
      <w:r w:rsidRPr="00B243EC">
        <w:rPr>
          <w:rFonts w:cs="Segoe UI"/>
          <w:sz w:val="16"/>
          <w:szCs w:val="16"/>
        </w:rPr>
        <w:t xml:space="preserve"> </w:t>
      </w:r>
      <w:r>
        <w:rPr>
          <w:rFonts w:cs="Segoe UI"/>
          <w:color w:val="222222"/>
          <w:sz w:val="16"/>
          <w:szCs w:val="16"/>
          <w:shd w:val="clear" w:color="auto" w:fill="FFFFFF"/>
        </w:rPr>
        <w:t>(accessed 29 March 2023).</w:t>
      </w:r>
    </w:p>
  </w:footnote>
  <w:footnote w:id="50">
    <w:p w14:paraId="2C862EAA"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w:t>
      </w:r>
      <w:hyperlink r:id="rId19" w:history="1">
        <w:r w:rsidRPr="00FD6806">
          <w:rPr>
            <w:rStyle w:val="Hyperlink"/>
            <w:rFonts w:cs="Segoe UI"/>
            <w:sz w:val="16"/>
            <w:szCs w:val="16"/>
          </w:rPr>
          <w:t>www.tepou.co.nz/initiatives/reducing-seclusion-and-restraint/safe-practice-effective-communication</w:t>
        </w:r>
      </w:hyperlink>
      <w:r>
        <w:rPr>
          <w:rFonts w:cs="Segoe UI"/>
          <w:sz w:val="16"/>
          <w:szCs w:val="16"/>
        </w:rPr>
        <w:t xml:space="preserve"> </w:t>
      </w:r>
      <w:r>
        <w:rPr>
          <w:rFonts w:cs="Segoe UI"/>
          <w:color w:val="222222"/>
          <w:sz w:val="16"/>
          <w:szCs w:val="16"/>
          <w:shd w:val="clear" w:color="auto" w:fill="FFFFFF"/>
        </w:rPr>
        <w:t>(accessed 29 March 2023).</w:t>
      </w:r>
    </w:p>
  </w:footnote>
  <w:footnote w:id="51">
    <w:p w14:paraId="32B8EEB3" w14:textId="77777777" w:rsidR="00A26CD1" w:rsidRPr="00645E19"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See section 15.7.3 of the </w:t>
      </w:r>
      <w:r w:rsidRPr="00D25324">
        <w:rPr>
          <w:rFonts w:cs="Segoe UI"/>
          <w:i/>
          <w:iCs/>
          <w:sz w:val="16"/>
          <w:szCs w:val="16"/>
        </w:rPr>
        <w:t>Guidelines to the Mental Health (Compulsory Assessment and Treatment) Act 1992</w:t>
      </w:r>
      <w:r w:rsidRPr="00B243EC">
        <w:rPr>
          <w:rFonts w:cs="Segoe UI"/>
          <w:sz w:val="16"/>
          <w:szCs w:val="16"/>
        </w:rPr>
        <w:t>.</w:t>
      </w:r>
    </w:p>
  </w:footnote>
  <w:footnote w:id="52">
    <w:p w14:paraId="7BAA12AE"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w:t>
      </w:r>
      <w:r w:rsidRPr="00B243EC">
        <w:rPr>
          <w:rFonts w:cs="Segoe UI"/>
          <w:color w:val="222222"/>
          <w:sz w:val="16"/>
          <w:szCs w:val="16"/>
          <w:shd w:val="clear" w:color="auto" w:fill="FFFFFF"/>
        </w:rPr>
        <w:t>Hollins L. 2017. The NICE 10 minute physical restraint rule: a discussion of the relative risks. </w:t>
      </w:r>
      <w:r w:rsidRPr="00B243EC">
        <w:rPr>
          <w:rFonts w:cs="Segoe UI"/>
          <w:i/>
          <w:iCs/>
          <w:color w:val="222222"/>
          <w:sz w:val="16"/>
          <w:szCs w:val="16"/>
          <w:shd w:val="clear" w:color="auto" w:fill="FFFFFF"/>
        </w:rPr>
        <w:t>Journal of Psychiatric and Mental Health Nursing</w:t>
      </w:r>
      <w:r w:rsidRPr="00B243EC">
        <w:rPr>
          <w:rFonts w:cs="Segoe UI"/>
          <w:color w:val="222222"/>
          <w:sz w:val="16"/>
          <w:szCs w:val="16"/>
          <w:shd w:val="clear" w:color="auto" w:fill="FFFFFF"/>
        </w:rPr>
        <w:t> </w:t>
      </w:r>
      <w:r w:rsidRPr="00E01436">
        <w:rPr>
          <w:rFonts w:cs="Segoe UI"/>
          <w:color w:val="222222"/>
          <w:sz w:val="16"/>
          <w:szCs w:val="16"/>
          <w:shd w:val="clear" w:color="auto" w:fill="FFFFFF"/>
        </w:rPr>
        <w:t>24</w:t>
      </w:r>
      <w:r w:rsidRPr="00B243EC">
        <w:rPr>
          <w:rFonts w:cs="Segoe UI"/>
          <w:color w:val="222222"/>
          <w:sz w:val="16"/>
          <w:szCs w:val="16"/>
          <w:shd w:val="clear" w:color="auto" w:fill="FFFFFF"/>
        </w:rPr>
        <w:t>(9</w:t>
      </w:r>
      <w:r>
        <w:rPr>
          <w:rFonts w:cs="Segoe UI"/>
          <w:color w:val="222222"/>
          <w:sz w:val="16"/>
          <w:szCs w:val="16"/>
          <w:shd w:val="clear" w:color="auto" w:fill="FFFFFF"/>
        </w:rPr>
        <w:t>–</w:t>
      </w:r>
      <w:r w:rsidRPr="00B243EC">
        <w:rPr>
          <w:rFonts w:cs="Segoe UI"/>
          <w:color w:val="222222"/>
          <w:sz w:val="16"/>
          <w:szCs w:val="16"/>
          <w:shd w:val="clear" w:color="auto" w:fill="FFFFFF"/>
        </w:rPr>
        <w:t>10)</w:t>
      </w:r>
      <w:r>
        <w:rPr>
          <w:rFonts w:cs="Segoe UI"/>
          <w:color w:val="222222"/>
          <w:sz w:val="16"/>
          <w:szCs w:val="16"/>
          <w:shd w:val="clear" w:color="auto" w:fill="FFFFFF"/>
        </w:rPr>
        <w:t>:</w:t>
      </w:r>
      <w:r w:rsidRPr="00B243EC">
        <w:rPr>
          <w:rFonts w:cs="Segoe UI"/>
          <w:color w:val="222222"/>
          <w:sz w:val="16"/>
          <w:szCs w:val="16"/>
          <w:shd w:val="clear" w:color="auto" w:fill="FFFFFF"/>
        </w:rPr>
        <w:t xml:space="preserve"> 719</w:t>
      </w:r>
      <w:r>
        <w:rPr>
          <w:rFonts w:cs="Segoe UI"/>
          <w:color w:val="222222"/>
          <w:sz w:val="16"/>
          <w:szCs w:val="16"/>
          <w:shd w:val="clear" w:color="auto" w:fill="FFFFFF"/>
        </w:rPr>
        <w:t>–</w:t>
      </w:r>
      <w:r w:rsidRPr="00B243EC">
        <w:rPr>
          <w:rFonts w:cs="Segoe UI"/>
          <w:color w:val="222222"/>
          <w:sz w:val="16"/>
          <w:szCs w:val="16"/>
          <w:shd w:val="clear" w:color="auto" w:fill="FFFFFF"/>
        </w:rPr>
        <w:t>26.</w:t>
      </w:r>
    </w:p>
  </w:footnote>
  <w:footnote w:id="53">
    <w:p w14:paraId="469B8C41" w14:textId="77777777" w:rsidR="00A26CD1" w:rsidRPr="00B243EC" w:rsidRDefault="00A26CD1" w:rsidP="00B7548E">
      <w:pPr>
        <w:pStyle w:val="FootnoteText"/>
        <w:rPr>
          <w:rStyle w:val="Hyperlink"/>
          <w:rFonts w:cs="Segoe UI"/>
          <w:sz w:val="16"/>
          <w:szCs w:val="16"/>
        </w:rPr>
      </w:pPr>
      <w:r w:rsidRPr="00B243EC">
        <w:rPr>
          <w:rStyle w:val="FootnoteReference"/>
          <w:rFonts w:cs="Segoe UI"/>
          <w:sz w:val="16"/>
          <w:szCs w:val="16"/>
        </w:rPr>
        <w:footnoteRef/>
      </w:r>
      <w:r w:rsidRPr="00B243EC">
        <w:rPr>
          <w:rFonts w:cs="Segoe UI"/>
          <w:sz w:val="16"/>
          <w:szCs w:val="16"/>
        </w:rPr>
        <w:t xml:space="preserve"> </w:t>
      </w:r>
      <w:hyperlink r:id="rId20" w:history="1">
        <w:r w:rsidRPr="00FD6806">
          <w:rPr>
            <w:rStyle w:val="Hyperlink"/>
            <w:rFonts w:cs="Segoe UI"/>
            <w:sz w:val="16"/>
            <w:szCs w:val="16"/>
          </w:rPr>
          <w:t>www.tepou.co.nz</w:t>
        </w:r>
      </w:hyperlink>
      <w:r>
        <w:rPr>
          <w:rStyle w:val="Hyperlink"/>
          <w:rFonts w:cs="Segoe UI"/>
          <w:sz w:val="16"/>
          <w:szCs w:val="16"/>
        </w:rPr>
        <w:t xml:space="preserve"> </w:t>
      </w:r>
      <w:r>
        <w:rPr>
          <w:rFonts w:cs="Segoe UI"/>
          <w:sz w:val="16"/>
          <w:szCs w:val="16"/>
        </w:rPr>
        <w:t>(accessed 29 March 2023).</w:t>
      </w:r>
    </w:p>
  </w:footnote>
  <w:footnote w:id="54">
    <w:p w14:paraId="58607AF2"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Ngā Paerewa, p</w:t>
      </w:r>
      <w:r>
        <w:rPr>
          <w:rFonts w:cs="Segoe UI"/>
          <w:sz w:val="16"/>
          <w:szCs w:val="16"/>
        </w:rPr>
        <w:t>.</w:t>
      </w:r>
      <w:r w:rsidRPr="00B243EC">
        <w:rPr>
          <w:rFonts w:cs="Segoe UI"/>
          <w:sz w:val="16"/>
          <w:szCs w:val="16"/>
        </w:rPr>
        <w:t xml:space="preserve"> 9. </w:t>
      </w:r>
    </w:p>
  </w:footnote>
  <w:footnote w:id="55">
    <w:p w14:paraId="08596DE2"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w:t>
      </w:r>
      <w:hyperlink r:id="rId21" w:history="1">
        <w:r w:rsidRPr="00FD6806">
          <w:rPr>
            <w:rStyle w:val="Hyperlink"/>
            <w:rFonts w:cs="Segoe UI"/>
            <w:sz w:val="16"/>
            <w:szCs w:val="16"/>
          </w:rPr>
          <w:t>www.health.govt.nz/our-work/populations/maori-health/maori-health-models/maori-health-models-te-whare-tapa-wha</w:t>
        </w:r>
      </w:hyperlink>
      <w:r>
        <w:rPr>
          <w:rFonts w:cs="Segoe UI"/>
          <w:sz w:val="16"/>
          <w:szCs w:val="16"/>
        </w:rPr>
        <w:t xml:space="preserve"> (accessed 29 March 2023).</w:t>
      </w:r>
    </w:p>
  </w:footnote>
  <w:footnote w:id="56">
    <w:p w14:paraId="69D93404" w14:textId="77777777" w:rsidR="00A26CD1" w:rsidRDefault="00A26CD1" w:rsidP="00B7548E">
      <w:pPr>
        <w:pStyle w:val="FootnoteText"/>
      </w:pPr>
      <w:r w:rsidRPr="00B243EC">
        <w:rPr>
          <w:rStyle w:val="FootnoteReference"/>
          <w:rFonts w:cs="Segoe UI"/>
          <w:sz w:val="16"/>
          <w:szCs w:val="16"/>
        </w:rPr>
        <w:footnoteRef/>
      </w:r>
      <w:r w:rsidRPr="00B243EC">
        <w:rPr>
          <w:rFonts w:cs="Segoe UI"/>
          <w:sz w:val="16"/>
          <w:szCs w:val="16"/>
        </w:rPr>
        <w:t xml:space="preserve"> Te Whare Tapa Whā was developed by Sir Mason Durie in 1984.</w:t>
      </w:r>
      <w:r>
        <w:rPr>
          <w:rFonts w:cs="Segoe UI"/>
          <w:sz w:val="16"/>
          <w:szCs w:val="16"/>
        </w:rPr>
        <w:t xml:space="preserve"> </w:t>
      </w:r>
      <w:r w:rsidRPr="00935F76">
        <w:rPr>
          <w:rFonts w:cs="Segoe UI"/>
          <w:sz w:val="16"/>
          <w:szCs w:val="16"/>
        </w:rPr>
        <w:t xml:space="preserve">  </w:t>
      </w:r>
    </w:p>
  </w:footnote>
  <w:footnote w:id="57">
    <w:p w14:paraId="4CAD7124"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Wharewera-Mika JP, </w:t>
      </w:r>
      <w:r>
        <w:rPr>
          <w:rFonts w:cs="Segoe UI"/>
          <w:sz w:val="16"/>
          <w:szCs w:val="16"/>
        </w:rPr>
        <w:t xml:space="preserve">Cooper E, Wiki N, </w:t>
      </w:r>
      <w:r w:rsidRPr="00B243EC">
        <w:rPr>
          <w:rFonts w:cs="Segoe UI"/>
          <w:sz w:val="16"/>
          <w:szCs w:val="16"/>
        </w:rPr>
        <w:t xml:space="preserve">et al. 2016. Strategies to reduce the use of seclusion with tangata whai i te ora (Māori mental health service users). </w:t>
      </w:r>
      <w:r w:rsidRPr="00AF78B4">
        <w:rPr>
          <w:rFonts w:cs="Segoe UI"/>
          <w:i/>
          <w:iCs/>
          <w:sz w:val="16"/>
          <w:szCs w:val="16"/>
        </w:rPr>
        <w:t>International Journal of Mental Health Nursing</w:t>
      </w:r>
      <w:r w:rsidRPr="00B243EC">
        <w:rPr>
          <w:rFonts w:cs="Segoe UI"/>
          <w:sz w:val="16"/>
          <w:szCs w:val="16"/>
        </w:rPr>
        <w:t xml:space="preserve"> 25(3): 258</w:t>
      </w:r>
      <w:r>
        <w:rPr>
          <w:rFonts w:cs="Segoe UI"/>
          <w:sz w:val="16"/>
          <w:szCs w:val="16"/>
        </w:rPr>
        <w:t>–</w:t>
      </w:r>
      <w:r w:rsidRPr="00B243EC">
        <w:rPr>
          <w:rFonts w:cs="Segoe UI"/>
          <w:sz w:val="16"/>
          <w:szCs w:val="16"/>
        </w:rPr>
        <w:t>65.</w:t>
      </w:r>
    </w:p>
  </w:footnote>
  <w:footnote w:id="58">
    <w:p w14:paraId="34DA5D4D"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w:t>
      </w:r>
      <w:hyperlink r:id="rId22" w:history="1">
        <w:r w:rsidRPr="000B0B5A">
          <w:rPr>
            <w:rStyle w:val="Hyperlink"/>
            <w:rFonts w:cs="Segoe UI"/>
            <w:sz w:val="16"/>
            <w:szCs w:val="16"/>
          </w:rPr>
          <w:t>d2ew8vb2gktr0m.cloudfront.net/files/resources/Least-restrictive-practice-evidence-update-November-2022.pdf</w:t>
        </w:r>
      </w:hyperlink>
      <w:r>
        <w:rPr>
          <w:rFonts w:cs="Segoe UI"/>
          <w:sz w:val="16"/>
          <w:szCs w:val="16"/>
        </w:rPr>
        <w:t xml:space="preserve"> (accessed 29 March 2023).</w:t>
      </w:r>
    </w:p>
  </w:footnote>
  <w:footnote w:id="59">
    <w:p w14:paraId="383A2A0A"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Snelling J</w:t>
      </w:r>
      <w:r>
        <w:rPr>
          <w:rFonts w:cs="Segoe UI"/>
          <w:sz w:val="16"/>
          <w:szCs w:val="16"/>
        </w:rPr>
        <w:t>,</w:t>
      </w:r>
      <w:r w:rsidRPr="00B243EC">
        <w:rPr>
          <w:rFonts w:cs="Segoe UI"/>
          <w:sz w:val="16"/>
          <w:szCs w:val="16"/>
        </w:rPr>
        <w:t xml:space="preserve"> Douglass A. 2019. Legal capacity and supported decision-making. In I Reuvecamp, J Dawson (eds) </w:t>
      </w:r>
      <w:r w:rsidRPr="00AF78B4">
        <w:rPr>
          <w:rFonts w:cs="Segoe UI"/>
          <w:i/>
          <w:iCs/>
          <w:sz w:val="16"/>
          <w:szCs w:val="16"/>
        </w:rPr>
        <w:t>Mental Capacity Law in New Zealand</w:t>
      </w:r>
      <w:r w:rsidRPr="00B243EC">
        <w:rPr>
          <w:rFonts w:cs="Segoe UI"/>
          <w:sz w:val="16"/>
          <w:szCs w:val="16"/>
        </w:rPr>
        <w:t>. Wellington: Thomson Reuters</w:t>
      </w:r>
    </w:p>
  </w:footnote>
  <w:footnote w:id="60">
    <w:p w14:paraId="2A6B9E05"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For the full wording of Right 7 see </w:t>
      </w:r>
      <w:hyperlink r:id="rId23" w:history="1">
        <w:r w:rsidRPr="00B243EC">
          <w:rPr>
            <w:rStyle w:val="Hyperlink"/>
            <w:rFonts w:cs="Segoe UI"/>
            <w:sz w:val="16"/>
            <w:szCs w:val="16"/>
          </w:rPr>
          <w:t>www.hdc.org.nz/your-rights/about-the-code/code-of-health-and-disability-services-consumers-rights/</w:t>
        </w:r>
      </w:hyperlink>
      <w:r w:rsidRPr="00B243EC">
        <w:rPr>
          <w:rFonts w:cs="Segoe UI"/>
          <w:sz w:val="16"/>
          <w:szCs w:val="16"/>
        </w:rPr>
        <w:t xml:space="preserve"> </w:t>
      </w:r>
      <w:r>
        <w:rPr>
          <w:rFonts w:cs="Segoe UI"/>
          <w:sz w:val="16"/>
          <w:szCs w:val="16"/>
        </w:rPr>
        <w:t>(accessed 29 March 2023).</w:t>
      </w:r>
    </w:p>
  </w:footnote>
  <w:footnote w:id="61">
    <w:p w14:paraId="7D99FE3A" w14:textId="77777777" w:rsidR="00A26CD1" w:rsidRPr="00451E63" w:rsidRDefault="00A26CD1" w:rsidP="0013032B">
      <w:pPr>
        <w:autoSpaceDE w:val="0"/>
        <w:autoSpaceDN w:val="0"/>
        <w:adjustRightInd w:val="0"/>
        <w:ind w:left="284" w:hanging="284"/>
        <w:rPr>
          <w:rFonts w:cs="Segoe UI"/>
          <w:sz w:val="16"/>
          <w:szCs w:val="16"/>
        </w:rPr>
      </w:pPr>
      <w:r w:rsidRPr="00B243EC">
        <w:rPr>
          <w:rStyle w:val="FootnoteReference"/>
          <w:rFonts w:cs="Segoe UI"/>
          <w:sz w:val="16"/>
          <w:szCs w:val="16"/>
        </w:rPr>
        <w:footnoteRef/>
      </w:r>
      <w:r w:rsidRPr="00B243EC">
        <w:rPr>
          <w:rFonts w:cs="Segoe UI"/>
          <w:sz w:val="16"/>
          <w:szCs w:val="16"/>
        </w:rPr>
        <w:t xml:space="preserve"> </w:t>
      </w:r>
      <w:r>
        <w:rPr>
          <w:rFonts w:cs="Segoe UI"/>
          <w:sz w:val="16"/>
          <w:szCs w:val="16"/>
        </w:rPr>
        <w:t>‘</w:t>
      </w:r>
      <w:r w:rsidRPr="00B243EC">
        <w:rPr>
          <w:rFonts w:cs="Segoe UI"/>
          <w:sz w:val="16"/>
          <w:szCs w:val="16"/>
        </w:rPr>
        <w:t xml:space="preserve">5.6 Psychiatrists shall support the decision-making of a patient with impaired capacity so that, where possible, a decision can be validly made. 5.7 Psychiatrists shall </w:t>
      </w:r>
      <w:r w:rsidRPr="00D027E0">
        <w:rPr>
          <w:rFonts w:cs="Segoe UI"/>
          <w:sz w:val="16"/>
          <w:szCs w:val="16"/>
        </w:rPr>
        <w:t>seek consent from an appropriate substitute decisionmaker</w:t>
      </w:r>
      <w:r>
        <w:rPr>
          <w:rFonts w:cs="Segoe UI"/>
          <w:sz w:val="16"/>
          <w:szCs w:val="16"/>
        </w:rPr>
        <w:t xml:space="preserve"> </w:t>
      </w:r>
      <w:r w:rsidRPr="00D027E0">
        <w:rPr>
          <w:rFonts w:cs="Segoe UI"/>
          <w:sz w:val="16"/>
          <w:szCs w:val="16"/>
        </w:rPr>
        <w:t>when valid consent cannot be given by the patient. This should respect</w:t>
      </w:r>
      <w:r>
        <w:rPr>
          <w:rFonts w:cs="Segoe UI"/>
          <w:sz w:val="16"/>
          <w:szCs w:val="16"/>
        </w:rPr>
        <w:t xml:space="preserve"> </w:t>
      </w:r>
      <w:r w:rsidRPr="00D027E0">
        <w:rPr>
          <w:rFonts w:cs="Segoe UI"/>
          <w:sz w:val="16"/>
          <w:szCs w:val="16"/>
        </w:rPr>
        <w:t>the rights, will and preferences of the patient, and take into account any</w:t>
      </w:r>
      <w:r>
        <w:rPr>
          <w:rFonts w:cs="Segoe UI"/>
          <w:sz w:val="16"/>
          <w:szCs w:val="16"/>
        </w:rPr>
        <w:t xml:space="preserve"> </w:t>
      </w:r>
      <w:r w:rsidRPr="00D027E0">
        <w:rPr>
          <w:rFonts w:cs="Segoe UI"/>
          <w:sz w:val="16"/>
          <w:szCs w:val="16"/>
        </w:rPr>
        <w:t>advance directive (see 5.10 for emergency situations).</w:t>
      </w:r>
      <w:r>
        <w:rPr>
          <w:rFonts w:cs="Segoe UI"/>
          <w:sz w:val="16"/>
          <w:szCs w:val="16"/>
        </w:rPr>
        <w:t>’</w:t>
      </w:r>
      <w:r w:rsidRPr="00B243EC">
        <w:rPr>
          <w:rFonts w:cs="Segoe UI"/>
          <w:sz w:val="16"/>
          <w:szCs w:val="16"/>
        </w:rPr>
        <w:t xml:space="preserve"> See </w:t>
      </w:r>
      <w:hyperlink r:id="rId24" w:history="1">
        <w:r w:rsidRPr="00FD6806">
          <w:rPr>
            <w:rStyle w:val="Hyperlink"/>
            <w:rFonts w:cs="Segoe UI"/>
            <w:sz w:val="16"/>
            <w:szCs w:val="16"/>
          </w:rPr>
          <w:t>www.ranzcp.org/files/about_us/code-of-ethics.aspx</w:t>
        </w:r>
      </w:hyperlink>
      <w:r w:rsidRPr="00451E63">
        <w:rPr>
          <w:rFonts w:cs="Segoe UI"/>
          <w:sz w:val="16"/>
          <w:szCs w:val="16"/>
        </w:rPr>
        <w:t xml:space="preserve"> </w:t>
      </w:r>
      <w:r>
        <w:rPr>
          <w:rFonts w:cs="Segoe UI"/>
          <w:sz w:val="16"/>
          <w:szCs w:val="16"/>
        </w:rPr>
        <w:t>(accessed 29 March 2023).</w:t>
      </w:r>
    </w:p>
  </w:footnote>
  <w:footnote w:id="62">
    <w:p w14:paraId="17BB042A"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See </w:t>
      </w:r>
      <w:r>
        <w:rPr>
          <w:rFonts w:cs="Segoe UI"/>
          <w:sz w:val="16"/>
          <w:szCs w:val="16"/>
        </w:rPr>
        <w:t xml:space="preserve">Section 4.6.2 of </w:t>
      </w:r>
      <w:r w:rsidRPr="00B243EC">
        <w:rPr>
          <w:rFonts w:cs="Segoe UI"/>
          <w:sz w:val="16"/>
          <w:szCs w:val="16"/>
        </w:rPr>
        <w:t xml:space="preserve">Ministry of Health. 2022. </w:t>
      </w:r>
      <w:r w:rsidRPr="0055522A">
        <w:rPr>
          <w:rFonts w:cs="Segoe UI"/>
          <w:i/>
          <w:iCs/>
          <w:sz w:val="16"/>
          <w:szCs w:val="16"/>
        </w:rPr>
        <w:t>Guidelines to the Mental Health (Compulsory Assessment and Treatment) Act 1992</w:t>
      </w:r>
      <w:r w:rsidRPr="00B243EC">
        <w:rPr>
          <w:rFonts w:cs="Segoe UI"/>
          <w:sz w:val="16"/>
          <w:szCs w:val="16"/>
        </w:rPr>
        <w:t xml:space="preserve">. Wellington: Ministry of Health. </w:t>
      </w:r>
    </w:p>
  </w:footnote>
  <w:footnote w:id="63">
    <w:p w14:paraId="7C9B73EE"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w:t>
      </w:r>
      <w:r w:rsidRPr="00B243EC">
        <w:rPr>
          <w:rFonts w:cs="Segoe UI"/>
          <w:sz w:val="16"/>
          <w:szCs w:val="16"/>
          <w:shd w:val="clear" w:color="auto" w:fill="FFFFFF"/>
        </w:rPr>
        <w:t xml:space="preserve">Ministry of Health. 2020. </w:t>
      </w:r>
      <w:r w:rsidRPr="0055522A">
        <w:rPr>
          <w:rFonts w:cs="Segoe UI"/>
          <w:i/>
          <w:iCs/>
          <w:sz w:val="16"/>
          <w:szCs w:val="16"/>
          <w:shd w:val="clear" w:color="auto" w:fill="FFFFFF"/>
        </w:rPr>
        <w:t>Human Rights and the Mental Health (Compulsory Assessment and Treatment) Act 1992</w:t>
      </w:r>
      <w:r w:rsidRPr="00B243EC">
        <w:rPr>
          <w:rFonts w:cs="Segoe UI"/>
          <w:sz w:val="16"/>
          <w:szCs w:val="16"/>
          <w:shd w:val="clear" w:color="auto" w:fill="FFFFFF"/>
        </w:rPr>
        <w:t>. Wellington: Ministry of Health.</w:t>
      </w:r>
    </w:p>
  </w:footnote>
  <w:footnote w:id="64">
    <w:p w14:paraId="72BB65E6"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See Section 2: Supported decision-making in </w:t>
      </w:r>
      <w:hyperlink r:id="rId25" w:history="1">
        <w:r w:rsidRPr="0055522A">
          <w:rPr>
            <w:rStyle w:val="Hyperlink"/>
            <w:rFonts w:cs="Segoe UI"/>
            <w:i/>
            <w:iCs/>
            <w:sz w:val="16"/>
            <w:szCs w:val="16"/>
          </w:rPr>
          <w:t>Human Rights and the Mental Health (Compulsory Assessment and Treatment) Act 1992</w:t>
        </w:r>
      </w:hyperlink>
      <w:r w:rsidRPr="00B243EC">
        <w:rPr>
          <w:rFonts w:cs="Segoe UI"/>
          <w:sz w:val="16"/>
          <w:szCs w:val="16"/>
        </w:rPr>
        <w:t>.</w:t>
      </w:r>
    </w:p>
  </w:footnote>
  <w:footnote w:id="65">
    <w:p w14:paraId="1A410CE3" w14:textId="77777777" w:rsidR="00A26CD1" w:rsidRPr="00B243EC" w:rsidRDefault="00A26CD1" w:rsidP="00B7548E">
      <w:pPr>
        <w:pStyle w:val="FootnoteText"/>
        <w:rPr>
          <w:rFonts w:cs="Segoe UI"/>
          <w:sz w:val="16"/>
          <w:szCs w:val="16"/>
        </w:rPr>
      </w:pPr>
      <w:r w:rsidRPr="00B243EC">
        <w:rPr>
          <w:rStyle w:val="FootnoteReference"/>
          <w:rFonts w:cs="Segoe UI"/>
          <w:sz w:val="16"/>
          <w:szCs w:val="16"/>
        </w:rPr>
        <w:footnoteRef/>
      </w:r>
      <w:r w:rsidRPr="00B243EC">
        <w:rPr>
          <w:rFonts w:cs="Segoe UI"/>
          <w:sz w:val="16"/>
          <w:szCs w:val="16"/>
        </w:rPr>
        <w:t xml:space="preserve"> </w:t>
      </w:r>
      <w:hyperlink r:id="rId26" w:history="1">
        <w:r w:rsidRPr="00B243EC">
          <w:rPr>
            <w:rStyle w:val="Hyperlink"/>
            <w:rFonts w:cs="Segoe UI"/>
            <w:sz w:val="16"/>
            <w:szCs w:val="16"/>
          </w:rPr>
          <w:t>msd.govt.nz/about-msd-and-our-work/work-programmes/accessibility/supported-decision-making.html</w:t>
        </w:r>
      </w:hyperlink>
      <w:r w:rsidRPr="00B243EC">
        <w:rPr>
          <w:rFonts w:cs="Segoe UI"/>
          <w:sz w:val="16"/>
          <w:szCs w:val="16"/>
        </w:rPr>
        <w:t xml:space="preserve"> </w:t>
      </w:r>
      <w:r>
        <w:rPr>
          <w:rFonts w:cs="Segoe UI"/>
          <w:sz w:val="16"/>
          <w:szCs w:val="16"/>
        </w:rPr>
        <w:t>(accessed 29 March 2023).</w:t>
      </w:r>
    </w:p>
  </w:footnote>
  <w:footnote w:id="66">
    <w:p w14:paraId="4C981C55" w14:textId="77777777" w:rsidR="00A26CD1" w:rsidRPr="007022F9" w:rsidRDefault="00A26CD1" w:rsidP="00B7548E">
      <w:pPr>
        <w:pStyle w:val="FootnoteText"/>
        <w:rPr>
          <w:sz w:val="16"/>
        </w:rPr>
      </w:pPr>
      <w:r w:rsidRPr="00A934CE">
        <w:rPr>
          <w:rStyle w:val="FootnoteReference"/>
          <w:rFonts w:cs="Segoe UI"/>
          <w:sz w:val="16"/>
          <w:szCs w:val="16"/>
        </w:rPr>
        <w:footnoteRef/>
      </w:r>
      <w:r w:rsidRPr="00A934CE">
        <w:rPr>
          <w:rFonts w:cs="Segoe UI"/>
          <w:sz w:val="16"/>
          <w:szCs w:val="16"/>
        </w:rPr>
        <w:t xml:space="preserve"> </w:t>
      </w:r>
      <w:hyperlink r:id="rId27" w:history="1">
        <w:r>
          <w:rPr>
            <w:rStyle w:val="Hyperlink"/>
            <w:sz w:val="16"/>
          </w:rPr>
          <w:t>www.southernhealth.nz/getting-help-you-need/mental-health-and-addictions/mental-health-advance-preferences-statement</w:t>
        </w:r>
      </w:hyperlink>
      <w:r>
        <w:rPr>
          <w:rStyle w:val="Hyperlink"/>
          <w:sz w:val="16"/>
        </w:rPr>
        <w:t xml:space="preserve"> </w:t>
      </w:r>
      <w:r>
        <w:rPr>
          <w:rFonts w:cs="Segoe UI"/>
          <w:sz w:val="16"/>
          <w:szCs w:val="16"/>
        </w:rPr>
        <w:t>(accessed 29 March 2023).</w:t>
      </w:r>
    </w:p>
  </w:footnote>
  <w:footnote w:id="67">
    <w:p w14:paraId="0283C7BE" w14:textId="77777777" w:rsidR="00A26CD1" w:rsidRPr="007022F9" w:rsidRDefault="00A26CD1" w:rsidP="0013032B">
      <w:pPr>
        <w:pBdr>
          <w:top w:val="nil"/>
          <w:left w:val="nil"/>
          <w:bottom w:val="nil"/>
          <w:right w:val="nil"/>
          <w:between w:val="nil"/>
        </w:pBdr>
        <w:ind w:left="284" w:hanging="284"/>
        <w:rPr>
          <w:color w:val="000000"/>
          <w:sz w:val="16"/>
        </w:rPr>
      </w:pPr>
      <w:r w:rsidRPr="007022F9">
        <w:rPr>
          <w:rStyle w:val="FootnoteReference"/>
          <w:sz w:val="16"/>
        </w:rPr>
        <w:footnoteRef/>
      </w:r>
      <w:r w:rsidRPr="00145063">
        <w:rPr>
          <w:color w:val="000000"/>
          <w:sz w:val="16"/>
        </w:rPr>
        <w:t xml:space="preserve"> </w:t>
      </w:r>
      <w:r w:rsidRPr="00145063">
        <w:rPr>
          <w:color w:val="212121"/>
          <w:sz w:val="16"/>
          <w:highlight w:val="white"/>
        </w:rPr>
        <w:t xml:space="preserve">Thom K, Lenagh-Glue J, O'Brien AJ, </w:t>
      </w:r>
      <w:r>
        <w:rPr>
          <w:color w:val="212121"/>
          <w:sz w:val="16"/>
          <w:highlight w:val="white"/>
        </w:rPr>
        <w:t>et al. 2019</w:t>
      </w:r>
      <w:r w:rsidRPr="00145063">
        <w:rPr>
          <w:color w:val="212121"/>
          <w:sz w:val="16"/>
          <w:highlight w:val="white"/>
        </w:rPr>
        <w:t xml:space="preserve">. Service user, whānau and peer support workers' perceptions of advance directives for mental health. </w:t>
      </w:r>
      <w:r w:rsidRPr="0055522A">
        <w:rPr>
          <w:i/>
          <w:iCs/>
          <w:color w:val="212121"/>
          <w:sz w:val="16"/>
          <w:highlight w:val="white"/>
        </w:rPr>
        <w:t>International Journal of Mental Health Nursing</w:t>
      </w:r>
      <w:r>
        <w:rPr>
          <w:color w:val="212121"/>
          <w:sz w:val="16"/>
          <w:highlight w:val="white"/>
        </w:rPr>
        <w:t xml:space="preserve"> </w:t>
      </w:r>
      <w:r w:rsidRPr="00145063">
        <w:rPr>
          <w:color w:val="212121"/>
          <w:sz w:val="16"/>
          <w:highlight w:val="white"/>
        </w:rPr>
        <w:t>28(6):</w:t>
      </w:r>
      <w:r>
        <w:rPr>
          <w:color w:val="212121"/>
          <w:sz w:val="16"/>
          <w:highlight w:val="white"/>
        </w:rPr>
        <w:t xml:space="preserve"> </w:t>
      </w:r>
      <w:r w:rsidRPr="00145063">
        <w:rPr>
          <w:color w:val="212121"/>
          <w:sz w:val="16"/>
          <w:highlight w:val="white"/>
        </w:rPr>
        <w:t>1296</w:t>
      </w:r>
      <w:r>
        <w:rPr>
          <w:color w:val="212121"/>
          <w:sz w:val="16"/>
          <w:highlight w:val="white"/>
        </w:rPr>
        <w:t>–</w:t>
      </w:r>
      <w:r w:rsidRPr="00145063">
        <w:rPr>
          <w:color w:val="212121"/>
          <w:sz w:val="16"/>
          <w:highlight w:val="white"/>
        </w:rPr>
        <w:t xml:space="preserve">1305. </w:t>
      </w:r>
    </w:p>
  </w:footnote>
  <w:footnote w:id="68">
    <w:p w14:paraId="149275DB" w14:textId="77777777" w:rsidR="00A26CD1" w:rsidRPr="00BB1EF0" w:rsidRDefault="00A26CD1" w:rsidP="00B7548E">
      <w:pPr>
        <w:pStyle w:val="FootnoteText"/>
        <w:rPr>
          <w:rFonts w:cs="Segoe UI"/>
          <w:sz w:val="16"/>
          <w:szCs w:val="16"/>
        </w:rPr>
      </w:pPr>
      <w:r w:rsidRPr="00BB1EF0">
        <w:rPr>
          <w:rStyle w:val="FootnoteReference"/>
          <w:rFonts w:cs="Segoe UI"/>
          <w:sz w:val="16"/>
          <w:szCs w:val="16"/>
        </w:rPr>
        <w:footnoteRef/>
      </w:r>
      <w:r w:rsidRPr="00BB1EF0">
        <w:rPr>
          <w:rFonts w:cs="Segoe UI"/>
          <w:sz w:val="16"/>
          <w:szCs w:val="16"/>
        </w:rPr>
        <w:t xml:space="preserve"> </w:t>
      </w:r>
      <w:r w:rsidRPr="00BB1EF0">
        <w:rPr>
          <w:rFonts w:cs="Segoe UI"/>
          <w:color w:val="222222"/>
          <w:sz w:val="16"/>
          <w:szCs w:val="16"/>
          <w:shd w:val="clear" w:color="auto" w:fill="FFFFFF"/>
        </w:rPr>
        <w:t xml:space="preserve">Lenagh-Glue J, O’Brien A, Dawson J, </w:t>
      </w:r>
      <w:r>
        <w:rPr>
          <w:rFonts w:cs="Segoe UI"/>
          <w:color w:val="222222"/>
          <w:sz w:val="16"/>
          <w:szCs w:val="16"/>
          <w:shd w:val="clear" w:color="auto" w:fill="FFFFFF"/>
        </w:rPr>
        <w:t>et al</w:t>
      </w:r>
      <w:r w:rsidRPr="00BB1EF0">
        <w:rPr>
          <w:rFonts w:cs="Segoe UI"/>
          <w:color w:val="222222"/>
          <w:sz w:val="16"/>
          <w:szCs w:val="16"/>
          <w:shd w:val="clear" w:color="auto" w:fill="FFFFFF"/>
        </w:rPr>
        <w:t>. 2018. A MAP to mental health: the process of creating a collaborative advance preferences instrument. </w:t>
      </w:r>
      <w:r w:rsidRPr="00BB1EF0">
        <w:rPr>
          <w:rFonts w:cs="Segoe UI"/>
          <w:i/>
          <w:iCs/>
          <w:color w:val="222222"/>
          <w:sz w:val="16"/>
          <w:szCs w:val="16"/>
          <w:shd w:val="clear" w:color="auto" w:fill="FFFFFF"/>
        </w:rPr>
        <w:t>N</w:t>
      </w:r>
      <w:r>
        <w:rPr>
          <w:rFonts w:cs="Segoe UI"/>
          <w:i/>
          <w:iCs/>
          <w:color w:val="222222"/>
          <w:sz w:val="16"/>
          <w:szCs w:val="16"/>
          <w:shd w:val="clear" w:color="auto" w:fill="FFFFFF"/>
        </w:rPr>
        <w:t xml:space="preserve">ew </w:t>
      </w:r>
      <w:r w:rsidRPr="00BB1EF0">
        <w:rPr>
          <w:rFonts w:cs="Segoe UI"/>
          <w:i/>
          <w:iCs/>
          <w:color w:val="222222"/>
          <w:sz w:val="16"/>
          <w:szCs w:val="16"/>
          <w:shd w:val="clear" w:color="auto" w:fill="FFFFFF"/>
        </w:rPr>
        <w:t>Z</w:t>
      </w:r>
      <w:r>
        <w:rPr>
          <w:rFonts w:cs="Segoe UI"/>
          <w:i/>
          <w:iCs/>
          <w:color w:val="222222"/>
          <w:sz w:val="16"/>
          <w:szCs w:val="16"/>
          <w:shd w:val="clear" w:color="auto" w:fill="FFFFFF"/>
        </w:rPr>
        <w:t>ealand</w:t>
      </w:r>
      <w:r w:rsidRPr="00BB1EF0">
        <w:rPr>
          <w:rFonts w:cs="Segoe UI"/>
          <w:i/>
          <w:iCs/>
          <w:color w:val="222222"/>
          <w:sz w:val="16"/>
          <w:szCs w:val="16"/>
          <w:shd w:val="clear" w:color="auto" w:fill="FFFFFF"/>
        </w:rPr>
        <w:t xml:space="preserve"> Med</w:t>
      </w:r>
      <w:r>
        <w:rPr>
          <w:rFonts w:cs="Segoe UI"/>
          <w:i/>
          <w:iCs/>
          <w:color w:val="222222"/>
          <w:sz w:val="16"/>
          <w:szCs w:val="16"/>
          <w:shd w:val="clear" w:color="auto" w:fill="FFFFFF"/>
        </w:rPr>
        <w:t>ical</w:t>
      </w:r>
      <w:r w:rsidRPr="00BB1EF0">
        <w:rPr>
          <w:rFonts w:cs="Segoe UI"/>
          <w:i/>
          <w:iCs/>
          <w:color w:val="222222"/>
          <w:sz w:val="16"/>
          <w:szCs w:val="16"/>
          <w:shd w:val="clear" w:color="auto" w:fill="FFFFFF"/>
        </w:rPr>
        <w:t xml:space="preserve"> J</w:t>
      </w:r>
      <w:r>
        <w:rPr>
          <w:rFonts w:cs="Segoe UI"/>
          <w:i/>
          <w:iCs/>
          <w:color w:val="222222"/>
          <w:sz w:val="16"/>
          <w:szCs w:val="16"/>
          <w:shd w:val="clear" w:color="auto" w:fill="FFFFFF"/>
        </w:rPr>
        <w:t>ournal</w:t>
      </w:r>
      <w:r w:rsidRPr="00BB1EF0">
        <w:rPr>
          <w:rFonts w:cs="Segoe UI"/>
          <w:color w:val="222222"/>
          <w:sz w:val="16"/>
          <w:szCs w:val="16"/>
          <w:shd w:val="clear" w:color="auto" w:fill="FFFFFF"/>
        </w:rPr>
        <w:t> </w:t>
      </w:r>
      <w:r w:rsidRPr="0055522A">
        <w:rPr>
          <w:rFonts w:cs="Segoe UI"/>
          <w:color w:val="222222"/>
          <w:sz w:val="16"/>
          <w:szCs w:val="16"/>
          <w:shd w:val="clear" w:color="auto" w:fill="FFFFFF"/>
        </w:rPr>
        <w:t>131</w:t>
      </w:r>
      <w:r>
        <w:rPr>
          <w:rFonts w:cs="Segoe UI"/>
          <w:color w:val="222222"/>
          <w:sz w:val="16"/>
          <w:szCs w:val="16"/>
          <w:shd w:val="clear" w:color="auto" w:fill="FFFFFF"/>
        </w:rPr>
        <w:t>:</w:t>
      </w:r>
      <w:r w:rsidRPr="00BB1EF0">
        <w:rPr>
          <w:rFonts w:cs="Segoe UI"/>
          <w:color w:val="222222"/>
          <w:sz w:val="16"/>
          <w:szCs w:val="16"/>
          <w:shd w:val="clear" w:color="auto" w:fill="FFFFFF"/>
        </w:rPr>
        <w:t xml:space="preserve"> 1486.</w:t>
      </w:r>
    </w:p>
  </w:footnote>
  <w:footnote w:id="69">
    <w:p w14:paraId="51BFFE05" w14:textId="77777777" w:rsidR="00A26CD1" w:rsidRPr="009D36BB" w:rsidRDefault="00A26CD1" w:rsidP="00B7548E">
      <w:pPr>
        <w:pStyle w:val="FootnoteText"/>
        <w:rPr>
          <w:rFonts w:cs="Segoe UI"/>
        </w:rPr>
      </w:pPr>
      <w:r w:rsidRPr="009D36BB">
        <w:rPr>
          <w:rStyle w:val="FootnoteReference"/>
          <w:rFonts w:cs="Segoe UI"/>
          <w:sz w:val="16"/>
          <w:szCs w:val="16"/>
        </w:rPr>
        <w:footnoteRef/>
      </w:r>
      <w:r w:rsidRPr="009D36BB">
        <w:rPr>
          <w:rFonts w:cs="Segoe UI"/>
          <w:sz w:val="16"/>
          <w:szCs w:val="16"/>
        </w:rPr>
        <w:t xml:space="preserve"> </w:t>
      </w:r>
      <w:r w:rsidRPr="009D36BB">
        <w:rPr>
          <w:rFonts w:cs="Segoe UI"/>
          <w:color w:val="222222"/>
          <w:sz w:val="16"/>
          <w:szCs w:val="16"/>
          <w:shd w:val="clear" w:color="auto" w:fill="FFFFFF"/>
        </w:rPr>
        <w:t>Tinland A, Loubière S, Mougeot F, et al. 2022. Effect of psychiatric advance directives facilitated by peer workers on compulsory admission among people with mental illness: a randomized clinical trial. </w:t>
      </w:r>
      <w:r w:rsidRPr="009D36BB">
        <w:rPr>
          <w:rFonts w:cs="Segoe UI"/>
          <w:i/>
          <w:iCs/>
          <w:color w:val="222222"/>
          <w:sz w:val="16"/>
          <w:szCs w:val="16"/>
          <w:shd w:val="clear" w:color="auto" w:fill="FFFFFF"/>
        </w:rPr>
        <w:t xml:space="preserve">JAMA </w:t>
      </w:r>
      <w:r>
        <w:rPr>
          <w:rFonts w:cs="Segoe UI"/>
          <w:i/>
          <w:iCs/>
          <w:color w:val="222222"/>
          <w:sz w:val="16"/>
          <w:szCs w:val="16"/>
          <w:shd w:val="clear" w:color="auto" w:fill="FFFFFF"/>
        </w:rPr>
        <w:t>P</w:t>
      </w:r>
      <w:r w:rsidRPr="009D36BB">
        <w:rPr>
          <w:rFonts w:cs="Segoe UI"/>
          <w:i/>
          <w:iCs/>
          <w:color w:val="222222"/>
          <w:sz w:val="16"/>
          <w:szCs w:val="16"/>
          <w:shd w:val="clear" w:color="auto" w:fill="FFFFFF"/>
        </w:rPr>
        <w:t>sychiatry</w:t>
      </w:r>
      <w:r w:rsidRPr="009D36BB">
        <w:rPr>
          <w:rFonts w:cs="Segoe UI"/>
          <w:color w:val="222222"/>
          <w:sz w:val="16"/>
          <w:szCs w:val="16"/>
          <w:shd w:val="clear" w:color="auto" w:fill="FFFFFF"/>
        </w:rPr>
        <w:t> </w:t>
      </w:r>
      <w:r w:rsidRPr="0055522A">
        <w:rPr>
          <w:rFonts w:cs="Segoe UI"/>
          <w:color w:val="222222"/>
          <w:sz w:val="16"/>
          <w:szCs w:val="16"/>
          <w:shd w:val="clear" w:color="auto" w:fill="FFFFFF"/>
        </w:rPr>
        <w:t>79</w:t>
      </w:r>
      <w:r w:rsidRPr="009D36BB">
        <w:rPr>
          <w:rFonts w:cs="Segoe UI"/>
          <w:color w:val="222222"/>
          <w:sz w:val="16"/>
          <w:szCs w:val="16"/>
          <w:shd w:val="clear" w:color="auto" w:fill="FFFFFF"/>
        </w:rPr>
        <w:t>(8)</w:t>
      </w:r>
      <w:r>
        <w:rPr>
          <w:rFonts w:cs="Segoe UI"/>
          <w:color w:val="222222"/>
          <w:sz w:val="16"/>
          <w:szCs w:val="16"/>
          <w:shd w:val="clear" w:color="auto" w:fill="FFFFFF"/>
        </w:rPr>
        <w:t>:</w:t>
      </w:r>
      <w:r w:rsidRPr="009D36BB">
        <w:rPr>
          <w:rFonts w:cs="Segoe UI"/>
          <w:color w:val="222222"/>
          <w:sz w:val="16"/>
          <w:szCs w:val="16"/>
          <w:shd w:val="clear" w:color="auto" w:fill="FFFFFF"/>
        </w:rPr>
        <w:t xml:space="preserve"> 752</w:t>
      </w:r>
      <w:r>
        <w:rPr>
          <w:rFonts w:cs="Segoe UI"/>
          <w:color w:val="222222"/>
          <w:sz w:val="16"/>
          <w:szCs w:val="16"/>
          <w:shd w:val="clear" w:color="auto" w:fill="FFFFFF"/>
        </w:rPr>
        <w:t>–</w:t>
      </w:r>
      <w:r w:rsidRPr="009D36BB">
        <w:rPr>
          <w:rFonts w:cs="Segoe UI"/>
          <w:color w:val="222222"/>
          <w:sz w:val="16"/>
          <w:szCs w:val="16"/>
          <w:shd w:val="clear" w:color="auto" w:fill="FFFFFF"/>
        </w:rPr>
        <w:t>9.</w:t>
      </w:r>
    </w:p>
  </w:footnote>
  <w:footnote w:id="70">
    <w:p w14:paraId="4D80DDC8" w14:textId="77777777" w:rsidR="00A26CD1" w:rsidRPr="00F661FB" w:rsidRDefault="00A26CD1" w:rsidP="00B7548E">
      <w:pPr>
        <w:pStyle w:val="FootnoteText"/>
        <w:rPr>
          <w:rFonts w:cs="Segoe UI"/>
          <w:sz w:val="16"/>
          <w:szCs w:val="16"/>
        </w:rPr>
      </w:pPr>
      <w:r w:rsidRPr="00BB1EF0">
        <w:rPr>
          <w:rStyle w:val="FootnoteReference"/>
          <w:rFonts w:cs="Segoe UI"/>
          <w:sz w:val="16"/>
          <w:szCs w:val="16"/>
        </w:rPr>
        <w:footnoteRef/>
      </w:r>
      <w:r w:rsidRPr="00BB1EF0">
        <w:rPr>
          <w:rFonts w:cs="Segoe UI"/>
          <w:sz w:val="16"/>
          <w:szCs w:val="16"/>
        </w:rPr>
        <w:t xml:space="preserve"> </w:t>
      </w:r>
      <w:r w:rsidRPr="00BB1EF0">
        <w:rPr>
          <w:rFonts w:eastAsiaTheme="minorEastAsia" w:cs="Segoe UI"/>
          <w:color w:val="333333"/>
          <w:sz w:val="16"/>
          <w:szCs w:val="16"/>
          <w:shd w:val="clear" w:color="auto" w:fill="FFFFFF"/>
        </w:rPr>
        <w:t xml:space="preserve">de Jong MH, Kamperman AM, Oorschot M, et al. </w:t>
      </w:r>
      <w:r>
        <w:rPr>
          <w:rFonts w:eastAsiaTheme="minorEastAsia" w:cs="Segoe UI"/>
          <w:color w:val="333333"/>
          <w:sz w:val="16"/>
          <w:szCs w:val="16"/>
          <w:shd w:val="clear" w:color="auto" w:fill="FFFFFF"/>
        </w:rPr>
        <w:t xml:space="preserve">2016. </w:t>
      </w:r>
      <w:r w:rsidRPr="00BB1EF0">
        <w:rPr>
          <w:rFonts w:eastAsiaTheme="minorEastAsia" w:cs="Segoe UI"/>
          <w:color w:val="333333"/>
          <w:sz w:val="16"/>
          <w:szCs w:val="16"/>
          <w:shd w:val="clear" w:color="auto" w:fill="FFFFFF"/>
        </w:rPr>
        <w:t xml:space="preserve">Interventions to Reduce Compulsory Psychiatric Admissions: A Systematic </w:t>
      </w:r>
      <w:r w:rsidRPr="0079048A">
        <w:rPr>
          <w:rFonts w:eastAsiaTheme="minorEastAsia" w:cs="Segoe UI"/>
          <w:color w:val="333333"/>
          <w:sz w:val="16"/>
          <w:szCs w:val="16"/>
          <w:shd w:val="clear" w:color="auto" w:fill="FFFFFF"/>
        </w:rPr>
        <w:t xml:space="preserve">Review and </w:t>
      </w:r>
      <w:r w:rsidRPr="00F661FB">
        <w:rPr>
          <w:rFonts w:eastAsiaTheme="minorEastAsia" w:cs="Segoe UI"/>
          <w:color w:val="333333"/>
          <w:sz w:val="16"/>
          <w:szCs w:val="16"/>
          <w:shd w:val="clear" w:color="auto" w:fill="FFFFFF"/>
        </w:rPr>
        <w:t>Meta-analysis. </w:t>
      </w:r>
      <w:r w:rsidRPr="00F661FB">
        <w:rPr>
          <w:rFonts w:eastAsiaTheme="minorEastAsia" w:cs="Segoe UI"/>
          <w:i/>
          <w:iCs/>
          <w:color w:val="333333"/>
          <w:sz w:val="16"/>
          <w:szCs w:val="16"/>
          <w:shd w:val="clear" w:color="auto" w:fill="FFFFFF"/>
        </w:rPr>
        <w:t>JAMA Psychiatry</w:t>
      </w:r>
      <w:r>
        <w:rPr>
          <w:rFonts w:eastAsiaTheme="minorEastAsia" w:cs="Segoe UI"/>
          <w:i/>
          <w:iCs/>
          <w:color w:val="333333"/>
          <w:sz w:val="16"/>
          <w:szCs w:val="16"/>
          <w:shd w:val="clear" w:color="auto" w:fill="FFFFFF"/>
        </w:rPr>
        <w:t xml:space="preserve"> </w:t>
      </w:r>
      <w:r w:rsidRPr="00F661FB">
        <w:rPr>
          <w:rFonts w:eastAsiaTheme="minorEastAsia" w:cs="Segoe UI"/>
          <w:color w:val="333333"/>
          <w:sz w:val="16"/>
          <w:szCs w:val="16"/>
          <w:shd w:val="clear" w:color="auto" w:fill="FFFFFF"/>
        </w:rPr>
        <w:t>73(7):</w:t>
      </w:r>
      <w:r>
        <w:rPr>
          <w:rFonts w:eastAsiaTheme="minorEastAsia" w:cs="Segoe UI"/>
          <w:color w:val="333333"/>
          <w:sz w:val="16"/>
          <w:szCs w:val="16"/>
          <w:shd w:val="clear" w:color="auto" w:fill="FFFFFF"/>
        </w:rPr>
        <w:t xml:space="preserve"> </w:t>
      </w:r>
      <w:r w:rsidRPr="00F661FB">
        <w:rPr>
          <w:rFonts w:eastAsiaTheme="minorEastAsia" w:cs="Segoe UI"/>
          <w:color w:val="333333"/>
          <w:sz w:val="16"/>
          <w:szCs w:val="16"/>
          <w:shd w:val="clear" w:color="auto" w:fill="FFFFFF"/>
        </w:rPr>
        <w:t>657–64.</w:t>
      </w:r>
    </w:p>
  </w:footnote>
  <w:footnote w:id="71">
    <w:p w14:paraId="63C924EF" w14:textId="77777777" w:rsidR="00A26CD1" w:rsidRPr="00B025D0" w:rsidRDefault="00A26CD1" w:rsidP="00B7548E">
      <w:pPr>
        <w:pStyle w:val="FootnoteText"/>
        <w:rPr>
          <w:rFonts w:cs="Segoe UI"/>
          <w:sz w:val="16"/>
          <w:szCs w:val="16"/>
        </w:rPr>
      </w:pPr>
      <w:r w:rsidRPr="00F661FB">
        <w:rPr>
          <w:rStyle w:val="FootnoteReference"/>
          <w:rFonts w:cs="Segoe UI"/>
          <w:sz w:val="16"/>
          <w:szCs w:val="16"/>
        </w:rPr>
        <w:footnoteRef/>
      </w:r>
      <w:r w:rsidRPr="00F661FB">
        <w:rPr>
          <w:rFonts w:cs="Segoe UI"/>
          <w:sz w:val="16"/>
          <w:szCs w:val="16"/>
        </w:rPr>
        <w:t xml:space="preserve"> </w:t>
      </w:r>
      <w:r w:rsidRPr="00F661FB">
        <w:rPr>
          <w:rFonts w:eastAsiaTheme="minorEastAsia" w:cs="Segoe UI"/>
          <w:color w:val="333333"/>
          <w:sz w:val="16"/>
          <w:szCs w:val="16"/>
          <w:shd w:val="clear" w:color="auto" w:fill="FFFFFF"/>
        </w:rPr>
        <w:t>Thornicroft G, Henderson C. Joint Decision Making and Reduced Need for Compulsory Psychiatric Admission. </w:t>
      </w:r>
      <w:r w:rsidRPr="00F661FB">
        <w:rPr>
          <w:rFonts w:eastAsiaTheme="minorEastAsia" w:cs="Segoe UI"/>
          <w:i/>
          <w:iCs/>
          <w:color w:val="333333"/>
          <w:sz w:val="16"/>
          <w:szCs w:val="16"/>
          <w:shd w:val="clear" w:color="auto" w:fill="FFFFFF"/>
        </w:rPr>
        <w:t xml:space="preserve">JAMA </w:t>
      </w:r>
      <w:r w:rsidRPr="00B025D0">
        <w:rPr>
          <w:rFonts w:eastAsiaTheme="minorEastAsia" w:cs="Segoe UI"/>
          <w:i/>
          <w:iCs/>
          <w:color w:val="333333"/>
          <w:sz w:val="16"/>
          <w:szCs w:val="16"/>
          <w:shd w:val="clear" w:color="auto" w:fill="FFFFFF"/>
        </w:rPr>
        <w:t>Psychiatry</w:t>
      </w:r>
      <w:r>
        <w:rPr>
          <w:rFonts w:eastAsiaTheme="minorEastAsia" w:cs="Segoe UI"/>
          <w:i/>
          <w:iCs/>
          <w:color w:val="333333"/>
          <w:sz w:val="16"/>
          <w:szCs w:val="16"/>
          <w:shd w:val="clear" w:color="auto" w:fill="FFFFFF"/>
        </w:rPr>
        <w:t xml:space="preserve"> </w:t>
      </w:r>
      <w:r w:rsidRPr="00B025D0">
        <w:rPr>
          <w:rFonts w:eastAsiaTheme="minorEastAsia" w:cs="Segoe UI"/>
          <w:color w:val="333333"/>
          <w:sz w:val="16"/>
          <w:szCs w:val="16"/>
          <w:shd w:val="clear" w:color="auto" w:fill="FFFFFF"/>
        </w:rPr>
        <w:t>73(7):</w:t>
      </w:r>
      <w:r>
        <w:rPr>
          <w:rFonts w:eastAsiaTheme="minorEastAsia" w:cs="Segoe UI"/>
          <w:color w:val="333333"/>
          <w:sz w:val="16"/>
          <w:szCs w:val="16"/>
          <w:shd w:val="clear" w:color="auto" w:fill="FFFFFF"/>
        </w:rPr>
        <w:t xml:space="preserve"> </w:t>
      </w:r>
      <w:r w:rsidRPr="00B025D0">
        <w:rPr>
          <w:rFonts w:eastAsiaTheme="minorEastAsia" w:cs="Segoe UI"/>
          <w:color w:val="333333"/>
          <w:sz w:val="16"/>
          <w:szCs w:val="16"/>
          <w:shd w:val="clear" w:color="auto" w:fill="FFFFFF"/>
        </w:rPr>
        <w:t>647–8. </w:t>
      </w:r>
      <w:r w:rsidRPr="00B025D0">
        <w:rPr>
          <w:rFonts w:cs="Segoe UI"/>
          <w:sz w:val="16"/>
          <w:szCs w:val="16"/>
        </w:rPr>
        <w:t xml:space="preserve"> </w:t>
      </w:r>
    </w:p>
  </w:footnote>
  <w:footnote w:id="72">
    <w:p w14:paraId="369AD884" w14:textId="77777777" w:rsidR="00A26CD1" w:rsidRDefault="00A26CD1" w:rsidP="00B7548E">
      <w:pPr>
        <w:pStyle w:val="FootnoteText"/>
      </w:pPr>
      <w:r w:rsidRPr="00B025D0">
        <w:rPr>
          <w:rStyle w:val="FootnoteReference"/>
          <w:rFonts w:cs="Segoe UI"/>
          <w:sz w:val="16"/>
          <w:szCs w:val="16"/>
        </w:rPr>
        <w:footnoteRef/>
      </w:r>
      <w:r w:rsidRPr="00B025D0">
        <w:rPr>
          <w:rFonts w:cs="Segoe UI"/>
          <w:sz w:val="16"/>
          <w:szCs w:val="16"/>
        </w:rPr>
        <w:t xml:space="preserve"> </w:t>
      </w:r>
      <w:r w:rsidRPr="00B025D0">
        <w:rPr>
          <w:rFonts w:cs="Segoe UI"/>
          <w:color w:val="222222"/>
          <w:sz w:val="16"/>
          <w:szCs w:val="16"/>
          <w:shd w:val="clear" w:color="auto" w:fill="FFFFFF"/>
        </w:rPr>
        <w:t>Sashidharan SP, Mezzina R, Puras D. 2019. Reducing coercion in mental healthcare. </w:t>
      </w:r>
      <w:r w:rsidRPr="00B025D0">
        <w:rPr>
          <w:rFonts w:cs="Segoe UI"/>
          <w:i/>
          <w:iCs/>
          <w:color w:val="222222"/>
          <w:sz w:val="16"/>
          <w:szCs w:val="16"/>
          <w:shd w:val="clear" w:color="auto" w:fill="FFFFFF"/>
        </w:rPr>
        <w:t xml:space="preserve">Epidemiology and </w:t>
      </w:r>
      <w:r>
        <w:rPr>
          <w:rFonts w:cs="Segoe UI"/>
          <w:i/>
          <w:iCs/>
          <w:color w:val="222222"/>
          <w:sz w:val="16"/>
          <w:szCs w:val="16"/>
          <w:shd w:val="clear" w:color="auto" w:fill="FFFFFF"/>
        </w:rPr>
        <w:t>P</w:t>
      </w:r>
      <w:r w:rsidRPr="00B025D0">
        <w:rPr>
          <w:rFonts w:cs="Segoe UI"/>
          <w:i/>
          <w:iCs/>
          <w:color w:val="222222"/>
          <w:sz w:val="16"/>
          <w:szCs w:val="16"/>
          <w:shd w:val="clear" w:color="auto" w:fill="FFFFFF"/>
        </w:rPr>
        <w:t xml:space="preserve">sychiatric </w:t>
      </w:r>
      <w:r>
        <w:rPr>
          <w:rFonts w:cs="Segoe UI"/>
          <w:i/>
          <w:iCs/>
          <w:color w:val="222222"/>
          <w:sz w:val="16"/>
          <w:szCs w:val="16"/>
          <w:shd w:val="clear" w:color="auto" w:fill="FFFFFF"/>
        </w:rPr>
        <w:t>S</w:t>
      </w:r>
      <w:r w:rsidRPr="00B025D0">
        <w:rPr>
          <w:rFonts w:cs="Segoe UI"/>
          <w:i/>
          <w:iCs/>
          <w:color w:val="222222"/>
          <w:sz w:val="16"/>
          <w:szCs w:val="16"/>
          <w:shd w:val="clear" w:color="auto" w:fill="FFFFFF"/>
        </w:rPr>
        <w:t>ciences</w:t>
      </w:r>
      <w:r w:rsidRPr="00B025D0">
        <w:rPr>
          <w:rFonts w:cs="Segoe UI"/>
          <w:color w:val="222222"/>
          <w:sz w:val="16"/>
          <w:szCs w:val="16"/>
          <w:shd w:val="clear" w:color="auto" w:fill="FFFFFF"/>
        </w:rPr>
        <w:t> </w:t>
      </w:r>
      <w:r w:rsidRPr="0055522A">
        <w:rPr>
          <w:rFonts w:cs="Segoe UI"/>
          <w:color w:val="222222"/>
          <w:sz w:val="16"/>
          <w:szCs w:val="16"/>
          <w:shd w:val="clear" w:color="auto" w:fill="FFFFFF"/>
        </w:rPr>
        <w:t>28</w:t>
      </w:r>
      <w:r w:rsidRPr="00B025D0">
        <w:rPr>
          <w:rFonts w:cs="Segoe UI"/>
          <w:color w:val="222222"/>
          <w:sz w:val="16"/>
          <w:szCs w:val="16"/>
          <w:shd w:val="clear" w:color="auto" w:fill="FFFFFF"/>
        </w:rPr>
        <w:t>(6)</w:t>
      </w:r>
      <w:r>
        <w:rPr>
          <w:rFonts w:cs="Segoe UI"/>
          <w:color w:val="222222"/>
          <w:sz w:val="16"/>
          <w:szCs w:val="16"/>
          <w:shd w:val="clear" w:color="auto" w:fill="FFFFFF"/>
        </w:rPr>
        <w:t>:</w:t>
      </w:r>
      <w:r w:rsidRPr="00B025D0">
        <w:rPr>
          <w:rFonts w:cs="Segoe UI"/>
          <w:color w:val="222222"/>
          <w:sz w:val="16"/>
          <w:szCs w:val="16"/>
          <w:shd w:val="clear" w:color="auto" w:fill="FFFFFF"/>
        </w:rPr>
        <w:t xml:space="preserve"> 605</w:t>
      </w:r>
      <w:r>
        <w:rPr>
          <w:rFonts w:cs="Segoe UI"/>
          <w:color w:val="222222"/>
          <w:sz w:val="16"/>
          <w:szCs w:val="16"/>
          <w:shd w:val="clear" w:color="auto" w:fill="FFFFFF"/>
        </w:rPr>
        <w:t>–</w:t>
      </w:r>
      <w:r w:rsidRPr="00B025D0">
        <w:rPr>
          <w:rFonts w:cs="Segoe UI"/>
          <w:color w:val="222222"/>
          <w:sz w:val="16"/>
          <w:szCs w:val="16"/>
          <w:shd w:val="clear" w:color="auto" w:fill="FFFFFF"/>
        </w:rPr>
        <w:t>12.</w:t>
      </w:r>
    </w:p>
  </w:footnote>
  <w:footnote w:id="73">
    <w:p w14:paraId="6D7104CF" w14:textId="77777777" w:rsidR="00A26CD1" w:rsidRPr="00B025D0" w:rsidRDefault="00A26CD1" w:rsidP="00B7548E">
      <w:pPr>
        <w:pStyle w:val="FootnoteText"/>
        <w:rPr>
          <w:rFonts w:cs="Segoe UI"/>
          <w:sz w:val="16"/>
          <w:szCs w:val="16"/>
        </w:rPr>
      </w:pPr>
      <w:r w:rsidRPr="00B025D0">
        <w:rPr>
          <w:rStyle w:val="FootnoteReference"/>
          <w:rFonts w:cs="Segoe UI"/>
          <w:sz w:val="16"/>
          <w:szCs w:val="16"/>
        </w:rPr>
        <w:footnoteRef/>
      </w:r>
      <w:r w:rsidRPr="00B025D0">
        <w:rPr>
          <w:rFonts w:cs="Segoe UI"/>
          <w:sz w:val="16"/>
          <w:szCs w:val="16"/>
        </w:rPr>
        <w:t xml:space="preserve"> </w:t>
      </w:r>
      <w:r w:rsidRPr="00854543">
        <w:rPr>
          <w:rFonts w:cs="Segoe UI"/>
          <w:sz w:val="16"/>
          <w:szCs w:val="16"/>
        </w:rPr>
        <w:t xml:space="preserve">Ministry of Health. 2020. </w:t>
      </w:r>
      <w:r w:rsidRPr="00104A8F">
        <w:rPr>
          <w:rFonts w:cs="Segoe UI"/>
          <w:i/>
          <w:iCs/>
          <w:sz w:val="16"/>
          <w:szCs w:val="16"/>
        </w:rPr>
        <w:t>Human Rights and the Mental Health (Compulsory Assessment and Treatment) Act 1992</w:t>
      </w:r>
      <w:r w:rsidRPr="00854543">
        <w:rPr>
          <w:rFonts w:cs="Segoe UI"/>
          <w:sz w:val="16"/>
          <w:szCs w:val="16"/>
        </w:rPr>
        <w:t>. Wellington: Ministry of Health.</w:t>
      </w:r>
    </w:p>
  </w:footnote>
  <w:footnote w:id="74">
    <w:p w14:paraId="23D276A2" w14:textId="77777777" w:rsidR="00A26CD1" w:rsidRPr="00145063" w:rsidRDefault="00A26CD1" w:rsidP="0013032B">
      <w:pPr>
        <w:pBdr>
          <w:top w:val="nil"/>
          <w:left w:val="nil"/>
          <w:bottom w:val="nil"/>
          <w:right w:val="nil"/>
          <w:between w:val="nil"/>
        </w:pBdr>
        <w:ind w:left="284" w:hanging="284"/>
        <w:rPr>
          <w:color w:val="000000"/>
          <w:sz w:val="16"/>
        </w:rPr>
      </w:pPr>
      <w:r w:rsidRPr="00190BBD">
        <w:rPr>
          <w:rStyle w:val="FootnoteReference"/>
          <w:rFonts w:cs="Segoe UI"/>
          <w:sz w:val="16"/>
          <w:szCs w:val="16"/>
        </w:rPr>
        <w:footnoteRef/>
      </w:r>
      <w:r w:rsidRPr="00145063">
        <w:rPr>
          <w:color w:val="000000"/>
          <w:sz w:val="16"/>
        </w:rPr>
        <w:t xml:space="preserve"> Adapted from the Substance Abuse and Mental Health Services Administration (</w:t>
      </w:r>
      <w:r>
        <w:rPr>
          <w:color w:val="000000"/>
          <w:sz w:val="16"/>
        </w:rPr>
        <w:t>2012</w:t>
      </w:r>
      <w:r w:rsidRPr="00145063">
        <w:rPr>
          <w:color w:val="000000"/>
          <w:sz w:val="16"/>
        </w:rPr>
        <w:t xml:space="preserve">) in Te Rau Ora, Le Va, Werry Workforce Whāraurau, Te Pou. </w:t>
      </w:r>
      <w:r>
        <w:rPr>
          <w:color w:val="000000"/>
          <w:sz w:val="16"/>
        </w:rPr>
        <w:t xml:space="preserve">2021. </w:t>
      </w:r>
      <w:r w:rsidRPr="00145063">
        <w:rPr>
          <w:i/>
          <w:color w:val="000000"/>
          <w:sz w:val="16"/>
        </w:rPr>
        <w:t>Weaving together knowledge for wellbeing</w:t>
      </w:r>
      <w:r>
        <w:rPr>
          <w:i/>
          <w:color w:val="000000"/>
          <w:sz w:val="16"/>
        </w:rPr>
        <w:t>:</w:t>
      </w:r>
      <w:r w:rsidRPr="00145063">
        <w:rPr>
          <w:i/>
          <w:color w:val="000000"/>
          <w:sz w:val="16"/>
        </w:rPr>
        <w:t xml:space="preserve"> Trauma informed approaches</w:t>
      </w:r>
      <w:r w:rsidRPr="0055522A">
        <w:rPr>
          <w:iCs/>
          <w:color w:val="000000"/>
          <w:sz w:val="16"/>
        </w:rPr>
        <w:t>.</w:t>
      </w:r>
      <w:r w:rsidRPr="00145063">
        <w:rPr>
          <w:color w:val="000000"/>
          <w:sz w:val="16"/>
        </w:rPr>
        <w:t xml:space="preserve"> </w:t>
      </w:r>
    </w:p>
  </w:footnote>
  <w:footnote w:id="75">
    <w:p w14:paraId="5C1DDB06" w14:textId="77777777" w:rsidR="00A26CD1" w:rsidRPr="00145063" w:rsidRDefault="00A26CD1" w:rsidP="0013032B">
      <w:pPr>
        <w:pBdr>
          <w:top w:val="nil"/>
          <w:left w:val="nil"/>
          <w:bottom w:val="nil"/>
          <w:right w:val="nil"/>
          <w:between w:val="nil"/>
        </w:pBdr>
        <w:ind w:left="284" w:hanging="284"/>
        <w:rPr>
          <w:color w:val="000000"/>
          <w:sz w:val="16"/>
        </w:rPr>
      </w:pPr>
      <w:r w:rsidRPr="00190BBD">
        <w:rPr>
          <w:rStyle w:val="FootnoteReference"/>
          <w:rFonts w:cs="Segoe UI"/>
          <w:sz w:val="16"/>
          <w:szCs w:val="16"/>
        </w:rPr>
        <w:footnoteRef/>
      </w:r>
      <w:r w:rsidRPr="00145063">
        <w:rPr>
          <w:color w:val="000000"/>
          <w:sz w:val="16"/>
        </w:rPr>
        <w:t xml:space="preserve"> </w:t>
      </w:r>
      <w:r w:rsidRPr="00145063">
        <w:rPr>
          <w:color w:val="222222"/>
          <w:sz w:val="16"/>
          <w:highlight w:val="white"/>
        </w:rPr>
        <w:t xml:space="preserve">Pihama L, Smith LT, Evans-Campbell T, </w:t>
      </w:r>
      <w:r>
        <w:rPr>
          <w:color w:val="222222"/>
          <w:sz w:val="16"/>
          <w:highlight w:val="white"/>
        </w:rPr>
        <w:t>et al</w:t>
      </w:r>
      <w:r w:rsidRPr="00145063">
        <w:rPr>
          <w:color w:val="222222"/>
          <w:sz w:val="16"/>
          <w:highlight w:val="white"/>
        </w:rPr>
        <w:t>. 2017. Investigating Māori approaches to trauma informed care.</w:t>
      </w:r>
      <w:r>
        <w:rPr>
          <w:color w:val="222222"/>
          <w:sz w:val="16"/>
        </w:rPr>
        <w:t xml:space="preserve"> </w:t>
      </w:r>
      <w:r w:rsidRPr="0016734C">
        <w:rPr>
          <w:i/>
          <w:iCs/>
          <w:color w:val="222222"/>
          <w:sz w:val="16"/>
        </w:rPr>
        <w:t>Journal of Indigenous Wellbeing</w:t>
      </w:r>
      <w:r w:rsidRPr="0016734C">
        <w:rPr>
          <w:color w:val="222222"/>
          <w:sz w:val="16"/>
        </w:rPr>
        <w:t xml:space="preserve"> 2(3)</w:t>
      </w:r>
      <w:r>
        <w:rPr>
          <w:color w:val="222222"/>
          <w:sz w:val="16"/>
        </w:rPr>
        <w:t>:</w:t>
      </w:r>
      <w:r w:rsidRPr="0016734C">
        <w:rPr>
          <w:color w:val="222222"/>
          <w:sz w:val="16"/>
        </w:rPr>
        <w:t xml:space="preserve"> 18–31.</w:t>
      </w:r>
    </w:p>
  </w:footnote>
  <w:footnote w:id="76">
    <w:p w14:paraId="00685B89" w14:textId="77777777" w:rsidR="00A26CD1" w:rsidRPr="00145063" w:rsidRDefault="00A26CD1" w:rsidP="00B7548E">
      <w:pPr>
        <w:pBdr>
          <w:top w:val="nil"/>
          <w:left w:val="nil"/>
          <w:bottom w:val="nil"/>
          <w:right w:val="nil"/>
          <w:between w:val="nil"/>
        </w:pBdr>
        <w:rPr>
          <w:color w:val="000000"/>
          <w:sz w:val="16"/>
        </w:rPr>
      </w:pPr>
      <w:r w:rsidRPr="00190BBD">
        <w:rPr>
          <w:rStyle w:val="FootnoteReference"/>
          <w:rFonts w:cs="Segoe UI"/>
          <w:sz w:val="16"/>
          <w:szCs w:val="16"/>
        </w:rPr>
        <w:footnoteRef/>
      </w:r>
      <w:r w:rsidRPr="00145063">
        <w:rPr>
          <w:color w:val="000000"/>
          <w:sz w:val="16"/>
        </w:rPr>
        <w:t xml:space="preserve"> The terms ‘trauma informed care’ and ‘trauma informed practice’ are also used. </w:t>
      </w:r>
    </w:p>
  </w:footnote>
  <w:footnote w:id="77">
    <w:p w14:paraId="3E8C4EE4" w14:textId="77777777" w:rsidR="00A26CD1" w:rsidRDefault="00A26CD1" w:rsidP="00B7548E">
      <w:pPr>
        <w:pStyle w:val="FootnoteText"/>
      </w:pPr>
      <w:r w:rsidRPr="005544DA">
        <w:rPr>
          <w:rStyle w:val="FootnoteReference"/>
          <w:rFonts w:cs="Segoe UI"/>
          <w:sz w:val="16"/>
          <w:szCs w:val="16"/>
        </w:rPr>
        <w:footnoteRef/>
      </w:r>
      <w:r>
        <w:t xml:space="preserve"> </w:t>
      </w:r>
      <w:r w:rsidRPr="00145063">
        <w:rPr>
          <w:color w:val="000000"/>
          <w:sz w:val="16"/>
        </w:rPr>
        <w:t xml:space="preserve">Te Rau Ora, Le Va, Werry Workforce Whāraurau, </w:t>
      </w:r>
      <w:r>
        <w:rPr>
          <w:color w:val="000000"/>
          <w:sz w:val="16"/>
        </w:rPr>
        <w:t>et al</w:t>
      </w:r>
      <w:r w:rsidRPr="00145063">
        <w:rPr>
          <w:color w:val="000000"/>
          <w:sz w:val="16"/>
        </w:rPr>
        <w:t xml:space="preserve">. </w:t>
      </w:r>
      <w:r>
        <w:rPr>
          <w:color w:val="000000"/>
          <w:sz w:val="16"/>
        </w:rPr>
        <w:t xml:space="preserve">2021. </w:t>
      </w:r>
      <w:r w:rsidRPr="00145063">
        <w:rPr>
          <w:i/>
          <w:color w:val="000000"/>
          <w:sz w:val="16"/>
        </w:rPr>
        <w:t>Weaving together knowledge for wellbeing</w:t>
      </w:r>
      <w:r>
        <w:rPr>
          <w:i/>
          <w:color w:val="000000"/>
          <w:sz w:val="16"/>
        </w:rPr>
        <w:t>:</w:t>
      </w:r>
      <w:r w:rsidRPr="00145063">
        <w:rPr>
          <w:i/>
          <w:color w:val="000000"/>
          <w:sz w:val="16"/>
        </w:rPr>
        <w:t xml:space="preserve"> Trauma informed approaches</w:t>
      </w:r>
      <w:r w:rsidRPr="0055522A">
        <w:rPr>
          <w:iCs/>
          <w:color w:val="000000"/>
          <w:sz w:val="16"/>
        </w:rPr>
        <w:t>.</w:t>
      </w:r>
      <w:r w:rsidRPr="00145063">
        <w:rPr>
          <w:color w:val="000000"/>
          <w:sz w:val="16"/>
        </w:rPr>
        <w:t xml:space="preserve"> </w:t>
      </w:r>
    </w:p>
  </w:footnote>
  <w:footnote w:id="78">
    <w:p w14:paraId="27BB5C8B" w14:textId="77777777" w:rsidR="00A26CD1" w:rsidRPr="007022F9" w:rsidRDefault="00A26CD1" w:rsidP="0013032B">
      <w:pPr>
        <w:pBdr>
          <w:top w:val="nil"/>
          <w:left w:val="nil"/>
          <w:bottom w:val="nil"/>
          <w:right w:val="nil"/>
          <w:between w:val="nil"/>
        </w:pBdr>
        <w:ind w:left="284" w:hanging="284"/>
        <w:rPr>
          <w:color w:val="000000"/>
          <w:sz w:val="16"/>
        </w:rPr>
      </w:pPr>
      <w:r w:rsidRPr="00190BBD">
        <w:rPr>
          <w:rStyle w:val="FootnoteReference"/>
          <w:rFonts w:cs="Segoe UI"/>
          <w:sz w:val="16"/>
          <w:szCs w:val="16"/>
        </w:rPr>
        <w:footnoteRef/>
      </w:r>
      <w:r w:rsidRPr="00145063">
        <w:rPr>
          <w:color w:val="000000"/>
          <w:sz w:val="16"/>
        </w:rPr>
        <w:t xml:space="preserve"> Te Rau Ora, Le Va, Werry Workforce Whāraurau, </w:t>
      </w:r>
      <w:r>
        <w:rPr>
          <w:color w:val="000000"/>
          <w:sz w:val="16"/>
        </w:rPr>
        <w:t>et al</w:t>
      </w:r>
      <w:r w:rsidRPr="00145063">
        <w:rPr>
          <w:color w:val="000000"/>
          <w:sz w:val="16"/>
        </w:rPr>
        <w:t xml:space="preserve">. </w:t>
      </w:r>
      <w:r>
        <w:rPr>
          <w:color w:val="000000"/>
          <w:sz w:val="16"/>
        </w:rPr>
        <w:t xml:space="preserve">2021. </w:t>
      </w:r>
      <w:r w:rsidRPr="00145063">
        <w:rPr>
          <w:i/>
          <w:color w:val="000000"/>
          <w:sz w:val="16"/>
        </w:rPr>
        <w:t>Weaving together knowledge for wellbeing</w:t>
      </w:r>
      <w:r>
        <w:rPr>
          <w:i/>
          <w:color w:val="000000"/>
          <w:sz w:val="16"/>
        </w:rPr>
        <w:t>:</w:t>
      </w:r>
      <w:r w:rsidRPr="00145063">
        <w:rPr>
          <w:i/>
          <w:color w:val="000000"/>
          <w:sz w:val="16"/>
        </w:rPr>
        <w:t xml:space="preserve"> Trauma informed approaches</w:t>
      </w:r>
      <w:r w:rsidRPr="0055522A">
        <w:rPr>
          <w:iCs/>
          <w:color w:val="000000"/>
          <w:sz w:val="16"/>
        </w:rPr>
        <w:t>.</w:t>
      </w:r>
      <w:r w:rsidRPr="00145063">
        <w:rPr>
          <w:color w:val="000000"/>
          <w:sz w:val="16"/>
        </w:rPr>
        <w:t xml:space="preserve"> </w:t>
      </w:r>
      <w:r w:rsidRPr="007022F9">
        <w:rPr>
          <w:color w:val="000000"/>
          <w:sz w:val="16"/>
          <w:szCs w:val="16"/>
        </w:rPr>
        <w:t xml:space="preserve"> </w:t>
      </w:r>
    </w:p>
  </w:footnote>
  <w:footnote w:id="79">
    <w:p w14:paraId="59DA0EF2" w14:textId="77777777" w:rsidR="00A26CD1" w:rsidRPr="00FA70A1" w:rsidRDefault="00A26CD1" w:rsidP="00B7548E">
      <w:pPr>
        <w:pStyle w:val="FootnoteText"/>
        <w:rPr>
          <w:rFonts w:cs="Segoe UI"/>
          <w:sz w:val="16"/>
          <w:szCs w:val="16"/>
        </w:rPr>
      </w:pPr>
      <w:r w:rsidRPr="00FA70A1">
        <w:rPr>
          <w:rStyle w:val="FootnoteReference"/>
          <w:rFonts w:cs="Segoe UI"/>
          <w:sz w:val="16"/>
          <w:szCs w:val="16"/>
        </w:rPr>
        <w:footnoteRef/>
      </w:r>
      <w:r w:rsidRPr="00FA70A1">
        <w:rPr>
          <w:rFonts w:cs="Segoe UI"/>
          <w:sz w:val="16"/>
          <w:szCs w:val="16"/>
        </w:rPr>
        <w:t xml:space="preserve"> </w:t>
      </w:r>
      <w:r w:rsidRPr="00892981">
        <w:rPr>
          <w:rFonts w:cs="Segoe UI"/>
          <w:sz w:val="16"/>
          <w:szCs w:val="16"/>
        </w:rPr>
        <w:t>Bryson</w:t>
      </w:r>
      <w:r>
        <w:rPr>
          <w:rFonts w:cs="Segoe UI"/>
          <w:sz w:val="16"/>
          <w:szCs w:val="16"/>
        </w:rPr>
        <w:t xml:space="preserve"> SA</w:t>
      </w:r>
      <w:r w:rsidRPr="00892981">
        <w:rPr>
          <w:rFonts w:cs="Segoe UI"/>
          <w:sz w:val="16"/>
          <w:szCs w:val="16"/>
        </w:rPr>
        <w:t xml:space="preserve">, </w:t>
      </w:r>
      <w:r>
        <w:rPr>
          <w:rFonts w:cs="Segoe UI"/>
          <w:sz w:val="16"/>
          <w:szCs w:val="16"/>
        </w:rPr>
        <w:t xml:space="preserve">Gauvin E, Jamieson A, </w:t>
      </w:r>
      <w:r w:rsidRPr="00892981">
        <w:rPr>
          <w:rFonts w:cs="Segoe UI"/>
          <w:sz w:val="16"/>
          <w:szCs w:val="16"/>
        </w:rPr>
        <w:t>et al. 2017. What are effective strategies for implementing trauma-informed care in youth inpatient psychiatric and residential treatment settings? A realist systematic review.</w:t>
      </w:r>
      <w:r w:rsidRPr="00892981">
        <w:rPr>
          <w:rFonts w:cs="Segoe UI"/>
          <w:i/>
          <w:sz w:val="16"/>
          <w:szCs w:val="16"/>
        </w:rPr>
        <w:t xml:space="preserve"> International Journal of Mental Health Systems </w:t>
      </w:r>
      <w:r w:rsidRPr="00E324AC">
        <w:rPr>
          <w:rFonts w:cs="Segoe UI"/>
          <w:iCs/>
          <w:sz w:val="16"/>
          <w:szCs w:val="16"/>
        </w:rPr>
        <w:t>11</w:t>
      </w:r>
      <w:r w:rsidRPr="00892981">
        <w:rPr>
          <w:rFonts w:cs="Segoe UI"/>
          <w:sz w:val="16"/>
          <w:szCs w:val="16"/>
        </w:rPr>
        <w:t>(1)</w:t>
      </w:r>
      <w:r>
        <w:rPr>
          <w:rFonts w:cs="Segoe UI"/>
          <w:sz w:val="16"/>
          <w:szCs w:val="16"/>
        </w:rPr>
        <w:t>:</w:t>
      </w:r>
      <w:r w:rsidRPr="00892981">
        <w:rPr>
          <w:rFonts w:cs="Segoe UI"/>
          <w:sz w:val="16"/>
          <w:szCs w:val="16"/>
        </w:rPr>
        <w:t xml:space="preserve"> 1</w:t>
      </w:r>
      <w:r>
        <w:rPr>
          <w:rFonts w:cs="Segoe UI"/>
          <w:sz w:val="16"/>
          <w:szCs w:val="16"/>
        </w:rPr>
        <w:t>–</w:t>
      </w:r>
      <w:r w:rsidRPr="00892981">
        <w:rPr>
          <w:rFonts w:cs="Segoe UI"/>
          <w:sz w:val="16"/>
          <w:szCs w:val="16"/>
        </w:rPr>
        <w:t>16.</w:t>
      </w:r>
    </w:p>
  </w:footnote>
  <w:footnote w:id="80">
    <w:p w14:paraId="1D7C3A93" w14:textId="77777777" w:rsidR="00A26CD1" w:rsidRPr="00FA70A1" w:rsidRDefault="00A26CD1" w:rsidP="00B7548E">
      <w:pPr>
        <w:pStyle w:val="FootnoteText"/>
        <w:rPr>
          <w:rFonts w:cs="Segoe UI"/>
          <w:sz w:val="16"/>
          <w:szCs w:val="16"/>
        </w:rPr>
      </w:pPr>
      <w:r w:rsidRPr="00FA70A1">
        <w:rPr>
          <w:rStyle w:val="FootnoteReference"/>
          <w:rFonts w:cs="Segoe UI"/>
          <w:sz w:val="16"/>
          <w:szCs w:val="16"/>
        </w:rPr>
        <w:footnoteRef/>
      </w:r>
      <w:r w:rsidRPr="00FA70A1">
        <w:rPr>
          <w:rFonts w:cs="Segoe UI"/>
          <w:sz w:val="16"/>
          <w:szCs w:val="16"/>
        </w:rPr>
        <w:t xml:space="preserve"> </w:t>
      </w:r>
      <w:hyperlink r:id="rId28" w:history="1">
        <w:r w:rsidRPr="00FD6806">
          <w:rPr>
            <w:rStyle w:val="Hyperlink"/>
            <w:rFonts w:cs="Segoe UI"/>
            <w:sz w:val="16"/>
            <w:szCs w:val="16"/>
          </w:rPr>
          <w:t>www.tepou.co.nz/initiatives/lets-get-real/seven-real-skills</w:t>
        </w:r>
      </w:hyperlink>
      <w:r w:rsidRPr="00FA70A1">
        <w:rPr>
          <w:rFonts w:cs="Segoe UI"/>
          <w:sz w:val="16"/>
          <w:szCs w:val="16"/>
        </w:rPr>
        <w:t xml:space="preserve"> </w:t>
      </w:r>
      <w:r>
        <w:rPr>
          <w:rFonts w:cs="Segoe UI"/>
          <w:sz w:val="16"/>
          <w:szCs w:val="16"/>
        </w:rPr>
        <w:t>(accessed 30 March 2023).</w:t>
      </w:r>
    </w:p>
  </w:footnote>
  <w:footnote w:id="81">
    <w:p w14:paraId="41DFD904" w14:textId="77777777" w:rsidR="00A26CD1" w:rsidRPr="00FA70A1" w:rsidRDefault="00A26CD1" w:rsidP="0013032B">
      <w:pPr>
        <w:pBdr>
          <w:top w:val="nil"/>
          <w:left w:val="nil"/>
          <w:bottom w:val="nil"/>
          <w:right w:val="nil"/>
          <w:between w:val="nil"/>
        </w:pBdr>
        <w:ind w:left="284" w:hanging="284"/>
        <w:rPr>
          <w:rFonts w:cs="Segoe UI"/>
          <w:color w:val="000000"/>
          <w:sz w:val="16"/>
          <w:szCs w:val="16"/>
        </w:rPr>
      </w:pPr>
      <w:r w:rsidRPr="00FA70A1">
        <w:rPr>
          <w:rStyle w:val="FootnoteReference"/>
          <w:rFonts w:cs="Segoe UI"/>
          <w:sz w:val="16"/>
          <w:szCs w:val="16"/>
        </w:rPr>
        <w:footnoteRef/>
      </w:r>
      <w:r w:rsidRPr="00FA70A1">
        <w:rPr>
          <w:rFonts w:cs="Segoe UI"/>
          <w:color w:val="000000"/>
          <w:sz w:val="16"/>
          <w:szCs w:val="16"/>
        </w:rPr>
        <w:t xml:space="preserve"> </w:t>
      </w:r>
      <w:hyperlink r:id="rId29" w:history="1">
        <w:r w:rsidRPr="007828D4">
          <w:rPr>
            <w:rStyle w:val="Hyperlink"/>
            <w:rFonts w:cs="Segoe UI"/>
            <w:sz w:val="16"/>
            <w:szCs w:val="16"/>
          </w:rPr>
          <w:t>www.ranzcp.org/news-policy/policy-and-advocacy/position-statements/trauma-informed-practice</w:t>
        </w:r>
      </w:hyperlink>
      <w:r>
        <w:rPr>
          <w:rFonts w:cs="Segoe UI"/>
          <w:color w:val="000000"/>
          <w:sz w:val="16"/>
          <w:szCs w:val="16"/>
        </w:rPr>
        <w:t xml:space="preserve"> (accessed 31 March 2023).</w:t>
      </w:r>
    </w:p>
  </w:footnote>
  <w:footnote w:id="82">
    <w:p w14:paraId="43955076" w14:textId="77777777" w:rsidR="00A26CD1" w:rsidRPr="00FA70A1" w:rsidRDefault="00A26CD1" w:rsidP="0013032B">
      <w:pPr>
        <w:pBdr>
          <w:top w:val="nil"/>
          <w:left w:val="nil"/>
          <w:bottom w:val="nil"/>
          <w:right w:val="nil"/>
          <w:between w:val="nil"/>
        </w:pBdr>
        <w:ind w:left="284" w:hanging="284"/>
        <w:rPr>
          <w:rFonts w:cs="Segoe UI"/>
          <w:color w:val="000000"/>
          <w:sz w:val="16"/>
          <w:szCs w:val="16"/>
        </w:rPr>
      </w:pPr>
      <w:r w:rsidRPr="00FA70A1">
        <w:rPr>
          <w:rStyle w:val="FootnoteReference"/>
          <w:rFonts w:cs="Segoe UI"/>
          <w:sz w:val="16"/>
          <w:szCs w:val="16"/>
        </w:rPr>
        <w:footnoteRef/>
      </w:r>
      <w:r w:rsidRPr="00FA70A1">
        <w:rPr>
          <w:rFonts w:cs="Segoe UI"/>
          <w:color w:val="000000"/>
          <w:sz w:val="16"/>
          <w:szCs w:val="16"/>
        </w:rPr>
        <w:t xml:space="preserve"> </w:t>
      </w:r>
      <w:r w:rsidRPr="00FA70A1">
        <w:rPr>
          <w:rFonts w:cs="Segoe UI"/>
          <w:color w:val="222222"/>
          <w:sz w:val="16"/>
          <w:szCs w:val="16"/>
          <w:highlight w:val="white"/>
        </w:rPr>
        <w:t xml:space="preserve">Sweeney A, Clement S, Filson B, </w:t>
      </w:r>
      <w:r>
        <w:rPr>
          <w:rFonts w:cs="Segoe UI"/>
          <w:color w:val="222222"/>
          <w:sz w:val="16"/>
          <w:szCs w:val="16"/>
          <w:highlight w:val="white"/>
        </w:rPr>
        <w:t>et al</w:t>
      </w:r>
      <w:r w:rsidRPr="00FA70A1">
        <w:rPr>
          <w:rFonts w:cs="Segoe UI"/>
          <w:color w:val="222222"/>
          <w:sz w:val="16"/>
          <w:szCs w:val="16"/>
          <w:highlight w:val="white"/>
        </w:rPr>
        <w:t>. 2016. Trauma-informed mental healthcare in the UK: what is it and how can we further its development? </w:t>
      </w:r>
      <w:r w:rsidRPr="00FA70A1">
        <w:rPr>
          <w:rFonts w:cs="Segoe UI"/>
          <w:i/>
          <w:color w:val="222222"/>
          <w:sz w:val="16"/>
          <w:szCs w:val="16"/>
          <w:highlight w:val="white"/>
        </w:rPr>
        <w:t>Mental Health Review Journal</w:t>
      </w:r>
      <w:r>
        <w:rPr>
          <w:rFonts w:cs="Segoe UI"/>
          <w:i/>
          <w:color w:val="222222"/>
          <w:sz w:val="16"/>
          <w:szCs w:val="16"/>
          <w:highlight w:val="white"/>
        </w:rPr>
        <w:t xml:space="preserve"> </w:t>
      </w:r>
      <w:r>
        <w:rPr>
          <w:rFonts w:cs="Segoe UI"/>
          <w:iCs/>
          <w:color w:val="222222"/>
          <w:sz w:val="16"/>
          <w:szCs w:val="16"/>
          <w:highlight w:val="white"/>
        </w:rPr>
        <w:t>21(3)</w:t>
      </w:r>
      <w:r w:rsidRPr="00FA70A1">
        <w:rPr>
          <w:rFonts w:cs="Segoe UI"/>
          <w:color w:val="222222"/>
          <w:sz w:val="16"/>
          <w:szCs w:val="16"/>
          <w:highlight w:val="white"/>
        </w:rPr>
        <w:t>.</w:t>
      </w:r>
    </w:p>
  </w:footnote>
  <w:footnote w:id="83">
    <w:p w14:paraId="523C88D2" w14:textId="77777777" w:rsidR="00A26CD1" w:rsidRPr="00FA70A1" w:rsidRDefault="00A26CD1" w:rsidP="00B7548E">
      <w:pPr>
        <w:pStyle w:val="FootnoteText"/>
        <w:rPr>
          <w:rFonts w:cs="Segoe UI"/>
          <w:sz w:val="16"/>
          <w:szCs w:val="16"/>
        </w:rPr>
      </w:pPr>
      <w:r w:rsidRPr="00FA70A1">
        <w:rPr>
          <w:rStyle w:val="FootnoteReference"/>
          <w:rFonts w:cs="Segoe UI"/>
          <w:sz w:val="16"/>
          <w:szCs w:val="16"/>
        </w:rPr>
        <w:footnoteRef/>
      </w:r>
      <w:r w:rsidRPr="00FA70A1">
        <w:rPr>
          <w:rFonts w:cs="Segoe UI"/>
          <w:sz w:val="16"/>
          <w:szCs w:val="16"/>
        </w:rPr>
        <w:t xml:space="preserve"> Boel-Studt SM. 2017. A quasi-experimental study of trauma-informed psychiatric residential treatment for children and adolescents.</w:t>
      </w:r>
      <w:r>
        <w:rPr>
          <w:rFonts w:cs="Segoe UI"/>
          <w:sz w:val="16"/>
          <w:szCs w:val="16"/>
        </w:rPr>
        <w:t xml:space="preserve"> </w:t>
      </w:r>
      <w:r w:rsidRPr="0056222F">
        <w:rPr>
          <w:rFonts w:cs="Segoe UI"/>
          <w:i/>
          <w:iCs/>
          <w:sz w:val="16"/>
          <w:szCs w:val="16"/>
        </w:rPr>
        <w:t>Research on Social Work Practice</w:t>
      </w:r>
      <w:r w:rsidRPr="0056222F">
        <w:rPr>
          <w:rFonts w:cs="Segoe UI"/>
          <w:sz w:val="16"/>
          <w:szCs w:val="16"/>
        </w:rPr>
        <w:t xml:space="preserve"> 27(3)</w:t>
      </w:r>
      <w:r>
        <w:rPr>
          <w:rFonts w:cs="Segoe UI"/>
          <w:sz w:val="16"/>
          <w:szCs w:val="16"/>
        </w:rPr>
        <w:t>:</w:t>
      </w:r>
      <w:r w:rsidRPr="0056222F">
        <w:rPr>
          <w:rFonts w:cs="Segoe UI"/>
          <w:sz w:val="16"/>
          <w:szCs w:val="16"/>
        </w:rPr>
        <w:t xml:space="preserve"> 273–82.</w:t>
      </w:r>
    </w:p>
  </w:footnote>
  <w:footnote w:id="84">
    <w:p w14:paraId="7759C4D7" w14:textId="77777777" w:rsidR="00A26CD1" w:rsidRPr="00FA70A1" w:rsidRDefault="00A26CD1" w:rsidP="00B7548E">
      <w:pPr>
        <w:pStyle w:val="FootnoteText"/>
        <w:rPr>
          <w:rFonts w:cs="Segoe UI"/>
          <w:sz w:val="16"/>
          <w:szCs w:val="16"/>
        </w:rPr>
      </w:pPr>
      <w:r w:rsidRPr="00FA70A1">
        <w:rPr>
          <w:rStyle w:val="FootnoteReference"/>
          <w:rFonts w:cs="Segoe UI"/>
          <w:sz w:val="16"/>
          <w:szCs w:val="16"/>
        </w:rPr>
        <w:footnoteRef/>
      </w:r>
      <w:r w:rsidRPr="00FA70A1">
        <w:rPr>
          <w:rFonts w:cs="Segoe UI"/>
          <w:sz w:val="16"/>
          <w:szCs w:val="16"/>
        </w:rPr>
        <w:t xml:space="preserve"> </w:t>
      </w:r>
      <w:r w:rsidRPr="00145063">
        <w:rPr>
          <w:color w:val="000000"/>
          <w:sz w:val="16"/>
        </w:rPr>
        <w:t xml:space="preserve">Te Rau Ora, Le Va, Werry Workforce Whāraurau, </w:t>
      </w:r>
      <w:r>
        <w:rPr>
          <w:color w:val="000000"/>
          <w:sz w:val="16"/>
        </w:rPr>
        <w:t>et al</w:t>
      </w:r>
      <w:r w:rsidRPr="00145063">
        <w:rPr>
          <w:color w:val="000000"/>
          <w:sz w:val="16"/>
        </w:rPr>
        <w:t xml:space="preserve">. </w:t>
      </w:r>
      <w:r>
        <w:rPr>
          <w:color w:val="000000"/>
          <w:sz w:val="16"/>
        </w:rPr>
        <w:t xml:space="preserve">2021. </w:t>
      </w:r>
      <w:r w:rsidRPr="00145063">
        <w:rPr>
          <w:i/>
          <w:color w:val="000000"/>
          <w:sz w:val="16"/>
        </w:rPr>
        <w:t>Weaving together knowledge for wellbeing</w:t>
      </w:r>
      <w:r>
        <w:rPr>
          <w:i/>
          <w:color w:val="000000"/>
          <w:sz w:val="16"/>
        </w:rPr>
        <w:t>:</w:t>
      </w:r>
      <w:r w:rsidRPr="00145063">
        <w:rPr>
          <w:i/>
          <w:color w:val="000000"/>
          <w:sz w:val="16"/>
        </w:rPr>
        <w:t xml:space="preserve"> Trauma informed approaches</w:t>
      </w:r>
      <w:r w:rsidRPr="007154F0">
        <w:rPr>
          <w:iCs/>
          <w:color w:val="000000"/>
          <w:sz w:val="16"/>
        </w:rPr>
        <w:t>.</w:t>
      </w:r>
    </w:p>
  </w:footnote>
  <w:footnote w:id="85">
    <w:p w14:paraId="49E1632B" w14:textId="77777777" w:rsidR="00A26CD1" w:rsidRPr="00762CBD" w:rsidRDefault="00A26CD1" w:rsidP="00B7548E">
      <w:pPr>
        <w:pStyle w:val="FootnoteText"/>
        <w:rPr>
          <w:rFonts w:eastAsiaTheme="minorEastAsia" w:cs="Segoe UI"/>
          <w:color w:val="222222"/>
          <w:sz w:val="16"/>
          <w:szCs w:val="16"/>
          <w:highlight w:val="white"/>
        </w:rPr>
      </w:pPr>
      <w:r w:rsidRPr="005544DA">
        <w:rPr>
          <w:rStyle w:val="FootnoteReference"/>
          <w:rFonts w:cs="Segoe UI"/>
          <w:sz w:val="16"/>
          <w:szCs w:val="16"/>
        </w:rPr>
        <w:footnoteRef/>
      </w:r>
      <w:r>
        <w:t xml:space="preserve"> </w:t>
      </w:r>
      <w:hyperlink r:id="rId30" w:history="1">
        <w:r w:rsidRPr="00645487">
          <w:rPr>
            <w:rStyle w:val="Hyperlink"/>
            <w:rFonts w:eastAsiaTheme="minorEastAsia" w:cs="Segoe UI"/>
            <w:sz w:val="16"/>
            <w:szCs w:val="16"/>
            <w:highlight w:val="white"/>
          </w:rPr>
          <w:t>www.tepou.co.nz/initiatives/lets-get-real/trauma-informed-care-resources</w:t>
        </w:r>
      </w:hyperlink>
      <w:r>
        <w:rPr>
          <w:rFonts w:eastAsiaTheme="minorEastAsia" w:cs="Segoe UI"/>
          <w:color w:val="222222"/>
          <w:sz w:val="16"/>
          <w:szCs w:val="16"/>
          <w:highlight w:val="white"/>
        </w:rPr>
        <w:t xml:space="preserve"> </w:t>
      </w:r>
      <w:r w:rsidRPr="00FA70A1">
        <w:rPr>
          <w:rFonts w:cs="Segoe UI"/>
          <w:sz w:val="16"/>
          <w:szCs w:val="16"/>
        </w:rPr>
        <w:t xml:space="preserve"> </w:t>
      </w:r>
      <w:r>
        <w:rPr>
          <w:rFonts w:cs="Segoe UI"/>
          <w:sz w:val="16"/>
          <w:szCs w:val="16"/>
        </w:rPr>
        <w:t>(accessed 30 March 2023).</w:t>
      </w:r>
    </w:p>
  </w:footnote>
  <w:footnote w:id="86">
    <w:p w14:paraId="66A63439" w14:textId="77777777" w:rsidR="00A26CD1" w:rsidRPr="00FA70A1" w:rsidRDefault="00A26CD1" w:rsidP="00B7548E">
      <w:pPr>
        <w:pStyle w:val="FootnoteText"/>
        <w:rPr>
          <w:rFonts w:cs="Segoe UI"/>
          <w:sz w:val="16"/>
          <w:szCs w:val="16"/>
        </w:rPr>
      </w:pPr>
      <w:r w:rsidRPr="00FA70A1">
        <w:rPr>
          <w:rStyle w:val="FootnoteReference"/>
          <w:rFonts w:cs="Segoe UI"/>
          <w:sz w:val="16"/>
          <w:szCs w:val="16"/>
        </w:rPr>
        <w:footnoteRef/>
      </w:r>
      <w:r w:rsidRPr="00FA70A1">
        <w:rPr>
          <w:rFonts w:cs="Segoe UI"/>
          <w:sz w:val="16"/>
          <w:szCs w:val="16"/>
        </w:rPr>
        <w:t xml:space="preserve"> </w:t>
      </w:r>
      <w:hyperlink r:id="rId31" w:history="1">
        <w:r w:rsidRPr="001F28B4">
          <w:rPr>
            <w:rStyle w:val="Hyperlink"/>
            <w:rFonts w:cs="Segoe UI"/>
            <w:sz w:val="16"/>
            <w:szCs w:val="16"/>
          </w:rPr>
          <w:t>www.leva.co.nz/resources/a-trauma-informed-approach-when-working-with-pasifika-people/</w:t>
        </w:r>
      </w:hyperlink>
      <w:r w:rsidRPr="001F28B4">
        <w:rPr>
          <w:rStyle w:val="Hyperlink"/>
          <w:rFonts w:cs="Segoe UI"/>
          <w:sz w:val="16"/>
          <w:szCs w:val="16"/>
        </w:rPr>
        <w:t xml:space="preserve"> </w:t>
      </w:r>
      <w:r w:rsidRPr="00FA70A1">
        <w:rPr>
          <w:rFonts w:cs="Segoe UI"/>
          <w:sz w:val="16"/>
          <w:szCs w:val="16"/>
        </w:rPr>
        <w:t xml:space="preserve"> </w:t>
      </w:r>
      <w:r>
        <w:rPr>
          <w:rFonts w:cs="Segoe UI"/>
          <w:sz w:val="16"/>
          <w:szCs w:val="16"/>
        </w:rPr>
        <w:t>(accessed 30 March 2023).</w:t>
      </w:r>
    </w:p>
  </w:footnote>
  <w:footnote w:id="87">
    <w:p w14:paraId="112E531D" w14:textId="77777777" w:rsidR="00A26CD1" w:rsidRPr="001F28B4" w:rsidRDefault="00A26CD1" w:rsidP="00B7548E">
      <w:pPr>
        <w:pStyle w:val="FootnoteText"/>
        <w:rPr>
          <w:rStyle w:val="Hyperlink"/>
          <w:rFonts w:cs="Segoe UI"/>
          <w:sz w:val="16"/>
          <w:szCs w:val="16"/>
        </w:rPr>
      </w:pPr>
      <w:r w:rsidRPr="00FA70A1">
        <w:rPr>
          <w:rStyle w:val="FootnoteReference"/>
          <w:rFonts w:cs="Segoe UI"/>
          <w:sz w:val="16"/>
          <w:szCs w:val="16"/>
        </w:rPr>
        <w:footnoteRef/>
      </w:r>
      <w:r w:rsidRPr="00FA70A1">
        <w:rPr>
          <w:rFonts w:cs="Segoe UI"/>
          <w:sz w:val="16"/>
          <w:szCs w:val="16"/>
        </w:rPr>
        <w:t xml:space="preserve"> </w:t>
      </w:r>
      <w:hyperlink r:id="rId32" w:history="1">
        <w:r w:rsidRPr="001F28B4">
          <w:rPr>
            <w:rStyle w:val="Hyperlink"/>
            <w:rFonts w:cs="Segoe UI"/>
            <w:sz w:val="16"/>
            <w:szCs w:val="16"/>
          </w:rPr>
          <w:t>www.wharaurau.org.nz</w:t>
        </w:r>
      </w:hyperlink>
      <w:r w:rsidRPr="00FA70A1">
        <w:rPr>
          <w:rFonts w:cs="Segoe UI"/>
          <w:sz w:val="16"/>
          <w:szCs w:val="16"/>
        </w:rPr>
        <w:t xml:space="preserve"> </w:t>
      </w:r>
      <w:r>
        <w:rPr>
          <w:rFonts w:cs="Segoe UI"/>
          <w:sz w:val="16"/>
          <w:szCs w:val="16"/>
        </w:rPr>
        <w:t>(accessed 30 March 2023).</w:t>
      </w:r>
    </w:p>
  </w:footnote>
  <w:footnote w:id="88">
    <w:p w14:paraId="3937424C" w14:textId="77777777" w:rsidR="00A26CD1" w:rsidRPr="001F28B4" w:rsidRDefault="00A26CD1" w:rsidP="00B7548E">
      <w:pPr>
        <w:pStyle w:val="FootnoteText"/>
        <w:rPr>
          <w:rStyle w:val="Hyperlink"/>
          <w:rFonts w:cs="Segoe UI"/>
          <w:sz w:val="16"/>
          <w:szCs w:val="16"/>
        </w:rPr>
      </w:pPr>
      <w:r w:rsidRPr="00FA70A1">
        <w:rPr>
          <w:rStyle w:val="FootnoteReference"/>
          <w:rFonts w:cs="Segoe UI"/>
          <w:sz w:val="16"/>
          <w:szCs w:val="16"/>
        </w:rPr>
        <w:footnoteRef/>
      </w:r>
      <w:r w:rsidRPr="00FA70A1">
        <w:rPr>
          <w:rFonts w:cs="Segoe UI"/>
          <w:sz w:val="16"/>
          <w:szCs w:val="16"/>
        </w:rPr>
        <w:t xml:space="preserve"> </w:t>
      </w:r>
      <w:hyperlink r:id="rId33" w:history="1">
        <w:r w:rsidRPr="001F28B4">
          <w:rPr>
            <w:rStyle w:val="Hyperlink"/>
            <w:rFonts w:cs="Segoe UI"/>
            <w:sz w:val="16"/>
            <w:szCs w:val="16"/>
          </w:rPr>
          <w:t>www.youtube.com/watch?v=WKLKl9Ot_fE</w:t>
        </w:r>
      </w:hyperlink>
      <w:r w:rsidRPr="00FA70A1">
        <w:rPr>
          <w:rFonts w:cs="Segoe UI"/>
          <w:sz w:val="16"/>
          <w:szCs w:val="16"/>
        </w:rPr>
        <w:t xml:space="preserve"> </w:t>
      </w:r>
      <w:r>
        <w:rPr>
          <w:rFonts w:cs="Segoe UI"/>
          <w:sz w:val="16"/>
          <w:szCs w:val="16"/>
        </w:rPr>
        <w:t>(accessed 30 March 2023).</w:t>
      </w:r>
    </w:p>
  </w:footnote>
  <w:footnote w:id="89">
    <w:p w14:paraId="17F73162" w14:textId="77777777" w:rsidR="00A26CD1" w:rsidRPr="00FA70A1" w:rsidRDefault="00A26CD1" w:rsidP="00B7548E">
      <w:pPr>
        <w:pStyle w:val="FootnoteText"/>
        <w:rPr>
          <w:rFonts w:cs="Segoe UI"/>
          <w:sz w:val="16"/>
          <w:szCs w:val="16"/>
        </w:rPr>
      </w:pPr>
      <w:r w:rsidRPr="00FA70A1">
        <w:rPr>
          <w:rStyle w:val="FootnoteReference"/>
          <w:rFonts w:cs="Segoe UI"/>
          <w:sz w:val="16"/>
          <w:szCs w:val="16"/>
        </w:rPr>
        <w:footnoteRef/>
      </w:r>
      <w:r w:rsidRPr="00FA70A1">
        <w:rPr>
          <w:rFonts w:cs="Segoe UI"/>
          <w:sz w:val="16"/>
          <w:szCs w:val="16"/>
        </w:rPr>
        <w:t xml:space="preserve"> </w:t>
      </w:r>
      <w:hyperlink r:id="rId34" w:history="1">
        <w:r w:rsidRPr="00344001">
          <w:rPr>
            <w:rStyle w:val="Hyperlink"/>
            <w:rFonts w:cs="Segoe UI"/>
            <w:sz w:val="16"/>
            <w:szCs w:val="16"/>
          </w:rPr>
          <w:t>www.youtube.com/watch?v=GN3tu5FOOa0</w:t>
        </w:r>
      </w:hyperlink>
      <w:r w:rsidRPr="00FA70A1">
        <w:rPr>
          <w:rFonts w:cs="Segoe UI"/>
          <w:sz w:val="16"/>
          <w:szCs w:val="16"/>
        </w:rPr>
        <w:t xml:space="preserve"> </w:t>
      </w:r>
      <w:r>
        <w:rPr>
          <w:rFonts w:cs="Segoe UI"/>
          <w:sz w:val="16"/>
          <w:szCs w:val="16"/>
        </w:rPr>
        <w:t>(accessed 30 March 2023).</w:t>
      </w:r>
    </w:p>
  </w:footnote>
  <w:footnote w:id="90">
    <w:p w14:paraId="012E32EE" w14:textId="77777777" w:rsidR="00A26CD1" w:rsidRPr="003367EE" w:rsidRDefault="00A26CD1" w:rsidP="00B7548E">
      <w:pPr>
        <w:pStyle w:val="FootnoteText"/>
        <w:rPr>
          <w:rFonts w:cs="Segoe UI"/>
          <w:sz w:val="16"/>
          <w:szCs w:val="16"/>
        </w:rPr>
      </w:pPr>
      <w:r w:rsidRPr="00FA70A1">
        <w:rPr>
          <w:rStyle w:val="FootnoteReference"/>
          <w:rFonts w:cs="Segoe UI"/>
          <w:sz w:val="16"/>
          <w:szCs w:val="16"/>
        </w:rPr>
        <w:footnoteRef/>
      </w:r>
      <w:r w:rsidRPr="00FA70A1">
        <w:rPr>
          <w:rFonts w:cs="Segoe UI"/>
          <w:sz w:val="16"/>
          <w:szCs w:val="16"/>
        </w:rPr>
        <w:t xml:space="preserve"> </w:t>
      </w:r>
      <w:hyperlink r:id="rId35">
        <w:r w:rsidRPr="00FA70A1">
          <w:rPr>
            <w:rFonts w:cs="Segoe UI"/>
            <w:color w:val="0563C1"/>
            <w:sz w:val="16"/>
            <w:szCs w:val="16"/>
            <w:u w:val="single"/>
          </w:rPr>
          <w:t>www.ranzcp.org/news-policy/policy-and-advocacy/position-statements/trauma-informed-practice</w:t>
        </w:r>
      </w:hyperlink>
      <w:r>
        <w:rPr>
          <w:rFonts w:cs="Segoe UI"/>
          <w:color w:val="0563C1"/>
          <w:sz w:val="16"/>
          <w:szCs w:val="16"/>
          <w:u w:val="single"/>
        </w:rPr>
        <w:t xml:space="preserve"> </w:t>
      </w:r>
      <w:r>
        <w:rPr>
          <w:rFonts w:cs="Segoe UI"/>
          <w:sz w:val="16"/>
          <w:szCs w:val="16"/>
        </w:rPr>
        <w:t>(accessed 30 March 2023).</w:t>
      </w:r>
    </w:p>
  </w:footnote>
  <w:footnote w:id="91">
    <w:p w14:paraId="64647C05" w14:textId="77777777" w:rsidR="00A26CD1" w:rsidRPr="006A309D" w:rsidRDefault="00A26CD1" w:rsidP="00B7548E">
      <w:pPr>
        <w:pStyle w:val="FootnoteText"/>
        <w:rPr>
          <w:rFonts w:cs="Segoe UI"/>
          <w:sz w:val="16"/>
          <w:szCs w:val="16"/>
        </w:rPr>
      </w:pPr>
      <w:r w:rsidRPr="006A309D">
        <w:rPr>
          <w:rStyle w:val="FootnoteReference"/>
          <w:rFonts w:cs="Segoe UI"/>
          <w:sz w:val="16"/>
          <w:szCs w:val="16"/>
        </w:rPr>
        <w:footnoteRef/>
      </w:r>
      <w:r w:rsidRPr="006A309D">
        <w:rPr>
          <w:rFonts w:cs="Segoe UI"/>
          <w:sz w:val="16"/>
          <w:szCs w:val="16"/>
        </w:rPr>
        <w:t xml:space="preserve"> </w:t>
      </w:r>
      <w:r w:rsidRPr="00145063">
        <w:rPr>
          <w:color w:val="000000"/>
          <w:sz w:val="16"/>
        </w:rPr>
        <w:t xml:space="preserve">Ministry of Health. 2020. </w:t>
      </w:r>
      <w:r w:rsidRPr="007154F0">
        <w:rPr>
          <w:i/>
          <w:iCs/>
          <w:color w:val="000000"/>
          <w:sz w:val="16"/>
        </w:rPr>
        <w:t>Human Rights and the Mental Health (Compulsory Assessment and Treatment) Act 1992</w:t>
      </w:r>
      <w:r w:rsidRPr="00145063">
        <w:rPr>
          <w:color w:val="000000"/>
          <w:sz w:val="16"/>
        </w:rPr>
        <w:t>. Wellington: Ministry of Health.</w:t>
      </w:r>
    </w:p>
  </w:footnote>
  <w:footnote w:id="92">
    <w:p w14:paraId="7DF6C86B" w14:textId="77777777" w:rsidR="00A26CD1" w:rsidRDefault="00A26CD1" w:rsidP="00B7548E">
      <w:pPr>
        <w:pStyle w:val="FootnoteText"/>
      </w:pPr>
      <w:r w:rsidRPr="005544DA">
        <w:rPr>
          <w:rStyle w:val="FootnoteReference"/>
          <w:rFonts w:cs="Segoe UI"/>
          <w:sz w:val="16"/>
          <w:szCs w:val="16"/>
        </w:rPr>
        <w:footnoteRef/>
      </w:r>
      <w:r>
        <w:t xml:space="preserve"> </w:t>
      </w:r>
      <w:r w:rsidRPr="005345A3">
        <w:rPr>
          <w:rFonts w:cs="Segoe UI"/>
          <w:sz w:val="16"/>
          <w:szCs w:val="16"/>
        </w:rPr>
        <w:t xml:space="preserve">Jury A, Lai J, Tuason C, </w:t>
      </w:r>
      <w:r>
        <w:rPr>
          <w:rFonts w:cs="Segoe UI"/>
          <w:sz w:val="16"/>
          <w:szCs w:val="16"/>
        </w:rPr>
        <w:t>et al</w:t>
      </w:r>
      <w:r w:rsidRPr="005345A3">
        <w:rPr>
          <w:rFonts w:cs="Segoe UI"/>
          <w:sz w:val="16"/>
          <w:szCs w:val="16"/>
        </w:rPr>
        <w:t xml:space="preserve">. 2019. People who experience seclusion in adult mental health inpatient services: An examination of health of the nation outcome scales scores. </w:t>
      </w:r>
      <w:r w:rsidRPr="00E324AC">
        <w:rPr>
          <w:rFonts w:cs="Segoe UI"/>
          <w:i/>
          <w:iCs/>
          <w:sz w:val="16"/>
          <w:szCs w:val="16"/>
        </w:rPr>
        <w:t>International Journal of Mental Health Nursing</w:t>
      </w:r>
      <w:r w:rsidRPr="005345A3">
        <w:rPr>
          <w:rFonts w:cs="Segoe UI"/>
          <w:sz w:val="16"/>
          <w:szCs w:val="16"/>
        </w:rPr>
        <w:t xml:space="preserve"> 28(1)</w:t>
      </w:r>
      <w:r>
        <w:rPr>
          <w:rFonts w:cs="Segoe UI"/>
          <w:sz w:val="16"/>
          <w:szCs w:val="16"/>
        </w:rPr>
        <w:t>:</w:t>
      </w:r>
      <w:r w:rsidRPr="005345A3">
        <w:rPr>
          <w:rFonts w:cs="Segoe UI"/>
          <w:sz w:val="16"/>
          <w:szCs w:val="16"/>
        </w:rPr>
        <w:t xml:space="preserve"> 199</w:t>
      </w:r>
      <w:r>
        <w:rPr>
          <w:rFonts w:cs="Segoe UI"/>
          <w:sz w:val="16"/>
          <w:szCs w:val="16"/>
        </w:rPr>
        <w:t>–</w:t>
      </w:r>
      <w:r w:rsidRPr="005345A3">
        <w:rPr>
          <w:rFonts w:cs="Segoe UI"/>
          <w:sz w:val="16"/>
          <w:szCs w:val="16"/>
        </w:rPr>
        <w:t>208.</w:t>
      </w:r>
    </w:p>
  </w:footnote>
  <w:footnote w:id="93">
    <w:p w14:paraId="7F73BF28" w14:textId="77777777" w:rsidR="00A26CD1" w:rsidRDefault="00A26CD1" w:rsidP="00B7548E">
      <w:pPr>
        <w:pStyle w:val="FootnoteText"/>
      </w:pPr>
      <w:r w:rsidRPr="005544DA">
        <w:rPr>
          <w:rStyle w:val="FootnoteReference"/>
          <w:rFonts w:cs="Segoe UI"/>
          <w:sz w:val="16"/>
          <w:szCs w:val="16"/>
        </w:rPr>
        <w:footnoteRef/>
      </w:r>
      <w:r>
        <w:t xml:space="preserve"> </w:t>
      </w:r>
      <w:hyperlink r:id="rId36" w:history="1">
        <w:r w:rsidRPr="00344001">
          <w:rPr>
            <w:rStyle w:val="Hyperlink"/>
          </w:rPr>
          <w:t>www.tepou.co.nz/resources/evidence-update-for-reducing-seclusion-in-new-zealand</w:t>
        </w:r>
      </w:hyperlink>
      <w:r>
        <w:t xml:space="preserve"> </w:t>
      </w:r>
      <w:r>
        <w:rPr>
          <w:rFonts w:cs="Segoe UI"/>
          <w:sz w:val="16"/>
          <w:szCs w:val="16"/>
        </w:rPr>
        <w:t>(accessed 30 March 2023).</w:t>
      </w:r>
    </w:p>
  </w:footnote>
  <w:footnote w:id="94">
    <w:p w14:paraId="16795F57" w14:textId="77777777" w:rsidR="00A26CD1" w:rsidRPr="00D0045F" w:rsidRDefault="00A26CD1" w:rsidP="00B7548E">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Ministry of Health</w:t>
      </w:r>
      <w:r>
        <w:rPr>
          <w:rFonts w:cs="Segoe UI"/>
          <w:sz w:val="16"/>
          <w:szCs w:val="16"/>
        </w:rPr>
        <w:t>. 2020.</w:t>
      </w:r>
      <w:r w:rsidRPr="00477229">
        <w:rPr>
          <w:rFonts w:cs="Segoe UI"/>
          <w:sz w:val="16"/>
          <w:szCs w:val="16"/>
        </w:rPr>
        <w:t xml:space="preserve"> </w:t>
      </w:r>
      <w:hyperlink r:id="rId37" w:history="1">
        <w:r w:rsidRPr="00E324AC">
          <w:rPr>
            <w:rStyle w:val="Hyperlink"/>
            <w:rFonts w:cs="Segoe UI"/>
            <w:i/>
            <w:iCs/>
            <w:sz w:val="16"/>
            <w:szCs w:val="16"/>
          </w:rPr>
          <w:t>Ola Manuia: Pacific Health and Wellbeing Action Plan 2020–2025</w:t>
        </w:r>
      </w:hyperlink>
      <w:r w:rsidRPr="00E324AC">
        <w:t xml:space="preserve">. </w:t>
      </w:r>
      <w:r w:rsidRPr="00E324AC">
        <w:rPr>
          <w:rFonts w:cs="Segoe UI"/>
          <w:sz w:val="16"/>
          <w:szCs w:val="16"/>
        </w:rPr>
        <w:t>Wellington: Ministry of Health.</w:t>
      </w:r>
    </w:p>
  </w:footnote>
  <w:footnote w:id="95">
    <w:p w14:paraId="494B3F2F" w14:textId="77777777" w:rsidR="00A26CD1" w:rsidRPr="00FB5BD9" w:rsidRDefault="00A26CD1" w:rsidP="00B7548E">
      <w:pPr>
        <w:pStyle w:val="FootnoteText"/>
        <w:rPr>
          <w:rFonts w:cs="Segoe UI"/>
          <w:sz w:val="16"/>
          <w:szCs w:val="16"/>
        </w:rPr>
      </w:pPr>
      <w:r w:rsidRPr="00FB5BD9">
        <w:rPr>
          <w:rStyle w:val="FootnoteReference"/>
          <w:rFonts w:cs="Segoe UI"/>
          <w:sz w:val="16"/>
          <w:szCs w:val="16"/>
        </w:rPr>
        <w:footnoteRef/>
      </w:r>
      <w:r w:rsidRPr="00FB5BD9">
        <w:rPr>
          <w:rFonts w:cs="Segoe UI"/>
          <w:sz w:val="16"/>
          <w:szCs w:val="16"/>
        </w:rPr>
        <w:t xml:space="preserve"> </w:t>
      </w:r>
      <w:hyperlink r:id="rId38" w:history="1">
        <w:r w:rsidRPr="00FD6806">
          <w:rPr>
            <w:rStyle w:val="Hyperlink"/>
            <w:rFonts w:cs="Segoe UI"/>
            <w:sz w:val="16"/>
            <w:szCs w:val="16"/>
          </w:rPr>
          <w:t>www.health.govt.nz/about-ministry/what-we-do/combatting-racism-health-system</w:t>
        </w:r>
      </w:hyperlink>
      <w:r>
        <w:rPr>
          <w:rFonts w:cs="Segoe UI"/>
          <w:sz w:val="16"/>
          <w:szCs w:val="16"/>
        </w:rPr>
        <w:t xml:space="preserve"> (accessed 30 March 2023).</w:t>
      </w:r>
    </w:p>
  </w:footnote>
  <w:footnote w:id="96">
    <w:p w14:paraId="66C3B8DA" w14:textId="77777777" w:rsidR="00A26CD1" w:rsidRPr="00145063" w:rsidRDefault="00A26CD1" w:rsidP="00E108A1">
      <w:pPr>
        <w:pBdr>
          <w:top w:val="nil"/>
          <w:left w:val="nil"/>
          <w:bottom w:val="nil"/>
          <w:right w:val="nil"/>
          <w:between w:val="nil"/>
        </w:pBdr>
        <w:ind w:left="284" w:hanging="284"/>
        <w:rPr>
          <w:color w:val="000000"/>
          <w:sz w:val="16"/>
        </w:rPr>
      </w:pPr>
      <w:r w:rsidRPr="007022F9">
        <w:rPr>
          <w:rStyle w:val="FootnoteReference"/>
          <w:sz w:val="16"/>
        </w:rPr>
        <w:footnoteRef/>
      </w:r>
      <w:r w:rsidRPr="007A31E4">
        <w:rPr>
          <w:color w:val="000000"/>
          <w:sz w:val="16"/>
          <w:szCs w:val="16"/>
        </w:rPr>
        <w:t xml:space="preserve"> </w:t>
      </w:r>
      <w:hyperlink r:id="rId39" w:history="1">
        <w:r>
          <w:rPr>
            <w:rStyle w:val="Hyperlink"/>
            <w:sz w:val="16"/>
            <w:szCs w:val="16"/>
          </w:rPr>
          <w:t>www.hqsc.govt.nz/our-programmes/patient-safety-day/publications-and-resources/publication/3866</w:t>
        </w:r>
      </w:hyperlink>
      <w:r w:rsidRPr="007A31E4">
        <w:rPr>
          <w:color w:val="000000"/>
          <w:sz w:val="16"/>
          <w:szCs w:val="16"/>
        </w:rPr>
        <w:t xml:space="preserve"> </w:t>
      </w:r>
      <w:r>
        <w:rPr>
          <w:rFonts w:cs="Segoe UI"/>
          <w:sz w:val="16"/>
          <w:szCs w:val="16"/>
        </w:rPr>
        <w:t>(accessed 30 March 2023).</w:t>
      </w:r>
    </w:p>
  </w:footnote>
  <w:footnote w:id="97">
    <w:p w14:paraId="7D9767AC" w14:textId="77777777" w:rsidR="00A26CD1" w:rsidRPr="00017292" w:rsidRDefault="00A26CD1" w:rsidP="00B7548E">
      <w:pPr>
        <w:pStyle w:val="FootnoteText"/>
        <w:rPr>
          <w:rStyle w:val="Hyperlink"/>
          <w:rFonts w:eastAsiaTheme="minorEastAsia" w:cs="Segoe UI"/>
          <w:sz w:val="16"/>
          <w:szCs w:val="16"/>
        </w:rPr>
      </w:pPr>
      <w:r w:rsidRPr="005544DA">
        <w:rPr>
          <w:rStyle w:val="FootnoteReference"/>
          <w:rFonts w:cs="Segoe UI"/>
          <w:sz w:val="16"/>
          <w:szCs w:val="16"/>
        </w:rPr>
        <w:footnoteRef/>
      </w:r>
      <w:r>
        <w:t xml:space="preserve"> </w:t>
      </w:r>
      <w:r w:rsidRPr="00BA52D4">
        <w:rPr>
          <w:rStyle w:val="Hyperlink"/>
          <w:rFonts w:eastAsiaTheme="minorEastAsia" w:cs="Segoe UI"/>
          <w:sz w:val="16"/>
          <w:szCs w:val="16"/>
        </w:rPr>
        <w:t>www.mcnz.org.nz/our-standards/current-standards/cultural-safety/</w:t>
      </w:r>
      <w:r>
        <w:rPr>
          <w:rStyle w:val="Hyperlink"/>
          <w:rFonts w:eastAsiaTheme="minorEastAsia" w:cs="Segoe UI"/>
          <w:sz w:val="16"/>
          <w:szCs w:val="16"/>
        </w:rPr>
        <w:t xml:space="preserve"> </w:t>
      </w:r>
      <w:r>
        <w:rPr>
          <w:rFonts w:cs="Segoe UI"/>
          <w:sz w:val="16"/>
          <w:szCs w:val="16"/>
        </w:rPr>
        <w:t>(accessed 30 March 2023).</w:t>
      </w:r>
    </w:p>
  </w:footnote>
  <w:footnote w:id="98">
    <w:p w14:paraId="34712194" w14:textId="77777777" w:rsidR="00A26CD1" w:rsidRPr="00C84593" w:rsidRDefault="00A26CD1" w:rsidP="00B7548E">
      <w:pPr>
        <w:pStyle w:val="FootnoteText"/>
      </w:pPr>
      <w:r w:rsidRPr="005544DA">
        <w:rPr>
          <w:rStyle w:val="FootnoteReference"/>
          <w:rFonts w:cs="Segoe UI"/>
          <w:sz w:val="16"/>
          <w:szCs w:val="16"/>
        </w:rPr>
        <w:footnoteRef/>
      </w:r>
      <w:r>
        <w:t xml:space="preserve"> </w:t>
      </w:r>
      <w:r w:rsidRPr="00D0045F">
        <w:rPr>
          <w:rFonts w:cs="Segoe UI"/>
          <w:sz w:val="16"/>
          <w:szCs w:val="16"/>
        </w:rPr>
        <w:t>K</w:t>
      </w:r>
      <w:r w:rsidRPr="00C84593">
        <w:rPr>
          <w:rFonts w:cs="Segoe UI"/>
          <w:i/>
          <w:iCs/>
          <w:sz w:val="16"/>
          <w:szCs w:val="16"/>
        </w:rPr>
        <w:t>ia Manawanui</w:t>
      </w:r>
      <w:r>
        <w:rPr>
          <w:rFonts w:cs="Segoe UI"/>
          <w:sz w:val="16"/>
          <w:szCs w:val="16"/>
        </w:rPr>
        <w:t>, p.3.</w:t>
      </w:r>
    </w:p>
  </w:footnote>
  <w:footnote w:id="99">
    <w:p w14:paraId="7321FA69" w14:textId="77777777" w:rsidR="00A26CD1" w:rsidRPr="003E0E16" w:rsidRDefault="00A26CD1" w:rsidP="00B7548E">
      <w:pPr>
        <w:pStyle w:val="FootnoteText"/>
        <w:rPr>
          <w:rFonts w:cs="Segoe UI"/>
          <w:sz w:val="16"/>
          <w:szCs w:val="16"/>
        </w:rPr>
      </w:pPr>
      <w:r w:rsidRPr="005544DA">
        <w:rPr>
          <w:rStyle w:val="FootnoteReference"/>
          <w:rFonts w:cs="Segoe UI"/>
          <w:sz w:val="16"/>
          <w:szCs w:val="16"/>
        </w:rPr>
        <w:footnoteRef/>
      </w:r>
      <w:r>
        <w:t xml:space="preserve"> </w:t>
      </w:r>
      <w:r w:rsidRPr="0064000C">
        <w:rPr>
          <w:rFonts w:cs="Segoe UI"/>
          <w:sz w:val="16"/>
          <w:szCs w:val="16"/>
          <w:shd w:val="clear" w:color="auto" w:fill="FFFFFF"/>
        </w:rPr>
        <w:t xml:space="preserve">Ministry of Health. 2020. </w:t>
      </w:r>
      <w:r w:rsidRPr="00EC5D5C">
        <w:rPr>
          <w:rFonts w:cs="Segoe UI"/>
          <w:i/>
          <w:iCs/>
          <w:sz w:val="16"/>
          <w:szCs w:val="16"/>
          <w:shd w:val="clear" w:color="auto" w:fill="FFFFFF"/>
        </w:rPr>
        <w:t>Ola Manuia: Pacific Health and Wellbeing Action Plan 2020–2025</w:t>
      </w:r>
      <w:r w:rsidRPr="0064000C">
        <w:rPr>
          <w:rFonts w:cs="Segoe UI"/>
          <w:sz w:val="16"/>
          <w:szCs w:val="16"/>
          <w:shd w:val="clear" w:color="auto" w:fill="FFFFFF"/>
        </w:rPr>
        <w:t>. Wellington: Ministry of Health.</w:t>
      </w:r>
    </w:p>
  </w:footnote>
  <w:footnote w:id="100">
    <w:p w14:paraId="79909191" w14:textId="77777777" w:rsidR="00A26CD1" w:rsidRPr="004E2E5A" w:rsidRDefault="00A26CD1" w:rsidP="00B7548E">
      <w:pPr>
        <w:pStyle w:val="FootnoteText"/>
        <w:rPr>
          <w:rFonts w:cs="Segoe UI"/>
        </w:rPr>
      </w:pPr>
      <w:r w:rsidRPr="00477229">
        <w:rPr>
          <w:rStyle w:val="FootnoteReference"/>
          <w:rFonts w:cs="Segoe UI"/>
          <w:sz w:val="16"/>
          <w:szCs w:val="16"/>
        </w:rPr>
        <w:footnoteRef/>
      </w:r>
      <w:r w:rsidRPr="00477229">
        <w:rPr>
          <w:rFonts w:cs="Segoe UI"/>
          <w:sz w:val="16"/>
          <w:szCs w:val="16"/>
        </w:rPr>
        <w:t xml:space="preserve"> Fraser G. 2019. </w:t>
      </w:r>
      <w:r w:rsidRPr="007F15D3">
        <w:rPr>
          <w:rFonts w:cs="Segoe UI"/>
          <w:i/>
          <w:iCs/>
          <w:sz w:val="16"/>
          <w:szCs w:val="16"/>
        </w:rPr>
        <w:t>Supporting Aotearoa’s Rainbow People: A practical guide for mental health professionals</w:t>
      </w:r>
      <w:r w:rsidRPr="00477229">
        <w:rPr>
          <w:rFonts w:cs="Segoe UI"/>
          <w:sz w:val="16"/>
          <w:szCs w:val="16"/>
        </w:rPr>
        <w:t>. Wellington: Youth Wellbeing Study and Rainbow YOUTH.</w:t>
      </w:r>
    </w:p>
  </w:footnote>
  <w:footnote w:id="101">
    <w:p w14:paraId="3A2D5898" w14:textId="77777777" w:rsidR="00A26CD1" w:rsidRPr="00477229" w:rsidRDefault="00A26CD1" w:rsidP="00B7548E">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w:t>
      </w:r>
      <w:hyperlink r:id="rId40" w:history="1">
        <w:r w:rsidRPr="00FF56EE">
          <w:rPr>
            <w:rStyle w:val="Hyperlink"/>
            <w:rFonts w:cs="Segoe UI"/>
            <w:sz w:val="16"/>
            <w:szCs w:val="16"/>
          </w:rPr>
          <w:t>www.hqsc.govt.nz/assets/Our-work/Mental-health-and-addiction/Resources/ZeroSeclusionSummary_Nov20_Final.pdf</w:t>
        </w:r>
      </w:hyperlink>
      <w:r>
        <w:rPr>
          <w:rFonts w:cs="Segoe UI"/>
          <w:sz w:val="16"/>
          <w:szCs w:val="16"/>
        </w:rPr>
        <w:t xml:space="preserve"> (accessed 30 March 2023).</w:t>
      </w:r>
    </w:p>
  </w:footnote>
  <w:footnote w:id="102">
    <w:p w14:paraId="78AC8EDD" w14:textId="77777777" w:rsidR="00A26CD1" w:rsidRPr="00477229" w:rsidRDefault="00A26CD1" w:rsidP="00B7548E">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w:t>
      </w:r>
      <w:hyperlink r:id="rId41" w:history="1">
        <w:r w:rsidRPr="00FF56EE">
          <w:rPr>
            <w:rStyle w:val="Hyperlink"/>
            <w:rFonts w:cs="Segoe UI"/>
            <w:sz w:val="16"/>
            <w:szCs w:val="16"/>
          </w:rPr>
          <w:t>www.tepou.co.nz/resources/least-restrictive-practice-evidence-update-may-2021</w:t>
        </w:r>
      </w:hyperlink>
      <w:r>
        <w:rPr>
          <w:rFonts w:cs="Segoe UI"/>
          <w:sz w:val="16"/>
          <w:szCs w:val="16"/>
        </w:rPr>
        <w:t xml:space="preserve"> (accessed 30 March 2023).</w:t>
      </w:r>
    </w:p>
  </w:footnote>
  <w:footnote w:id="103">
    <w:p w14:paraId="0EF1B7B6" w14:textId="77777777" w:rsidR="00A26CD1" w:rsidRPr="00CB5989" w:rsidRDefault="00A26CD1" w:rsidP="00B7548E">
      <w:pPr>
        <w:pStyle w:val="FootnoteText"/>
        <w:rPr>
          <w:rFonts w:cs="Segoe UI"/>
          <w:sz w:val="16"/>
          <w:szCs w:val="16"/>
        </w:rPr>
      </w:pPr>
      <w:r w:rsidRPr="005544DA">
        <w:rPr>
          <w:rFonts w:cs="Segoe UI"/>
          <w:sz w:val="16"/>
          <w:szCs w:val="16"/>
          <w:vertAlign w:val="superscript"/>
        </w:rPr>
        <w:footnoteRef/>
      </w:r>
      <w:r w:rsidRPr="00477229">
        <w:rPr>
          <w:rFonts w:cs="Segoe UI"/>
          <w:sz w:val="16"/>
          <w:szCs w:val="16"/>
        </w:rPr>
        <w:t xml:space="preserve"> </w:t>
      </w:r>
      <w:r w:rsidRPr="00CB5989">
        <w:rPr>
          <w:rFonts w:cs="Segoe UI"/>
          <w:sz w:val="16"/>
          <w:szCs w:val="16"/>
        </w:rPr>
        <w:t>Lloyd C, King R, Machingura T. 2014. An investigation into the effectiveness of sensory modulation in reducing seclusion within an acute mental health unit. </w:t>
      </w:r>
      <w:r w:rsidRPr="00CB5989">
        <w:rPr>
          <w:rFonts w:cs="Segoe UI"/>
          <w:i/>
          <w:iCs/>
          <w:sz w:val="16"/>
          <w:szCs w:val="16"/>
        </w:rPr>
        <w:t>Advances in Mental Health</w:t>
      </w:r>
      <w:r w:rsidRPr="00CB5989">
        <w:rPr>
          <w:rFonts w:cs="Segoe UI"/>
          <w:sz w:val="16"/>
          <w:szCs w:val="16"/>
        </w:rPr>
        <w:t xml:space="preserve"> 12(2): 93–100. </w:t>
      </w:r>
    </w:p>
  </w:footnote>
  <w:footnote w:id="104">
    <w:p w14:paraId="6A218BAB" w14:textId="77777777" w:rsidR="00A26CD1" w:rsidRPr="00CB5989" w:rsidRDefault="00A26CD1" w:rsidP="00B7548E">
      <w:pPr>
        <w:pStyle w:val="FootnoteText"/>
        <w:rPr>
          <w:rFonts w:cs="Segoe UI"/>
          <w:sz w:val="16"/>
          <w:szCs w:val="16"/>
        </w:rPr>
      </w:pPr>
      <w:r w:rsidRPr="00CB5989">
        <w:rPr>
          <w:rStyle w:val="FootnoteReference"/>
          <w:rFonts w:cs="Segoe UI"/>
          <w:sz w:val="16"/>
          <w:szCs w:val="16"/>
        </w:rPr>
        <w:footnoteRef/>
      </w:r>
      <w:r w:rsidRPr="00CB5989">
        <w:rPr>
          <w:rFonts w:cs="Segoe UI"/>
          <w:sz w:val="16"/>
          <w:szCs w:val="16"/>
        </w:rPr>
        <w:t xml:space="preserve"> Sutton D, Wilson M, Van Kessel K, et al. 2013. Optimizing arousal to manage aggression: A pilot study of sensory modulation. </w:t>
      </w:r>
      <w:r w:rsidRPr="00CB5989">
        <w:rPr>
          <w:rFonts w:cs="Segoe UI"/>
          <w:i/>
          <w:iCs/>
          <w:sz w:val="16"/>
          <w:szCs w:val="16"/>
        </w:rPr>
        <w:t>International Journal of Mental Health Nursing</w:t>
      </w:r>
      <w:r w:rsidRPr="00CB5989">
        <w:rPr>
          <w:rFonts w:cs="Segoe UI"/>
          <w:sz w:val="16"/>
          <w:szCs w:val="16"/>
        </w:rPr>
        <w:t xml:space="preserve"> 22(6): 500–11. </w:t>
      </w:r>
    </w:p>
  </w:footnote>
  <w:footnote w:id="105">
    <w:p w14:paraId="23F8150F" w14:textId="77777777" w:rsidR="00A26CD1" w:rsidRPr="00CB5989" w:rsidRDefault="00A26CD1" w:rsidP="00B7548E">
      <w:pPr>
        <w:pStyle w:val="FootnoteText"/>
        <w:rPr>
          <w:rFonts w:cs="Segoe UI"/>
        </w:rPr>
      </w:pPr>
      <w:r w:rsidRPr="00CB5989">
        <w:rPr>
          <w:rStyle w:val="FootnoteReference"/>
          <w:rFonts w:cs="Segoe UI"/>
          <w:sz w:val="16"/>
          <w:szCs w:val="16"/>
        </w:rPr>
        <w:footnoteRef/>
      </w:r>
      <w:r w:rsidRPr="00CB5989">
        <w:rPr>
          <w:rFonts w:cs="Segoe UI"/>
          <w:sz w:val="16"/>
          <w:szCs w:val="16"/>
        </w:rPr>
        <w:t xml:space="preserve"> Schlotjes ER, Smith MM. 2022. Open doors: Sensory rongo for Māori. </w:t>
      </w:r>
      <w:r w:rsidRPr="00CB5989">
        <w:rPr>
          <w:rFonts w:cs="Segoe UI"/>
          <w:i/>
          <w:iCs/>
          <w:sz w:val="16"/>
          <w:szCs w:val="16"/>
        </w:rPr>
        <w:t>New Zealand Journal of Occupational Therapy</w:t>
      </w:r>
      <w:r w:rsidRPr="00CB5989">
        <w:rPr>
          <w:rFonts w:cs="Segoe UI"/>
          <w:sz w:val="16"/>
          <w:szCs w:val="16"/>
        </w:rPr>
        <w:t>, 69(1): 10–16.</w:t>
      </w:r>
    </w:p>
  </w:footnote>
  <w:footnote w:id="106">
    <w:p w14:paraId="7F4CB68A" w14:textId="77777777" w:rsidR="00A26CD1" w:rsidRPr="00CB5989" w:rsidRDefault="00A26CD1" w:rsidP="00B7548E">
      <w:pPr>
        <w:pStyle w:val="FootnoteText"/>
        <w:rPr>
          <w:rFonts w:cs="Segoe UI"/>
          <w:sz w:val="16"/>
          <w:szCs w:val="16"/>
        </w:rPr>
      </w:pPr>
      <w:r w:rsidRPr="00CB5989">
        <w:rPr>
          <w:rStyle w:val="FootnoteReference"/>
          <w:rFonts w:cs="Segoe UI"/>
          <w:sz w:val="16"/>
          <w:szCs w:val="16"/>
        </w:rPr>
        <w:footnoteRef/>
      </w:r>
      <w:r w:rsidRPr="00CB5989">
        <w:rPr>
          <w:rFonts w:cs="Segoe UI"/>
          <w:sz w:val="16"/>
          <w:szCs w:val="16"/>
        </w:rPr>
        <w:t xml:space="preserve"> </w:t>
      </w:r>
      <w:hyperlink r:id="rId42" w:history="1">
        <w:r w:rsidRPr="00CB5989">
          <w:rPr>
            <w:rStyle w:val="Hyperlink"/>
            <w:rFonts w:cs="Segoe UI"/>
            <w:sz w:val="16"/>
            <w:szCs w:val="16"/>
          </w:rPr>
          <w:t>www.tepou.co.nz/resources/least-restrictive-practice-evidence-update-december-2022</w:t>
        </w:r>
      </w:hyperlink>
      <w:r w:rsidRPr="00CB5989">
        <w:rPr>
          <w:rFonts w:cs="Segoe UI"/>
          <w:sz w:val="16"/>
          <w:szCs w:val="16"/>
        </w:rPr>
        <w:t xml:space="preserve"> (accessed 30 March 2023).</w:t>
      </w:r>
    </w:p>
  </w:footnote>
  <w:footnote w:id="107">
    <w:p w14:paraId="3D03C105" w14:textId="77777777" w:rsidR="00A26CD1" w:rsidRPr="00CB5989" w:rsidRDefault="00A26CD1" w:rsidP="00B7548E">
      <w:pPr>
        <w:pStyle w:val="FootnoteText"/>
        <w:rPr>
          <w:rFonts w:cs="Segoe UI"/>
          <w:sz w:val="16"/>
          <w:szCs w:val="16"/>
        </w:rPr>
      </w:pPr>
      <w:r w:rsidRPr="00CB5989">
        <w:rPr>
          <w:rStyle w:val="FootnoteReference"/>
          <w:rFonts w:cs="Segoe UI"/>
          <w:sz w:val="16"/>
          <w:szCs w:val="16"/>
        </w:rPr>
        <w:footnoteRef/>
      </w:r>
      <w:r w:rsidRPr="00CB5989">
        <w:rPr>
          <w:rFonts w:cs="Segoe UI"/>
          <w:sz w:val="16"/>
          <w:szCs w:val="16"/>
        </w:rPr>
        <w:t xml:space="preserve"> Hollands T, Sutton D, Wright-St.Clair V, et al. 2015. Māori mental health consumers’ sensory experience of kapa haka and its utility to occupational therapy practice. </w:t>
      </w:r>
      <w:r w:rsidRPr="00CB5989">
        <w:rPr>
          <w:rFonts w:cs="Segoe UI"/>
          <w:i/>
          <w:iCs/>
          <w:sz w:val="16"/>
          <w:szCs w:val="16"/>
        </w:rPr>
        <w:t>New Zealand Journal of Occupational Therapy</w:t>
      </w:r>
      <w:r w:rsidRPr="00CB5989">
        <w:rPr>
          <w:rFonts w:cs="Segoe UI"/>
          <w:sz w:val="16"/>
          <w:szCs w:val="16"/>
        </w:rPr>
        <w:t xml:space="preserve"> 62(1): 3–11.</w:t>
      </w:r>
    </w:p>
  </w:footnote>
  <w:footnote w:id="108">
    <w:p w14:paraId="5410C471" w14:textId="77777777" w:rsidR="00A26CD1" w:rsidRPr="00CB5989" w:rsidRDefault="00A26CD1" w:rsidP="00B7548E">
      <w:pPr>
        <w:pStyle w:val="FootnoteText"/>
        <w:rPr>
          <w:rFonts w:cs="Segoe UI"/>
          <w:sz w:val="16"/>
          <w:szCs w:val="16"/>
        </w:rPr>
      </w:pPr>
      <w:r w:rsidRPr="00CB5989">
        <w:rPr>
          <w:rStyle w:val="FootnoteReference"/>
          <w:rFonts w:cs="Segoe UI"/>
          <w:sz w:val="16"/>
          <w:szCs w:val="16"/>
        </w:rPr>
        <w:footnoteRef/>
      </w:r>
      <w:r w:rsidRPr="00CB5989">
        <w:rPr>
          <w:rFonts w:cs="Segoe UI"/>
          <w:sz w:val="16"/>
          <w:szCs w:val="16"/>
        </w:rPr>
        <w:t xml:space="preserve"> </w:t>
      </w:r>
      <w:hyperlink r:id="rId43" w:history="1">
        <w:r w:rsidRPr="00CB5989">
          <w:rPr>
            <w:rStyle w:val="Hyperlink"/>
            <w:rFonts w:cs="Segoe UI"/>
            <w:sz w:val="16"/>
            <w:szCs w:val="16"/>
          </w:rPr>
          <w:t>www.tepou.co.nz/initiatives/reducing-seclusion-and-restraint/sensory-modulation</w:t>
        </w:r>
      </w:hyperlink>
      <w:r w:rsidRPr="00CB5989">
        <w:rPr>
          <w:rStyle w:val="Hyperlink"/>
          <w:rFonts w:cs="Segoe UI"/>
          <w:sz w:val="16"/>
          <w:szCs w:val="16"/>
        </w:rPr>
        <w:t xml:space="preserve"> </w:t>
      </w:r>
      <w:r w:rsidRPr="00CB5989">
        <w:rPr>
          <w:rFonts w:cs="Segoe UI"/>
          <w:sz w:val="16"/>
          <w:szCs w:val="16"/>
        </w:rPr>
        <w:t>(accessed 30 March 2023).</w:t>
      </w:r>
    </w:p>
  </w:footnote>
  <w:footnote w:id="109">
    <w:p w14:paraId="224D04E9" w14:textId="77777777" w:rsidR="00A26CD1" w:rsidRPr="00477229" w:rsidRDefault="00A26CD1" w:rsidP="00B7548E">
      <w:pPr>
        <w:pStyle w:val="FootnoteText"/>
        <w:rPr>
          <w:rStyle w:val="Hyperlink"/>
          <w:rFonts w:cs="Segoe UI"/>
          <w:sz w:val="16"/>
          <w:szCs w:val="16"/>
        </w:rPr>
      </w:pPr>
      <w:r w:rsidRPr="00CB5989">
        <w:rPr>
          <w:rStyle w:val="FootnoteReference"/>
          <w:rFonts w:cs="Segoe UI"/>
          <w:sz w:val="16"/>
          <w:szCs w:val="16"/>
        </w:rPr>
        <w:footnoteRef/>
      </w:r>
      <w:r w:rsidRPr="00CB5989">
        <w:rPr>
          <w:rFonts w:cs="Segoe UI"/>
          <w:sz w:val="16"/>
          <w:szCs w:val="16"/>
        </w:rPr>
        <w:t xml:space="preserve"> </w:t>
      </w:r>
      <w:hyperlink r:id="rId44" w:history="1">
        <w:r w:rsidRPr="00CB5989">
          <w:rPr>
            <w:rStyle w:val="Hyperlink"/>
            <w:rFonts w:cs="Segoe UI"/>
            <w:sz w:val="16"/>
            <w:szCs w:val="16"/>
          </w:rPr>
          <w:t>www.hqsc.govt.nz/news/mental-health-and-addiction-quality-improvement-programme-update/</w:t>
        </w:r>
      </w:hyperlink>
      <w:r w:rsidRPr="00CB5989">
        <w:rPr>
          <w:rStyle w:val="Hyperlink"/>
          <w:rFonts w:cs="Segoe UI"/>
          <w:sz w:val="16"/>
          <w:szCs w:val="16"/>
        </w:rPr>
        <w:t xml:space="preserve"> </w:t>
      </w:r>
      <w:r w:rsidRPr="00CB5989">
        <w:rPr>
          <w:rFonts w:cs="Segoe UI"/>
          <w:sz w:val="16"/>
          <w:szCs w:val="16"/>
        </w:rPr>
        <w:t>(accessed</w:t>
      </w:r>
      <w:r>
        <w:rPr>
          <w:rFonts w:cs="Segoe UI"/>
          <w:sz w:val="16"/>
          <w:szCs w:val="16"/>
        </w:rPr>
        <w:t xml:space="preserve"> 30 March 2023).</w:t>
      </w:r>
    </w:p>
  </w:footnote>
  <w:footnote w:id="110">
    <w:p w14:paraId="7FC21AA9" w14:textId="77777777" w:rsidR="00A26CD1" w:rsidRPr="00477229" w:rsidRDefault="00A26CD1" w:rsidP="00B7548E">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Mullen B, Champagne T, Krishnamurty S, </w:t>
      </w:r>
      <w:r>
        <w:rPr>
          <w:rFonts w:cs="Segoe UI"/>
          <w:sz w:val="16"/>
          <w:szCs w:val="16"/>
        </w:rPr>
        <w:t>et al</w:t>
      </w:r>
      <w:r w:rsidRPr="00477229">
        <w:rPr>
          <w:rFonts w:cs="Segoe UI"/>
          <w:sz w:val="16"/>
          <w:szCs w:val="16"/>
        </w:rPr>
        <w:t xml:space="preserve">. 2008. Exploring the safety and therapeutic effects of deep pressure stimulation using a weighted blanket. </w:t>
      </w:r>
      <w:r w:rsidRPr="007F15D3">
        <w:rPr>
          <w:rFonts w:cs="Segoe UI"/>
          <w:i/>
          <w:iCs/>
          <w:sz w:val="16"/>
          <w:szCs w:val="16"/>
        </w:rPr>
        <w:t>Occupational Therapy in Mental Health</w:t>
      </w:r>
      <w:r w:rsidRPr="00477229">
        <w:rPr>
          <w:rFonts w:cs="Segoe UI"/>
          <w:sz w:val="16"/>
          <w:szCs w:val="16"/>
        </w:rPr>
        <w:t xml:space="preserve"> 24</w:t>
      </w:r>
      <w:r>
        <w:rPr>
          <w:rFonts w:cs="Segoe UI"/>
          <w:sz w:val="16"/>
          <w:szCs w:val="16"/>
        </w:rPr>
        <w:t>:</w:t>
      </w:r>
      <w:r w:rsidRPr="00477229">
        <w:rPr>
          <w:rFonts w:cs="Segoe UI"/>
          <w:sz w:val="16"/>
          <w:szCs w:val="16"/>
        </w:rPr>
        <w:t xml:space="preserve"> 65–89.</w:t>
      </w:r>
    </w:p>
  </w:footnote>
  <w:footnote w:id="111">
    <w:p w14:paraId="5485B231" w14:textId="77777777" w:rsidR="00A26CD1" w:rsidRDefault="00A26CD1" w:rsidP="00B7548E">
      <w:pPr>
        <w:pStyle w:val="FootnoteText"/>
      </w:pPr>
      <w:r w:rsidRPr="00477229">
        <w:rPr>
          <w:rStyle w:val="FootnoteReference"/>
          <w:rFonts w:cs="Segoe UI"/>
          <w:sz w:val="16"/>
          <w:szCs w:val="16"/>
        </w:rPr>
        <w:footnoteRef/>
      </w:r>
      <w:r w:rsidRPr="00477229">
        <w:rPr>
          <w:rFonts w:cs="Segoe UI"/>
          <w:sz w:val="16"/>
          <w:szCs w:val="16"/>
        </w:rPr>
        <w:t xml:space="preserve"> Champagne T, Mullen B, Dickson D, </w:t>
      </w:r>
      <w:r>
        <w:rPr>
          <w:rFonts w:cs="Segoe UI"/>
          <w:sz w:val="16"/>
          <w:szCs w:val="16"/>
        </w:rPr>
        <w:t>et al</w:t>
      </w:r>
      <w:r w:rsidRPr="00477229">
        <w:rPr>
          <w:rFonts w:cs="Segoe UI"/>
          <w:sz w:val="16"/>
          <w:szCs w:val="16"/>
        </w:rPr>
        <w:t xml:space="preserve">. 2015. Evaluating the safety and effectiveness of the weighted blanket with adults during an inpatient mental health hospitalization. </w:t>
      </w:r>
      <w:r w:rsidRPr="00477229">
        <w:rPr>
          <w:rFonts w:cs="Segoe UI"/>
          <w:i/>
          <w:sz w:val="16"/>
          <w:szCs w:val="16"/>
        </w:rPr>
        <w:t>Occupational Therapy in Mental Health</w:t>
      </w:r>
      <w:r w:rsidRPr="00477229">
        <w:rPr>
          <w:rFonts w:cs="Segoe UI"/>
          <w:sz w:val="16"/>
          <w:szCs w:val="16"/>
        </w:rPr>
        <w:t xml:space="preserve"> </w:t>
      </w:r>
      <w:r w:rsidRPr="007F15D3">
        <w:rPr>
          <w:rFonts w:cs="Segoe UI"/>
          <w:iCs/>
          <w:sz w:val="16"/>
          <w:szCs w:val="16"/>
        </w:rPr>
        <w:t>31</w:t>
      </w:r>
      <w:r w:rsidRPr="00477229">
        <w:rPr>
          <w:rFonts w:cs="Segoe UI"/>
          <w:sz w:val="16"/>
          <w:szCs w:val="16"/>
        </w:rPr>
        <w:t>(3)</w:t>
      </w:r>
      <w:r>
        <w:rPr>
          <w:rFonts w:cs="Segoe UI"/>
          <w:sz w:val="16"/>
          <w:szCs w:val="16"/>
        </w:rPr>
        <w:t>:</w:t>
      </w:r>
      <w:r w:rsidRPr="00477229">
        <w:rPr>
          <w:rFonts w:cs="Segoe UI"/>
          <w:sz w:val="16"/>
          <w:szCs w:val="16"/>
        </w:rPr>
        <w:t xml:space="preserve"> 211</w:t>
      </w:r>
      <w:r>
        <w:rPr>
          <w:rFonts w:cs="Segoe UI"/>
          <w:sz w:val="16"/>
          <w:szCs w:val="16"/>
        </w:rPr>
        <w:t>–</w:t>
      </w:r>
      <w:r w:rsidRPr="00477229">
        <w:rPr>
          <w:rFonts w:cs="Segoe UI"/>
          <w:sz w:val="16"/>
          <w:szCs w:val="16"/>
        </w:rPr>
        <w:t>33.</w:t>
      </w:r>
    </w:p>
  </w:footnote>
  <w:footnote w:id="112">
    <w:p w14:paraId="2811D1C0" w14:textId="77777777" w:rsidR="00A26CD1" w:rsidRPr="00477229" w:rsidRDefault="00A26CD1" w:rsidP="00B7548E">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w:t>
      </w:r>
      <w:hyperlink r:id="rId45" w:history="1">
        <w:r w:rsidRPr="00477229">
          <w:rPr>
            <w:rStyle w:val="Hyperlink"/>
            <w:rFonts w:cs="Segoe UI"/>
            <w:sz w:val="16"/>
            <w:szCs w:val="16"/>
          </w:rPr>
          <w:t>www.tepou.co.nz/resources/least-restrictive-practice-evidence-update-october-2021</w:t>
        </w:r>
      </w:hyperlink>
      <w:r w:rsidRPr="00477229">
        <w:rPr>
          <w:rFonts w:cs="Segoe UI"/>
          <w:sz w:val="16"/>
          <w:szCs w:val="16"/>
        </w:rPr>
        <w:t xml:space="preserve"> </w:t>
      </w:r>
      <w:r>
        <w:rPr>
          <w:rFonts w:cs="Segoe UI"/>
          <w:sz w:val="16"/>
          <w:szCs w:val="16"/>
        </w:rPr>
        <w:t>(accessed 30 March 2023).</w:t>
      </w:r>
    </w:p>
  </w:footnote>
  <w:footnote w:id="113">
    <w:p w14:paraId="4EA88552" w14:textId="77777777" w:rsidR="00A26CD1" w:rsidRPr="00477229" w:rsidRDefault="00A26CD1" w:rsidP="00B7548E">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Marshall CD. </w:t>
      </w:r>
      <w:r>
        <w:rPr>
          <w:rFonts w:cs="Segoe UI"/>
          <w:sz w:val="16"/>
          <w:szCs w:val="16"/>
        </w:rPr>
        <w:t xml:space="preserve">2020. </w:t>
      </w:r>
      <w:r w:rsidRPr="00477229">
        <w:rPr>
          <w:rFonts w:cs="Segoe UI"/>
          <w:sz w:val="16"/>
          <w:szCs w:val="16"/>
        </w:rPr>
        <w:t xml:space="preserve">Restorative justice. </w:t>
      </w:r>
      <w:r>
        <w:rPr>
          <w:rFonts w:cs="Segoe UI"/>
          <w:sz w:val="16"/>
          <w:szCs w:val="16"/>
        </w:rPr>
        <w:t xml:space="preserve">In: </w:t>
      </w:r>
      <w:r w:rsidRPr="007F15D3">
        <w:rPr>
          <w:rFonts w:cs="Segoe UI"/>
          <w:i/>
          <w:iCs/>
          <w:sz w:val="16"/>
          <w:szCs w:val="16"/>
        </w:rPr>
        <w:t>Religion Matters</w:t>
      </w:r>
      <w:r w:rsidRPr="00477229">
        <w:rPr>
          <w:rFonts w:cs="Segoe UI"/>
          <w:sz w:val="16"/>
          <w:szCs w:val="16"/>
        </w:rPr>
        <w:t xml:space="preserve">. </w:t>
      </w:r>
      <w:r>
        <w:rPr>
          <w:rFonts w:cs="Segoe UI"/>
          <w:sz w:val="16"/>
          <w:szCs w:val="16"/>
        </w:rPr>
        <w:t xml:space="preserve">Singapore: </w:t>
      </w:r>
      <w:r w:rsidRPr="00477229">
        <w:rPr>
          <w:rFonts w:cs="Segoe UI"/>
          <w:sz w:val="16"/>
          <w:szCs w:val="16"/>
        </w:rPr>
        <w:t>Springer</w:t>
      </w:r>
      <w:r>
        <w:rPr>
          <w:rFonts w:cs="Segoe UI"/>
          <w:sz w:val="16"/>
          <w:szCs w:val="16"/>
        </w:rPr>
        <w:t>,</w:t>
      </w:r>
      <w:r w:rsidRPr="00477229">
        <w:rPr>
          <w:rFonts w:cs="Segoe UI"/>
          <w:sz w:val="16"/>
          <w:szCs w:val="16"/>
        </w:rPr>
        <w:t xml:space="preserve"> </w:t>
      </w:r>
      <w:r>
        <w:rPr>
          <w:rFonts w:cs="Segoe UI"/>
          <w:sz w:val="16"/>
          <w:szCs w:val="16"/>
        </w:rPr>
        <w:t>pp. </w:t>
      </w:r>
      <w:r w:rsidRPr="00477229">
        <w:rPr>
          <w:rFonts w:cs="Segoe UI"/>
          <w:sz w:val="16"/>
          <w:szCs w:val="16"/>
        </w:rPr>
        <w:t>101</w:t>
      </w:r>
      <w:r>
        <w:rPr>
          <w:rFonts w:cs="Segoe UI"/>
          <w:sz w:val="16"/>
          <w:szCs w:val="16"/>
        </w:rPr>
        <w:t>–</w:t>
      </w:r>
      <w:r w:rsidRPr="00477229">
        <w:rPr>
          <w:rFonts w:cs="Segoe UI"/>
          <w:sz w:val="16"/>
          <w:szCs w:val="16"/>
        </w:rPr>
        <w:t>17.</w:t>
      </w:r>
    </w:p>
  </w:footnote>
  <w:footnote w:id="114">
    <w:p w14:paraId="320F7B13" w14:textId="77777777" w:rsidR="00A26CD1" w:rsidRPr="00477229" w:rsidRDefault="00A26CD1" w:rsidP="00B7548E">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w:t>
      </w:r>
      <w:hyperlink r:id="rId46" w:history="1">
        <w:r w:rsidRPr="00FF56EE">
          <w:rPr>
            <w:rStyle w:val="Hyperlink"/>
            <w:rFonts w:cs="Segoe UI"/>
            <w:sz w:val="16"/>
            <w:szCs w:val="16"/>
          </w:rPr>
          <w:t>www.hqsc.govt.nz/news/blog-using-a-restorative-approach-to-respond-to-adverse-events/</w:t>
        </w:r>
      </w:hyperlink>
      <w:r>
        <w:rPr>
          <w:rFonts w:cs="Segoe UI"/>
          <w:sz w:val="16"/>
          <w:szCs w:val="16"/>
        </w:rPr>
        <w:t xml:space="preserve"> (accessed 30 March 2023).</w:t>
      </w:r>
    </w:p>
  </w:footnote>
  <w:footnote w:id="115">
    <w:p w14:paraId="16F14B0A" w14:textId="77777777" w:rsidR="00A26CD1" w:rsidRPr="00477229" w:rsidRDefault="00A26CD1" w:rsidP="00B7548E">
      <w:pPr>
        <w:pStyle w:val="FootnoteText"/>
        <w:rPr>
          <w:rFonts w:cs="Segoe UI"/>
          <w:sz w:val="16"/>
          <w:szCs w:val="16"/>
          <w:lang w:val="mi-NZ"/>
        </w:rPr>
      </w:pPr>
      <w:r w:rsidRPr="00477229">
        <w:rPr>
          <w:rStyle w:val="FootnoteReference"/>
          <w:rFonts w:cs="Segoe UI"/>
          <w:sz w:val="16"/>
          <w:szCs w:val="16"/>
        </w:rPr>
        <w:footnoteRef/>
      </w:r>
      <w:r w:rsidRPr="00477229">
        <w:rPr>
          <w:rFonts w:cs="Segoe UI"/>
          <w:sz w:val="16"/>
          <w:szCs w:val="16"/>
        </w:rPr>
        <w:t xml:space="preserve"> </w:t>
      </w:r>
      <w:hyperlink r:id="rId47" w:history="1">
        <w:r w:rsidRPr="00FF56EE">
          <w:rPr>
            <w:rStyle w:val="Hyperlink"/>
            <w:rFonts w:cs="Segoe UI"/>
            <w:sz w:val="16"/>
            <w:szCs w:val="16"/>
          </w:rPr>
          <w:t>www.resolution.institute/documents/item/1774</w:t>
        </w:r>
      </w:hyperlink>
      <w:r>
        <w:rPr>
          <w:rFonts w:cs="Segoe UI"/>
          <w:sz w:val="16"/>
          <w:szCs w:val="16"/>
        </w:rPr>
        <w:t xml:space="preserve"> (accessed 30 March 2023).</w:t>
      </w:r>
    </w:p>
  </w:footnote>
  <w:footnote w:id="116">
    <w:p w14:paraId="41D88EE2" w14:textId="77777777" w:rsidR="00A26CD1" w:rsidRPr="00477229" w:rsidRDefault="00A26CD1" w:rsidP="00B7548E">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Wharewera-Mika JP, Cooper EP, Wiki NR, </w:t>
      </w:r>
      <w:r>
        <w:rPr>
          <w:rFonts w:cs="Segoe UI"/>
          <w:sz w:val="16"/>
          <w:szCs w:val="16"/>
        </w:rPr>
        <w:t>et al</w:t>
      </w:r>
      <w:r w:rsidRPr="00477229">
        <w:rPr>
          <w:rFonts w:cs="Segoe UI"/>
          <w:sz w:val="16"/>
          <w:szCs w:val="16"/>
        </w:rPr>
        <w:t xml:space="preserve">. 2016. Strategies to reduce the use of seclusion with tāngata whai i te ora (Māori mental health service users). </w:t>
      </w:r>
      <w:r w:rsidRPr="007F15D3">
        <w:rPr>
          <w:rFonts w:cs="Segoe UI"/>
          <w:i/>
          <w:iCs/>
          <w:sz w:val="16"/>
          <w:szCs w:val="16"/>
        </w:rPr>
        <w:t xml:space="preserve">International </w:t>
      </w:r>
      <w:r>
        <w:rPr>
          <w:rFonts w:cs="Segoe UI"/>
          <w:i/>
          <w:iCs/>
          <w:sz w:val="16"/>
          <w:szCs w:val="16"/>
        </w:rPr>
        <w:t>J</w:t>
      </w:r>
      <w:r w:rsidRPr="007F15D3">
        <w:rPr>
          <w:rFonts w:cs="Segoe UI"/>
          <w:i/>
          <w:iCs/>
          <w:sz w:val="16"/>
          <w:szCs w:val="16"/>
        </w:rPr>
        <w:t xml:space="preserve">ournal of </w:t>
      </w:r>
      <w:r>
        <w:rPr>
          <w:rFonts w:cs="Segoe UI"/>
          <w:i/>
          <w:iCs/>
          <w:sz w:val="16"/>
          <w:szCs w:val="16"/>
        </w:rPr>
        <w:t>M</w:t>
      </w:r>
      <w:r w:rsidRPr="007F15D3">
        <w:rPr>
          <w:rFonts w:cs="Segoe UI"/>
          <w:i/>
          <w:iCs/>
          <w:sz w:val="16"/>
          <w:szCs w:val="16"/>
        </w:rPr>
        <w:t xml:space="preserve">ental </w:t>
      </w:r>
      <w:r>
        <w:rPr>
          <w:rFonts w:cs="Segoe UI"/>
          <w:i/>
          <w:iCs/>
          <w:sz w:val="16"/>
          <w:szCs w:val="16"/>
        </w:rPr>
        <w:t>H</w:t>
      </w:r>
      <w:r w:rsidRPr="007F15D3">
        <w:rPr>
          <w:rFonts w:cs="Segoe UI"/>
          <w:i/>
          <w:iCs/>
          <w:sz w:val="16"/>
          <w:szCs w:val="16"/>
        </w:rPr>
        <w:t xml:space="preserve">ealth </w:t>
      </w:r>
      <w:r>
        <w:rPr>
          <w:rFonts w:cs="Segoe UI"/>
          <w:i/>
          <w:iCs/>
          <w:sz w:val="16"/>
          <w:szCs w:val="16"/>
        </w:rPr>
        <w:t>N</w:t>
      </w:r>
      <w:r w:rsidRPr="007F15D3">
        <w:rPr>
          <w:rFonts w:cs="Segoe UI"/>
          <w:i/>
          <w:iCs/>
          <w:sz w:val="16"/>
          <w:szCs w:val="16"/>
        </w:rPr>
        <w:t>ursing</w:t>
      </w:r>
      <w:r w:rsidRPr="00477229">
        <w:rPr>
          <w:rFonts w:cs="Segoe UI"/>
          <w:sz w:val="16"/>
          <w:szCs w:val="16"/>
        </w:rPr>
        <w:t xml:space="preserve"> 25(3)</w:t>
      </w:r>
      <w:r>
        <w:rPr>
          <w:rFonts w:cs="Segoe UI"/>
          <w:sz w:val="16"/>
          <w:szCs w:val="16"/>
        </w:rPr>
        <w:t>:</w:t>
      </w:r>
      <w:r w:rsidRPr="00477229">
        <w:rPr>
          <w:rFonts w:cs="Segoe UI"/>
          <w:sz w:val="16"/>
          <w:szCs w:val="16"/>
        </w:rPr>
        <w:t xml:space="preserve"> 258–65. </w:t>
      </w:r>
    </w:p>
  </w:footnote>
  <w:footnote w:id="117">
    <w:p w14:paraId="2BEE3C2F" w14:textId="77777777" w:rsidR="00A26CD1" w:rsidRPr="00477229" w:rsidRDefault="00A26CD1" w:rsidP="00B7548E">
      <w:pPr>
        <w:pStyle w:val="FootnoteText"/>
        <w:rPr>
          <w:rFonts w:cs="Segoe UI"/>
          <w:sz w:val="16"/>
          <w:szCs w:val="16"/>
          <w:lang w:val="mi-NZ"/>
        </w:rPr>
      </w:pPr>
      <w:r w:rsidRPr="00477229">
        <w:rPr>
          <w:rStyle w:val="FootnoteReference"/>
          <w:rFonts w:cs="Segoe UI"/>
          <w:sz w:val="16"/>
          <w:szCs w:val="16"/>
        </w:rPr>
        <w:footnoteRef/>
      </w:r>
      <w:r w:rsidRPr="00477229">
        <w:rPr>
          <w:rFonts w:cs="Segoe UI"/>
          <w:sz w:val="16"/>
          <w:szCs w:val="16"/>
        </w:rPr>
        <w:t xml:space="preserve"> Kaur M, De Boer RJ, Oates A, </w:t>
      </w:r>
      <w:r>
        <w:rPr>
          <w:rFonts w:cs="Segoe UI"/>
          <w:sz w:val="16"/>
          <w:szCs w:val="16"/>
        </w:rPr>
        <w:t>et al</w:t>
      </w:r>
      <w:r w:rsidRPr="00477229">
        <w:rPr>
          <w:rFonts w:cs="Segoe UI"/>
          <w:sz w:val="16"/>
          <w:szCs w:val="16"/>
        </w:rPr>
        <w:t>. 2019. Restorative just culture: a study of the practical and economic effects of implementing restorative justice in an NHS trust. In MATEC Web of Conferences (Vol. 273, p. 01007). EDP Sciences.</w:t>
      </w:r>
    </w:p>
  </w:footnote>
  <w:footnote w:id="118">
    <w:p w14:paraId="6D87A6DF" w14:textId="77777777" w:rsidR="00A26CD1" w:rsidRDefault="00A26CD1" w:rsidP="00B7548E">
      <w:pPr>
        <w:pStyle w:val="FootnoteText"/>
      </w:pPr>
      <w:r w:rsidRPr="00477229">
        <w:rPr>
          <w:rStyle w:val="FootnoteReference"/>
          <w:rFonts w:cs="Segoe UI"/>
          <w:sz w:val="16"/>
          <w:szCs w:val="16"/>
        </w:rPr>
        <w:footnoteRef/>
      </w:r>
      <w:r w:rsidRPr="00477229">
        <w:rPr>
          <w:rFonts w:cs="Segoe UI"/>
          <w:sz w:val="16"/>
          <w:szCs w:val="16"/>
        </w:rPr>
        <w:t xml:space="preserve"> www.hqsc.govt.nz/our-work/system-safety/restorative-practice/</w:t>
      </w:r>
      <w:r w:rsidRPr="00477229" w:rsidDel="00307727">
        <w:rPr>
          <w:rFonts w:cs="Segoe UI"/>
          <w:sz w:val="16"/>
          <w:szCs w:val="16"/>
        </w:rPr>
        <w:t xml:space="preserve"> </w:t>
      </w:r>
      <w:r>
        <w:rPr>
          <w:rFonts w:cs="Segoe UI"/>
          <w:sz w:val="16"/>
          <w:szCs w:val="16"/>
        </w:rPr>
        <w:t>(accessed 30 March 2023).</w:t>
      </w:r>
    </w:p>
  </w:footnote>
  <w:footnote w:id="119">
    <w:p w14:paraId="0819A403" w14:textId="77777777" w:rsidR="00A26CD1" w:rsidRPr="00477229" w:rsidRDefault="00A26CD1" w:rsidP="00B7548E">
      <w:pPr>
        <w:pStyle w:val="FootnoteText"/>
        <w:rPr>
          <w:rFonts w:cs="Segoe UI"/>
          <w:sz w:val="16"/>
          <w:szCs w:val="16"/>
        </w:rPr>
      </w:pPr>
      <w:r w:rsidRPr="00477229">
        <w:rPr>
          <w:rStyle w:val="FootnoteReference"/>
          <w:rFonts w:cs="Segoe UI"/>
          <w:sz w:val="16"/>
          <w:szCs w:val="16"/>
        </w:rPr>
        <w:footnoteRef/>
      </w:r>
      <w:r w:rsidRPr="00477229">
        <w:rPr>
          <w:rFonts w:cs="Segoe UI"/>
          <w:sz w:val="16"/>
          <w:szCs w:val="16"/>
        </w:rPr>
        <w:t xml:space="preserve"> See </w:t>
      </w:r>
      <w:hyperlink r:id="rId48" w:history="1">
        <w:r w:rsidRPr="00FF56EE">
          <w:rPr>
            <w:rStyle w:val="Hyperlink"/>
            <w:rFonts w:cs="Segoe UI"/>
            <w:sz w:val="16"/>
            <w:szCs w:val="16"/>
          </w:rPr>
          <w:t>www.tepou.co.nz/initiatives/lets-get-real/working-with-wh%C4%81nau</w:t>
        </w:r>
      </w:hyperlink>
      <w:r>
        <w:rPr>
          <w:rFonts w:cs="Segoe UI"/>
          <w:sz w:val="16"/>
          <w:szCs w:val="16"/>
        </w:rPr>
        <w:t xml:space="preserve"> (accessed 30 March 2023).</w:t>
      </w:r>
    </w:p>
  </w:footnote>
  <w:footnote w:id="120">
    <w:p w14:paraId="5AB5C940" w14:textId="77777777" w:rsidR="00A26CD1" w:rsidRPr="00D72DC8" w:rsidRDefault="00A26CD1" w:rsidP="00B7548E">
      <w:pPr>
        <w:pStyle w:val="FootnoteText"/>
        <w:rPr>
          <w:rFonts w:cs="Segoe UI"/>
          <w:sz w:val="16"/>
          <w:szCs w:val="16"/>
        </w:rPr>
      </w:pPr>
      <w:r w:rsidRPr="00D72DC8">
        <w:rPr>
          <w:rStyle w:val="FootnoteReference"/>
          <w:rFonts w:cs="Segoe UI"/>
          <w:sz w:val="16"/>
          <w:szCs w:val="16"/>
        </w:rPr>
        <w:footnoteRef/>
      </w:r>
      <w:r w:rsidRPr="00D72DC8">
        <w:rPr>
          <w:rFonts w:cs="Segoe UI"/>
          <w:sz w:val="16"/>
          <w:szCs w:val="16"/>
        </w:rPr>
        <w:t xml:space="preserve"> See </w:t>
      </w:r>
      <w:r w:rsidRPr="00B243EC">
        <w:rPr>
          <w:rFonts w:cs="Segoe UI"/>
          <w:sz w:val="16"/>
          <w:szCs w:val="16"/>
        </w:rPr>
        <w:t xml:space="preserve">Ministry of Health. 2022. </w:t>
      </w:r>
      <w:r w:rsidRPr="00D72DC8">
        <w:rPr>
          <w:rFonts w:cs="Segoe UI"/>
          <w:i/>
          <w:sz w:val="16"/>
          <w:szCs w:val="16"/>
        </w:rPr>
        <w:t>Guidelines to the Mental Health (Compulsory Assessment and Treatment) Act 1992</w:t>
      </w:r>
      <w:r w:rsidRPr="00B243EC">
        <w:rPr>
          <w:rFonts w:cs="Segoe UI"/>
          <w:sz w:val="16"/>
          <w:szCs w:val="16"/>
        </w:rPr>
        <w:t>. Wellington: Ministry of Health</w:t>
      </w:r>
      <w:r w:rsidRPr="00D72DC8">
        <w:rPr>
          <w:rFonts w:cs="Segoe UI"/>
          <w:sz w:val="16"/>
          <w:szCs w:val="16"/>
        </w:rPr>
        <w:t xml:space="preserve"> for guidance on consent and second opinions for treatment under the Mental Health Act. </w:t>
      </w:r>
    </w:p>
  </w:footnote>
  <w:footnote w:id="121">
    <w:p w14:paraId="0AF68501" w14:textId="77777777" w:rsidR="00A26CD1" w:rsidRDefault="00A26CD1" w:rsidP="00DB1B6E">
      <w:pPr>
        <w:ind w:left="284" w:hanging="284"/>
      </w:pPr>
      <w:r w:rsidRPr="005544DA">
        <w:rPr>
          <w:rStyle w:val="FootnoteReference"/>
          <w:rFonts w:cs="Segoe UI"/>
          <w:sz w:val="16"/>
          <w:szCs w:val="16"/>
        </w:rPr>
        <w:footnoteRef/>
      </w:r>
      <w:r w:rsidRPr="005544DA">
        <w:rPr>
          <w:rFonts w:cs="Segoe UI"/>
          <w:sz w:val="16"/>
          <w:szCs w:val="16"/>
        </w:rPr>
        <w:t xml:space="preserve"> </w:t>
      </w:r>
      <w:r w:rsidRPr="00367808">
        <w:rPr>
          <w:rFonts w:cs="Segoe UI"/>
          <w:sz w:val="16"/>
          <w:szCs w:val="16"/>
        </w:rPr>
        <w:t>Gillick competence is about whether a child, regardless of their age, can give informed consent to, or refuse</w:t>
      </w:r>
      <w:r>
        <w:rPr>
          <w:rFonts w:cs="Segoe UI"/>
          <w:sz w:val="16"/>
          <w:szCs w:val="16"/>
        </w:rPr>
        <w:t xml:space="preserve"> </w:t>
      </w:r>
      <w:r w:rsidRPr="00367808">
        <w:rPr>
          <w:rFonts w:cs="Segoe UI"/>
          <w:sz w:val="16"/>
          <w:szCs w:val="16"/>
        </w:rPr>
        <w:t>consent to, a treatment.</w:t>
      </w:r>
    </w:p>
  </w:footnote>
  <w:footnote w:id="122">
    <w:p w14:paraId="2E59284B" w14:textId="77777777" w:rsidR="00A26CD1" w:rsidRPr="005C6317" w:rsidRDefault="00A26CD1" w:rsidP="00B7548E">
      <w:pPr>
        <w:pStyle w:val="FootnoteText"/>
        <w:rPr>
          <w:rFonts w:cs="Segoe UI"/>
          <w:sz w:val="16"/>
          <w:szCs w:val="16"/>
        </w:rPr>
      </w:pPr>
      <w:r w:rsidRPr="00D72DC8">
        <w:rPr>
          <w:rStyle w:val="FootnoteReference"/>
          <w:rFonts w:cs="Segoe UI"/>
          <w:sz w:val="16"/>
          <w:szCs w:val="16"/>
        </w:rPr>
        <w:footnoteRef/>
      </w:r>
      <w:r w:rsidRPr="00D72DC8">
        <w:rPr>
          <w:rFonts w:cs="Segoe UI"/>
          <w:sz w:val="16"/>
          <w:szCs w:val="16"/>
        </w:rPr>
        <w:t xml:space="preserve"> </w:t>
      </w:r>
      <w:r w:rsidRPr="00D72DC8">
        <w:rPr>
          <w:rFonts w:cs="Segoe UI"/>
          <w:color w:val="303030"/>
          <w:sz w:val="16"/>
          <w:szCs w:val="16"/>
          <w:shd w:val="clear" w:color="auto" w:fill="FFFFFF"/>
        </w:rPr>
        <w:t>Christie D, Viner R. 2005. Adolescent development. </w:t>
      </w:r>
      <w:r w:rsidRPr="00D72DC8">
        <w:rPr>
          <w:rFonts w:cs="Segoe UI"/>
          <w:i/>
          <w:color w:val="303030"/>
          <w:sz w:val="16"/>
          <w:szCs w:val="16"/>
          <w:shd w:val="clear" w:color="auto" w:fill="FFFFFF"/>
        </w:rPr>
        <w:t>BMJ (Clinical research ed)</w:t>
      </w:r>
      <w:r w:rsidRPr="00D72DC8">
        <w:rPr>
          <w:rFonts w:cs="Segoe UI"/>
          <w:color w:val="303030"/>
          <w:sz w:val="16"/>
          <w:szCs w:val="16"/>
          <w:shd w:val="clear" w:color="auto" w:fill="FFFFFF"/>
        </w:rPr>
        <w:t> </w:t>
      </w:r>
      <w:r w:rsidRPr="007F15D3">
        <w:rPr>
          <w:rFonts w:cs="Segoe UI"/>
          <w:iCs/>
          <w:color w:val="303030"/>
          <w:sz w:val="16"/>
          <w:szCs w:val="16"/>
          <w:shd w:val="clear" w:color="auto" w:fill="FFFFFF"/>
        </w:rPr>
        <w:t>330</w:t>
      </w:r>
      <w:r w:rsidRPr="00D72DC8">
        <w:rPr>
          <w:rFonts w:cs="Segoe UI"/>
          <w:color w:val="303030"/>
          <w:sz w:val="16"/>
          <w:szCs w:val="16"/>
          <w:shd w:val="clear" w:color="auto" w:fill="FFFFFF"/>
        </w:rPr>
        <w:t>(7486)</w:t>
      </w:r>
      <w:r>
        <w:rPr>
          <w:rFonts w:cs="Segoe UI"/>
          <w:color w:val="303030"/>
          <w:sz w:val="16"/>
          <w:szCs w:val="16"/>
          <w:shd w:val="clear" w:color="auto" w:fill="FFFFFF"/>
        </w:rPr>
        <w:t>:</w:t>
      </w:r>
      <w:r w:rsidRPr="00D72DC8">
        <w:rPr>
          <w:rFonts w:cs="Segoe UI"/>
          <w:color w:val="303030"/>
          <w:sz w:val="16"/>
          <w:szCs w:val="16"/>
          <w:shd w:val="clear" w:color="auto" w:fill="FFFFFF"/>
        </w:rPr>
        <w:t xml:space="preserve"> 301–4. </w:t>
      </w:r>
    </w:p>
  </w:footnote>
  <w:footnote w:id="123">
    <w:p w14:paraId="2D6B902D" w14:textId="77777777" w:rsidR="00A26CD1" w:rsidRPr="00D72DC8" w:rsidRDefault="00A26CD1" w:rsidP="00DB1B6E">
      <w:pPr>
        <w:pStyle w:val="FootnoteText"/>
        <w:spacing w:before="10" w:after="10"/>
        <w:ind w:right="-568"/>
        <w:rPr>
          <w:rFonts w:cs="Segoe UI"/>
          <w:sz w:val="16"/>
        </w:rPr>
      </w:pPr>
      <w:r w:rsidRPr="00D72DC8">
        <w:rPr>
          <w:rStyle w:val="FootnoteReference"/>
          <w:rFonts w:cs="Segoe UI"/>
          <w:sz w:val="16"/>
          <w:szCs w:val="16"/>
        </w:rPr>
        <w:footnoteRef/>
      </w:r>
      <w:r w:rsidRPr="00D72DC8">
        <w:rPr>
          <w:rFonts w:cs="Segoe UI"/>
          <w:sz w:val="16"/>
          <w:szCs w:val="16"/>
        </w:rPr>
        <w:t xml:space="preserve"> Gibson K. 2022. </w:t>
      </w:r>
      <w:r w:rsidRPr="007F15D3">
        <w:rPr>
          <w:rFonts w:cs="Segoe UI"/>
          <w:i/>
          <w:iCs/>
          <w:sz w:val="16"/>
          <w:szCs w:val="16"/>
        </w:rPr>
        <w:t>What Young People Want from Mental Health Services: A youth informed approach for the digital age</w:t>
      </w:r>
      <w:r>
        <w:rPr>
          <w:rFonts w:cs="Segoe UI"/>
          <w:sz w:val="16"/>
          <w:szCs w:val="16"/>
        </w:rPr>
        <w:t>.</w:t>
      </w:r>
      <w:r w:rsidRPr="00D72DC8">
        <w:rPr>
          <w:rFonts w:cs="Segoe UI"/>
          <w:sz w:val="16"/>
          <w:szCs w:val="16"/>
        </w:rPr>
        <w:t xml:space="preserve"> </w:t>
      </w:r>
      <w:r>
        <w:rPr>
          <w:rFonts w:cs="Segoe UI"/>
          <w:sz w:val="16"/>
          <w:szCs w:val="16"/>
        </w:rPr>
        <w:t xml:space="preserve">London: </w:t>
      </w:r>
      <w:r w:rsidRPr="00D72DC8">
        <w:rPr>
          <w:rFonts w:cs="Segoe UI"/>
          <w:sz w:val="16"/>
          <w:szCs w:val="16"/>
        </w:rPr>
        <w:t xml:space="preserve">Routledge. </w:t>
      </w:r>
    </w:p>
  </w:footnote>
  <w:footnote w:id="124">
    <w:p w14:paraId="1286DA67" w14:textId="77777777" w:rsidR="00A26CD1" w:rsidRPr="00D72DC8" w:rsidRDefault="00A26CD1" w:rsidP="00DB1B6E">
      <w:pPr>
        <w:pStyle w:val="FootnoteText"/>
        <w:spacing w:before="10" w:after="10"/>
        <w:ind w:right="-568"/>
        <w:rPr>
          <w:rFonts w:cs="Segoe UI"/>
          <w:sz w:val="16"/>
          <w:szCs w:val="16"/>
        </w:rPr>
      </w:pPr>
      <w:r w:rsidRPr="00D72DC8">
        <w:rPr>
          <w:rStyle w:val="FootnoteReference"/>
          <w:rFonts w:cs="Segoe UI"/>
          <w:sz w:val="16"/>
          <w:szCs w:val="16"/>
        </w:rPr>
        <w:footnoteRef/>
      </w:r>
      <w:r w:rsidRPr="00D72DC8">
        <w:rPr>
          <w:rFonts w:cs="Segoe UI"/>
          <w:sz w:val="16"/>
          <w:szCs w:val="16"/>
        </w:rPr>
        <w:t xml:space="preserve"> Magnowski SR, </w:t>
      </w:r>
      <w:r>
        <w:rPr>
          <w:rFonts w:cs="Segoe UI"/>
          <w:sz w:val="16"/>
          <w:szCs w:val="16"/>
        </w:rPr>
        <w:t xml:space="preserve">Kick D, Cook J, </w:t>
      </w:r>
      <w:r w:rsidRPr="00D72DC8">
        <w:rPr>
          <w:rFonts w:cs="Segoe UI"/>
          <w:sz w:val="16"/>
          <w:szCs w:val="16"/>
        </w:rPr>
        <w:t>et al. 2020. Algorithmic Prediction of Restraint and Seclusion in an Inpatient Child and Adolescent Psychiatric Population.</w:t>
      </w:r>
      <w:r>
        <w:rPr>
          <w:rFonts w:cs="Segoe UI"/>
          <w:sz w:val="16"/>
          <w:szCs w:val="16"/>
        </w:rPr>
        <w:t xml:space="preserve"> Journal of the American Psychiatric Nurses Association 28(6): 464–73.</w:t>
      </w:r>
    </w:p>
  </w:footnote>
  <w:footnote w:id="125">
    <w:p w14:paraId="5A7562E7" w14:textId="77777777" w:rsidR="00A26CD1" w:rsidRPr="00D72DC8" w:rsidRDefault="00A26CD1" w:rsidP="00DB1B6E">
      <w:pPr>
        <w:pStyle w:val="FootnoteText"/>
        <w:spacing w:before="10" w:after="10"/>
        <w:ind w:right="-568"/>
        <w:rPr>
          <w:rFonts w:cs="Segoe UI"/>
          <w:sz w:val="16"/>
          <w:szCs w:val="16"/>
        </w:rPr>
      </w:pPr>
      <w:r w:rsidRPr="00D72DC8">
        <w:rPr>
          <w:rStyle w:val="FootnoteReference"/>
          <w:rFonts w:cs="Segoe UI"/>
          <w:sz w:val="16"/>
          <w:szCs w:val="16"/>
        </w:rPr>
        <w:footnoteRef/>
      </w:r>
      <w:r w:rsidRPr="00D72DC8">
        <w:rPr>
          <w:rFonts w:cs="Segoe UI"/>
          <w:sz w:val="16"/>
          <w:szCs w:val="16"/>
        </w:rPr>
        <w:t xml:space="preserve"> Montreuil, M, </w:t>
      </w:r>
      <w:r>
        <w:rPr>
          <w:rFonts w:cs="Segoe UI"/>
          <w:sz w:val="16"/>
          <w:szCs w:val="16"/>
        </w:rPr>
        <w:t xml:space="preserve">Thibeault C, McHarg L, </w:t>
      </w:r>
      <w:r w:rsidRPr="00D72DC8">
        <w:rPr>
          <w:rFonts w:cs="Segoe UI"/>
          <w:sz w:val="16"/>
          <w:szCs w:val="16"/>
        </w:rPr>
        <w:t xml:space="preserve">et al. 2018. Children's moral experiences of crisis management in a child mental health setting. </w:t>
      </w:r>
      <w:r w:rsidRPr="007F15D3">
        <w:rPr>
          <w:rFonts w:cs="Segoe UI"/>
          <w:i/>
          <w:iCs/>
          <w:sz w:val="16"/>
          <w:szCs w:val="16"/>
        </w:rPr>
        <w:t xml:space="preserve">International </w:t>
      </w:r>
      <w:r>
        <w:rPr>
          <w:rFonts w:cs="Segoe UI"/>
          <w:i/>
          <w:iCs/>
          <w:sz w:val="16"/>
          <w:szCs w:val="16"/>
        </w:rPr>
        <w:t>J</w:t>
      </w:r>
      <w:r w:rsidRPr="007F15D3">
        <w:rPr>
          <w:rFonts w:cs="Segoe UI"/>
          <w:i/>
          <w:iCs/>
          <w:sz w:val="16"/>
          <w:szCs w:val="16"/>
        </w:rPr>
        <w:t xml:space="preserve">ournal of </w:t>
      </w:r>
      <w:r>
        <w:rPr>
          <w:rFonts w:cs="Segoe UI"/>
          <w:i/>
          <w:iCs/>
          <w:sz w:val="16"/>
          <w:szCs w:val="16"/>
        </w:rPr>
        <w:t>M</w:t>
      </w:r>
      <w:r w:rsidRPr="007F15D3">
        <w:rPr>
          <w:rFonts w:cs="Segoe UI"/>
          <w:i/>
          <w:iCs/>
          <w:sz w:val="16"/>
          <w:szCs w:val="16"/>
        </w:rPr>
        <w:t xml:space="preserve">ental </w:t>
      </w:r>
      <w:r>
        <w:rPr>
          <w:rFonts w:cs="Segoe UI"/>
          <w:i/>
          <w:iCs/>
          <w:sz w:val="16"/>
          <w:szCs w:val="16"/>
        </w:rPr>
        <w:t>H</w:t>
      </w:r>
      <w:r w:rsidRPr="007F15D3">
        <w:rPr>
          <w:rFonts w:cs="Segoe UI"/>
          <w:i/>
          <w:iCs/>
          <w:sz w:val="16"/>
          <w:szCs w:val="16"/>
        </w:rPr>
        <w:t xml:space="preserve">ealth </w:t>
      </w:r>
      <w:r>
        <w:rPr>
          <w:rFonts w:cs="Segoe UI"/>
          <w:i/>
          <w:iCs/>
          <w:sz w:val="16"/>
          <w:szCs w:val="16"/>
        </w:rPr>
        <w:t>N</w:t>
      </w:r>
      <w:r w:rsidRPr="007F15D3">
        <w:rPr>
          <w:rFonts w:cs="Segoe UI"/>
          <w:i/>
          <w:iCs/>
          <w:sz w:val="16"/>
          <w:szCs w:val="16"/>
        </w:rPr>
        <w:t>ursing</w:t>
      </w:r>
      <w:r w:rsidRPr="00D72DC8">
        <w:rPr>
          <w:rFonts w:cs="Segoe UI"/>
          <w:sz w:val="16"/>
          <w:szCs w:val="16"/>
        </w:rPr>
        <w:t xml:space="preserve"> </w:t>
      </w:r>
      <w:r w:rsidRPr="007F15D3">
        <w:rPr>
          <w:rFonts w:cs="Segoe UI"/>
          <w:bCs/>
          <w:sz w:val="16"/>
          <w:szCs w:val="16"/>
        </w:rPr>
        <w:t>27</w:t>
      </w:r>
      <w:r w:rsidRPr="00D72DC8">
        <w:rPr>
          <w:rFonts w:cs="Segoe UI"/>
          <w:sz w:val="16"/>
          <w:szCs w:val="16"/>
        </w:rPr>
        <w:t>(5): 1440</w:t>
      </w:r>
      <w:r>
        <w:rPr>
          <w:rFonts w:cs="Segoe UI"/>
          <w:sz w:val="16"/>
          <w:szCs w:val="16"/>
        </w:rPr>
        <w:t>–</w:t>
      </w:r>
      <w:r w:rsidRPr="00D72DC8">
        <w:rPr>
          <w:rFonts w:cs="Segoe UI"/>
          <w:sz w:val="16"/>
          <w:szCs w:val="16"/>
        </w:rPr>
        <w:t>8.</w:t>
      </w:r>
    </w:p>
  </w:footnote>
  <w:footnote w:id="126">
    <w:p w14:paraId="64602EAD" w14:textId="77777777" w:rsidR="00A26CD1" w:rsidRPr="00D72DC8" w:rsidRDefault="00A26CD1" w:rsidP="00DB1B6E">
      <w:pPr>
        <w:pStyle w:val="FootnoteText"/>
        <w:spacing w:before="10" w:after="10"/>
        <w:ind w:right="-568"/>
        <w:rPr>
          <w:rFonts w:cs="Segoe UI"/>
          <w:sz w:val="16"/>
          <w:szCs w:val="16"/>
        </w:rPr>
      </w:pPr>
      <w:r w:rsidRPr="00D72DC8">
        <w:rPr>
          <w:rStyle w:val="FootnoteReference"/>
          <w:rFonts w:cs="Segoe UI"/>
          <w:sz w:val="16"/>
          <w:szCs w:val="16"/>
        </w:rPr>
        <w:footnoteRef/>
      </w:r>
      <w:r w:rsidRPr="00D72DC8">
        <w:rPr>
          <w:rFonts w:cs="Segoe UI"/>
          <w:sz w:val="16"/>
          <w:szCs w:val="16"/>
        </w:rPr>
        <w:t xml:space="preserve"> Black V, </w:t>
      </w:r>
      <w:r>
        <w:rPr>
          <w:rFonts w:cs="Segoe UI"/>
          <w:sz w:val="16"/>
          <w:szCs w:val="16"/>
        </w:rPr>
        <w:t xml:space="preserve">Bobier C, Thomas B, </w:t>
      </w:r>
      <w:r w:rsidRPr="00D72DC8">
        <w:rPr>
          <w:rFonts w:cs="Segoe UI"/>
          <w:sz w:val="16"/>
          <w:szCs w:val="16"/>
        </w:rPr>
        <w:t xml:space="preserve">et al. 2020. Reducing seclusion and restraint in a child and adolescent inpatient area: implementation of a collaborative problem-solving approach. </w:t>
      </w:r>
      <w:r w:rsidRPr="007F15D3">
        <w:rPr>
          <w:rFonts w:cs="Segoe UI"/>
          <w:i/>
          <w:iCs/>
          <w:sz w:val="16"/>
          <w:szCs w:val="16"/>
        </w:rPr>
        <w:t xml:space="preserve">Australasian </w:t>
      </w:r>
      <w:r>
        <w:rPr>
          <w:rFonts w:cs="Segoe UI"/>
          <w:i/>
          <w:iCs/>
          <w:sz w:val="16"/>
          <w:szCs w:val="16"/>
        </w:rPr>
        <w:t>P</w:t>
      </w:r>
      <w:r w:rsidRPr="007F15D3">
        <w:rPr>
          <w:rFonts w:cs="Segoe UI"/>
          <w:i/>
          <w:iCs/>
          <w:sz w:val="16"/>
          <w:szCs w:val="16"/>
        </w:rPr>
        <w:t xml:space="preserve">sychiatry: </w:t>
      </w:r>
      <w:r>
        <w:rPr>
          <w:rFonts w:cs="Segoe UI"/>
          <w:i/>
          <w:iCs/>
          <w:sz w:val="16"/>
          <w:szCs w:val="16"/>
        </w:rPr>
        <w:t>B</w:t>
      </w:r>
      <w:r w:rsidRPr="007F15D3">
        <w:rPr>
          <w:rFonts w:cs="Segoe UI"/>
          <w:i/>
          <w:iCs/>
          <w:sz w:val="16"/>
          <w:szCs w:val="16"/>
        </w:rPr>
        <w:t>ulletin of Royal Australian and New Zealand College of Psychiatrists</w:t>
      </w:r>
      <w:r w:rsidRPr="00D72DC8">
        <w:rPr>
          <w:rFonts w:cs="Segoe UI"/>
          <w:sz w:val="16"/>
          <w:szCs w:val="16"/>
        </w:rPr>
        <w:t xml:space="preserve"> </w:t>
      </w:r>
      <w:r w:rsidRPr="007F15D3">
        <w:rPr>
          <w:rFonts w:cs="Segoe UI"/>
          <w:bCs/>
          <w:sz w:val="16"/>
          <w:szCs w:val="16"/>
        </w:rPr>
        <w:t>28</w:t>
      </w:r>
      <w:r w:rsidRPr="00D72DC8">
        <w:rPr>
          <w:rFonts w:cs="Segoe UI"/>
          <w:sz w:val="16"/>
          <w:szCs w:val="16"/>
        </w:rPr>
        <w:t>(5): 578</w:t>
      </w:r>
      <w:r>
        <w:rPr>
          <w:rFonts w:cs="Segoe UI"/>
          <w:sz w:val="16"/>
          <w:szCs w:val="16"/>
        </w:rPr>
        <w:t>–</w:t>
      </w:r>
      <w:r w:rsidRPr="00D72DC8">
        <w:rPr>
          <w:rFonts w:cs="Segoe UI"/>
          <w:sz w:val="16"/>
          <w:szCs w:val="16"/>
        </w:rPr>
        <w:t>84.</w:t>
      </w:r>
    </w:p>
  </w:footnote>
  <w:footnote w:id="127">
    <w:p w14:paraId="58EB9F3A" w14:textId="77777777" w:rsidR="00A26CD1" w:rsidRPr="00D72DC8" w:rsidRDefault="00A26CD1" w:rsidP="00DB1B6E">
      <w:pPr>
        <w:pStyle w:val="FootnoteText"/>
        <w:spacing w:before="10" w:after="10"/>
        <w:ind w:right="-568"/>
        <w:rPr>
          <w:rFonts w:cs="Segoe UI"/>
          <w:sz w:val="16"/>
          <w:szCs w:val="16"/>
        </w:rPr>
      </w:pPr>
      <w:r w:rsidRPr="00D72DC8">
        <w:rPr>
          <w:rStyle w:val="FootnoteReference"/>
          <w:rFonts w:cs="Segoe UI"/>
          <w:sz w:val="16"/>
          <w:szCs w:val="16"/>
        </w:rPr>
        <w:footnoteRef/>
      </w:r>
      <w:r w:rsidRPr="00D72DC8">
        <w:rPr>
          <w:rFonts w:cs="Segoe UI"/>
          <w:sz w:val="16"/>
          <w:szCs w:val="16"/>
        </w:rPr>
        <w:t xml:space="preserve"> </w:t>
      </w:r>
      <w:r w:rsidRPr="00D72DC8">
        <w:rPr>
          <w:rFonts w:cs="Segoe UI"/>
          <w:color w:val="222222"/>
          <w:sz w:val="16"/>
          <w:szCs w:val="16"/>
          <w:shd w:val="clear" w:color="auto" w:fill="FFFFFF"/>
        </w:rPr>
        <w:t xml:space="preserve">Hodgdon HB, Kinniburgh K, Gabowitz D, </w:t>
      </w:r>
      <w:r>
        <w:rPr>
          <w:rFonts w:cs="Segoe UI"/>
          <w:color w:val="222222"/>
          <w:sz w:val="16"/>
          <w:szCs w:val="16"/>
          <w:shd w:val="clear" w:color="auto" w:fill="FFFFFF"/>
        </w:rPr>
        <w:t>et al</w:t>
      </w:r>
      <w:r w:rsidRPr="00D72DC8">
        <w:rPr>
          <w:rFonts w:cs="Segoe UI"/>
          <w:color w:val="222222"/>
          <w:sz w:val="16"/>
          <w:szCs w:val="16"/>
          <w:shd w:val="clear" w:color="auto" w:fill="FFFFFF"/>
        </w:rPr>
        <w:t>. 2013. Development and implementation of trauma-informed programming in youth residential treatment centers using the ARC framework. </w:t>
      </w:r>
      <w:r w:rsidRPr="00D72DC8">
        <w:rPr>
          <w:rFonts w:cs="Segoe UI"/>
          <w:i/>
          <w:color w:val="222222"/>
          <w:sz w:val="16"/>
          <w:szCs w:val="16"/>
          <w:shd w:val="clear" w:color="auto" w:fill="FFFFFF"/>
        </w:rPr>
        <w:t>Journal of Family Violence</w:t>
      </w:r>
      <w:r w:rsidRPr="00D72DC8">
        <w:rPr>
          <w:rFonts w:cs="Segoe UI"/>
          <w:color w:val="222222"/>
          <w:sz w:val="16"/>
          <w:szCs w:val="16"/>
          <w:shd w:val="clear" w:color="auto" w:fill="FFFFFF"/>
        </w:rPr>
        <w:t> </w:t>
      </w:r>
      <w:r w:rsidRPr="007F15D3">
        <w:rPr>
          <w:rFonts w:cs="Segoe UI"/>
          <w:iCs/>
          <w:color w:val="222222"/>
          <w:sz w:val="16"/>
          <w:szCs w:val="16"/>
          <w:shd w:val="clear" w:color="auto" w:fill="FFFFFF"/>
        </w:rPr>
        <w:t>28</w:t>
      </w:r>
      <w:r w:rsidRPr="00D72DC8">
        <w:rPr>
          <w:rFonts w:cs="Segoe UI"/>
          <w:color w:val="222222"/>
          <w:sz w:val="16"/>
          <w:szCs w:val="16"/>
          <w:shd w:val="clear" w:color="auto" w:fill="FFFFFF"/>
        </w:rPr>
        <w:t>(7)</w:t>
      </w:r>
      <w:r>
        <w:rPr>
          <w:rFonts w:cs="Segoe UI"/>
          <w:color w:val="222222"/>
          <w:sz w:val="16"/>
          <w:szCs w:val="16"/>
          <w:shd w:val="clear" w:color="auto" w:fill="FFFFFF"/>
        </w:rPr>
        <w:t>:</w:t>
      </w:r>
      <w:r w:rsidRPr="00D72DC8">
        <w:rPr>
          <w:rFonts w:cs="Segoe UI"/>
          <w:color w:val="222222"/>
          <w:sz w:val="16"/>
          <w:szCs w:val="16"/>
          <w:shd w:val="clear" w:color="auto" w:fill="FFFFFF"/>
        </w:rPr>
        <w:t xml:space="preserve"> 679</w:t>
      </w:r>
      <w:r>
        <w:rPr>
          <w:rFonts w:cs="Segoe UI"/>
          <w:color w:val="222222"/>
          <w:sz w:val="16"/>
          <w:szCs w:val="16"/>
          <w:shd w:val="clear" w:color="auto" w:fill="FFFFFF"/>
        </w:rPr>
        <w:t>–</w:t>
      </w:r>
      <w:r w:rsidRPr="00D72DC8">
        <w:rPr>
          <w:rFonts w:cs="Segoe UI"/>
          <w:color w:val="222222"/>
          <w:sz w:val="16"/>
          <w:szCs w:val="16"/>
          <w:shd w:val="clear" w:color="auto" w:fill="FFFFFF"/>
        </w:rPr>
        <w:t>92.</w:t>
      </w:r>
    </w:p>
  </w:footnote>
  <w:footnote w:id="128">
    <w:p w14:paraId="624861FD" w14:textId="77777777" w:rsidR="00A26CD1" w:rsidRPr="00D72DC8" w:rsidRDefault="00A26CD1" w:rsidP="00DB1B6E">
      <w:pPr>
        <w:pStyle w:val="FootnoteText"/>
        <w:spacing w:before="10" w:after="10"/>
        <w:ind w:right="-568"/>
        <w:rPr>
          <w:rFonts w:cs="Segoe UI"/>
          <w:sz w:val="16"/>
        </w:rPr>
      </w:pPr>
      <w:r w:rsidRPr="00D72DC8">
        <w:rPr>
          <w:rStyle w:val="FootnoteReference"/>
          <w:rFonts w:cs="Segoe UI"/>
          <w:sz w:val="16"/>
          <w:szCs w:val="16"/>
        </w:rPr>
        <w:footnoteRef/>
      </w:r>
      <w:r w:rsidRPr="00D72DC8">
        <w:rPr>
          <w:rFonts w:cs="Segoe UI"/>
          <w:sz w:val="16"/>
          <w:szCs w:val="16"/>
        </w:rPr>
        <w:t xml:space="preserve"> Boel-Studt SM. 2017. A quasi-experimental study of trauma-informed psychiatric residential treatment for children and adolescents. </w:t>
      </w:r>
      <w:r w:rsidRPr="007F15D3">
        <w:rPr>
          <w:rFonts w:cs="Segoe UI"/>
          <w:i/>
          <w:iCs/>
          <w:sz w:val="16"/>
          <w:szCs w:val="16"/>
        </w:rPr>
        <w:t>Research on Social Work Practice</w:t>
      </w:r>
      <w:r w:rsidRPr="00D72DC8">
        <w:rPr>
          <w:rFonts w:cs="Segoe UI"/>
          <w:sz w:val="16"/>
          <w:szCs w:val="16"/>
        </w:rPr>
        <w:t xml:space="preserve"> </w:t>
      </w:r>
      <w:r w:rsidRPr="007F15D3">
        <w:rPr>
          <w:rFonts w:cs="Segoe UI"/>
          <w:bCs/>
          <w:sz w:val="16"/>
          <w:szCs w:val="16"/>
        </w:rPr>
        <w:t>27</w:t>
      </w:r>
      <w:r w:rsidRPr="00D72DC8">
        <w:rPr>
          <w:rFonts w:cs="Segoe UI"/>
          <w:sz w:val="16"/>
          <w:szCs w:val="16"/>
        </w:rPr>
        <w:t>(3): 273</w:t>
      </w:r>
      <w:r>
        <w:rPr>
          <w:rFonts w:cs="Segoe UI"/>
          <w:sz w:val="16"/>
          <w:szCs w:val="16"/>
        </w:rPr>
        <w:t>–</w:t>
      </w:r>
      <w:r w:rsidRPr="00D72DC8">
        <w:rPr>
          <w:rFonts w:cs="Segoe UI"/>
          <w:sz w:val="16"/>
          <w:szCs w:val="16"/>
        </w:rPr>
        <w:t>82.</w:t>
      </w:r>
    </w:p>
  </w:footnote>
  <w:footnote w:id="129">
    <w:p w14:paraId="0DE412A9" w14:textId="77777777" w:rsidR="00A26CD1" w:rsidRPr="00D72DC8" w:rsidRDefault="00A26CD1" w:rsidP="00DB1B6E">
      <w:pPr>
        <w:pStyle w:val="CommentText"/>
        <w:spacing w:before="10" w:after="10"/>
        <w:ind w:left="284" w:right="-568" w:hanging="284"/>
        <w:rPr>
          <w:rFonts w:cs="Segoe UI"/>
        </w:rPr>
      </w:pPr>
      <w:r w:rsidRPr="00D72DC8">
        <w:rPr>
          <w:rStyle w:val="FootnoteReference"/>
          <w:rFonts w:cs="Segoe UI"/>
          <w:sz w:val="16"/>
          <w:szCs w:val="16"/>
        </w:rPr>
        <w:footnoteRef/>
      </w:r>
      <w:r w:rsidRPr="00D72DC8">
        <w:rPr>
          <w:rFonts w:cs="Segoe UI"/>
          <w:sz w:val="16"/>
          <w:szCs w:val="16"/>
        </w:rPr>
        <w:t xml:space="preserve"> Te Pou o te Whakaaro Nui</w:t>
      </w:r>
      <w:r>
        <w:rPr>
          <w:rFonts w:cs="Segoe UI"/>
          <w:sz w:val="16"/>
          <w:szCs w:val="16"/>
        </w:rPr>
        <w:t>,</w:t>
      </w:r>
      <w:r w:rsidRPr="00D72DC8">
        <w:rPr>
          <w:rFonts w:cs="Segoe UI"/>
          <w:sz w:val="16"/>
          <w:szCs w:val="16"/>
        </w:rPr>
        <w:t xml:space="preserve"> Ministry of Health. 2018. </w:t>
      </w:r>
      <w:r w:rsidRPr="007F15D3">
        <w:rPr>
          <w:rFonts w:cs="Segoe UI"/>
          <w:i/>
          <w:iCs/>
          <w:sz w:val="16"/>
          <w:szCs w:val="16"/>
        </w:rPr>
        <w:t>Let’s Get Real: Real Skills for working with people and whānau with mental health and addiction needs</w:t>
      </w:r>
      <w:r w:rsidRPr="00D72DC8">
        <w:rPr>
          <w:rFonts w:cs="Segoe UI"/>
          <w:sz w:val="16"/>
          <w:szCs w:val="16"/>
        </w:rPr>
        <w:t xml:space="preserve">. Auckland: Te Pou o te Whakaaro Nui. </w:t>
      </w:r>
    </w:p>
  </w:footnote>
  <w:footnote w:id="130">
    <w:p w14:paraId="01AC9884" w14:textId="77777777" w:rsidR="00A26CD1" w:rsidRPr="00A50996" w:rsidRDefault="00A26CD1" w:rsidP="00DB1B6E">
      <w:pPr>
        <w:pStyle w:val="FootnoteText"/>
        <w:spacing w:before="10" w:after="10"/>
        <w:ind w:right="-568"/>
        <w:rPr>
          <w:sz w:val="16"/>
          <w:szCs w:val="16"/>
        </w:rPr>
      </w:pPr>
      <w:r w:rsidRPr="00D72DC8">
        <w:rPr>
          <w:rStyle w:val="FootnoteReference"/>
          <w:rFonts w:cs="Segoe UI"/>
          <w:sz w:val="16"/>
          <w:szCs w:val="16"/>
        </w:rPr>
        <w:footnoteRef/>
      </w:r>
      <w:r w:rsidRPr="00D72DC8">
        <w:rPr>
          <w:rFonts w:cs="Segoe UI"/>
          <w:sz w:val="16"/>
          <w:szCs w:val="16"/>
        </w:rPr>
        <w:t xml:space="preserve"> Perers C, </w:t>
      </w:r>
      <w:r w:rsidRPr="001B469F">
        <w:rPr>
          <w:rFonts w:cs="Segoe UI"/>
          <w:sz w:val="16"/>
          <w:szCs w:val="16"/>
        </w:rPr>
        <w:t>Bäckström</w:t>
      </w:r>
      <w:r>
        <w:rPr>
          <w:rFonts w:cs="Segoe UI"/>
          <w:sz w:val="16"/>
          <w:szCs w:val="16"/>
        </w:rPr>
        <w:t xml:space="preserve"> B</w:t>
      </w:r>
      <w:r w:rsidRPr="001B469F">
        <w:rPr>
          <w:rFonts w:cs="Segoe UI"/>
          <w:sz w:val="16"/>
          <w:szCs w:val="16"/>
        </w:rPr>
        <w:t xml:space="preserve">, Johansson </w:t>
      </w:r>
      <w:r>
        <w:rPr>
          <w:rFonts w:cs="Segoe UI"/>
          <w:sz w:val="16"/>
          <w:szCs w:val="16"/>
        </w:rPr>
        <w:t xml:space="preserve">B, </w:t>
      </w:r>
      <w:r w:rsidRPr="00D72DC8">
        <w:rPr>
          <w:rFonts w:cs="Segoe UI"/>
          <w:sz w:val="16"/>
          <w:szCs w:val="16"/>
        </w:rPr>
        <w:t xml:space="preserve">et al. 2021. Methods and Strategies for Reducing Seclusion and Restraint in Child and Adolescent Psychiatric Inpatient Care. </w:t>
      </w:r>
      <w:r w:rsidRPr="007F15D3">
        <w:rPr>
          <w:rFonts w:cs="Segoe UI"/>
          <w:i/>
          <w:iCs/>
          <w:sz w:val="16"/>
          <w:szCs w:val="16"/>
        </w:rPr>
        <w:t xml:space="preserve">Psychiatric </w:t>
      </w:r>
      <w:r>
        <w:rPr>
          <w:rFonts w:cs="Segoe UI"/>
          <w:i/>
          <w:iCs/>
          <w:sz w:val="16"/>
          <w:szCs w:val="16"/>
        </w:rPr>
        <w:t>Q</w:t>
      </w:r>
      <w:r w:rsidRPr="007F15D3">
        <w:rPr>
          <w:rFonts w:cs="Segoe UI"/>
          <w:i/>
          <w:iCs/>
          <w:sz w:val="16"/>
          <w:szCs w:val="16"/>
        </w:rPr>
        <w:t>uarterly</w:t>
      </w:r>
      <w:r>
        <w:rPr>
          <w:rFonts w:cs="Segoe UI"/>
          <w:i/>
          <w:iCs/>
          <w:sz w:val="16"/>
          <w:szCs w:val="16"/>
        </w:rPr>
        <w:t xml:space="preserve"> </w:t>
      </w:r>
      <w:r w:rsidRPr="007F15D3">
        <w:rPr>
          <w:rFonts w:cs="Segoe UI"/>
          <w:sz w:val="16"/>
          <w:szCs w:val="16"/>
        </w:rPr>
        <w:t>93(1):</w:t>
      </w:r>
      <w:r>
        <w:rPr>
          <w:rFonts w:cs="Segoe UI"/>
          <w:sz w:val="16"/>
          <w:szCs w:val="16"/>
        </w:rPr>
        <w:t xml:space="preserve"> </w:t>
      </w:r>
      <w:r w:rsidRPr="007F15D3">
        <w:rPr>
          <w:rFonts w:cs="Segoe UI"/>
          <w:sz w:val="16"/>
          <w:szCs w:val="16"/>
        </w:rPr>
        <w:t>107</w:t>
      </w:r>
      <w:r>
        <w:rPr>
          <w:rFonts w:cs="Segoe UI"/>
          <w:sz w:val="16"/>
          <w:szCs w:val="16"/>
        </w:rPr>
        <w:t>–</w:t>
      </w:r>
      <w:r w:rsidRPr="007F15D3">
        <w:rPr>
          <w:rFonts w:cs="Segoe UI"/>
          <w:sz w:val="16"/>
          <w:szCs w:val="16"/>
        </w:rPr>
        <w:t>36</w:t>
      </w:r>
      <w:r w:rsidRPr="00D72DC8">
        <w:rPr>
          <w:rFonts w:cs="Segoe UI"/>
          <w:sz w:val="16"/>
          <w:szCs w:val="16"/>
        </w:rPr>
        <w:t>.</w:t>
      </w:r>
    </w:p>
  </w:footnote>
  <w:footnote w:id="131">
    <w:p w14:paraId="5563BF7E" w14:textId="77777777" w:rsidR="00A26CD1" w:rsidRPr="007022F9" w:rsidRDefault="00A26CD1" w:rsidP="00DB1B6E">
      <w:pPr>
        <w:pStyle w:val="FootnoteText"/>
        <w:spacing w:before="10" w:after="10"/>
        <w:ind w:right="-568"/>
        <w:rPr>
          <w:sz w:val="16"/>
        </w:rPr>
      </w:pPr>
      <w:r w:rsidRPr="00892981">
        <w:rPr>
          <w:rStyle w:val="FootnoteReference"/>
          <w:rFonts w:cs="Segoe UI"/>
          <w:sz w:val="16"/>
          <w:szCs w:val="16"/>
        </w:rPr>
        <w:footnoteRef/>
      </w:r>
      <w:r w:rsidRPr="00892981">
        <w:rPr>
          <w:rFonts w:cs="Segoe UI"/>
          <w:sz w:val="16"/>
          <w:szCs w:val="16"/>
        </w:rPr>
        <w:t xml:space="preserve"> Bryson</w:t>
      </w:r>
      <w:r>
        <w:rPr>
          <w:rFonts w:cs="Segoe UI"/>
          <w:sz w:val="16"/>
          <w:szCs w:val="16"/>
        </w:rPr>
        <w:t xml:space="preserve"> SA</w:t>
      </w:r>
      <w:r w:rsidRPr="00892981">
        <w:rPr>
          <w:rFonts w:cs="Segoe UI"/>
          <w:sz w:val="16"/>
          <w:szCs w:val="16"/>
        </w:rPr>
        <w:t xml:space="preserve">, </w:t>
      </w:r>
      <w:r>
        <w:rPr>
          <w:rFonts w:cs="Segoe UI"/>
          <w:sz w:val="16"/>
          <w:szCs w:val="16"/>
        </w:rPr>
        <w:t xml:space="preserve">Gauvin E, Jamieson A, </w:t>
      </w:r>
      <w:r w:rsidRPr="00892981">
        <w:rPr>
          <w:rFonts w:cs="Segoe UI"/>
          <w:sz w:val="16"/>
          <w:szCs w:val="16"/>
        </w:rPr>
        <w:t>et al. 2017. What are effective strategies for implementing trauma-informed care in youth inpatient psychiatric and residential treatment settings? A realist systematic review.</w:t>
      </w:r>
      <w:r w:rsidRPr="00892981">
        <w:rPr>
          <w:rFonts w:cs="Segoe UI"/>
          <w:i/>
          <w:sz w:val="16"/>
          <w:szCs w:val="16"/>
        </w:rPr>
        <w:t xml:space="preserve"> International Journal of Mental Health Systems </w:t>
      </w:r>
      <w:r w:rsidRPr="007F15D3">
        <w:rPr>
          <w:rFonts w:cs="Segoe UI"/>
          <w:iCs/>
          <w:sz w:val="16"/>
          <w:szCs w:val="16"/>
        </w:rPr>
        <w:t>11</w:t>
      </w:r>
      <w:r w:rsidRPr="00892981">
        <w:rPr>
          <w:rFonts w:cs="Segoe UI"/>
          <w:sz w:val="16"/>
          <w:szCs w:val="16"/>
        </w:rPr>
        <w:t>(1)</w:t>
      </w:r>
      <w:r>
        <w:rPr>
          <w:rFonts w:cs="Segoe UI"/>
          <w:sz w:val="16"/>
          <w:szCs w:val="16"/>
        </w:rPr>
        <w:t>:</w:t>
      </w:r>
      <w:r w:rsidRPr="00892981">
        <w:rPr>
          <w:rFonts w:cs="Segoe UI"/>
          <w:sz w:val="16"/>
          <w:szCs w:val="16"/>
        </w:rPr>
        <w:t xml:space="preserve"> 1</w:t>
      </w:r>
      <w:r>
        <w:rPr>
          <w:rFonts w:cs="Segoe UI"/>
          <w:sz w:val="16"/>
          <w:szCs w:val="16"/>
        </w:rPr>
        <w:t>–</w:t>
      </w:r>
      <w:r w:rsidRPr="00892981">
        <w:rPr>
          <w:rFonts w:cs="Segoe UI"/>
          <w:sz w:val="16"/>
          <w:szCs w:val="16"/>
        </w:rPr>
        <w:t>16.</w:t>
      </w:r>
    </w:p>
  </w:footnote>
  <w:footnote w:id="132">
    <w:p w14:paraId="48619A23" w14:textId="77777777" w:rsidR="00A26CD1" w:rsidRPr="00D72DC8" w:rsidRDefault="00A26CD1" w:rsidP="00DB1B6E">
      <w:pPr>
        <w:pStyle w:val="FootnoteText"/>
        <w:rPr>
          <w:rFonts w:cs="Segoe UI"/>
          <w:sz w:val="16"/>
          <w:szCs w:val="16"/>
        </w:rPr>
      </w:pPr>
      <w:r w:rsidRPr="00D72DC8">
        <w:rPr>
          <w:rStyle w:val="FootnoteReference"/>
          <w:rFonts w:cs="Segoe UI"/>
          <w:sz w:val="16"/>
          <w:szCs w:val="16"/>
        </w:rPr>
        <w:footnoteRef/>
      </w:r>
      <w:r w:rsidRPr="00D72DC8">
        <w:rPr>
          <w:rFonts w:cs="Segoe UI"/>
          <w:sz w:val="16"/>
          <w:szCs w:val="16"/>
        </w:rPr>
        <w:t xml:space="preserve"> </w:t>
      </w:r>
      <w:r w:rsidRPr="00B243EC">
        <w:rPr>
          <w:rFonts w:cs="Segoe UI"/>
          <w:sz w:val="16"/>
          <w:szCs w:val="16"/>
        </w:rPr>
        <w:t xml:space="preserve">Ministry of Health. 2022. </w:t>
      </w:r>
      <w:r w:rsidRPr="007F15D3">
        <w:rPr>
          <w:rFonts w:cs="Segoe UI"/>
          <w:i/>
          <w:iCs/>
          <w:sz w:val="16"/>
          <w:szCs w:val="16"/>
        </w:rPr>
        <w:t>Guidelines to the Mental Health (Compulsory Assessment and Treatment) Act 1992</w:t>
      </w:r>
      <w:r w:rsidRPr="00B243EC">
        <w:rPr>
          <w:rFonts w:cs="Segoe UI"/>
          <w:sz w:val="16"/>
          <w:szCs w:val="16"/>
        </w:rPr>
        <w:t>. Wellington: Ministry of Health</w:t>
      </w:r>
      <w:r>
        <w:rPr>
          <w:rFonts w:cs="Segoe UI"/>
          <w:sz w:val="16"/>
          <w:szCs w:val="16"/>
        </w:rPr>
        <w:t>.</w:t>
      </w:r>
      <w:r w:rsidRPr="009B6CC2" w:rsidDel="00BD1B6F">
        <w:rPr>
          <w:rFonts w:cs="Segoe UI"/>
          <w:sz w:val="16"/>
          <w:szCs w:val="16"/>
        </w:rPr>
        <w:t xml:space="preserve"> </w:t>
      </w:r>
    </w:p>
  </w:footnote>
  <w:footnote w:id="133">
    <w:p w14:paraId="63631425" w14:textId="77777777" w:rsidR="00A26CD1" w:rsidRPr="00304EAA" w:rsidRDefault="00A26CD1" w:rsidP="00DB1B6E">
      <w:pPr>
        <w:pStyle w:val="FootnoteText"/>
      </w:pPr>
      <w:r w:rsidRPr="00D72DC8">
        <w:rPr>
          <w:rStyle w:val="FootnoteReference"/>
          <w:rFonts w:cs="Segoe UI"/>
          <w:sz w:val="16"/>
          <w:szCs w:val="16"/>
        </w:rPr>
        <w:footnoteRef/>
      </w:r>
      <w:r w:rsidRPr="00D72DC8">
        <w:rPr>
          <w:rFonts w:cs="Segoe UI"/>
          <w:sz w:val="16"/>
          <w:szCs w:val="16"/>
        </w:rPr>
        <w:t xml:space="preserve"> A</w:t>
      </w:r>
      <w:r>
        <w:rPr>
          <w:rFonts w:cs="Segoe UI"/>
          <w:sz w:val="16"/>
          <w:szCs w:val="16"/>
        </w:rPr>
        <w:t>n emergency is defined as a</w:t>
      </w:r>
      <w:r w:rsidRPr="00D72DC8">
        <w:rPr>
          <w:rFonts w:cs="Segoe UI"/>
          <w:sz w:val="16"/>
          <w:szCs w:val="16"/>
        </w:rPr>
        <w:t xml:space="preserve"> serious, unexpected and dangerous situation requiring immediate action</w:t>
      </w:r>
      <w:r>
        <w:rPr>
          <w:rFonts w:cs="Segoe UI"/>
          <w:sz w:val="16"/>
          <w:szCs w:val="16"/>
        </w:rPr>
        <w:t>.</w:t>
      </w:r>
      <w:r w:rsidRPr="00304EAA">
        <w:t xml:space="preserve"> </w:t>
      </w:r>
    </w:p>
  </w:footnote>
  <w:footnote w:id="134">
    <w:p w14:paraId="6B08AAB4" w14:textId="77777777" w:rsidR="00A26CD1" w:rsidRPr="00343503" w:rsidRDefault="00A26CD1" w:rsidP="00DB1B6E">
      <w:pPr>
        <w:pStyle w:val="FootnoteText"/>
        <w:rPr>
          <w:lang w:val="en-US"/>
        </w:rPr>
      </w:pPr>
      <w:r w:rsidRPr="00DE0D7C">
        <w:rPr>
          <w:rStyle w:val="FootnoteReference"/>
          <w:rFonts w:cs="Segoe UI"/>
          <w:sz w:val="16"/>
          <w:szCs w:val="16"/>
        </w:rPr>
        <w:footnoteRef/>
      </w:r>
      <w:r w:rsidRPr="00DE0D7C">
        <w:rPr>
          <w:rStyle w:val="FootnoteReference"/>
          <w:rFonts w:cs="Segoe UI"/>
          <w:sz w:val="16"/>
          <w:szCs w:val="16"/>
        </w:rPr>
        <w:t xml:space="preserve"> </w:t>
      </w:r>
      <w:r w:rsidRPr="00DE0D7C">
        <w:rPr>
          <w:rFonts w:cs="Segoe UI"/>
          <w:sz w:val="16"/>
          <w:szCs w:val="16"/>
        </w:rPr>
        <w:t xml:space="preserve">Ministry of Health. 2018. </w:t>
      </w:r>
      <w:r w:rsidRPr="00DE0D7C">
        <w:rPr>
          <w:rFonts w:cs="Segoe UI"/>
          <w:i/>
          <w:sz w:val="16"/>
          <w:szCs w:val="16"/>
        </w:rPr>
        <w:t>Night Safety Procedures: Transitional Guideline</w:t>
      </w:r>
      <w:r w:rsidRPr="00DE0D7C">
        <w:rPr>
          <w:rFonts w:cs="Segoe UI"/>
          <w:sz w:val="16"/>
          <w:szCs w:val="16"/>
        </w:rPr>
        <w:t>. Wellington: Ministry of Health.</w:t>
      </w:r>
    </w:p>
  </w:footnote>
  <w:footnote w:id="135">
    <w:p w14:paraId="46899E5F" w14:textId="77777777" w:rsidR="00A26CD1" w:rsidRPr="00CE6261" w:rsidRDefault="00A26CD1" w:rsidP="00DB1B6E">
      <w:pPr>
        <w:pStyle w:val="FootnoteText"/>
        <w:rPr>
          <w:rFonts w:cs="Segoe UI"/>
          <w:sz w:val="16"/>
          <w:szCs w:val="16"/>
        </w:rPr>
      </w:pPr>
      <w:r w:rsidRPr="00CE6261">
        <w:rPr>
          <w:rStyle w:val="FootnoteReference"/>
          <w:rFonts w:cs="Segoe UI"/>
          <w:sz w:val="16"/>
          <w:szCs w:val="16"/>
        </w:rPr>
        <w:footnoteRef/>
      </w:r>
      <w:r w:rsidRPr="00CE6261">
        <w:rPr>
          <w:rFonts w:cs="Segoe UI"/>
          <w:sz w:val="16"/>
          <w:szCs w:val="16"/>
        </w:rPr>
        <w:t xml:space="preserve"> E</w:t>
      </w:r>
      <w:r w:rsidRPr="00CE6261">
        <w:rPr>
          <w:rFonts w:cs="Segoe UI"/>
          <w:color w:val="000000"/>
          <w:sz w:val="16"/>
          <w:szCs w:val="16"/>
        </w:rPr>
        <w:t>ither a registered nurse or a medical practitioner.</w:t>
      </w:r>
    </w:p>
  </w:footnote>
  <w:footnote w:id="136">
    <w:p w14:paraId="288D7A68" w14:textId="77777777" w:rsidR="00A26CD1" w:rsidRPr="00CE6261" w:rsidRDefault="00A26CD1" w:rsidP="00DB1B6E">
      <w:pPr>
        <w:pStyle w:val="FootnoteText"/>
        <w:rPr>
          <w:rFonts w:cs="Segoe UI"/>
          <w:sz w:val="16"/>
          <w:szCs w:val="16"/>
        </w:rPr>
      </w:pPr>
      <w:r w:rsidRPr="00CE6261">
        <w:rPr>
          <w:rStyle w:val="FootnoteReference"/>
          <w:rFonts w:cs="Segoe UI"/>
          <w:sz w:val="16"/>
          <w:szCs w:val="16"/>
        </w:rPr>
        <w:footnoteRef/>
      </w:r>
      <w:r w:rsidRPr="00CE6261">
        <w:rPr>
          <w:rFonts w:cs="Segoe UI"/>
          <w:sz w:val="16"/>
          <w:szCs w:val="16"/>
        </w:rPr>
        <w:t xml:space="preserve"> Hollins L. 2017. The NICE 10 minute physical restraint rule: A discussion of the relative risks. </w:t>
      </w:r>
      <w:r w:rsidRPr="00CE6261">
        <w:rPr>
          <w:rFonts w:cs="Segoe UI"/>
          <w:i/>
          <w:iCs/>
          <w:sz w:val="16"/>
          <w:szCs w:val="16"/>
        </w:rPr>
        <w:t xml:space="preserve">Journal of Psychiatric and Mental Health Nursing </w:t>
      </w:r>
      <w:r w:rsidRPr="000E384D">
        <w:rPr>
          <w:rFonts w:cs="Segoe UI"/>
          <w:sz w:val="16"/>
          <w:szCs w:val="16"/>
        </w:rPr>
        <w:t>24</w:t>
      </w:r>
      <w:r w:rsidRPr="00CE6261">
        <w:rPr>
          <w:rFonts w:cs="Segoe UI"/>
          <w:sz w:val="16"/>
          <w:szCs w:val="16"/>
        </w:rPr>
        <w:t>(9</w:t>
      </w:r>
      <w:r>
        <w:rPr>
          <w:rFonts w:cs="Segoe UI"/>
          <w:sz w:val="16"/>
          <w:szCs w:val="16"/>
        </w:rPr>
        <w:t>–</w:t>
      </w:r>
      <w:r w:rsidRPr="00CE6261">
        <w:rPr>
          <w:rFonts w:cs="Segoe UI"/>
          <w:sz w:val="16"/>
          <w:szCs w:val="16"/>
        </w:rPr>
        <w:t>10)</w:t>
      </w:r>
      <w:r>
        <w:rPr>
          <w:rFonts w:cs="Segoe UI"/>
          <w:sz w:val="16"/>
          <w:szCs w:val="16"/>
        </w:rPr>
        <w:t>:</w:t>
      </w:r>
      <w:r w:rsidRPr="00CE6261">
        <w:rPr>
          <w:rFonts w:cs="Segoe UI"/>
          <w:sz w:val="16"/>
          <w:szCs w:val="16"/>
        </w:rPr>
        <w:t xml:space="preserve"> 719</w:t>
      </w:r>
      <w:r>
        <w:rPr>
          <w:rFonts w:cs="Segoe UI"/>
          <w:sz w:val="16"/>
          <w:szCs w:val="16"/>
        </w:rPr>
        <w:t>–</w:t>
      </w:r>
      <w:r w:rsidRPr="00CE6261">
        <w:rPr>
          <w:rFonts w:cs="Segoe UI"/>
          <w:sz w:val="16"/>
          <w:szCs w:val="16"/>
        </w:rPr>
        <w:t xml:space="preserve">26. </w:t>
      </w:r>
    </w:p>
  </w:footnote>
  <w:footnote w:id="137">
    <w:p w14:paraId="569D9DBB" w14:textId="77777777" w:rsidR="00A26CD1" w:rsidRPr="00CE6261" w:rsidRDefault="00A26CD1" w:rsidP="00DB1B6E">
      <w:pPr>
        <w:pStyle w:val="FootnoteText"/>
        <w:rPr>
          <w:rFonts w:cs="Segoe UI"/>
          <w:sz w:val="16"/>
          <w:szCs w:val="16"/>
        </w:rPr>
      </w:pPr>
      <w:r w:rsidRPr="00CE6261">
        <w:rPr>
          <w:rStyle w:val="FootnoteReference"/>
          <w:rFonts w:cs="Segoe UI"/>
          <w:sz w:val="16"/>
          <w:szCs w:val="16"/>
        </w:rPr>
        <w:footnoteRef/>
      </w:r>
      <w:r w:rsidRPr="00CE6261">
        <w:rPr>
          <w:rFonts w:cs="Segoe UI"/>
          <w:sz w:val="16"/>
          <w:szCs w:val="16"/>
        </w:rPr>
        <w:t xml:space="preserve"> </w:t>
      </w:r>
      <w:r w:rsidRPr="00CE6261">
        <w:rPr>
          <w:rFonts w:cs="Segoe UI"/>
          <w:color w:val="211D1E"/>
          <w:sz w:val="16"/>
          <w:szCs w:val="16"/>
        </w:rPr>
        <w:t>Mohr WK, Petti TA, Mohr BD. 2003</w:t>
      </w:r>
      <w:r>
        <w:rPr>
          <w:rFonts w:cs="Segoe UI"/>
          <w:color w:val="211D1E"/>
          <w:sz w:val="16"/>
          <w:szCs w:val="16"/>
        </w:rPr>
        <w:t>.</w:t>
      </w:r>
      <w:r w:rsidRPr="00CE6261">
        <w:rPr>
          <w:rFonts w:cs="Segoe UI"/>
          <w:color w:val="211D1E"/>
          <w:sz w:val="16"/>
          <w:szCs w:val="16"/>
        </w:rPr>
        <w:t xml:space="preserve"> Adverse </w:t>
      </w:r>
      <w:r>
        <w:rPr>
          <w:rFonts w:cs="Segoe UI"/>
          <w:color w:val="211D1E"/>
          <w:sz w:val="16"/>
          <w:szCs w:val="16"/>
        </w:rPr>
        <w:t>e</w:t>
      </w:r>
      <w:r w:rsidRPr="00CE6261">
        <w:rPr>
          <w:rFonts w:cs="Segoe UI"/>
          <w:color w:val="211D1E"/>
          <w:sz w:val="16"/>
          <w:szCs w:val="16"/>
        </w:rPr>
        <w:t xml:space="preserve">ffects </w:t>
      </w:r>
      <w:r>
        <w:rPr>
          <w:rFonts w:cs="Segoe UI"/>
          <w:color w:val="211D1E"/>
          <w:sz w:val="16"/>
          <w:szCs w:val="16"/>
        </w:rPr>
        <w:t>a</w:t>
      </w:r>
      <w:r w:rsidRPr="00CE6261">
        <w:rPr>
          <w:rFonts w:cs="Segoe UI"/>
          <w:color w:val="211D1E"/>
          <w:sz w:val="16"/>
          <w:szCs w:val="16"/>
        </w:rPr>
        <w:t xml:space="preserve">ssociated with </w:t>
      </w:r>
      <w:r>
        <w:rPr>
          <w:rFonts w:cs="Segoe UI"/>
          <w:color w:val="211D1E"/>
          <w:sz w:val="16"/>
          <w:szCs w:val="16"/>
        </w:rPr>
        <w:t>p</w:t>
      </w:r>
      <w:r w:rsidRPr="00CE6261">
        <w:rPr>
          <w:rFonts w:cs="Segoe UI"/>
          <w:color w:val="211D1E"/>
          <w:sz w:val="16"/>
          <w:szCs w:val="16"/>
        </w:rPr>
        <w:t xml:space="preserve">hysical </w:t>
      </w:r>
      <w:r>
        <w:rPr>
          <w:rFonts w:cs="Segoe UI"/>
          <w:color w:val="211D1E"/>
          <w:sz w:val="16"/>
          <w:szCs w:val="16"/>
        </w:rPr>
        <w:t>r</w:t>
      </w:r>
      <w:r w:rsidRPr="00CE6261">
        <w:rPr>
          <w:rFonts w:cs="Segoe UI"/>
          <w:color w:val="211D1E"/>
          <w:sz w:val="16"/>
          <w:szCs w:val="16"/>
        </w:rPr>
        <w:t>estraint</w:t>
      </w:r>
      <w:r>
        <w:rPr>
          <w:rFonts w:cs="Segoe UI"/>
          <w:color w:val="211D1E"/>
          <w:sz w:val="16"/>
          <w:szCs w:val="16"/>
        </w:rPr>
        <w:t xml:space="preserve">. </w:t>
      </w:r>
      <w:r w:rsidRPr="000E384D">
        <w:rPr>
          <w:rFonts w:cs="Segoe UI"/>
          <w:i/>
          <w:iCs/>
          <w:color w:val="211D1E"/>
          <w:sz w:val="16"/>
          <w:szCs w:val="16"/>
        </w:rPr>
        <w:t>Canadian Journal of Psychiatry</w:t>
      </w:r>
      <w:r w:rsidRPr="00CE6261">
        <w:rPr>
          <w:rFonts w:cs="Segoe UI"/>
          <w:color w:val="211D1E"/>
          <w:sz w:val="16"/>
          <w:szCs w:val="16"/>
        </w:rPr>
        <w:t xml:space="preserve"> </w:t>
      </w:r>
      <w:r>
        <w:rPr>
          <w:rFonts w:cs="Segoe UI"/>
          <w:color w:val="211D1E"/>
          <w:sz w:val="16"/>
          <w:szCs w:val="16"/>
        </w:rPr>
        <w:t>48(</w:t>
      </w:r>
      <w:r w:rsidRPr="00CE6261">
        <w:rPr>
          <w:rFonts w:cs="Segoe UI"/>
          <w:color w:val="211D1E"/>
          <w:sz w:val="16"/>
          <w:szCs w:val="16"/>
        </w:rPr>
        <w:t>5</w:t>
      </w:r>
      <w:r>
        <w:rPr>
          <w:rFonts w:cs="Segoe UI"/>
          <w:color w:val="211D1E"/>
          <w:sz w:val="16"/>
          <w:szCs w:val="16"/>
        </w:rPr>
        <w:t>):</w:t>
      </w:r>
      <w:r w:rsidRPr="00CE6261">
        <w:rPr>
          <w:rFonts w:cs="Segoe UI"/>
          <w:color w:val="211D1E"/>
          <w:sz w:val="16"/>
          <w:szCs w:val="16"/>
        </w:rPr>
        <w:t xml:space="preserve"> 330</w:t>
      </w:r>
      <w:r>
        <w:rPr>
          <w:rFonts w:cs="Segoe UI"/>
          <w:color w:val="211D1E"/>
          <w:sz w:val="16"/>
          <w:szCs w:val="16"/>
        </w:rPr>
        <w:t>–</w:t>
      </w:r>
      <w:r w:rsidRPr="00CE6261">
        <w:rPr>
          <w:rFonts w:cs="Segoe UI"/>
          <w:color w:val="211D1E"/>
          <w:sz w:val="16"/>
          <w:szCs w:val="16"/>
        </w:rPr>
        <w:t>7.</w:t>
      </w:r>
    </w:p>
  </w:footnote>
  <w:footnote w:id="138">
    <w:p w14:paraId="77B8E061" w14:textId="77777777" w:rsidR="00A26CD1" w:rsidRPr="00CE6261" w:rsidRDefault="00A26CD1" w:rsidP="00DB1B6E">
      <w:pPr>
        <w:pStyle w:val="FootnoteText"/>
        <w:rPr>
          <w:rFonts w:cs="Segoe UI"/>
          <w:color w:val="000000"/>
          <w:sz w:val="16"/>
          <w:szCs w:val="16"/>
        </w:rPr>
      </w:pPr>
      <w:r w:rsidRPr="00CE6261">
        <w:rPr>
          <w:rStyle w:val="FootnoteReference"/>
          <w:rFonts w:cs="Segoe UI"/>
          <w:sz w:val="16"/>
          <w:szCs w:val="16"/>
        </w:rPr>
        <w:footnoteRef/>
      </w:r>
      <w:r w:rsidRPr="00CE6261">
        <w:rPr>
          <w:rFonts w:cs="Segoe UI"/>
          <w:sz w:val="16"/>
          <w:szCs w:val="16"/>
        </w:rPr>
        <w:t xml:space="preserve"> </w:t>
      </w:r>
      <w:r w:rsidRPr="00CE6261">
        <w:rPr>
          <w:rFonts w:cs="Segoe UI"/>
          <w:color w:val="211D1E"/>
          <w:sz w:val="16"/>
          <w:szCs w:val="16"/>
        </w:rPr>
        <w:t>Hollins L. 2017. The NICE 10 minute physical restraint rule: a discussion of the relative risks. </w:t>
      </w:r>
      <w:r w:rsidRPr="000E384D">
        <w:rPr>
          <w:rFonts w:cs="Segoe UI"/>
          <w:i/>
          <w:iCs/>
          <w:color w:val="211D1E"/>
          <w:sz w:val="16"/>
          <w:szCs w:val="16"/>
        </w:rPr>
        <w:t xml:space="preserve">Journal of </w:t>
      </w:r>
      <w:r>
        <w:rPr>
          <w:rFonts w:cs="Segoe UI"/>
          <w:i/>
          <w:iCs/>
          <w:color w:val="211D1E"/>
          <w:sz w:val="16"/>
          <w:szCs w:val="16"/>
        </w:rPr>
        <w:t>P</w:t>
      </w:r>
      <w:r w:rsidRPr="000E384D">
        <w:rPr>
          <w:rFonts w:cs="Segoe UI"/>
          <w:i/>
          <w:iCs/>
          <w:color w:val="211D1E"/>
          <w:sz w:val="16"/>
          <w:szCs w:val="16"/>
        </w:rPr>
        <w:t xml:space="preserve">sychiatric and </w:t>
      </w:r>
      <w:r>
        <w:rPr>
          <w:rFonts w:cs="Segoe UI"/>
          <w:i/>
          <w:iCs/>
          <w:color w:val="211D1E"/>
          <w:sz w:val="16"/>
          <w:szCs w:val="16"/>
        </w:rPr>
        <w:t>M</w:t>
      </w:r>
      <w:r w:rsidRPr="000E384D">
        <w:rPr>
          <w:rFonts w:cs="Segoe UI"/>
          <w:i/>
          <w:iCs/>
          <w:color w:val="211D1E"/>
          <w:sz w:val="16"/>
          <w:szCs w:val="16"/>
        </w:rPr>
        <w:t xml:space="preserve">ental </w:t>
      </w:r>
      <w:r>
        <w:rPr>
          <w:rFonts w:cs="Segoe UI"/>
          <w:i/>
          <w:iCs/>
          <w:color w:val="211D1E"/>
          <w:sz w:val="16"/>
          <w:szCs w:val="16"/>
        </w:rPr>
        <w:t>H</w:t>
      </w:r>
      <w:r w:rsidRPr="000E384D">
        <w:rPr>
          <w:rFonts w:cs="Segoe UI"/>
          <w:i/>
          <w:iCs/>
          <w:color w:val="211D1E"/>
          <w:sz w:val="16"/>
          <w:szCs w:val="16"/>
        </w:rPr>
        <w:t xml:space="preserve">ealth </w:t>
      </w:r>
      <w:r>
        <w:rPr>
          <w:rFonts w:cs="Segoe UI"/>
          <w:i/>
          <w:iCs/>
          <w:color w:val="211D1E"/>
          <w:sz w:val="16"/>
          <w:szCs w:val="16"/>
        </w:rPr>
        <w:t>N</w:t>
      </w:r>
      <w:r w:rsidRPr="000E384D">
        <w:rPr>
          <w:rFonts w:cs="Segoe UI"/>
          <w:i/>
          <w:iCs/>
          <w:color w:val="211D1E"/>
          <w:sz w:val="16"/>
          <w:szCs w:val="16"/>
        </w:rPr>
        <w:t>ursing</w:t>
      </w:r>
      <w:r w:rsidRPr="00CE6261">
        <w:rPr>
          <w:rFonts w:cs="Segoe UI"/>
          <w:color w:val="211D1E"/>
          <w:sz w:val="16"/>
          <w:szCs w:val="16"/>
        </w:rPr>
        <w:t> 24(9</w:t>
      </w:r>
      <w:r>
        <w:rPr>
          <w:rFonts w:cs="Segoe UI"/>
          <w:color w:val="211D1E"/>
          <w:sz w:val="16"/>
          <w:szCs w:val="16"/>
        </w:rPr>
        <w:t>–</w:t>
      </w:r>
      <w:r w:rsidRPr="00CE6261">
        <w:rPr>
          <w:rFonts w:cs="Segoe UI"/>
          <w:color w:val="211D1E"/>
          <w:sz w:val="16"/>
          <w:szCs w:val="16"/>
        </w:rPr>
        <w:t>10)</w:t>
      </w:r>
      <w:r>
        <w:rPr>
          <w:rFonts w:cs="Segoe UI"/>
          <w:color w:val="211D1E"/>
          <w:sz w:val="16"/>
          <w:szCs w:val="16"/>
        </w:rPr>
        <w:t>:</w:t>
      </w:r>
      <w:r w:rsidRPr="00CE6261">
        <w:rPr>
          <w:rFonts w:cs="Segoe UI"/>
          <w:color w:val="211D1E"/>
          <w:sz w:val="16"/>
          <w:szCs w:val="16"/>
        </w:rPr>
        <w:t xml:space="preserve"> 719</w:t>
      </w:r>
      <w:r>
        <w:rPr>
          <w:rFonts w:cs="Segoe UI"/>
          <w:color w:val="211D1E"/>
          <w:sz w:val="16"/>
          <w:szCs w:val="16"/>
        </w:rPr>
        <w:t>–</w:t>
      </w:r>
      <w:r w:rsidRPr="00CE6261">
        <w:rPr>
          <w:rFonts w:cs="Segoe UI"/>
          <w:color w:val="211D1E"/>
          <w:sz w:val="16"/>
          <w:szCs w:val="16"/>
        </w:rPr>
        <w:t>26.</w:t>
      </w:r>
    </w:p>
  </w:footnote>
  <w:footnote w:id="139">
    <w:p w14:paraId="0A84D417" w14:textId="77777777" w:rsidR="00A26CD1" w:rsidRPr="00D72DC8" w:rsidRDefault="00A26CD1" w:rsidP="00DB1B6E">
      <w:pPr>
        <w:pStyle w:val="FootnoteText"/>
        <w:rPr>
          <w:rFonts w:cs="Segoe UI"/>
          <w:sz w:val="16"/>
          <w:szCs w:val="16"/>
        </w:rPr>
      </w:pPr>
      <w:r w:rsidRPr="00D72DC8">
        <w:rPr>
          <w:rStyle w:val="FootnoteReference"/>
          <w:rFonts w:cs="Segoe UI"/>
          <w:sz w:val="16"/>
          <w:szCs w:val="16"/>
        </w:rPr>
        <w:footnoteRef/>
      </w:r>
      <w:r w:rsidRPr="00D72DC8">
        <w:rPr>
          <w:rFonts w:cs="Segoe UI"/>
          <w:sz w:val="16"/>
          <w:szCs w:val="16"/>
        </w:rPr>
        <w:t xml:space="preserve"> </w:t>
      </w:r>
      <w:r w:rsidRPr="00D72DC8">
        <w:rPr>
          <w:rFonts w:cs="Segoe UI"/>
          <w:color w:val="212121"/>
          <w:sz w:val="16"/>
          <w:szCs w:val="16"/>
          <w:shd w:val="clear" w:color="auto" w:fill="FFFFFF"/>
        </w:rPr>
        <w:t>Steinberg A. 2021. Prone restraint cardiac arrest: A comprehensive review of the scientific literature and an explanation of the physiology. </w:t>
      </w:r>
      <w:r w:rsidRPr="00D72DC8">
        <w:rPr>
          <w:rFonts w:cs="Segoe UI"/>
          <w:i/>
          <w:color w:val="212121"/>
          <w:sz w:val="16"/>
          <w:szCs w:val="16"/>
          <w:shd w:val="clear" w:color="auto" w:fill="FFFFFF"/>
        </w:rPr>
        <w:t xml:space="preserve">Medicine, </w:t>
      </w:r>
      <w:r>
        <w:rPr>
          <w:rFonts w:cs="Segoe UI"/>
          <w:i/>
          <w:color w:val="212121"/>
          <w:sz w:val="16"/>
          <w:szCs w:val="16"/>
          <w:shd w:val="clear" w:color="auto" w:fill="FFFFFF"/>
        </w:rPr>
        <w:t>S</w:t>
      </w:r>
      <w:r w:rsidRPr="00D72DC8">
        <w:rPr>
          <w:rFonts w:cs="Segoe UI"/>
          <w:i/>
          <w:color w:val="212121"/>
          <w:sz w:val="16"/>
          <w:szCs w:val="16"/>
          <w:shd w:val="clear" w:color="auto" w:fill="FFFFFF"/>
        </w:rPr>
        <w:t xml:space="preserve">cience, and the </w:t>
      </w:r>
      <w:r>
        <w:rPr>
          <w:rFonts w:cs="Segoe UI"/>
          <w:i/>
          <w:color w:val="212121"/>
          <w:sz w:val="16"/>
          <w:szCs w:val="16"/>
          <w:shd w:val="clear" w:color="auto" w:fill="FFFFFF"/>
        </w:rPr>
        <w:t>L</w:t>
      </w:r>
      <w:r w:rsidRPr="00D72DC8">
        <w:rPr>
          <w:rFonts w:cs="Segoe UI"/>
          <w:i/>
          <w:color w:val="212121"/>
          <w:sz w:val="16"/>
          <w:szCs w:val="16"/>
          <w:shd w:val="clear" w:color="auto" w:fill="FFFFFF"/>
        </w:rPr>
        <w:t>aw</w:t>
      </w:r>
      <w:r w:rsidRPr="00D72DC8">
        <w:rPr>
          <w:rFonts w:cs="Segoe UI"/>
          <w:color w:val="212121"/>
          <w:sz w:val="16"/>
          <w:szCs w:val="16"/>
          <w:shd w:val="clear" w:color="auto" w:fill="FFFFFF"/>
        </w:rPr>
        <w:t> </w:t>
      </w:r>
      <w:r w:rsidRPr="000E384D">
        <w:rPr>
          <w:rFonts w:cs="Segoe UI"/>
          <w:iCs/>
          <w:color w:val="212121"/>
          <w:sz w:val="16"/>
          <w:szCs w:val="16"/>
          <w:shd w:val="clear" w:color="auto" w:fill="FFFFFF"/>
        </w:rPr>
        <w:t>61</w:t>
      </w:r>
      <w:r w:rsidRPr="00D72DC8">
        <w:rPr>
          <w:rFonts w:cs="Segoe UI"/>
          <w:color w:val="212121"/>
          <w:sz w:val="16"/>
          <w:szCs w:val="16"/>
          <w:shd w:val="clear" w:color="auto" w:fill="FFFFFF"/>
        </w:rPr>
        <w:t>(3)</w:t>
      </w:r>
      <w:r>
        <w:rPr>
          <w:rFonts w:cs="Segoe UI"/>
          <w:color w:val="212121"/>
          <w:sz w:val="16"/>
          <w:szCs w:val="16"/>
          <w:shd w:val="clear" w:color="auto" w:fill="FFFFFF"/>
        </w:rPr>
        <w:t>:</w:t>
      </w:r>
      <w:r w:rsidRPr="00D72DC8">
        <w:rPr>
          <w:rFonts w:cs="Segoe UI"/>
          <w:color w:val="212121"/>
          <w:sz w:val="16"/>
          <w:szCs w:val="16"/>
          <w:shd w:val="clear" w:color="auto" w:fill="FFFFFF"/>
        </w:rPr>
        <w:t xml:space="preserve"> 215–26. </w:t>
      </w:r>
    </w:p>
  </w:footnote>
  <w:footnote w:id="140">
    <w:p w14:paraId="24C92ABB" w14:textId="77777777" w:rsidR="00A26CD1" w:rsidRPr="00D72DC8" w:rsidRDefault="00A26CD1" w:rsidP="00DB1B6E">
      <w:pPr>
        <w:pStyle w:val="FootnoteText"/>
        <w:rPr>
          <w:rFonts w:cs="Segoe UI"/>
          <w:sz w:val="16"/>
          <w:szCs w:val="16"/>
        </w:rPr>
      </w:pPr>
      <w:r w:rsidRPr="00D72DC8">
        <w:rPr>
          <w:rStyle w:val="FootnoteReference"/>
          <w:rFonts w:cs="Segoe UI"/>
          <w:sz w:val="16"/>
          <w:szCs w:val="16"/>
        </w:rPr>
        <w:footnoteRef/>
      </w:r>
      <w:r w:rsidRPr="00D72DC8">
        <w:rPr>
          <w:rFonts w:cs="Segoe UI"/>
          <w:sz w:val="16"/>
          <w:szCs w:val="16"/>
        </w:rPr>
        <w:t xml:space="preserve"> </w:t>
      </w:r>
      <w:r w:rsidRPr="00D72DC8">
        <w:rPr>
          <w:rFonts w:cs="Segoe UI"/>
          <w:color w:val="211D1E"/>
          <w:sz w:val="16"/>
          <w:szCs w:val="16"/>
        </w:rPr>
        <w:t>Hollins L. 2017. The NICE 10 minute physical restraint rule: a discussion of the relative risks. </w:t>
      </w:r>
      <w:r w:rsidRPr="000E384D">
        <w:rPr>
          <w:rFonts w:cs="Segoe UI"/>
          <w:i/>
          <w:iCs/>
          <w:color w:val="211D1E"/>
          <w:sz w:val="16"/>
          <w:szCs w:val="16"/>
        </w:rPr>
        <w:t xml:space="preserve">Journal of </w:t>
      </w:r>
      <w:r>
        <w:rPr>
          <w:rFonts w:cs="Segoe UI"/>
          <w:i/>
          <w:iCs/>
          <w:color w:val="211D1E"/>
          <w:sz w:val="16"/>
          <w:szCs w:val="16"/>
        </w:rPr>
        <w:t>P</w:t>
      </w:r>
      <w:r w:rsidRPr="000E384D">
        <w:rPr>
          <w:rFonts w:cs="Segoe UI"/>
          <w:i/>
          <w:iCs/>
          <w:color w:val="211D1E"/>
          <w:sz w:val="16"/>
          <w:szCs w:val="16"/>
        </w:rPr>
        <w:t xml:space="preserve">sychiatric and </w:t>
      </w:r>
      <w:r>
        <w:rPr>
          <w:rFonts w:cs="Segoe UI"/>
          <w:i/>
          <w:iCs/>
          <w:color w:val="211D1E"/>
          <w:sz w:val="16"/>
          <w:szCs w:val="16"/>
        </w:rPr>
        <w:t>M</w:t>
      </w:r>
      <w:r w:rsidRPr="000E384D">
        <w:rPr>
          <w:rFonts w:cs="Segoe UI"/>
          <w:i/>
          <w:iCs/>
          <w:color w:val="211D1E"/>
          <w:sz w:val="16"/>
          <w:szCs w:val="16"/>
        </w:rPr>
        <w:t xml:space="preserve">ental </w:t>
      </w:r>
      <w:r>
        <w:rPr>
          <w:rFonts w:cs="Segoe UI"/>
          <w:i/>
          <w:iCs/>
          <w:color w:val="211D1E"/>
          <w:sz w:val="16"/>
          <w:szCs w:val="16"/>
        </w:rPr>
        <w:t>H</w:t>
      </w:r>
      <w:r w:rsidRPr="000E384D">
        <w:rPr>
          <w:rFonts w:cs="Segoe UI"/>
          <w:i/>
          <w:iCs/>
          <w:color w:val="211D1E"/>
          <w:sz w:val="16"/>
          <w:szCs w:val="16"/>
        </w:rPr>
        <w:t xml:space="preserve">ealth </w:t>
      </w:r>
      <w:r>
        <w:rPr>
          <w:rFonts w:cs="Segoe UI"/>
          <w:i/>
          <w:iCs/>
          <w:color w:val="211D1E"/>
          <w:sz w:val="16"/>
          <w:szCs w:val="16"/>
        </w:rPr>
        <w:t>N</w:t>
      </w:r>
      <w:r w:rsidRPr="000E384D">
        <w:rPr>
          <w:rFonts w:cs="Segoe UI"/>
          <w:i/>
          <w:iCs/>
          <w:color w:val="211D1E"/>
          <w:sz w:val="16"/>
          <w:szCs w:val="16"/>
        </w:rPr>
        <w:t>ursing</w:t>
      </w:r>
      <w:r w:rsidRPr="00D72DC8">
        <w:rPr>
          <w:rFonts w:cs="Segoe UI"/>
          <w:color w:val="211D1E"/>
          <w:sz w:val="16"/>
          <w:szCs w:val="16"/>
        </w:rPr>
        <w:t> 24(9</w:t>
      </w:r>
      <w:r>
        <w:rPr>
          <w:rFonts w:cs="Segoe UI"/>
          <w:color w:val="211D1E"/>
          <w:sz w:val="16"/>
          <w:szCs w:val="16"/>
        </w:rPr>
        <w:t>–</w:t>
      </w:r>
      <w:r w:rsidRPr="00D72DC8">
        <w:rPr>
          <w:rFonts w:cs="Segoe UI"/>
          <w:color w:val="211D1E"/>
          <w:sz w:val="16"/>
          <w:szCs w:val="16"/>
        </w:rPr>
        <w:t>10)</w:t>
      </w:r>
      <w:r>
        <w:rPr>
          <w:rFonts w:cs="Segoe UI"/>
          <w:color w:val="211D1E"/>
          <w:sz w:val="16"/>
          <w:szCs w:val="16"/>
        </w:rPr>
        <w:t>:</w:t>
      </w:r>
      <w:r w:rsidRPr="00D72DC8">
        <w:rPr>
          <w:rFonts w:cs="Segoe UI"/>
          <w:color w:val="211D1E"/>
          <w:sz w:val="16"/>
          <w:szCs w:val="16"/>
        </w:rPr>
        <w:t xml:space="preserve"> 719</w:t>
      </w:r>
      <w:r>
        <w:rPr>
          <w:rFonts w:cs="Segoe UI"/>
          <w:color w:val="211D1E"/>
          <w:sz w:val="16"/>
          <w:szCs w:val="16"/>
        </w:rPr>
        <w:t>–</w:t>
      </w:r>
      <w:r w:rsidRPr="00D72DC8">
        <w:rPr>
          <w:rFonts w:cs="Segoe UI"/>
          <w:color w:val="211D1E"/>
          <w:sz w:val="16"/>
          <w:szCs w:val="16"/>
        </w:rPr>
        <w:t>26.</w:t>
      </w:r>
    </w:p>
  </w:footnote>
  <w:footnote w:id="141">
    <w:p w14:paraId="5479207F" w14:textId="77777777" w:rsidR="00A26CD1" w:rsidRPr="00D72DC8" w:rsidRDefault="00A26CD1" w:rsidP="006E6D19">
      <w:pPr>
        <w:autoSpaceDE w:val="0"/>
        <w:autoSpaceDN w:val="0"/>
        <w:adjustRightInd w:val="0"/>
        <w:ind w:left="284" w:hanging="284"/>
        <w:rPr>
          <w:rFonts w:cs="Segoe UI"/>
          <w:i/>
          <w:iCs/>
          <w:sz w:val="16"/>
          <w:szCs w:val="16"/>
        </w:rPr>
      </w:pPr>
      <w:r w:rsidRPr="00D72DC8">
        <w:rPr>
          <w:rStyle w:val="FootnoteReference"/>
          <w:rFonts w:cs="Segoe UI"/>
          <w:sz w:val="16"/>
          <w:szCs w:val="16"/>
        </w:rPr>
        <w:footnoteRef/>
      </w:r>
      <w:r w:rsidRPr="00D72DC8">
        <w:rPr>
          <w:rFonts w:cs="Segoe UI"/>
          <w:sz w:val="16"/>
          <w:szCs w:val="16"/>
        </w:rPr>
        <w:t xml:space="preserve"> McKenna B, Furness T, Maguire T. 2014. </w:t>
      </w:r>
      <w:r w:rsidRPr="00D72DC8">
        <w:rPr>
          <w:rFonts w:cs="Segoe UI"/>
          <w:i/>
          <w:iCs/>
          <w:sz w:val="16"/>
          <w:szCs w:val="16"/>
        </w:rPr>
        <w:t>A literature review and policy analysis on the practice of restrictive interventions</w:t>
      </w:r>
      <w:r w:rsidRPr="00D72DC8">
        <w:rPr>
          <w:rFonts w:cs="Segoe UI"/>
          <w:sz w:val="16"/>
          <w:szCs w:val="16"/>
        </w:rPr>
        <w:t>. Melbourne</w:t>
      </w:r>
      <w:r>
        <w:rPr>
          <w:rFonts w:cs="Segoe UI"/>
          <w:sz w:val="16"/>
          <w:szCs w:val="16"/>
        </w:rPr>
        <w:t xml:space="preserve">: </w:t>
      </w:r>
      <w:r w:rsidRPr="002D4F8A">
        <w:rPr>
          <w:rFonts w:cs="Segoe UI"/>
          <w:sz w:val="16"/>
          <w:szCs w:val="16"/>
        </w:rPr>
        <w:t>Department of Health &amp; Human Services</w:t>
      </w:r>
      <w:r w:rsidRPr="00D72DC8">
        <w:rPr>
          <w:rFonts w:cs="Segoe UI"/>
          <w:sz w:val="16"/>
          <w:szCs w:val="16"/>
        </w:rPr>
        <w:t>.</w:t>
      </w:r>
    </w:p>
  </w:footnote>
  <w:footnote w:id="142">
    <w:p w14:paraId="45E09CCD" w14:textId="77777777" w:rsidR="00A26CD1" w:rsidRPr="00DA1C2B" w:rsidRDefault="00A26CD1" w:rsidP="006E6D19">
      <w:pPr>
        <w:autoSpaceDE w:val="0"/>
        <w:autoSpaceDN w:val="0"/>
        <w:adjustRightInd w:val="0"/>
        <w:ind w:left="284" w:hanging="284"/>
        <w:rPr>
          <w:rFonts w:ascii="Lato-Regular" w:hAnsi="Lato-Regular" w:cs="Lato-Regular"/>
          <w:sz w:val="15"/>
          <w:szCs w:val="15"/>
        </w:rPr>
      </w:pPr>
      <w:r w:rsidRPr="00D72DC8">
        <w:rPr>
          <w:rStyle w:val="FootnoteReference"/>
          <w:rFonts w:cs="Segoe UI"/>
          <w:sz w:val="16"/>
          <w:szCs w:val="16"/>
        </w:rPr>
        <w:footnoteRef/>
      </w:r>
      <w:r w:rsidRPr="00D72DC8">
        <w:rPr>
          <w:rFonts w:cs="Segoe UI"/>
          <w:sz w:val="16"/>
          <w:szCs w:val="16"/>
        </w:rPr>
        <w:t xml:space="preserve"> O’Halloran RL, Frank JG. 2000. Asphyxial death during prone restraint revisited: A report of 21 cases. </w:t>
      </w:r>
      <w:r w:rsidRPr="00D72DC8">
        <w:rPr>
          <w:rFonts w:cs="Segoe UI"/>
          <w:i/>
          <w:iCs/>
          <w:sz w:val="16"/>
          <w:szCs w:val="16"/>
        </w:rPr>
        <w:t>American Journal of Forensic Medicine and Pathology</w:t>
      </w:r>
      <w:r w:rsidRPr="00D72DC8">
        <w:rPr>
          <w:rFonts w:cs="Segoe UI"/>
          <w:sz w:val="16"/>
          <w:szCs w:val="16"/>
        </w:rPr>
        <w:t xml:space="preserve"> </w:t>
      </w:r>
      <w:r w:rsidRPr="000E384D">
        <w:rPr>
          <w:rFonts w:cs="Segoe UI"/>
          <w:sz w:val="16"/>
          <w:szCs w:val="16"/>
        </w:rPr>
        <w:t>21</w:t>
      </w:r>
      <w:r w:rsidRPr="00D72DC8">
        <w:rPr>
          <w:rFonts w:cs="Segoe UI"/>
          <w:sz w:val="16"/>
          <w:szCs w:val="16"/>
        </w:rPr>
        <w:t>(1)</w:t>
      </w:r>
      <w:r>
        <w:rPr>
          <w:rFonts w:cs="Segoe UI"/>
          <w:sz w:val="16"/>
          <w:szCs w:val="16"/>
        </w:rPr>
        <w:t>:</w:t>
      </w:r>
      <w:r w:rsidRPr="00D72DC8">
        <w:rPr>
          <w:rFonts w:cs="Segoe UI"/>
          <w:sz w:val="16"/>
          <w:szCs w:val="16"/>
        </w:rPr>
        <w:t xml:space="preserve"> 39–52.</w:t>
      </w:r>
    </w:p>
  </w:footnote>
  <w:footnote w:id="143">
    <w:p w14:paraId="54EC3731" w14:textId="77777777" w:rsidR="00A26CD1" w:rsidRPr="009E07B0" w:rsidRDefault="00A26CD1" w:rsidP="00DB1B6E">
      <w:pPr>
        <w:pStyle w:val="FootnoteText"/>
        <w:rPr>
          <w:rFonts w:cs="Segoe UI"/>
          <w:sz w:val="16"/>
          <w:szCs w:val="16"/>
        </w:rPr>
      </w:pPr>
      <w:r w:rsidRPr="009E07B0">
        <w:rPr>
          <w:rStyle w:val="FootnoteReference"/>
          <w:rFonts w:cs="Segoe UI"/>
          <w:sz w:val="16"/>
          <w:szCs w:val="16"/>
        </w:rPr>
        <w:footnoteRef/>
      </w:r>
      <w:r w:rsidRPr="009E07B0">
        <w:rPr>
          <w:rFonts w:cs="Segoe UI"/>
          <w:sz w:val="16"/>
          <w:szCs w:val="16"/>
        </w:rPr>
        <w:t xml:space="preserve"> </w:t>
      </w:r>
      <w:r>
        <w:rPr>
          <w:rFonts w:cs="Segoe UI"/>
          <w:sz w:val="16"/>
          <w:szCs w:val="16"/>
        </w:rPr>
        <w:t xml:space="preserve">Shalev S. 2020. </w:t>
      </w:r>
      <w:r w:rsidRPr="000E384D">
        <w:rPr>
          <w:rFonts w:cs="Segoe UI"/>
          <w:i/>
          <w:iCs/>
          <w:sz w:val="16"/>
          <w:szCs w:val="16"/>
        </w:rPr>
        <w:t>Time for a Paradigm Shift</w:t>
      </w:r>
      <w:r>
        <w:rPr>
          <w:rFonts w:cs="Segoe UI"/>
          <w:i/>
          <w:iCs/>
          <w:sz w:val="16"/>
          <w:szCs w:val="16"/>
        </w:rPr>
        <w:t>:</w:t>
      </w:r>
      <w:r w:rsidRPr="000E384D">
        <w:rPr>
          <w:rFonts w:cs="Segoe UI"/>
          <w:i/>
          <w:iCs/>
          <w:sz w:val="16"/>
          <w:szCs w:val="16"/>
        </w:rPr>
        <w:t xml:space="preserve"> A Follow Up Review of Seclusion and Restraint Practices in New Zealand</w:t>
      </w:r>
      <w:r>
        <w:rPr>
          <w:rFonts w:cs="Segoe UI"/>
          <w:sz w:val="16"/>
          <w:szCs w:val="16"/>
        </w:rPr>
        <w:t>. Wellington: Human Rights Commission</w:t>
      </w:r>
      <w:r w:rsidRPr="009E07B0">
        <w:rPr>
          <w:rFonts w:cs="Segoe UI"/>
          <w:sz w:val="16"/>
          <w:szCs w:val="16"/>
        </w:rPr>
        <w:t>.</w:t>
      </w:r>
    </w:p>
  </w:footnote>
  <w:footnote w:id="144">
    <w:p w14:paraId="050E4106" w14:textId="77777777" w:rsidR="00A26CD1" w:rsidRPr="007022F9" w:rsidRDefault="00A26CD1" w:rsidP="00DB1B6E">
      <w:pPr>
        <w:pStyle w:val="FootnoteText"/>
        <w:rPr>
          <w:sz w:val="16"/>
        </w:rPr>
      </w:pPr>
      <w:r w:rsidRPr="009E07B0">
        <w:rPr>
          <w:rStyle w:val="FootnoteReference"/>
          <w:rFonts w:cs="Segoe UI"/>
          <w:sz w:val="16"/>
          <w:szCs w:val="16"/>
        </w:rPr>
        <w:footnoteRef/>
      </w:r>
      <w:r w:rsidRPr="002E3F74">
        <w:rPr>
          <w:rFonts w:cs="Segoe UI"/>
          <w:sz w:val="16"/>
          <w:szCs w:val="16"/>
        </w:rPr>
        <w:t xml:space="preserve"> </w:t>
      </w:r>
      <w:hyperlink r:id="rId49" w:history="1">
        <w:r w:rsidRPr="000557D3">
          <w:rPr>
            <w:rStyle w:val="Hyperlink"/>
            <w:rFonts w:cs="Segoe UI"/>
            <w:sz w:val="16"/>
            <w:szCs w:val="16"/>
          </w:rPr>
          <w:t>healthfacilityguidelines.com.au/</w:t>
        </w:r>
      </w:hyperlink>
      <w:r>
        <w:rPr>
          <w:rFonts w:cs="Segoe UI"/>
          <w:sz w:val="16"/>
          <w:szCs w:val="16"/>
        </w:rPr>
        <w:t xml:space="preserve"> (accessed 30 March 2023).</w:t>
      </w:r>
    </w:p>
  </w:footnote>
  <w:footnote w:id="145">
    <w:p w14:paraId="0EE13E14" w14:textId="77777777" w:rsidR="00A26CD1" w:rsidRPr="007022F9" w:rsidRDefault="00A26CD1" w:rsidP="00DB1B6E">
      <w:pPr>
        <w:pStyle w:val="FootnoteText"/>
        <w:rPr>
          <w:sz w:val="16"/>
        </w:rPr>
      </w:pPr>
      <w:r w:rsidRPr="007022F9">
        <w:rPr>
          <w:rStyle w:val="FootnoteReference"/>
          <w:sz w:val="16"/>
        </w:rPr>
        <w:footnoteRef/>
      </w:r>
      <w:r w:rsidRPr="007022F9">
        <w:rPr>
          <w:sz w:val="16"/>
        </w:rPr>
        <w:t xml:space="preserve"> Seppänen A, Törmänen I, Shaw C</w:t>
      </w:r>
      <w:r>
        <w:rPr>
          <w:sz w:val="16"/>
        </w:rPr>
        <w:t>,</w:t>
      </w:r>
      <w:r w:rsidRPr="007022F9">
        <w:rPr>
          <w:sz w:val="16"/>
        </w:rPr>
        <w:t xml:space="preserve"> et al. 2018. Modern forensic psychiatric hospital design: clinical, legal and structural aspects. </w:t>
      </w:r>
      <w:r w:rsidRPr="007022F9">
        <w:rPr>
          <w:i/>
          <w:sz w:val="16"/>
        </w:rPr>
        <w:t xml:space="preserve">International Journal of Mental Health Systems </w:t>
      </w:r>
      <w:r w:rsidRPr="000E384D">
        <w:rPr>
          <w:iCs/>
          <w:sz w:val="16"/>
        </w:rPr>
        <w:t>12</w:t>
      </w:r>
      <w:r>
        <w:rPr>
          <w:iCs/>
          <w:sz w:val="16"/>
        </w:rPr>
        <w:t>:</w:t>
      </w:r>
      <w:r w:rsidRPr="007022F9">
        <w:rPr>
          <w:sz w:val="16"/>
        </w:rPr>
        <w:t xml:space="preserve"> 58. </w:t>
      </w:r>
    </w:p>
  </w:footnote>
  <w:footnote w:id="146">
    <w:p w14:paraId="72172FE6" w14:textId="77777777" w:rsidR="00A26CD1" w:rsidRPr="00145063" w:rsidRDefault="00A26CD1" w:rsidP="0013032B">
      <w:pPr>
        <w:pBdr>
          <w:top w:val="nil"/>
          <w:left w:val="nil"/>
          <w:bottom w:val="nil"/>
          <w:right w:val="nil"/>
          <w:between w:val="nil"/>
        </w:pBdr>
        <w:ind w:left="284" w:hanging="284"/>
        <w:rPr>
          <w:color w:val="000000"/>
          <w:sz w:val="16"/>
        </w:rPr>
      </w:pPr>
      <w:r w:rsidRPr="00190BBD">
        <w:rPr>
          <w:rStyle w:val="FootnoteReference"/>
          <w:rFonts w:cs="Segoe UI"/>
          <w:sz w:val="16"/>
          <w:szCs w:val="16"/>
        </w:rPr>
        <w:footnoteRef/>
      </w:r>
      <w:r w:rsidRPr="00145063">
        <w:rPr>
          <w:color w:val="000000"/>
          <w:sz w:val="16"/>
        </w:rPr>
        <w:t xml:space="preserve"> </w:t>
      </w:r>
      <w:r>
        <w:rPr>
          <w:color w:val="000000"/>
          <w:sz w:val="16"/>
        </w:rPr>
        <w:t xml:space="preserve">Shalev S. 2017. </w:t>
      </w:r>
      <w:r w:rsidRPr="000E384D">
        <w:rPr>
          <w:i/>
          <w:iCs/>
          <w:color w:val="000000"/>
          <w:sz w:val="16"/>
        </w:rPr>
        <w:t>Thinking outside the Box? A Review of Seclusion and Restraint Practices in New Zealand</w:t>
      </w:r>
      <w:r>
        <w:rPr>
          <w:color w:val="000000"/>
          <w:sz w:val="16"/>
        </w:rPr>
        <w:t>. Wellington: Human Rights Commission.</w:t>
      </w:r>
    </w:p>
  </w:footnote>
  <w:footnote w:id="147">
    <w:p w14:paraId="7E9571F4" w14:textId="01E3D0F0" w:rsidR="00A26CD1" w:rsidRPr="006A309D" w:rsidRDefault="00A26CD1" w:rsidP="00DB1B6E">
      <w:pPr>
        <w:pStyle w:val="FootnoteText"/>
        <w:rPr>
          <w:color w:val="000000"/>
          <w:sz w:val="16"/>
        </w:rPr>
      </w:pPr>
      <w:r w:rsidRPr="007022F9">
        <w:rPr>
          <w:rStyle w:val="FootnoteReference"/>
          <w:sz w:val="16"/>
        </w:rPr>
        <w:footnoteRef/>
      </w:r>
      <w:r w:rsidRPr="00145063">
        <w:rPr>
          <w:color w:val="000000"/>
          <w:sz w:val="16"/>
        </w:rPr>
        <w:t xml:space="preserve"> </w:t>
      </w:r>
      <w:r w:rsidR="007650D1" w:rsidRPr="007650D1">
        <w:rPr>
          <w:color w:val="000000"/>
          <w:sz w:val="16"/>
        </w:rPr>
        <w:t>A suitably qualified clinician is either a registered nurse or a medical practitioner. The registered nurse must have mental health training and experience (as has been defined for the completion of certificates under section 8B of the Mental Health Act) and must have completed an undergraduate or postgraduate programme in mental health nursing (see Te Ao Māramatanga: New Zealand College of Mental Health Nurses’ mental health nursing standards of practice) and preferably be at a proficient level in a Professional Development and Recognition Programme.</w:t>
      </w:r>
    </w:p>
  </w:footnote>
  <w:footnote w:id="148">
    <w:p w14:paraId="464190F5" w14:textId="77777777" w:rsidR="00A26CD1" w:rsidRPr="00DE54BB" w:rsidRDefault="00A26CD1" w:rsidP="00DB1B6E">
      <w:pPr>
        <w:pStyle w:val="FootnoteText"/>
        <w:rPr>
          <w:color w:val="000000"/>
          <w:sz w:val="16"/>
        </w:rPr>
      </w:pPr>
      <w:r w:rsidRPr="00DE0D7C">
        <w:rPr>
          <w:rStyle w:val="FootnoteReference"/>
          <w:rFonts w:cs="Segoe UI"/>
          <w:sz w:val="16"/>
          <w:szCs w:val="16"/>
        </w:rPr>
        <w:footnoteRef/>
      </w:r>
      <w:r>
        <w:t xml:space="preserve"> </w:t>
      </w:r>
      <w:r w:rsidRPr="00DE0D7C">
        <w:rPr>
          <w:color w:val="000000"/>
          <w:sz w:val="16"/>
        </w:rPr>
        <w:t xml:space="preserve">Section 71(2) of </w:t>
      </w:r>
      <w:r>
        <w:rPr>
          <w:color w:val="000000"/>
          <w:sz w:val="16"/>
        </w:rPr>
        <w:t>t</w:t>
      </w:r>
      <w:r w:rsidRPr="00DE54BB">
        <w:rPr>
          <w:color w:val="000000"/>
          <w:sz w:val="16"/>
        </w:rPr>
        <w:t>he Mental Health Act requ</w:t>
      </w:r>
      <w:r>
        <w:rPr>
          <w:color w:val="000000"/>
          <w:sz w:val="16"/>
        </w:rPr>
        <w:t>ires</w:t>
      </w:r>
      <w:r w:rsidRPr="00DE54BB">
        <w:rPr>
          <w:color w:val="000000"/>
          <w:sz w:val="16"/>
        </w:rPr>
        <w:t xml:space="preserve"> that, except in an emergency, </w:t>
      </w:r>
      <w:r>
        <w:rPr>
          <w:color w:val="000000"/>
          <w:sz w:val="16"/>
        </w:rPr>
        <w:t>‘</w:t>
      </w:r>
      <w:r w:rsidRPr="00DE54BB">
        <w:rPr>
          <w:color w:val="000000"/>
          <w:sz w:val="16"/>
        </w:rPr>
        <w:t>seclusion shall be used only with the authority of the responsible clinician</w:t>
      </w:r>
      <w:r>
        <w:rPr>
          <w:color w:val="000000"/>
          <w:sz w:val="16"/>
        </w:rPr>
        <w:t>’</w:t>
      </w:r>
      <w:r w:rsidRPr="00DE54BB">
        <w:rPr>
          <w:color w:val="000000"/>
          <w:sz w:val="16"/>
        </w:rPr>
        <w:t xml:space="preserve"> </w:t>
      </w:r>
      <w:r>
        <w:rPr>
          <w:color w:val="000000"/>
          <w:sz w:val="16"/>
        </w:rPr>
        <w:t>and that ‘</w:t>
      </w:r>
      <w:r w:rsidRPr="00DE54BB">
        <w:rPr>
          <w:color w:val="000000"/>
          <w:sz w:val="16"/>
        </w:rPr>
        <w:t>In an emergency, a nurse or other health professional having immediate responsibility for a patient may place the patient in seclusion, but shall forthwith bring the case to the attention of the responsible clinician</w:t>
      </w:r>
      <w:r>
        <w:rPr>
          <w:color w:val="000000"/>
          <w:sz w:val="16"/>
        </w:rPr>
        <w:t xml:space="preserve">.’ </w:t>
      </w:r>
    </w:p>
  </w:footnote>
  <w:footnote w:id="149">
    <w:p w14:paraId="5C62CF75" w14:textId="77777777" w:rsidR="00A26CD1" w:rsidRPr="00A53488" w:rsidRDefault="00A26CD1" w:rsidP="00BC44E8">
      <w:pPr>
        <w:pBdr>
          <w:top w:val="nil"/>
          <w:left w:val="nil"/>
          <w:bottom w:val="nil"/>
          <w:right w:val="nil"/>
          <w:between w:val="nil"/>
        </w:pBdr>
        <w:ind w:left="284" w:hanging="284"/>
        <w:rPr>
          <w:lang w:val="mi-NZ"/>
        </w:rPr>
      </w:pPr>
      <w:r w:rsidRPr="00A53488">
        <w:rPr>
          <w:rStyle w:val="FootnoteReference"/>
          <w:sz w:val="16"/>
        </w:rPr>
        <w:footnoteRef/>
      </w:r>
      <w:r w:rsidRPr="00A53488">
        <w:rPr>
          <w:rStyle w:val="FootnoteReference"/>
          <w:sz w:val="16"/>
        </w:rPr>
        <w:t xml:space="preserve"> </w:t>
      </w:r>
      <w:r w:rsidRPr="00BC44E8">
        <w:rPr>
          <w:rStyle w:val="FootnoteTextChar"/>
        </w:rPr>
        <w:t xml:space="preserve">Nursing Council of New Zealand. 2012. </w:t>
      </w:r>
      <w:r w:rsidRPr="00BC44E8">
        <w:rPr>
          <w:rStyle w:val="FootnoteTextChar"/>
          <w:i/>
          <w:iCs/>
        </w:rPr>
        <w:t>Guideline: delegation of care by a registered nurse to a health care assistant</w:t>
      </w:r>
      <w:r w:rsidRPr="00BC44E8">
        <w:rPr>
          <w:rStyle w:val="FootnoteTextChar"/>
        </w:rPr>
        <w:t xml:space="preserve">. Wellington: Nursing Council of New Zealand. </w:t>
      </w:r>
    </w:p>
  </w:footnote>
  <w:footnote w:id="150">
    <w:p w14:paraId="55BDAE25" w14:textId="77777777" w:rsidR="00A26CD1" w:rsidRPr="00145063" w:rsidRDefault="00A26CD1" w:rsidP="00314D2B">
      <w:pPr>
        <w:pBdr>
          <w:top w:val="nil"/>
          <w:left w:val="nil"/>
          <w:bottom w:val="nil"/>
          <w:right w:val="nil"/>
          <w:between w:val="nil"/>
        </w:pBdr>
        <w:ind w:left="284" w:hanging="284"/>
        <w:rPr>
          <w:color w:val="000000"/>
          <w:sz w:val="16"/>
        </w:rPr>
      </w:pPr>
      <w:r w:rsidRPr="007022F9">
        <w:rPr>
          <w:rStyle w:val="FootnoteReference"/>
          <w:sz w:val="16"/>
        </w:rPr>
        <w:footnoteRef/>
      </w:r>
      <w:r w:rsidRPr="00145063">
        <w:rPr>
          <w:color w:val="000000"/>
          <w:sz w:val="16"/>
        </w:rPr>
        <w:t xml:space="preserve"> New Zealand Directors of Mental Health Nursing</w:t>
      </w:r>
      <w:r>
        <w:rPr>
          <w:color w:val="000000"/>
          <w:sz w:val="16"/>
        </w:rPr>
        <w:t>.</w:t>
      </w:r>
      <w:r w:rsidRPr="00145063">
        <w:rPr>
          <w:color w:val="000000"/>
          <w:sz w:val="16"/>
        </w:rPr>
        <w:t xml:space="preserve"> </w:t>
      </w:r>
      <w:r>
        <w:rPr>
          <w:color w:val="000000"/>
          <w:sz w:val="16"/>
        </w:rPr>
        <w:t xml:space="preserve">2015. </w:t>
      </w:r>
      <w:r w:rsidRPr="00345407">
        <w:rPr>
          <w:i/>
          <w:iCs/>
          <w:color w:val="000000"/>
          <w:sz w:val="16"/>
        </w:rPr>
        <w:t>Enhanced Engagement and Observation: A paper to inform the development of engagement and observation policies and procedures in inpatient units</w:t>
      </w:r>
      <w:r w:rsidRPr="00145063">
        <w:rPr>
          <w:color w:val="000000"/>
          <w:sz w:val="16"/>
        </w:rPr>
        <w:t>.</w:t>
      </w:r>
      <w:r>
        <w:rPr>
          <w:color w:val="000000"/>
          <w:sz w:val="16"/>
        </w:rPr>
        <w:t xml:space="preserve"> Unpublished. </w:t>
      </w:r>
    </w:p>
  </w:footnote>
  <w:footnote w:id="151">
    <w:p w14:paraId="68CE97D5" w14:textId="77777777" w:rsidR="00A26CD1" w:rsidRPr="00145063" w:rsidRDefault="00A26CD1" w:rsidP="0013032B">
      <w:pPr>
        <w:pBdr>
          <w:top w:val="nil"/>
          <w:left w:val="nil"/>
          <w:bottom w:val="nil"/>
          <w:right w:val="nil"/>
          <w:between w:val="nil"/>
        </w:pBdr>
        <w:ind w:left="284" w:hanging="284"/>
        <w:rPr>
          <w:color w:val="000000"/>
          <w:sz w:val="16"/>
        </w:rPr>
      </w:pPr>
      <w:r w:rsidRPr="00145063">
        <w:rPr>
          <w:rStyle w:val="FootnoteReference"/>
          <w:sz w:val="16"/>
        </w:rPr>
        <w:footnoteRef/>
      </w:r>
      <w:r w:rsidRPr="00A578E1">
        <w:rPr>
          <w:color w:val="000000"/>
          <w:sz w:val="16"/>
          <w:szCs w:val="16"/>
        </w:rPr>
        <w:t xml:space="preserve"> Ministry of Health. 2022. Guidelines to the Mental Health (Compulsory Assessment and Treatment) Act 1992. Wellington: Ministry of Health, p.130.</w:t>
      </w:r>
      <w:r w:rsidRPr="00145063">
        <w:rPr>
          <w:color w:val="000000"/>
          <w:sz w:val="16"/>
        </w:rPr>
        <w:t xml:space="preserve"> </w:t>
      </w:r>
    </w:p>
  </w:footnote>
  <w:footnote w:id="152">
    <w:p w14:paraId="58A3B0C7" w14:textId="77777777" w:rsidR="00A26CD1" w:rsidRPr="00DE6244" w:rsidRDefault="00A26CD1" w:rsidP="00DB1B6E">
      <w:pPr>
        <w:pStyle w:val="FootnoteText"/>
        <w:rPr>
          <w:rFonts w:eastAsiaTheme="minorEastAsia"/>
          <w:color w:val="000000"/>
          <w:sz w:val="16"/>
          <w:szCs w:val="16"/>
        </w:rPr>
      </w:pPr>
      <w:r w:rsidRPr="00B6194E">
        <w:rPr>
          <w:rStyle w:val="FootnoteReference"/>
          <w:sz w:val="16"/>
        </w:rPr>
        <w:footnoteRef/>
      </w:r>
      <w:r>
        <w:t xml:space="preserve"> </w:t>
      </w:r>
      <w:r>
        <w:rPr>
          <w:rFonts w:eastAsiaTheme="minorEastAsia"/>
          <w:color w:val="000000"/>
          <w:sz w:val="16"/>
          <w:szCs w:val="16"/>
        </w:rPr>
        <w:t xml:space="preserve">See for example </w:t>
      </w:r>
      <w:hyperlink r:id="rId50" w:history="1">
        <w:r w:rsidRPr="00FD6806">
          <w:rPr>
            <w:rStyle w:val="Hyperlink"/>
            <w:rFonts w:eastAsiaTheme="minorEastAsia"/>
            <w:sz w:val="16"/>
            <w:szCs w:val="16"/>
          </w:rPr>
          <w:t>www.psychology.org.nz/journal-archive/NZJP-Vol372-2008-3-Rata.pdf</w:t>
        </w:r>
      </w:hyperlink>
      <w:r>
        <w:rPr>
          <w:rFonts w:eastAsiaTheme="minorEastAsia"/>
          <w:color w:val="000000"/>
          <w:sz w:val="16"/>
          <w:szCs w:val="16"/>
        </w:rPr>
        <w:t xml:space="preserve"> (accessed 31 March 2023).</w:t>
      </w:r>
    </w:p>
  </w:footnote>
  <w:footnote w:id="153">
    <w:p w14:paraId="1AC19970" w14:textId="77777777" w:rsidR="00A26CD1" w:rsidRPr="000E384D" w:rsidRDefault="00A26CD1" w:rsidP="00DB1B6E">
      <w:pPr>
        <w:pStyle w:val="FootnoteText"/>
        <w:rPr>
          <w:lang w:val="en-US"/>
        </w:rPr>
      </w:pPr>
      <w:r w:rsidRPr="00A578E1">
        <w:rPr>
          <w:rStyle w:val="FootnoteReference"/>
          <w:rFonts w:cs="Segoe UI"/>
          <w:sz w:val="16"/>
          <w:szCs w:val="16"/>
        </w:rPr>
        <w:footnoteRef/>
      </w:r>
      <w:r>
        <w:t xml:space="preserve"> </w:t>
      </w:r>
      <w:r w:rsidRPr="00A578E1">
        <w:rPr>
          <w:rFonts w:eastAsiaTheme="minorEastAsia"/>
          <w:color w:val="000000"/>
          <w:sz w:val="16"/>
          <w:szCs w:val="16"/>
        </w:rPr>
        <w:t>Te Pou o te Whakaaro Nui. 2014. Debriefing Following Seclusion and Restraint: A summary of relevant literature. Auckland: Te Pou o te Whakaaro Nui.</w:t>
      </w:r>
    </w:p>
  </w:footnote>
  <w:footnote w:id="154">
    <w:p w14:paraId="10281AAF" w14:textId="77777777" w:rsidR="00A26CD1" w:rsidRPr="00221D72" w:rsidRDefault="00A26CD1" w:rsidP="00DB1B6E">
      <w:pPr>
        <w:pStyle w:val="FootnoteText"/>
        <w:rPr>
          <w:rFonts w:cs="Segoe UI"/>
          <w:sz w:val="16"/>
          <w:szCs w:val="16"/>
        </w:rPr>
      </w:pPr>
      <w:r w:rsidRPr="00221D72">
        <w:rPr>
          <w:rStyle w:val="FootnoteReference"/>
          <w:rFonts w:cs="Segoe UI"/>
          <w:sz w:val="16"/>
          <w:szCs w:val="16"/>
        </w:rPr>
        <w:footnoteRef/>
      </w:r>
      <w:r w:rsidRPr="00221D72">
        <w:rPr>
          <w:rFonts w:cs="Segoe UI"/>
          <w:sz w:val="16"/>
          <w:szCs w:val="16"/>
        </w:rPr>
        <w:t xml:space="preserve"> </w:t>
      </w:r>
      <w:hyperlink r:id="rId51" w:history="1">
        <w:r w:rsidRPr="00221D72">
          <w:rPr>
            <w:rStyle w:val="Hyperlink"/>
            <w:rFonts w:cs="Segoe UI"/>
            <w:sz w:val="16"/>
            <w:szCs w:val="16"/>
          </w:rPr>
          <w:t>www.hqsc.govt.nz/resources/resource-library/principles-for-engaging-consumers-and-whanau-in-mental-health-and-addiction-adverse-event-reviews/</w:t>
        </w:r>
      </w:hyperlink>
      <w:r>
        <w:rPr>
          <w:rFonts w:cs="Segoe UI"/>
          <w:sz w:val="16"/>
          <w:szCs w:val="16"/>
        </w:rPr>
        <w:t xml:space="preserve"> (accessed 31 March 2023).</w:t>
      </w:r>
    </w:p>
  </w:footnote>
  <w:footnote w:id="155">
    <w:p w14:paraId="6D945981" w14:textId="77777777" w:rsidR="00A26CD1" w:rsidRPr="00E25C55" w:rsidRDefault="00A26CD1" w:rsidP="00DB1B6E">
      <w:pPr>
        <w:pStyle w:val="FootnoteText"/>
        <w:rPr>
          <w:lang w:val="en-US"/>
        </w:rPr>
      </w:pPr>
      <w:r w:rsidRPr="007262CC">
        <w:rPr>
          <w:rStyle w:val="FootnoteReference"/>
          <w:rFonts w:cs="Segoe UI"/>
          <w:sz w:val="16"/>
          <w:szCs w:val="16"/>
        </w:rPr>
        <w:footnoteRef/>
      </w:r>
      <w:r>
        <w:t xml:space="preserve"> </w:t>
      </w:r>
      <w:r w:rsidRPr="00A578E1">
        <w:rPr>
          <w:rFonts w:cs="Segoe UI"/>
          <w:sz w:val="16"/>
          <w:szCs w:val="16"/>
        </w:rPr>
        <w:t xml:space="preserve">Ministry of Health. 2022. </w:t>
      </w:r>
      <w:r w:rsidRPr="00A578E1">
        <w:rPr>
          <w:rFonts w:cs="Segoe UI"/>
          <w:i/>
          <w:sz w:val="16"/>
          <w:szCs w:val="16"/>
        </w:rPr>
        <w:t>Guidelines for the Role and Function of Statutory Officers: Appointed under the Mental Health (Compulsory Assessment and Treatment) Act 1992</w:t>
      </w:r>
      <w:r w:rsidRPr="00A578E1">
        <w:rPr>
          <w:rFonts w:cs="Segoe UI"/>
          <w:sz w:val="16"/>
          <w:szCs w:val="16"/>
        </w:rPr>
        <w:t>. Wellington: Ministry of Health.</w:t>
      </w:r>
    </w:p>
  </w:footnote>
  <w:footnote w:id="156">
    <w:p w14:paraId="6F3A90F6" w14:textId="77777777" w:rsidR="00A26CD1" w:rsidRPr="000E384D" w:rsidRDefault="00A26CD1" w:rsidP="00DB1B6E">
      <w:pPr>
        <w:pStyle w:val="FootnoteText"/>
        <w:rPr>
          <w:lang w:val="en-US"/>
        </w:rPr>
      </w:pPr>
      <w:r w:rsidRPr="007262CC">
        <w:rPr>
          <w:rStyle w:val="FootnoteReference"/>
          <w:rFonts w:cs="Segoe UI"/>
          <w:sz w:val="16"/>
          <w:szCs w:val="16"/>
        </w:rPr>
        <w:footnoteRef/>
      </w:r>
      <w:r>
        <w:t xml:space="preserve"> </w:t>
      </w:r>
      <w:hyperlink r:id="rId52" w:history="1">
        <w:r w:rsidRPr="00A578E1">
          <w:rPr>
            <w:rStyle w:val="Hyperlink"/>
            <w:rFonts w:cs="Segoe UI"/>
            <w:sz w:val="16"/>
            <w:szCs w:val="16"/>
          </w:rPr>
          <w:t>www.health.govt.nz/our-work/mental-health-and-addiction/mental-health-legislation/mental-health-compulsory-assessment-and-treatment-act-1992/mental-health-district-inspectors</w:t>
        </w:r>
      </w:hyperlink>
      <w:r>
        <w:rPr>
          <w:rStyle w:val="Hyperlink"/>
          <w:rFonts w:cs="Segoe UI"/>
        </w:rPr>
        <w:t xml:space="preserve"> </w:t>
      </w:r>
      <w:r w:rsidRPr="000E384D">
        <w:rPr>
          <w:rFonts w:cs="Segoe UI"/>
          <w:sz w:val="16"/>
          <w:szCs w:val="16"/>
        </w:rPr>
        <w:t>(accessed 31 March 2023).</w:t>
      </w:r>
    </w:p>
  </w:footnote>
  <w:footnote w:id="157">
    <w:p w14:paraId="34D82B2C" w14:textId="77777777" w:rsidR="00A26CD1" w:rsidRPr="00E25C55" w:rsidRDefault="00A26CD1" w:rsidP="00DB1B6E">
      <w:pPr>
        <w:pStyle w:val="FootnoteText"/>
        <w:rPr>
          <w:lang w:val="en-US"/>
        </w:rPr>
      </w:pPr>
      <w:r w:rsidRPr="007262CC">
        <w:rPr>
          <w:rStyle w:val="FootnoteReference"/>
          <w:rFonts w:cs="Segoe UI"/>
          <w:sz w:val="16"/>
          <w:szCs w:val="16"/>
        </w:rPr>
        <w:footnoteRef/>
      </w:r>
      <w:r>
        <w:t xml:space="preserve"> </w:t>
      </w:r>
      <w:r w:rsidRPr="00A578E1">
        <w:rPr>
          <w:rFonts w:cs="Segoe UI"/>
          <w:sz w:val="16"/>
          <w:szCs w:val="16"/>
        </w:rPr>
        <w:t>Government Inquiry into Mental Health and Addiction. 2018. He Ara Oranga: Report of the Government Inquiry into Mental Health and Addiction. Wellington: Government Inquiry into Mental Health and Addiction.</w:t>
      </w:r>
    </w:p>
  </w:footnote>
  <w:footnote w:id="158">
    <w:p w14:paraId="63FD0FEC" w14:textId="77777777" w:rsidR="00A26CD1" w:rsidRPr="00D72DC8" w:rsidRDefault="00A26CD1" w:rsidP="00DB1B6E">
      <w:pPr>
        <w:pStyle w:val="FootnoteText"/>
        <w:rPr>
          <w:rFonts w:cs="Segoe UI"/>
          <w:sz w:val="16"/>
          <w:szCs w:val="16"/>
        </w:rPr>
      </w:pPr>
      <w:r w:rsidRPr="00D72DC8">
        <w:rPr>
          <w:rStyle w:val="FootnoteReference"/>
          <w:rFonts w:cs="Segoe UI"/>
          <w:sz w:val="16"/>
          <w:szCs w:val="16"/>
        </w:rPr>
        <w:footnoteRef/>
      </w:r>
      <w:r w:rsidRPr="00D72DC8">
        <w:rPr>
          <w:rFonts w:cs="Segoe UI"/>
          <w:sz w:val="16"/>
          <w:szCs w:val="16"/>
        </w:rPr>
        <w:t xml:space="preserve"> Te Pou</w:t>
      </w:r>
      <w:r>
        <w:rPr>
          <w:rFonts w:cs="Segoe UI"/>
          <w:sz w:val="16"/>
          <w:szCs w:val="16"/>
        </w:rPr>
        <w:t xml:space="preserve"> </w:t>
      </w:r>
      <w:r w:rsidRPr="00D72DC8">
        <w:rPr>
          <w:rFonts w:cs="Segoe UI"/>
          <w:sz w:val="16"/>
          <w:szCs w:val="16"/>
        </w:rPr>
        <w:t>o te Whakaaro Nu</w:t>
      </w:r>
      <w:r>
        <w:rPr>
          <w:rFonts w:cs="Segoe UI"/>
          <w:sz w:val="16"/>
          <w:szCs w:val="16"/>
        </w:rPr>
        <w:t>i</w:t>
      </w:r>
      <w:r w:rsidRPr="00D72DC8">
        <w:rPr>
          <w:rFonts w:cs="Segoe UI"/>
          <w:sz w:val="16"/>
          <w:szCs w:val="16"/>
        </w:rPr>
        <w:t xml:space="preserve">. 2020. </w:t>
      </w:r>
      <w:r w:rsidRPr="000E384D">
        <w:rPr>
          <w:rFonts w:cs="Segoe UI"/>
          <w:i/>
          <w:iCs/>
          <w:sz w:val="16"/>
          <w:szCs w:val="16"/>
        </w:rPr>
        <w:t xml:space="preserve">Mental </w:t>
      </w:r>
      <w:r>
        <w:rPr>
          <w:rFonts w:cs="Segoe UI"/>
          <w:i/>
          <w:iCs/>
          <w:sz w:val="16"/>
          <w:szCs w:val="16"/>
        </w:rPr>
        <w:t>H</w:t>
      </w:r>
      <w:r w:rsidRPr="000E384D">
        <w:rPr>
          <w:rFonts w:cs="Segoe UI"/>
          <w:i/>
          <w:iCs/>
          <w:sz w:val="16"/>
          <w:szCs w:val="16"/>
        </w:rPr>
        <w:t xml:space="preserve">ealth &amp; </w:t>
      </w:r>
      <w:r>
        <w:rPr>
          <w:rFonts w:cs="Segoe UI"/>
          <w:i/>
          <w:iCs/>
          <w:sz w:val="16"/>
          <w:szCs w:val="16"/>
        </w:rPr>
        <w:t>A</w:t>
      </w:r>
      <w:r w:rsidRPr="000E384D">
        <w:rPr>
          <w:rFonts w:cs="Segoe UI"/>
          <w:i/>
          <w:iCs/>
          <w:sz w:val="16"/>
          <w:szCs w:val="16"/>
        </w:rPr>
        <w:t xml:space="preserve">ddiction </w:t>
      </w:r>
      <w:r>
        <w:rPr>
          <w:rFonts w:cs="Segoe UI"/>
          <w:i/>
          <w:iCs/>
          <w:sz w:val="16"/>
          <w:szCs w:val="16"/>
        </w:rPr>
        <w:t>C</w:t>
      </w:r>
      <w:r w:rsidRPr="000E384D">
        <w:rPr>
          <w:rFonts w:cs="Segoe UI"/>
          <w:i/>
          <w:iCs/>
          <w:sz w:val="16"/>
          <w:szCs w:val="16"/>
        </w:rPr>
        <w:t xml:space="preserve">onsumer, </w:t>
      </w:r>
      <w:r>
        <w:rPr>
          <w:rFonts w:cs="Segoe UI"/>
          <w:i/>
          <w:iCs/>
          <w:sz w:val="16"/>
          <w:szCs w:val="16"/>
        </w:rPr>
        <w:t>P</w:t>
      </w:r>
      <w:r w:rsidRPr="000E384D">
        <w:rPr>
          <w:rFonts w:cs="Segoe UI"/>
          <w:i/>
          <w:iCs/>
          <w:sz w:val="16"/>
          <w:szCs w:val="16"/>
        </w:rPr>
        <w:t xml:space="preserve">eer </w:t>
      </w:r>
      <w:r>
        <w:rPr>
          <w:rFonts w:cs="Segoe UI"/>
          <w:i/>
          <w:iCs/>
          <w:sz w:val="16"/>
          <w:szCs w:val="16"/>
        </w:rPr>
        <w:t>S</w:t>
      </w:r>
      <w:r w:rsidRPr="000E384D">
        <w:rPr>
          <w:rFonts w:cs="Segoe UI"/>
          <w:i/>
          <w:iCs/>
          <w:sz w:val="16"/>
          <w:szCs w:val="16"/>
        </w:rPr>
        <w:t xml:space="preserve">upport &amp; </w:t>
      </w:r>
      <w:r>
        <w:rPr>
          <w:rFonts w:cs="Segoe UI"/>
          <w:i/>
          <w:iCs/>
          <w:sz w:val="16"/>
          <w:szCs w:val="16"/>
        </w:rPr>
        <w:t>L</w:t>
      </w:r>
      <w:r w:rsidRPr="000E384D">
        <w:rPr>
          <w:rFonts w:cs="Segoe UI"/>
          <w:i/>
          <w:iCs/>
          <w:sz w:val="16"/>
          <w:szCs w:val="16"/>
        </w:rPr>
        <w:t xml:space="preserve">ived </w:t>
      </w:r>
      <w:r>
        <w:rPr>
          <w:rFonts w:cs="Segoe UI"/>
          <w:i/>
          <w:iCs/>
          <w:sz w:val="16"/>
          <w:szCs w:val="16"/>
        </w:rPr>
        <w:t>E</w:t>
      </w:r>
      <w:r w:rsidRPr="000E384D">
        <w:rPr>
          <w:rFonts w:cs="Segoe UI"/>
          <w:i/>
          <w:iCs/>
          <w:sz w:val="16"/>
          <w:szCs w:val="16"/>
        </w:rPr>
        <w:t>xperience: Workforce development strategy 2020 to 2025</w:t>
      </w:r>
      <w:r w:rsidRPr="00D72DC8">
        <w:rPr>
          <w:rFonts w:cs="Segoe UI"/>
          <w:sz w:val="16"/>
          <w:szCs w:val="16"/>
        </w:rPr>
        <w:t>. Auckland: Te Pou</w:t>
      </w:r>
      <w:r>
        <w:rPr>
          <w:rFonts w:cs="Segoe UI"/>
          <w:sz w:val="16"/>
          <w:szCs w:val="16"/>
        </w:rPr>
        <w:t xml:space="preserve"> </w:t>
      </w:r>
      <w:r w:rsidRPr="00D72DC8">
        <w:rPr>
          <w:rFonts w:cs="Segoe UI"/>
          <w:sz w:val="16"/>
          <w:szCs w:val="16"/>
        </w:rPr>
        <w:t>o te Whakaaro Nu</w:t>
      </w:r>
      <w:r>
        <w:rPr>
          <w:rFonts w:cs="Segoe UI"/>
          <w:sz w:val="16"/>
          <w:szCs w:val="16"/>
        </w:rPr>
        <w:t>i</w:t>
      </w:r>
      <w:r w:rsidRPr="00D72DC8">
        <w:rPr>
          <w:rFonts w:cs="Segoe UI"/>
          <w:sz w:val="16"/>
          <w:szCs w:val="16"/>
        </w:rPr>
        <w:t>.</w:t>
      </w:r>
    </w:p>
  </w:footnote>
  <w:footnote w:id="159">
    <w:p w14:paraId="7E58C1DF" w14:textId="77777777" w:rsidR="00A26CD1" w:rsidRPr="000E384D" w:rsidRDefault="00A26CD1" w:rsidP="00DB1B6E">
      <w:pPr>
        <w:pStyle w:val="FootnoteText"/>
        <w:rPr>
          <w:lang w:val="en-US"/>
        </w:rPr>
      </w:pPr>
      <w:r w:rsidRPr="00A578E1">
        <w:rPr>
          <w:rStyle w:val="FootnoteReference"/>
          <w:rFonts w:cs="Segoe UI"/>
          <w:sz w:val="16"/>
          <w:szCs w:val="16"/>
        </w:rPr>
        <w:footnoteRef/>
      </w:r>
      <w:r>
        <w:t xml:space="preserve"> </w:t>
      </w:r>
      <w:r w:rsidRPr="00A578E1">
        <w:rPr>
          <w:rFonts w:cs="Segoe UI"/>
          <w:sz w:val="16"/>
          <w:szCs w:val="16"/>
        </w:rPr>
        <w:t>Ministry of Health. 2022. Guidelines to the Mental Health (Compulsory Assessment and Treatment) Act 1992. Wellington: Ministry of Health.</w:t>
      </w:r>
    </w:p>
  </w:footnote>
  <w:footnote w:id="160">
    <w:p w14:paraId="2E1292DB" w14:textId="77777777" w:rsidR="00A26CD1" w:rsidRPr="00D72DC8" w:rsidRDefault="00A26CD1" w:rsidP="00DB1B6E">
      <w:pPr>
        <w:pStyle w:val="FootnoteText"/>
        <w:rPr>
          <w:rFonts w:cs="Segoe UI"/>
          <w:sz w:val="16"/>
          <w:szCs w:val="16"/>
        </w:rPr>
      </w:pPr>
      <w:r w:rsidRPr="00D72DC8">
        <w:rPr>
          <w:rStyle w:val="FootnoteReference"/>
          <w:rFonts w:cs="Segoe UI"/>
          <w:sz w:val="16"/>
          <w:szCs w:val="16"/>
        </w:rPr>
        <w:footnoteRef/>
      </w:r>
      <w:r w:rsidRPr="00D72DC8">
        <w:rPr>
          <w:rFonts w:cs="Segoe UI"/>
          <w:sz w:val="16"/>
          <w:szCs w:val="16"/>
        </w:rPr>
        <w:t xml:space="preserve"> As defined in Swanson C, Caldwell V, Shearer R. 2014. </w:t>
      </w:r>
      <w:r w:rsidRPr="000E384D">
        <w:rPr>
          <w:rFonts w:cs="Segoe UI"/>
          <w:i/>
          <w:iCs/>
          <w:sz w:val="16"/>
          <w:szCs w:val="16"/>
        </w:rPr>
        <w:t xml:space="preserve">Competencies for the </w:t>
      </w:r>
      <w:r>
        <w:rPr>
          <w:rFonts w:cs="Segoe UI"/>
          <w:i/>
          <w:iCs/>
          <w:sz w:val="16"/>
          <w:szCs w:val="16"/>
        </w:rPr>
        <w:t>M</w:t>
      </w:r>
      <w:r w:rsidRPr="000E384D">
        <w:rPr>
          <w:rFonts w:cs="Segoe UI"/>
          <w:i/>
          <w:iCs/>
          <w:sz w:val="16"/>
          <w:szCs w:val="16"/>
        </w:rPr>
        <w:t xml:space="preserve">ental </w:t>
      </w:r>
      <w:r>
        <w:rPr>
          <w:rFonts w:cs="Segoe UI"/>
          <w:i/>
          <w:iCs/>
          <w:sz w:val="16"/>
          <w:szCs w:val="16"/>
        </w:rPr>
        <w:t>H</w:t>
      </w:r>
      <w:r w:rsidRPr="000E384D">
        <w:rPr>
          <w:rFonts w:cs="Segoe UI"/>
          <w:i/>
          <w:iCs/>
          <w:sz w:val="16"/>
          <w:szCs w:val="16"/>
        </w:rPr>
        <w:t xml:space="preserve">ealth and </w:t>
      </w:r>
      <w:r>
        <w:rPr>
          <w:rFonts w:cs="Segoe UI"/>
          <w:i/>
          <w:iCs/>
          <w:sz w:val="16"/>
          <w:szCs w:val="16"/>
        </w:rPr>
        <w:t>A</w:t>
      </w:r>
      <w:r w:rsidRPr="000E384D">
        <w:rPr>
          <w:rFonts w:cs="Segoe UI"/>
          <w:i/>
          <w:iCs/>
          <w:sz w:val="16"/>
          <w:szCs w:val="16"/>
        </w:rPr>
        <w:t xml:space="preserve">ddiction </w:t>
      </w:r>
      <w:r>
        <w:rPr>
          <w:rFonts w:cs="Segoe UI"/>
          <w:i/>
          <w:iCs/>
          <w:sz w:val="16"/>
          <w:szCs w:val="16"/>
        </w:rPr>
        <w:t>S</w:t>
      </w:r>
      <w:r w:rsidRPr="000E384D">
        <w:rPr>
          <w:rFonts w:cs="Segoe UI"/>
          <w:i/>
          <w:iCs/>
          <w:sz w:val="16"/>
          <w:szCs w:val="16"/>
        </w:rPr>
        <w:t xml:space="preserve">ervice </w:t>
      </w:r>
      <w:r>
        <w:rPr>
          <w:rFonts w:cs="Segoe UI"/>
          <w:i/>
          <w:iCs/>
          <w:sz w:val="16"/>
          <w:szCs w:val="16"/>
        </w:rPr>
        <w:t>U</w:t>
      </w:r>
      <w:r w:rsidRPr="000E384D">
        <w:rPr>
          <w:rFonts w:cs="Segoe UI"/>
          <w:i/>
          <w:iCs/>
          <w:sz w:val="16"/>
          <w:szCs w:val="16"/>
        </w:rPr>
        <w:t xml:space="preserve">ser, </w:t>
      </w:r>
      <w:r>
        <w:rPr>
          <w:rFonts w:cs="Segoe UI"/>
          <w:i/>
          <w:iCs/>
          <w:sz w:val="16"/>
          <w:szCs w:val="16"/>
        </w:rPr>
        <w:t>C</w:t>
      </w:r>
      <w:r w:rsidRPr="000E384D">
        <w:rPr>
          <w:rFonts w:cs="Segoe UI"/>
          <w:i/>
          <w:iCs/>
          <w:sz w:val="16"/>
          <w:szCs w:val="16"/>
        </w:rPr>
        <w:t xml:space="preserve">onsumer and </w:t>
      </w:r>
      <w:r>
        <w:rPr>
          <w:rFonts w:cs="Segoe UI"/>
          <w:i/>
          <w:iCs/>
          <w:sz w:val="16"/>
          <w:szCs w:val="16"/>
        </w:rPr>
        <w:t>P</w:t>
      </w:r>
      <w:r w:rsidRPr="000E384D">
        <w:rPr>
          <w:rFonts w:cs="Segoe UI"/>
          <w:i/>
          <w:iCs/>
          <w:sz w:val="16"/>
          <w:szCs w:val="16"/>
        </w:rPr>
        <w:t xml:space="preserve">eer </w:t>
      </w:r>
      <w:r>
        <w:rPr>
          <w:rFonts w:cs="Segoe UI"/>
          <w:i/>
          <w:iCs/>
          <w:sz w:val="16"/>
          <w:szCs w:val="16"/>
        </w:rPr>
        <w:t>W</w:t>
      </w:r>
      <w:r w:rsidRPr="000E384D">
        <w:rPr>
          <w:rFonts w:cs="Segoe UI"/>
          <w:i/>
          <w:iCs/>
          <w:sz w:val="16"/>
          <w:szCs w:val="16"/>
        </w:rPr>
        <w:t>orkforce</w:t>
      </w:r>
      <w:r w:rsidRPr="00D72DC8">
        <w:rPr>
          <w:rFonts w:cs="Segoe UI"/>
          <w:sz w:val="16"/>
          <w:szCs w:val="16"/>
        </w:rPr>
        <w:t xml:space="preserve">. </w:t>
      </w:r>
      <w:r>
        <w:rPr>
          <w:rFonts w:cs="Segoe UI"/>
          <w:sz w:val="16"/>
          <w:szCs w:val="16"/>
        </w:rPr>
        <w:t xml:space="preserve">Auckland: </w:t>
      </w:r>
      <w:r w:rsidRPr="00D72DC8">
        <w:rPr>
          <w:rFonts w:cs="Segoe UI"/>
          <w:sz w:val="16"/>
          <w:szCs w:val="16"/>
        </w:rPr>
        <w:t xml:space="preserve">Te Pou o to Whakaaro Nui. </w:t>
      </w:r>
    </w:p>
  </w:footnote>
  <w:footnote w:id="161">
    <w:p w14:paraId="1998A55E" w14:textId="77777777" w:rsidR="00A26CD1" w:rsidRPr="000E384D" w:rsidRDefault="00A26CD1" w:rsidP="00DB1B6E">
      <w:pPr>
        <w:pStyle w:val="FootnoteText"/>
        <w:rPr>
          <w:rFonts w:cs="Segoe UI"/>
          <w:sz w:val="16"/>
          <w:szCs w:val="16"/>
          <w:lang w:val="en-US"/>
        </w:rPr>
      </w:pPr>
      <w:r w:rsidRPr="008C1319">
        <w:rPr>
          <w:rStyle w:val="FootnoteReference"/>
          <w:rFonts w:cs="Segoe UI"/>
          <w:sz w:val="16"/>
          <w:szCs w:val="16"/>
        </w:rPr>
        <w:footnoteRef/>
      </w:r>
      <w:r w:rsidRPr="008C1319">
        <w:rPr>
          <w:rFonts w:cs="Segoe UI"/>
          <w:sz w:val="16"/>
          <w:szCs w:val="16"/>
        </w:rPr>
        <w:t xml:space="preserve"> </w:t>
      </w:r>
      <w:hyperlink r:id="rId53" w:history="1">
        <w:r w:rsidRPr="00FF56EE">
          <w:rPr>
            <w:rStyle w:val="Hyperlink"/>
            <w:rFonts w:cs="Segoe UI"/>
            <w:sz w:val="16"/>
            <w:szCs w:val="16"/>
          </w:rPr>
          <w:t>www.tepou.co.nz/initiatives/reducing-seclusion-and-restraint/safe-practice-effective-communication</w:t>
        </w:r>
      </w:hyperlink>
      <w:r>
        <w:rPr>
          <w:rFonts w:cs="Segoe UI"/>
          <w:sz w:val="16"/>
          <w:szCs w:val="16"/>
        </w:rPr>
        <w:t xml:space="preserve"> </w:t>
      </w:r>
      <w:r w:rsidRPr="000E384D">
        <w:rPr>
          <w:rFonts w:cs="Segoe UI"/>
          <w:sz w:val="16"/>
          <w:szCs w:val="16"/>
        </w:rPr>
        <w:t>(accessed 29 March 2023).</w:t>
      </w:r>
    </w:p>
  </w:footnote>
  <w:footnote w:id="162">
    <w:p w14:paraId="100CB768" w14:textId="77777777" w:rsidR="00A26CD1" w:rsidRPr="008C1319" w:rsidRDefault="00A26CD1" w:rsidP="00DB1B6E">
      <w:pPr>
        <w:pStyle w:val="FootnoteText"/>
        <w:rPr>
          <w:rFonts w:cs="Segoe UI"/>
          <w:b/>
          <w:sz w:val="16"/>
          <w:szCs w:val="16"/>
        </w:rPr>
      </w:pPr>
      <w:r w:rsidRPr="00D72DC8">
        <w:rPr>
          <w:rStyle w:val="FootnoteReference"/>
          <w:rFonts w:cs="Segoe UI"/>
          <w:sz w:val="16"/>
          <w:szCs w:val="16"/>
        </w:rPr>
        <w:footnoteRef/>
      </w:r>
      <w:r w:rsidRPr="00D72DC8">
        <w:rPr>
          <w:rFonts w:cs="Segoe UI"/>
          <w:sz w:val="16"/>
          <w:szCs w:val="16"/>
        </w:rPr>
        <w:t xml:space="preserve"> </w:t>
      </w:r>
      <w:hyperlink r:id="rId54" w:history="1">
        <w:r w:rsidRPr="00FF56EE">
          <w:rPr>
            <w:rStyle w:val="Hyperlink"/>
            <w:rFonts w:cs="Segoe UI"/>
            <w:sz w:val="16"/>
            <w:szCs w:val="16"/>
          </w:rPr>
          <w:t>www.tereohapai.nz/</w:t>
        </w:r>
      </w:hyperlink>
      <w:r w:rsidRPr="008C1319">
        <w:rPr>
          <w:rFonts w:cs="Segoe UI"/>
          <w:sz w:val="16"/>
          <w:szCs w:val="16"/>
        </w:rPr>
        <w:t xml:space="preserve"> (accessed 31 March 2023).</w:t>
      </w:r>
    </w:p>
  </w:footnote>
  <w:footnote w:id="163">
    <w:p w14:paraId="52E4C35B" w14:textId="77777777" w:rsidR="00A26CD1" w:rsidRPr="000E384D" w:rsidRDefault="00A26CD1" w:rsidP="00DB1B6E">
      <w:pPr>
        <w:pStyle w:val="FootnoteText"/>
        <w:rPr>
          <w:lang w:val="en-US"/>
        </w:rPr>
      </w:pPr>
      <w:r w:rsidRPr="008C1319">
        <w:rPr>
          <w:rStyle w:val="FootnoteReference"/>
          <w:rFonts w:cs="Segoe UI"/>
          <w:sz w:val="16"/>
          <w:szCs w:val="16"/>
        </w:rPr>
        <w:footnoteRef/>
      </w:r>
      <w:r w:rsidRPr="008C1319">
        <w:rPr>
          <w:rFonts w:cs="Segoe UI"/>
          <w:sz w:val="16"/>
          <w:szCs w:val="16"/>
        </w:rPr>
        <w:t xml:space="preserve"> </w:t>
      </w:r>
      <w:hyperlink r:id="rId55" w:history="1">
        <w:r w:rsidRPr="00FF56EE">
          <w:rPr>
            <w:rStyle w:val="Hyperlink"/>
            <w:rFonts w:cs="Segoe UI"/>
            <w:sz w:val="16"/>
            <w:szCs w:val="16"/>
          </w:rPr>
          <w:t>www.occ.org.nz/rights/</w:t>
        </w:r>
      </w:hyperlink>
      <w:r w:rsidRPr="008C1319">
        <w:rPr>
          <w:rStyle w:val="Hyperlink"/>
          <w:rFonts w:cs="Segoe UI"/>
          <w:sz w:val="16"/>
          <w:szCs w:val="16"/>
        </w:rPr>
        <w:t xml:space="preserve"> </w:t>
      </w:r>
      <w:r w:rsidRPr="000E384D">
        <w:rPr>
          <w:rFonts w:cs="Segoe UI"/>
          <w:sz w:val="16"/>
          <w:szCs w:val="16"/>
        </w:rPr>
        <w:t>(accessed 31 March 2023).</w:t>
      </w:r>
    </w:p>
  </w:footnote>
  <w:footnote w:id="164">
    <w:p w14:paraId="2D276B34" w14:textId="77777777" w:rsidR="00A26CD1" w:rsidRPr="000E384D" w:rsidRDefault="00A26CD1" w:rsidP="00DB1B6E">
      <w:pPr>
        <w:pStyle w:val="FootnoteText"/>
        <w:rPr>
          <w:rFonts w:cs="Segoe UI"/>
          <w:sz w:val="16"/>
          <w:szCs w:val="16"/>
          <w:lang w:val="en-US"/>
        </w:rPr>
      </w:pPr>
      <w:r w:rsidRPr="0071655E">
        <w:rPr>
          <w:rStyle w:val="FootnoteReference"/>
          <w:rFonts w:cs="Segoe UI"/>
          <w:sz w:val="16"/>
          <w:szCs w:val="16"/>
        </w:rPr>
        <w:footnoteRef/>
      </w:r>
      <w:r w:rsidRPr="0071655E">
        <w:rPr>
          <w:rFonts w:cs="Segoe UI"/>
          <w:sz w:val="16"/>
          <w:szCs w:val="16"/>
        </w:rPr>
        <w:t xml:space="preserve"> </w:t>
      </w:r>
      <w:r w:rsidRPr="0071655E">
        <w:rPr>
          <w:rStyle w:val="Hyperlink"/>
          <w:rFonts w:cs="Segoe UI"/>
          <w:sz w:val="16"/>
          <w:szCs w:val="16"/>
        </w:rPr>
        <w:t>www.odi.govt.nz/united-nations-convention-on-the-rights-of-persons-with-disabilities/about-the-convention/</w:t>
      </w:r>
      <w:r w:rsidRPr="0071655E">
        <w:rPr>
          <w:rStyle w:val="Hyperlink"/>
          <w:rFonts w:cs="Segoe UI"/>
          <w:color w:val="auto"/>
          <w:sz w:val="16"/>
          <w:szCs w:val="16"/>
        </w:rPr>
        <w:t xml:space="preserve"> </w:t>
      </w:r>
      <w:r w:rsidRPr="000E384D">
        <w:rPr>
          <w:rFonts w:cs="Segoe UI"/>
          <w:sz w:val="16"/>
          <w:szCs w:val="16"/>
        </w:rPr>
        <w:t>(accessed 31 March 2023).</w:t>
      </w:r>
    </w:p>
  </w:footnote>
  <w:footnote w:id="165">
    <w:p w14:paraId="5C486801" w14:textId="77777777" w:rsidR="00A26CD1" w:rsidRPr="00093230" w:rsidRDefault="00A26CD1" w:rsidP="00DB1B6E">
      <w:pPr>
        <w:pStyle w:val="FootnoteText"/>
        <w:rPr>
          <w:lang w:val="en-US"/>
        </w:rPr>
      </w:pPr>
      <w:r w:rsidRPr="0071655E">
        <w:rPr>
          <w:rStyle w:val="FootnoteReference"/>
          <w:rFonts w:cs="Segoe UI"/>
          <w:sz w:val="16"/>
          <w:szCs w:val="16"/>
        </w:rPr>
        <w:footnoteRef/>
      </w:r>
      <w:r w:rsidRPr="0071655E">
        <w:rPr>
          <w:rFonts w:cs="Segoe UI"/>
          <w:sz w:val="16"/>
          <w:szCs w:val="16"/>
        </w:rPr>
        <w:t xml:space="preserve"> </w:t>
      </w:r>
      <w:hyperlink r:id="rId56" w:history="1">
        <w:r w:rsidRPr="0071655E">
          <w:rPr>
            <w:rStyle w:val="Hyperlink"/>
            <w:rFonts w:cs="Segoe UI"/>
            <w:sz w:val="16"/>
            <w:szCs w:val="16"/>
          </w:rPr>
          <w:t>www.tpk.govt.nz/en/a-matou-whakaarotau/te-ao-maori/un-declaration-on-the-rights-of-indigenous-peoples/</w:t>
        </w:r>
      </w:hyperlink>
      <w:r w:rsidRPr="0071655E">
        <w:rPr>
          <w:rStyle w:val="Hyperlink"/>
          <w:rFonts w:cs="Segoe UI"/>
          <w:color w:val="auto"/>
          <w:sz w:val="16"/>
          <w:szCs w:val="16"/>
        </w:rPr>
        <w:t xml:space="preserve"> </w:t>
      </w:r>
      <w:r w:rsidRPr="00FF5CA4">
        <w:rPr>
          <w:rStyle w:val="Hyperlink"/>
          <w:rFonts w:cs="Segoe UI"/>
          <w:b w:val="0"/>
          <w:bCs/>
          <w:color w:val="auto"/>
          <w:sz w:val="16"/>
          <w:szCs w:val="16"/>
        </w:rPr>
        <w:t>(accessed 31 March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1372CE5" w14:paraId="01232BED" w14:textId="77777777" w:rsidTr="51372CE5">
      <w:trPr>
        <w:trHeight w:val="300"/>
      </w:trPr>
      <w:tc>
        <w:tcPr>
          <w:tcW w:w="3210" w:type="dxa"/>
        </w:tcPr>
        <w:p w14:paraId="6262FDFB" w14:textId="77782A28" w:rsidR="51372CE5" w:rsidRDefault="51372CE5" w:rsidP="51372CE5">
          <w:pPr>
            <w:pStyle w:val="Header"/>
            <w:ind w:left="-115"/>
          </w:pPr>
        </w:p>
      </w:tc>
      <w:tc>
        <w:tcPr>
          <w:tcW w:w="3210" w:type="dxa"/>
        </w:tcPr>
        <w:p w14:paraId="0BE8DE6C" w14:textId="7D4B997F" w:rsidR="51372CE5" w:rsidRDefault="51372CE5" w:rsidP="51372CE5">
          <w:pPr>
            <w:pStyle w:val="Header"/>
            <w:jc w:val="center"/>
          </w:pPr>
        </w:p>
      </w:tc>
      <w:tc>
        <w:tcPr>
          <w:tcW w:w="3210" w:type="dxa"/>
        </w:tcPr>
        <w:p w14:paraId="5977A27E" w14:textId="78CDAF76" w:rsidR="51372CE5" w:rsidRDefault="51372CE5" w:rsidP="51372CE5">
          <w:pPr>
            <w:pStyle w:val="Header"/>
            <w:ind w:right="-115"/>
            <w:jc w:val="right"/>
          </w:pPr>
        </w:p>
      </w:tc>
    </w:tr>
  </w:tbl>
  <w:p w14:paraId="4DD1EB04" w14:textId="44859E7D" w:rsidR="51372CE5" w:rsidRDefault="51372CE5" w:rsidP="51372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A26CD1" w14:paraId="07872C25" w14:textId="77777777" w:rsidTr="00B5302A">
      <w:trPr>
        <w:cantSplit/>
      </w:trPr>
      <w:tc>
        <w:tcPr>
          <w:tcW w:w="5210" w:type="dxa"/>
          <w:vAlign w:val="center"/>
        </w:tcPr>
        <w:p w14:paraId="4CDF9A95" w14:textId="77777777" w:rsidR="00A26CD1" w:rsidRDefault="00A26CD1" w:rsidP="00D3124A">
          <w:pPr>
            <w:pStyle w:val="Header"/>
          </w:pPr>
          <w:bookmarkStart w:id="0" w:name="_Hlk110933925"/>
          <w:r>
            <w:rPr>
              <w:noProof/>
              <w:lang w:eastAsia="en-NZ"/>
            </w:rPr>
            <w:drawing>
              <wp:inline distT="0" distB="0" distL="0" distR="0" wp14:anchorId="67B54ED9" wp14:editId="58C7E4F7">
                <wp:extent cx="2294626" cy="542925"/>
                <wp:effectExtent l="0" t="0" r="0" b="0"/>
                <wp:docPr id="7" name="Picture 7"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93A2AC2" w14:textId="77777777" w:rsidR="00A26CD1" w:rsidRDefault="00A26CD1" w:rsidP="00D3124A">
          <w:pPr>
            <w:pStyle w:val="Header"/>
            <w:jc w:val="right"/>
          </w:pPr>
          <w:r>
            <w:rPr>
              <w:noProof/>
            </w:rPr>
            <w:drawing>
              <wp:anchor distT="0" distB="0" distL="114300" distR="114300" simplePos="0" relativeHeight="251658240" behindDoc="0" locked="0" layoutInCell="1" allowOverlap="1" wp14:anchorId="311E554E" wp14:editId="76821453">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7E878EBE" w14:textId="77777777" w:rsidR="00A26CD1" w:rsidRDefault="00A26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55"/>
      <w:gridCol w:w="2455"/>
      <w:gridCol w:w="2455"/>
    </w:tblGrid>
    <w:tr w:rsidR="51372CE5" w14:paraId="5C35A614" w14:textId="77777777" w:rsidTr="51372CE5">
      <w:trPr>
        <w:trHeight w:val="300"/>
      </w:trPr>
      <w:tc>
        <w:tcPr>
          <w:tcW w:w="2455" w:type="dxa"/>
        </w:tcPr>
        <w:p w14:paraId="1697E33E" w14:textId="4F02DE0B" w:rsidR="51372CE5" w:rsidRDefault="51372CE5" w:rsidP="51372CE5">
          <w:pPr>
            <w:pStyle w:val="Header"/>
            <w:ind w:left="-115"/>
          </w:pPr>
        </w:p>
      </w:tc>
      <w:tc>
        <w:tcPr>
          <w:tcW w:w="2455" w:type="dxa"/>
        </w:tcPr>
        <w:p w14:paraId="00897BF3" w14:textId="787F399C" w:rsidR="51372CE5" w:rsidRDefault="51372CE5" w:rsidP="51372CE5">
          <w:pPr>
            <w:pStyle w:val="Header"/>
            <w:jc w:val="center"/>
          </w:pPr>
        </w:p>
      </w:tc>
      <w:tc>
        <w:tcPr>
          <w:tcW w:w="2455" w:type="dxa"/>
        </w:tcPr>
        <w:p w14:paraId="07F317A0" w14:textId="6C17CC00" w:rsidR="51372CE5" w:rsidRDefault="51372CE5" w:rsidP="51372CE5">
          <w:pPr>
            <w:pStyle w:val="Header"/>
            <w:ind w:right="-115"/>
            <w:jc w:val="right"/>
          </w:pPr>
        </w:p>
      </w:tc>
    </w:tr>
  </w:tbl>
  <w:p w14:paraId="15F29823" w14:textId="2C667CA4" w:rsidR="51372CE5" w:rsidRDefault="51372CE5" w:rsidP="51372C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3" w14:textId="77777777" w:rsidR="00A26CD1" w:rsidRDefault="00A26CD1"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4" w14:textId="77777777" w:rsidR="00A26CD1" w:rsidRDefault="00A26CD1"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AA39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7C7"/>
    <w:multiLevelType w:val="multilevel"/>
    <w:tmpl w:val="BA8AC590"/>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65B72AB"/>
    <w:multiLevelType w:val="multilevel"/>
    <w:tmpl w:val="B32E7300"/>
    <w:lvl w:ilvl="0">
      <w:start w:val="1"/>
      <w:numFmt w:val="decimal"/>
      <w:lvlText w:val="%1)"/>
      <w:lvlJc w:val="left"/>
      <w:pPr>
        <w:ind w:left="360" w:hanging="360"/>
      </w:pPr>
      <w:rPr>
        <w:rFonts w:hint="default"/>
      </w:rPr>
    </w:lvl>
    <w:lvl w:ilvl="1">
      <w:start w:val="1"/>
      <w:numFmt w:val="lowerLetter"/>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D77021"/>
    <w:multiLevelType w:val="multilevel"/>
    <w:tmpl w:val="DAAEBE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4813E68"/>
    <w:multiLevelType w:val="hybridMultilevel"/>
    <w:tmpl w:val="DB2E09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6014DF7"/>
    <w:multiLevelType w:val="multilevel"/>
    <w:tmpl w:val="6B9EEA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D254F19"/>
    <w:multiLevelType w:val="multilevel"/>
    <w:tmpl w:val="91388D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0BC13B6"/>
    <w:multiLevelType w:val="multilevel"/>
    <w:tmpl w:val="7076D7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441D93"/>
    <w:multiLevelType w:val="multilevel"/>
    <w:tmpl w:val="764A58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C5028AE"/>
    <w:multiLevelType w:val="multilevel"/>
    <w:tmpl w:val="7076D7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D77FE0"/>
    <w:multiLevelType w:val="multilevel"/>
    <w:tmpl w:val="31D410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01372BF"/>
    <w:multiLevelType w:val="multilevel"/>
    <w:tmpl w:val="D25A4D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C5A1A8E"/>
    <w:multiLevelType w:val="multilevel"/>
    <w:tmpl w:val="97BC88E4"/>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573F8"/>
    <w:multiLevelType w:val="multilevel"/>
    <w:tmpl w:val="6C0095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55089C"/>
    <w:multiLevelType w:val="multilevel"/>
    <w:tmpl w:val="F6B2BB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AA14CFF"/>
    <w:multiLevelType w:val="hybridMultilevel"/>
    <w:tmpl w:val="26281118"/>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4F610CD4"/>
    <w:multiLevelType w:val="multilevel"/>
    <w:tmpl w:val="C034349A"/>
    <w:lvl w:ilvl="0">
      <w:start w:val="1"/>
      <w:numFmt w:val="bullet"/>
      <w:lvlText w:val="●"/>
      <w:lvlJc w:val="left"/>
      <w:pPr>
        <w:ind w:left="360" w:hanging="360"/>
      </w:pPr>
      <w:rPr>
        <w:rFonts w:ascii="Segoe UI" w:eastAsia="Noto Sans Symbols" w:hAnsi="Segoe UI" w:cs="Segoe U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1DB7C71"/>
    <w:multiLevelType w:val="hybridMultilevel"/>
    <w:tmpl w:val="93C6A5AE"/>
    <w:lvl w:ilvl="0" w:tplc="0E8208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E820890">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BF343D"/>
    <w:multiLevelType w:val="multilevel"/>
    <w:tmpl w:val="1409001F"/>
    <w:lvl w:ilvl="0">
      <w:start w:val="1"/>
      <w:numFmt w:val="decimal"/>
      <w:lvlText w:val="%1."/>
      <w:lvlJc w:val="left"/>
      <w:pPr>
        <w:ind w:left="360" w:hanging="360"/>
      </w:pPr>
    </w:lvl>
    <w:lvl w:ilvl="1">
      <w:start w:val="1"/>
      <w:numFmt w:val="decimal"/>
      <w:lvlText w:val="%1.%2."/>
      <w:lvlJc w:val="left"/>
      <w:pPr>
        <w:ind w:left="7804" w:hanging="432"/>
      </w:pPr>
    </w:lvl>
    <w:lvl w:ilvl="2">
      <w:start w:val="1"/>
      <w:numFmt w:val="decimal"/>
      <w:lvlText w:val="%1.%2.%3."/>
      <w:lvlJc w:val="left"/>
      <w:pPr>
        <w:ind w:left="518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C71B15"/>
    <w:multiLevelType w:val="hybridMultilevel"/>
    <w:tmpl w:val="41249506"/>
    <w:lvl w:ilvl="0" w:tplc="0E8208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E820890">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CC5F9F"/>
    <w:multiLevelType w:val="hybridMultilevel"/>
    <w:tmpl w:val="5184B26A"/>
    <w:lvl w:ilvl="0" w:tplc="0E8208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E820890">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94578E"/>
    <w:multiLevelType w:val="multilevel"/>
    <w:tmpl w:val="378676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AEA2A91"/>
    <w:multiLevelType w:val="hybridMultilevel"/>
    <w:tmpl w:val="8ECEF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16cid:durableId="521625832">
    <w:abstractNumId w:val="26"/>
  </w:num>
  <w:num w:numId="2" w16cid:durableId="2008360050">
    <w:abstractNumId w:val="14"/>
  </w:num>
  <w:num w:numId="3" w16cid:durableId="229118045">
    <w:abstractNumId w:val="16"/>
  </w:num>
  <w:num w:numId="4" w16cid:durableId="156112740">
    <w:abstractNumId w:val="2"/>
  </w:num>
  <w:num w:numId="5" w16cid:durableId="140735805">
    <w:abstractNumId w:val="1"/>
  </w:num>
  <w:num w:numId="6" w16cid:durableId="784692794">
    <w:abstractNumId w:val="13"/>
  </w:num>
  <w:num w:numId="7" w16cid:durableId="1575818942">
    <w:abstractNumId w:val="0"/>
  </w:num>
  <w:num w:numId="8" w16cid:durableId="245650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2218146">
    <w:abstractNumId w:val="17"/>
  </w:num>
  <w:num w:numId="10" w16cid:durableId="1748649336">
    <w:abstractNumId w:val="15"/>
  </w:num>
  <w:num w:numId="11" w16cid:durableId="812450491">
    <w:abstractNumId w:val="11"/>
  </w:num>
  <w:num w:numId="12" w16cid:durableId="1992326982">
    <w:abstractNumId w:val="19"/>
  </w:num>
  <w:num w:numId="13" w16cid:durableId="981814110">
    <w:abstractNumId w:val="4"/>
  </w:num>
  <w:num w:numId="14" w16cid:durableId="1596985492">
    <w:abstractNumId w:val="24"/>
  </w:num>
  <w:num w:numId="15" w16cid:durableId="715276973">
    <w:abstractNumId w:val="6"/>
  </w:num>
  <w:num w:numId="16" w16cid:durableId="660811682">
    <w:abstractNumId w:val="7"/>
  </w:num>
  <w:num w:numId="17" w16cid:durableId="927805828">
    <w:abstractNumId w:val="9"/>
  </w:num>
  <w:num w:numId="18" w16cid:durableId="979965300">
    <w:abstractNumId w:val="12"/>
  </w:num>
  <w:num w:numId="19" w16cid:durableId="1430199213">
    <w:abstractNumId w:val="18"/>
  </w:num>
  <w:num w:numId="20" w16cid:durableId="454906471">
    <w:abstractNumId w:val="21"/>
  </w:num>
  <w:num w:numId="21" w16cid:durableId="1027634952">
    <w:abstractNumId w:val="8"/>
  </w:num>
  <w:num w:numId="22" w16cid:durableId="1340158965">
    <w:abstractNumId w:val="5"/>
  </w:num>
  <w:num w:numId="23" w16cid:durableId="621499086">
    <w:abstractNumId w:val="25"/>
  </w:num>
  <w:num w:numId="24" w16cid:durableId="1410420607">
    <w:abstractNumId w:val="22"/>
  </w:num>
  <w:num w:numId="25" w16cid:durableId="608856174">
    <w:abstractNumId w:val="10"/>
  </w:num>
  <w:num w:numId="26" w16cid:durableId="139661609">
    <w:abstractNumId w:val="3"/>
  </w:num>
  <w:num w:numId="27" w16cid:durableId="492837551">
    <w:abstractNumId w:val="23"/>
  </w:num>
  <w:num w:numId="28" w16cid:durableId="22402951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2FE3"/>
    <w:rsid w:val="00005BB5"/>
    <w:rsid w:val="00006658"/>
    <w:rsid w:val="00006986"/>
    <w:rsid w:val="00006CF1"/>
    <w:rsid w:val="00007EC9"/>
    <w:rsid w:val="000137DD"/>
    <w:rsid w:val="00014CB9"/>
    <w:rsid w:val="00016155"/>
    <w:rsid w:val="00016E56"/>
    <w:rsid w:val="0002455C"/>
    <w:rsid w:val="00024B5E"/>
    <w:rsid w:val="00025A6F"/>
    <w:rsid w:val="0002618D"/>
    <w:rsid w:val="00030B26"/>
    <w:rsid w:val="00030E84"/>
    <w:rsid w:val="00031BAD"/>
    <w:rsid w:val="00032C0A"/>
    <w:rsid w:val="000331C1"/>
    <w:rsid w:val="00034591"/>
    <w:rsid w:val="00035257"/>
    <w:rsid w:val="00035D68"/>
    <w:rsid w:val="00035D6C"/>
    <w:rsid w:val="00036027"/>
    <w:rsid w:val="0003632D"/>
    <w:rsid w:val="000419A9"/>
    <w:rsid w:val="00045613"/>
    <w:rsid w:val="0004665F"/>
    <w:rsid w:val="00047899"/>
    <w:rsid w:val="00050EBF"/>
    <w:rsid w:val="00053435"/>
    <w:rsid w:val="00053921"/>
    <w:rsid w:val="00054B44"/>
    <w:rsid w:val="00054FBE"/>
    <w:rsid w:val="000573D8"/>
    <w:rsid w:val="0006006B"/>
    <w:rsid w:val="0006228D"/>
    <w:rsid w:val="00062C0E"/>
    <w:rsid w:val="0006501B"/>
    <w:rsid w:val="00065E1C"/>
    <w:rsid w:val="000717E9"/>
    <w:rsid w:val="00072BD6"/>
    <w:rsid w:val="00073066"/>
    <w:rsid w:val="00074F20"/>
    <w:rsid w:val="00075ACF"/>
    <w:rsid w:val="00075B78"/>
    <w:rsid w:val="000763E9"/>
    <w:rsid w:val="00076910"/>
    <w:rsid w:val="00077B3F"/>
    <w:rsid w:val="00080707"/>
    <w:rsid w:val="00082B11"/>
    <w:rsid w:val="00082CD6"/>
    <w:rsid w:val="00083426"/>
    <w:rsid w:val="0008437D"/>
    <w:rsid w:val="00085AFE"/>
    <w:rsid w:val="000874D0"/>
    <w:rsid w:val="00087DE2"/>
    <w:rsid w:val="00090F4D"/>
    <w:rsid w:val="00094800"/>
    <w:rsid w:val="00095DA2"/>
    <w:rsid w:val="0009709D"/>
    <w:rsid w:val="000A0158"/>
    <w:rsid w:val="000A038C"/>
    <w:rsid w:val="000A3395"/>
    <w:rsid w:val="000A373D"/>
    <w:rsid w:val="000A41ED"/>
    <w:rsid w:val="000A55E6"/>
    <w:rsid w:val="000A6B86"/>
    <w:rsid w:val="000B0730"/>
    <w:rsid w:val="000B174E"/>
    <w:rsid w:val="000B26F9"/>
    <w:rsid w:val="000B33BB"/>
    <w:rsid w:val="000B47C6"/>
    <w:rsid w:val="000B4F6A"/>
    <w:rsid w:val="000B7325"/>
    <w:rsid w:val="000B7DF3"/>
    <w:rsid w:val="000C3DE6"/>
    <w:rsid w:val="000C78D9"/>
    <w:rsid w:val="000D064E"/>
    <w:rsid w:val="000D12E3"/>
    <w:rsid w:val="000D19F4"/>
    <w:rsid w:val="000D3C83"/>
    <w:rsid w:val="000D422D"/>
    <w:rsid w:val="000D58DD"/>
    <w:rsid w:val="000E34D1"/>
    <w:rsid w:val="000E4719"/>
    <w:rsid w:val="000E473A"/>
    <w:rsid w:val="000E5CEF"/>
    <w:rsid w:val="000F1F42"/>
    <w:rsid w:val="000F2AE2"/>
    <w:rsid w:val="000F2BFF"/>
    <w:rsid w:val="000F2C22"/>
    <w:rsid w:val="00101FAD"/>
    <w:rsid w:val="00102063"/>
    <w:rsid w:val="00102AD7"/>
    <w:rsid w:val="0010541C"/>
    <w:rsid w:val="00105770"/>
    <w:rsid w:val="00105E3F"/>
    <w:rsid w:val="00106F93"/>
    <w:rsid w:val="00110CAA"/>
    <w:rsid w:val="00111D50"/>
    <w:rsid w:val="00113B8E"/>
    <w:rsid w:val="00117E49"/>
    <w:rsid w:val="00117F59"/>
    <w:rsid w:val="0012053C"/>
    <w:rsid w:val="00122363"/>
    <w:rsid w:val="00125D45"/>
    <w:rsid w:val="00127E42"/>
    <w:rsid w:val="0013032B"/>
    <w:rsid w:val="001313B3"/>
    <w:rsid w:val="00133E4B"/>
    <w:rsid w:val="0013418F"/>
    <w:rsid w:val="001342C7"/>
    <w:rsid w:val="0013585C"/>
    <w:rsid w:val="00142261"/>
    <w:rsid w:val="00142954"/>
    <w:rsid w:val="00142A20"/>
    <w:rsid w:val="00142F2E"/>
    <w:rsid w:val="001460E0"/>
    <w:rsid w:val="00146AED"/>
    <w:rsid w:val="001472F0"/>
    <w:rsid w:val="00147EE2"/>
    <w:rsid w:val="00147F71"/>
    <w:rsid w:val="00150A6E"/>
    <w:rsid w:val="00151EB5"/>
    <w:rsid w:val="0016304B"/>
    <w:rsid w:val="0016318F"/>
    <w:rsid w:val="0016468A"/>
    <w:rsid w:val="001676A9"/>
    <w:rsid w:val="0017070E"/>
    <w:rsid w:val="00174F02"/>
    <w:rsid w:val="0017525F"/>
    <w:rsid w:val="00175397"/>
    <w:rsid w:val="00182192"/>
    <w:rsid w:val="00182345"/>
    <w:rsid w:val="00182A4C"/>
    <w:rsid w:val="0018376C"/>
    <w:rsid w:val="00184C63"/>
    <w:rsid w:val="00185BB9"/>
    <w:rsid w:val="0018662D"/>
    <w:rsid w:val="00192B84"/>
    <w:rsid w:val="0019333A"/>
    <w:rsid w:val="001941EC"/>
    <w:rsid w:val="0019735F"/>
    <w:rsid w:val="00197427"/>
    <w:rsid w:val="001A0BEE"/>
    <w:rsid w:val="001A21B4"/>
    <w:rsid w:val="001A28DB"/>
    <w:rsid w:val="001A4142"/>
    <w:rsid w:val="001A5CF5"/>
    <w:rsid w:val="001A719A"/>
    <w:rsid w:val="001A79D5"/>
    <w:rsid w:val="001B10A4"/>
    <w:rsid w:val="001B2832"/>
    <w:rsid w:val="001B39D2"/>
    <w:rsid w:val="001B4BF8"/>
    <w:rsid w:val="001B7B14"/>
    <w:rsid w:val="001C25C2"/>
    <w:rsid w:val="001C2A0D"/>
    <w:rsid w:val="001C4326"/>
    <w:rsid w:val="001C48F1"/>
    <w:rsid w:val="001C5A86"/>
    <w:rsid w:val="001C665E"/>
    <w:rsid w:val="001C7407"/>
    <w:rsid w:val="001D0C73"/>
    <w:rsid w:val="001D1A0D"/>
    <w:rsid w:val="001D3541"/>
    <w:rsid w:val="001D3E4E"/>
    <w:rsid w:val="001E18BF"/>
    <w:rsid w:val="001E1AB7"/>
    <w:rsid w:val="001E254A"/>
    <w:rsid w:val="001E4339"/>
    <w:rsid w:val="001E4E57"/>
    <w:rsid w:val="001E7386"/>
    <w:rsid w:val="001F009E"/>
    <w:rsid w:val="001F2B19"/>
    <w:rsid w:val="001F45A7"/>
    <w:rsid w:val="001F5E27"/>
    <w:rsid w:val="001F6067"/>
    <w:rsid w:val="001F690F"/>
    <w:rsid w:val="0020027C"/>
    <w:rsid w:val="00201A01"/>
    <w:rsid w:val="00202942"/>
    <w:rsid w:val="00205D71"/>
    <w:rsid w:val="002065D0"/>
    <w:rsid w:val="0020754B"/>
    <w:rsid w:val="002104D3"/>
    <w:rsid w:val="00210E5F"/>
    <w:rsid w:val="002121DA"/>
    <w:rsid w:val="00213A33"/>
    <w:rsid w:val="00215CA8"/>
    <w:rsid w:val="0021763B"/>
    <w:rsid w:val="0022452B"/>
    <w:rsid w:val="00225986"/>
    <w:rsid w:val="00226A16"/>
    <w:rsid w:val="00231B42"/>
    <w:rsid w:val="00232903"/>
    <w:rsid w:val="00232CBC"/>
    <w:rsid w:val="00232E9F"/>
    <w:rsid w:val="0023476E"/>
    <w:rsid w:val="00234BDC"/>
    <w:rsid w:val="00236CCC"/>
    <w:rsid w:val="002437F6"/>
    <w:rsid w:val="00245748"/>
    <w:rsid w:val="002457B1"/>
    <w:rsid w:val="00245F9E"/>
    <w:rsid w:val="00246DB1"/>
    <w:rsid w:val="00246EAB"/>
    <w:rsid w:val="00247207"/>
    <w:rsid w:val="002476B5"/>
    <w:rsid w:val="00250493"/>
    <w:rsid w:val="00250903"/>
    <w:rsid w:val="002520CC"/>
    <w:rsid w:val="002525A8"/>
    <w:rsid w:val="00253ECF"/>
    <w:rsid w:val="00254044"/>
    <w:rsid w:val="002546A1"/>
    <w:rsid w:val="00255801"/>
    <w:rsid w:val="00255A2F"/>
    <w:rsid w:val="00256400"/>
    <w:rsid w:val="002575E8"/>
    <w:rsid w:val="00257EF1"/>
    <w:rsid w:val="00260203"/>
    <w:rsid w:val="00261C60"/>
    <w:rsid w:val="00261F6A"/>
    <w:rsid w:val="002628F4"/>
    <w:rsid w:val="00262B35"/>
    <w:rsid w:val="002653D8"/>
    <w:rsid w:val="00266402"/>
    <w:rsid w:val="00267B38"/>
    <w:rsid w:val="002735D4"/>
    <w:rsid w:val="00274247"/>
    <w:rsid w:val="00274DD1"/>
    <w:rsid w:val="0027506B"/>
    <w:rsid w:val="00275D08"/>
    <w:rsid w:val="00280AFB"/>
    <w:rsid w:val="00281C33"/>
    <w:rsid w:val="002839AF"/>
    <w:rsid w:val="002850C8"/>
    <w:rsid w:val="002858E3"/>
    <w:rsid w:val="0029190A"/>
    <w:rsid w:val="00292C5A"/>
    <w:rsid w:val="00293953"/>
    <w:rsid w:val="002946D3"/>
    <w:rsid w:val="00295241"/>
    <w:rsid w:val="00295BE8"/>
    <w:rsid w:val="00295C54"/>
    <w:rsid w:val="002A0179"/>
    <w:rsid w:val="002A06BE"/>
    <w:rsid w:val="002A1B7C"/>
    <w:rsid w:val="002A3448"/>
    <w:rsid w:val="002A4DFC"/>
    <w:rsid w:val="002A5B3C"/>
    <w:rsid w:val="002A68B7"/>
    <w:rsid w:val="002A7898"/>
    <w:rsid w:val="002A7943"/>
    <w:rsid w:val="002B047D"/>
    <w:rsid w:val="002B0976"/>
    <w:rsid w:val="002B1886"/>
    <w:rsid w:val="002B192D"/>
    <w:rsid w:val="002B5583"/>
    <w:rsid w:val="002B5BE3"/>
    <w:rsid w:val="002B732B"/>
    <w:rsid w:val="002B76A7"/>
    <w:rsid w:val="002B7BEC"/>
    <w:rsid w:val="002C0E24"/>
    <w:rsid w:val="002C0E3E"/>
    <w:rsid w:val="002C11B5"/>
    <w:rsid w:val="002C2219"/>
    <w:rsid w:val="002C2552"/>
    <w:rsid w:val="002C34E7"/>
    <w:rsid w:val="002C380A"/>
    <w:rsid w:val="002C3D8C"/>
    <w:rsid w:val="002C663E"/>
    <w:rsid w:val="002C751B"/>
    <w:rsid w:val="002D0DF2"/>
    <w:rsid w:val="002D23BD"/>
    <w:rsid w:val="002D693A"/>
    <w:rsid w:val="002D7AC6"/>
    <w:rsid w:val="002E0B47"/>
    <w:rsid w:val="002E4B20"/>
    <w:rsid w:val="002E58CA"/>
    <w:rsid w:val="002F34AD"/>
    <w:rsid w:val="002F3A0D"/>
    <w:rsid w:val="002F44FB"/>
    <w:rsid w:val="002F4685"/>
    <w:rsid w:val="002F7213"/>
    <w:rsid w:val="002F7A8B"/>
    <w:rsid w:val="00301026"/>
    <w:rsid w:val="00301A36"/>
    <w:rsid w:val="00301EFE"/>
    <w:rsid w:val="0030382F"/>
    <w:rsid w:val="0030408D"/>
    <w:rsid w:val="00305198"/>
    <w:rsid w:val="003060E4"/>
    <w:rsid w:val="00306FED"/>
    <w:rsid w:val="0031188E"/>
    <w:rsid w:val="003145C0"/>
    <w:rsid w:val="00314D2B"/>
    <w:rsid w:val="003156D9"/>
    <w:rsid w:val="003160E7"/>
    <w:rsid w:val="0031739E"/>
    <w:rsid w:val="00317DA3"/>
    <w:rsid w:val="00320722"/>
    <w:rsid w:val="003212F4"/>
    <w:rsid w:val="00321381"/>
    <w:rsid w:val="0032221D"/>
    <w:rsid w:val="0032341E"/>
    <w:rsid w:val="003235C6"/>
    <w:rsid w:val="00323995"/>
    <w:rsid w:val="0032654A"/>
    <w:rsid w:val="00327FE8"/>
    <w:rsid w:val="003309CA"/>
    <w:rsid w:val="003325AB"/>
    <w:rsid w:val="003332D1"/>
    <w:rsid w:val="0033396A"/>
    <w:rsid w:val="0033412B"/>
    <w:rsid w:val="0033448B"/>
    <w:rsid w:val="0033493D"/>
    <w:rsid w:val="00335FA3"/>
    <w:rsid w:val="00341161"/>
    <w:rsid w:val="00343365"/>
    <w:rsid w:val="003445F4"/>
    <w:rsid w:val="00345902"/>
    <w:rsid w:val="00353501"/>
    <w:rsid w:val="00353734"/>
    <w:rsid w:val="003538D4"/>
    <w:rsid w:val="003606F8"/>
    <w:rsid w:val="00360BF0"/>
    <w:rsid w:val="0036142D"/>
    <w:rsid w:val="0036455A"/>
    <w:rsid w:val="003648EF"/>
    <w:rsid w:val="003673E6"/>
    <w:rsid w:val="00367EFF"/>
    <w:rsid w:val="0037038F"/>
    <w:rsid w:val="0037275B"/>
    <w:rsid w:val="00374349"/>
    <w:rsid w:val="00377264"/>
    <w:rsid w:val="003779D2"/>
    <w:rsid w:val="00380094"/>
    <w:rsid w:val="003810D3"/>
    <w:rsid w:val="00381F3C"/>
    <w:rsid w:val="00384186"/>
    <w:rsid w:val="003846CB"/>
    <w:rsid w:val="00385DE2"/>
    <w:rsid w:val="00385E38"/>
    <w:rsid w:val="00390DB7"/>
    <w:rsid w:val="003938F0"/>
    <w:rsid w:val="00394C71"/>
    <w:rsid w:val="003A1032"/>
    <w:rsid w:val="003A1155"/>
    <w:rsid w:val="003A26A5"/>
    <w:rsid w:val="003A3666"/>
    <w:rsid w:val="003A3761"/>
    <w:rsid w:val="003A512D"/>
    <w:rsid w:val="003A5FEA"/>
    <w:rsid w:val="003A710B"/>
    <w:rsid w:val="003B1D10"/>
    <w:rsid w:val="003B22C7"/>
    <w:rsid w:val="003B31FA"/>
    <w:rsid w:val="003B4918"/>
    <w:rsid w:val="003B4A76"/>
    <w:rsid w:val="003B5A67"/>
    <w:rsid w:val="003B6589"/>
    <w:rsid w:val="003C0F47"/>
    <w:rsid w:val="003C310C"/>
    <w:rsid w:val="003C438E"/>
    <w:rsid w:val="003C4607"/>
    <w:rsid w:val="003C76D4"/>
    <w:rsid w:val="003D06E7"/>
    <w:rsid w:val="003D137D"/>
    <w:rsid w:val="003D298A"/>
    <w:rsid w:val="003D2CC5"/>
    <w:rsid w:val="003D3CC4"/>
    <w:rsid w:val="003D3E5C"/>
    <w:rsid w:val="003D4565"/>
    <w:rsid w:val="003D65F7"/>
    <w:rsid w:val="003E01AC"/>
    <w:rsid w:val="003E04C1"/>
    <w:rsid w:val="003E0887"/>
    <w:rsid w:val="003E0FF6"/>
    <w:rsid w:val="003E1C46"/>
    <w:rsid w:val="003E5DAD"/>
    <w:rsid w:val="003E7342"/>
    <w:rsid w:val="003E74C8"/>
    <w:rsid w:val="003E74E2"/>
    <w:rsid w:val="003E7C46"/>
    <w:rsid w:val="003F06CC"/>
    <w:rsid w:val="003F14F9"/>
    <w:rsid w:val="003F19CB"/>
    <w:rsid w:val="003F2106"/>
    <w:rsid w:val="003F2561"/>
    <w:rsid w:val="003F3A58"/>
    <w:rsid w:val="003F52A7"/>
    <w:rsid w:val="003F68A4"/>
    <w:rsid w:val="003F6B0A"/>
    <w:rsid w:val="003F6D0C"/>
    <w:rsid w:val="003F7013"/>
    <w:rsid w:val="003F7483"/>
    <w:rsid w:val="003F7A5C"/>
    <w:rsid w:val="003F7D57"/>
    <w:rsid w:val="003F7F6A"/>
    <w:rsid w:val="0040240C"/>
    <w:rsid w:val="00402D96"/>
    <w:rsid w:val="00404EF1"/>
    <w:rsid w:val="00405F13"/>
    <w:rsid w:val="0040633B"/>
    <w:rsid w:val="00406414"/>
    <w:rsid w:val="00407D08"/>
    <w:rsid w:val="00412E0D"/>
    <w:rsid w:val="00413021"/>
    <w:rsid w:val="004130C7"/>
    <w:rsid w:val="00414C35"/>
    <w:rsid w:val="004154E7"/>
    <w:rsid w:val="00415C49"/>
    <w:rsid w:val="004171B7"/>
    <w:rsid w:val="004208F5"/>
    <w:rsid w:val="00422854"/>
    <w:rsid w:val="0042549D"/>
    <w:rsid w:val="00425713"/>
    <w:rsid w:val="00425D2E"/>
    <w:rsid w:val="004264C8"/>
    <w:rsid w:val="00426DF2"/>
    <w:rsid w:val="004301C6"/>
    <w:rsid w:val="00430BDE"/>
    <w:rsid w:val="00432139"/>
    <w:rsid w:val="0043478F"/>
    <w:rsid w:val="004351B9"/>
    <w:rsid w:val="0043602B"/>
    <w:rsid w:val="004367D2"/>
    <w:rsid w:val="00440BE0"/>
    <w:rsid w:val="00441E80"/>
    <w:rsid w:val="00442A06"/>
    <w:rsid w:val="00442C1C"/>
    <w:rsid w:val="004431D9"/>
    <w:rsid w:val="00444D02"/>
    <w:rsid w:val="0044584B"/>
    <w:rsid w:val="00447CB7"/>
    <w:rsid w:val="00450E99"/>
    <w:rsid w:val="004533EE"/>
    <w:rsid w:val="00454942"/>
    <w:rsid w:val="00455CC9"/>
    <w:rsid w:val="00457A13"/>
    <w:rsid w:val="00460826"/>
    <w:rsid w:val="00460B1E"/>
    <w:rsid w:val="00460EA7"/>
    <w:rsid w:val="0046195B"/>
    <w:rsid w:val="004632D0"/>
    <w:rsid w:val="004632D4"/>
    <w:rsid w:val="0046362D"/>
    <w:rsid w:val="004637A0"/>
    <w:rsid w:val="00465915"/>
    <w:rsid w:val="0046596D"/>
    <w:rsid w:val="004666AC"/>
    <w:rsid w:val="004705C6"/>
    <w:rsid w:val="004712B6"/>
    <w:rsid w:val="00475B23"/>
    <w:rsid w:val="00476278"/>
    <w:rsid w:val="00476B21"/>
    <w:rsid w:val="00476BBC"/>
    <w:rsid w:val="004772C6"/>
    <w:rsid w:val="004807D4"/>
    <w:rsid w:val="0048089C"/>
    <w:rsid w:val="00481E07"/>
    <w:rsid w:val="0048345C"/>
    <w:rsid w:val="00484AC6"/>
    <w:rsid w:val="004852AB"/>
    <w:rsid w:val="00486288"/>
    <w:rsid w:val="00486356"/>
    <w:rsid w:val="00487C04"/>
    <w:rsid w:val="004907E1"/>
    <w:rsid w:val="00491CAD"/>
    <w:rsid w:val="004936CE"/>
    <w:rsid w:val="00494C8E"/>
    <w:rsid w:val="004966E5"/>
    <w:rsid w:val="004A035B"/>
    <w:rsid w:val="004A2108"/>
    <w:rsid w:val="004A38D7"/>
    <w:rsid w:val="004A3F9B"/>
    <w:rsid w:val="004A778C"/>
    <w:rsid w:val="004A7CAA"/>
    <w:rsid w:val="004A7FBD"/>
    <w:rsid w:val="004B14DD"/>
    <w:rsid w:val="004B48C7"/>
    <w:rsid w:val="004B5068"/>
    <w:rsid w:val="004B55B1"/>
    <w:rsid w:val="004B58E4"/>
    <w:rsid w:val="004B6D2A"/>
    <w:rsid w:val="004C1940"/>
    <w:rsid w:val="004C2C33"/>
    <w:rsid w:val="004C2C34"/>
    <w:rsid w:val="004C2E6A"/>
    <w:rsid w:val="004C5513"/>
    <w:rsid w:val="004C64B8"/>
    <w:rsid w:val="004D045D"/>
    <w:rsid w:val="004D0EEA"/>
    <w:rsid w:val="004D19C6"/>
    <w:rsid w:val="004D2A2D"/>
    <w:rsid w:val="004D479F"/>
    <w:rsid w:val="004D6689"/>
    <w:rsid w:val="004D6E02"/>
    <w:rsid w:val="004D7FBB"/>
    <w:rsid w:val="004E0726"/>
    <w:rsid w:val="004E073E"/>
    <w:rsid w:val="004E0BF7"/>
    <w:rsid w:val="004E1D1D"/>
    <w:rsid w:val="004E2A69"/>
    <w:rsid w:val="004E77D1"/>
    <w:rsid w:val="004E7AC8"/>
    <w:rsid w:val="004F05F4"/>
    <w:rsid w:val="004F0C94"/>
    <w:rsid w:val="004F1727"/>
    <w:rsid w:val="004F4514"/>
    <w:rsid w:val="004F4E9A"/>
    <w:rsid w:val="004F59CB"/>
    <w:rsid w:val="004F710D"/>
    <w:rsid w:val="005019AE"/>
    <w:rsid w:val="0050211B"/>
    <w:rsid w:val="00503348"/>
    <w:rsid w:val="00503749"/>
    <w:rsid w:val="00503D59"/>
    <w:rsid w:val="00504CF4"/>
    <w:rsid w:val="0050635B"/>
    <w:rsid w:val="005075B3"/>
    <w:rsid w:val="00510C65"/>
    <w:rsid w:val="00512760"/>
    <w:rsid w:val="005151C2"/>
    <w:rsid w:val="005160D6"/>
    <w:rsid w:val="0052031C"/>
    <w:rsid w:val="00520819"/>
    <w:rsid w:val="00522C36"/>
    <w:rsid w:val="0052666E"/>
    <w:rsid w:val="00526DA0"/>
    <w:rsid w:val="00526EB0"/>
    <w:rsid w:val="005275E8"/>
    <w:rsid w:val="00527767"/>
    <w:rsid w:val="005309FE"/>
    <w:rsid w:val="00531058"/>
    <w:rsid w:val="0053199F"/>
    <w:rsid w:val="00531E12"/>
    <w:rsid w:val="00533B90"/>
    <w:rsid w:val="00534672"/>
    <w:rsid w:val="005360B2"/>
    <w:rsid w:val="005410F8"/>
    <w:rsid w:val="0054267F"/>
    <w:rsid w:val="005445A1"/>
    <w:rsid w:val="005448EC"/>
    <w:rsid w:val="00545963"/>
    <w:rsid w:val="00550166"/>
    <w:rsid w:val="00550256"/>
    <w:rsid w:val="00553165"/>
    <w:rsid w:val="00553958"/>
    <w:rsid w:val="00556BB7"/>
    <w:rsid w:val="00556F2F"/>
    <w:rsid w:val="0055763D"/>
    <w:rsid w:val="00557FFA"/>
    <w:rsid w:val="0056052A"/>
    <w:rsid w:val="00561516"/>
    <w:rsid w:val="005621F2"/>
    <w:rsid w:val="005658E3"/>
    <w:rsid w:val="00566055"/>
    <w:rsid w:val="00567B58"/>
    <w:rsid w:val="00571223"/>
    <w:rsid w:val="00572E7D"/>
    <w:rsid w:val="00572EC6"/>
    <w:rsid w:val="005763E0"/>
    <w:rsid w:val="00581136"/>
    <w:rsid w:val="00581EB8"/>
    <w:rsid w:val="005839E7"/>
    <w:rsid w:val="0058437F"/>
    <w:rsid w:val="00584B89"/>
    <w:rsid w:val="00587F56"/>
    <w:rsid w:val="00590DFE"/>
    <w:rsid w:val="005911E3"/>
    <w:rsid w:val="005923EE"/>
    <w:rsid w:val="00592411"/>
    <w:rsid w:val="005954D9"/>
    <w:rsid w:val="005A050E"/>
    <w:rsid w:val="005A1EAF"/>
    <w:rsid w:val="005A27CA"/>
    <w:rsid w:val="005A43BD"/>
    <w:rsid w:val="005A44CE"/>
    <w:rsid w:val="005A5386"/>
    <w:rsid w:val="005A588B"/>
    <w:rsid w:val="005A7322"/>
    <w:rsid w:val="005A79E5"/>
    <w:rsid w:val="005B1783"/>
    <w:rsid w:val="005B278B"/>
    <w:rsid w:val="005B2EF2"/>
    <w:rsid w:val="005B674E"/>
    <w:rsid w:val="005B7423"/>
    <w:rsid w:val="005C2889"/>
    <w:rsid w:val="005C3553"/>
    <w:rsid w:val="005C5F99"/>
    <w:rsid w:val="005D034C"/>
    <w:rsid w:val="005D0C41"/>
    <w:rsid w:val="005D0F9B"/>
    <w:rsid w:val="005D253A"/>
    <w:rsid w:val="005D46CA"/>
    <w:rsid w:val="005D6D74"/>
    <w:rsid w:val="005D78A5"/>
    <w:rsid w:val="005E076D"/>
    <w:rsid w:val="005E0AF3"/>
    <w:rsid w:val="005E0C0E"/>
    <w:rsid w:val="005E2004"/>
    <w:rsid w:val="005E226E"/>
    <w:rsid w:val="005E2636"/>
    <w:rsid w:val="005E6F0F"/>
    <w:rsid w:val="005F4136"/>
    <w:rsid w:val="005F54D2"/>
    <w:rsid w:val="005F759A"/>
    <w:rsid w:val="006015D7"/>
    <w:rsid w:val="00601B21"/>
    <w:rsid w:val="0060345C"/>
    <w:rsid w:val="006041F0"/>
    <w:rsid w:val="006046D8"/>
    <w:rsid w:val="00605C6D"/>
    <w:rsid w:val="00606000"/>
    <w:rsid w:val="006075CD"/>
    <w:rsid w:val="00610FA0"/>
    <w:rsid w:val="006120CA"/>
    <w:rsid w:val="0061443A"/>
    <w:rsid w:val="00614896"/>
    <w:rsid w:val="00624174"/>
    <w:rsid w:val="00624555"/>
    <w:rsid w:val="006255D0"/>
    <w:rsid w:val="00625CD3"/>
    <w:rsid w:val="00626CF8"/>
    <w:rsid w:val="00626F73"/>
    <w:rsid w:val="006314AF"/>
    <w:rsid w:val="00631F8B"/>
    <w:rsid w:val="00632DB8"/>
    <w:rsid w:val="00633152"/>
    <w:rsid w:val="00634003"/>
    <w:rsid w:val="006344C6"/>
    <w:rsid w:val="00634ED8"/>
    <w:rsid w:val="006353C9"/>
    <w:rsid w:val="006355D9"/>
    <w:rsid w:val="006360E0"/>
    <w:rsid w:val="00636D7D"/>
    <w:rsid w:val="00637408"/>
    <w:rsid w:val="00640C23"/>
    <w:rsid w:val="00641133"/>
    <w:rsid w:val="00642868"/>
    <w:rsid w:val="00643260"/>
    <w:rsid w:val="00643274"/>
    <w:rsid w:val="00643A46"/>
    <w:rsid w:val="00645552"/>
    <w:rsid w:val="00647AFE"/>
    <w:rsid w:val="00650417"/>
    <w:rsid w:val="00650F20"/>
    <w:rsid w:val="006512BC"/>
    <w:rsid w:val="0065325A"/>
    <w:rsid w:val="00653A5A"/>
    <w:rsid w:val="006554AC"/>
    <w:rsid w:val="00656F28"/>
    <w:rsid w:val="006575F4"/>
    <w:rsid w:val="006579E6"/>
    <w:rsid w:val="00660682"/>
    <w:rsid w:val="00660F74"/>
    <w:rsid w:val="006616E4"/>
    <w:rsid w:val="00663D27"/>
    <w:rsid w:val="00663EDC"/>
    <w:rsid w:val="00663F18"/>
    <w:rsid w:val="00671078"/>
    <w:rsid w:val="00671220"/>
    <w:rsid w:val="006712AF"/>
    <w:rsid w:val="0067158A"/>
    <w:rsid w:val="00671725"/>
    <w:rsid w:val="00672A84"/>
    <w:rsid w:val="00674444"/>
    <w:rsid w:val="006758CA"/>
    <w:rsid w:val="00675A96"/>
    <w:rsid w:val="006777B1"/>
    <w:rsid w:val="00680A04"/>
    <w:rsid w:val="00680C53"/>
    <w:rsid w:val="0068146A"/>
    <w:rsid w:val="006821C3"/>
    <w:rsid w:val="00686D80"/>
    <w:rsid w:val="00686E8F"/>
    <w:rsid w:val="00692008"/>
    <w:rsid w:val="0069404B"/>
    <w:rsid w:val="00694895"/>
    <w:rsid w:val="006965D2"/>
    <w:rsid w:val="0069770E"/>
    <w:rsid w:val="00697E2E"/>
    <w:rsid w:val="006A0312"/>
    <w:rsid w:val="006A21C3"/>
    <w:rsid w:val="006A25A2"/>
    <w:rsid w:val="006A386B"/>
    <w:rsid w:val="006A39B6"/>
    <w:rsid w:val="006A3B87"/>
    <w:rsid w:val="006A4377"/>
    <w:rsid w:val="006A46F5"/>
    <w:rsid w:val="006A6B8D"/>
    <w:rsid w:val="006A7E76"/>
    <w:rsid w:val="006B0A88"/>
    <w:rsid w:val="006B0E73"/>
    <w:rsid w:val="006B1E3D"/>
    <w:rsid w:val="006B348D"/>
    <w:rsid w:val="006B4A4D"/>
    <w:rsid w:val="006B5695"/>
    <w:rsid w:val="006B62E6"/>
    <w:rsid w:val="006B7B2E"/>
    <w:rsid w:val="006C0AA0"/>
    <w:rsid w:val="006C1523"/>
    <w:rsid w:val="006C1E8D"/>
    <w:rsid w:val="006C5402"/>
    <w:rsid w:val="006C78EB"/>
    <w:rsid w:val="006C7EEC"/>
    <w:rsid w:val="006C7EF6"/>
    <w:rsid w:val="006D0F94"/>
    <w:rsid w:val="006D1660"/>
    <w:rsid w:val="006D16E3"/>
    <w:rsid w:val="006D63E5"/>
    <w:rsid w:val="006D6F5F"/>
    <w:rsid w:val="006E07E9"/>
    <w:rsid w:val="006E1109"/>
    <w:rsid w:val="006E1753"/>
    <w:rsid w:val="006E2886"/>
    <w:rsid w:val="006E3911"/>
    <w:rsid w:val="006E69F4"/>
    <w:rsid w:val="006E6D19"/>
    <w:rsid w:val="006F128D"/>
    <w:rsid w:val="006F1B67"/>
    <w:rsid w:val="006F33BA"/>
    <w:rsid w:val="006F4D9C"/>
    <w:rsid w:val="006F728E"/>
    <w:rsid w:val="0070091D"/>
    <w:rsid w:val="00702854"/>
    <w:rsid w:val="00702A3A"/>
    <w:rsid w:val="00702CCF"/>
    <w:rsid w:val="007041CB"/>
    <w:rsid w:val="007044A7"/>
    <w:rsid w:val="007057E1"/>
    <w:rsid w:val="007064CD"/>
    <w:rsid w:val="00706966"/>
    <w:rsid w:val="00707D8C"/>
    <w:rsid w:val="00707E74"/>
    <w:rsid w:val="0071741C"/>
    <w:rsid w:val="0072066A"/>
    <w:rsid w:val="00720A01"/>
    <w:rsid w:val="00722E7C"/>
    <w:rsid w:val="007307BD"/>
    <w:rsid w:val="007403B0"/>
    <w:rsid w:val="00742B90"/>
    <w:rsid w:val="0074434D"/>
    <w:rsid w:val="007443A2"/>
    <w:rsid w:val="00745994"/>
    <w:rsid w:val="0075169A"/>
    <w:rsid w:val="007527B3"/>
    <w:rsid w:val="00752E53"/>
    <w:rsid w:val="007533D5"/>
    <w:rsid w:val="00754B5C"/>
    <w:rsid w:val="00756EA0"/>
    <w:rsid w:val="007570C4"/>
    <w:rsid w:val="007605B8"/>
    <w:rsid w:val="00760BAC"/>
    <w:rsid w:val="007624BA"/>
    <w:rsid w:val="007650D1"/>
    <w:rsid w:val="00770F4F"/>
    <w:rsid w:val="00771B1E"/>
    <w:rsid w:val="00773C95"/>
    <w:rsid w:val="00774021"/>
    <w:rsid w:val="00775E30"/>
    <w:rsid w:val="0078171E"/>
    <w:rsid w:val="007824C9"/>
    <w:rsid w:val="007856A6"/>
    <w:rsid w:val="0078658E"/>
    <w:rsid w:val="00787615"/>
    <w:rsid w:val="007920E2"/>
    <w:rsid w:val="00795493"/>
    <w:rsid w:val="0079566E"/>
    <w:rsid w:val="00795B34"/>
    <w:rsid w:val="007A067F"/>
    <w:rsid w:val="007A0805"/>
    <w:rsid w:val="007A3F14"/>
    <w:rsid w:val="007A5C7D"/>
    <w:rsid w:val="007A7E5E"/>
    <w:rsid w:val="007B1770"/>
    <w:rsid w:val="007B1FC3"/>
    <w:rsid w:val="007B228A"/>
    <w:rsid w:val="007B32FD"/>
    <w:rsid w:val="007B4247"/>
    <w:rsid w:val="007B4D3E"/>
    <w:rsid w:val="007B587E"/>
    <w:rsid w:val="007B698C"/>
    <w:rsid w:val="007B7283"/>
    <w:rsid w:val="007B7A92"/>
    <w:rsid w:val="007B7C70"/>
    <w:rsid w:val="007B7DEB"/>
    <w:rsid w:val="007C0449"/>
    <w:rsid w:val="007C1A08"/>
    <w:rsid w:val="007C43B6"/>
    <w:rsid w:val="007C5263"/>
    <w:rsid w:val="007C5873"/>
    <w:rsid w:val="007D197E"/>
    <w:rsid w:val="007D1B55"/>
    <w:rsid w:val="007D2151"/>
    <w:rsid w:val="007D2D18"/>
    <w:rsid w:val="007D3A71"/>
    <w:rsid w:val="007D3B90"/>
    <w:rsid w:val="007D42CC"/>
    <w:rsid w:val="007D5DE4"/>
    <w:rsid w:val="007D7C3A"/>
    <w:rsid w:val="007E0544"/>
    <w:rsid w:val="007E0777"/>
    <w:rsid w:val="007E115B"/>
    <w:rsid w:val="007E1341"/>
    <w:rsid w:val="007E1550"/>
    <w:rsid w:val="007E1B41"/>
    <w:rsid w:val="007E1EC4"/>
    <w:rsid w:val="007E30B9"/>
    <w:rsid w:val="007E317D"/>
    <w:rsid w:val="007E568E"/>
    <w:rsid w:val="007E5D3F"/>
    <w:rsid w:val="007E74F1"/>
    <w:rsid w:val="007F0F0C"/>
    <w:rsid w:val="007F1288"/>
    <w:rsid w:val="007F1FC4"/>
    <w:rsid w:val="007F2C7C"/>
    <w:rsid w:val="007F338C"/>
    <w:rsid w:val="007F36AC"/>
    <w:rsid w:val="007F3E11"/>
    <w:rsid w:val="007F46EF"/>
    <w:rsid w:val="007F484D"/>
    <w:rsid w:val="007F61EC"/>
    <w:rsid w:val="007F6213"/>
    <w:rsid w:val="007F695B"/>
    <w:rsid w:val="00800358"/>
    <w:rsid w:val="00800A8A"/>
    <w:rsid w:val="0080155C"/>
    <w:rsid w:val="008017B4"/>
    <w:rsid w:val="008052A9"/>
    <w:rsid w:val="008052E1"/>
    <w:rsid w:val="00805EF2"/>
    <w:rsid w:val="008116BD"/>
    <w:rsid w:val="008117C4"/>
    <w:rsid w:val="00811E8D"/>
    <w:rsid w:val="00811EEB"/>
    <w:rsid w:val="008150DF"/>
    <w:rsid w:val="008158D6"/>
    <w:rsid w:val="00816A45"/>
    <w:rsid w:val="0082081A"/>
    <w:rsid w:val="00822F2C"/>
    <w:rsid w:val="00823DEE"/>
    <w:rsid w:val="0082557F"/>
    <w:rsid w:val="008305E8"/>
    <w:rsid w:val="008306F0"/>
    <w:rsid w:val="00832401"/>
    <w:rsid w:val="00835DFA"/>
    <w:rsid w:val="00836165"/>
    <w:rsid w:val="008365B2"/>
    <w:rsid w:val="0083664D"/>
    <w:rsid w:val="0083794E"/>
    <w:rsid w:val="0084161C"/>
    <w:rsid w:val="008417A3"/>
    <w:rsid w:val="00841A1C"/>
    <w:rsid w:val="00842ED4"/>
    <w:rsid w:val="0084640C"/>
    <w:rsid w:val="00850955"/>
    <w:rsid w:val="00852675"/>
    <w:rsid w:val="00856088"/>
    <w:rsid w:val="008573F6"/>
    <w:rsid w:val="00857451"/>
    <w:rsid w:val="00860122"/>
    <w:rsid w:val="00860826"/>
    <w:rsid w:val="00860A92"/>
    <w:rsid w:val="00860E21"/>
    <w:rsid w:val="008621B5"/>
    <w:rsid w:val="00863117"/>
    <w:rsid w:val="00863758"/>
    <w:rsid w:val="0086388B"/>
    <w:rsid w:val="008642E5"/>
    <w:rsid w:val="00864488"/>
    <w:rsid w:val="00870A36"/>
    <w:rsid w:val="0087119D"/>
    <w:rsid w:val="00872D93"/>
    <w:rsid w:val="00872DAA"/>
    <w:rsid w:val="00874D0D"/>
    <w:rsid w:val="008767EA"/>
    <w:rsid w:val="00880470"/>
    <w:rsid w:val="00880D94"/>
    <w:rsid w:val="008814E8"/>
    <w:rsid w:val="00885E1F"/>
    <w:rsid w:val="00886F64"/>
    <w:rsid w:val="00887BAB"/>
    <w:rsid w:val="008924DE"/>
    <w:rsid w:val="00892F01"/>
    <w:rsid w:val="00895746"/>
    <w:rsid w:val="008A0B8F"/>
    <w:rsid w:val="008A3755"/>
    <w:rsid w:val="008A4BAC"/>
    <w:rsid w:val="008A5B6D"/>
    <w:rsid w:val="008A706B"/>
    <w:rsid w:val="008B0D60"/>
    <w:rsid w:val="008B19DC"/>
    <w:rsid w:val="008B1C6F"/>
    <w:rsid w:val="008B264F"/>
    <w:rsid w:val="008B3AA0"/>
    <w:rsid w:val="008B3E62"/>
    <w:rsid w:val="008B5F77"/>
    <w:rsid w:val="008B64A9"/>
    <w:rsid w:val="008B6F83"/>
    <w:rsid w:val="008B7022"/>
    <w:rsid w:val="008B72D3"/>
    <w:rsid w:val="008B7FD8"/>
    <w:rsid w:val="008C0F1A"/>
    <w:rsid w:val="008C231D"/>
    <w:rsid w:val="008C2973"/>
    <w:rsid w:val="008C6324"/>
    <w:rsid w:val="008C645A"/>
    <w:rsid w:val="008C64C4"/>
    <w:rsid w:val="008D1AF7"/>
    <w:rsid w:val="008D2CDD"/>
    <w:rsid w:val="008D5C98"/>
    <w:rsid w:val="008D74D5"/>
    <w:rsid w:val="008D7C9F"/>
    <w:rsid w:val="008E04BA"/>
    <w:rsid w:val="008E0C53"/>
    <w:rsid w:val="008E0ED1"/>
    <w:rsid w:val="008E2083"/>
    <w:rsid w:val="008E2BFB"/>
    <w:rsid w:val="008E2EB8"/>
    <w:rsid w:val="008E3A07"/>
    <w:rsid w:val="008E4E81"/>
    <w:rsid w:val="008E537B"/>
    <w:rsid w:val="008E7C06"/>
    <w:rsid w:val="008F201A"/>
    <w:rsid w:val="008F21C3"/>
    <w:rsid w:val="008F29BE"/>
    <w:rsid w:val="008F3716"/>
    <w:rsid w:val="008F428A"/>
    <w:rsid w:val="008F4481"/>
    <w:rsid w:val="008F4AE5"/>
    <w:rsid w:val="008F51EB"/>
    <w:rsid w:val="008F639C"/>
    <w:rsid w:val="008F6AD6"/>
    <w:rsid w:val="00900197"/>
    <w:rsid w:val="009001F1"/>
    <w:rsid w:val="00902D14"/>
    <w:rsid w:val="00902F15"/>
    <w:rsid w:val="00902F55"/>
    <w:rsid w:val="0090336F"/>
    <w:rsid w:val="00905418"/>
    <w:rsid w:val="0090582B"/>
    <w:rsid w:val="009060C0"/>
    <w:rsid w:val="00907A20"/>
    <w:rsid w:val="00907FBD"/>
    <w:rsid w:val="009133F5"/>
    <w:rsid w:val="0091399F"/>
    <w:rsid w:val="00913CE0"/>
    <w:rsid w:val="0091756F"/>
    <w:rsid w:val="00920A27"/>
    <w:rsid w:val="00921216"/>
    <w:rsid w:val="009216CC"/>
    <w:rsid w:val="00922E41"/>
    <w:rsid w:val="009239B3"/>
    <w:rsid w:val="00924621"/>
    <w:rsid w:val="00924C3B"/>
    <w:rsid w:val="00925892"/>
    <w:rsid w:val="00926083"/>
    <w:rsid w:val="00926D08"/>
    <w:rsid w:val="00930D08"/>
    <w:rsid w:val="00931466"/>
    <w:rsid w:val="00932D69"/>
    <w:rsid w:val="00932F28"/>
    <w:rsid w:val="00933415"/>
    <w:rsid w:val="00933D49"/>
    <w:rsid w:val="0093438D"/>
    <w:rsid w:val="009354FD"/>
    <w:rsid w:val="00935589"/>
    <w:rsid w:val="009355D3"/>
    <w:rsid w:val="00935B13"/>
    <w:rsid w:val="00937408"/>
    <w:rsid w:val="00937958"/>
    <w:rsid w:val="00937FEB"/>
    <w:rsid w:val="0094100E"/>
    <w:rsid w:val="009414F5"/>
    <w:rsid w:val="009427FA"/>
    <w:rsid w:val="00944647"/>
    <w:rsid w:val="009450E8"/>
    <w:rsid w:val="009469E2"/>
    <w:rsid w:val="00954EA1"/>
    <w:rsid w:val="0095527F"/>
    <w:rsid w:val="009554B7"/>
    <w:rsid w:val="0095565C"/>
    <w:rsid w:val="00957833"/>
    <w:rsid w:val="009611AE"/>
    <w:rsid w:val="0096137D"/>
    <w:rsid w:val="00961704"/>
    <w:rsid w:val="00963CA3"/>
    <w:rsid w:val="00964AB6"/>
    <w:rsid w:val="00965955"/>
    <w:rsid w:val="00966F9A"/>
    <w:rsid w:val="0097033F"/>
    <w:rsid w:val="009719ED"/>
    <w:rsid w:val="0097421E"/>
    <w:rsid w:val="0097661D"/>
    <w:rsid w:val="00976BCE"/>
    <w:rsid w:val="009776FE"/>
    <w:rsid w:val="00977B8A"/>
    <w:rsid w:val="00977BAD"/>
    <w:rsid w:val="009825A4"/>
    <w:rsid w:val="00982971"/>
    <w:rsid w:val="009845AD"/>
    <w:rsid w:val="00984835"/>
    <w:rsid w:val="009933EF"/>
    <w:rsid w:val="00995A78"/>
    <w:rsid w:val="00995BA0"/>
    <w:rsid w:val="009A418B"/>
    <w:rsid w:val="009A426F"/>
    <w:rsid w:val="009A42D5"/>
    <w:rsid w:val="009A4473"/>
    <w:rsid w:val="009A50E6"/>
    <w:rsid w:val="009A5E74"/>
    <w:rsid w:val="009A7227"/>
    <w:rsid w:val="009A78EE"/>
    <w:rsid w:val="009B05C9"/>
    <w:rsid w:val="009B2347"/>
    <w:rsid w:val="009B286C"/>
    <w:rsid w:val="009B4EDA"/>
    <w:rsid w:val="009B7EEB"/>
    <w:rsid w:val="009C151C"/>
    <w:rsid w:val="009C1AEC"/>
    <w:rsid w:val="009C1CD5"/>
    <w:rsid w:val="009C26E7"/>
    <w:rsid w:val="009C2D8A"/>
    <w:rsid w:val="009C440A"/>
    <w:rsid w:val="009D5125"/>
    <w:rsid w:val="009D60B8"/>
    <w:rsid w:val="009D7D4B"/>
    <w:rsid w:val="009E36ED"/>
    <w:rsid w:val="009E3B47"/>
    <w:rsid w:val="009E3C8C"/>
    <w:rsid w:val="009E583C"/>
    <w:rsid w:val="009E6886"/>
    <w:rsid w:val="009E6B77"/>
    <w:rsid w:val="009F192F"/>
    <w:rsid w:val="009F4372"/>
    <w:rsid w:val="009F460A"/>
    <w:rsid w:val="009F5F96"/>
    <w:rsid w:val="009F6EB2"/>
    <w:rsid w:val="00A01B68"/>
    <w:rsid w:val="00A043FB"/>
    <w:rsid w:val="00A047D4"/>
    <w:rsid w:val="00A04B03"/>
    <w:rsid w:val="00A0579E"/>
    <w:rsid w:val="00A06BE4"/>
    <w:rsid w:val="00A0729C"/>
    <w:rsid w:val="00A073CF"/>
    <w:rsid w:val="00A0754B"/>
    <w:rsid w:val="00A07779"/>
    <w:rsid w:val="00A1166A"/>
    <w:rsid w:val="00A11EBC"/>
    <w:rsid w:val="00A1280F"/>
    <w:rsid w:val="00A128A0"/>
    <w:rsid w:val="00A13540"/>
    <w:rsid w:val="00A1427A"/>
    <w:rsid w:val="00A1696A"/>
    <w:rsid w:val="00A20B2E"/>
    <w:rsid w:val="00A24F33"/>
    <w:rsid w:val="00A25069"/>
    <w:rsid w:val="00A25547"/>
    <w:rsid w:val="00A26082"/>
    <w:rsid w:val="00A26CD1"/>
    <w:rsid w:val="00A26E6B"/>
    <w:rsid w:val="00A27851"/>
    <w:rsid w:val="00A3068F"/>
    <w:rsid w:val="00A3145B"/>
    <w:rsid w:val="00A339D0"/>
    <w:rsid w:val="00A33A42"/>
    <w:rsid w:val="00A3415C"/>
    <w:rsid w:val="00A40362"/>
    <w:rsid w:val="00A41002"/>
    <w:rsid w:val="00A4201A"/>
    <w:rsid w:val="00A42CFC"/>
    <w:rsid w:val="00A443A7"/>
    <w:rsid w:val="00A45036"/>
    <w:rsid w:val="00A45DF0"/>
    <w:rsid w:val="00A533E7"/>
    <w:rsid w:val="00A53BB8"/>
    <w:rsid w:val="00A5465D"/>
    <w:rsid w:val="00A553CE"/>
    <w:rsid w:val="00A5677A"/>
    <w:rsid w:val="00A56DCC"/>
    <w:rsid w:val="00A625E8"/>
    <w:rsid w:val="00A63DFF"/>
    <w:rsid w:val="00A64496"/>
    <w:rsid w:val="00A6490D"/>
    <w:rsid w:val="00A667AF"/>
    <w:rsid w:val="00A67033"/>
    <w:rsid w:val="00A7415D"/>
    <w:rsid w:val="00A80363"/>
    <w:rsid w:val="00A80939"/>
    <w:rsid w:val="00A82E7C"/>
    <w:rsid w:val="00A83E9D"/>
    <w:rsid w:val="00A87C05"/>
    <w:rsid w:val="00A9169D"/>
    <w:rsid w:val="00A91D5F"/>
    <w:rsid w:val="00A93094"/>
    <w:rsid w:val="00A9325F"/>
    <w:rsid w:val="00A93598"/>
    <w:rsid w:val="00A94135"/>
    <w:rsid w:val="00A94140"/>
    <w:rsid w:val="00A94FE2"/>
    <w:rsid w:val="00A97A3A"/>
    <w:rsid w:val="00A97E80"/>
    <w:rsid w:val="00AA0378"/>
    <w:rsid w:val="00AA1FC7"/>
    <w:rsid w:val="00AA240C"/>
    <w:rsid w:val="00AA2A02"/>
    <w:rsid w:val="00AA2F84"/>
    <w:rsid w:val="00AA4E90"/>
    <w:rsid w:val="00AA6CD2"/>
    <w:rsid w:val="00AB0332"/>
    <w:rsid w:val="00AB1A35"/>
    <w:rsid w:val="00AB1EE5"/>
    <w:rsid w:val="00AB7FE8"/>
    <w:rsid w:val="00AC101C"/>
    <w:rsid w:val="00AC2CDE"/>
    <w:rsid w:val="00AC4A67"/>
    <w:rsid w:val="00AD0C7F"/>
    <w:rsid w:val="00AD398A"/>
    <w:rsid w:val="00AD4CF1"/>
    <w:rsid w:val="00AD5988"/>
    <w:rsid w:val="00AD6293"/>
    <w:rsid w:val="00AE0CE0"/>
    <w:rsid w:val="00AE1643"/>
    <w:rsid w:val="00AE16AF"/>
    <w:rsid w:val="00AE3F92"/>
    <w:rsid w:val="00AE6B0D"/>
    <w:rsid w:val="00AF0CE1"/>
    <w:rsid w:val="00AF2FE0"/>
    <w:rsid w:val="00AF372E"/>
    <w:rsid w:val="00AF68AC"/>
    <w:rsid w:val="00AF6B74"/>
    <w:rsid w:val="00AF7800"/>
    <w:rsid w:val="00B00CF5"/>
    <w:rsid w:val="00B0292E"/>
    <w:rsid w:val="00B0627E"/>
    <w:rsid w:val="00B066E2"/>
    <w:rsid w:val="00B072E0"/>
    <w:rsid w:val="00B1007E"/>
    <w:rsid w:val="00B124A7"/>
    <w:rsid w:val="00B13D41"/>
    <w:rsid w:val="00B20D33"/>
    <w:rsid w:val="00B21AA0"/>
    <w:rsid w:val="00B2293B"/>
    <w:rsid w:val="00B253F6"/>
    <w:rsid w:val="00B26675"/>
    <w:rsid w:val="00B27A3A"/>
    <w:rsid w:val="00B305DB"/>
    <w:rsid w:val="00B31EF8"/>
    <w:rsid w:val="00B332F8"/>
    <w:rsid w:val="00B3492B"/>
    <w:rsid w:val="00B352E6"/>
    <w:rsid w:val="00B44235"/>
    <w:rsid w:val="00B4646F"/>
    <w:rsid w:val="00B50286"/>
    <w:rsid w:val="00B5214A"/>
    <w:rsid w:val="00B5302A"/>
    <w:rsid w:val="00B53550"/>
    <w:rsid w:val="00B55C7D"/>
    <w:rsid w:val="00B56733"/>
    <w:rsid w:val="00B6210B"/>
    <w:rsid w:val="00B6282E"/>
    <w:rsid w:val="00B629C4"/>
    <w:rsid w:val="00B63038"/>
    <w:rsid w:val="00B63726"/>
    <w:rsid w:val="00B641C8"/>
    <w:rsid w:val="00B64BD8"/>
    <w:rsid w:val="00B701D1"/>
    <w:rsid w:val="00B70D0B"/>
    <w:rsid w:val="00B734F4"/>
    <w:rsid w:val="00B73AF2"/>
    <w:rsid w:val="00B73D79"/>
    <w:rsid w:val="00B7548E"/>
    <w:rsid w:val="00B7551A"/>
    <w:rsid w:val="00B76AC0"/>
    <w:rsid w:val="00B773F1"/>
    <w:rsid w:val="00B86AB1"/>
    <w:rsid w:val="00B87297"/>
    <w:rsid w:val="00B87726"/>
    <w:rsid w:val="00B91B22"/>
    <w:rsid w:val="00B9788C"/>
    <w:rsid w:val="00BA26B7"/>
    <w:rsid w:val="00BA61AC"/>
    <w:rsid w:val="00BA73EA"/>
    <w:rsid w:val="00BA7EBA"/>
    <w:rsid w:val="00BB03E1"/>
    <w:rsid w:val="00BB2A06"/>
    <w:rsid w:val="00BB2CBB"/>
    <w:rsid w:val="00BB4198"/>
    <w:rsid w:val="00BC03EE"/>
    <w:rsid w:val="00BC1971"/>
    <w:rsid w:val="00BC29CC"/>
    <w:rsid w:val="00BC44E8"/>
    <w:rsid w:val="00BC59F1"/>
    <w:rsid w:val="00BC5A77"/>
    <w:rsid w:val="00BD15DB"/>
    <w:rsid w:val="00BD221F"/>
    <w:rsid w:val="00BD3FD7"/>
    <w:rsid w:val="00BD488E"/>
    <w:rsid w:val="00BE01CC"/>
    <w:rsid w:val="00BE168D"/>
    <w:rsid w:val="00BE386B"/>
    <w:rsid w:val="00BE408E"/>
    <w:rsid w:val="00BE6128"/>
    <w:rsid w:val="00BE651B"/>
    <w:rsid w:val="00BE78BB"/>
    <w:rsid w:val="00BF04E7"/>
    <w:rsid w:val="00BF3DE1"/>
    <w:rsid w:val="00BF4386"/>
    <w:rsid w:val="00BF4843"/>
    <w:rsid w:val="00BF5205"/>
    <w:rsid w:val="00BF724B"/>
    <w:rsid w:val="00C00952"/>
    <w:rsid w:val="00C02746"/>
    <w:rsid w:val="00C02FBA"/>
    <w:rsid w:val="00C04A5C"/>
    <w:rsid w:val="00C05132"/>
    <w:rsid w:val="00C118EB"/>
    <w:rsid w:val="00C12508"/>
    <w:rsid w:val="00C17CE1"/>
    <w:rsid w:val="00C21F83"/>
    <w:rsid w:val="00C223A2"/>
    <w:rsid w:val="00C22E91"/>
    <w:rsid w:val="00C23728"/>
    <w:rsid w:val="00C25F30"/>
    <w:rsid w:val="00C3026C"/>
    <w:rsid w:val="00C313A9"/>
    <w:rsid w:val="00C31ECB"/>
    <w:rsid w:val="00C347C8"/>
    <w:rsid w:val="00C34A29"/>
    <w:rsid w:val="00C358E4"/>
    <w:rsid w:val="00C37D63"/>
    <w:rsid w:val="00C4184C"/>
    <w:rsid w:val="00C418EE"/>
    <w:rsid w:val="00C41D5D"/>
    <w:rsid w:val="00C41F46"/>
    <w:rsid w:val="00C4216F"/>
    <w:rsid w:val="00C42388"/>
    <w:rsid w:val="00C441CF"/>
    <w:rsid w:val="00C45777"/>
    <w:rsid w:val="00C45AA2"/>
    <w:rsid w:val="00C46E44"/>
    <w:rsid w:val="00C4792C"/>
    <w:rsid w:val="00C53952"/>
    <w:rsid w:val="00C55726"/>
    <w:rsid w:val="00C55BEF"/>
    <w:rsid w:val="00C5711F"/>
    <w:rsid w:val="00C57C00"/>
    <w:rsid w:val="00C601AF"/>
    <w:rsid w:val="00C61A63"/>
    <w:rsid w:val="00C66296"/>
    <w:rsid w:val="00C6680E"/>
    <w:rsid w:val="00C70A1C"/>
    <w:rsid w:val="00C712FD"/>
    <w:rsid w:val="00C7144B"/>
    <w:rsid w:val="00C7173D"/>
    <w:rsid w:val="00C73251"/>
    <w:rsid w:val="00C7394D"/>
    <w:rsid w:val="00C73A37"/>
    <w:rsid w:val="00C756B7"/>
    <w:rsid w:val="00C77282"/>
    <w:rsid w:val="00C77CC2"/>
    <w:rsid w:val="00C84DE5"/>
    <w:rsid w:val="00C86248"/>
    <w:rsid w:val="00C90B31"/>
    <w:rsid w:val="00C91588"/>
    <w:rsid w:val="00C920CB"/>
    <w:rsid w:val="00CA0C20"/>
    <w:rsid w:val="00CA0D6F"/>
    <w:rsid w:val="00CA1E37"/>
    <w:rsid w:val="00CA23C9"/>
    <w:rsid w:val="00CA3662"/>
    <w:rsid w:val="00CA4C33"/>
    <w:rsid w:val="00CA6774"/>
    <w:rsid w:val="00CA6F4A"/>
    <w:rsid w:val="00CB0940"/>
    <w:rsid w:val="00CB0EA4"/>
    <w:rsid w:val="00CB1092"/>
    <w:rsid w:val="00CB3483"/>
    <w:rsid w:val="00CB3C17"/>
    <w:rsid w:val="00CB3D55"/>
    <w:rsid w:val="00CB6427"/>
    <w:rsid w:val="00CB7486"/>
    <w:rsid w:val="00CC0FBE"/>
    <w:rsid w:val="00CC778F"/>
    <w:rsid w:val="00CD077C"/>
    <w:rsid w:val="00CD2119"/>
    <w:rsid w:val="00CD237A"/>
    <w:rsid w:val="00CD36AC"/>
    <w:rsid w:val="00CD4C94"/>
    <w:rsid w:val="00CD73DA"/>
    <w:rsid w:val="00CE13A3"/>
    <w:rsid w:val="00CE36BC"/>
    <w:rsid w:val="00CE3BC0"/>
    <w:rsid w:val="00CE7533"/>
    <w:rsid w:val="00CF0144"/>
    <w:rsid w:val="00CF0CB0"/>
    <w:rsid w:val="00CF1747"/>
    <w:rsid w:val="00CF2337"/>
    <w:rsid w:val="00CF2956"/>
    <w:rsid w:val="00CF40B7"/>
    <w:rsid w:val="00CF4DC0"/>
    <w:rsid w:val="00CF60ED"/>
    <w:rsid w:val="00CF72DB"/>
    <w:rsid w:val="00CF7A48"/>
    <w:rsid w:val="00D004C3"/>
    <w:rsid w:val="00D01B87"/>
    <w:rsid w:val="00D0571E"/>
    <w:rsid w:val="00D057BF"/>
    <w:rsid w:val="00D05AC1"/>
    <w:rsid w:val="00D05D74"/>
    <w:rsid w:val="00D135B6"/>
    <w:rsid w:val="00D13ACB"/>
    <w:rsid w:val="00D13B21"/>
    <w:rsid w:val="00D17E68"/>
    <w:rsid w:val="00D20C59"/>
    <w:rsid w:val="00D21054"/>
    <w:rsid w:val="00D23323"/>
    <w:rsid w:val="00D2392A"/>
    <w:rsid w:val="00D25FFE"/>
    <w:rsid w:val="00D27347"/>
    <w:rsid w:val="00D27607"/>
    <w:rsid w:val="00D27922"/>
    <w:rsid w:val="00D27A64"/>
    <w:rsid w:val="00D3124A"/>
    <w:rsid w:val="00D3148E"/>
    <w:rsid w:val="00D323BF"/>
    <w:rsid w:val="00D3570E"/>
    <w:rsid w:val="00D3582A"/>
    <w:rsid w:val="00D35C09"/>
    <w:rsid w:val="00D37D80"/>
    <w:rsid w:val="00D410F4"/>
    <w:rsid w:val="00D41134"/>
    <w:rsid w:val="00D418D3"/>
    <w:rsid w:val="00D442F3"/>
    <w:rsid w:val="00D44483"/>
    <w:rsid w:val="00D4476F"/>
    <w:rsid w:val="00D44B47"/>
    <w:rsid w:val="00D44F1B"/>
    <w:rsid w:val="00D50573"/>
    <w:rsid w:val="00D50D63"/>
    <w:rsid w:val="00D54D50"/>
    <w:rsid w:val="00D560B4"/>
    <w:rsid w:val="00D62771"/>
    <w:rsid w:val="00D635C1"/>
    <w:rsid w:val="00D662F8"/>
    <w:rsid w:val="00D66797"/>
    <w:rsid w:val="00D7087C"/>
    <w:rsid w:val="00D70C3C"/>
    <w:rsid w:val="00D71DF7"/>
    <w:rsid w:val="00D72BE5"/>
    <w:rsid w:val="00D75407"/>
    <w:rsid w:val="00D77131"/>
    <w:rsid w:val="00D81462"/>
    <w:rsid w:val="00D81F8B"/>
    <w:rsid w:val="00D82431"/>
    <w:rsid w:val="00D82F26"/>
    <w:rsid w:val="00D8330E"/>
    <w:rsid w:val="00D83B16"/>
    <w:rsid w:val="00D863D0"/>
    <w:rsid w:val="00D86B00"/>
    <w:rsid w:val="00D86FB9"/>
    <w:rsid w:val="00D8740A"/>
    <w:rsid w:val="00D87C87"/>
    <w:rsid w:val="00D90184"/>
    <w:rsid w:val="00D90BB4"/>
    <w:rsid w:val="00D90E07"/>
    <w:rsid w:val="00D932C2"/>
    <w:rsid w:val="00DA0232"/>
    <w:rsid w:val="00DA35E6"/>
    <w:rsid w:val="00DA7F9E"/>
    <w:rsid w:val="00DB0BFA"/>
    <w:rsid w:val="00DB1173"/>
    <w:rsid w:val="00DB1196"/>
    <w:rsid w:val="00DB1468"/>
    <w:rsid w:val="00DB1B6E"/>
    <w:rsid w:val="00DB39CF"/>
    <w:rsid w:val="00DB55E3"/>
    <w:rsid w:val="00DB670F"/>
    <w:rsid w:val="00DB7256"/>
    <w:rsid w:val="00DC0401"/>
    <w:rsid w:val="00DC0950"/>
    <w:rsid w:val="00DC20BD"/>
    <w:rsid w:val="00DC322C"/>
    <w:rsid w:val="00DC6016"/>
    <w:rsid w:val="00DD0AB1"/>
    <w:rsid w:val="00DD0BCD"/>
    <w:rsid w:val="00DD24B7"/>
    <w:rsid w:val="00DD2F94"/>
    <w:rsid w:val="00DD447A"/>
    <w:rsid w:val="00DD4653"/>
    <w:rsid w:val="00DD7B38"/>
    <w:rsid w:val="00DE21A2"/>
    <w:rsid w:val="00DE33DB"/>
    <w:rsid w:val="00DE3B20"/>
    <w:rsid w:val="00DE44C4"/>
    <w:rsid w:val="00DE4931"/>
    <w:rsid w:val="00DE6C94"/>
    <w:rsid w:val="00DE6FD7"/>
    <w:rsid w:val="00DF026D"/>
    <w:rsid w:val="00DF0C7C"/>
    <w:rsid w:val="00DF1084"/>
    <w:rsid w:val="00DF206D"/>
    <w:rsid w:val="00DF22D1"/>
    <w:rsid w:val="00DF3137"/>
    <w:rsid w:val="00DF452D"/>
    <w:rsid w:val="00DF56C0"/>
    <w:rsid w:val="00DF70ED"/>
    <w:rsid w:val="00E010E2"/>
    <w:rsid w:val="00E0112C"/>
    <w:rsid w:val="00E019F3"/>
    <w:rsid w:val="00E02522"/>
    <w:rsid w:val="00E03CB5"/>
    <w:rsid w:val="00E040DF"/>
    <w:rsid w:val="00E06FFE"/>
    <w:rsid w:val="00E07CE6"/>
    <w:rsid w:val="00E108A1"/>
    <w:rsid w:val="00E10B18"/>
    <w:rsid w:val="00E14A3D"/>
    <w:rsid w:val="00E14C7C"/>
    <w:rsid w:val="00E20FD6"/>
    <w:rsid w:val="00E21301"/>
    <w:rsid w:val="00E23271"/>
    <w:rsid w:val="00E249D1"/>
    <w:rsid w:val="00E24F80"/>
    <w:rsid w:val="00E253F2"/>
    <w:rsid w:val="00E259F3"/>
    <w:rsid w:val="00E305E7"/>
    <w:rsid w:val="00E30985"/>
    <w:rsid w:val="00E30A53"/>
    <w:rsid w:val="00E311EE"/>
    <w:rsid w:val="00E31B8F"/>
    <w:rsid w:val="00E32E49"/>
    <w:rsid w:val="00E33238"/>
    <w:rsid w:val="00E33934"/>
    <w:rsid w:val="00E376B7"/>
    <w:rsid w:val="00E42F5D"/>
    <w:rsid w:val="00E4303A"/>
    <w:rsid w:val="00E432E5"/>
    <w:rsid w:val="00E436AF"/>
    <w:rsid w:val="00E4486C"/>
    <w:rsid w:val="00E460B6"/>
    <w:rsid w:val="00E470C3"/>
    <w:rsid w:val="00E50271"/>
    <w:rsid w:val="00E511D5"/>
    <w:rsid w:val="00E53595"/>
    <w:rsid w:val="00E53A9F"/>
    <w:rsid w:val="00E56D71"/>
    <w:rsid w:val="00E57349"/>
    <w:rsid w:val="00E57899"/>
    <w:rsid w:val="00E60249"/>
    <w:rsid w:val="00E61790"/>
    <w:rsid w:val="00E62238"/>
    <w:rsid w:val="00E65269"/>
    <w:rsid w:val="00E65E9C"/>
    <w:rsid w:val="00E70421"/>
    <w:rsid w:val="00E73136"/>
    <w:rsid w:val="00E76D66"/>
    <w:rsid w:val="00E80C17"/>
    <w:rsid w:val="00E84548"/>
    <w:rsid w:val="00E85A02"/>
    <w:rsid w:val="00E85C1C"/>
    <w:rsid w:val="00E90EC9"/>
    <w:rsid w:val="00E928A7"/>
    <w:rsid w:val="00E93901"/>
    <w:rsid w:val="00E94733"/>
    <w:rsid w:val="00E95D48"/>
    <w:rsid w:val="00E9685D"/>
    <w:rsid w:val="00EA126E"/>
    <w:rsid w:val="00EA1F09"/>
    <w:rsid w:val="00EA1F9D"/>
    <w:rsid w:val="00EA42D7"/>
    <w:rsid w:val="00EA796A"/>
    <w:rsid w:val="00EA7DB8"/>
    <w:rsid w:val="00EB032A"/>
    <w:rsid w:val="00EB1856"/>
    <w:rsid w:val="00EB427E"/>
    <w:rsid w:val="00EB539E"/>
    <w:rsid w:val="00EC13B9"/>
    <w:rsid w:val="00EC3285"/>
    <w:rsid w:val="00EC3A6C"/>
    <w:rsid w:val="00EC50CE"/>
    <w:rsid w:val="00EC5B34"/>
    <w:rsid w:val="00EC602E"/>
    <w:rsid w:val="00EC7C24"/>
    <w:rsid w:val="00ED021E"/>
    <w:rsid w:val="00ED323C"/>
    <w:rsid w:val="00ED354A"/>
    <w:rsid w:val="00ED6489"/>
    <w:rsid w:val="00ED6501"/>
    <w:rsid w:val="00ED7E13"/>
    <w:rsid w:val="00EE09F4"/>
    <w:rsid w:val="00EE2D5C"/>
    <w:rsid w:val="00EE4ADE"/>
    <w:rsid w:val="00EE4DE8"/>
    <w:rsid w:val="00EE5CB7"/>
    <w:rsid w:val="00EE752B"/>
    <w:rsid w:val="00EF10FB"/>
    <w:rsid w:val="00EF2CC8"/>
    <w:rsid w:val="00EF37BA"/>
    <w:rsid w:val="00EF3BDB"/>
    <w:rsid w:val="00EF6A06"/>
    <w:rsid w:val="00EF6C43"/>
    <w:rsid w:val="00F000BF"/>
    <w:rsid w:val="00F00BA0"/>
    <w:rsid w:val="00F0125E"/>
    <w:rsid w:val="00F024FE"/>
    <w:rsid w:val="00F05AD4"/>
    <w:rsid w:val="00F06CB5"/>
    <w:rsid w:val="00F06E43"/>
    <w:rsid w:val="00F103BE"/>
    <w:rsid w:val="00F10577"/>
    <w:rsid w:val="00F10EB6"/>
    <w:rsid w:val="00F11703"/>
    <w:rsid w:val="00F12227"/>
    <w:rsid w:val="00F13BA1"/>
    <w:rsid w:val="00F13D56"/>
    <w:rsid w:val="00F13F07"/>
    <w:rsid w:val="00F140B2"/>
    <w:rsid w:val="00F14E6A"/>
    <w:rsid w:val="00F16595"/>
    <w:rsid w:val="00F1782F"/>
    <w:rsid w:val="00F25831"/>
    <w:rsid w:val="00F25970"/>
    <w:rsid w:val="00F27B36"/>
    <w:rsid w:val="00F27CDC"/>
    <w:rsid w:val="00F311A9"/>
    <w:rsid w:val="00F31343"/>
    <w:rsid w:val="00F31A62"/>
    <w:rsid w:val="00F36461"/>
    <w:rsid w:val="00F37381"/>
    <w:rsid w:val="00F41583"/>
    <w:rsid w:val="00F4196F"/>
    <w:rsid w:val="00F5180D"/>
    <w:rsid w:val="00F5182F"/>
    <w:rsid w:val="00F52C1F"/>
    <w:rsid w:val="00F52F94"/>
    <w:rsid w:val="00F53068"/>
    <w:rsid w:val="00F54E74"/>
    <w:rsid w:val="00F57E29"/>
    <w:rsid w:val="00F63781"/>
    <w:rsid w:val="00F641EC"/>
    <w:rsid w:val="00F6538F"/>
    <w:rsid w:val="00F67496"/>
    <w:rsid w:val="00F73D2A"/>
    <w:rsid w:val="00F7421E"/>
    <w:rsid w:val="00F801BA"/>
    <w:rsid w:val="00F807AD"/>
    <w:rsid w:val="00F818CA"/>
    <w:rsid w:val="00F81BA6"/>
    <w:rsid w:val="00F826E3"/>
    <w:rsid w:val="00F85536"/>
    <w:rsid w:val="00F8794F"/>
    <w:rsid w:val="00F90592"/>
    <w:rsid w:val="00F9366A"/>
    <w:rsid w:val="00F946C9"/>
    <w:rsid w:val="00F974A0"/>
    <w:rsid w:val="00FA0EA5"/>
    <w:rsid w:val="00FA0F97"/>
    <w:rsid w:val="00FA47BF"/>
    <w:rsid w:val="00FA65AA"/>
    <w:rsid w:val="00FA68C7"/>
    <w:rsid w:val="00FA74EE"/>
    <w:rsid w:val="00FB0A5B"/>
    <w:rsid w:val="00FB1B8E"/>
    <w:rsid w:val="00FB71B2"/>
    <w:rsid w:val="00FC0D17"/>
    <w:rsid w:val="00FC3711"/>
    <w:rsid w:val="00FC46E7"/>
    <w:rsid w:val="00FC5D25"/>
    <w:rsid w:val="00FC6B5A"/>
    <w:rsid w:val="00FC7C53"/>
    <w:rsid w:val="00FD0D7E"/>
    <w:rsid w:val="00FD16C4"/>
    <w:rsid w:val="00FD2CA0"/>
    <w:rsid w:val="00FD362F"/>
    <w:rsid w:val="00FD382B"/>
    <w:rsid w:val="00FD47FE"/>
    <w:rsid w:val="00FD4FFB"/>
    <w:rsid w:val="00FE022F"/>
    <w:rsid w:val="00FE051A"/>
    <w:rsid w:val="00FE0E33"/>
    <w:rsid w:val="00FE15DB"/>
    <w:rsid w:val="00FE6E13"/>
    <w:rsid w:val="00FE7629"/>
    <w:rsid w:val="00FE7D38"/>
    <w:rsid w:val="00FF021F"/>
    <w:rsid w:val="00FF14F9"/>
    <w:rsid w:val="00FF15F6"/>
    <w:rsid w:val="00FF527C"/>
    <w:rsid w:val="00FF5CA4"/>
    <w:rsid w:val="00FF60D1"/>
    <w:rsid w:val="00FF65CD"/>
    <w:rsid w:val="05A99CE6"/>
    <w:rsid w:val="069E3FA0"/>
    <w:rsid w:val="06C25599"/>
    <w:rsid w:val="0974ABA8"/>
    <w:rsid w:val="0BF6F0EF"/>
    <w:rsid w:val="0C18AB99"/>
    <w:rsid w:val="0CC3A4FD"/>
    <w:rsid w:val="0EFEC268"/>
    <w:rsid w:val="10F5F072"/>
    <w:rsid w:val="140FE859"/>
    <w:rsid w:val="19B6D0D5"/>
    <w:rsid w:val="1A22209F"/>
    <w:rsid w:val="1F5E839A"/>
    <w:rsid w:val="1FC0D0CB"/>
    <w:rsid w:val="24C3CF26"/>
    <w:rsid w:val="2974F1D9"/>
    <w:rsid w:val="2B5A0E20"/>
    <w:rsid w:val="2CD43DE0"/>
    <w:rsid w:val="2CDC7DFF"/>
    <w:rsid w:val="2F738635"/>
    <w:rsid w:val="300B472A"/>
    <w:rsid w:val="30E31330"/>
    <w:rsid w:val="361D4627"/>
    <w:rsid w:val="3C907EC2"/>
    <w:rsid w:val="3D69630D"/>
    <w:rsid w:val="3D804597"/>
    <w:rsid w:val="437F0FDB"/>
    <w:rsid w:val="45A6598F"/>
    <w:rsid w:val="45FDCB58"/>
    <w:rsid w:val="464FE48C"/>
    <w:rsid w:val="4AFFF8EF"/>
    <w:rsid w:val="51372CE5"/>
    <w:rsid w:val="516EC1CE"/>
    <w:rsid w:val="5519465B"/>
    <w:rsid w:val="55317299"/>
    <w:rsid w:val="56EA01C4"/>
    <w:rsid w:val="5730FEB2"/>
    <w:rsid w:val="5F48B5B9"/>
    <w:rsid w:val="6354CFDF"/>
    <w:rsid w:val="63C9D47F"/>
    <w:rsid w:val="6B90A272"/>
    <w:rsid w:val="6F1E9D59"/>
    <w:rsid w:val="713A5C41"/>
    <w:rsid w:val="72A91C33"/>
    <w:rsid w:val="7595638B"/>
    <w:rsid w:val="759F08DA"/>
    <w:rsid w:val="7B219444"/>
    <w:rsid w:val="7B9A67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774C2"/>
  <w15:docId w15:val="{5805C2A9-E3E1-490F-9D5A-84B920B4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65325A"/>
    <w:pPr>
      <w:pageBreakBefore/>
      <w:numPr>
        <w:numId w:val="6"/>
      </w:numPr>
      <w:spacing w:after="360" w:line="228" w:lineRule="auto"/>
      <w:outlineLvl w:val="0"/>
    </w:pPr>
    <w:rPr>
      <w:b/>
      <w:color w:val="23305D"/>
      <w:spacing w:val="-10"/>
      <w:sz w:val="72"/>
    </w:rPr>
  </w:style>
  <w:style w:type="paragraph" w:styleId="Heading2">
    <w:name w:val="heading 2"/>
    <w:basedOn w:val="Normal"/>
    <w:next w:val="Normal"/>
    <w:link w:val="Heading2Char"/>
    <w:uiPriority w:val="9"/>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325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69770E"/>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69770E"/>
    <w:pPr>
      <w:tabs>
        <w:tab w:val="right" w:pos="8080"/>
      </w:tabs>
      <w:spacing w:before="60"/>
      <w:ind w:left="1134" w:right="567" w:hanging="567"/>
    </w:pPr>
  </w:style>
  <w:style w:type="paragraph" w:styleId="TOC3">
    <w:name w:val="toc 3"/>
    <w:basedOn w:val="Normal"/>
    <w:next w:val="Normal"/>
    <w:uiPriority w:val="39"/>
    <w:qFormat/>
    <w:rsid w:val="00C41F46"/>
    <w:pPr>
      <w:tabs>
        <w:tab w:val="right" w:pos="8080"/>
      </w:tabs>
      <w:spacing w:before="120"/>
      <w:ind w:left="340" w:hanging="340"/>
    </w:pPr>
  </w:style>
  <w:style w:type="paragraph" w:customStyle="1" w:styleId="Bullet">
    <w:name w:val="Bullet"/>
    <w:basedOn w:val="Normal"/>
    <w:link w:val="BulletChar"/>
    <w:uiPriority w:val="99"/>
    <w:qFormat/>
    <w:rsid w:val="00FA0EA5"/>
    <w:pPr>
      <w:numPr>
        <w:numId w:val="1"/>
      </w:numPr>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link w:val="Quote"/>
    <w:uiPriority w:val="29"/>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uiPriority w:val="99"/>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uiPriority w:val="99"/>
    <w:qFormat/>
    <w:rsid w:val="009133F5"/>
    <w:pPr>
      <w:keepNext/>
      <w:spacing w:before="120" w:after="120"/>
    </w:pPr>
    <w:rPr>
      <w:b/>
      <w:sz w:val="20"/>
    </w:rPr>
  </w:style>
  <w:style w:type="character" w:customStyle="1" w:styleId="FigureChar">
    <w:name w:val="Figure Char"/>
    <w:link w:val="Figure"/>
    <w:uiPriority w:val="99"/>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uiPriority w:val="99"/>
    <w:qFormat/>
    <w:rsid w:val="002C0E3E"/>
    <w:pPr>
      <w:numPr>
        <w:numId w:val="0"/>
      </w:numPr>
      <w:outlineLvl w:val="9"/>
    </w:pPr>
  </w:style>
  <w:style w:type="paragraph" w:customStyle="1" w:styleId="Source">
    <w:name w:val="Source"/>
    <w:basedOn w:val="Note"/>
    <w:next w:val="Normal"/>
    <w:uiPriority w:val="99"/>
    <w:qFormat/>
    <w:rsid w:val="0012053C"/>
  </w:style>
  <w:style w:type="paragraph" w:customStyle="1" w:styleId="Note">
    <w:name w:val="Note"/>
    <w:basedOn w:val="Normal"/>
    <w:next w:val="Normal"/>
    <w:link w:val="NoteChar"/>
    <w:qFormat/>
    <w:rsid w:val="0065325A"/>
    <w:pPr>
      <w:spacing w:before="80"/>
      <w:ind w:left="284" w:hanging="284"/>
    </w:pPr>
    <w:rPr>
      <w:sz w:val="17"/>
    </w:rPr>
  </w:style>
  <w:style w:type="character" w:customStyle="1" w:styleId="NoteChar">
    <w:name w:val="Note Char"/>
    <w:link w:val="Note"/>
    <w:rsid w:val="0065325A"/>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iPriority w:val="35"/>
    <w:unhideWhenUsed/>
    <w:qFormat/>
    <w:rsid w:val="00A45036"/>
    <w:pPr>
      <w:keepNext/>
      <w:spacing w:after="200"/>
    </w:pPr>
    <w:rPr>
      <w:b/>
      <w:bCs/>
      <w:sz w:val="20"/>
    </w:rPr>
  </w:style>
  <w:style w:type="paragraph" w:customStyle="1" w:styleId="Heading3-nonumbering">
    <w:name w:val="Heading 3 - no numbering"/>
    <w:basedOn w:val="Heading3"/>
    <w:qFormat/>
    <w:rsid w:val="002C0E3E"/>
    <w:pPr>
      <w:numPr>
        <w:ilvl w:val="0"/>
        <w:numId w:val="0"/>
      </w:numPr>
    </w:pPr>
  </w:style>
  <w:style w:type="paragraph" w:customStyle="1" w:styleId="Heading1-nonumbering">
    <w:name w:val="Heading 1 - no numbering"/>
    <w:basedOn w:val="Heading1"/>
    <w:next w:val="Normal"/>
    <w:qFormat/>
    <w:rsid w:val="002C0E3E"/>
    <w:pPr>
      <w:numPr>
        <w:numId w:val="0"/>
      </w:numPr>
    </w:pPr>
  </w:style>
  <w:style w:type="paragraph" w:customStyle="1" w:styleId="Shadedboxheading">
    <w:name w:val="Shaded box heading"/>
    <w:basedOn w:val="BoxHeading"/>
    <w:next w:val="Shadedboxtext"/>
    <w:qFormat/>
    <w:rsid w:val="008B72D3"/>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jc w:val="both"/>
    </w:pPr>
    <w:rPr>
      <w:rFonts w:eastAsia="Arial Unicode MS"/>
    </w:rPr>
  </w:style>
  <w:style w:type="paragraph" w:customStyle="1" w:styleId="Shadedboxtext">
    <w:name w:val="Shaded box text"/>
    <w:basedOn w:val="Normal"/>
    <w:qFormat/>
    <w:rsid w:val="008B72D3"/>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jc w:val="both"/>
    </w:pPr>
    <w:rPr>
      <w:rFonts w:eastAsia="Arial Unicode MS"/>
    </w:rPr>
  </w:style>
  <w:style w:type="table" w:styleId="TableGrid">
    <w:name w:val="Table Grid"/>
    <w:basedOn w:val="TableNormal"/>
    <w:uiPriority w:val="39"/>
    <w:rsid w:val="008B72D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FFA"/>
    <w:rPr>
      <w:rFonts w:cs="Segoe UI"/>
      <w:sz w:val="18"/>
      <w:szCs w:val="18"/>
    </w:rPr>
  </w:style>
  <w:style w:type="character" w:customStyle="1" w:styleId="BalloonTextChar">
    <w:name w:val="Balloon Text Char"/>
    <w:basedOn w:val="DefaultParagraphFont"/>
    <w:link w:val="BalloonText"/>
    <w:uiPriority w:val="99"/>
    <w:semiHidden/>
    <w:rsid w:val="00557FFA"/>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064CD"/>
    <w:rPr>
      <w:sz w:val="16"/>
      <w:szCs w:val="16"/>
    </w:rPr>
  </w:style>
  <w:style w:type="paragraph" w:styleId="CommentText">
    <w:name w:val="annotation text"/>
    <w:basedOn w:val="Normal"/>
    <w:link w:val="CommentTextChar"/>
    <w:uiPriority w:val="99"/>
    <w:unhideWhenUsed/>
    <w:rsid w:val="007064CD"/>
    <w:rPr>
      <w:sz w:val="20"/>
    </w:rPr>
  </w:style>
  <w:style w:type="character" w:customStyle="1" w:styleId="CommentTextChar">
    <w:name w:val="Comment Text Char"/>
    <w:basedOn w:val="DefaultParagraphFont"/>
    <w:link w:val="CommentText"/>
    <w:uiPriority w:val="99"/>
    <w:rsid w:val="007064CD"/>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7064CD"/>
    <w:rPr>
      <w:b/>
      <w:bCs/>
    </w:rPr>
  </w:style>
  <w:style w:type="character" w:customStyle="1" w:styleId="CommentSubjectChar">
    <w:name w:val="Comment Subject Char"/>
    <w:basedOn w:val="CommentTextChar"/>
    <w:link w:val="CommentSubject"/>
    <w:uiPriority w:val="99"/>
    <w:semiHidden/>
    <w:rsid w:val="007064CD"/>
    <w:rPr>
      <w:rFonts w:ascii="Segoe UI" w:hAnsi="Segoe UI"/>
      <w:b/>
      <w:bCs/>
      <w:lang w:eastAsia="en-GB"/>
    </w:rPr>
  </w:style>
  <w:style w:type="character" w:customStyle="1" w:styleId="UnresolvedMention1">
    <w:name w:val="Unresolved Mention1"/>
    <w:basedOn w:val="DefaultParagraphFont"/>
    <w:uiPriority w:val="99"/>
    <w:semiHidden/>
    <w:unhideWhenUsed/>
    <w:rsid w:val="006360E0"/>
    <w:rPr>
      <w:color w:val="605E5C"/>
      <w:shd w:val="clear" w:color="auto" w:fill="E1DFDD"/>
    </w:rPr>
  </w:style>
  <w:style w:type="paragraph" w:styleId="TOCHeading">
    <w:name w:val="TOC Heading"/>
    <w:basedOn w:val="Heading1"/>
    <w:next w:val="Normal"/>
    <w:uiPriority w:val="39"/>
    <w:unhideWhenUsed/>
    <w:qFormat/>
    <w:rsid w:val="007E317D"/>
    <w:pPr>
      <w:keepNext/>
      <w:keepLines/>
      <w:pageBreakBefore w:val="0"/>
      <w:numPr>
        <w:numId w:val="0"/>
      </w:numPr>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ableofFigures">
    <w:name w:val="table of figures"/>
    <w:basedOn w:val="Normal"/>
    <w:next w:val="Normal"/>
    <w:uiPriority w:val="99"/>
    <w:unhideWhenUsed/>
    <w:qFormat/>
    <w:rsid w:val="00A04B03"/>
    <w:pPr>
      <w:spacing w:before="120"/>
      <w:ind w:left="340" w:hanging="340"/>
    </w:pPr>
  </w:style>
  <w:style w:type="paragraph" w:styleId="ListParagraph">
    <w:name w:val="List Paragraph"/>
    <w:basedOn w:val="Normal"/>
    <w:uiPriority w:val="34"/>
    <w:qFormat/>
    <w:rsid w:val="001C5A86"/>
    <w:pPr>
      <w:ind w:left="720"/>
      <w:contextualSpacing/>
    </w:pPr>
  </w:style>
  <w:style w:type="character" w:styleId="FollowedHyperlink">
    <w:name w:val="FollowedHyperlink"/>
    <w:basedOn w:val="DefaultParagraphFont"/>
    <w:uiPriority w:val="99"/>
    <w:semiHidden/>
    <w:unhideWhenUsed/>
    <w:rsid w:val="009239B3"/>
    <w:rPr>
      <w:color w:val="800080" w:themeColor="followedHyperlink"/>
      <w:u w:val="single"/>
    </w:rPr>
  </w:style>
  <w:style w:type="paragraph" w:styleId="ListBullet">
    <w:name w:val="List Bullet"/>
    <w:basedOn w:val="Normal"/>
    <w:uiPriority w:val="99"/>
    <w:unhideWhenUsed/>
    <w:rsid w:val="0094100E"/>
    <w:pPr>
      <w:numPr>
        <w:numId w:val="7"/>
      </w:numPr>
      <w:contextualSpacing/>
    </w:pPr>
  </w:style>
  <w:style w:type="table" w:customStyle="1" w:styleId="TableGrid1">
    <w:name w:val="Table Grid1"/>
    <w:basedOn w:val="TableNormal"/>
    <w:next w:val="TableGrid"/>
    <w:uiPriority w:val="59"/>
    <w:rsid w:val="00D77131"/>
    <w:pPr>
      <w:tabs>
        <w:tab w:val="left" w:pos="1134"/>
        <w:tab w:val="left" w:pos="2268"/>
        <w:tab w:val="left" w:pos="3402"/>
        <w:tab w:val="left" w:pos="4536"/>
        <w:tab w:val="left" w:pos="5670"/>
        <w:tab w:val="left" w:pos="6804"/>
        <w:tab w:val="left" w:pos="7938"/>
        <w:tab w:val="right" w:pos="9639"/>
      </w:tabs>
      <w:spacing w:after="200" w:line="276" w:lineRule="auto"/>
      <w:jc w:val="both"/>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 no numbering"/>
    <w:basedOn w:val="Heading2"/>
    <w:qFormat/>
    <w:rsid w:val="00D77131"/>
    <w:pPr>
      <w:numPr>
        <w:ilvl w:val="0"/>
        <w:numId w:val="0"/>
      </w:numPr>
    </w:pPr>
  </w:style>
  <w:style w:type="paragraph" w:customStyle="1" w:styleId="DistrictGroupStyle">
    <w:name w:val="DistrictGroupStyle"/>
    <w:rsid w:val="00D77131"/>
    <w:pPr>
      <w:spacing w:after="150" w:line="276" w:lineRule="auto"/>
    </w:pPr>
    <w:rPr>
      <w:rFonts w:asciiTheme="minorHAnsi" w:hAnsiTheme="minorHAnsi" w:cs="Calibri"/>
      <w:b/>
      <w:color w:val="000000"/>
      <w:sz w:val="30"/>
      <w:lang w:val="en-US" w:eastAsia="en-US"/>
    </w:rPr>
  </w:style>
  <w:style w:type="paragraph" w:customStyle="1" w:styleId="GroupStyle">
    <w:name w:val="GroupStyle"/>
    <w:rsid w:val="00D77131"/>
    <w:pPr>
      <w:spacing w:after="150" w:line="276" w:lineRule="auto"/>
    </w:pPr>
    <w:rPr>
      <w:rFonts w:asciiTheme="minorHAnsi" w:hAnsiTheme="minorHAnsi" w:cs="Calibri"/>
      <w:b/>
      <w:color w:val="000000"/>
      <w:sz w:val="22"/>
      <w:lang w:eastAsia="en-US"/>
    </w:rPr>
  </w:style>
  <w:style w:type="paragraph" w:customStyle="1" w:styleId="SectionStyle">
    <w:name w:val="SectionStyle"/>
    <w:rsid w:val="00D77131"/>
    <w:pPr>
      <w:spacing w:before="150" w:after="150" w:line="276" w:lineRule="auto"/>
    </w:pPr>
    <w:rPr>
      <w:rFonts w:asciiTheme="minorHAnsi" w:hAnsiTheme="minorHAnsi" w:cs="Calibri"/>
      <w:b/>
      <w:color w:val="000000"/>
      <w:sz w:val="22"/>
      <w:shd w:val="clear" w:color="auto" w:fill="EBF5F5"/>
      <w:lang w:eastAsia="en-US"/>
    </w:rPr>
  </w:style>
  <w:style w:type="paragraph" w:styleId="Subtitle">
    <w:name w:val="Subtitle"/>
    <w:basedOn w:val="Normal"/>
    <w:next w:val="Normal"/>
    <w:link w:val="SubtitleChar"/>
    <w:uiPriority w:val="11"/>
    <w:qFormat/>
    <w:rsid w:val="00B0292E"/>
    <w:pPr>
      <w:spacing w:after="160" w:line="300" w:lineRule="auto"/>
      <w:jc w:val="center"/>
    </w:pPr>
    <w:rPr>
      <w:rFonts w:ascii="Calibri" w:eastAsia="Calibri" w:hAnsi="Calibri" w:cs="Calibri"/>
      <w:color w:val="44546A"/>
      <w:sz w:val="28"/>
      <w:szCs w:val="28"/>
      <w:lang w:eastAsia="en-NZ"/>
    </w:rPr>
  </w:style>
  <w:style w:type="character" w:customStyle="1" w:styleId="SubtitleChar">
    <w:name w:val="Subtitle Char"/>
    <w:basedOn w:val="DefaultParagraphFont"/>
    <w:link w:val="Subtitle"/>
    <w:uiPriority w:val="11"/>
    <w:rsid w:val="00B0292E"/>
    <w:rPr>
      <w:rFonts w:ascii="Calibri" w:eastAsia="Calibri" w:hAnsi="Calibri" w:cs="Calibri"/>
      <w:color w:val="44546A"/>
      <w:sz w:val="28"/>
      <w:szCs w:val="28"/>
    </w:rPr>
  </w:style>
  <w:style w:type="character" w:styleId="Strong">
    <w:name w:val="Strong"/>
    <w:basedOn w:val="DefaultParagraphFont"/>
    <w:uiPriority w:val="22"/>
    <w:qFormat/>
    <w:rsid w:val="00B0292E"/>
    <w:rPr>
      <w:b/>
      <w:bCs/>
    </w:rPr>
  </w:style>
  <w:style w:type="character" w:styleId="Emphasis">
    <w:name w:val="Emphasis"/>
    <w:basedOn w:val="DefaultParagraphFont"/>
    <w:uiPriority w:val="20"/>
    <w:qFormat/>
    <w:rsid w:val="00B0292E"/>
    <w:rPr>
      <w:i/>
      <w:iCs/>
      <w:color w:val="000000" w:themeColor="text1"/>
    </w:rPr>
  </w:style>
  <w:style w:type="paragraph" w:styleId="NoSpacing">
    <w:name w:val="No Spacing"/>
    <w:uiPriority w:val="1"/>
    <w:qFormat/>
    <w:rsid w:val="00B0292E"/>
    <w:rPr>
      <w:rFonts w:asciiTheme="minorHAnsi" w:eastAsiaTheme="minorEastAsia" w:hAnsiTheme="minorHAnsi" w:cstheme="minorBidi"/>
      <w:sz w:val="21"/>
      <w:szCs w:val="21"/>
      <w:lang w:eastAsia="en-US"/>
    </w:rPr>
  </w:style>
  <w:style w:type="paragraph" w:styleId="IntenseQuote">
    <w:name w:val="Intense Quote"/>
    <w:basedOn w:val="Normal"/>
    <w:next w:val="Normal"/>
    <w:link w:val="IntenseQuoteChar"/>
    <w:uiPriority w:val="30"/>
    <w:qFormat/>
    <w:rsid w:val="00B0292E"/>
    <w:pPr>
      <w:spacing w:before="160" w:after="160" w:line="276" w:lineRule="auto"/>
      <w:ind w:left="936" w:right="936"/>
      <w:jc w:val="center"/>
    </w:pPr>
    <w:rPr>
      <w:rFonts w:asciiTheme="majorHAnsi" w:eastAsiaTheme="majorEastAsia" w:hAnsiTheme="majorHAnsi" w:cstheme="majorBidi"/>
      <w:caps/>
      <w:color w:val="365F91" w:themeColor="accent1" w:themeShade="BF"/>
      <w:sz w:val="28"/>
      <w:szCs w:val="28"/>
      <w:lang w:eastAsia="en-US"/>
    </w:rPr>
  </w:style>
  <w:style w:type="character" w:customStyle="1" w:styleId="IntenseQuoteChar">
    <w:name w:val="Intense Quote Char"/>
    <w:basedOn w:val="DefaultParagraphFont"/>
    <w:link w:val="IntenseQuote"/>
    <w:uiPriority w:val="30"/>
    <w:rsid w:val="00B0292E"/>
    <w:rPr>
      <w:rFonts w:asciiTheme="majorHAnsi" w:eastAsiaTheme="majorEastAsia" w:hAnsiTheme="majorHAnsi" w:cstheme="majorBidi"/>
      <w:caps/>
      <w:color w:val="365F91" w:themeColor="accent1" w:themeShade="BF"/>
      <w:sz w:val="28"/>
      <w:szCs w:val="28"/>
      <w:lang w:eastAsia="en-US"/>
    </w:rPr>
  </w:style>
  <w:style w:type="character" w:styleId="SubtleEmphasis">
    <w:name w:val="Subtle Emphasis"/>
    <w:basedOn w:val="DefaultParagraphFont"/>
    <w:uiPriority w:val="19"/>
    <w:qFormat/>
    <w:rsid w:val="00B0292E"/>
    <w:rPr>
      <w:i/>
      <w:iCs/>
      <w:color w:val="595959" w:themeColor="text1" w:themeTint="A6"/>
    </w:rPr>
  </w:style>
  <w:style w:type="character" w:styleId="IntenseEmphasis">
    <w:name w:val="Intense Emphasis"/>
    <w:basedOn w:val="DefaultParagraphFont"/>
    <w:uiPriority w:val="21"/>
    <w:qFormat/>
    <w:rsid w:val="00B0292E"/>
    <w:rPr>
      <w:b/>
      <w:bCs/>
      <w:i/>
      <w:iCs/>
      <w:color w:val="auto"/>
    </w:rPr>
  </w:style>
  <w:style w:type="character" w:styleId="SubtleReference">
    <w:name w:val="Subtle Reference"/>
    <w:basedOn w:val="DefaultParagraphFont"/>
    <w:uiPriority w:val="31"/>
    <w:qFormat/>
    <w:rsid w:val="00B0292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0292E"/>
    <w:rPr>
      <w:b/>
      <w:bCs/>
      <w:caps w:val="0"/>
      <w:smallCaps/>
      <w:color w:val="auto"/>
      <w:spacing w:val="0"/>
      <w:u w:val="single"/>
    </w:rPr>
  </w:style>
  <w:style w:type="character" w:styleId="BookTitle">
    <w:name w:val="Book Title"/>
    <w:basedOn w:val="DefaultParagraphFont"/>
    <w:uiPriority w:val="33"/>
    <w:qFormat/>
    <w:rsid w:val="00B0292E"/>
    <w:rPr>
      <w:b/>
      <w:bCs/>
      <w:caps w:val="0"/>
      <w:smallCaps/>
      <w:spacing w:val="0"/>
    </w:rPr>
  </w:style>
  <w:style w:type="paragraph" w:styleId="NormalWeb">
    <w:name w:val="Normal (Web)"/>
    <w:basedOn w:val="Normal"/>
    <w:uiPriority w:val="99"/>
    <w:unhideWhenUsed/>
    <w:rsid w:val="00B0292E"/>
    <w:pPr>
      <w:spacing w:before="100" w:beforeAutospacing="1" w:after="100" w:afterAutospacing="1"/>
    </w:pPr>
    <w:rPr>
      <w:rFonts w:ascii="Times New Roman" w:hAnsi="Times New Roman"/>
      <w:sz w:val="24"/>
      <w:szCs w:val="24"/>
      <w:lang w:eastAsia="en-NZ"/>
    </w:rPr>
  </w:style>
  <w:style w:type="paragraph" w:customStyle="1" w:styleId="Default">
    <w:name w:val="Default"/>
    <w:rsid w:val="00B0292E"/>
    <w:pPr>
      <w:autoSpaceDE w:val="0"/>
      <w:autoSpaceDN w:val="0"/>
      <w:adjustRightInd w:val="0"/>
    </w:pPr>
    <w:rPr>
      <w:rFonts w:ascii="CorisMacron Regular" w:eastAsiaTheme="minorEastAsia" w:hAnsi="CorisMacron Regular" w:cs="CorisMacron Regular"/>
      <w:color w:val="000000"/>
      <w:sz w:val="24"/>
      <w:szCs w:val="24"/>
      <w:lang w:eastAsia="en-US"/>
    </w:rPr>
  </w:style>
  <w:style w:type="paragraph" w:customStyle="1" w:styleId="Pa36">
    <w:name w:val="Pa36"/>
    <w:basedOn w:val="Default"/>
    <w:next w:val="Default"/>
    <w:uiPriority w:val="99"/>
    <w:rsid w:val="00B0292E"/>
    <w:pPr>
      <w:spacing w:line="241" w:lineRule="atLeast"/>
    </w:pPr>
    <w:rPr>
      <w:rFonts w:cstheme="minorBidi"/>
      <w:color w:val="auto"/>
    </w:rPr>
  </w:style>
  <w:style w:type="character" w:styleId="UnresolvedMention">
    <w:name w:val="Unresolved Mention"/>
    <w:basedOn w:val="DefaultParagraphFont"/>
    <w:uiPriority w:val="99"/>
    <w:unhideWhenUsed/>
    <w:rsid w:val="00B0292E"/>
    <w:rPr>
      <w:color w:val="605E5C"/>
      <w:shd w:val="clear" w:color="auto" w:fill="E1DFDD"/>
    </w:rPr>
  </w:style>
  <w:style w:type="paragraph" w:customStyle="1" w:styleId="text">
    <w:name w:val="text"/>
    <w:basedOn w:val="Normal"/>
    <w:rsid w:val="00B0292E"/>
    <w:pPr>
      <w:spacing w:before="100" w:beforeAutospacing="1" w:after="100" w:afterAutospacing="1"/>
    </w:pPr>
    <w:rPr>
      <w:rFonts w:ascii="Times New Roman" w:hAnsi="Times New Roman"/>
      <w:sz w:val="24"/>
      <w:szCs w:val="24"/>
      <w:lang w:eastAsia="en-NZ"/>
    </w:rPr>
  </w:style>
  <w:style w:type="character" w:customStyle="1" w:styleId="label">
    <w:name w:val="label"/>
    <w:basedOn w:val="DefaultParagraphFont"/>
    <w:rsid w:val="00B0292E"/>
  </w:style>
  <w:style w:type="paragraph" w:styleId="EndnoteText">
    <w:name w:val="endnote text"/>
    <w:basedOn w:val="Normal"/>
    <w:link w:val="EndnoteTextChar"/>
    <w:uiPriority w:val="99"/>
    <w:semiHidden/>
    <w:unhideWhenUsed/>
    <w:rsid w:val="00B0292E"/>
    <w:rPr>
      <w:rFonts w:asciiTheme="minorHAnsi" w:eastAsiaTheme="minorEastAsia" w:hAnsiTheme="minorHAnsi" w:cstheme="minorBidi"/>
      <w:sz w:val="20"/>
      <w:lang w:eastAsia="en-US"/>
    </w:rPr>
  </w:style>
  <w:style w:type="character" w:customStyle="1" w:styleId="EndnoteTextChar">
    <w:name w:val="Endnote Text Char"/>
    <w:basedOn w:val="DefaultParagraphFont"/>
    <w:link w:val="EndnoteText"/>
    <w:uiPriority w:val="99"/>
    <w:semiHidden/>
    <w:rsid w:val="00B0292E"/>
    <w:rPr>
      <w:rFonts w:asciiTheme="minorHAnsi" w:eastAsiaTheme="minorEastAsia" w:hAnsiTheme="minorHAnsi" w:cstheme="minorBidi"/>
      <w:lang w:eastAsia="en-US"/>
    </w:rPr>
  </w:style>
  <w:style w:type="character" w:styleId="EndnoteReference">
    <w:name w:val="endnote reference"/>
    <w:basedOn w:val="DefaultParagraphFont"/>
    <w:uiPriority w:val="99"/>
    <w:semiHidden/>
    <w:unhideWhenUsed/>
    <w:rsid w:val="00B0292E"/>
    <w:rPr>
      <w:vertAlign w:val="superscript"/>
    </w:rPr>
  </w:style>
  <w:style w:type="character" w:styleId="Mention">
    <w:name w:val="Mention"/>
    <w:basedOn w:val="DefaultParagraphFont"/>
    <w:uiPriority w:val="99"/>
    <w:unhideWhenUsed/>
    <w:rsid w:val="00B0292E"/>
    <w:rPr>
      <w:color w:val="2B579A"/>
      <w:shd w:val="clear" w:color="auto" w:fill="E1DFDD"/>
    </w:rPr>
  </w:style>
  <w:style w:type="paragraph" w:customStyle="1" w:styleId="subprov">
    <w:name w:val="subprov"/>
    <w:basedOn w:val="Normal"/>
    <w:rsid w:val="00B0292E"/>
    <w:pPr>
      <w:spacing w:before="100" w:beforeAutospacing="1" w:after="100" w:afterAutospacing="1"/>
    </w:pPr>
    <w:rPr>
      <w:rFonts w:ascii="Times New Roman" w:hAnsi="Times New Roman"/>
      <w:sz w:val="24"/>
      <w:szCs w:val="24"/>
      <w:lang w:eastAsia="en-NZ"/>
    </w:rPr>
  </w:style>
  <w:style w:type="character" w:customStyle="1" w:styleId="insertwords">
    <w:name w:val="insertwords"/>
    <w:basedOn w:val="DefaultParagraphFont"/>
    <w:rsid w:val="00B0292E"/>
  </w:style>
  <w:style w:type="paragraph" w:customStyle="1" w:styleId="paragraph">
    <w:name w:val="paragraph"/>
    <w:basedOn w:val="Normal"/>
    <w:rsid w:val="00B0292E"/>
    <w:pPr>
      <w:spacing w:before="100" w:beforeAutospacing="1" w:after="100" w:afterAutospacing="1"/>
    </w:pPr>
    <w:rPr>
      <w:rFonts w:ascii="Times New Roman" w:hAnsi="Times New Roman"/>
      <w:sz w:val="24"/>
      <w:szCs w:val="24"/>
      <w:lang w:eastAsia="en-NZ"/>
    </w:rPr>
  </w:style>
  <w:style w:type="character" w:customStyle="1" w:styleId="normaltextrun">
    <w:name w:val="normaltextrun"/>
    <w:basedOn w:val="DefaultParagraphFont"/>
    <w:rsid w:val="00B0292E"/>
  </w:style>
  <w:style w:type="character" w:customStyle="1" w:styleId="eop">
    <w:name w:val="eop"/>
    <w:basedOn w:val="DefaultParagraphFont"/>
    <w:rsid w:val="00B0292E"/>
  </w:style>
  <w:style w:type="paragraph" w:styleId="TOC4">
    <w:name w:val="toc 4"/>
    <w:basedOn w:val="Normal"/>
    <w:next w:val="Normal"/>
    <w:autoRedefine/>
    <w:uiPriority w:val="39"/>
    <w:unhideWhenUsed/>
    <w:rsid w:val="00B0292E"/>
    <w:pPr>
      <w:spacing w:after="100" w:line="259"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B0292E"/>
    <w:pPr>
      <w:spacing w:after="100" w:line="259"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B0292E"/>
    <w:pPr>
      <w:spacing w:after="100"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B0292E"/>
    <w:pPr>
      <w:spacing w:after="100"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B0292E"/>
    <w:pPr>
      <w:spacing w:after="100"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B0292E"/>
    <w:pPr>
      <w:spacing w:after="100" w:line="259" w:lineRule="auto"/>
      <w:ind w:left="1760"/>
    </w:pPr>
    <w:rPr>
      <w:rFonts w:asciiTheme="minorHAnsi" w:eastAsiaTheme="minorEastAsia" w:hAnsiTheme="minorHAnsi" w:cstheme="minorBidi"/>
      <w:sz w:val="22"/>
      <w:szCs w:val="22"/>
      <w:lang w:eastAsia="en-NZ"/>
    </w:rPr>
  </w:style>
  <w:style w:type="character" w:customStyle="1" w:styleId="colon-for-citation-subtitle">
    <w:name w:val="colon-for-citation-subtitle"/>
    <w:basedOn w:val="DefaultParagraphFont"/>
    <w:rsid w:val="00B0292E"/>
  </w:style>
  <w:style w:type="character" w:customStyle="1" w:styleId="Subtitle1">
    <w:name w:val="Subtitle1"/>
    <w:basedOn w:val="DefaultParagraphFont"/>
    <w:rsid w:val="00B0292E"/>
  </w:style>
  <w:style w:type="character" w:styleId="HTMLDefinition">
    <w:name w:val="HTML Definition"/>
    <w:basedOn w:val="DefaultParagraphFont"/>
    <w:uiPriority w:val="99"/>
    <w:semiHidden/>
    <w:unhideWhenUsed/>
    <w:rsid w:val="00B0292E"/>
    <w:rPr>
      <w:i/>
      <w:iCs/>
    </w:rPr>
  </w:style>
  <w:style w:type="character" w:customStyle="1" w:styleId="hit">
    <w:name w:val="hit"/>
    <w:basedOn w:val="DefaultParagraphFont"/>
    <w:rsid w:val="00B0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www.justice.govt.nz/" TargetMode="External"/><Relationship Id="rId39" Type="http://schemas.openxmlformats.org/officeDocument/2006/relationships/hyperlink" Target="https://www.legislation.govt.nz/act/public/1992/0046/latest/whole.html" TargetMode="External"/><Relationship Id="rId21" Type="http://schemas.openxmlformats.org/officeDocument/2006/relationships/header" Target="header4.xml"/><Relationship Id="rId34" Type="http://schemas.openxmlformats.org/officeDocument/2006/relationships/hyperlink" Target="https://www.legislation.govt.nz/act/public/1992/0046/latest/whole.html" TargetMode="External"/><Relationship Id="rId42" Type="http://schemas.openxmlformats.org/officeDocument/2006/relationships/hyperlink" Target="https://www.legislation.govt.nz/act/public/1992/0046/latest/whole.html" TargetMode="External"/><Relationship Id="rId47" Type="http://schemas.openxmlformats.org/officeDocument/2006/relationships/hyperlink" Target="https://www.legislation.govt.nz/act/public/1992/0046/latest/whole.html" TargetMode="External"/><Relationship Id="rId50" Type="http://schemas.openxmlformats.org/officeDocument/2006/relationships/hyperlink" Target="https://www.legislation.govt.nz/act/public/1992/0046/latest/whole.html"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www.legislation.govt.nz/act/public/1992/0046/latest/whole.html" TargetMode="External"/><Relationship Id="rId33" Type="http://schemas.openxmlformats.org/officeDocument/2006/relationships/hyperlink" Target="https://www.legislation.govt.nz/act/public/1992/0046/latest/whole.html" TargetMode="External"/><Relationship Id="rId38" Type="http://schemas.openxmlformats.org/officeDocument/2006/relationships/hyperlink" Target="https://www.legislation.govt.nz/act/public/1992/0046/latest/whole.html" TargetMode="External"/><Relationship Id="rId46" Type="http://schemas.openxmlformats.org/officeDocument/2006/relationships/hyperlink" Target="https://www.legislation.govt.nz/act/public/1992/0046/latest/whole.htm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29" Type="http://schemas.openxmlformats.org/officeDocument/2006/relationships/hyperlink" Target="https://www.legislation.govt.nz/act/public/1992/0046/latest/whole.html" TargetMode="External"/><Relationship Id="rId41" Type="http://schemas.openxmlformats.org/officeDocument/2006/relationships/hyperlink" Target="https://www.legislation.govt.nz/act/public/1992/0046/latest/whole.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www.legislation.govt.nz/act/public/1992/0046/latest/whole.html" TargetMode="External"/><Relationship Id="rId37" Type="http://schemas.openxmlformats.org/officeDocument/2006/relationships/hyperlink" Target="https://www.legislation.govt.nz/act/public/1992/0046/latest/whole.html" TargetMode="External"/><Relationship Id="rId40" Type="http://schemas.openxmlformats.org/officeDocument/2006/relationships/hyperlink" Target="https://www.legislation.govt.nz/act/public/1992/0046/latest/whole.html" TargetMode="External"/><Relationship Id="rId45" Type="http://schemas.openxmlformats.org/officeDocument/2006/relationships/hyperlink" Target="https://www.legislation.govt.nz/act/public/1992/0046/latest/whole.html" TargetMode="External"/><Relationship Id="rId53" Type="http://schemas.openxmlformats.org/officeDocument/2006/relationships/hyperlink" Target="https://www.legislation.govt.nz/act/public/1992/0046/latest/whole.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www.legislation.govt.nz/act/public/1992/0046/latest/whole.html" TargetMode="External"/><Relationship Id="rId36" Type="http://schemas.openxmlformats.org/officeDocument/2006/relationships/hyperlink" Target="https://www.legislation.govt.nz/act/public/1992/0046/latest/whole.html" TargetMode="External"/><Relationship Id="rId49" Type="http://schemas.openxmlformats.org/officeDocument/2006/relationships/hyperlink" Target="https://www.legislation.govt.nz/act/public/1992/0046/latest/whole.html"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legislation.govt.nz/act/public/1992/0046/latest/whole.html" TargetMode="External"/><Relationship Id="rId44" Type="http://schemas.openxmlformats.org/officeDocument/2006/relationships/hyperlink" Target="https://www.legislation.govt.nz/act/public/1992/0046/latest/whole.html" TargetMode="External"/><Relationship Id="rId52" Type="http://schemas.openxmlformats.org/officeDocument/2006/relationships/hyperlink" Target="https://www.legislation.govt.nz/act/public/1992/0046/latest/who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www.justice.govt.nz/" TargetMode="External"/><Relationship Id="rId30" Type="http://schemas.openxmlformats.org/officeDocument/2006/relationships/hyperlink" Target="https://www.legislation.govt.nz/act/public/1992/0046/latest/whole.html" TargetMode="External"/><Relationship Id="rId35" Type="http://schemas.openxmlformats.org/officeDocument/2006/relationships/hyperlink" Target="https://www.legislation.govt.nz/act/public/1992/0046/latest/whole.html" TargetMode="External"/><Relationship Id="rId43" Type="http://schemas.openxmlformats.org/officeDocument/2006/relationships/hyperlink" Target="https://www.legislation.govt.nz/act/public/1992/0046/latest/whole.html" TargetMode="External"/><Relationship Id="rId48" Type="http://schemas.openxmlformats.org/officeDocument/2006/relationships/hyperlink" Target="https://www.legislation.govt.nz/act/public/1992/0046/latest/whole.html" TargetMode="External"/><Relationship Id="rId8" Type="http://schemas.openxmlformats.org/officeDocument/2006/relationships/settings" Target="settings.xml"/><Relationship Id="rId51" Type="http://schemas.openxmlformats.org/officeDocument/2006/relationships/hyperlink" Target="https://www.legislation.govt.nz/act/public/1992/0046/latest/whole.html"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tikatangata.org.nz/news/new-guide-to-help-health-professionals-deliver-rights-to-healthcare-and-health-protection" TargetMode="External"/><Relationship Id="rId18" Type="http://schemas.openxmlformats.org/officeDocument/2006/relationships/hyperlink" Target="http://www.hqsc.govt.nz/news/consumers-experience-of-seclusion/" TargetMode="External"/><Relationship Id="rId26" Type="http://schemas.openxmlformats.org/officeDocument/2006/relationships/hyperlink" Target="https://msd.govt.nz/about-msd-and-our-work/work-programmes/accessibility/supported-decision-making.html" TargetMode="External"/><Relationship Id="rId39" Type="http://schemas.openxmlformats.org/officeDocument/2006/relationships/hyperlink" Target="https://www.hqsc.govt.nz/our-programmes/patient-safety-day/publications-and-resources/publication/3866" TargetMode="External"/><Relationship Id="rId21" Type="http://schemas.openxmlformats.org/officeDocument/2006/relationships/hyperlink" Target="http://www.health.govt.nz/our-work/populations/maori-health/maori-health-models/maori-health-models-te-whare-tapa-wha" TargetMode="External"/><Relationship Id="rId34" Type="http://schemas.openxmlformats.org/officeDocument/2006/relationships/hyperlink" Target="http://www.youtube.com/watch?v=GN3tu5FOOa0" TargetMode="External"/><Relationship Id="rId42" Type="http://schemas.openxmlformats.org/officeDocument/2006/relationships/hyperlink" Target="http://www.tepou.co.nz/resources/least-restrictive-practice-evidence-update-december-2022" TargetMode="External"/><Relationship Id="rId47" Type="http://schemas.openxmlformats.org/officeDocument/2006/relationships/hyperlink" Target="http://www.resolution.institute/documents/item/1774" TargetMode="External"/><Relationship Id="rId50" Type="http://schemas.openxmlformats.org/officeDocument/2006/relationships/hyperlink" Target="http://www.psychology.org.nz/journal-archive/NZJP-Vol372-2008-3-Rata.pdf" TargetMode="External"/><Relationship Id="rId55" Type="http://schemas.openxmlformats.org/officeDocument/2006/relationships/hyperlink" Target="http://www.occ.org.nz/rights/" TargetMode="External"/><Relationship Id="rId7" Type="http://schemas.openxmlformats.org/officeDocument/2006/relationships/hyperlink" Target="https://mohgovtnz-my.sharepoint.com/personal/jo_burgi_health_govt_nz/Documents/Microsoft%20Teams%20Chat%20Files/www.tepou.co.nz/initiatives/reducing-seclusion-and-restraint" TargetMode="External"/><Relationship Id="rId12" Type="http://schemas.openxmlformats.org/officeDocument/2006/relationships/hyperlink" Target="https://www.health.govt.nz/our-work/populations/maori-health/maori-health-models/maori-health-models-te-whare-tapa-wha" TargetMode="External"/><Relationship Id="rId17" Type="http://schemas.openxmlformats.org/officeDocument/2006/relationships/hyperlink" Target="http://www.hqsc.govt.nz/our-work/mental-health-and-addiction-quality-improvement/projects/zero-seclusion-safety-and-dignity-for-all/" TargetMode="External"/><Relationship Id="rId25" Type="http://schemas.openxmlformats.org/officeDocument/2006/relationships/hyperlink" Target="https://www.health.govt.nz/system/files/documents/publications/human-rights-mental-health-compulsory-assessment-treatment-act-1992-28august2020v2.pdf" TargetMode="External"/><Relationship Id="rId33" Type="http://schemas.openxmlformats.org/officeDocument/2006/relationships/hyperlink" Target="http://www.youtube.com/watch?v=WKLKl9Ot_fE" TargetMode="External"/><Relationship Id="rId38" Type="http://schemas.openxmlformats.org/officeDocument/2006/relationships/hyperlink" Target="http://www.health.govt.nz/about-ministry/what-we-do/combatting-racism-health-system" TargetMode="External"/><Relationship Id="rId46" Type="http://schemas.openxmlformats.org/officeDocument/2006/relationships/hyperlink" Target="http://www.hqsc.govt.nz/news/blog-using-a-restorative-approach-to-respond-to-adverse-events/" TargetMode="External"/><Relationship Id="rId2" Type="http://schemas.openxmlformats.org/officeDocument/2006/relationships/hyperlink" Target="http://www.tepou.co.nz/initiatives/mha/mental-health-act-e-learning" TargetMode="External"/><Relationship Id="rId16" Type="http://schemas.openxmlformats.org/officeDocument/2006/relationships/hyperlink" Target="http://www.tepou.co.nz/initiatives/reducing-seclusion-and-restraint/the-six-core-strategies-service-review-tool" TargetMode="External"/><Relationship Id="rId20" Type="http://schemas.openxmlformats.org/officeDocument/2006/relationships/hyperlink" Target="http://www.tepou.co.nz" TargetMode="External"/><Relationship Id="rId29" Type="http://schemas.openxmlformats.org/officeDocument/2006/relationships/hyperlink" Target="http://www.ranzcp.org/news-policy/policy-and-advocacy/position-statements/trauma-informed-practice" TargetMode="External"/><Relationship Id="rId41" Type="http://schemas.openxmlformats.org/officeDocument/2006/relationships/hyperlink" Target="http://www.tepou.co.nz/resources/least-restrictive-practice-evidence-update-may-2021" TargetMode="External"/><Relationship Id="rId54" Type="http://schemas.openxmlformats.org/officeDocument/2006/relationships/hyperlink" Target="http://www.tereohapai.nz/" TargetMode="External"/><Relationship Id="rId1" Type="http://schemas.openxmlformats.org/officeDocument/2006/relationships/hyperlink" Target="http://www.health.govt.nz/our-work/populations/maori-health/he-korowai-oranga/pae-ora-healthy-futures" TargetMode="External"/><Relationship Id="rId6" Type="http://schemas.openxmlformats.org/officeDocument/2006/relationships/hyperlink" Target="http://www.hqsc.govt.nz/resources/resource-library/zero-seclusion-case-studies-how-dhbs-are-successfully-reducing-the-use-of-seclusion/" TargetMode="External"/><Relationship Id="rId11" Type="http://schemas.openxmlformats.org/officeDocument/2006/relationships/hyperlink" Target="http://www.health.govt.nz/about-ministry/what-we-do/combatting-racism-health-system" TargetMode="External"/><Relationship Id="rId24" Type="http://schemas.openxmlformats.org/officeDocument/2006/relationships/hyperlink" Target="http://www.ranzcp.org/files/about_us/code-of-ethics.aspx" TargetMode="External"/><Relationship Id="rId32" Type="http://schemas.openxmlformats.org/officeDocument/2006/relationships/hyperlink" Target="http://www.wharaurau.org.nz" TargetMode="External"/><Relationship Id="rId37" Type="http://schemas.openxmlformats.org/officeDocument/2006/relationships/hyperlink" Target="https://www.health.govt.nz/publication/ola-manuia-pacific-health-and-wellbeing-action-plan-2020-2025" TargetMode="External"/><Relationship Id="rId40" Type="http://schemas.openxmlformats.org/officeDocument/2006/relationships/hyperlink" Target="http://www.hqsc.govt.nz/assets/Our-work/Mental-health-and-addiction/Resources/ZeroSeclusionSummary_Nov20_Final.pdf" TargetMode="External"/><Relationship Id="rId45" Type="http://schemas.openxmlformats.org/officeDocument/2006/relationships/hyperlink" Target="https://www.tepou.co.nz/resources/least-restrictive-practice-evidence-update-october-2021" TargetMode="External"/><Relationship Id="rId53" Type="http://schemas.openxmlformats.org/officeDocument/2006/relationships/hyperlink" Target="http://www.tepou.co.nz/initiatives/reducing-seclusion-and-restraint/safe-practice-effective-communication" TargetMode="External"/><Relationship Id="rId5" Type="http://schemas.openxmlformats.org/officeDocument/2006/relationships/hyperlink" Target="https://royalsociety.org.nz/assets/Uploads/Code-of-Prof-Stds-and-Ethics-Revision-2.pdf" TargetMode="External"/><Relationship Id="rId15" Type="http://schemas.openxmlformats.org/officeDocument/2006/relationships/hyperlink" Target="http://www.anzca.edu.au/getattachment/eccd42fd-1463-4964-9059-d49396d10472/PS63-Guideline-for-safe-care-for-patients-sedated-in-health-care-facilities-for-acute-behavioural-disturbance" TargetMode="External"/><Relationship Id="rId23" Type="http://schemas.openxmlformats.org/officeDocument/2006/relationships/hyperlink" Target="http://www.hdc.org.nz/your-rights/about-the-code/code-of-health-and-disability-services-consumers-rights/" TargetMode="External"/><Relationship Id="rId28" Type="http://schemas.openxmlformats.org/officeDocument/2006/relationships/hyperlink" Target="http://www.tepou.co.nz/initiatives/lets-get-real/seven-real-skills" TargetMode="External"/><Relationship Id="rId36" Type="http://schemas.openxmlformats.org/officeDocument/2006/relationships/hyperlink" Target="http://www.tepou.co.nz/resources/evidence-update-for-reducing-seclusion-in-new-zealand" TargetMode="External"/><Relationship Id="rId49" Type="http://schemas.openxmlformats.org/officeDocument/2006/relationships/hyperlink" Target="https://healthfacilityguidelines.com.au/" TargetMode="External"/><Relationship Id="rId10" Type="http://schemas.openxmlformats.org/officeDocument/2006/relationships/hyperlink" Target="http://www.health.govt.nz/about-ministry/what-we-do/work-programme-2019-20/achieving-equity" TargetMode="External"/><Relationship Id="rId19" Type="http://schemas.openxmlformats.org/officeDocument/2006/relationships/hyperlink" Target="http://www.tepou.co.nz/initiatives/reducing-seclusion-and-restraint/safe-practice-effective-communication" TargetMode="External"/><Relationship Id="rId31" Type="http://schemas.openxmlformats.org/officeDocument/2006/relationships/hyperlink" Target="http://www.leva.co.nz/resources/a-trauma-informed-approach-when-working-with-pasifika-people/" TargetMode="External"/><Relationship Id="rId44" Type="http://schemas.openxmlformats.org/officeDocument/2006/relationships/hyperlink" Target="http://www.hqsc.govt.nz/news/mental-health-and-addiction-quality-improvement-programme-update/" TargetMode="External"/><Relationship Id="rId52" Type="http://schemas.openxmlformats.org/officeDocument/2006/relationships/hyperlink" Target="http://www.health.govt.nz/our-work/mental-health-and-addiction/mental-health-legislation/mental-health-compulsory-assessment-and-treatment-act-1992/mental-health-district-inspectors" TargetMode="External"/><Relationship Id="rId4" Type="http://schemas.openxmlformats.org/officeDocument/2006/relationships/hyperlink" Target="http://www.hqsc.govt.nz/assets/Our-work/Mental-health-and-addiction/Resources/Zero-seclusion-change-package/Zero-seclusion-change-package-final.pdf" TargetMode="External"/><Relationship Id="rId9" Type="http://schemas.openxmlformats.org/officeDocument/2006/relationships/hyperlink" Target="https://www.health.govt.nz/our-work/mental-health-and-addiction/mental-health-legislation/mental-health-compulsory-assessment-and-treatment-act-1992/mental-health-act-guidelines-and-resources" TargetMode="External"/><Relationship Id="rId14" Type="http://schemas.openxmlformats.org/officeDocument/2006/relationships/hyperlink" Target="http://www.health.govt.nz/our-work/regulation-health-and-disability-system/certification-health-care-services/services-standard/resources-nga-paerewa-health-and-disability-services-standard/sector-guidance-nga-paerewa-health-and-disability-services-standard-nzs-81342021/part-3" TargetMode="External"/><Relationship Id="rId22" Type="http://schemas.openxmlformats.org/officeDocument/2006/relationships/hyperlink" Target="https://d2ew8vb2gktr0m.cloudfront.net/files/resources/Least-restrictive-practice-evidence-update-November-2022.pdf" TargetMode="External"/><Relationship Id="rId27" Type="http://schemas.openxmlformats.org/officeDocument/2006/relationships/hyperlink" Target="https://www.southernhealth.nz/getting-help-you-need/mental-health-and-addictions/mental-health-advance-preferences-statement" TargetMode="External"/><Relationship Id="rId30" Type="http://schemas.openxmlformats.org/officeDocument/2006/relationships/hyperlink" Target="http://www.tepou.co.nz/initiatives/lets-get-real/trauma-informed-care-resources" TargetMode="External"/><Relationship Id="rId35" Type="http://schemas.openxmlformats.org/officeDocument/2006/relationships/hyperlink" Target="http://www.ranzcp.org/news-policy/policy-and-advocacy/position-statements/trauma-informed-practice" TargetMode="External"/><Relationship Id="rId43" Type="http://schemas.openxmlformats.org/officeDocument/2006/relationships/hyperlink" Target="https://www.tepou.co.nz/initiatives/reducing-seclusion-and-restraint/sensory-modulation" TargetMode="External"/><Relationship Id="rId48" Type="http://schemas.openxmlformats.org/officeDocument/2006/relationships/hyperlink" Target="http://www.tepou.co.nz/initiatives/lets-get-real/working-with-wh%C4%81nau" TargetMode="External"/><Relationship Id="rId56" Type="http://schemas.openxmlformats.org/officeDocument/2006/relationships/hyperlink" Target="http://www.tpk.govt.nz/en/a-matou-whakaarotau/te-ao-maori/un-declaration-on-the-rights-of-indigenous-peoples/" TargetMode="External"/><Relationship Id="rId8" Type="http://schemas.openxmlformats.org/officeDocument/2006/relationships/hyperlink" Target="http://www.health.govt.nz/our-work/populations/maori-health/te-tiriti-o-waitangi" TargetMode="External"/><Relationship Id="rId51" Type="http://schemas.openxmlformats.org/officeDocument/2006/relationships/hyperlink" Target="http://www.hqsc.govt.nz/resources/resource-library/principles-for-engaging-consumers-and-whanau-in-mental-health-and-addiction-adverse-event-reviews/" TargetMode="External"/><Relationship Id="rId3" Type="http://schemas.openxmlformats.org/officeDocument/2006/relationships/hyperlink" Target="http://www.tepou.co.nz/initiatives/reducing-seclusion-and-restraint/the-six-core-strategies-service-review-too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Mental Health Statutory Appointments</Subactivity>
    <BusinessValue xmlns="4f9c820c-e7e2-444d-97ee-45f2b3485c1d" xsi:nil="true"/>
    <PRADateDisposal xmlns="4f9c820c-e7e2-444d-97ee-45f2b3485c1d" xsi:nil="true"/>
    <DelegatedUnderSection xmlns="d25c032a-5541-45df-991a-ebc9dfcd9605" xsi:nil="true"/>
    <TaxCatchAll xmlns="ddbcb19b-9574-4b2f-8698-1926aad31d8a"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Mental Health</Activity>
    <AggregationStatus xmlns="4f9c820c-e7e2-444d-97ee-45f2b3485c1d">Normal</AggregationStatus>
    <OverrideLabel xmlns="d0b61010-d6f3-4072-b934-7bbb13e97771" xsi:nil="true"/>
    <CategoryValue xmlns="4f9c820c-e7e2-444d-97ee-45f2b3485c1d">Rewording Memo</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Position xmlns="d25c032a-5541-45df-991a-ebc9dfcd9605" xsi:nil="true"/>
    <Team xmlns="c91a514c-9034-4fa3-897a-8352025b26ed">Mental Health Statutory Appointments</Team>
    <Project xmlns="4f9c820c-e7e2-444d-97ee-45f2b3485c1d">NA</Project>
    <HasNHI xmlns="184c05c4-c568-455d-94a4-7e009b164348">false</HasNHI>
    <FunctionGroup xmlns="4f9c820c-e7e2-444d-97ee-45f2b3485c1d">Implement and Enforce Legislation</FunctionGroup>
    <Function xmlns="4f9c820c-e7e2-444d-97ee-45f2b3485c1d">Regulatory Functions</Function>
    <SetLabel xmlns="d0b61010-d6f3-4072-b934-7bbb13e97771">Retain</SetLabel>
    <lcf76f155ced4ddcb4097134ff3c332f xmlns="d25c032a-5541-45df-991a-ebc9dfcd9605">
      <Terms xmlns="http://schemas.microsoft.com/office/infopath/2007/PartnerControls"/>
    </lcf76f155ced4ddcb4097134ff3c332f>
    <RelatedPeople xmlns="4f9c820c-e7e2-444d-97ee-45f2b3485c1d">
      <UserInfo>
        <DisplayName/>
        <AccountId xsi:nil="true"/>
        <AccountType/>
      </UserInfo>
    </RelatedPeople>
    <AggregationNarrative xmlns="725c79e5-42ce-4aa0-ac78-b6418001f0d2" xsi:nil="true"/>
    <Channel xmlns="c91a514c-9034-4fa3-897a-8352025b26ed">Guidelines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Location xmlns="d25c032a-5541-45df-991a-ebc9dfcd9605" xsi:nil="true"/>
    <Year xmlns="c91a514c-9034-4fa3-897a-8352025b26ed">NA</Year>
    <Narrative xmlns="4f9c820c-e7e2-444d-97ee-45f2b3485c1d" xsi:nil="true"/>
    <CategoryName xmlns="4f9c820c-e7e2-444d-97ee-45f2b3485c1d">Seclusion and restraint guidelines</CategoryName>
    <PRADateTrigger xmlns="4f9c820c-e7e2-444d-97ee-45f2b3485c1d" xsi:nil="true"/>
    <PRAText2 xmlns="4f9c820c-e7e2-444d-97ee-45f2b3485c1d" xsi:nil="true"/>
    <zLegacyID xmlns="184c05c4-c568-455d-94a4-7e009b164348" xsi:nil="true"/>
    <_dlc_DocId xmlns="ddbcb19b-9574-4b2f-8698-1926aad31d8a">MOHECM-318468877-6911</_dlc_DocId>
    <_dlc_DocIdUrl xmlns="ddbcb19b-9574-4b2f-8698-1926aad31d8a">
      <Url>https://mohgovtnz.sharepoint.com/sites/moh-ecm-MHStatAppt/_layouts/15/DocIdRedir.aspx?ID=MOHECM-318468877-6911</Url>
      <Description>MOHECM-318468877-6911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35BDB2E636E52C4A97F6EA784072A674" ma:contentTypeVersion="203" ma:contentTypeDescription="Create a new document." ma:contentTypeScope="" ma:versionID="23f7fbb530c7f478b9612e2f9684200a">
  <xsd:schema xmlns:xsd="http://www.w3.org/2001/XMLSchema" xmlns:xs="http://www.w3.org/2001/XMLSchema" xmlns:p="http://schemas.microsoft.com/office/2006/metadata/properties" xmlns:ns2="ddbcb19b-9574-4b2f-8698-1926aad31d8a" xmlns:ns3="4f9c820c-e7e2-444d-97ee-45f2b3485c1d" xmlns:ns4="15ffb055-6eb4-45a1-bc20-bf2ac0d420da" xmlns:ns5="725c79e5-42ce-4aa0-ac78-b6418001f0d2" xmlns:ns6="c91a514c-9034-4fa3-897a-8352025b26ed" xmlns:ns7="d0b61010-d6f3-4072-b934-7bbb13e97771" xmlns:ns8="184c05c4-c568-455d-94a4-7e009b164348" xmlns:ns9="d25c032a-5541-45df-991a-ebc9dfcd9605" targetNamespace="http://schemas.microsoft.com/office/2006/metadata/properties" ma:root="true" ma:fieldsID="8194d5c3cc9078fa488e1c92fcaaf756" ns2:_="" ns3:_="" ns4:_="" ns5:_="" ns6:_="" ns7:_="" ns8:_="" ns9:_="">
    <xsd:import namespace="ddbcb19b-9574-4b2f-8698-1926aad31d8a"/>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d25c032a-5541-45df-991a-ebc9dfcd960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DelegatedUnderSection" minOccurs="0"/>
                <xsd:element ref="ns9:Location" minOccurs="0"/>
                <xsd:element ref="ns9:Position" minOccurs="0"/>
                <xsd:element ref="ns9:MediaServiceMetadata" minOccurs="0"/>
                <xsd:element ref="ns9:MediaServiceFastMetadata" minOccurs="0"/>
                <xsd:element ref="ns9:lcf76f155ced4ddcb4097134ff3c332f" minOccurs="0"/>
                <xsd:element ref="ns2:TaxCatchAll" minOccurs="0"/>
                <xsd:element ref="ns9:MediaServiceDateTaken" minOccurs="0"/>
                <xsd:element ref="ns9:MediaServiceOCR" minOccurs="0"/>
                <xsd:element ref="ns9:MediaServiceGenerationTime" minOccurs="0"/>
                <xsd:element ref="ns9:MediaServiceEventHashCode" minOccurs="0"/>
                <xsd:element ref="ns2:SharedWithUsers" minOccurs="0"/>
                <xsd:element ref="ns2:SharedWithDetails"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b19b-9574-4b2f-8698-1926aad31d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8" nillable="true" ma:displayName="Taxonomy Catch All Column" ma:hidden="true" ma:list="{4037baa9-6fcd-449e-b7ae-9cf7faf36796}" ma:internalName="TaxCatchAll" ma:showField="CatchAllData" ma:web="ddbcb19b-9574-4b2f-8698-1926aad31d8a">
      <xsd:complexType>
        <xsd:complexContent>
          <xsd:extension base="dms:MultiChoiceLookup">
            <xsd:sequence>
              <xsd:element name="Value" type="dms:Lookup" maxOccurs="unbounded" minOccurs="0" nillable="true"/>
            </xsd:sequence>
          </xsd:extension>
        </xsd:complexContent>
      </xsd:complex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Mental Health Statutory Appointments"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ory Func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ntal Health"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ntal Health Statutory Appointment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d25c032a-5541-45df-991a-ebc9dfcd9605" elementFormDefault="qualified">
    <xsd:import namespace="http://schemas.microsoft.com/office/2006/documentManagement/types"/>
    <xsd:import namespace="http://schemas.microsoft.com/office/infopath/2007/PartnerControls"/>
    <xsd:element name="DelegatedUnderSection" ma:index="51" nillable="true" ma:displayName="Delegated Under Section" ma:internalName="DelegatedUnderSection">
      <xsd:simpleType>
        <xsd:restriction base="dms:Text">
          <xsd:maxLength value="255"/>
        </xsd:restriction>
      </xsd:simpleType>
    </xsd:element>
    <xsd:element name="Location" ma:index="52" nillable="true" ma:displayName="Location" ma:internalName="Location">
      <xsd:simpleType>
        <xsd:restriction base="dms:Text">
          <xsd:maxLength value="255"/>
        </xsd:restriction>
      </xsd:simpleType>
    </xsd:element>
    <xsd:element name="Position" ma:index="53" nillable="true" ma:displayName="Position" ma:internalName="Position">
      <xsd:simpleType>
        <xsd:restriction base="dms:Text">
          <xsd:maxLength value="255"/>
        </xsd:restriction>
      </xsd:simpleType>
    </xsd:element>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lcf76f155ced4ddcb4097134ff3c332f" ma:index="57"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9" nillable="true" ma:displayName="MediaServiceDateTaken" ma:hidden="true" ma:indexed="true" ma:internalName="MediaServiceDateTaken"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1917A-E620-475F-9F74-B6C21FF442A9}">
  <ds:schemaRefs>
    <ds:schemaRef ds:uri="http://schemas.microsoft.com/office/2006/metadata/properties"/>
    <ds:schemaRef ds:uri="http://schemas.microsoft.com/office/infopath/2007/PartnerControls"/>
    <ds:schemaRef ds:uri="4f9c820c-e7e2-444d-97ee-45f2b3485c1d"/>
    <ds:schemaRef ds:uri="d25c032a-5541-45df-991a-ebc9dfcd9605"/>
    <ds:schemaRef ds:uri="ddbcb19b-9574-4b2f-8698-1926aad31d8a"/>
    <ds:schemaRef ds:uri="15ffb055-6eb4-45a1-bc20-bf2ac0d420da"/>
    <ds:schemaRef ds:uri="c91a514c-9034-4fa3-897a-8352025b26ed"/>
    <ds:schemaRef ds:uri="184c05c4-c568-455d-94a4-7e009b164348"/>
    <ds:schemaRef ds:uri="d0b61010-d6f3-4072-b934-7bbb13e97771"/>
    <ds:schemaRef ds:uri="725c79e5-42ce-4aa0-ac78-b6418001f0d2"/>
  </ds:schemaRefs>
</ds:datastoreItem>
</file>

<file path=customXml/itemProps2.xml><?xml version="1.0" encoding="utf-8"?>
<ds:datastoreItem xmlns:ds="http://schemas.openxmlformats.org/officeDocument/2006/customXml" ds:itemID="{0DB2C0C8-03E6-41A1-B364-E706EF957085}">
  <ds:schemaRefs>
    <ds:schemaRef ds:uri="http://schemas.openxmlformats.org/officeDocument/2006/bibliography"/>
  </ds:schemaRefs>
</ds:datastoreItem>
</file>

<file path=customXml/itemProps3.xml><?xml version="1.0" encoding="utf-8"?>
<ds:datastoreItem xmlns:ds="http://schemas.openxmlformats.org/officeDocument/2006/customXml" ds:itemID="{34F3BAA3-6C9F-447B-9522-023EDF592553}">
  <ds:schemaRefs>
    <ds:schemaRef ds:uri="http://schemas.microsoft.com/sharepoint/events"/>
  </ds:schemaRefs>
</ds:datastoreItem>
</file>

<file path=customXml/itemProps4.xml><?xml version="1.0" encoding="utf-8"?>
<ds:datastoreItem xmlns:ds="http://schemas.openxmlformats.org/officeDocument/2006/customXml" ds:itemID="{9ADEC0E7-8AE9-4469-81A4-FB068B3EB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cb19b-9574-4b2f-8698-1926aad31d8a"/>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d25c032a-5541-45df-991a-ebc9dfcd9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2183E1-02D9-4AE9-A79F-9FB0AFFC9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TotalTime>
  <Pages>70</Pages>
  <Words>21223</Words>
  <Characters>120972</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Guidelines for Reducing and Eliminating Seclusion and Restraint Under the Mental Health (Compulsory Assessment and Treatment) Act 1992</vt:lpstr>
    </vt:vector>
  </TitlesOfParts>
  <Company>Microsoft</Company>
  <LinksUpToDate>false</LinksUpToDate>
  <CharactersWithSpaces>141912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Reducing and Eliminating Seclusion and Restraint Under the Mental Health (Compulsory Assessment and Treatment) Act 1992</dc:title>
  <dc:subject/>
  <dc:creator>Ministry of Health</dc:creator>
  <cp:keywords/>
  <cp:lastModifiedBy>Ministry of Health</cp:lastModifiedBy>
  <cp:revision>3</cp:revision>
  <cp:lastPrinted>2023-09-22T01:16:00Z</cp:lastPrinted>
  <dcterms:created xsi:type="dcterms:W3CDTF">2023-09-22T01:14:00Z</dcterms:created>
  <dcterms:modified xsi:type="dcterms:W3CDTF">2023-09-22T01:16:00Z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0x01010035BDB2E636E52C4A97F6EA784072A674</vt:lpwstr>
  </property>
  <property fmtid="{D5CDD505-2E9C-101B-9397-08002B2CF9AE}" pid="3" name="_dlc_DocIdItemGuid">
    <vt:lpwstr>59084419-ac3d-4e5c-8f13-c0242d56f484</vt:lpwstr>
  </property>
  <property fmtid="{D5CDD505-2E9C-101B-9397-08002B2CF9AE}" pid="4" name="MediaServiceImageTags">
    <vt:lpwstr/>
  </property>
</Properties>
</file>