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34" w:type="dxa"/>
        <w:tblLayout w:type="fixed"/>
        <w:tblCellMar>
          <w:left w:w="0" w:type="dxa"/>
          <w:right w:w="0" w:type="dxa"/>
        </w:tblCellMar>
        <w:tblLook w:val="04A0" w:firstRow="1" w:lastRow="0" w:firstColumn="1" w:lastColumn="0" w:noHBand="0" w:noVBand="1"/>
      </w:tblPr>
      <w:tblGrid>
        <w:gridCol w:w="425"/>
        <w:gridCol w:w="10348"/>
      </w:tblGrid>
      <w:tr w:rsidR="00DC7C56" w14:paraId="09DDDF23" w14:textId="77777777" w:rsidTr="005D50B6">
        <w:trPr>
          <w:cantSplit/>
        </w:trPr>
        <w:tc>
          <w:tcPr>
            <w:tcW w:w="425" w:type="dxa"/>
            <w:vMerge w:val="restart"/>
            <w:tcBorders>
              <w:top w:val="nil"/>
              <w:left w:val="nil"/>
              <w:bottom w:val="nil"/>
              <w:right w:val="nil"/>
            </w:tcBorders>
            <w:shd w:val="clear" w:color="auto" w:fill="1B83A0" w:themeFill="text1"/>
          </w:tcPr>
          <w:p w14:paraId="09DDDF21" w14:textId="77777777" w:rsidR="00DC7C56" w:rsidRDefault="00DC7C56" w:rsidP="00DC7C56"/>
        </w:tc>
        <w:tc>
          <w:tcPr>
            <w:tcW w:w="10348" w:type="dxa"/>
            <w:tcBorders>
              <w:top w:val="nil"/>
              <w:left w:val="nil"/>
              <w:bottom w:val="nil"/>
              <w:right w:val="nil"/>
            </w:tcBorders>
          </w:tcPr>
          <w:p w14:paraId="09DDDF22" w14:textId="765213FD" w:rsidR="00DC7C56" w:rsidRDefault="00427A3A" w:rsidP="00DC7C56">
            <w:pPr>
              <w:pStyle w:val="Title"/>
            </w:pPr>
            <w:r w:rsidRPr="00427A3A">
              <w:t>COVID-19 RISK AMONG DISABLED PEOPLE</w:t>
            </w:r>
          </w:p>
        </w:tc>
      </w:tr>
      <w:tr w:rsidR="00DC7C56" w14:paraId="09DDDF26" w14:textId="77777777" w:rsidTr="005D50B6">
        <w:trPr>
          <w:cantSplit/>
        </w:trPr>
        <w:tc>
          <w:tcPr>
            <w:tcW w:w="425" w:type="dxa"/>
            <w:vMerge/>
            <w:tcBorders>
              <w:top w:val="nil"/>
              <w:left w:val="nil"/>
              <w:bottom w:val="nil"/>
              <w:right w:val="nil"/>
            </w:tcBorders>
            <w:shd w:val="clear" w:color="auto" w:fill="1B83A0" w:themeFill="text1"/>
          </w:tcPr>
          <w:p w14:paraId="09DDDF24" w14:textId="77777777" w:rsidR="00DC7C56" w:rsidRDefault="00DC7C56" w:rsidP="00DC7C56"/>
        </w:tc>
        <w:tc>
          <w:tcPr>
            <w:tcW w:w="10348" w:type="dxa"/>
            <w:tcBorders>
              <w:top w:val="nil"/>
              <w:left w:val="nil"/>
              <w:bottom w:val="nil"/>
              <w:right w:val="nil"/>
            </w:tcBorders>
          </w:tcPr>
          <w:p w14:paraId="09DDDF25" w14:textId="3605EA2B" w:rsidR="00DC7C56" w:rsidRDefault="00DC7C56" w:rsidP="00DC7C56">
            <w:pPr>
              <w:pStyle w:val="Subhead"/>
            </w:pPr>
          </w:p>
        </w:tc>
      </w:tr>
      <w:tr w:rsidR="00DC7C56" w14:paraId="09DDDF29" w14:textId="77777777" w:rsidTr="005D50B6">
        <w:trPr>
          <w:cantSplit/>
        </w:trPr>
        <w:tc>
          <w:tcPr>
            <w:tcW w:w="425" w:type="dxa"/>
            <w:vMerge/>
            <w:tcBorders>
              <w:top w:val="nil"/>
              <w:left w:val="nil"/>
              <w:bottom w:val="nil"/>
              <w:right w:val="nil"/>
            </w:tcBorders>
            <w:shd w:val="clear" w:color="auto" w:fill="1B83A0" w:themeFill="text1"/>
          </w:tcPr>
          <w:p w14:paraId="09DDDF27" w14:textId="77777777" w:rsidR="00DC7C56" w:rsidRDefault="00DC7C56" w:rsidP="00DC7C56"/>
        </w:tc>
        <w:tc>
          <w:tcPr>
            <w:tcW w:w="10348" w:type="dxa"/>
            <w:tcBorders>
              <w:top w:val="nil"/>
              <w:left w:val="nil"/>
              <w:bottom w:val="nil"/>
              <w:right w:val="nil"/>
            </w:tcBorders>
          </w:tcPr>
          <w:p w14:paraId="09DDDF28" w14:textId="6BF6AF05" w:rsidR="00DC7C56" w:rsidRDefault="0061424C" w:rsidP="00DC7C56">
            <w:pPr>
              <w:pStyle w:val="Year"/>
            </w:pPr>
            <w:r>
              <w:t>16 December 2022</w:t>
            </w:r>
          </w:p>
        </w:tc>
      </w:tr>
    </w:tbl>
    <w:p w14:paraId="09DDDF2A" w14:textId="77777777" w:rsidR="00C05132" w:rsidRPr="00B47C82" w:rsidRDefault="00DC7C56" w:rsidP="00E064D9">
      <w:pPr>
        <w:spacing w:before="960"/>
      </w:pPr>
      <w:r w:rsidRPr="00922A0F">
        <w:rPr>
          <w:noProof/>
          <w:lang w:eastAsia="en-NZ"/>
        </w:rPr>
        <w:drawing>
          <wp:inline distT="0" distB="0" distL="0" distR="0" wp14:anchorId="09DDDF8A" wp14:editId="09DDDF8B">
            <wp:extent cx="6113639" cy="4206240"/>
            <wp:effectExtent l="0" t="0" r="1905" b="3810"/>
            <wp:docPr id="8" name="Picture 1" descr="Background pattern&#10;&#10;Description automatically generated">
              <a:extLst xmlns:a="http://schemas.openxmlformats.org/drawingml/2006/main">
                <a:ext uri="{FF2B5EF4-FFF2-40B4-BE49-F238E27FC236}">
                  <a16:creationId xmlns:a16="http://schemas.microsoft.com/office/drawing/2014/main" id="{AD64F633-D4C7-BE1E-3B6B-F6DD95A2B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a:extLst>
                        <a:ext uri="{FF2B5EF4-FFF2-40B4-BE49-F238E27FC236}">
                          <a16:creationId xmlns:a16="http://schemas.microsoft.com/office/drawing/2014/main" id="{AD64F633-D4C7-BE1E-3B6B-F6DD95A2B235}"/>
                        </a:ext>
                      </a:extLst>
                    </pic:cNvPr>
                    <pic:cNvPicPr>
                      <a:picLocks noChangeAspect="1"/>
                    </pic:cNvPicPr>
                  </pic:nvPicPr>
                  <pic:blipFill rotWithShape="1">
                    <a:blip r:embed="rId8">
                      <a:extLst>
                        <a:ext uri="{28A0092B-C50C-407E-A947-70E740481C1C}">
                          <a14:useLocalDpi xmlns:a14="http://schemas.microsoft.com/office/drawing/2010/main" val="0"/>
                        </a:ext>
                      </a:extLst>
                    </a:blip>
                    <a:srcRect t="38812" b="15341"/>
                    <a:stretch/>
                  </pic:blipFill>
                  <pic:spPr bwMode="auto">
                    <a:xfrm>
                      <a:off x="0" y="0"/>
                      <a:ext cx="6116308" cy="4208077"/>
                    </a:xfrm>
                    <a:prstGeom prst="rect">
                      <a:avLst/>
                    </a:prstGeom>
                    <a:ln>
                      <a:noFill/>
                    </a:ln>
                    <a:extLst>
                      <a:ext uri="{53640926-AAD7-44D8-BBD7-CCE9431645EC}">
                        <a14:shadowObscured xmlns:a14="http://schemas.microsoft.com/office/drawing/2010/main"/>
                      </a:ext>
                    </a:extLst>
                  </pic:spPr>
                </pic:pic>
              </a:graphicData>
            </a:graphic>
          </wp:inline>
        </w:drawing>
      </w:r>
    </w:p>
    <w:p w14:paraId="09DDDF2B" w14:textId="77777777" w:rsidR="00142954" w:rsidRPr="00B47C82" w:rsidRDefault="00142954" w:rsidP="00142954">
      <w:pPr>
        <w:sectPr w:rsidR="00142954" w:rsidRPr="00B47C82" w:rsidSect="00E064D9">
          <w:headerReference w:type="even" r:id="rId9"/>
          <w:headerReference w:type="default" r:id="rId10"/>
          <w:footerReference w:type="even" r:id="rId11"/>
          <w:footerReference w:type="default" r:id="rId12"/>
          <w:headerReference w:type="first" r:id="rId13"/>
          <w:footerReference w:type="first" r:id="rId14"/>
          <w:pgSz w:w="11907" w:h="16834" w:code="9"/>
          <w:pgMar w:top="3119" w:right="1134" w:bottom="1134" w:left="1134" w:header="567" w:footer="851" w:gutter="0"/>
          <w:pgNumType w:start="1"/>
          <w:cols w:space="720"/>
        </w:sectPr>
      </w:pPr>
    </w:p>
    <w:p w14:paraId="09DDDF2E" w14:textId="79FCE297" w:rsidR="00A80363" w:rsidRPr="00B47C82" w:rsidRDefault="00A80363" w:rsidP="00A63DFF">
      <w:pPr>
        <w:pStyle w:val="Imprint"/>
        <w:spacing w:before="1200"/>
        <w:rPr>
          <w:rFonts w:cs="Segoe UI"/>
        </w:rPr>
      </w:pPr>
      <w:r w:rsidRPr="00B47C82">
        <w:rPr>
          <w:rFonts w:cs="Segoe UI"/>
        </w:rPr>
        <w:lastRenderedPageBreak/>
        <w:t xml:space="preserve">Citation: </w:t>
      </w:r>
      <w:r w:rsidR="00B6375A">
        <w:rPr>
          <w:rFonts w:cs="Segoe UI"/>
        </w:rPr>
        <w:t>Ministry of Health</w:t>
      </w:r>
      <w:r w:rsidR="00442C1C" w:rsidRPr="00B47C82">
        <w:rPr>
          <w:rFonts w:cs="Segoe UI"/>
        </w:rPr>
        <w:t xml:space="preserve">. </w:t>
      </w:r>
      <w:r w:rsidR="00427A3A">
        <w:rPr>
          <w:rFonts w:cs="Segoe UI"/>
        </w:rPr>
        <w:t>202</w:t>
      </w:r>
      <w:r w:rsidR="00B62AD8">
        <w:rPr>
          <w:rFonts w:cs="Segoe UI"/>
        </w:rPr>
        <w:t>3</w:t>
      </w:r>
      <w:r w:rsidR="00442C1C" w:rsidRPr="00B47C82">
        <w:rPr>
          <w:rFonts w:cs="Segoe UI"/>
        </w:rPr>
        <w:t xml:space="preserve">. </w:t>
      </w:r>
      <w:r w:rsidR="00427A3A" w:rsidRPr="00427A3A">
        <w:rPr>
          <w:rFonts w:cs="Segoe UI"/>
          <w:i/>
        </w:rPr>
        <w:t>COVID-19 Risk Among Disabled People.</w:t>
      </w:r>
      <w:r w:rsidR="00442C1C" w:rsidRPr="00B47C82">
        <w:rPr>
          <w:rFonts w:cs="Segoe UI"/>
        </w:rPr>
        <w:t xml:space="preserve"> Wellington: </w:t>
      </w:r>
      <w:r w:rsidR="00CE07BA">
        <w:rPr>
          <w:rFonts w:cs="Segoe UI"/>
        </w:rPr>
        <w:t>Ministry of Health</w:t>
      </w:r>
      <w:r w:rsidR="00442C1C" w:rsidRPr="00B47C82">
        <w:rPr>
          <w:rFonts w:cs="Segoe UI"/>
        </w:rPr>
        <w:t>.</w:t>
      </w:r>
    </w:p>
    <w:p w14:paraId="09DDDF2F" w14:textId="18DF2647" w:rsidR="00C86248" w:rsidRPr="00B47C82" w:rsidRDefault="00C86248">
      <w:pPr>
        <w:pStyle w:val="Imprint"/>
      </w:pPr>
      <w:r w:rsidRPr="00B47C82">
        <w:t xml:space="preserve">Published in </w:t>
      </w:r>
      <w:r w:rsidR="00B62AD8">
        <w:t>March 2023</w:t>
      </w:r>
      <w:r w:rsidR="00A63DFF" w:rsidRPr="00B47C82">
        <w:t xml:space="preserve"> </w:t>
      </w:r>
      <w:r w:rsidRPr="00B47C82">
        <w:t xml:space="preserve">by </w:t>
      </w:r>
      <w:r w:rsidR="00CE07BA">
        <w:t>the Ministry of Health</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09DDDF30" w14:textId="43A1EF18" w:rsidR="00082CD6" w:rsidRPr="00B47C82" w:rsidRDefault="001A5591" w:rsidP="00082CD6">
      <w:pPr>
        <w:pStyle w:val="Imprint"/>
      </w:pPr>
      <w:r>
        <w:t xml:space="preserve">ISBN </w:t>
      </w:r>
      <w:r w:rsidR="0036065E" w:rsidRPr="0036065E">
        <w:t>978-1-991075-08-6</w:t>
      </w:r>
      <w:r w:rsidR="0036065E">
        <w:t xml:space="preserve"> (online)</w:t>
      </w:r>
      <w:r>
        <w:br/>
      </w:r>
      <w:r w:rsidR="00082CD6" w:rsidRPr="00B47C82">
        <w:t xml:space="preserve">HP </w:t>
      </w:r>
      <w:r w:rsidR="00427A3A">
        <w:t>8</w:t>
      </w:r>
      <w:r w:rsidR="00E76A7B">
        <w:t>722</w:t>
      </w:r>
    </w:p>
    <w:p w14:paraId="09DDDF31" w14:textId="77777777" w:rsidR="005718A6" w:rsidRPr="00B47C82" w:rsidRDefault="00F86028" w:rsidP="00D27922">
      <w:pPr>
        <w:spacing w:before="360"/>
      </w:pPr>
      <w:r>
        <w:rPr>
          <w:noProof/>
          <w:lang w:eastAsia="en-NZ"/>
        </w:rPr>
        <w:drawing>
          <wp:inline distT="0" distB="0" distL="0" distR="0" wp14:anchorId="09DDDF8C" wp14:editId="0F9DBA3E">
            <wp:extent cx="1423284" cy="620202"/>
            <wp:effectExtent l="0" t="0" r="5715" b="8890"/>
            <wp:docPr id="17" name="Picture 17"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inistry of Health logo"/>
                    <pic:cNvPicPr>
                      <a:picLocks noChangeAspect="1" noChangeArrowheads="1"/>
                    </pic:cNvPicPr>
                  </pic:nvPicPr>
                  <pic:blipFill rotWithShape="1">
                    <a:blip r:embed="rId15" cstate="print">
                      <a:grayscl/>
                      <a:extLst>
                        <a:ext uri="{28A0092B-C50C-407E-A947-70E740481C1C}">
                          <a14:useLocalDpi xmlns:a14="http://schemas.microsoft.com/office/drawing/2010/main" val="0"/>
                        </a:ext>
                      </a:extLst>
                    </a:blip>
                    <a:srcRect l="2630" t="6666" r="3158" b="6473"/>
                    <a:stretch/>
                  </pic:blipFill>
                  <pic:spPr bwMode="auto">
                    <a:xfrm>
                      <a:off x="0" y="0"/>
                      <a:ext cx="1431581" cy="623817"/>
                    </a:xfrm>
                    <a:prstGeom prst="rect">
                      <a:avLst/>
                    </a:prstGeom>
                    <a:noFill/>
                    <a:ln>
                      <a:noFill/>
                    </a:ln>
                    <a:extLst>
                      <a:ext uri="{53640926-AAD7-44D8-BBD7-CCE9431645EC}">
                        <a14:shadowObscured xmlns:a14="http://schemas.microsoft.com/office/drawing/2010/main"/>
                      </a:ext>
                    </a:extLst>
                  </pic:spPr>
                </pic:pic>
              </a:graphicData>
            </a:graphic>
          </wp:inline>
        </w:drawing>
      </w:r>
    </w:p>
    <w:p w14:paraId="09DDDF32" w14:textId="77777777" w:rsidR="00A63DFF" w:rsidRPr="00B47C82" w:rsidRDefault="00A63DFF" w:rsidP="00A63DFF">
      <w:pPr>
        <w:pStyle w:val="Imprint"/>
        <w:spacing w:before="240" w:after="480"/>
      </w:pPr>
      <w:r w:rsidRPr="00B47C82">
        <w:t xml:space="preserve">This document is available at </w:t>
      </w:r>
      <w:hyperlink r:id="rId16" w:history="1">
        <w:r w:rsidR="00B155FD" w:rsidRPr="00F76CB4">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09DDDF35" w14:textId="77777777" w:rsidTr="00A63DFF">
        <w:trPr>
          <w:cantSplit/>
        </w:trPr>
        <w:tc>
          <w:tcPr>
            <w:tcW w:w="1526" w:type="dxa"/>
          </w:tcPr>
          <w:p w14:paraId="09DDDF33"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09DDDF8E" wp14:editId="09DDDF8F">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09DDDF34"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w:t>
            </w:r>
            <w:proofErr w:type="spellStart"/>
            <w:r w:rsidRPr="00B47C82">
              <w:rPr>
                <w:rFonts w:cs="Segoe UI"/>
                <w:sz w:val="15"/>
                <w:szCs w:val="15"/>
              </w:rPr>
              <w:t>ie</w:t>
            </w:r>
            <w:proofErr w:type="spellEnd"/>
            <w:r w:rsidRPr="00B47C82">
              <w:rPr>
                <w:rFonts w:cs="Segoe UI"/>
                <w:sz w:val="15"/>
                <w:szCs w:val="15"/>
              </w:rPr>
              <w:t xml:space="preserve">, copy and redistribute the material in any medium or format; adapt </w:t>
            </w:r>
            <w:proofErr w:type="spellStart"/>
            <w:r w:rsidRPr="00B47C82">
              <w:rPr>
                <w:rFonts w:cs="Segoe UI"/>
                <w:sz w:val="15"/>
                <w:szCs w:val="15"/>
              </w:rPr>
              <w:t>ie</w:t>
            </w:r>
            <w:proofErr w:type="spellEnd"/>
            <w:r w:rsidRPr="00B47C82">
              <w:rPr>
                <w:rFonts w:cs="Segoe UI"/>
                <w:sz w:val="15"/>
                <w:szCs w:val="15"/>
              </w:rPr>
              <w:t xml:space="preserve">, remix, transform and build upon the material. </w:t>
            </w:r>
            <w:r w:rsidRPr="00B47C82">
              <w:rPr>
                <w:rFonts w:cs="Segoe UI"/>
                <w:bCs/>
                <w:sz w:val="15"/>
                <w:szCs w:val="15"/>
              </w:rPr>
              <w:t>You must give appropriate credit, provide a link to the licence and indicate if changes were made.</w:t>
            </w:r>
          </w:p>
        </w:tc>
      </w:tr>
    </w:tbl>
    <w:p w14:paraId="09DDDF36" w14:textId="77777777" w:rsidR="007E74F1" w:rsidRPr="00B47C82" w:rsidRDefault="007E74F1" w:rsidP="006E2886">
      <w:pPr>
        <w:pStyle w:val="Imprint"/>
      </w:pPr>
    </w:p>
    <w:p w14:paraId="09DDDF37" w14:textId="77777777" w:rsidR="00C86248" w:rsidRPr="00B47C82" w:rsidRDefault="00C86248">
      <w:pPr>
        <w:jc w:val="center"/>
        <w:sectPr w:rsidR="00C86248" w:rsidRPr="00B47C82" w:rsidSect="003D59BB">
          <w:footerReference w:type="even" r:id="rId18"/>
          <w:footerReference w:type="default" r:id="rId19"/>
          <w:pgSz w:w="11907" w:h="16834" w:code="9"/>
          <w:pgMar w:top="1701" w:right="2268" w:bottom="1134" w:left="2268" w:header="425" w:footer="284" w:gutter="0"/>
          <w:cols w:space="720"/>
          <w:vAlign w:val="bottom"/>
        </w:sectPr>
      </w:pPr>
    </w:p>
    <w:p w14:paraId="09DDDF3F"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533711B0" w14:textId="5C8CB73E" w:rsidR="00D94469" w:rsidRDefault="00B6375A">
      <w:pPr>
        <w:pStyle w:val="TOC1"/>
        <w:rPr>
          <w:rFonts w:asciiTheme="minorHAnsi" w:eastAsiaTheme="minorEastAsia" w:hAnsiTheme="minorHAnsi" w:cstheme="minorBidi"/>
          <w:noProof/>
          <w:sz w:val="22"/>
          <w:szCs w:val="22"/>
          <w:lang w:val="en-AU" w:eastAsia="en-AU"/>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129779919" w:history="1">
        <w:r w:rsidR="00D94469" w:rsidRPr="00994E8F">
          <w:rPr>
            <w:rStyle w:val="Hyperlink"/>
            <w:noProof/>
          </w:rPr>
          <w:t>Key Points</w:t>
        </w:r>
        <w:r w:rsidR="00D94469">
          <w:rPr>
            <w:noProof/>
            <w:webHidden/>
          </w:rPr>
          <w:tab/>
        </w:r>
        <w:r w:rsidR="00D94469">
          <w:rPr>
            <w:noProof/>
            <w:webHidden/>
          </w:rPr>
          <w:fldChar w:fldCharType="begin"/>
        </w:r>
        <w:r w:rsidR="00D94469">
          <w:rPr>
            <w:noProof/>
            <w:webHidden/>
          </w:rPr>
          <w:instrText xml:space="preserve"> PAGEREF _Toc129779919 \h </w:instrText>
        </w:r>
        <w:r w:rsidR="00D94469">
          <w:rPr>
            <w:noProof/>
            <w:webHidden/>
          </w:rPr>
        </w:r>
        <w:r w:rsidR="00D94469">
          <w:rPr>
            <w:noProof/>
            <w:webHidden/>
          </w:rPr>
          <w:fldChar w:fldCharType="separate"/>
        </w:r>
        <w:r w:rsidR="00D94469">
          <w:rPr>
            <w:noProof/>
            <w:webHidden/>
          </w:rPr>
          <w:t>1</w:t>
        </w:r>
        <w:r w:rsidR="00D94469">
          <w:rPr>
            <w:noProof/>
            <w:webHidden/>
          </w:rPr>
          <w:fldChar w:fldCharType="end"/>
        </w:r>
      </w:hyperlink>
    </w:p>
    <w:p w14:paraId="02AE75D7" w14:textId="13262623" w:rsidR="00D94469" w:rsidRDefault="0050631D">
      <w:pPr>
        <w:pStyle w:val="TOC1"/>
        <w:rPr>
          <w:rFonts w:asciiTheme="minorHAnsi" w:eastAsiaTheme="minorEastAsia" w:hAnsiTheme="minorHAnsi" w:cstheme="minorBidi"/>
          <w:noProof/>
          <w:sz w:val="22"/>
          <w:szCs w:val="22"/>
          <w:lang w:val="en-AU" w:eastAsia="en-AU"/>
        </w:rPr>
      </w:pPr>
      <w:hyperlink w:anchor="_Toc129779920" w:history="1">
        <w:r w:rsidR="00D94469" w:rsidRPr="00994E8F">
          <w:rPr>
            <w:rStyle w:val="Hyperlink"/>
            <w:noProof/>
          </w:rPr>
          <w:t>Background</w:t>
        </w:r>
        <w:r w:rsidR="00D94469">
          <w:rPr>
            <w:noProof/>
            <w:webHidden/>
          </w:rPr>
          <w:tab/>
        </w:r>
        <w:r w:rsidR="00D94469">
          <w:rPr>
            <w:noProof/>
            <w:webHidden/>
          </w:rPr>
          <w:fldChar w:fldCharType="begin"/>
        </w:r>
        <w:r w:rsidR="00D94469">
          <w:rPr>
            <w:noProof/>
            <w:webHidden/>
          </w:rPr>
          <w:instrText xml:space="preserve"> PAGEREF _Toc129779920 \h </w:instrText>
        </w:r>
        <w:r w:rsidR="00D94469">
          <w:rPr>
            <w:noProof/>
            <w:webHidden/>
          </w:rPr>
        </w:r>
        <w:r w:rsidR="00D94469">
          <w:rPr>
            <w:noProof/>
            <w:webHidden/>
          </w:rPr>
          <w:fldChar w:fldCharType="separate"/>
        </w:r>
        <w:r w:rsidR="00D94469">
          <w:rPr>
            <w:noProof/>
            <w:webHidden/>
          </w:rPr>
          <w:t>2</w:t>
        </w:r>
        <w:r w:rsidR="00D94469">
          <w:rPr>
            <w:noProof/>
            <w:webHidden/>
          </w:rPr>
          <w:fldChar w:fldCharType="end"/>
        </w:r>
      </w:hyperlink>
    </w:p>
    <w:p w14:paraId="79EB77F8" w14:textId="53101616" w:rsidR="00D94469" w:rsidRDefault="0050631D">
      <w:pPr>
        <w:pStyle w:val="TOC1"/>
        <w:rPr>
          <w:rFonts w:asciiTheme="minorHAnsi" w:eastAsiaTheme="minorEastAsia" w:hAnsiTheme="minorHAnsi" w:cstheme="minorBidi"/>
          <w:noProof/>
          <w:sz w:val="22"/>
          <w:szCs w:val="22"/>
          <w:lang w:val="en-AU" w:eastAsia="en-AU"/>
        </w:rPr>
      </w:pPr>
      <w:hyperlink w:anchor="_Toc129779921" w:history="1">
        <w:r w:rsidR="00D94469" w:rsidRPr="00994E8F">
          <w:rPr>
            <w:rStyle w:val="Hyperlink"/>
            <w:noProof/>
          </w:rPr>
          <w:t>COVID-19 risk for disabled people receiving Disability Support Services</w:t>
        </w:r>
        <w:r w:rsidR="00D94469">
          <w:rPr>
            <w:noProof/>
            <w:webHidden/>
          </w:rPr>
          <w:tab/>
        </w:r>
        <w:r w:rsidR="00D94469">
          <w:rPr>
            <w:noProof/>
            <w:webHidden/>
          </w:rPr>
          <w:fldChar w:fldCharType="begin"/>
        </w:r>
        <w:r w:rsidR="00D94469">
          <w:rPr>
            <w:noProof/>
            <w:webHidden/>
          </w:rPr>
          <w:instrText xml:space="preserve"> PAGEREF _Toc129779921 \h </w:instrText>
        </w:r>
        <w:r w:rsidR="00D94469">
          <w:rPr>
            <w:noProof/>
            <w:webHidden/>
          </w:rPr>
        </w:r>
        <w:r w:rsidR="00D94469">
          <w:rPr>
            <w:noProof/>
            <w:webHidden/>
          </w:rPr>
          <w:fldChar w:fldCharType="separate"/>
        </w:r>
        <w:r w:rsidR="00D94469">
          <w:rPr>
            <w:noProof/>
            <w:webHidden/>
          </w:rPr>
          <w:t>3</w:t>
        </w:r>
        <w:r w:rsidR="00D94469">
          <w:rPr>
            <w:noProof/>
            <w:webHidden/>
          </w:rPr>
          <w:fldChar w:fldCharType="end"/>
        </w:r>
      </w:hyperlink>
    </w:p>
    <w:p w14:paraId="59664E25" w14:textId="2D4E262D" w:rsidR="00D94469" w:rsidRDefault="0050631D">
      <w:pPr>
        <w:pStyle w:val="TOC2"/>
        <w:rPr>
          <w:rFonts w:asciiTheme="minorHAnsi" w:eastAsiaTheme="minorEastAsia" w:hAnsiTheme="minorHAnsi" w:cstheme="minorBidi"/>
          <w:noProof/>
          <w:sz w:val="22"/>
          <w:szCs w:val="22"/>
          <w:lang w:val="en-AU" w:eastAsia="en-AU"/>
        </w:rPr>
      </w:pPr>
      <w:hyperlink w:anchor="_Toc129779922" w:history="1">
        <w:r w:rsidR="00D94469" w:rsidRPr="00994E8F">
          <w:rPr>
            <w:rStyle w:val="Hyperlink"/>
            <w:noProof/>
          </w:rPr>
          <w:t>Disability Support Services (DSS) (primary data source)</w:t>
        </w:r>
        <w:r w:rsidR="00D94469">
          <w:rPr>
            <w:noProof/>
            <w:webHidden/>
          </w:rPr>
          <w:tab/>
        </w:r>
        <w:r w:rsidR="00D94469">
          <w:rPr>
            <w:noProof/>
            <w:webHidden/>
          </w:rPr>
          <w:fldChar w:fldCharType="begin"/>
        </w:r>
        <w:r w:rsidR="00D94469">
          <w:rPr>
            <w:noProof/>
            <w:webHidden/>
          </w:rPr>
          <w:instrText xml:space="preserve"> PAGEREF _Toc129779922 \h </w:instrText>
        </w:r>
        <w:r w:rsidR="00D94469">
          <w:rPr>
            <w:noProof/>
            <w:webHidden/>
          </w:rPr>
        </w:r>
        <w:r w:rsidR="00D94469">
          <w:rPr>
            <w:noProof/>
            <w:webHidden/>
          </w:rPr>
          <w:fldChar w:fldCharType="separate"/>
        </w:r>
        <w:r w:rsidR="00D94469">
          <w:rPr>
            <w:noProof/>
            <w:webHidden/>
          </w:rPr>
          <w:t>3</w:t>
        </w:r>
        <w:r w:rsidR="00D94469">
          <w:rPr>
            <w:noProof/>
            <w:webHidden/>
          </w:rPr>
          <w:fldChar w:fldCharType="end"/>
        </w:r>
      </w:hyperlink>
    </w:p>
    <w:p w14:paraId="44D0C552" w14:textId="49DEC2E1" w:rsidR="00D94469" w:rsidRDefault="0050631D">
      <w:pPr>
        <w:pStyle w:val="TOC2"/>
        <w:rPr>
          <w:rFonts w:asciiTheme="minorHAnsi" w:eastAsiaTheme="minorEastAsia" w:hAnsiTheme="minorHAnsi" w:cstheme="minorBidi"/>
          <w:noProof/>
          <w:sz w:val="22"/>
          <w:szCs w:val="22"/>
          <w:lang w:val="en-AU" w:eastAsia="en-AU"/>
        </w:rPr>
      </w:pPr>
      <w:hyperlink w:anchor="_Toc129779923" w:history="1">
        <w:r w:rsidR="00D94469" w:rsidRPr="00994E8F">
          <w:rPr>
            <w:rStyle w:val="Hyperlink"/>
            <w:noProof/>
          </w:rPr>
          <w:t>Case rates in DSS recipients</w:t>
        </w:r>
        <w:r w:rsidR="00D94469">
          <w:rPr>
            <w:noProof/>
            <w:webHidden/>
          </w:rPr>
          <w:tab/>
        </w:r>
        <w:r w:rsidR="00D94469">
          <w:rPr>
            <w:noProof/>
            <w:webHidden/>
          </w:rPr>
          <w:fldChar w:fldCharType="begin"/>
        </w:r>
        <w:r w:rsidR="00D94469">
          <w:rPr>
            <w:noProof/>
            <w:webHidden/>
          </w:rPr>
          <w:instrText xml:space="preserve"> PAGEREF _Toc129779923 \h </w:instrText>
        </w:r>
        <w:r w:rsidR="00D94469">
          <w:rPr>
            <w:noProof/>
            <w:webHidden/>
          </w:rPr>
        </w:r>
        <w:r w:rsidR="00D94469">
          <w:rPr>
            <w:noProof/>
            <w:webHidden/>
          </w:rPr>
          <w:fldChar w:fldCharType="separate"/>
        </w:r>
        <w:r w:rsidR="00D94469">
          <w:rPr>
            <w:noProof/>
            <w:webHidden/>
          </w:rPr>
          <w:t>4</w:t>
        </w:r>
        <w:r w:rsidR="00D94469">
          <w:rPr>
            <w:noProof/>
            <w:webHidden/>
          </w:rPr>
          <w:fldChar w:fldCharType="end"/>
        </w:r>
      </w:hyperlink>
    </w:p>
    <w:p w14:paraId="182EB980" w14:textId="09876D18" w:rsidR="00D94469" w:rsidRDefault="0050631D">
      <w:pPr>
        <w:pStyle w:val="TOC2"/>
        <w:rPr>
          <w:rFonts w:asciiTheme="minorHAnsi" w:eastAsiaTheme="minorEastAsia" w:hAnsiTheme="minorHAnsi" w:cstheme="minorBidi"/>
          <w:noProof/>
          <w:sz w:val="22"/>
          <w:szCs w:val="22"/>
          <w:lang w:val="en-AU" w:eastAsia="en-AU"/>
        </w:rPr>
      </w:pPr>
      <w:hyperlink w:anchor="_Toc129779924" w:history="1">
        <w:r w:rsidR="00D94469" w:rsidRPr="00994E8F">
          <w:rPr>
            <w:rStyle w:val="Hyperlink"/>
            <w:noProof/>
          </w:rPr>
          <w:t>Hospitalisation risk in DSS recipients</w:t>
        </w:r>
        <w:r w:rsidR="00D94469">
          <w:rPr>
            <w:noProof/>
            <w:webHidden/>
          </w:rPr>
          <w:tab/>
        </w:r>
        <w:r w:rsidR="00D94469">
          <w:rPr>
            <w:noProof/>
            <w:webHidden/>
          </w:rPr>
          <w:fldChar w:fldCharType="begin"/>
        </w:r>
        <w:r w:rsidR="00D94469">
          <w:rPr>
            <w:noProof/>
            <w:webHidden/>
          </w:rPr>
          <w:instrText xml:space="preserve"> PAGEREF _Toc129779924 \h </w:instrText>
        </w:r>
        <w:r w:rsidR="00D94469">
          <w:rPr>
            <w:noProof/>
            <w:webHidden/>
          </w:rPr>
        </w:r>
        <w:r w:rsidR="00D94469">
          <w:rPr>
            <w:noProof/>
            <w:webHidden/>
          </w:rPr>
          <w:fldChar w:fldCharType="separate"/>
        </w:r>
        <w:r w:rsidR="00D94469">
          <w:rPr>
            <w:noProof/>
            <w:webHidden/>
          </w:rPr>
          <w:t>6</w:t>
        </w:r>
        <w:r w:rsidR="00D94469">
          <w:rPr>
            <w:noProof/>
            <w:webHidden/>
          </w:rPr>
          <w:fldChar w:fldCharType="end"/>
        </w:r>
      </w:hyperlink>
    </w:p>
    <w:p w14:paraId="538F2DC1" w14:textId="7B369A79" w:rsidR="00D94469" w:rsidRDefault="0050631D">
      <w:pPr>
        <w:pStyle w:val="TOC2"/>
        <w:rPr>
          <w:rFonts w:asciiTheme="minorHAnsi" w:eastAsiaTheme="minorEastAsia" w:hAnsiTheme="minorHAnsi" w:cstheme="minorBidi"/>
          <w:noProof/>
          <w:sz w:val="22"/>
          <w:szCs w:val="22"/>
          <w:lang w:val="en-AU" w:eastAsia="en-AU"/>
        </w:rPr>
      </w:pPr>
      <w:hyperlink w:anchor="_Toc129779925" w:history="1">
        <w:r w:rsidR="00D94469" w:rsidRPr="00994E8F">
          <w:rPr>
            <w:rStyle w:val="Hyperlink"/>
            <w:noProof/>
          </w:rPr>
          <w:t>Mortality risk in DSS recipients</w:t>
        </w:r>
        <w:r w:rsidR="00D94469">
          <w:rPr>
            <w:noProof/>
            <w:webHidden/>
          </w:rPr>
          <w:tab/>
        </w:r>
        <w:r w:rsidR="00D94469">
          <w:rPr>
            <w:noProof/>
            <w:webHidden/>
          </w:rPr>
          <w:fldChar w:fldCharType="begin"/>
        </w:r>
        <w:r w:rsidR="00D94469">
          <w:rPr>
            <w:noProof/>
            <w:webHidden/>
          </w:rPr>
          <w:instrText xml:space="preserve"> PAGEREF _Toc129779925 \h </w:instrText>
        </w:r>
        <w:r w:rsidR="00D94469">
          <w:rPr>
            <w:noProof/>
            <w:webHidden/>
          </w:rPr>
        </w:r>
        <w:r w:rsidR="00D94469">
          <w:rPr>
            <w:noProof/>
            <w:webHidden/>
          </w:rPr>
          <w:fldChar w:fldCharType="separate"/>
        </w:r>
        <w:r w:rsidR="00D94469">
          <w:rPr>
            <w:noProof/>
            <w:webHidden/>
          </w:rPr>
          <w:t>7</w:t>
        </w:r>
        <w:r w:rsidR="00D94469">
          <w:rPr>
            <w:noProof/>
            <w:webHidden/>
          </w:rPr>
          <w:fldChar w:fldCharType="end"/>
        </w:r>
      </w:hyperlink>
    </w:p>
    <w:p w14:paraId="36DB1F2E" w14:textId="1C984442" w:rsidR="00D94469" w:rsidRDefault="0050631D">
      <w:pPr>
        <w:pStyle w:val="TOC1"/>
        <w:rPr>
          <w:rFonts w:asciiTheme="minorHAnsi" w:eastAsiaTheme="minorEastAsia" w:hAnsiTheme="minorHAnsi" w:cstheme="minorBidi"/>
          <w:noProof/>
          <w:sz w:val="22"/>
          <w:szCs w:val="22"/>
          <w:lang w:val="en-AU" w:eastAsia="en-AU"/>
        </w:rPr>
      </w:pPr>
      <w:hyperlink w:anchor="_Toc129779926" w:history="1">
        <w:r w:rsidR="00D94469" w:rsidRPr="00994E8F">
          <w:rPr>
            <w:rStyle w:val="Hyperlink"/>
            <w:noProof/>
          </w:rPr>
          <w:t>International comparisons</w:t>
        </w:r>
        <w:r w:rsidR="00D94469">
          <w:rPr>
            <w:noProof/>
            <w:webHidden/>
          </w:rPr>
          <w:tab/>
        </w:r>
        <w:r w:rsidR="00D94469">
          <w:rPr>
            <w:noProof/>
            <w:webHidden/>
          </w:rPr>
          <w:fldChar w:fldCharType="begin"/>
        </w:r>
        <w:r w:rsidR="00D94469">
          <w:rPr>
            <w:noProof/>
            <w:webHidden/>
          </w:rPr>
          <w:instrText xml:space="preserve"> PAGEREF _Toc129779926 \h </w:instrText>
        </w:r>
        <w:r w:rsidR="00D94469">
          <w:rPr>
            <w:noProof/>
            <w:webHidden/>
          </w:rPr>
        </w:r>
        <w:r w:rsidR="00D94469">
          <w:rPr>
            <w:noProof/>
            <w:webHidden/>
          </w:rPr>
          <w:fldChar w:fldCharType="separate"/>
        </w:r>
        <w:r w:rsidR="00D94469">
          <w:rPr>
            <w:noProof/>
            <w:webHidden/>
          </w:rPr>
          <w:t>8</w:t>
        </w:r>
        <w:r w:rsidR="00D94469">
          <w:rPr>
            <w:noProof/>
            <w:webHidden/>
          </w:rPr>
          <w:fldChar w:fldCharType="end"/>
        </w:r>
      </w:hyperlink>
    </w:p>
    <w:p w14:paraId="0F47E7EE" w14:textId="1CA5BD9A" w:rsidR="00D94469" w:rsidRDefault="0050631D">
      <w:pPr>
        <w:pStyle w:val="TOC1"/>
        <w:rPr>
          <w:rFonts w:asciiTheme="minorHAnsi" w:eastAsiaTheme="minorEastAsia" w:hAnsiTheme="minorHAnsi" w:cstheme="minorBidi"/>
          <w:noProof/>
          <w:sz w:val="22"/>
          <w:szCs w:val="22"/>
          <w:lang w:val="en-AU" w:eastAsia="en-AU"/>
        </w:rPr>
      </w:pPr>
      <w:hyperlink w:anchor="_Toc129779927" w:history="1">
        <w:r w:rsidR="00D94469" w:rsidRPr="00994E8F">
          <w:rPr>
            <w:rStyle w:val="Hyperlink"/>
            <w:noProof/>
          </w:rPr>
          <w:t>Data Limitations</w:t>
        </w:r>
        <w:r w:rsidR="00D94469">
          <w:rPr>
            <w:noProof/>
            <w:webHidden/>
          </w:rPr>
          <w:tab/>
        </w:r>
        <w:r w:rsidR="00D94469">
          <w:rPr>
            <w:noProof/>
            <w:webHidden/>
          </w:rPr>
          <w:fldChar w:fldCharType="begin"/>
        </w:r>
        <w:r w:rsidR="00D94469">
          <w:rPr>
            <w:noProof/>
            <w:webHidden/>
          </w:rPr>
          <w:instrText xml:space="preserve"> PAGEREF _Toc129779927 \h </w:instrText>
        </w:r>
        <w:r w:rsidR="00D94469">
          <w:rPr>
            <w:noProof/>
            <w:webHidden/>
          </w:rPr>
        </w:r>
        <w:r w:rsidR="00D94469">
          <w:rPr>
            <w:noProof/>
            <w:webHidden/>
          </w:rPr>
          <w:fldChar w:fldCharType="separate"/>
        </w:r>
        <w:r w:rsidR="00D94469">
          <w:rPr>
            <w:noProof/>
            <w:webHidden/>
          </w:rPr>
          <w:t>9</w:t>
        </w:r>
        <w:r w:rsidR="00D94469">
          <w:rPr>
            <w:noProof/>
            <w:webHidden/>
          </w:rPr>
          <w:fldChar w:fldCharType="end"/>
        </w:r>
      </w:hyperlink>
    </w:p>
    <w:p w14:paraId="54993C1F" w14:textId="670A3DC6" w:rsidR="00D94469" w:rsidRDefault="0050631D">
      <w:pPr>
        <w:pStyle w:val="TOC1"/>
        <w:rPr>
          <w:rFonts w:asciiTheme="minorHAnsi" w:eastAsiaTheme="minorEastAsia" w:hAnsiTheme="minorHAnsi" w:cstheme="minorBidi"/>
          <w:noProof/>
          <w:sz w:val="22"/>
          <w:szCs w:val="22"/>
          <w:lang w:val="en-AU" w:eastAsia="en-AU"/>
        </w:rPr>
      </w:pPr>
      <w:hyperlink w:anchor="_Toc129779928" w:history="1">
        <w:r w:rsidR="00D94469" w:rsidRPr="00994E8F">
          <w:rPr>
            <w:rStyle w:val="Hyperlink"/>
            <w:noProof/>
          </w:rPr>
          <w:t>Conclusion</w:t>
        </w:r>
        <w:r w:rsidR="00D94469">
          <w:rPr>
            <w:noProof/>
            <w:webHidden/>
          </w:rPr>
          <w:tab/>
        </w:r>
        <w:r w:rsidR="00D94469">
          <w:rPr>
            <w:noProof/>
            <w:webHidden/>
          </w:rPr>
          <w:fldChar w:fldCharType="begin"/>
        </w:r>
        <w:r w:rsidR="00D94469">
          <w:rPr>
            <w:noProof/>
            <w:webHidden/>
          </w:rPr>
          <w:instrText xml:space="preserve"> PAGEREF _Toc129779928 \h </w:instrText>
        </w:r>
        <w:r w:rsidR="00D94469">
          <w:rPr>
            <w:noProof/>
            <w:webHidden/>
          </w:rPr>
        </w:r>
        <w:r w:rsidR="00D94469">
          <w:rPr>
            <w:noProof/>
            <w:webHidden/>
          </w:rPr>
          <w:fldChar w:fldCharType="separate"/>
        </w:r>
        <w:r w:rsidR="00D94469">
          <w:rPr>
            <w:noProof/>
            <w:webHidden/>
          </w:rPr>
          <w:t>10</w:t>
        </w:r>
        <w:r w:rsidR="00D94469">
          <w:rPr>
            <w:noProof/>
            <w:webHidden/>
          </w:rPr>
          <w:fldChar w:fldCharType="end"/>
        </w:r>
      </w:hyperlink>
    </w:p>
    <w:p w14:paraId="15A466FA" w14:textId="66040D65" w:rsidR="00D94469" w:rsidRDefault="0050631D">
      <w:pPr>
        <w:pStyle w:val="TOC1"/>
        <w:rPr>
          <w:rFonts w:asciiTheme="minorHAnsi" w:eastAsiaTheme="minorEastAsia" w:hAnsiTheme="minorHAnsi" w:cstheme="minorBidi"/>
          <w:noProof/>
          <w:sz w:val="22"/>
          <w:szCs w:val="22"/>
          <w:lang w:val="en-AU" w:eastAsia="en-AU"/>
        </w:rPr>
      </w:pPr>
      <w:hyperlink w:anchor="_Toc129779929" w:history="1">
        <w:r w:rsidR="00D94469" w:rsidRPr="00994E8F">
          <w:rPr>
            <w:rStyle w:val="Hyperlink"/>
            <w:noProof/>
          </w:rPr>
          <w:t>References</w:t>
        </w:r>
        <w:r w:rsidR="00D94469">
          <w:rPr>
            <w:noProof/>
            <w:webHidden/>
          </w:rPr>
          <w:tab/>
        </w:r>
        <w:r w:rsidR="00D94469">
          <w:rPr>
            <w:noProof/>
            <w:webHidden/>
          </w:rPr>
          <w:fldChar w:fldCharType="begin"/>
        </w:r>
        <w:r w:rsidR="00D94469">
          <w:rPr>
            <w:noProof/>
            <w:webHidden/>
          </w:rPr>
          <w:instrText xml:space="preserve"> PAGEREF _Toc129779929 \h </w:instrText>
        </w:r>
        <w:r w:rsidR="00D94469">
          <w:rPr>
            <w:noProof/>
            <w:webHidden/>
          </w:rPr>
        </w:r>
        <w:r w:rsidR="00D94469">
          <w:rPr>
            <w:noProof/>
            <w:webHidden/>
          </w:rPr>
          <w:fldChar w:fldCharType="separate"/>
        </w:r>
        <w:r w:rsidR="00D94469">
          <w:rPr>
            <w:noProof/>
            <w:webHidden/>
          </w:rPr>
          <w:t>11</w:t>
        </w:r>
        <w:r w:rsidR="00D94469">
          <w:rPr>
            <w:noProof/>
            <w:webHidden/>
          </w:rPr>
          <w:fldChar w:fldCharType="end"/>
        </w:r>
      </w:hyperlink>
    </w:p>
    <w:p w14:paraId="09DDDF44" w14:textId="5F0F4602" w:rsidR="00C86248" w:rsidRPr="00B47C82" w:rsidRDefault="00B6375A">
      <w:r>
        <w:rPr>
          <w:rFonts w:ascii="Segoe UI Semibold" w:hAnsi="Segoe UI Semibold"/>
          <w:b/>
          <w:sz w:val="24"/>
        </w:rPr>
        <w:fldChar w:fldCharType="end"/>
      </w:r>
    </w:p>
    <w:p w14:paraId="09DDDF47" w14:textId="24165CE5" w:rsidR="002B76A7" w:rsidRPr="00B47C82" w:rsidRDefault="002B76A7" w:rsidP="003A5FEA"/>
    <w:p w14:paraId="09DDDF48" w14:textId="77777777" w:rsidR="0033448B" w:rsidRPr="00B47C82" w:rsidRDefault="0033448B" w:rsidP="0033448B">
      <w:pPr>
        <w:pStyle w:val="TOC1"/>
        <w:keepNext/>
      </w:pPr>
      <w:r w:rsidRPr="00B47C82">
        <w:t>List of Figures</w:t>
      </w:r>
    </w:p>
    <w:p w14:paraId="33B15D7C" w14:textId="0FFBE388" w:rsidR="00D94469" w:rsidRDefault="0033448B">
      <w:pPr>
        <w:pStyle w:val="TOC3"/>
        <w:rPr>
          <w:rFonts w:asciiTheme="minorHAnsi" w:eastAsiaTheme="minorEastAsia" w:hAnsiTheme="minorHAnsi" w:cstheme="minorBidi"/>
          <w:noProof/>
          <w:sz w:val="22"/>
          <w:szCs w:val="22"/>
          <w:lang w:val="en-AU" w:eastAsia="en-AU"/>
        </w:rPr>
      </w:pPr>
      <w:r w:rsidRPr="00B47C82">
        <w:fldChar w:fldCharType="begin"/>
      </w:r>
      <w:r w:rsidRPr="00B47C82">
        <w:instrText xml:space="preserve"> TOC \t "Figure,3" </w:instrText>
      </w:r>
      <w:r w:rsidRPr="00B47C82">
        <w:fldChar w:fldCharType="separate"/>
      </w:r>
      <w:r w:rsidR="00D94469">
        <w:rPr>
          <w:noProof/>
        </w:rPr>
        <w:t>Figure 1:  National weekly reported case rates in those aged less than 70 years by disability status, 01 January – 16 November 2022</w:t>
      </w:r>
      <w:r w:rsidR="00D94469">
        <w:rPr>
          <w:noProof/>
        </w:rPr>
        <w:tab/>
      </w:r>
      <w:r w:rsidR="00D94469">
        <w:rPr>
          <w:noProof/>
        </w:rPr>
        <w:fldChar w:fldCharType="begin"/>
      </w:r>
      <w:r w:rsidR="00D94469">
        <w:rPr>
          <w:noProof/>
        </w:rPr>
        <w:instrText xml:space="preserve"> PAGEREF _Toc129779930 \h </w:instrText>
      </w:r>
      <w:r w:rsidR="00D94469">
        <w:rPr>
          <w:noProof/>
        </w:rPr>
      </w:r>
      <w:r w:rsidR="00D94469">
        <w:rPr>
          <w:noProof/>
        </w:rPr>
        <w:fldChar w:fldCharType="separate"/>
      </w:r>
      <w:r w:rsidR="00D94469">
        <w:rPr>
          <w:noProof/>
        </w:rPr>
        <w:t>4</w:t>
      </w:r>
      <w:r w:rsidR="00D94469">
        <w:rPr>
          <w:noProof/>
        </w:rPr>
        <w:fldChar w:fldCharType="end"/>
      </w:r>
    </w:p>
    <w:p w14:paraId="365C3317" w14:textId="4DA8B1FB" w:rsidR="00D94469" w:rsidRDefault="00D94469">
      <w:pPr>
        <w:pStyle w:val="TOC3"/>
        <w:rPr>
          <w:rFonts w:asciiTheme="minorHAnsi" w:eastAsiaTheme="minorEastAsia" w:hAnsiTheme="minorHAnsi" w:cstheme="minorBidi"/>
          <w:noProof/>
          <w:sz w:val="22"/>
          <w:szCs w:val="22"/>
          <w:lang w:val="en-AU" w:eastAsia="en-AU"/>
        </w:rPr>
      </w:pPr>
      <w:r>
        <w:rPr>
          <w:noProof/>
        </w:rPr>
        <w:t>Figure 2:  National age-standardised reported case rates (and 95% confidence intervals) in those aged less than 70 years by disability status, 01 January – 16 November 2022</w:t>
      </w:r>
      <w:r>
        <w:rPr>
          <w:noProof/>
        </w:rPr>
        <w:tab/>
      </w:r>
      <w:r>
        <w:rPr>
          <w:noProof/>
        </w:rPr>
        <w:fldChar w:fldCharType="begin"/>
      </w:r>
      <w:r>
        <w:rPr>
          <w:noProof/>
        </w:rPr>
        <w:instrText xml:space="preserve"> PAGEREF _Toc129779931 \h </w:instrText>
      </w:r>
      <w:r>
        <w:rPr>
          <w:noProof/>
        </w:rPr>
      </w:r>
      <w:r>
        <w:rPr>
          <w:noProof/>
        </w:rPr>
        <w:fldChar w:fldCharType="separate"/>
      </w:r>
      <w:r>
        <w:rPr>
          <w:noProof/>
        </w:rPr>
        <w:t>5</w:t>
      </w:r>
      <w:r>
        <w:rPr>
          <w:noProof/>
        </w:rPr>
        <w:fldChar w:fldCharType="end"/>
      </w:r>
    </w:p>
    <w:p w14:paraId="0A20D96B" w14:textId="01B34FD2" w:rsidR="00D94469" w:rsidRDefault="00D94469">
      <w:pPr>
        <w:pStyle w:val="TOC3"/>
        <w:rPr>
          <w:rFonts w:asciiTheme="minorHAnsi" w:eastAsiaTheme="minorEastAsia" w:hAnsiTheme="minorHAnsi" w:cstheme="minorBidi"/>
          <w:noProof/>
          <w:sz w:val="22"/>
          <w:szCs w:val="22"/>
          <w:lang w:val="en-AU" w:eastAsia="en-AU"/>
        </w:rPr>
      </w:pPr>
      <w:r>
        <w:rPr>
          <w:noProof/>
        </w:rPr>
        <w:t>Figure 3:  National age-standardised reported hospital admission rates (and 95% confidence intervals) by disability status in those aged less than 70 years, 01 January – 16 November 2022</w:t>
      </w:r>
      <w:r>
        <w:rPr>
          <w:noProof/>
        </w:rPr>
        <w:tab/>
      </w:r>
      <w:r>
        <w:rPr>
          <w:noProof/>
        </w:rPr>
        <w:fldChar w:fldCharType="begin"/>
      </w:r>
      <w:r>
        <w:rPr>
          <w:noProof/>
        </w:rPr>
        <w:instrText xml:space="preserve"> PAGEREF _Toc129779932 \h </w:instrText>
      </w:r>
      <w:r>
        <w:rPr>
          <w:noProof/>
        </w:rPr>
      </w:r>
      <w:r>
        <w:rPr>
          <w:noProof/>
        </w:rPr>
        <w:fldChar w:fldCharType="separate"/>
      </w:r>
      <w:r>
        <w:rPr>
          <w:noProof/>
        </w:rPr>
        <w:t>6</w:t>
      </w:r>
      <w:r>
        <w:rPr>
          <w:noProof/>
        </w:rPr>
        <w:fldChar w:fldCharType="end"/>
      </w:r>
    </w:p>
    <w:p w14:paraId="29418C1B" w14:textId="021507E6" w:rsidR="00D94469" w:rsidRDefault="00D94469">
      <w:pPr>
        <w:pStyle w:val="TOC3"/>
        <w:rPr>
          <w:rFonts w:asciiTheme="minorHAnsi" w:eastAsiaTheme="minorEastAsia" w:hAnsiTheme="minorHAnsi" w:cstheme="minorBidi"/>
          <w:noProof/>
          <w:sz w:val="22"/>
          <w:szCs w:val="22"/>
          <w:lang w:val="en-AU" w:eastAsia="en-AU"/>
        </w:rPr>
      </w:pPr>
      <w:r>
        <w:rPr>
          <w:noProof/>
        </w:rPr>
        <w:t>Figure 4:  National crude mortality rates (and 95% confidence intervals) where COVID-19 was the underlying or contributory cause in those aged less than 70 years by disability status, 01 January – 16 November 2022</w:t>
      </w:r>
      <w:r>
        <w:rPr>
          <w:noProof/>
        </w:rPr>
        <w:tab/>
      </w:r>
      <w:r>
        <w:rPr>
          <w:noProof/>
        </w:rPr>
        <w:fldChar w:fldCharType="begin"/>
      </w:r>
      <w:r>
        <w:rPr>
          <w:noProof/>
        </w:rPr>
        <w:instrText xml:space="preserve"> PAGEREF _Toc129779933 \h </w:instrText>
      </w:r>
      <w:r>
        <w:rPr>
          <w:noProof/>
        </w:rPr>
      </w:r>
      <w:r>
        <w:rPr>
          <w:noProof/>
        </w:rPr>
        <w:fldChar w:fldCharType="separate"/>
      </w:r>
      <w:r>
        <w:rPr>
          <w:noProof/>
        </w:rPr>
        <w:t>7</w:t>
      </w:r>
      <w:r>
        <w:rPr>
          <w:noProof/>
        </w:rPr>
        <w:fldChar w:fldCharType="end"/>
      </w:r>
    </w:p>
    <w:p w14:paraId="09DDDF4A" w14:textId="52A89E0E" w:rsidR="0033448B" w:rsidRPr="00B47C82" w:rsidRDefault="0033448B" w:rsidP="0033448B">
      <w:r w:rsidRPr="00B47C82">
        <w:fldChar w:fldCharType="end"/>
      </w:r>
    </w:p>
    <w:p w14:paraId="09DDDF4B" w14:textId="77777777" w:rsidR="00852C5D" w:rsidRPr="00B47C82" w:rsidRDefault="00852C5D" w:rsidP="009220F3"/>
    <w:p w14:paraId="09DDDF4C" w14:textId="77777777" w:rsidR="001D3E4E" w:rsidRPr="00B47C82" w:rsidRDefault="001D3E4E" w:rsidP="003A5FEA">
      <w:pPr>
        <w:sectPr w:rsidR="001D3E4E" w:rsidRPr="00B47C82" w:rsidSect="00925892">
          <w:headerReference w:type="even" r:id="rId20"/>
          <w:headerReference w:type="default" r:id="rId21"/>
          <w:footerReference w:type="even" r:id="rId22"/>
          <w:footerReference w:type="default" r:id="rId23"/>
          <w:pgSz w:w="11907" w:h="16840" w:code="9"/>
          <w:pgMar w:top="1418" w:right="1701" w:bottom="1134" w:left="1843" w:header="284" w:footer="425" w:gutter="284"/>
          <w:pgNumType w:fmt="lowerRoman"/>
          <w:cols w:space="720"/>
        </w:sectPr>
      </w:pPr>
    </w:p>
    <w:p w14:paraId="1756B9D2" w14:textId="77777777" w:rsidR="00427A3A" w:rsidRDefault="00427A3A" w:rsidP="00427A3A">
      <w:pPr>
        <w:pStyle w:val="Heading1"/>
      </w:pPr>
      <w:bookmarkStart w:id="2" w:name="_Toc129779919"/>
      <w:r>
        <w:lastRenderedPageBreak/>
        <w:t>Key Points</w:t>
      </w:r>
      <w:bookmarkEnd w:id="2"/>
      <w:r>
        <w:t xml:space="preserve"> </w:t>
      </w:r>
    </w:p>
    <w:p w14:paraId="75235C6B" w14:textId="77777777" w:rsidR="00427A3A" w:rsidRDefault="00427A3A" w:rsidP="00427A3A">
      <w:pPr>
        <w:pStyle w:val="Number"/>
      </w:pPr>
      <w:r>
        <w:t xml:space="preserve">Disability was identified though Disability Support Services (DSS); exploration of patterns and risk for this cohort of disabled people have been limited to the </w:t>
      </w:r>
      <w:r w:rsidRPr="00427A3A">
        <w:rPr>
          <w:b/>
          <w:bCs/>
        </w:rPr>
        <w:t>43,000 DSS recipients aged under 70 years</w:t>
      </w:r>
      <w:r>
        <w:t>.</w:t>
      </w:r>
    </w:p>
    <w:p w14:paraId="689D5860" w14:textId="77777777" w:rsidR="00427A3A" w:rsidRDefault="00427A3A" w:rsidP="00427A3A">
      <w:pPr>
        <w:pStyle w:val="Number"/>
      </w:pPr>
      <w:r>
        <w:t xml:space="preserve">There are an estimated </w:t>
      </w:r>
      <w:r w:rsidRPr="00427A3A">
        <w:rPr>
          <w:b/>
          <w:bCs/>
        </w:rPr>
        <w:t>1.1 million disabled people living in New Zealand</w:t>
      </w:r>
      <w:r>
        <w:t xml:space="preserve">. DSS recipients are a relatively small subgroup of disabled people who are substantially more likely to be highly vulnerable with complex impairments. The data in this analysis </w:t>
      </w:r>
      <w:r w:rsidRPr="00427A3A">
        <w:rPr>
          <w:b/>
          <w:bCs/>
        </w:rPr>
        <w:t>reflects the risk experienced by DSS recipients and is not generalisable to all disabled people in Aotearoa</w:t>
      </w:r>
      <w:r>
        <w:t xml:space="preserve">. </w:t>
      </w:r>
    </w:p>
    <w:p w14:paraId="77543D1A" w14:textId="77777777" w:rsidR="00427A3A" w:rsidRDefault="00427A3A" w:rsidP="00427A3A">
      <w:pPr>
        <w:pStyle w:val="Number"/>
      </w:pPr>
      <w:r>
        <w:t xml:space="preserve">DSS recipients’ cumulative </w:t>
      </w:r>
      <w:r w:rsidRPr="00427A3A">
        <w:rPr>
          <w:b/>
          <w:bCs/>
        </w:rPr>
        <w:t>risk of being reported as a case has been around 15% lower</w:t>
      </w:r>
      <w:r>
        <w:t xml:space="preserve"> than the rest of the population during 2022.</w:t>
      </w:r>
    </w:p>
    <w:p w14:paraId="75B913AA" w14:textId="77777777" w:rsidR="00427A3A" w:rsidRDefault="00427A3A" w:rsidP="00427A3A">
      <w:pPr>
        <w:pStyle w:val="Number"/>
      </w:pPr>
      <w:r>
        <w:t xml:space="preserve">DSS recipients have had </w:t>
      </w:r>
      <w:r w:rsidRPr="00427A3A">
        <w:rPr>
          <w:b/>
          <w:bCs/>
        </w:rPr>
        <w:t>four times the risk of hospitalisation</w:t>
      </w:r>
      <w:r>
        <w:t xml:space="preserve"> and </w:t>
      </w:r>
      <w:r w:rsidRPr="00427A3A">
        <w:rPr>
          <w:b/>
          <w:bCs/>
        </w:rPr>
        <w:t>13 times the risk of COVID-19 attributed mortality</w:t>
      </w:r>
      <w:r>
        <w:t xml:space="preserve"> compared with the rest of the population during 2022.</w:t>
      </w:r>
    </w:p>
    <w:p w14:paraId="58345F76" w14:textId="77777777" w:rsidR="00427A3A" w:rsidRDefault="00427A3A" w:rsidP="00427A3A">
      <w:pPr>
        <w:pStyle w:val="Number"/>
      </w:pPr>
      <w:r w:rsidRPr="00427A3A">
        <w:rPr>
          <w:b/>
          <w:bCs/>
        </w:rPr>
        <w:t>Mortality risk from non-COVID related causes</w:t>
      </w:r>
      <w:r>
        <w:t xml:space="preserve"> was also substantial, with </w:t>
      </w:r>
      <w:r w:rsidRPr="00427A3A">
        <w:rPr>
          <w:b/>
          <w:bCs/>
        </w:rPr>
        <w:t xml:space="preserve">DSS recipients having 19 times the risk </w:t>
      </w:r>
      <w:r>
        <w:t xml:space="preserve">compared with the rest of the New Zealand population. </w:t>
      </w:r>
    </w:p>
    <w:p w14:paraId="6C3F11B3" w14:textId="77777777" w:rsidR="00427A3A" w:rsidRDefault="00427A3A" w:rsidP="00427A3A">
      <w:pPr>
        <w:pStyle w:val="Number"/>
      </w:pPr>
      <w:r>
        <w:t xml:space="preserve">Overall, the data suggest that DSS recipients have been at </w:t>
      </w:r>
      <w:r w:rsidRPr="00427A3A">
        <w:rPr>
          <w:b/>
          <w:bCs/>
        </w:rPr>
        <w:t>substantially greater risk of severe outcomes</w:t>
      </w:r>
      <w:r>
        <w:t xml:space="preserve"> (hospitalisation and death) </w:t>
      </w:r>
      <w:r w:rsidRPr="00427A3A">
        <w:rPr>
          <w:b/>
          <w:bCs/>
        </w:rPr>
        <w:t>after infection with</w:t>
      </w:r>
      <w:r>
        <w:t xml:space="preserve"> SARS-CoV-2.</w:t>
      </w:r>
    </w:p>
    <w:p w14:paraId="4A96E614" w14:textId="77777777" w:rsidR="00427A3A" w:rsidRPr="00427A3A" w:rsidRDefault="00427A3A" w:rsidP="00427A3A">
      <w:pPr>
        <w:pStyle w:val="Number"/>
        <w:numPr>
          <w:ilvl w:val="0"/>
          <w:numId w:val="0"/>
        </w:numPr>
      </w:pPr>
    </w:p>
    <w:p w14:paraId="1A057665" w14:textId="77777777" w:rsidR="00427A3A" w:rsidRPr="00B47C82" w:rsidRDefault="00427A3A" w:rsidP="00427A3A"/>
    <w:p w14:paraId="5E9BAE19" w14:textId="77777777" w:rsidR="00427A3A" w:rsidRPr="00B47C82" w:rsidRDefault="00427A3A" w:rsidP="00427A3A"/>
    <w:p w14:paraId="1572D1C5" w14:textId="77777777" w:rsidR="00427A3A" w:rsidRPr="00B47C82" w:rsidRDefault="00427A3A" w:rsidP="00427A3A"/>
    <w:p w14:paraId="70E6407D" w14:textId="77777777" w:rsidR="00427A3A" w:rsidRPr="00B47C82" w:rsidRDefault="00427A3A" w:rsidP="00427A3A">
      <w:pPr>
        <w:sectPr w:rsidR="00427A3A" w:rsidRPr="00B47C82" w:rsidSect="00245EA4">
          <w:headerReference w:type="even" r:id="rId24"/>
          <w:headerReference w:type="default" r:id="rId25"/>
          <w:footerReference w:type="even" r:id="rId26"/>
          <w:footerReference w:type="default" r:id="rId27"/>
          <w:pgSz w:w="11907" w:h="16840" w:code="9"/>
          <w:pgMar w:top="1418" w:right="1701" w:bottom="1134" w:left="1843" w:header="284" w:footer="425" w:gutter="284"/>
          <w:pgNumType w:start="1"/>
          <w:cols w:space="720"/>
        </w:sectPr>
      </w:pPr>
    </w:p>
    <w:p w14:paraId="4C44F804" w14:textId="77777777" w:rsidR="00427A3A" w:rsidRDefault="00427A3A" w:rsidP="00427A3A">
      <w:pPr>
        <w:pStyle w:val="Heading1"/>
      </w:pPr>
      <w:bookmarkStart w:id="3" w:name="_Toc129779920"/>
      <w:r>
        <w:lastRenderedPageBreak/>
        <w:t>Background</w:t>
      </w:r>
      <w:bookmarkEnd w:id="3"/>
    </w:p>
    <w:p w14:paraId="0CEB8DFE" w14:textId="77777777" w:rsidR="00427A3A" w:rsidRDefault="00427A3A" w:rsidP="00427A3A">
      <w:r>
        <w:t>The 2013 New Zealand Disability Survey estimated 24% of the total population were disabled, with those aged 65 or more years more likely to be disabled (59%) than adults under 65 years (21%) or children under 15 years (11%). (1) The survey also found that Māori and Pacific peoples had higher than average disability rates, after adjusting for age differences. Disabled people in Aotearoa generally experience poorer physical and mental health outcomes, those with intellectual disability have been identified as particularly vulnerable to poor health outcomes. (2, 3)</w:t>
      </w:r>
    </w:p>
    <w:p w14:paraId="43B30943" w14:textId="77777777" w:rsidR="00427A3A" w:rsidRDefault="00427A3A" w:rsidP="00427A3A"/>
    <w:p w14:paraId="46772DD3" w14:textId="77777777" w:rsidR="00427A3A" w:rsidRDefault="00427A3A" w:rsidP="00427A3A">
      <w:r>
        <w:t>There is evidence of disproportionate impacts from COVID-19 on disabled people: they were more likely to have felt lonely, face barriers in access to primary care and emergency services, delay seeking healthcare due to fear of contracting COVID-19, and further concerns around access to appropriate support services, lack of emotional support, financial strain, unemployment and a lack of adequate and timely communication to vulnerable groups. (4-7)</w:t>
      </w:r>
    </w:p>
    <w:p w14:paraId="6525D35D" w14:textId="77777777" w:rsidR="00427A3A" w:rsidRDefault="00427A3A" w:rsidP="00427A3A"/>
    <w:p w14:paraId="772A7D36" w14:textId="77777777" w:rsidR="00427A3A" w:rsidRPr="00427A3A" w:rsidRDefault="00427A3A" w:rsidP="00427A3A">
      <w:pPr>
        <w:sectPr w:rsidR="00427A3A" w:rsidRPr="00427A3A" w:rsidSect="00245EA4">
          <w:footerReference w:type="even" r:id="rId28"/>
          <w:footerReference w:type="default" r:id="rId29"/>
          <w:pgSz w:w="11907" w:h="16840" w:code="9"/>
          <w:pgMar w:top="1418" w:right="1701" w:bottom="1134" w:left="1843" w:header="284" w:footer="425" w:gutter="284"/>
          <w:cols w:space="720"/>
        </w:sectPr>
      </w:pPr>
      <w:r>
        <w:t>Due to data constraints, there is limited evidence available regarding the direct impacts of COVID-19 on disabled people in Aotearoa, such as infection, hospitalisation, mortality and long COVID. The objective of this analysis is to take an initial step towards addressing this information gap by providing estimates for disabled people who can be identified by NHI: those who receive support services.</w:t>
      </w:r>
    </w:p>
    <w:p w14:paraId="09DDDF4F" w14:textId="2FE8B02A" w:rsidR="006E2886" w:rsidRDefault="00427A3A" w:rsidP="00F54E74">
      <w:pPr>
        <w:pStyle w:val="Heading1"/>
      </w:pPr>
      <w:bookmarkStart w:id="4" w:name="_Toc129779921"/>
      <w:r w:rsidRPr="00427A3A">
        <w:lastRenderedPageBreak/>
        <w:t>COVID-19 risk for disabled people receiving Disability Support Services</w:t>
      </w:r>
      <w:bookmarkEnd w:id="4"/>
    </w:p>
    <w:p w14:paraId="2DC3BE40" w14:textId="77777777" w:rsidR="00427A3A" w:rsidRDefault="00427A3A" w:rsidP="00427A3A">
      <w:pPr>
        <w:pStyle w:val="Heading2"/>
      </w:pPr>
      <w:bookmarkStart w:id="5" w:name="_Toc129779922"/>
      <w:r>
        <w:t>Disability Support Services (DSS) (primary data source)</w:t>
      </w:r>
      <w:bookmarkEnd w:id="5"/>
    </w:p>
    <w:p w14:paraId="49667BE2" w14:textId="7FEC6A2C" w:rsidR="00427A3A" w:rsidRDefault="00427A3A" w:rsidP="00427A3A">
      <w:proofErr w:type="spellStart"/>
      <w:r>
        <w:t>Whaikaha</w:t>
      </w:r>
      <w:proofErr w:type="spellEnd"/>
      <w:r>
        <w:t xml:space="preserve"> is responsible for the provision of DSS to eligible people.</w:t>
      </w:r>
      <w:r>
        <w:rPr>
          <w:rStyle w:val="FootnoteReference"/>
        </w:rPr>
        <w:footnoteReference w:id="1"/>
      </w:r>
      <w:r>
        <w:t xml:space="preserve"> DSS recipients are likely to have more complex impairments and co-morbidities than the wider disabled community. DSS is often used to describe a range of support that may be available, including disability information and advisory services; environmental support, child development services, personal care, respite, individualised funding, supported living, behaviour support and residential support. Disability data for this analysis are drawn from the DSS database (those who were current recipients on 01 January 2022); this is currently the only readily available dataset counting disabled people.</w:t>
      </w:r>
    </w:p>
    <w:p w14:paraId="014D1D79" w14:textId="77777777" w:rsidR="00427A3A" w:rsidRDefault="00427A3A" w:rsidP="00427A3A"/>
    <w:p w14:paraId="7BAB76BF" w14:textId="06706DF2" w:rsidR="00427A3A" w:rsidRDefault="00427A3A" w:rsidP="00427A3A">
      <w:r>
        <w:t xml:space="preserve">As older disabled people are more likely to be supported by </w:t>
      </w:r>
      <w:proofErr w:type="spellStart"/>
      <w:r>
        <w:t>Te</w:t>
      </w:r>
      <w:proofErr w:type="spellEnd"/>
      <w:r>
        <w:t xml:space="preserve"> </w:t>
      </w:r>
      <w:proofErr w:type="spellStart"/>
      <w:r>
        <w:t>Whatu</w:t>
      </w:r>
      <w:proofErr w:type="spellEnd"/>
      <w:r>
        <w:t xml:space="preserve"> Ora and those eligible for DSS have a shorter life expectancy and must have had their disability identified before age 65 years, the DSS clients tend to be younger than the general population. Therefore, exploration of patterns and risk for this cohort of disabled people have been limited to those under 70 years.</w:t>
      </w:r>
    </w:p>
    <w:p w14:paraId="22369F3B" w14:textId="77777777" w:rsidR="00427A3A" w:rsidRDefault="00427A3A" w:rsidP="00427A3A"/>
    <w:p w14:paraId="7BF781EE" w14:textId="0666C57B" w:rsidR="00427A3A" w:rsidRDefault="00427A3A" w:rsidP="00427A3A">
      <w:r>
        <w:t>There were just over 45,000 people in Aotearoa receiving DSS on 01 January 2022, of which almost 43,000 were under the age of 70.</w:t>
      </w:r>
    </w:p>
    <w:p w14:paraId="2FB2A5AC" w14:textId="738A94D8" w:rsidR="00426BA5" w:rsidRDefault="00426BA5" w:rsidP="00427A3A"/>
    <w:p w14:paraId="267D08BF" w14:textId="769B4CB1" w:rsidR="00426BA5" w:rsidRDefault="00426BA5" w:rsidP="00427A3A"/>
    <w:p w14:paraId="3EDA0BA6" w14:textId="6658F60E" w:rsidR="00426BA5" w:rsidRDefault="00426BA5" w:rsidP="00427A3A"/>
    <w:p w14:paraId="7DE469DF" w14:textId="77777777" w:rsidR="00426BA5" w:rsidRDefault="00426BA5" w:rsidP="00427A3A"/>
    <w:p w14:paraId="6140941A" w14:textId="77777777" w:rsidR="00427A3A" w:rsidRDefault="00427A3A" w:rsidP="00427A3A">
      <w:pPr>
        <w:pStyle w:val="Heading2"/>
      </w:pPr>
      <w:bookmarkStart w:id="6" w:name="_Toc129779923"/>
      <w:r>
        <w:lastRenderedPageBreak/>
        <w:t>Case rates in DSS recipients</w:t>
      </w:r>
      <w:bookmarkEnd w:id="6"/>
      <w:r>
        <w:t xml:space="preserve"> </w:t>
      </w:r>
    </w:p>
    <w:p w14:paraId="0CBAFD93" w14:textId="1882D67E" w:rsidR="00427A3A" w:rsidRPr="00427A3A" w:rsidRDefault="00427A3A" w:rsidP="00427A3A">
      <w:r>
        <w:t xml:space="preserve">From 01 January to 16 November 2022 almost 14,000 (32%) DSS recipients aged less than 70 years have been reported as a COVID-19 case. Time trends have been similar to the rest of the population, with case rates increasing again in recent weeks (see </w:t>
      </w:r>
      <w:r w:rsidR="00245EA4">
        <w:fldChar w:fldCharType="begin"/>
      </w:r>
      <w:r w:rsidR="00245EA4">
        <w:instrText xml:space="preserve"> REF _Ref129066317 \h </w:instrText>
      </w:r>
      <w:r w:rsidR="00245EA4">
        <w:fldChar w:fldCharType="separate"/>
      </w:r>
      <w:r w:rsidR="00CC540A">
        <w:t xml:space="preserve">Figure </w:t>
      </w:r>
      <w:r w:rsidR="00CC540A">
        <w:rPr>
          <w:noProof/>
        </w:rPr>
        <w:t>1</w:t>
      </w:r>
      <w:r w:rsidR="00245EA4">
        <w:fldChar w:fldCharType="end"/>
      </w:r>
      <w:r>
        <w:t>). After taking age into account,</w:t>
      </w:r>
      <w:r>
        <w:rPr>
          <w:rStyle w:val="FootnoteReference"/>
        </w:rPr>
        <w:footnoteReference w:id="2"/>
      </w:r>
      <w:r>
        <w:t xml:space="preserve">  DSS recipients’ cumulative risk of being reported as a case has been around 15% lower than the rest of the population during 2022 (see </w:t>
      </w:r>
      <w:r w:rsidR="00245EA4">
        <w:fldChar w:fldCharType="begin"/>
      </w:r>
      <w:r w:rsidR="00245EA4">
        <w:instrText xml:space="preserve"> REF _Ref129066322 \h </w:instrText>
      </w:r>
      <w:r w:rsidR="00245EA4">
        <w:fldChar w:fldCharType="separate"/>
      </w:r>
      <w:r w:rsidR="00CC540A">
        <w:t xml:space="preserve">Figure </w:t>
      </w:r>
      <w:r w:rsidR="00CC540A">
        <w:rPr>
          <w:noProof/>
        </w:rPr>
        <w:t>2</w:t>
      </w:r>
      <w:r w:rsidR="00245EA4">
        <w:fldChar w:fldCharType="end"/>
      </w:r>
      <w:r>
        <w:t>).</w:t>
      </w:r>
    </w:p>
    <w:p w14:paraId="09DDDF50" w14:textId="11B75D92" w:rsidR="00852C5D" w:rsidRDefault="00852C5D" w:rsidP="002B7BEC"/>
    <w:p w14:paraId="09DDDF52" w14:textId="5CB5085A" w:rsidR="00F16595" w:rsidRPr="00B47C82" w:rsidRDefault="00427A3A" w:rsidP="00427A3A">
      <w:pPr>
        <w:pStyle w:val="Figure"/>
      </w:pPr>
      <w:bookmarkStart w:id="7" w:name="_Ref129066317"/>
      <w:bookmarkStart w:id="8" w:name="_Toc129779930"/>
      <w:r>
        <w:t xml:space="preserve">Figure </w:t>
      </w:r>
      <w:r w:rsidR="0050631D">
        <w:fldChar w:fldCharType="begin"/>
      </w:r>
      <w:r w:rsidR="0050631D">
        <w:instrText xml:space="preserve"> SEQ Figure \* ARABIC </w:instrText>
      </w:r>
      <w:r w:rsidR="0050631D">
        <w:fldChar w:fldCharType="separate"/>
      </w:r>
      <w:r w:rsidR="00CC540A">
        <w:rPr>
          <w:noProof/>
        </w:rPr>
        <w:t>1</w:t>
      </w:r>
      <w:r w:rsidR="0050631D">
        <w:rPr>
          <w:noProof/>
        </w:rPr>
        <w:fldChar w:fldCharType="end"/>
      </w:r>
      <w:bookmarkEnd w:id="7"/>
      <w:r>
        <w:t xml:space="preserve">: </w:t>
      </w:r>
      <w:r w:rsidRPr="00427A3A">
        <w:t xml:space="preserve"> National weekly reported case rates in those aged less than 70 years by disability status, 01 January – 16 November 2022</w:t>
      </w:r>
      <w:bookmarkEnd w:id="8"/>
    </w:p>
    <w:p w14:paraId="462DC7A1" w14:textId="77777777" w:rsidR="001D3E4E" w:rsidRDefault="00427A3A" w:rsidP="003A5FEA">
      <w:r>
        <w:rPr>
          <w:noProof/>
        </w:rPr>
        <w:drawing>
          <wp:inline distT="0" distB="0" distL="0" distR="0" wp14:anchorId="2F273A9E" wp14:editId="19B70C44">
            <wp:extent cx="5131046" cy="332142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9174" cy="3326686"/>
                    </a:xfrm>
                    <a:prstGeom prst="rect">
                      <a:avLst/>
                    </a:prstGeom>
                    <a:noFill/>
                  </pic:spPr>
                </pic:pic>
              </a:graphicData>
            </a:graphic>
          </wp:inline>
        </w:drawing>
      </w:r>
    </w:p>
    <w:p w14:paraId="6907546D" w14:textId="77777777" w:rsidR="00427A3A" w:rsidRDefault="00427A3A" w:rsidP="00427A3A">
      <w:pPr>
        <w:pStyle w:val="Source"/>
      </w:pPr>
      <w:r>
        <w:t>Source: NCTS/</w:t>
      </w:r>
      <w:proofErr w:type="spellStart"/>
      <w:r>
        <w:t>EpiSurv</w:t>
      </w:r>
      <w:proofErr w:type="spellEnd"/>
      <w:r>
        <w:t>, and CVIP population estimates, 16 November 2022, Disability Support Services database</w:t>
      </w:r>
    </w:p>
    <w:p w14:paraId="593ED933" w14:textId="77777777" w:rsidR="00427A3A" w:rsidRDefault="00427A3A" w:rsidP="00427A3A"/>
    <w:p w14:paraId="5D00EF70" w14:textId="77777777" w:rsidR="00427A3A" w:rsidRDefault="00427A3A" w:rsidP="00427A3A">
      <w:pPr>
        <w:pStyle w:val="Figure"/>
        <w:sectPr w:rsidR="00427A3A" w:rsidSect="00245EA4">
          <w:footerReference w:type="even" r:id="rId31"/>
          <w:footerReference w:type="default" r:id="rId32"/>
          <w:pgSz w:w="11907" w:h="16840" w:code="9"/>
          <w:pgMar w:top="1418" w:right="1701" w:bottom="1134" w:left="1843" w:header="284" w:footer="425" w:gutter="284"/>
          <w:cols w:space="720"/>
        </w:sectPr>
      </w:pPr>
    </w:p>
    <w:p w14:paraId="605C01CF" w14:textId="7C7783C0" w:rsidR="00427A3A" w:rsidRDefault="00427A3A" w:rsidP="00427A3A">
      <w:pPr>
        <w:pStyle w:val="Figure"/>
      </w:pPr>
      <w:bookmarkStart w:id="9" w:name="_Ref129066322"/>
      <w:bookmarkStart w:id="10" w:name="_Toc129779931"/>
      <w:r>
        <w:lastRenderedPageBreak/>
        <w:t xml:space="preserve">Figure </w:t>
      </w:r>
      <w:fldSimple w:instr=" SEQ Figure \* ARABIC ">
        <w:r w:rsidR="00CC540A">
          <w:rPr>
            <w:noProof/>
          </w:rPr>
          <w:t>2</w:t>
        </w:r>
      </w:fldSimple>
      <w:bookmarkEnd w:id="9"/>
      <w:r>
        <w:t xml:space="preserve">: </w:t>
      </w:r>
      <w:r w:rsidRPr="00427A3A">
        <w:t xml:space="preserve"> </w:t>
      </w:r>
      <w:r>
        <w:t>National age-standardised reported case rates (and 95% confidence intervals) in those aged less than 70 years by disability status, 01 January – 16 November 2022</w:t>
      </w:r>
      <w:bookmarkEnd w:id="10"/>
    </w:p>
    <w:p w14:paraId="53C6DE23" w14:textId="2C0A03AF" w:rsidR="00427A3A" w:rsidRDefault="00427A3A" w:rsidP="00427A3A">
      <w:r>
        <w:rPr>
          <w:noProof/>
        </w:rPr>
        <w:drawing>
          <wp:inline distT="0" distB="0" distL="0" distR="0" wp14:anchorId="7AD6DA90" wp14:editId="03E41A05">
            <wp:extent cx="5124167" cy="3321423"/>
            <wp:effectExtent l="0" t="0" r="63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2928" cy="3327102"/>
                    </a:xfrm>
                    <a:prstGeom prst="rect">
                      <a:avLst/>
                    </a:prstGeom>
                    <a:noFill/>
                  </pic:spPr>
                </pic:pic>
              </a:graphicData>
            </a:graphic>
          </wp:inline>
        </w:drawing>
      </w:r>
    </w:p>
    <w:p w14:paraId="557CC1E8" w14:textId="1C4E6244" w:rsidR="00427A3A" w:rsidRDefault="00427A3A" w:rsidP="00427A3A">
      <w:pPr>
        <w:pStyle w:val="Source"/>
      </w:pPr>
      <w:r w:rsidRPr="00427A3A">
        <w:t>Source: NCTS/</w:t>
      </w:r>
      <w:proofErr w:type="spellStart"/>
      <w:r w:rsidRPr="00427A3A">
        <w:t>EpiSurv</w:t>
      </w:r>
      <w:proofErr w:type="spellEnd"/>
      <w:r w:rsidRPr="00427A3A">
        <w:t>, and CVIP population estimates, 01 January 2022 to 16 November 2022, Disability Support Services database</w:t>
      </w:r>
    </w:p>
    <w:p w14:paraId="061C896C" w14:textId="0FD0A8FD" w:rsidR="00426BA5" w:rsidRDefault="00426BA5" w:rsidP="00426BA5"/>
    <w:p w14:paraId="02216D80" w14:textId="77777777" w:rsidR="00D94469" w:rsidRDefault="00D94469" w:rsidP="00426BA5">
      <w:pPr>
        <w:sectPr w:rsidR="00D94469" w:rsidSect="00245EA4">
          <w:pgSz w:w="11907" w:h="16840" w:code="9"/>
          <w:pgMar w:top="1418" w:right="1701" w:bottom="1134" w:left="1843" w:header="284" w:footer="425" w:gutter="284"/>
          <w:cols w:space="720"/>
        </w:sectPr>
      </w:pPr>
    </w:p>
    <w:p w14:paraId="357B2FCA" w14:textId="77777777" w:rsidR="00427A3A" w:rsidRDefault="00427A3A" w:rsidP="00D94469">
      <w:pPr>
        <w:pStyle w:val="Heading2"/>
        <w:spacing w:before="0"/>
      </w:pPr>
      <w:bookmarkStart w:id="11" w:name="_Toc129779924"/>
      <w:r>
        <w:lastRenderedPageBreak/>
        <w:t>Hospitalisation risk in DSS recipients</w:t>
      </w:r>
      <w:bookmarkEnd w:id="11"/>
      <w:r>
        <w:t xml:space="preserve"> </w:t>
      </w:r>
    </w:p>
    <w:p w14:paraId="3980686B" w14:textId="5ED44559" w:rsidR="00426BA5" w:rsidRDefault="00427A3A" w:rsidP="00426BA5">
      <w:r>
        <w:t xml:space="preserve">During 2022, 431 (1,046 per 100,000 of population) DSS recipients aged less than 70 years have been hospitalised due to COVID-19; after taking into account age, DSS recipients have had four times the risk of hospitalisation compared with the rest of the population during 2022 (see </w:t>
      </w:r>
      <w:r w:rsidR="00245EA4">
        <w:fldChar w:fldCharType="begin"/>
      </w:r>
      <w:r w:rsidR="00245EA4">
        <w:instrText xml:space="preserve"> REF _Ref129066330 \h </w:instrText>
      </w:r>
      <w:r w:rsidR="00245EA4">
        <w:fldChar w:fldCharType="separate"/>
      </w:r>
      <w:r w:rsidR="00CC540A">
        <w:t xml:space="preserve">Figure </w:t>
      </w:r>
      <w:r w:rsidR="00CC540A">
        <w:rPr>
          <w:noProof/>
        </w:rPr>
        <w:t>3</w:t>
      </w:r>
      <w:r w:rsidR="00245EA4">
        <w:fldChar w:fldCharType="end"/>
      </w:r>
      <w:r>
        <w:t xml:space="preserve">). While hospitalisation rates demonstrate that DSS recipients are at greater risk of poor COVID-19 health outcomes, it also indicates that disabled people continued to access hospital services while systems were under pressure. </w:t>
      </w:r>
    </w:p>
    <w:p w14:paraId="10754479" w14:textId="7DD080F6" w:rsidR="00426BA5" w:rsidRDefault="00426BA5" w:rsidP="00426BA5"/>
    <w:p w14:paraId="140387B5" w14:textId="267B3076" w:rsidR="00427A3A" w:rsidRDefault="00427A3A" w:rsidP="00427A3A">
      <w:pPr>
        <w:pStyle w:val="Figure"/>
      </w:pPr>
      <w:bookmarkStart w:id="12" w:name="_Ref129066330"/>
      <w:bookmarkStart w:id="13" w:name="_Toc129779932"/>
      <w:r>
        <w:t xml:space="preserve">Figure </w:t>
      </w:r>
      <w:fldSimple w:instr=" SEQ Figure \* ARABIC ">
        <w:r w:rsidR="00CC540A">
          <w:rPr>
            <w:noProof/>
          </w:rPr>
          <w:t>3</w:t>
        </w:r>
      </w:fldSimple>
      <w:bookmarkEnd w:id="12"/>
      <w:r>
        <w:t xml:space="preserve">: </w:t>
      </w:r>
      <w:r w:rsidRPr="00427A3A">
        <w:t xml:space="preserve"> </w:t>
      </w:r>
      <w:r>
        <w:t>National age-standardised reported hospital admission rates (and 95% confidence intervals) by disability status in those aged less than 70 years, 01 January – 16 November 2022</w:t>
      </w:r>
      <w:bookmarkEnd w:id="13"/>
    </w:p>
    <w:p w14:paraId="1B29D588" w14:textId="77777777" w:rsidR="00427A3A" w:rsidRDefault="00427A3A" w:rsidP="00427A3A">
      <w:r>
        <w:rPr>
          <w:noProof/>
        </w:rPr>
        <w:drawing>
          <wp:inline distT="0" distB="0" distL="0" distR="0" wp14:anchorId="6EA53434" wp14:editId="09258E81">
            <wp:extent cx="5144070" cy="3332135"/>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50835" cy="3336517"/>
                    </a:xfrm>
                    <a:prstGeom prst="rect">
                      <a:avLst/>
                    </a:prstGeom>
                    <a:noFill/>
                  </pic:spPr>
                </pic:pic>
              </a:graphicData>
            </a:graphic>
          </wp:inline>
        </w:drawing>
      </w:r>
    </w:p>
    <w:p w14:paraId="19D73FE9" w14:textId="0D878484" w:rsidR="00427A3A" w:rsidRDefault="00427A3A" w:rsidP="00427A3A">
      <w:pPr>
        <w:pStyle w:val="Source"/>
      </w:pPr>
      <w:r w:rsidRPr="00427A3A">
        <w:t>Source: NCTS/</w:t>
      </w:r>
      <w:proofErr w:type="spellStart"/>
      <w:r w:rsidRPr="00427A3A">
        <w:t>EpiSurv</w:t>
      </w:r>
      <w:proofErr w:type="spellEnd"/>
      <w:r w:rsidRPr="00427A3A">
        <w:t>, NMDS, Inpatient Admissions dataset and CVIP population estimates, 01 January 2022 to 30 October 2022, Disability Support Services database</w:t>
      </w:r>
    </w:p>
    <w:p w14:paraId="759FE303" w14:textId="77777777" w:rsidR="00D94469" w:rsidRDefault="00D94469" w:rsidP="00426BA5">
      <w:pPr>
        <w:sectPr w:rsidR="00D94469" w:rsidSect="00245EA4">
          <w:pgSz w:w="11907" w:h="16840" w:code="9"/>
          <w:pgMar w:top="1418" w:right="1701" w:bottom="1134" w:left="1843" w:header="284" w:footer="425" w:gutter="284"/>
          <w:cols w:space="720"/>
        </w:sectPr>
      </w:pPr>
    </w:p>
    <w:p w14:paraId="0218DBDD" w14:textId="77777777" w:rsidR="00427A3A" w:rsidRDefault="00427A3A" w:rsidP="00D94469">
      <w:pPr>
        <w:pStyle w:val="Heading2"/>
        <w:spacing w:before="0"/>
      </w:pPr>
      <w:bookmarkStart w:id="14" w:name="_Toc129779925"/>
      <w:r>
        <w:lastRenderedPageBreak/>
        <w:t>Mortality risk in DSS recipients</w:t>
      </w:r>
      <w:bookmarkEnd w:id="14"/>
      <w:r>
        <w:t xml:space="preserve"> </w:t>
      </w:r>
    </w:p>
    <w:p w14:paraId="7FD8992B" w14:textId="6EE08ACC" w:rsidR="00427A3A" w:rsidRDefault="00427A3A" w:rsidP="00427A3A">
      <w:r>
        <w:t xml:space="preserve">There have been 28 (66 per 100,000 of population) DSS recipients aged less than 70 years who have died with COVID-19 as the underlying or contributory cause during 2022. The risk cannot be further adjusted for age due to low numbers. However, as the data were restricted to people aged less than 70 years, this still enables a comparison to be made between people of a similar age. </w:t>
      </w:r>
      <w:r w:rsidR="00245EA4">
        <w:fldChar w:fldCharType="begin"/>
      </w:r>
      <w:r w:rsidR="00245EA4">
        <w:instrText xml:space="preserve"> REF _Ref129066338 \h </w:instrText>
      </w:r>
      <w:r w:rsidR="00245EA4">
        <w:fldChar w:fldCharType="separate"/>
      </w:r>
      <w:r w:rsidR="00CC540A">
        <w:t xml:space="preserve">Figure </w:t>
      </w:r>
      <w:r w:rsidR="00CC540A">
        <w:rPr>
          <w:noProof/>
        </w:rPr>
        <w:t>4</w:t>
      </w:r>
      <w:r w:rsidR="00245EA4">
        <w:fldChar w:fldCharType="end"/>
      </w:r>
      <w:r w:rsidR="00245EA4">
        <w:t xml:space="preserve"> </w:t>
      </w:r>
      <w:r>
        <w:t xml:space="preserve">shows that during 2022, DSS recipients under 70 years old have had 13 times the mortality risk compared with the rest of the population aged under 70 years old. </w:t>
      </w:r>
    </w:p>
    <w:p w14:paraId="47240616" w14:textId="77777777" w:rsidR="00427A3A" w:rsidRDefault="00427A3A" w:rsidP="00427A3A"/>
    <w:p w14:paraId="2A363F77" w14:textId="4FDEA2A5" w:rsidR="00427A3A" w:rsidRDefault="00427A3A" w:rsidP="00427A3A">
      <w:r>
        <w:t>The substantially higher risk of COVID-19 attributed deaths among DSS clients is also seen for all-cause mortality where the mortality risk is 19 times higher than for the rest of the New Zealand population.</w:t>
      </w:r>
    </w:p>
    <w:p w14:paraId="2B127187" w14:textId="7D9A1CDC" w:rsidR="00426BA5" w:rsidRDefault="00426BA5" w:rsidP="00427A3A"/>
    <w:p w14:paraId="665516DC" w14:textId="3F7B6E81" w:rsidR="00427A3A" w:rsidRDefault="00427A3A" w:rsidP="00427A3A">
      <w:pPr>
        <w:pStyle w:val="Figure"/>
      </w:pPr>
      <w:bookmarkStart w:id="15" w:name="_Ref129066338"/>
      <w:bookmarkStart w:id="16" w:name="_Toc129779933"/>
      <w:r>
        <w:t xml:space="preserve">Figure </w:t>
      </w:r>
      <w:fldSimple w:instr=" SEQ Figure \* ARABIC ">
        <w:r w:rsidR="00CC540A">
          <w:rPr>
            <w:noProof/>
          </w:rPr>
          <w:t>4</w:t>
        </w:r>
      </w:fldSimple>
      <w:bookmarkEnd w:id="15"/>
      <w:r>
        <w:t xml:space="preserve">: </w:t>
      </w:r>
      <w:r w:rsidRPr="00427A3A">
        <w:t xml:space="preserve"> </w:t>
      </w:r>
      <w:r>
        <w:t>National crude mortality rates (and 95% confidence intervals) where COVID-19 was the underlying or contributory cause in those aged less than 70 years by disability status, 01 January – 16 November 2022</w:t>
      </w:r>
      <w:bookmarkEnd w:id="16"/>
    </w:p>
    <w:p w14:paraId="70E89365" w14:textId="77777777" w:rsidR="00427A3A" w:rsidRDefault="00427A3A" w:rsidP="00427A3A">
      <w:r>
        <w:rPr>
          <w:noProof/>
        </w:rPr>
        <w:drawing>
          <wp:inline distT="0" distB="0" distL="0" distR="0" wp14:anchorId="2601E2D8" wp14:editId="00D899EC">
            <wp:extent cx="5048367" cy="3270142"/>
            <wp:effectExtent l="0" t="0" r="0" b="698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52212" cy="3272632"/>
                    </a:xfrm>
                    <a:prstGeom prst="rect">
                      <a:avLst/>
                    </a:prstGeom>
                    <a:noFill/>
                  </pic:spPr>
                </pic:pic>
              </a:graphicData>
            </a:graphic>
          </wp:inline>
        </w:drawing>
      </w:r>
    </w:p>
    <w:p w14:paraId="4888A7D5" w14:textId="77777777" w:rsidR="00427A3A" w:rsidRDefault="00427A3A" w:rsidP="00427A3A">
      <w:pPr>
        <w:pStyle w:val="Source"/>
      </w:pPr>
      <w:r w:rsidRPr="00427A3A">
        <w:t xml:space="preserve">Source: </w:t>
      </w:r>
      <w:proofErr w:type="spellStart"/>
      <w:r w:rsidRPr="00427A3A">
        <w:t>EpiSurv</w:t>
      </w:r>
      <w:proofErr w:type="spellEnd"/>
      <w:r w:rsidRPr="00427A3A">
        <w:t>/NCTS, Death Documents, Mortality Collections Database, Healthcare User database and CVIP population estimates, 01 January 2022 to 16 November 2022, Disability Support Services database</w:t>
      </w:r>
    </w:p>
    <w:p w14:paraId="110CF06C" w14:textId="77777777" w:rsidR="00427A3A" w:rsidRDefault="00427A3A" w:rsidP="00427A3A"/>
    <w:p w14:paraId="3ED27E8E" w14:textId="77777777" w:rsidR="00427A3A" w:rsidRDefault="00427A3A" w:rsidP="00427A3A"/>
    <w:p w14:paraId="09DDDF53" w14:textId="38701496" w:rsidR="00427A3A" w:rsidRPr="00427A3A" w:rsidRDefault="00427A3A" w:rsidP="00427A3A">
      <w:pPr>
        <w:sectPr w:rsidR="00427A3A" w:rsidRPr="00427A3A" w:rsidSect="00245EA4">
          <w:pgSz w:w="11907" w:h="16840" w:code="9"/>
          <w:pgMar w:top="1418" w:right="1701" w:bottom="1134" w:left="1843" w:header="284" w:footer="425" w:gutter="284"/>
          <w:cols w:space="720"/>
        </w:sectPr>
      </w:pPr>
    </w:p>
    <w:p w14:paraId="09DDDF54" w14:textId="294241AD" w:rsidR="008C2973" w:rsidRDefault="00427A3A" w:rsidP="00F54E74">
      <w:pPr>
        <w:pStyle w:val="Heading1"/>
      </w:pPr>
      <w:bookmarkStart w:id="17" w:name="_Toc129779926"/>
      <w:r w:rsidRPr="00427A3A">
        <w:lastRenderedPageBreak/>
        <w:t>International comparisons</w:t>
      </w:r>
      <w:bookmarkEnd w:id="17"/>
    </w:p>
    <w:p w14:paraId="50BEBB0A" w14:textId="75E4625C" w:rsidR="00427A3A" w:rsidRDefault="00427A3A" w:rsidP="00427A3A">
      <w:r>
        <w:t>Whilst defining who is disabled,</w:t>
      </w:r>
      <w:r>
        <w:rPr>
          <w:rStyle w:val="FootnoteReference"/>
        </w:rPr>
        <w:footnoteReference w:id="3"/>
      </w:r>
      <w:r>
        <w:t xml:space="preserve"> and international comparisons, can be difficult, globally disabled people are recognised as a vulnerable group who are likely to be at higher risk of contracting SARS-CoV-2 and experiencing severe COVID-19 related health outcomes. (8) Disabled people continue to experience many barriers to inclusion in the COVID-19 response and have been differentially affected by COVID-19 because of increased risk of poor outcomes from the disease itself, reduced access to routine health care, information, and increased risk of adverse psychological/social impacts of efforts to mitigate the pandemic.  </w:t>
      </w:r>
    </w:p>
    <w:p w14:paraId="559E62B9" w14:textId="77777777" w:rsidR="00427A3A" w:rsidRDefault="00427A3A" w:rsidP="00427A3A"/>
    <w:p w14:paraId="401A470C" w14:textId="20739603" w:rsidR="00427A3A" w:rsidRDefault="00427A3A" w:rsidP="00427A3A">
      <w:r>
        <w:t>Evidence from the United States suggests that infection risk for disabled people living in residential facilities may be five times greater than the general population, (9) and hospitalisation rates for disabled people were 50% higher than non-disabled people. (10) A Canadian study also found that disabled people were 77% more likely to be hospitalised and had 36% longer hospital stays than those without disabilities. (11)</w:t>
      </w:r>
    </w:p>
    <w:p w14:paraId="0D4EAE29" w14:textId="77777777" w:rsidR="00427A3A" w:rsidRDefault="00427A3A" w:rsidP="00427A3A"/>
    <w:p w14:paraId="6DDE5E70" w14:textId="4B247E16" w:rsidR="00427A3A" w:rsidRPr="00427A3A" w:rsidRDefault="00427A3A" w:rsidP="00427A3A">
      <w:r>
        <w:t>Analyses in England showed higher age-adjusted mortality involving COVID-19 among disabled people who were limited ‘a lot’ (3.0 times higher for men; 3.5 for women) and disabled people who were limited ‘a little’ (1.9 times higher for men; 2·0 for women) than among non-disabled people. (12) A Scottish study found that people with intellectual disabilities (ID) had a mortality ratio of 3.3 and that overall adults with ID had more COVID-19 infections, and worse outcomes once infected, particularly adults under 70 years. (13)</w:t>
      </w:r>
    </w:p>
    <w:p w14:paraId="1876C1BB" w14:textId="77777777" w:rsidR="00427A3A" w:rsidRDefault="00427A3A" w:rsidP="00B47C82">
      <w:pPr>
        <w:sectPr w:rsidR="00427A3A" w:rsidSect="00245EA4">
          <w:footerReference w:type="even" r:id="rId36"/>
          <w:footerReference w:type="default" r:id="rId37"/>
          <w:pgSz w:w="11907" w:h="16834" w:code="9"/>
          <w:pgMar w:top="1418" w:right="1701" w:bottom="1134" w:left="1843" w:header="284" w:footer="425" w:gutter="284"/>
          <w:cols w:space="720"/>
          <w:docGrid w:linePitch="286"/>
        </w:sectPr>
      </w:pPr>
    </w:p>
    <w:p w14:paraId="6D40C4FD" w14:textId="77777777" w:rsidR="00427A3A" w:rsidRDefault="00427A3A" w:rsidP="00427A3A">
      <w:pPr>
        <w:pStyle w:val="Heading1"/>
      </w:pPr>
      <w:bookmarkStart w:id="18" w:name="_Toc129779927"/>
      <w:r>
        <w:lastRenderedPageBreak/>
        <w:t>Data Limitations</w:t>
      </w:r>
      <w:bookmarkEnd w:id="18"/>
    </w:p>
    <w:p w14:paraId="68D20B74" w14:textId="09355B9D" w:rsidR="00427A3A" w:rsidRDefault="00427A3A" w:rsidP="00427A3A">
      <w:r>
        <w:t>DSS recipients are a relatively small subgroup of disabled people who are substantially more likely to be highly vulnerable with complex impairments. The data in this analysis reflects the risk experienced by DSS recipients and is not generalisable to all disabled people in Aotearoa. However, there are currently no reliable data to quantify risks for the full number of disabled New Zealanders who are at risk of poorer COVID-19 outcomes.</w:t>
      </w:r>
    </w:p>
    <w:p w14:paraId="5F084B75" w14:textId="77777777" w:rsidR="00427A3A" w:rsidRDefault="00427A3A" w:rsidP="00427A3A"/>
    <w:p w14:paraId="09DDDF56" w14:textId="5D0E508F" w:rsidR="00B47C82" w:rsidRPr="00B47C82" w:rsidRDefault="00427A3A" w:rsidP="00427A3A">
      <w:r>
        <w:t xml:space="preserve">Furthermore, DSS recipients are on average, younger than the overall disabled population, and younger than the NZ population. This is because older disabled people usually receive support through other funded services outside of </w:t>
      </w:r>
      <w:proofErr w:type="spellStart"/>
      <w:r>
        <w:t>Whaikaha</w:t>
      </w:r>
      <w:proofErr w:type="spellEnd"/>
      <w:r>
        <w:t xml:space="preserve"> and so are not included in this data. However, statistical adjustments (age standardisation and age restriction) have been made to increase the validity of comparisons of COVID-19 outcomes between DSS recipients and the rest of the population. It should be noted that these risk estimates have not been further adjusted for other factors such as sex, ethnicity, comorbidities, or vaccination status. The impact of anti-viral medications would also be an important consideration for a future analysis.</w:t>
      </w:r>
    </w:p>
    <w:p w14:paraId="027102DB" w14:textId="77777777" w:rsidR="00427A3A" w:rsidRDefault="00427A3A" w:rsidP="00656F28">
      <w:pPr>
        <w:pStyle w:val="Heading2"/>
        <w:sectPr w:rsidR="00427A3A" w:rsidSect="00245EA4">
          <w:pgSz w:w="11907" w:h="16834" w:code="9"/>
          <w:pgMar w:top="1418" w:right="1701" w:bottom="1134" w:left="1843" w:header="284" w:footer="425" w:gutter="284"/>
          <w:cols w:space="720"/>
          <w:docGrid w:linePitch="286"/>
        </w:sectPr>
      </w:pPr>
    </w:p>
    <w:p w14:paraId="1B8630A9" w14:textId="77777777" w:rsidR="00427A3A" w:rsidRDefault="00427A3A" w:rsidP="00CC540A">
      <w:pPr>
        <w:pStyle w:val="Heading1"/>
      </w:pPr>
      <w:bookmarkStart w:id="19" w:name="_Toc129779928"/>
      <w:r>
        <w:lastRenderedPageBreak/>
        <w:t>Conclusion</w:t>
      </w:r>
      <w:bookmarkEnd w:id="19"/>
    </w:p>
    <w:p w14:paraId="060582CA" w14:textId="21FE4995" w:rsidR="00427A3A" w:rsidRDefault="00427A3A" w:rsidP="00427A3A">
      <w:r>
        <w:t xml:space="preserve">Overall, although the risk of being a reported COVID-19 case among DSS recipients was slightly lower than the rest of the population, the data suggests that DSS recipients have been at substantially greater risk of severe outcomes (hospitalisation and death) once they have become infected with SARS-CoV-2. </w:t>
      </w:r>
    </w:p>
    <w:p w14:paraId="33599632" w14:textId="77777777" w:rsidR="00427A3A" w:rsidRDefault="00427A3A" w:rsidP="00427A3A"/>
    <w:p w14:paraId="55CC5394" w14:textId="77777777" w:rsidR="00427A3A" w:rsidRDefault="00427A3A" w:rsidP="00427A3A">
      <w:pPr>
        <w:sectPr w:rsidR="00427A3A" w:rsidSect="00245EA4">
          <w:pgSz w:w="11907" w:h="16834" w:code="9"/>
          <w:pgMar w:top="1418" w:right="1701" w:bottom="1134" w:left="1843" w:header="284" w:footer="425" w:gutter="284"/>
          <w:cols w:space="720"/>
          <w:docGrid w:linePitch="286"/>
        </w:sectPr>
      </w:pPr>
      <w:r>
        <w:t>While these results should not be generalised to the wider disabled population, because DSS recipients have more complex impairments on average and do not include the older disabled community, they do provide valuable insight into the burden faced by a subset of disabled people. This is an initial step to gather robust evidence into the impact of COVID-19 on disabled people, and the effectiveness of COVID-19 policy and service access for disabled people, to complement lived-experience and other evidence provided by the disability community.</w:t>
      </w:r>
    </w:p>
    <w:p w14:paraId="10653228" w14:textId="46C2ED0F" w:rsidR="00427A3A" w:rsidRDefault="00427A3A" w:rsidP="00427A3A">
      <w:pPr>
        <w:pStyle w:val="Heading1"/>
      </w:pPr>
      <w:bookmarkStart w:id="20" w:name="_Toc129779929"/>
      <w:r w:rsidRPr="00427A3A">
        <w:lastRenderedPageBreak/>
        <w:t>References</w:t>
      </w:r>
      <w:bookmarkEnd w:id="20"/>
    </w:p>
    <w:p w14:paraId="331F710C" w14:textId="0B4BA717" w:rsidR="00427A3A" w:rsidRDefault="00427A3A" w:rsidP="00427A3A">
      <w:pPr>
        <w:pStyle w:val="Number"/>
        <w:numPr>
          <w:ilvl w:val="3"/>
          <w:numId w:val="45"/>
        </w:numPr>
      </w:pPr>
      <w:r>
        <w:t xml:space="preserve">Statistics New Zealand </w:t>
      </w:r>
      <w:proofErr w:type="spellStart"/>
      <w:r>
        <w:t>Tatauranga</w:t>
      </w:r>
      <w:proofErr w:type="spellEnd"/>
      <w:r>
        <w:t xml:space="preserve"> Aotearoa. Disability Survey: 2013. 2014 [Available from: </w:t>
      </w:r>
      <w:hyperlink r:id="rId38" w:history="1">
        <w:r w:rsidR="00245EA4" w:rsidRPr="00C35EC5">
          <w:rPr>
            <w:rStyle w:val="Hyperlink"/>
          </w:rPr>
          <w:t>https://www.stats.govt.nz/assets/Uploads/Disability-survey/Disability-survey-2013/Disability-survey-2013-additional-documents/Disability-Survey-2013.pdf</w:t>
        </w:r>
      </w:hyperlink>
      <w:r w:rsidR="00245EA4">
        <w:t>]</w:t>
      </w:r>
    </w:p>
    <w:p w14:paraId="5840B9F1" w14:textId="77777777" w:rsidR="00427A3A" w:rsidRDefault="00427A3A" w:rsidP="00427A3A">
      <w:pPr>
        <w:pStyle w:val="Number"/>
        <w:numPr>
          <w:ilvl w:val="3"/>
          <w:numId w:val="45"/>
        </w:numPr>
      </w:pPr>
      <w:r>
        <w:t>Ministry of Health. Health Indicators for New Zealanders with Intellectual Disability.: Ministry of Health; 2011 2 September 2011.</w:t>
      </w:r>
    </w:p>
    <w:p w14:paraId="462A3D10" w14:textId="665FFBCC" w:rsidR="00427A3A" w:rsidRDefault="00427A3A" w:rsidP="00427A3A">
      <w:pPr>
        <w:pStyle w:val="Number"/>
        <w:numPr>
          <w:ilvl w:val="3"/>
          <w:numId w:val="45"/>
        </w:numPr>
      </w:pPr>
      <w:proofErr w:type="spellStart"/>
      <w:r>
        <w:t>Brandford</w:t>
      </w:r>
      <w:proofErr w:type="spellEnd"/>
      <w:r>
        <w:t xml:space="preserve"> S. Counting for Something – How New Zealand agencies record, investigate and review deaths of people with intellectual disability Wellington, New Zealand2020 [Available from: </w:t>
      </w:r>
      <w:hyperlink r:id="rId39" w:history="1">
        <w:r w:rsidR="00245EA4" w:rsidRPr="00C35EC5">
          <w:rPr>
            <w:rStyle w:val="Hyperlink"/>
          </w:rPr>
          <w:t>https://static1.squarespace.com/static/599f868a579fb358f076d0a4/t/5fc43a83145a8629dc36b3d5/1606695571591/Counting+for+Something+November+2020.pdf</w:t>
        </w:r>
      </w:hyperlink>
      <w:r w:rsidR="00245EA4">
        <w:t>]</w:t>
      </w:r>
    </w:p>
    <w:p w14:paraId="5D755D30" w14:textId="39363FCC" w:rsidR="00427A3A" w:rsidRDefault="00427A3A" w:rsidP="00427A3A">
      <w:pPr>
        <w:pStyle w:val="Number"/>
        <w:numPr>
          <w:ilvl w:val="3"/>
          <w:numId w:val="45"/>
        </w:numPr>
      </w:pPr>
      <w:r>
        <w:t xml:space="preserve">Statistics New Zealand </w:t>
      </w:r>
      <w:proofErr w:type="spellStart"/>
      <w:r>
        <w:t>Tatauranga</w:t>
      </w:r>
      <w:proofErr w:type="spellEnd"/>
      <w:r>
        <w:t xml:space="preserve"> Aotearoa. Wellbeing statistics: December 2020 quarter. 2021 [Available from: </w:t>
      </w:r>
      <w:hyperlink r:id="rId40" w:anchor="loneliness" w:history="1">
        <w:r w:rsidR="00245EA4" w:rsidRPr="00C35EC5">
          <w:rPr>
            <w:rStyle w:val="Hyperlink"/>
          </w:rPr>
          <w:t>https://www.stats.govt.nz/information-releases/wellbeing-statistics-december-2020-quarter#loneliness</w:t>
        </w:r>
      </w:hyperlink>
      <w:r w:rsidR="00245EA4">
        <w:t>]</w:t>
      </w:r>
    </w:p>
    <w:p w14:paraId="7A84D420" w14:textId="0DA6D66C" w:rsidR="00427A3A" w:rsidRDefault="00427A3A" w:rsidP="00427A3A">
      <w:pPr>
        <w:pStyle w:val="Number"/>
        <w:numPr>
          <w:ilvl w:val="3"/>
          <w:numId w:val="45"/>
        </w:numPr>
      </w:pPr>
      <w:r>
        <w:t xml:space="preserve">Office for Disability Issues. COVID-19 Data analysis. 2022 [updated 1 April 2022. </w:t>
      </w:r>
      <w:r w:rsidR="00245EA4">
        <w:t>[</w:t>
      </w:r>
      <w:r>
        <w:t xml:space="preserve">Available from: </w:t>
      </w:r>
      <w:hyperlink r:id="rId41" w:history="1">
        <w:r w:rsidR="00245EA4" w:rsidRPr="00C35EC5">
          <w:rPr>
            <w:rStyle w:val="Hyperlink"/>
          </w:rPr>
          <w:t>https://www.odi.govt.nz/guidance-and-resources/covid-19-data-analysis/</w:t>
        </w:r>
      </w:hyperlink>
      <w:r w:rsidR="00245EA4" w:rsidRPr="00245EA4">
        <w:t>]</w:t>
      </w:r>
      <w:r w:rsidR="00245EA4">
        <w:t xml:space="preserve"> </w:t>
      </w:r>
    </w:p>
    <w:p w14:paraId="1600A34E" w14:textId="60C2F219" w:rsidR="00245EA4" w:rsidRDefault="00427A3A" w:rsidP="00427A3A">
      <w:pPr>
        <w:pStyle w:val="Number"/>
        <w:numPr>
          <w:ilvl w:val="3"/>
          <w:numId w:val="45"/>
        </w:numPr>
      </w:pPr>
      <w:r>
        <w:t xml:space="preserve">Health Quality and Safety Commission New Zealand. The health care experience of disabled people during COVID-19: Summary of findings from the COVID-19 patient experience survey. 2021 [Available from: </w:t>
      </w:r>
      <w:hyperlink r:id="rId42" w:history="1">
        <w:r w:rsidR="00245EA4" w:rsidRPr="00C35EC5">
          <w:rPr>
            <w:rStyle w:val="Hyperlink"/>
          </w:rPr>
          <w:t>https://www.hqsc.govt.nz/resources/resource-library/the-health-care-experience-of-disabled-people-during-covid-19-summary-of-findings-from-the-covid-19-patient-experience-survey/</w:t>
        </w:r>
      </w:hyperlink>
      <w:r w:rsidR="00245EA4" w:rsidRPr="00245EA4">
        <w:t>]</w:t>
      </w:r>
    </w:p>
    <w:p w14:paraId="04B7EFE6" w14:textId="4FE9099B" w:rsidR="00245EA4" w:rsidRDefault="00427A3A" w:rsidP="00427A3A">
      <w:pPr>
        <w:pStyle w:val="Number"/>
        <w:numPr>
          <w:ilvl w:val="3"/>
          <w:numId w:val="45"/>
        </w:numPr>
      </w:pPr>
      <w:r>
        <w:t xml:space="preserve">Office for Disability Issues. Towards a non-disabling New Zealand - the annual report from the Minister for Disability Issues to the House of Representatives on implementation of the New Zealand Disability Strategy. 2020 [Available from: </w:t>
      </w:r>
      <w:hyperlink r:id="rId43" w:history="1">
        <w:r w:rsidR="00245EA4" w:rsidRPr="00C35EC5">
          <w:rPr>
            <w:rStyle w:val="Hyperlink"/>
          </w:rPr>
          <w:t>https://www.odi.govt.nz/about-us/corporate-publications/</w:t>
        </w:r>
      </w:hyperlink>
      <w:r w:rsidR="00245EA4">
        <w:t>]</w:t>
      </w:r>
    </w:p>
    <w:p w14:paraId="44893895" w14:textId="77777777" w:rsidR="00427A3A" w:rsidRDefault="00427A3A" w:rsidP="00427A3A">
      <w:pPr>
        <w:pStyle w:val="Number"/>
        <w:numPr>
          <w:ilvl w:val="3"/>
          <w:numId w:val="45"/>
        </w:numPr>
      </w:pPr>
      <w:proofErr w:type="spellStart"/>
      <w:r>
        <w:t>Kamalakannan</w:t>
      </w:r>
      <w:proofErr w:type="spellEnd"/>
      <w:r>
        <w:t xml:space="preserve"> S, </w:t>
      </w:r>
      <w:proofErr w:type="spellStart"/>
      <w:r>
        <w:t>Bhattacharjya</w:t>
      </w:r>
      <w:proofErr w:type="spellEnd"/>
      <w:r>
        <w:t xml:space="preserve"> S, </w:t>
      </w:r>
      <w:proofErr w:type="spellStart"/>
      <w:r>
        <w:t>Bogdanova</w:t>
      </w:r>
      <w:proofErr w:type="spellEnd"/>
      <w:r>
        <w:t xml:space="preserve"> Y, Papadimitriou C, Arango-</w:t>
      </w:r>
      <w:proofErr w:type="spellStart"/>
      <w:r>
        <w:t>Lasprilla</w:t>
      </w:r>
      <w:proofErr w:type="spellEnd"/>
      <w:r>
        <w:t xml:space="preserve"> JC, Bentley J, et al. Health Risks and Consequences of a COVID-19 Infection for People with Disabilities: Scoping Review and Descriptive Thematic Analysis. Int J Environ Res Public Health. 2021;18(8):4348</w:t>
      </w:r>
    </w:p>
    <w:p w14:paraId="5F4C7EED" w14:textId="77777777" w:rsidR="00427A3A" w:rsidRDefault="00427A3A" w:rsidP="00427A3A">
      <w:pPr>
        <w:pStyle w:val="Number"/>
        <w:numPr>
          <w:ilvl w:val="3"/>
          <w:numId w:val="45"/>
        </w:numPr>
      </w:pPr>
      <w:r>
        <w:t xml:space="preserve">Okonkwo NE, </w:t>
      </w:r>
      <w:proofErr w:type="spellStart"/>
      <w:r>
        <w:t>Aguwa</w:t>
      </w:r>
      <w:proofErr w:type="spellEnd"/>
      <w:r>
        <w:t xml:space="preserve"> UT, Jang M, Barré IA, Page KR, Sullivan PS, et al. COVID-19 and the US response: accelerating health inequities. BMJ evidence-based medicine. 2021;26(4):176-9.</w:t>
      </w:r>
    </w:p>
    <w:p w14:paraId="14AE2750" w14:textId="77777777" w:rsidR="00427A3A" w:rsidRDefault="00427A3A" w:rsidP="00427A3A">
      <w:pPr>
        <w:pStyle w:val="Number"/>
        <w:numPr>
          <w:ilvl w:val="3"/>
          <w:numId w:val="45"/>
        </w:numPr>
      </w:pPr>
      <w:r>
        <w:t>Yuan Y. COVID-19 cases and hospitalizations among Medicare beneficiaries with and without disabilities—United States, January 1, 2020–November 20, 2021. MMWR Morbidity and Mortality Weekly Report. 2022;71(24):791-6.</w:t>
      </w:r>
    </w:p>
    <w:p w14:paraId="7826DA09" w14:textId="77777777" w:rsidR="00427A3A" w:rsidRDefault="00427A3A" w:rsidP="00427A3A">
      <w:pPr>
        <w:pStyle w:val="Number"/>
        <w:numPr>
          <w:ilvl w:val="3"/>
          <w:numId w:val="45"/>
        </w:numPr>
      </w:pPr>
      <w:r>
        <w:lastRenderedPageBreak/>
        <w:t xml:space="preserve">Brown HK, </w:t>
      </w:r>
      <w:proofErr w:type="spellStart"/>
      <w:r>
        <w:t>Saha</w:t>
      </w:r>
      <w:proofErr w:type="spellEnd"/>
      <w:r>
        <w:t xml:space="preserve"> S, Chan TC, Cheung AM, </w:t>
      </w:r>
      <w:proofErr w:type="spellStart"/>
      <w:r>
        <w:t>Fralick</w:t>
      </w:r>
      <w:proofErr w:type="spellEnd"/>
      <w:r>
        <w:t xml:space="preserve"> M, </w:t>
      </w:r>
      <w:proofErr w:type="spellStart"/>
      <w:r>
        <w:t>Ghassemi</w:t>
      </w:r>
      <w:proofErr w:type="spellEnd"/>
      <w:r>
        <w:t xml:space="preserve"> M, et al. Outcomes in patients with and without disability admitted to hospital with COVID-19: a retrospective cohort study. Canadian Medical Association Journal. 2022;194(4):E112-E21.</w:t>
      </w:r>
    </w:p>
    <w:p w14:paraId="05879165" w14:textId="77777777" w:rsidR="00427A3A" w:rsidRDefault="00427A3A" w:rsidP="00427A3A">
      <w:pPr>
        <w:pStyle w:val="Number"/>
        <w:numPr>
          <w:ilvl w:val="3"/>
          <w:numId w:val="45"/>
        </w:numPr>
      </w:pPr>
      <w:r>
        <w:t xml:space="preserve">Bosworth ML, </w:t>
      </w:r>
      <w:proofErr w:type="spellStart"/>
      <w:r>
        <w:t>Ayoubkhani</w:t>
      </w:r>
      <w:proofErr w:type="spellEnd"/>
      <w:r>
        <w:t xml:space="preserve"> D, </w:t>
      </w:r>
      <w:proofErr w:type="spellStart"/>
      <w:r>
        <w:t>Nafilyan</w:t>
      </w:r>
      <w:proofErr w:type="spellEnd"/>
      <w:r>
        <w:t xml:space="preserve"> V, </w:t>
      </w:r>
      <w:proofErr w:type="spellStart"/>
      <w:r>
        <w:t>Foubert</w:t>
      </w:r>
      <w:proofErr w:type="spellEnd"/>
      <w:r>
        <w:t xml:space="preserve"> J, Glickman M, Davey C, et al. Deaths involving COVID-19 by self-reported disability status during the first two waves of the COVID-19 pandemic in England: a retrospective, population-based cohort study. The Lancet Public Health. 2021;6(11):e817-e25.</w:t>
      </w:r>
    </w:p>
    <w:p w14:paraId="3CE18890" w14:textId="77777777" w:rsidR="00427A3A" w:rsidRDefault="00427A3A" w:rsidP="00427A3A">
      <w:pPr>
        <w:pStyle w:val="Number"/>
        <w:numPr>
          <w:ilvl w:val="3"/>
          <w:numId w:val="45"/>
        </w:numPr>
      </w:pPr>
      <w:r>
        <w:t>Henderson A, Fleming M, Cooper S-A, Pell JP, Melville C, Mackay DF, et al. COVID-19 infection and outcomes in a population-based cohort of 17 203 adults with intellectual disabilities compared with the general population. Journal of Epidemiology and Community Health. 2022;76(6):550-5</w:t>
      </w:r>
    </w:p>
    <w:p w14:paraId="3F0D2733" w14:textId="77777777" w:rsidR="00427A3A" w:rsidRPr="00427A3A" w:rsidRDefault="00427A3A" w:rsidP="00245EA4">
      <w:pPr>
        <w:pStyle w:val="Number"/>
        <w:numPr>
          <w:ilvl w:val="0"/>
          <w:numId w:val="0"/>
        </w:numPr>
      </w:pPr>
    </w:p>
    <w:sectPr w:rsidR="00427A3A" w:rsidRPr="00427A3A" w:rsidSect="00245EA4">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5059" w14:textId="77777777" w:rsidR="0050631D" w:rsidRDefault="0050631D">
      <w:r>
        <w:separator/>
      </w:r>
    </w:p>
    <w:p w14:paraId="31C15261" w14:textId="77777777" w:rsidR="0050631D" w:rsidRDefault="0050631D"/>
  </w:endnote>
  <w:endnote w:type="continuationSeparator" w:id="0">
    <w:p w14:paraId="7CA0AE97" w14:textId="77777777" w:rsidR="0050631D" w:rsidRDefault="0050631D">
      <w:r>
        <w:continuationSeparator/>
      </w:r>
    </w:p>
    <w:p w14:paraId="3B56D184" w14:textId="77777777" w:rsidR="0050631D" w:rsidRDefault="0050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64D9" w14:textId="77777777" w:rsidR="003B6A4E" w:rsidRDefault="003B6A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245EA4" w14:paraId="1BC81611" w14:textId="77777777" w:rsidTr="000B37AF">
      <w:trPr>
        <w:cantSplit/>
      </w:trPr>
      <w:tc>
        <w:tcPr>
          <w:tcW w:w="675" w:type="dxa"/>
          <w:vAlign w:val="center"/>
        </w:tcPr>
        <w:p w14:paraId="76341E73" w14:textId="77777777" w:rsidR="00245EA4" w:rsidRPr="00931466" w:rsidRDefault="00245EA4" w:rsidP="00245EA4">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7938" w:type="dxa"/>
          <w:vAlign w:val="center"/>
        </w:tcPr>
        <w:p w14:paraId="48811996" w14:textId="32AC06AB" w:rsidR="00245EA4" w:rsidRDefault="00245EA4" w:rsidP="00245EA4">
          <w:pPr>
            <w:pStyle w:val="RectoFooter"/>
            <w:spacing w:before="120"/>
            <w:ind w:left="-108"/>
          </w:pPr>
          <w:r>
            <w:t>C</w:t>
          </w:r>
          <w:r w:rsidRPr="00245EA4">
            <w:t>OVID-19 RISK AMONG DISABLED PEOPLE</w:t>
          </w:r>
        </w:p>
      </w:tc>
      <w:tc>
        <w:tcPr>
          <w:tcW w:w="1134" w:type="dxa"/>
          <w:vAlign w:val="center"/>
        </w:tcPr>
        <w:p w14:paraId="1BBF7A6B" w14:textId="77777777" w:rsidR="00245EA4" w:rsidRDefault="00245EA4" w:rsidP="00245EA4">
          <w:pPr>
            <w:pStyle w:val="RectoFooter"/>
            <w:spacing w:before="120"/>
            <w:ind w:left="-108"/>
          </w:pPr>
          <w:r>
            <w:rPr>
              <w:noProof/>
              <w:lang w:eastAsia="en-NZ"/>
            </w:rPr>
            <w:drawing>
              <wp:inline distT="0" distB="0" distL="0" distR="0" wp14:anchorId="660350AE" wp14:editId="5FF8F238">
                <wp:extent cx="548640" cy="353145"/>
                <wp:effectExtent l="0" t="0" r="3810" b="889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58C136" w14:textId="77777777" w:rsidR="00427A3A" w:rsidRPr="00571223" w:rsidRDefault="00427A3A" w:rsidP="00571223">
    <w:pPr>
      <w:pStyle w:val="Verso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4A0" w:firstRow="1" w:lastRow="0" w:firstColumn="1" w:lastColumn="0" w:noHBand="0" w:noVBand="1"/>
    </w:tblPr>
    <w:tblGrid>
      <w:gridCol w:w="8046"/>
      <w:gridCol w:w="567"/>
      <w:gridCol w:w="1276"/>
    </w:tblGrid>
    <w:tr w:rsidR="00427A3A" w14:paraId="6F4D98BC" w14:textId="77777777" w:rsidTr="007920E2">
      <w:tc>
        <w:tcPr>
          <w:tcW w:w="8046" w:type="dxa"/>
          <w:vAlign w:val="center"/>
        </w:tcPr>
        <w:p w14:paraId="76141707" w14:textId="77777777" w:rsidR="00427A3A" w:rsidRDefault="00427A3A" w:rsidP="00926083">
          <w:pPr>
            <w:pStyle w:val="RectoFooter"/>
          </w:pPr>
          <w:r>
            <w:t>[TITLE]</w:t>
          </w:r>
        </w:p>
      </w:tc>
      <w:tc>
        <w:tcPr>
          <w:tcW w:w="567" w:type="dxa"/>
          <w:vAlign w:val="center"/>
        </w:tcPr>
        <w:p w14:paraId="7BC45B87" w14:textId="77777777" w:rsidR="00427A3A" w:rsidRPr="00931466" w:rsidRDefault="00427A3A"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c>
        <w:tcPr>
          <w:tcW w:w="1276" w:type="dxa"/>
          <w:shd w:val="clear" w:color="auto" w:fill="auto"/>
          <w:vAlign w:val="center"/>
        </w:tcPr>
        <w:p w14:paraId="36F85124" w14:textId="77777777" w:rsidR="00427A3A" w:rsidRPr="00931466" w:rsidRDefault="00427A3A" w:rsidP="00931466">
          <w:pPr>
            <w:pStyle w:val="Footer"/>
            <w:jc w:val="right"/>
            <w:rPr>
              <w:sz w:val="15"/>
              <w:szCs w:val="15"/>
            </w:rPr>
          </w:pPr>
        </w:p>
      </w:tc>
    </w:tr>
  </w:tbl>
  <w:p w14:paraId="0EE94927" w14:textId="77777777" w:rsidR="00427A3A" w:rsidRPr="00581EB8" w:rsidRDefault="00427A3A" w:rsidP="00581EB8">
    <w:pPr>
      <w:pStyle w:val="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245EA4" w14:paraId="4D98C5A6" w14:textId="77777777" w:rsidTr="000B37AF">
      <w:trPr>
        <w:cantSplit/>
      </w:trPr>
      <w:tc>
        <w:tcPr>
          <w:tcW w:w="675" w:type="dxa"/>
          <w:vAlign w:val="center"/>
        </w:tcPr>
        <w:p w14:paraId="004C9A86" w14:textId="77777777" w:rsidR="00245EA4" w:rsidRPr="00931466" w:rsidRDefault="00245EA4" w:rsidP="00245EA4">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7938" w:type="dxa"/>
          <w:vAlign w:val="center"/>
        </w:tcPr>
        <w:p w14:paraId="15D0BEF4" w14:textId="0F833EEA" w:rsidR="00245EA4" w:rsidRDefault="00245EA4" w:rsidP="00245EA4">
          <w:pPr>
            <w:pStyle w:val="RectoFooter"/>
            <w:spacing w:before="120"/>
            <w:ind w:left="-108"/>
          </w:pPr>
          <w:r>
            <w:t>C</w:t>
          </w:r>
          <w:r w:rsidRPr="00245EA4">
            <w:t>OVID-19 RISK AMONG DISABLED PEOPLE</w:t>
          </w:r>
        </w:p>
      </w:tc>
      <w:tc>
        <w:tcPr>
          <w:tcW w:w="1134" w:type="dxa"/>
          <w:vAlign w:val="center"/>
        </w:tcPr>
        <w:p w14:paraId="043A59EF" w14:textId="77777777" w:rsidR="00245EA4" w:rsidRDefault="00245EA4" w:rsidP="00245EA4">
          <w:pPr>
            <w:pStyle w:val="RectoFooter"/>
            <w:spacing w:before="120"/>
            <w:ind w:left="-108"/>
          </w:pPr>
          <w:r>
            <w:rPr>
              <w:noProof/>
              <w:lang w:eastAsia="en-NZ"/>
            </w:rPr>
            <w:drawing>
              <wp:inline distT="0" distB="0" distL="0" distR="0" wp14:anchorId="78E35A8F" wp14:editId="6C7131B2">
                <wp:extent cx="548640" cy="353145"/>
                <wp:effectExtent l="0" t="0" r="3810" b="889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C1" w14:textId="77777777" w:rsidR="00105770" w:rsidRPr="00571223" w:rsidRDefault="00105770" w:rsidP="00571223">
    <w:pPr>
      <w:pStyle w:val="VersoFoote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9732B2" w14:paraId="09DDDFC5" w14:textId="77777777" w:rsidTr="009732B2">
      <w:trPr>
        <w:cantSplit/>
      </w:trPr>
      <w:tc>
        <w:tcPr>
          <w:tcW w:w="1134" w:type="dxa"/>
          <w:vAlign w:val="center"/>
        </w:tcPr>
        <w:p w14:paraId="09DDDFC2" w14:textId="77777777" w:rsidR="009732B2" w:rsidRDefault="009732B2" w:rsidP="00120C4C">
          <w:pPr>
            <w:pStyle w:val="RectoFooter"/>
            <w:spacing w:before="120"/>
            <w:jc w:val="left"/>
          </w:pPr>
          <w:r>
            <w:rPr>
              <w:noProof/>
              <w:lang w:eastAsia="en-NZ"/>
            </w:rPr>
            <w:drawing>
              <wp:inline distT="0" distB="0" distL="0" distR="0" wp14:anchorId="09DDDFDF" wp14:editId="4D8C7452">
                <wp:extent cx="548640" cy="353145"/>
                <wp:effectExtent l="0" t="0" r="3810" b="889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DDFC3" w14:textId="1E6DE958" w:rsidR="009732B2" w:rsidRDefault="00245EA4" w:rsidP="00120C4C">
          <w:pPr>
            <w:pStyle w:val="RectoFooter"/>
            <w:spacing w:before="120"/>
            <w:jc w:val="left"/>
          </w:pPr>
          <w:r>
            <w:t>C</w:t>
          </w:r>
          <w:r w:rsidRPr="00245EA4">
            <w:t>OVID-19 RISK AMONG DISABLED PEOPLE</w:t>
          </w:r>
        </w:p>
      </w:tc>
      <w:tc>
        <w:tcPr>
          <w:tcW w:w="709" w:type="dxa"/>
          <w:vAlign w:val="center"/>
        </w:tcPr>
        <w:p w14:paraId="09DDDFC4" w14:textId="77777777" w:rsidR="009732B2" w:rsidRPr="00931466" w:rsidRDefault="009732B2"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vii</w:t>
          </w:r>
          <w:r w:rsidRPr="00931466">
            <w:rPr>
              <w:rStyle w:val="PageNumber"/>
            </w:rPr>
            <w:fldChar w:fldCharType="end"/>
          </w:r>
        </w:p>
      </w:tc>
    </w:tr>
  </w:tbl>
  <w:p w14:paraId="09DDDFC6" w14:textId="77777777" w:rsidR="009732B2" w:rsidRPr="00581EB8" w:rsidRDefault="009732B2" w:rsidP="00581EB8">
    <w:pPr>
      <w:pStyle w:val="Foote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552B1F" w14:paraId="09DDDFCA" w14:textId="77777777" w:rsidTr="009732B2">
      <w:trPr>
        <w:cantSplit/>
      </w:trPr>
      <w:tc>
        <w:tcPr>
          <w:tcW w:w="675" w:type="dxa"/>
          <w:vAlign w:val="center"/>
        </w:tcPr>
        <w:p w14:paraId="09DDDFC7" w14:textId="77777777" w:rsidR="00552B1F" w:rsidRPr="00931466" w:rsidRDefault="00552B1F"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2</w:t>
          </w:r>
          <w:r w:rsidRPr="00931466">
            <w:rPr>
              <w:rStyle w:val="PageNumber"/>
            </w:rPr>
            <w:fldChar w:fldCharType="end"/>
          </w:r>
        </w:p>
      </w:tc>
      <w:tc>
        <w:tcPr>
          <w:tcW w:w="7938" w:type="dxa"/>
          <w:vAlign w:val="center"/>
        </w:tcPr>
        <w:p w14:paraId="09DDDFC8" w14:textId="129C9B47" w:rsidR="00552B1F" w:rsidRDefault="00245EA4" w:rsidP="00120C4C">
          <w:pPr>
            <w:pStyle w:val="RectoFooter"/>
            <w:spacing w:before="120"/>
            <w:ind w:left="-108"/>
          </w:pPr>
          <w:r>
            <w:t>C</w:t>
          </w:r>
          <w:r w:rsidRPr="00245EA4">
            <w:t>OVID-19 RISK AMONG DISABLED PEOPLE</w:t>
          </w:r>
        </w:p>
      </w:tc>
      <w:tc>
        <w:tcPr>
          <w:tcW w:w="1134" w:type="dxa"/>
          <w:vAlign w:val="center"/>
        </w:tcPr>
        <w:p w14:paraId="09DDDFC9" w14:textId="77777777" w:rsidR="00552B1F" w:rsidRDefault="009732B2" w:rsidP="00120C4C">
          <w:pPr>
            <w:pStyle w:val="RectoFooter"/>
            <w:spacing w:before="120"/>
            <w:ind w:left="-108"/>
          </w:pPr>
          <w:r>
            <w:rPr>
              <w:noProof/>
              <w:lang w:eastAsia="en-NZ"/>
            </w:rPr>
            <w:drawing>
              <wp:inline distT="0" distB="0" distL="0" distR="0" wp14:anchorId="09DDDFE1" wp14:editId="205754F8">
                <wp:extent cx="548640" cy="353145"/>
                <wp:effectExtent l="0" t="0" r="3810" b="889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CB" w14:textId="77777777" w:rsidR="00105770" w:rsidRPr="00571223" w:rsidRDefault="00105770" w:rsidP="00571223">
    <w:pPr>
      <w:pStyle w:val="VersoFoote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4374D1" w14:paraId="09DDDFCF" w14:textId="77777777" w:rsidTr="009732B2">
      <w:trPr>
        <w:cantSplit/>
      </w:trPr>
      <w:tc>
        <w:tcPr>
          <w:tcW w:w="1134" w:type="dxa"/>
          <w:vAlign w:val="center"/>
        </w:tcPr>
        <w:p w14:paraId="09DDDFCC" w14:textId="77777777" w:rsidR="004374D1" w:rsidRDefault="009732B2" w:rsidP="00120C4C">
          <w:pPr>
            <w:pStyle w:val="RectoFooter"/>
            <w:spacing w:before="120"/>
            <w:jc w:val="left"/>
          </w:pPr>
          <w:r>
            <w:rPr>
              <w:noProof/>
              <w:lang w:eastAsia="en-NZ"/>
            </w:rPr>
            <w:drawing>
              <wp:inline distT="0" distB="0" distL="0" distR="0" wp14:anchorId="09DDDFE3" wp14:editId="51636624">
                <wp:extent cx="548640" cy="353145"/>
                <wp:effectExtent l="0" t="0" r="3810" b="889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DDFCD" w14:textId="49E3569C" w:rsidR="004374D1" w:rsidRDefault="00245EA4" w:rsidP="00120C4C">
          <w:pPr>
            <w:pStyle w:val="RectoFooter"/>
            <w:spacing w:before="120"/>
            <w:jc w:val="left"/>
          </w:pPr>
          <w:r>
            <w:t>C</w:t>
          </w:r>
          <w:r w:rsidRPr="00245EA4">
            <w:t>OVID-19 RISK AMONG DISABLED PEOPLE</w:t>
          </w:r>
        </w:p>
      </w:tc>
      <w:tc>
        <w:tcPr>
          <w:tcW w:w="709" w:type="dxa"/>
          <w:vAlign w:val="center"/>
        </w:tcPr>
        <w:p w14:paraId="09DDDFCE" w14:textId="77777777" w:rsidR="004374D1" w:rsidRPr="00931466" w:rsidRDefault="004374D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1</w:t>
          </w:r>
          <w:r w:rsidRPr="00931466">
            <w:rPr>
              <w:rStyle w:val="PageNumber"/>
            </w:rPr>
            <w:fldChar w:fldCharType="end"/>
          </w:r>
        </w:p>
      </w:tc>
    </w:tr>
  </w:tbl>
  <w:p w14:paraId="09DDDFD0" w14:textId="77777777" w:rsidR="00105770" w:rsidRPr="00581EB8" w:rsidRDefault="00105770"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B" w14:textId="6052D0F1" w:rsidR="00105770" w:rsidRPr="005A79E5" w:rsidRDefault="00105770" w:rsidP="00CC6EA4">
    <w:pPr>
      <w:pStyle w:val="Footer"/>
      <w:pBdr>
        <w:bottom w:val="single" w:sz="4" w:space="1" w:color="auto"/>
      </w:pBdr>
      <w:tabs>
        <w:tab w:val="right" w:pos="9639"/>
      </w:tabs>
      <w:rPr>
        <w:sz w:val="2"/>
        <w:szCs w:val="2"/>
      </w:rPr>
    </w:pPr>
    <w:r w:rsidRPr="005718A6">
      <w:t>Released 20</w:t>
    </w:r>
    <w:r w:rsidR="00CC6EA4">
      <w:t>2</w:t>
    </w:r>
    <w:r w:rsidR="0061424C">
      <w:t>3</w:t>
    </w:r>
    <w:r w:rsidRPr="005718A6">
      <w:tab/>
    </w:r>
    <w:r w:rsidR="00E064D9" w:rsidRPr="003B6A4E">
      <w:rPr>
        <w:b/>
      </w:rPr>
      <w:t>health.govt.nz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D4E7" w14:textId="77777777" w:rsidR="003B6A4E" w:rsidRDefault="003B6A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C" w14:textId="77777777" w:rsidR="00105770" w:rsidRDefault="00105770" w:rsidP="003D59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D" w14:textId="77777777" w:rsidR="00105770" w:rsidRDefault="001057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852C5D" w14:paraId="09DDDFB5" w14:textId="77777777" w:rsidTr="00852C5D">
      <w:trPr>
        <w:cantSplit/>
      </w:trPr>
      <w:tc>
        <w:tcPr>
          <w:tcW w:w="675" w:type="dxa"/>
          <w:vAlign w:val="center"/>
        </w:tcPr>
        <w:p w14:paraId="09DDDFB2"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E064D9">
            <w:rPr>
              <w:rStyle w:val="PageNumber"/>
              <w:noProof/>
            </w:rPr>
            <w:t>vi</w:t>
          </w:r>
          <w:r w:rsidRPr="00931466">
            <w:rPr>
              <w:rStyle w:val="PageNumber"/>
            </w:rPr>
            <w:fldChar w:fldCharType="end"/>
          </w:r>
        </w:p>
      </w:tc>
      <w:tc>
        <w:tcPr>
          <w:tcW w:w="8080" w:type="dxa"/>
          <w:vAlign w:val="center"/>
        </w:tcPr>
        <w:p w14:paraId="09DDDFB3" w14:textId="77777777" w:rsidR="00852C5D" w:rsidRDefault="00852C5D" w:rsidP="00454B75">
          <w:pPr>
            <w:pStyle w:val="RectoFooter"/>
            <w:ind w:left="-108"/>
          </w:pPr>
          <w:r>
            <w:t>[title]: [subhead]</w:t>
          </w:r>
        </w:p>
      </w:tc>
      <w:tc>
        <w:tcPr>
          <w:tcW w:w="992" w:type="dxa"/>
          <w:vAlign w:val="center"/>
        </w:tcPr>
        <w:p w14:paraId="09DDDFB4" w14:textId="77777777" w:rsidR="00852C5D" w:rsidRDefault="00852C5D" w:rsidP="00454B75">
          <w:pPr>
            <w:pStyle w:val="RectoFooter"/>
            <w:ind w:left="-108"/>
          </w:pPr>
          <w:r>
            <w:rPr>
              <w:noProof/>
              <w:lang w:eastAsia="en-NZ"/>
            </w:rPr>
            <w:drawing>
              <wp:inline distT="0" distB="0" distL="0" distR="0" wp14:anchorId="09DDDFD9" wp14:editId="1095A8E9">
                <wp:extent cx="373711" cy="414082"/>
                <wp:effectExtent l="0" t="0" r="7620" b="508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B6"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3952F9" w14:paraId="09DDDFBA" w14:textId="77777777" w:rsidTr="009732B2">
      <w:trPr>
        <w:cantSplit/>
      </w:trPr>
      <w:tc>
        <w:tcPr>
          <w:tcW w:w="1134" w:type="dxa"/>
          <w:vAlign w:val="center"/>
        </w:tcPr>
        <w:p w14:paraId="09DDDFB7" w14:textId="77777777" w:rsidR="003952F9" w:rsidRDefault="009732B2" w:rsidP="00120C4C">
          <w:pPr>
            <w:pStyle w:val="RectoFooter"/>
            <w:spacing w:before="120"/>
            <w:jc w:val="left"/>
          </w:pPr>
          <w:r>
            <w:rPr>
              <w:noProof/>
              <w:lang w:eastAsia="en-NZ"/>
            </w:rPr>
            <w:drawing>
              <wp:inline distT="0" distB="0" distL="0" distR="0" wp14:anchorId="09DDDFDB" wp14:editId="587DB2A2">
                <wp:extent cx="548640" cy="353145"/>
                <wp:effectExtent l="0" t="0" r="3810" b="889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DDFB8" w14:textId="48EDEE7C" w:rsidR="003952F9" w:rsidRDefault="00245EA4" w:rsidP="00120C4C">
          <w:pPr>
            <w:pStyle w:val="RectoFooter"/>
            <w:spacing w:before="120"/>
            <w:jc w:val="left"/>
          </w:pPr>
          <w:r>
            <w:t>C</w:t>
          </w:r>
          <w:r w:rsidRPr="00245EA4">
            <w:t xml:space="preserve">OVID-19 RISK AMONG DISABLED PEOPLE </w:t>
          </w:r>
        </w:p>
      </w:tc>
      <w:tc>
        <w:tcPr>
          <w:tcW w:w="709" w:type="dxa"/>
          <w:vAlign w:val="center"/>
        </w:tcPr>
        <w:p w14:paraId="09DDDFB9" w14:textId="77777777" w:rsidR="003952F9" w:rsidRPr="00931466" w:rsidRDefault="003952F9"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A469A">
            <w:rPr>
              <w:rStyle w:val="PageNumber"/>
              <w:noProof/>
            </w:rPr>
            <w:t>v</w:t>
          </w:r>
          <w:r w:rsidRPr="00931466">
            <w:rPr>
              <w:rStyle w:val="PageNumber"/>
            </w:rPr>
            <w:fldChar w:fldCharType="end"/>
          </w:r>
        </w:p>
      </w:tc>
    </w:tr>
  </w:tbl>
  <w:p w14:paraId="09DDDFBB" w14:textId="77777777" w:rsidR="00105770" w:rsidRPr="00581EB8" w:rsidRDefault="00105770"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245EA4" w14:paraId="31566DC3" w14:textId="77777777" w:rsidTr="000B37AF">
      <w:trPr>
        <w:cantSplit/>
      </w:trPr>
      <w:tc>
        <w:tcPr>
          <w:tcW w:w="1134" w:type="dxa"/>
          <w:vAlign w:val="center"/>
        </w:tcPr>
        <w:p w14:paraId="32BCA3A9" w14:textId="77777777" w:rsidR="00245EA4" w:rsidRDefault="00245EA4" w:rsidP="00245EA4">
          <w:pPr>
            <w:pStyle w:val="RectoFooter"/>
            <w:spacing w:before="120"/>
            <w:jc w:val="left"/>
          </w:pPr>
          <w:r>
            <w:rPr>
              <w:noProof/>
              <w:lang w:eastAsia="en-NZ"/>
            </w:rPr>
            <w:drawing>
              <wp:inline distT="0" distB="0" distL="0" distR="0" wp14:anchorId="5BBD9739" wp14:editId="693ADAD6">
                <wp:extent cx="548640" cy="353145"/>
                <wp:effectExtent l="0" t="0" r="3810" b="889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F5ACC" w14:textId="77777777" w:rsidR="00245EA4" w:rsidRDefault="00245EA4" w:rsidP="00245EA4">
          <w:pPr>
            <w:pStyle w:val="RectoFooter"/>
            <w:spacing w:before="120"/>
            <w:jc w:val="left"/>
          </w:pPr>
          <w:r>
            <w:t>[title]: [subhead]</w:t>
          </w:r>
        </w:p>
      </w:tc>
      <w:tc>
        <w:tcPr>
          <w:tcW w:w="709" w:type="dxa"/>
          <w:vAlign w:val="center"/>
        </w:tcPr>
        <w:p w14:paraId="58AAF3C3" w14:textId="77777777" w:rsidR="00245EA4" w:rsidRPr="00931466" w:rsidRDefault="00245EA4" w:rsidP="00245EA4">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1DF3DC98" w14:textId="77777777" w:rsidR="00427A3A" w:rsidRPr="00571223" w:rsidRDefault="00427A3A"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427A3A" w14:paraId="5254C550" w14:textId="77777777" w:rsidTr="009732B2">
      <w:trPr>
        <w:cantSplit/>
      </w:trPr>
      <w:tc>
        <w:tcPr>
          <w:tcW w:w="1134" w:type="dxa"/>
          <w:vAlign w:val="center"/>
        </w:tcPr>
        <w:p w14:paraId="6E945A9E" w14:textId="77777777" w:rsidR="00427A3A" w:rsidRDefault="00427A3A" w:rsidP="00120C4C">
          <w:pPr>
            <w:pStyle w:val="RectoFooter"/>
            <w:spacing w:before="120"/>
            <w:jc w:val="left"/>
          </w:pPr>
          <w:r>
            <w:rPr>
              <w:noProof/>
              <w:lang w:eastAsia="en-NZ"/>
            </w:rPr>
            <w:drawing>
              <wp:inline distT="0" distB="0" distL="0" distR="0" wp14:anchorId="179469EC" wp14:editId="11EA2E25">
                <wp:extent cx="548640" cy="353145"/>
                <wp:effectExtent l="0" t="0" r="3810" b="889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4C6543A7" w14:textId="634781D2" w:rsidR="00427A3A" w:rsidRDefault="00245EA4" w:rsidP="00120C4C">
          <w:pPr>
            <w:pStyle w:val="RectoFooter"/>
            <w:spacing w:before="120"/>
            <w:jc w:val="left"/>
          </w:pPr>
          <w:r>
            <w:t>C</w:t>
          </w:r>
          <w:r w:rsidRPr="00245EA4">
            <w:t>OVID-19 RISK AMONG DISABLED PEOPLE</w:t>
          </w:r>
        </w:p>
      </w:tc>
      <w:tc>
        <w:tcPr>
          <w:tcW w:w="709" w:type="dxa"/>
          <w:vAlign w:val="center"/>
        </w:tcPr>
        <w:p w14:paraId="63E13901" w14:textId="77777777" w:rsidR="00427A3A" w:rsidRPr="00931466" w:rsidRDefault="00427A3A"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iii</w:t>
          </w:r>
          <w:r w:rsidRPr="00931466">
            <w:rPr>
              <w:rStyle w:val="PageNumber"/>
            </w:rPr>
            <w:fldChar w:fldCharType="end"/>
          </w:r>
        </w:p>
      </w:tc>
    </w:tr>
  </w:tbl>
  <w:p w14:paraId="192261C3" w14:textId="77777777" w:rsidR="00427A3A" w:rsidRPr="00581EB8" w:rsidRDefault="00427A3A"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73A4" w14:textId="77777777" w:rsidR="0050631D" w:rsidRPr="00A26E6B" w:rsidRDefault="0050631D" w:rsidP="00A26E6B"/>
  </w:footnote>
  <w:footnote w:type="continuationSeparator" w:id="0">
    <w:p w14:paraId="031603DE" w14:textId="77777777" w:rsidR="0050631D" w:rsidRDefault="0050631D">
      <w:r>
        <w:continuationSeparator/>
      </w:r>
    </w:p>
    <w:p w14:paraId="7E9EFE7D" w14:textId="77777777" w:rsidR="0050631D" w:rsidRDefault="0050631D"/>
  </w:footnote>
  <w:footnote w:id="1">
    <w:p w14:paraId="2BB22A00" w14:textId="48F2723E" w:rsidR="00427A3A" w:rsidRPr="00427A3A" w:rsidRDefault="00427A3A">
      <w:pPr>
        <w:pStyle w:val="FootnoteText"/>
        <w:rPr>
          <w:lang w:val="en-US"/>
        </w:rPr>
      </w:pPr>
      <w:r>
        <w:rPr>
          <w:rStyle w:val="FootnoteReference"/>
        </w:rPr>
        <w:footnoteRef/>
      </w:r>
      <w:r>
        <w:t xml:space="preserve"> </w:t>
      </w:r>
      <w:r w:rsidRPr="00427A3A">
        <w:t>Eligible people are likely to have a physical, sensory, intellectual disability or autism which has been identified before the age of 65 and not the result of an accident.</w:t>
      </w:r>
    </w:p>
  </w:footnote>
  <w:footnote w:id="2">
    <w:p w14:paraId="5074E2F7" w14:textId="73AEBDE1" w:rsidR="00427A3A" w:rsidRPr="00427A3A" w:rsidRDefault="00427A3A">
      <w:pPr>
        <w:pStyle w:val="FootnoteText"/>
        <w:rPr>
          <w:lang w:val="en-US"/>
        </w:rPr>
      </w:pPr>
      <w:r>
        <w:rPr>
          <w:rStyle w:val="FootnoteReference"/>
        </w:rPr>
        <w:footnoteRef/>
      </w:r>
      <w:r>
        <w:t xml:space="preserve"> </w:t>
      </w:r>
      <w:r w:rsidRPr="00427A3A">
        <w:t>Age standardisation was used to make comparisons between population that may have different age structures, this is particularly important if examining an outcome where the risk is strongly related to age, such as being hospitalised.</w:t>
      </w:r>
    </w:p>
  </w:footnote>
  <w:footnote w:id="3">
    <w:p w14:paraId="48603A1C" w14:textId="4AB083D0" w:rsidR="00427A3A" w:rsidRPr="00427A3A" w:rsidRDefault="00427A3A">
      <w:pPr>
        <w:pStyle w:val="FootnoteText"/>
        <w:rPr>
          <w:lang w:val="en-US"/>
        </w:rPr>
      </w:pPr>
      <w:r>
        <w:rPr>
          <w:rStyle w:val="FootnoteReference"/>
        </w:rPr>
        <w:footnoteRef/>
      </w:r>
      <w:r>
        <w:t xml:space="preserve"> </w:t>
      </w:r>
      <w:r w:rsidRPr="00427A3A">
        <w:t>While definitions of disability vary, there in a consistent focus on how disabled people experience and interact with society and their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A0A" w14:textId="77777777" w:rsidR="003B6A4E" w:rsidRDefault="003B6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7327B0" w14:paraId="09DDDF99" w14:textId="77777777" w:rsidTr="00E9401A">
      <w:trPr>
        <w:cantSplit/>
      </w:trPr>
      <w:tc>
        <w:tcPr>
          <w:tcW w:w="5210" w:type="dxa"/>
          <w:vAlign w:val="center"/>
        </w:tcPr>
        <w:p w14:paraId="09DDDF97" w14:textId="77777777" w:rsidR="007327B0" w:rsidRDefault="007327B0" w:rsidP="00E9401A">
          <w:pPr>
            <w:pStyle w:val="Header"/>
          </w:pPr>
          <w:r>
            <w:rPr>
              <w:noProof/>
              <w:lang w:eastAsia="en-NZ"/>
            </w:rPr>
            <w:drawing>
              <wp:inline distT="0" distB="0" distL="0" distR="0" wp14:anchorId="09DDDFD1" wp14:editId="315BCB2E">
                <wp:extent cx="2075290" cy="539919"/>
                <wp:effectExtent l="0" t="0" r="127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1290" t="16015" r="62855" b="13256"/>
                        <a:stretch/>
                      </pic:blipFill>
                      <pic:spPr bwMode="auto">
                        <a:xfrm>
                          <a:off x="0" y="0"/>
                          <a:ext cx="2086844"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9DDDF98" w14:textId="77777777" w:rsidR="007327B0" w:rsidRDefault="007327B0" w:rsidP="00E9401A">
          <w:pPr>
            <w:pStyle w:val="Header"/>
            <w:jc w:val="right"/>
          </w:pPr>
          <w:r>
            <w:rPr>
              <w:noProof/>
              <w:lang w:eastAsia="en-NZ"/>
            </w:rPr>
            <w:drawing>
              <wp:anchor distT="0" distB="0" distL="114300" distR="114300" simplePos="0" relativeHeight="251659264" behindDoc="0" locked="0" layoutInCell="1" allowOverlap="1" wp14:anchorId="09DDDFD3" wp14:editId="0C430A6B">
                <wp:simplePos x="0" y="0"/>
                <wp:positionH relativeFrom="column">
                  <wp:posOffset>1418590</wp:posOffset>
                </wp:positionH>
                <wp:positionV relativeFrom="paragraph">
                  <wp:posOffset>-14605</wp:posOffset>
                </wp:positionV>
                <wp:extent cx="1391285" cy="715010"/>
                <wp:effectExtent l="0" t="0" r="0" b="889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3676" r="4424"/>
                        <a:stretch/>
                      </pic:blipFill>
                      <pic:spPr bwMode="auto">
                        <a:xfrm>
                          <a:off x="0" y="0"/>
                          <a:ext cx="1391285"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9DDDF9A" w14:textId="77777777" w:rsidR="00105770" w:rsidRPr="005718A6" w:rsidRDefault="0010577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C4BF" w14:textId="77777777" w:rsidR="003B6A4E" w:rsidRDefault="003B6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B0" w14:textId="77777777" w:rsidR="00105770" w:rsidRDefault="00105770" w:rsidP="00533B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B1" w14:textId="77777777" w:rsidR="00105770" w:rsidRDefault="00105770" w:rsidP="009001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6612" w14:textId="77777777" w:rsidR="00427A3A" w:rsidRDefault="00427A3A" w:rsidP="00533B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D088" w14:textId="77777777" w:rsidR="00427A3A" w:rsidRDefault="00427A3A"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64"/>
    <w:multiLevelType w:val="multilevel"/>
    <w:tmpl w:val="33B63C2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424"/>
        </w:tabs>
        <w:ind w:left="1066" w:hanging="357"/>
      </w:pPr>
      <w:rPr>
        <w:rFonts w:ascii="Symbol" w:hAnsi="Symbol" w:hint="default"/>
        <w:sz w:val="22"/>
        <w:vertAlign w:val="superscript"/>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623B1E"/>
    <w:multiLevelType w:val="hybridMultilevel"/>
    <w:tmpl w:val="4A3E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B64AE7"/>
    <w:multiLevelType w:val="hybridMultilevel"/>
    <w:tmpl w:val="7AF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5954F30"/>
    <w:multiLevelType w:val="hybridMultilevel"/>
    <w:tmpl w:val="4048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FA6483"/>
    <w:multiLevelType w:val="hybridMultilevel"/>
    <w:tmpl w:val="8394396E"/>
    <w:lvl w:ilvl="0" w:tplc="14090001">
      <w:start w:val="1"/>
      <w:numFmt w:val="bullet"/>
      <w:lvlText w:val=""/>
      <w:lvlJc w:val="left"/>
      <w:pPr>
        <w:ind w:left="790" w:hanging="360"/>
      </w:pPr>
      <w:rPr>
        <w:rFonts w:ascii="Symbol" w:hAnsi="Symbol"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7" w15:restartNumberingAfterBreak="0">
    <w:nsid w:val="076735CD"/>
    <w:multiLevelType w:val="hybridMultilevel"/>
    <w:tmpl w:val="8C505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8142377"/>
    <w:multiLevelType w:val="hybridMultilevel"/>
    <w:tmpl w:val="C02C123E"/>
    <w:lvl w:ilvl="0" w:tplc="78E449E2">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0C8C07BC"/>
    <w:multiLevelType w:val="hybridMultilevel"/>
    <w:tmpl w:val="ABA8FA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D8C5D5A"/>
    <w:multiLevelType w:val="multilevel"/>
    <w:tmpl w:val="2CD092E4"/>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1" w15:restartNumberingAfterBreak="0">
    <w:nsid w:val="12370A65"/>
    <w:multiLevelType w:val="multilevel"/>
    <w:tmpl w:val="14090029"/>
    <w:lvl w:ilvl="0">
      <w:start w:val="1"/>
      <w:numFmt w:val="decimal"/>
      <w:suff w:val="space"/>
      <w:lvlText w:val="Chapter %1"/>
      <w:lvlJc w:val="left"/>
      <w:pPr>
        <w:ind w:left="397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AD060F0"/>
    <w:multiLevelType w:val="multilevel"/>
    <w:tmpl w:val="8362BF2E"/>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3" w15:restartNumberingAfterBreak="0">
    <w:nsid w:val="1C39728D"/>
    <w:multiLevelType w:val="hybridMultilevel"/>
    <w:tmpl w:val="FD204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905CD6"/>
    <w:multiLevelType w:val="hybridMultilevel"/>
    <w:tmpl w:val="B16E5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A0626C"/>
    <w:multiLevelType w:val="multilevel"/>
    <w:tmpl w:val="1422C38A"/>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6" w15:restartNumberingAfterBreak="0">
    <w:nsid w:val="2F3E22D3"/>
    <w:multiLevelType w:val="multilevel"/>
    <w:tmpl w:val="758E542E"/>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7" w15:restartNumberingAfterBreak="0">
    <w:nsid w:val="30A971E0"/>
    <w:multiLevelType w:val="multilevel"/>
    <w:tmpl w:val="451837C8"/>
    <w:lvl w:ilvl="0">
      <w:start w:val="1"/>
      <w:numFmt w:val="decimal"/>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B6753"/>
    <w:multiLevelType w:val="multilevel"/>
    <w:tmpl w:val="CFA0ECD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9" w15:restartNumberingAfterBreak="0">
    <w:nsid w:val="35C46315"/>
    <w:multiLevelType w:val="hybridMultilevel"/>
    <w:tmpl w:val="98C66A74"/>
    <w:lvl w:ilvl="0" w:tplc="B4C469B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6F214BA"/>
    <w:multiLevelType w:val="multilevel"/>
    <w:tmpl w:val="9C9A3D3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o"/>
      <w:lvlJc w:val="left"/>
      <w:pPr>
        <w:tabs>
          <w:tab w:val="num" w:pos="1785"/>
        </w:tabs>
        <w:ind w:left="1428" w:hanging="357"/>
      </w:pPr>
      <w:rPr>
        <w:rFonts w:ascii="Courier New" w:hAnsi="Courier New" w:cs="Courier New"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1" w15:restartNumberingAfterBreak="0">
    <w:nsid w:val="3BBE233B"/>
    <w:multiLevelType w:val="multilevel"/>
    <w:tmpl w:val="050295E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264AA"/>
    <w:multiLevelType w:val="multilevel"/>
    <w:tmpl w:val="48462F1A"/>
    <w:lvl w:ilvl="0">
      <w:start w:val="1"/>
      <w:numFmt w:val="bullet"/>
      <w:lvlText w:val=""/>
      <w:lvlJc w:val="left"/>
      <w:pPr>
        <w:ind w:left="357" w:hanging="357"/>
      </w:pPr>
      <w:rPr>
        <w:rFonts w:ascii="Symbol" w:hAnsi="Symbol"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5" w15:restartNumberingAfterBreak="0">
    <w:nsid w:val="46A02079"/>
    <w:multiLevelType w:val="multilevel"/>
    <w:tmpl w:val="F910959A"/>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6" w15:restartNumberingAfterBreak="0">
    <w:nsid w:val="4F843D9E"/>
    <w:multiLevelType w:val="multilevel"/>
    <w:tmpl w:val="68EA507E"/>
    <w:lvl w:ilvl="0">
      <w:start w:val="1"/>
      <w:numFmt w:val="decimal"/>
      <w:suff w:val="nothing"/>
      <w:lvlText w:val="Chapter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8D26E9"/>
    <w:multiLevelType w:val="hybridMultilevel"/>
    <w:tmpl w:val="FB3CB93A"/>
    <w:lvl w:ilvl="0" w:tplc="39B8B2EC">
      <w:start w:val="1"/>
      <w:numFmt w:val="bullet"/>
      <w:lvlText w:val=""/>
      <w:lvlJc w:val="left"/>
      <w:pPr>
        <w:tabs>
          <w:tab w:val="num" w:pos="284"/>
        </w:tabs>
        <w:ind w:left="284" w:hanging="284"/>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51688"/>
    <w:multiLevelType w:val="hybridMultilevel"/>
    <w:tmpl w:val="204EC2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0FC17C7"/>
    <w:multiLevelType w:val="hybridMultilevel"/>
    <w:tmpl w:val="A13AA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5167D45"/>
    <w:multiLevelType w:val="hybridMultilevel"/>
    <w:tmpl w:val="3A80A0FC"/>
    <w:lvl w:ilvl="0" w:tplc="0E74F91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55E73FA0"/>
    <w:multiLevelType w:val="multilevel"/>
    <w:tmpl w:val="1AAA43B4"/>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2" w15:restartNumberingAfterBreak="0">
    <w:nsid w:val="59BE1EDB"/>
    <w:multiLevelType w:val="hybridMultilevel"/>
    <w:tmpl w:val="BBB6D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B441916"/>
    <w:multiLevelType w:val="multilevel"/>
    <w:tmpl w:val="33189EF0"/>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4" w15:restartNumberingAfterBreak="0">
    <w:nsid w:val="5C44586F"/>
    <w:multiLevelType w:val="multilevel"/>
    <w:tmpl w:val="DE3893F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5" w15:restartNumberingAfterBreak="0">
    <w:nsid w:val="5D8323CD"/>
    <w:multiLevelType w:val="multilevel"/>
    <w:tmpl w:val="41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834E8"/>
    <w:multiLevelType w:val="hybridMultilevel"/>
    <w:tmpl w:val="E8D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2320D"/>
    <w:multiLevelType w:val="hybridMultilevel"/>
    <w:tmpl w:val="C0029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0F2C85"/>
    <w:multiLevelType w:val="hybridMultilevel"/>
    <w:tmpl w:val="6A54B99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1272775"/>
    <w:multiLevelType w:val="hybridMultilevel"/>
    <w:tmpl w:val="FE12A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EA6977"/>
    <w:multiLevelType w:val="multilevel"/>
    <w:tmpl w:val="8848D1A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1"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42" w15:restartNumberingAfterBreak="0">
    <w:nsid w:val="7EE56D14"/>
    <w:multiLevelType w:val="multilevel"/>
    <w:tmpl w:val="D98A295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num w:numId="1">
    <w:abstractNumId w:val="41"/>
  </w:num>
  <w:num w:numId="2">
    <w:abstractNumId w:val="22"/>
  </w:num>
  <w:num w:numId="3">
    <w:abstractNumId w:val="23"/>
  </w:num>
  <w:num w:numId="4">
    <w:abstractNumId w:val="4"/>
  </w:num>
  <w:num w:numId="5">
    <w:abstractNumId w:val="1"/>
  </w:num>
  <w:num w:numId="6">
    <w:abstractNumId w:val="27"/>
  </w:num>
  <w:num w:numId="7">
    <w:abstractNumId w:val="35"/>
  </w:num>
  <w:num w:numId="8">
    <w:abstractNumId w:val="3"/>
  </w:num>
  <w:num w:numId="9">
    <w:abstractNumId w:val="36"/>
  </w:num>
  <w:num w:numId="10">
    <w:abstractNumId w:val="29"/>
  </w:num>
  <w:num w:numId="11">
    <w:abstractNumId w:val="15"/>
  </w:num>
  <w:num w:numId="12">
    <w:abstractNumId w:val="21"/>
  </w:num>
  <w:num w:numId="13">
    <w:abstractNumId w:val="0"/>
  </w:num>
  <w:num w:numId="14">
    <w:abstractNumId w:val="12"/>
  </w:num>
  <w:num w:numId="15">
    <w:abstractNumId w:val="19"/>
  </w:num>
  <w:num w:numId="16">
    <w:abstractNumId w:val="30"/>
  </w:num>
  <w:num w:numId="17">
    <w:abstractNumId w:val="8"/>
  </w:num>
  <w:num w:numId="18">
    <w:abstractNumId w:val="14"/>
  </w:num>
  <w:num w:numId="19">
    <w:abstractNumId w:val="9"/>
  </w:num>
  <w:num w:numId="20">
    <w:abstractNumId w:val="6"/>
  </w:num>
  <w:num w:numId="21">
    <w:abstractNumId w:val="39"/>
  </w:num>
  <w:num w:numId="22">
    <w:abstractNumId w:val="13"/>
  </w:num>
  <w:num w:numId="23">
    <w:abstractNumId w:val="37"/>
  </w:num>
  <w:num w:numId="24">
    <w:abstractNumId w:val="2"/>
  </w:num>
  <w:num w:numId="25">
    <w:abstractNumId w:val="7"/>
  </w:num>
  <w:num w:numId="26">
    <w:abstractNumId w:val="5"/>
  </w:num>
  <w:num w:numId="27">
    <w:abstractNumId w:val="32"/>
  </w:num>
  <w:num w:numId="28">
    <w:abstractNumId w:val="38"/>
  </w:num>
  <w:num w:numId="29">
    <w:abstractNumId w:val="18"/>
  </w:num>
  <w:num w:numId="30">
    <w:abstractNumId w:val="11"/>
  </w:num>
  <w:num w:numId="31">
    <w:abstractNumId w:val="28"/>
  </w:num>
  <w:num w:numId="32">
    <w:abstractNumId w:val="20"/>
  </w:num>
  <w:num w:numId="33">
    <w:abstractNumId w:val="42"/>
  </w:num>
  <w:num w:numId="34">
    <w:abstractNumId w:val="16"/>
  </w:num>
  <w:num w:numId="35">
    <w:abstractNumId w:val="34"/>
  </w:num>
  <w:num w:numId="36">
    <w:abstractNumId w:val="31"/>
  </w:num>
  <w:num w:numId="37">
    <w:abstractNumId w:val="40"/>
  </w:num>
  <w:num w:numId="38">
    <w:abstractNumId w:val="33"/>
  </w:num>
  <w:num w:numId="39">
    <w:abstractNumId w:val="24"/>
  </w:num>
  <w:num w:numId="40">
    <w:abstractNumId w:val="25"/>
  </w:num>
  <w:num w:numId="41">
    <w:abstractNumId w:val="10"/>
  </w:num>
  <w:num w:numId="42">
    <w:abstractNumId w:val="26"/>
  </w:num>
  <w:num w:numId="43">
    <w:abstractNumId w:val="1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06F0E"/>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E0BD4"/>
    <w:rsid w:val="000F1305"/>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23DF"/>
    <w:rsid w:val="001A5591"/>
    <w:rsid w:val="001A5CF5"/>
    <w:rsid w:val="001B39D2"/>
    <w:rsid w:val="001B4BF8"/>
    <w:rsid w:val="001B7B14"/>
    <w:rsid w:val="001C4326"/>
    <w:rsid w:val="001C665E"/>
    <w:rsid w:val="001D3541"/>
    <w:rsid w:val="001D3E4E"/>
    <w:rsid w:val="001E254A"/>
    <w:rsid w:val="001E7386"/>
    <w:rsid w:val="001F45A7"/>
    <w:rsid w:val="001F5E27"/>
    <w:rsid w:val="0020027C"/>
    <w:rsid w:val="00200906"/>
    <w:rsid w:val="00201A01"/>
    <w:rsid w:val="00203017"/>
    <w:rsid w:val="0020754B"/>
    <w:rsid w:val="002104D3"/>
    <w:rsid w:val="00213A33"/>
    <w:rsid w:val="0021763B"/>
    <w:rsid w:val="00232E9F"/>
    <w:rsid w:val="0024198F"/>
    <w:rsid w:val="00245748"/>
    <w:rsid w:val="00245EA4"/>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380A"/>
    <w:rsid w:val="002D0DF2"/>
    <w:rsid w:val="002D0E70"/>
    <w:rsid w:val="002D23BD"/>
    <w:rsid w:val="002E0B47"/>
    <w:rsid w:val="002F3585"/>
    <w:rsid w:val="002F3A0D"/>
    <w:rsid w:val="002F4685"/>
    <w:rsid w:val="002F7213"/>
    <w:rsid w:val="0030382F"/>
    <w:rsid w:val="0030408D"/>
    <w:rsid w:val="003060E4"/>
    <w:rsid w:val="003160E7"/>
    <w:rsid w:val="0031739E"/>
    <w:rsid w:val="00317DA3"/>
    <w:rsid w:val="00321381"/>
    <w:rsid w:val="003235C6"/>
    <w:rsid w:val="003309CA"/>
    <w:rsid w:val="003325AB"/>
    <w:rsid w:val="003332D1"/>
    <w:rsid w:val="0033412B"/>
    <w:rsid w:val="0033448B"/>
    <w:rsid w:val="00341161"/>
    <w:rsid w:val="00343365"/>
    <w:rsid w:val="00343C7C"/>
    <w:rsid w:val="003445F4"/>
    <w:rsid w:val="00347962"/>
    <w:rsid w:val="00353501"/>
    <w:rsid w:val="00353734"/>
    <w:rsid w:val="003538D4"/>
    <w:rsid w:val="0036065E"/>
    <w:rsid w:val="003606F8"/>
    <w:rsid w:val="003648EF"/>
    <w:rsid w:val="003673E6"/>
    <w:rsid w:val="00377264"/>
    <w:rsid w:val="003779D2"/>
    <w:rsid w:val="00385E38"/>
    <w:rsid w:val="003952F9"/>
    <w:rsid w:val="003A26A5"/>
    <w:rsid w:val="003A3761"/>
    <w:rsid w:val="003A512D"/>
    <w:rsid w:val="003A5FEA"/>
    <w:rsid w:val="003A710B"/>
    <w:rsid w:val="003B1D10"/>
    <w:rsid w:val="003B63EE"/>
    <w:rsid w:val="003B6A4E"/>
    <w:rsid w:val="003C310C"/>
    <w:rsid w:val="003C76D4"/>
    <w:rsid w:val="003D137D"/>
    <w:rsid w:val="003D2CC5"/>
    <w:rsid w:val="003D3E5C"/>
    <w:rsid w:val="003D59BB"/>
    <w:rsid w:val="003E04C1"/>
    <w:rsid w:val="003E0887"/>
    <w:rsid w:val="003E1098"/>
    <w:rsid w:val="003E74C8"/>
    <w:rsid w:val="003E74E2"/>
    <w:rsid w:val="003E7C46"/>
    <w:rsid w:val="003F0C46"/>
    <w:rsid w:val="003F192C"/>
    <w:rsid w:val="003F2106"/>
    <w:rsid w:val="003F52A7"/>
    <w:rsid w:val="003F7013"/>
    <w:rsid w:val="003F7F6A"/>
    <w:rsid w:val="0040240C"/>
    <w:rsid w:val="00413021"/>
    <w:rsid w:val="004146AC"/>
    <w:rsid w:val="00414C35"/>
    <w:rsid w:val="00416BD3"/>
    <w:rsid w:val="004171B7"/>
    <w:rsid w:val="00426BA5"/>
    <w:rsid w:val="00427A3A"/>
    <w:rsid w:val="004301C6"/>
    <w:rsid w:val="0043478F"/>
    <w:rsid w:val="00435A0B"/>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469A"/>
    <w:rsid w:val="004A4A79"/>
    <w:rsid w:val="004A778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1D"/>
    <w:rsid w:val="0050635B"/>
    <w:rsid w:val="005075B3"/>
    <w:rsid w:val="005151C2"/>
    <w:rsid w:val="005205B8"/>
    <w:rsid w:val="00524BB1"/>
    <w:rsid w:val="005275E8"/>
    <w:rsid w:val="005309FE"/>
    <w:rsid w:val="0053199F"/>
    <w:rsid w:val="00531E12"/>
    <w:rsid w:val="00533B90"/>
    <w:rsid w:val="005410F8"/>
    <w:rsid w:val="005448EC"/>
    <w:rsid w:val="00545963"/>
    <w:rsid w:val="00547721"/>
    <w:rsid w:val="00550256"/>
    <w:rsid w:val="00552B1F"/>
    <w:rsid w:val="00553165"/>
    <w:rsid w:val="00553958"/>
    <w:rsid w:val="00556BB7"/>
    <w:rsid w:val="0055763D"/>
    <w:rsid w:val="00561516"/>
    <w:rsid w:val="00562018"/>
    <w:rsid w:val="005621F2"/>
    <w:rsid w:val="00567B58"/>
    <w:rsid w:val="00571223"/>
    <w:rsid w:val="005718A6"/>
    <w:rsid w:val="00573548"/>
    <w:rsid w:val="005763E0"/>
    <w:rsid w:val="00581136"/>
    <w:rsid w:val="00581EB8"/>
    <w:rsid w:val="005839E7"/>
    <w:rsid w:val="0058437F"/>
    <w:rsid w:val="005A27CA"/>
    <w:rsid w:val="005A43BD"/>
    <w:rsid w:val="005A79E5"/>
    <w:rsid w:val="005D034C"/>
    <w:rsid w:val="005D2AFD"/>
    <w:rsid w:val="005D41CC"/>
    <w:rsid w:val="005D50B6"/>
    <w:rsid w:val="005E226E"/>
    <w:rsid w:val="005E2354"/>
    <w:rsid w:val="005E2636"/>
    <w:rsid w:val="00600DC6"/>
    <w:rsid w:val="006015D7"/>
    <w:rsid w:val="00601B21"/>
    <w:rsid w:val="006041F0"/>
    <w:rsid w:val="00605C6D"/>
    <w:rsid w:val="006120CA"/>
    <w:rsid w:val="0061424C"/>
    <w:rsid w:val="0061443A"/>
    <w:rsid w:val="006200F0"/>
    <w:rsid w:val="00624174"/>
    <w:rsid w:val="00626CF8"/>
    <w:rsid w:val="00630E6F"/>
    <w:rsid w:val="006314AF"/>
    <w:rsid w:val="00634003"/>
    <w:rsid w:val="00634ED8"/>
    <w:rsid w:val="00636D7D"/>
    <w:rsid w:val="00637408"/>
    <w:rsid w:val="006427DD"/>
    <w:rsid w:val="00642868"/>
    <w:rsid w:val="00647AFE"/>
    <w:rsid w:val="00650417"/>
    <w:rsid w:val="006512BC"/>
    <w:rsid w:val="00653A5A"/>
    <w:rsid w:val="006554AC"/>
    <w:rsid w:val="00656F28"/>
    <w:rsid w:val="006575F4"/>
    <w:rsid w:val="006579E6"/>
    <w:rsid w:val="00660682"/>
    <w:rsid w:val="0066083F"/>
    <w:rsid w:val="00660F74"/>
    <w:rsid w:val="00663EDC"/>
    <w:rsid w:val="00671078"/>
    <w:rsid w:val="006758CA"/>
    <w:rsid w:val="00680A04"/>
    <w:rsid w:val="0068276C"/>
    <w:rsid w:val="00684F73"/>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327B0"/>
    <w:rsid w:val="0073735B"/>
    <w:rsid w:val="00742B90"/>
    <w:rsid w:val="0074434D"/>
    <w:rsid w:val="00752E53"/>
    <w:rsid w:val="00755A1D"/>
    <w:rsid w:val="007570C4"/>
    <w:rsid w:val="007605B8"/>
    <w:rsid w:val="00760D6B"/>
    <w:rsid w:val="00771B1E"/>
    <w:rsid w:val="00773C95"/>
    <w:rsid w:val="0078171E"/>
    <w:rsid w:val="0078658E"/>
    <w:rsid w:val="007920E2"/>
    <w:rsid w:val="0079566E"/>
    <w:rsid w:val="00795B34"/>
    <w:rsid w:val="00797315"/>
    <w:rsid w:val="007979D9"/>
    <w:rsid w:val="007A067F"/>
    <w:rsid w:val="007B1770"/>
    <w:rsid w:val="007B4D3E"/>
    <w:rsid w:val="007B6224"/>
    <w:rsid w:val="007B7C70"/>
    <w:rsid w:val="007B7DEB"/>
    <w:rsid w:val="007C0449"/>
    <w:rsid w:val="007C43B6"/>
    <w:rsid w:val="007C5F01"/>
    <w:rsid w:val="007D2151"/>
    <w:rsid w:val="007D3B90"/>
    <w:rsid w:val="007D42CC"/>
    <w:rsid w:val="007D5DE4"/>
    <w:rsid w:val="007D7C3A"/>
    <w:rsid w:val="007E0777"/>
    <w:rsid w:val="007E1341"/>
    <w:rsid w:val="007E1B41"/>
    <w:rsid w:val="007E1EC4"/>
    <w:rsid w:val="007E30B9"/>
    <w:rsid w:val="007E54F1"/>
    <w:rsid w:val="007E74F1"/>
    <w:rsid w:val="007F0F0C"/>
    <w:rsid w:val="007F1288"/>
    <w:rsid w:val="007F3E11"/>
    <w:rsid w:val="00800A8A"/>
    <w:rsid w:val="0080155C"/>
    <w:rsid w:val="008052E1"/>
    <w:rsid w:val="00811EEB"/>
    <w:rsid w:val="0082081A"/>
    <w:rsid w:val="00822F2C"/>
    <w:rsid w:val="00823DEE"/>
    <w:rsid w:val="008305E8"/>
    <w:rsid w:val="00836165"/>
    <w:rsid w:val="008365B2"/>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3BB0"/>
    <w:rsid w:val="00886821"/>
    <w:rsid w:val="00886F64"/>
    <w:rsid w:val="008924DE"/>
    <w:rsid w:val="008A3755"/>
    <w:rsid w:val="008B19DC"/>
    <w:rsid w:val="008B264F"/>
    <w:rsid w:val="008B6F83"/>
    <w:rsid w:val="008B7FD8"/>
    <w:rsid w:val="008C11AC"/>
    <w:rsid w:val="008C1EEE"/>
    <w:rsid w:val="008C2973"/>
    <w:rsid w:val="008C6324"/>
    <w:rsid w:val="008C64C4"/>
    <w:rsid w:val="008D10F0"/>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5251"/>
    <w:rsid w:val="0090582B"/>
    <w:rsid w:val="009060C0"/>
    <w:rsid w:val="009133F5"/>
    <w:rsid w:val="0091756F"/>
    <w:rsid w:val="00920A27"/>
    <w:rsid w:val="00921216"/>
    <w:rsid w:val="009216CC"/>
    <w:rsid w:val="009220F3"/>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32B2"/>
    <w:rsid w:val="00977B8A"/>
    <w:rsid w:val="00982971"/>
    <w:rsid w:val="009845AD"/>
    <w:rsid w:val="00984835"/>
    <w:rsid w:val="009933EF"/>
    <w:rsid w:val="00995497"/>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20B2E"/>
    <w:rsid w:val="00A24F33"/>
    <w:rsid w:val="00A24F44"/>
    <w:rsid w:val="00A25069"/>
    <w:rsid w:val="00A26E6B"/>
    <w:rsid w:val="00A3068F"/>
    <w:rsid w:val="00A3145B"/>
    <w:rsid w:val="00A339D0"/>
    <w:rsid w:val="00A3415C"/>
    <w:rsid w:val="00A359A2"/>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35A"/>
    <w:rsid w:val="00AF372E"/>
    <w:rsid w:val="00AF7800"/>
    <w:rsid w:val="00B00CF5"/>
    <w:rsid w:val="00B0316C"/>
    <w:rsid w:val="00B072E0"/>
    <w:rsid w:val="00B1007E"/>
    <w:rsid w:val="00B13C0B"/>
    <w:rsid w:val="00B13D41"/>
    <w:rsid w:val="00B155FD"/>
    <w:rsid w:val="00B15F85"/>
    <w:rsid w:val="00B253F6"/>
    <w:rsid w:val="00B26675"/>
    <w:rsid w:val="00B305DB"/>
    <w:rsid w:val="00B332F8"/>
    <w:rsid w:val="00B3492B"/>
    <w:rsid w:val="00B44C72"/>
    <w:rsid w:val="00B4646F"/>
    <w:rsid w:val="00B47C82"/>
    <w:rsid w:val="00B54813"/>
    <w:rsid w:val="00B5566C"/>
    <w:rsid w:val="00B55C7D"/>
    <w:rsid w:val="00B62AD8"/>
    <w:rsid w:val="00B63038"/>
    <w:rsid w:val="00B6375A"/>
    <w:rsid w:val="00B64BD8"/>
    <w:rsid w:val="00B701D1"/>
    <w:rsid w:val="00B73AF2"/>
    <w:rsid w:val="00B73D79"/>
    <w:rsid w:val="00B7551A"/>
    <w:rsid w:val="00B773F1"/>
    <w:rsid w:val="00B86AB1"/>
    <w:rsid w:val="00B87726"/>
    <w:rsid w:val="00B91B22"/>
    <w:rsid w:val="00BA7EBA"/>
    <w:rsid w:val="00BB2A06"/>
    <w:rsid w:val="00BB2CBB"/>
    <w:rsid w:val="00BB4136"/>
    <w:rsid w:val="00BB4198"/>
    <w:rsid w:val="00BC03EE"/>
    <w:rsid w:val="00BC4182"/>
    <w:rsid w:val="00BC59F1"/>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6430"/>
    <w:rsid w:val="00C57C00"/>
    <w:rsid w:val="00C601AF"/>
    <w:rsid w:val="00C61A63"/>
    <w:rsid w:val="00C646BB"/>
    <w:rsid w:val="00C66296"/>
    <w:rsid w:val="00C7093C"/>
    <w:rsid w:val="00C7394D"/>
    <w:rsid w:val="00C756B7"/>
    <w:rsid w:val="00C77282"/>
    <w:rsid w:val="00C84DE5"/>
    <w:rsid w:val="00C86248"/>
    <w:rsid w:val="00C90B31"/>
    <w:rsid w:val="00C975A7"/>
    <w:rsid w:val="00CA0D6F"/>
    <w:rsid w:val="00CA4C33"/>
    <w:rsid w:val="00CA6F4A"/>
    <w:rsid w:val="00CB3483"/>
    <w:rsid w:val="00CB3915"/>
    <w:rsid w:val="00CB6427"/>
    <w:rsid w:val="00CC0FBE"/>
    <w:rsid w:val="00CC540A"/>
    <w:rsid w:val="00CC6EA4"/>
    <w:rsid w:val="00CD077C"/>
    <w:rsid w:val="00CD2119"/>
    <w:rsid w:val="00CD237A"/>
    <w:rsid w:val="00CD36AC"/>
    <w:rsid w:val="00CD7344"/>
    <w:rsid w:val="00CE07BA"/>
    <w:rsid w:val="00CE13A3"/>
    <w:rsid w:val="00CE36BC"/>
    <w:rsid w:val="00CF1747"/>
    <w:rsid w:val="00CF60ED"/>
    <w:rsid w:val="00D05D74"/>
    <w:rsid w:val="00D20C59"/>
    <w:rsid w:val="00D23323"/>
    <w:rsid w:val="00D2392A"/>
    <w:rsid w:val="00D25FFE"/>
    <w:rsid w:val="00D27922"/>
    <w:rsid w:val="00D27A64"/>
    <w:rsid w:val="00D37D80"/>
    <w:rsid w:val="00D442F3"/>
    <w:rsid w:val="00D44483"/>
    <w:rsid w:val="00D4476F"/>
    <w:rsid w:val="00D50573"/>
    <w:rsid w:val="00D54D50"/>
    <w:rsid w:val="00D560B4"/>
    <w:rsid w:val="00D659BF"/>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94469"/>
    <w:rsid w:val="00DA0232"/>
    <w:rsid w:val="00DA7F9E"/>
    <w:rsid w:val="00DB39CF"/>
    <w:rsid w:val="00DB7256"/>
    <w:rsid w:val="00DC0401"/>
    <w:rsid w:val="00DC20BD"/>
    <w:rsid w:val="00DC7C56"/>
    <w:rsid w:val="00DD0BCD"/>
    <w:rsid w:val="00DD447A"/>
    <w:rsid w:val="00DD61AE"/>
    <w:rsid w:val="00DE2860"/>
    <w:rsid w:val="00DE3B20"/>
    <w:rsid w:val="00DE6C94"/>
    <w:rsid w:val="00DE6FD7"/>
    <w:rsid w:val="00DF0C7C"/>
    <w:rsid w:val="00E064D9"/>
    <w:rsid w:val="00E10B18"/>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0CE"/>
    <w:rsid w:val="00E62238"/>
    <w:rsid w:val="00E65269"/>
    <w:rsid w:val="00E76A7B"/>
    <w:rsid w:val="00E76D66"/>
    <w:rsid w:val="00EA796A"/>
    <w:rsid w:val="00EB1856"/>
    <w:rsid w:val="00EC50CE"/>
    <w:rsid w:val="00EC5B34"/>
    <w:rsid w:val="00ED021E"/>
    <w:rsid w:val="00ED323C"/>
    <w:rsid w:val="00EE2D5C"/>
    <w:rsid w:val="00EE3826"/>
    <w:rsid w:val="00EE4ADE"/>
    <w:rsid w:val="00EE4DE8"/>
    <w:rsid w:val="00EE5CB7"/>
    <w:rsid w:val="00F000BF"/>
    <w:rsid w:val="00F022BD"/>
    <w:rsid w:val="00F024FE"/>
    <w:rsid w:val="00F05AD4"/>
    <w:rsid w:val="00F103BE"/>
    <w:rsid w:val="00F10EB6"/>
    <w:rsid w:val="00F13F07"/>
    <w:rsid w:val="00F140B2"/>
    <w:rsid w:val="00F16595"/>
    <w:rsid w:val="00F25970"/>
    <w:rsid w:val="00F311A9"/>
    <w:rsid w:val="00F31343"/>
    <w:rsid w:val="00F37381"/>
    <w:rsid w:val="00F5180D"/>
    <w:rsid w:val="00F54E74"/>
    <w:rsid w:val="00F5778C"/>
    <w:rsid w:val="00F63781"/>
    <w:rsid w:val="00F67496"/>
    <w:rsid w:val="00F7421E"/>
    <w:rsid w:val="00F801BA"/>
    <w:rsid w:val="00F807AD"/>
    <w:rsid w:val="00F86028"/>
    <w:rsid w:val="00F9366A"/>
    <w:rsid w:val="00F946C9"/>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DDF21"/>
  <w15:docId w15:val="{B3F8DCB8-B500-49EA-8BEE-A9BFED2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98F"/>
    <w:rPr>
      <w:rFonts w:ascii="Segoe UI" w:hAnsi="Segoe UI"/>
      <w:sz w:val="21"/>
      <w:lang w:eastAsia="en-GB"/>
    </w:rPr>
  </w:style>
  <w:style w:type="paragraph" w:styleId="Heading1">
    <w:name w:val="heading 1"/>
    <w:basedOn w:val="Normal"/>
    <w:next w:val="Normal"/>
    <w:link w:val="Heading1Char"/>
    <w:qFormat/>
    <w:rsid w:val="005D50B6"/>
    <w:pPr>
      <w:pageBreakBefore/>
      <w:spacing w:after="360"/>
      <w:outlineLvl w:val="0"/>
    </w:pPr>
    <w:rPr>
      <w:b/>
      <w:color w:val="1B83A0" w:themeColor="text1"/>
      <w:spacing w:val="-10"/>
      <w:sz w:val="72"/>
    </w:rPr>
  </w:style>
  <w:style w:type="paragraph" w:styleId="Heading2">
    <w:name w:val="heading 2"/>
    <w:basedOn w:val="Normal"/>
    <w:next w:val="Normal"/>
    <w:link w:val="Heading2Char"/>
    <w:qFormat/>
    <w:rsid w:val="00BB4136"/>
    <w:pPr>
      <w:keepNext/>
      <w:spacing w:before="480" w:after="180"/>
      <w:outlineLvl w:val="1"/>
    </w:pPr>
    <w:rPr>
      <w:b/>
      <w:color w:val="1B83A0" w:themeColor="text1"/>
      <w:spacing w:val="-5"/>
      <w:sz w:val="48"/>
    </w:rPr>
  </w:style>
  <w:style w:type="paragraph" w:styleId="Heading3">
    <w:name w:val="heading 3"/>
    <w:basedOn w:val="Normal"/>
    <w:next w:val="Normal"/>
    <w:link w:val="Heading3Char"/>
    <w:qFormat/>
    <w:rsid w:val="00BB4136"/>
    <w:pPr>
      <w:keepNext/>
      <w:numPr>
        <w:ilvl w:val="2"/>
        <w:numId w:val="5"/>
      </w:numPr>
      <w:spacing w:before="360" w:after="180"/>
      <w:outlineLvl w:val="2"/>
    </w:pPr>
    <w:rPr>
      <w:color w:val="1B83A0" w:themeColor="text1"/>
      <w:spacing w:val="-5"/>
      <w:sz w:val="36"/>
    </w:rPr>
  </w:style>
  <w:style w:type="paragraph" w:styleId="Heading4">
    <w:name w:val="heading 4"/>
    <w:basedOn w:val="Normal"/>
    <w:next w:val="Normal"/>
    <w:link w:val="Heading4Char"/>
    <w:qFormat/>
    <w:rsid w:val="00BB4136"/>
    <w:pPr>
      <w:keepNext/>
      <w:spacing w:before="240" w:after="120"/>
      <w:outlineLvl w:val="3"/>
    </w:pPr>
    <w:rPr>
      <w:color w:val="1B83A0" w:themeColor="text1"/>
      <w:spacing w:val="-5"/>
      <w:sz w:val="28"/>
    </w:rPr>
  </w:style>
  <w:style w:type="paragraph" w:styleId="Heading5">
    <w:name w:val="heading 5"/>
    <w:basedOn w:val="Normal"/>
    <w:next w:val="Normal"/>
    <w:link w:val="Heading5Char"/>
    <w:qFormat/>
    <w:rsid w:val="00BB4136"/>
    <w:pPr>
      <w:keepNext/>
      <w:spacing w:before="120" w:after="120"/>
      <w:outlineLvl w:val="4"/>
    </w:pPr>
    <w:rPr>
      <w:color w:val="1B83A0" w:themeColor="text1"/>
      <w:spacing w:val="-5"/>
      <w:sz w:val="22"/>
    </w:rPr>
  </w:style>
  <w:style w:type="paragraph" w:styleId="Heading6">
    <w:name w:val="heading 6"/>
    <w:basedOn w:val="Normal"/>
    <w:next w:val="Normal"/>
    <w:link w:val="Heading6Char"/>
    <w:unhideWhenUsed/>
    <w:qFormat/>
    <w:rsid w:val="00BB4136"/>
    <w:pPr>
      <w:keepNext/>
      <w:spacing w:before="120" w:after="120"/>
      <w:outlineLvl w:val="5"/>
    </w:pPr>
    <w:rPr>
      <w:rFonts w:eastAsia="MS Gothic"/>
      <w:iCs/>
      <w:color w:val="1B83A0" w:themeColor="text1"/>
      <w:spacing w:val="-5"/>
      <w:szCs w:val="24"/>
      <w:lang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50B6"/>
    <w:rPr>
      <w:rFonts w:ascii="Segoe UI" w:hAnsi="Segoe UI"/>
      <w:b/>
      <w:color w:val="1B83A0" w:themeColor="text1"/>
      <w:spacing w:val="-10"/>
      <w:sz w:val="72"/>
      <w:lang w:eastAsia="en-GB"/>
    </w:rPr>
  </w:style>
  <w:style w:type="character" w:customStyle="1" w:styleId="Heading2Char">
    <w:name w:val="Heading 2 Char"/>
    <w:link w:val="Heading2"/>
    <w:rsid w:val="00BB4136"/>
    <w:rPr>
      <w:rFonts w:ascii="Segoe UI" w:hAnsi="Segoe UI"/>
      <w:b/>
      <w:color w:val="1B83A0" w:themeColor="text1"/>
      <w:spacing w:val="-5"/>
      <w:sz w:val="48"/>
      <w:lang w:eastAsia="en-GB"/>
    </w:rPr>
  </w:style>
  <w:style w:type="character" w:customStyle="1" w:styleId="Heading3Char">
    <w:name w:val="Heading 3 Char"/>
    <w:link w:val="Heading3"/>
    <w:rsid w:val="00BB4136"/>
    <w:rPr>
      <w:rFonts w:ascii="Segoe UI" w:hAnsi="Segoe UI"/>
      <w:color w:val="1B83A0" w:themeColor="text1"/>
      <w:spacing w:val="-5"/>
      <w:sz w:val="36"/>
      <w:lang w:eastAsia="en-GB"/>
    </w:rPr>
  </w:style>
  <w:style w:type="character" w:customStyle="1" w:styleId="Heading4Char">
    <w:name w:val="Heading 4 Char"/>
    <w:link w:val="Heading4"/>
    <w:rsid w:val="00BB4136"/>
    <w:rPr>
      <w:rFonts w:ascii="Segoe UI" w:hAnsi="Segoe UI"/>
      <w:color w:val="1B83A0" w:themeColor="text1"/>
      <w:spacing w:val="-5"/>
      <w:sz w:val="28"/>
      <w:lang w:eastAsia="en-GB"/>
    </w:rPr>
  </w:style>
  <w:style w:type="character" w:customStyle="1" w:styleId="Heading5Char">
    <w:name w:val="Heading 5 Char"/>
    <w:link w:val="Heading5"/>
    <w:rsid w:val="00BB4136"/>
    <w:rPr>
      <w:rFonts w:ascii="Segoe UI" w:hAnsi="Segoe UI"/>
      <w:color w:val="1B83A0" w:themeColor="text1"/>
      <w:spacing w:val="-5"/>
      <w:sz w:val="22"/>
      <w:lang w:eastAsia="en-GB"/>
    </w:rPr>
  </w:style>
  <w:style w:type="character" w:customStyle="1" w:styleId="Heading6Char">
    <w:name w:val="Heading 6 Char"/>
    <w:basedOn w:val="DefaultParagraphFont"/>
    <w:link w:val="Heading6"/>
    <w:rsid w:val="00BB4136"/>
    <w:rPr>
      <w:rFonts w:ascii="Segoe UI" w:eastAsia="MS Gothic" w:hAnsi="Segoe UI"/>
      <w:iCs/>
      <w:color w:val="1B83A0" w:themeColor="text1"/>
      <w:spacing w:val="-5"/>
      <w:sz w:val="21"/>
      <w:szCs w:val="24"/>
      <w:lang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D50B6"/>
    <w:pPr>
      <w:spacing w:line="216" w:lineRule="auto"/>
      <w:ind w:left="709" w:right="567"/>
    </w:pPr>
    <w:rPr>
      <w:rFonts w:cs="Lucida Sans Unicode"/>
      <w:b/>
      <w:caps/>
      <w:color w:val="1B83A0" w:themeColor="text1"/>
      <w:sz w:val="72"/>
      <w:szCs w:val="72"/>
    </w:rPr>
  </w:style>
  <w:style w:type="character" w:customStyle="1" w:styleId="TitleChar">
    <w:name w:val="Title Char"/>
    <w:link w:val="Title"/>
    <w:rsid w:val="005D50B6"/>
    <w:rPr>
      <w:rFonts w:ascii="Segoe UI" w:hAnsi="Segoe UI" w:cs="Lucida Sans Unicode"/>
      <w:b/>
      <w:caps/>
      <w:color w:val="1B83A0" w:themeColor="text1"/>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4A469A"/>
    <w:pPr>
      <w:spacing w:before="360"/>
      <w:ind w:left="709"/>
    </w:pPr>
    <w:rPr>
      <w:rFonts w:cs="Segoe UI Semibold"/>
      <w:b/>
      <w:color w:val="1B83A0" w:themeColor="text1"/>
      <w:sz w:val="48"/>
      <w:szCs w:val="26"/>
    </w:rPr>
  </w:style>
  <w:style w:type="paragraph" w:customStyle="1" w:styleId="Year">
    <w:name w:val="Year"/>
    <w:basedOn w:val="Subhead"/>
    <w:next w:val="Subhead"/>
    <w:qFormat/>
    <w:rsid w:val="00D659BF"/>
    <w:pPr>
      <w:spacing w:before="720"/>
    </w:pPr>
    <w:rPr>
      <w:sz w:val="36"/>
    </w:rPr>
  </w:style>
  <w:style w:type="character" w:styleId="Hyperlink">
    <w:name w:val="Hyperlink"/>
    <w:uiPriority w:val="99"/>
    <w:rsid w:val="007327B0"/>
    <w:rPr>
      <w:b/>
      <w:color w:val="595959"/>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BB4136"/>
    <w:pPr>
      <w:numPr>
        <w:numId w:val="3"/>
      </w:numPr>
      <w:spacing w:before="0"/>
      <w:ind w:left="568" w:hanging="284"/>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numPr>
        <w:ilvl w:val="5"/>
        <w:numId w:val="5"/>
      </w:num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semiHidden/>
    <w:unhideWhenUsed/>
    <w:rsid w:val="0082081A"/>
    <w:rPr>
      <w:sz w:val="48"/>
    </w:rPr>
  </w:style>
  <w:style w:type="character" w:customStyle="1" w:styleId="CommentTextChar">
    <w:name w:val="Comment Text Char"/>
    <w:basedOn w:val="DefaultParagraphFont"/>
    <w:link w:val="CommentText"/>
    <w:uiPriority w:val="99"/>
    <w:semiHidden/>
    <w:rsid w:val="0082081A"/>
    <w:rPr>
      <w:rFonts w:ascii="Segoe UI" w:hAnsi="Segoe UI"/>
      <w:sz w:val="48"/>
      <w:lang w:eastAsia="en-GB"/>
    </w:rPr>
  </w:style>
  <w:style w:type="paragraph" w:styleId="CommentSubject">
    <w:name w:val="annotation subject"/>
    <w:basedOn w:val="CommentText"/>
    <w:next w:val="CommentText"/>
    <w:link w:val="CommentSubjectChar"/>
    <w:semiHidden/>
    <w:unhideWhenUsed/>
    <w:rsid w:val="0082081A"/>
    <w:rPr>
      <w:b/>
      <w:bCs/>
    </w:rPr>
  </w:style>
  <w:style w:type="character" w:customStyle="1" w:styleId="CommentSubjectChar">
    <w:name w:val="Comment Subject Char"/>
    <w:basedOn w:val="CommentTextChar"/>
    <w:link w:val="CommentSubject"/>
    <w:semiHidden/>
    <w:rsid w:val="0082081A"/>
    <w:rPr>
      <w:rFonts w:ascii="Segoe UI" w:hAnsi="Segoe UI"/>
      <w:b/>
      <w:bCs/>
      <w:sz w:val="48"/>
      <w:lang w:eastAsia="en-GB"/>
    </w:rPr>
  </w:style>
  <w:style w:type="table" w:styleId="TableGrid">
    <w:name w:val="Table Grid"/>
    <w:basedOn w:val="TableNormal"/>
    <w:uiPriority w:val="3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1">
    <w:name w:val="Appendix Heading 1"/>
    <w:basedOn w:val="Heading1"/>
    <w:next w:val="Normal"/>
    <w:qFormat/>
    <w:rsid w:val="009220F3"/>
    <w:rPr>
      <w:lang w:eastAsia="en-US"/>
    </w:rPr>
  </w:style>
  <w:style w:type="paragraph" w:styleId="Caption">
    <w:name w:val="caption"/>
    <w:basedOn w:val="Normal"/>
    <w:next w:val="Normal"/>
    <w:unhideWhenUsed/>
    <w:qFormat/>
    <w:rsid w:val="00427A3A"/>
    <w:pPr>
      <w:spacing w:after="200"/>
    </w:pPr>
    <w:rPr>
      <w:i/>
      <w:iCs/>
      <w:color w:val="23305D" w:themeColor="text2"/>
      <w:sz w:val="18"/>
      <w:szCs w:val="18"/>
    </w:rPr>
  </w:style>
  <w:style w:type="character" w:styleId="UnresolvedMention">
    <w:name w:val="Unresolved Mention"/>
    <w:basedOn w:val="DefaultParagraphFont"/>
    <w:uiPriority w:val="99"/>
    <w:semiHidden/>
    <w:unhideWhenUsed/>
    <w:rsid w:val="00245EA4"/>
    <w:rPr>
      <w:color w:val="605E5C"/>
      <w:shd w:val="clear" w:color="auto" w:fill="E1DFDD"/>
    </w:rPr>
  </w:style>
  <w:style w:type="character" w:styleId="FollowedHyperlink">
    <w:name w:val="FollowedHyperlink"/>
    <w:basedOn w:val="DefaultParagraphFont"/>
    <w:semiHidden/>
    <w:unhideWhenUsed/>
    <w:rsid w:val="00245EA4"/>
    <w:rPr>
      <w:color w:val="5959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s://static1.squarespace.com/static/599f868a579fb358f076d0a4/t/5fc43a83145a8629dc36b3d5/1606695571591/Counting+for+Something+November+2020.pdf"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10.png"/><Relationship Id="rId42" Type="http://schemas.openxmlformats.org/officeDocument/2006/relationships/hyperlink" Target="https://www.hqsc.govt.nz/resources/resource-library/the-health-care-experience-of-disabled-people-during-covid-19-summary-of-findings-from-the-covid-19-patient-experience-surve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7.xml"/><Relationship Id="rId33" Type="http://schemas.openxmlformats.org/officeDocument/2006/relationships/image" Target="media/image9.png"/><Relationship Id="rId38" Type="http://schemas.openxmlformats.org/officeDocument/2006/relationships/hyperlink" Target="https://www.stats.govt.nz/assets/Uploads/Disability-survey/Disability-survey-2013/Disability-survey-2013-additional-documents/Disability-Survey-2013.pdf" TargetMode="External"/><Relationship Id="rId2" Type="http://schemas.openxmlformats.org/officeDocument/2006/relationships/numbering" Target="numbering.xml"/><Relationship Id="rId16" Type="http://schemas.openxmlformats.org/officeDocument/2006/relationships/hyperlink" Target="http://www.health.govt.nz" TargetMode="Externa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hyperlink" Target="https://www.odi.govt.nz/guidance-and-resources/covid-19-data-analy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hyperlink" Target="https://www.stats.govt.nz/information-releases/wellbeing-statistics-december-2020-quarte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8.png"/><Relationship Id="rId35" Type="http://schemas.openxmlformats.org/officeDocument/2006/relationships/image" Target="media/image11.png"/><Relationship Id="rId43" Type="http://schemas.openxmlformats.org/officeDocument/2006/relationships/hyperlink" Target="https://www.odi.govt.nz/about-us/corporate-publications/"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7.png"/></Relationships>
</file>

<file path=word/_rels/footer12.xml.rels><?xml version="1.0" encoding="UTF-8" standalone="yes"?>
<Relationships xmlns="http://schemas.openxmlformats.org/package/2006/relationships"><Relationship Id="rId1" Type="http://schemas.openxmlformats.org/officeDocument/2006/relationships/image" Target="media/image7.png"/></Relationships>
</file>

<file path=word/_rels/footer13.xml.rels><?xml version="1.0" encoding="UTF-8" standalone="yes"?>
<Relationships xmlns="http://schemas.openxmlformats.org/package/2006/relationships"><Relationship Id="rId1" Type="http://schemas.openxmlformats.org/officeDocument/2006/relationships/image" Target="media/image7.png"/></Relationships>
</file>

<file path=word/_rels/footer14.xml.rels><?xml version="1.0" encoding="UTF-8" standalone="yes"?>
<Relationships xmlns="http://schemas.openxmlformats.org/package/2006/relationships"><Relationship Id="rId1" Type="http://schemas.openxmlformats.org/officeDocument/2006/relationships/image" Target="media/image7.png"/></Relationships>
</file>

<file path=word/_rels/footer1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footer9.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PHA">
      <a:dk1>
        <a:srgbClr val="1B83A0"/>
      </a:dk1>
      <a:lt1>
        <a:srgbClr val="4BAFB0"/>
      </a:lt1>
      <a:dk2>
        <a:srgbClr val="23305D"/>
      </a:dk2>
      <a:lt2>
        <a:srgbClr val="1F806A"/>
      </a:lt2>
      <a:accent1>
        <a:srgbClr val="ED6C77"/>
      </a:accent1>
      <a:accent2>
        <a:srgbClr val="181F1B"/>
      </a:accent2>
      <a:accent3>
        <a:srgbClr val="00A870"/>
      </a:accent3>
      <a:accent4>
        <a:srgbClr val="F7D345"/>
      </a:accent4>
      <a:accent5>
        <a:srgbClr val="E9D1C0"/>
      </a:accent5>
      <a:accent6>
        <a:srgbClr val="1B83A0"/>
      </a:accent6>
      <a:hlink>
        <a:srgbClr val="595959"/>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F726-5FE5-445D-9EFF-165F64AD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16</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Risk Among Disabled People</dc:title>
  <dc:creator>Ministry of Health</dc:creator>
  <cp:lastModifiedBy>Ministry of Health</cp:lastModifiedBy>
  <cp:revision>3</cp:revision>
  <cp:lastPrinted>2023-03-06T20:26:00Z</cp:lastPrinted>
  <dcterms:created xsi:type="dcterms:W3CDTF">2023-03-15T02:42:00Z</dcterms:created>
  <dcterms:modified xsi:type="dcterms:W3CDTF">2023-03-15T02:43:00Z</dcterms:modified>
</cp:coreProperties>
</file>