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CD9" w:rsidRPr="008C2DE9" w:rsidRDefault="008D5CD9" w:rsidP="004B4B2B">
      <w:pPr>
        <w:pStyle w:val="Heading1"/>
      </w:pPr>
      <w:bookmarkStart w:id="0" w:name="_Toc111173195"/>
      <w:bookmarkStart w:id="1" w:name="_Toc112306482"/>
      <w:bookmarkStart w:id="2" w:name="_Toc114287559"/>
      <w:bookmarkStart w:id="3" w:name="_Toc115188196"/>
      <w:bookmarkStart w:id="4" w:name="_Toc118514380"/>
      <w:bookmarkStart w:id="5" w:name="_Toc110071692"/>
      <w:bookmarkStart w:id="6" w:name="_Toc110072564"/>
      <w:bookmarkStart w:id="7" w:name="_Toc138735614"/>
      <w:bookmarkStart w:id="8" w:name="_Toc139335927"/>
      <w:bookmarkStart w:id="9" w:name="_Toc362526401"/>
      <w:bookmarkStart w:id="10" w:name="_Regulatory_Impact_Statement"/>
      <w:bookmarkStart w:id="11" w:name="_Toc244580362"/>
      <w:bookmarkStart w:id="12" w:name="_Toc244587038"/>
      <w:bookmarkStart w:id="13" w:name="_Toc244857272"/>
      <w:bookmarkStart w:id="14" w:name="_Toc244912537"/>
      <w:bookmarkStart w:id="15" w:name="_Toc244916994"/>
      <w:bookmarkStart w:id="16" w:name="_Toc362368102"/>
      <w:bookmarkStart w:id="17" w:name="_Toc362940592"/>
      <w:bookmarkStart w:id="18" w:name="_Toc363047100"/>
      <w:bookmarkEnd w:id="10"/>
      <w:r w:rsidRPr="008C2DE9">
        <w:t>Regulatory Impact Statement</w:t>
      </w:r>
      <w:bookmarkEnd w:id="11"/>
      <w:bookmarkEnd w:id="12"/>
      <w:bookmarkEnd w:id="13"/>
      <w:bookmarkEnd w:id="14"/>
      <w:bookmarkEnd w:id="15"/>
      <w:bookmarkEnd w:id="16"/>
      <w:bookmarkEnd w:id="17"/>
      <w:bookmarkEnd w:id="18"/>
    </w:p>
    <w:p w:rsidR="008D5CD9" w:rsidRPr="008C2DE9" w:rsidRDefault="00923E32" w:rsidP="00131FB7">
      <w:pPr>
        <w:spacing w:after="0" w:line="240" w:lineRule="auto"/>
      </w:pPr>
      <w:r>
        <w:t xml:space="preserve">Therapeutic Products Regulation – Replacement of </w:t>
      </w:r>
      <w:r w:rsidR="00DA35C5">
        <w:t xml:space="preserve">the </w:t>
      </w:r>
      <w:r>
        <w:t xml:space="preserve">Medicines Act 1981 and </w:t>
      </w:r>
      <w:r w:rsidR="00DA35C5">
        <w:t xml:space="preserve">the </w:t>
      </w:r>
      <w:r>
        <w:t xml:space="preserve">Medicines Regulations 1984 with </w:t>
      </w:r>
      <w:r w:rsidR="00DA35C5">
        <w:t xml:space="preserve">a </w:t>
      </w:r>
      <w:r>
        <w:t xml:space="preserve">new </w:t>
      </w:r>
      <w:r w:rsidR="00DA35C5">
        <w:t>l</w:t>
      </w:r>
      <w:r>
        <w:t xml:space="preserve">egislative </w:t>
      </w:r>
      <w:r w:rsidR="00DA35C5">
        <w:t>s</w:t>
      </w:r>
      <w:r>
        <w:t>cheme</w:t>
      </w:r>
      <w:r w:rsidR="001B1D5C">
        <w:t xml:space="preserve"> for therapeutic</w:t>
      </w:r>
      <w:r w:rsidR="00DA35C5">
        <w:t xml:space="preserve"> products.</w:t>
      </w:r>
    </w:p>
    <w:p w:rsidR="008D5CD9" w:rsidRPr="00082653" w:rsidRDefault="008D5CD9" w:rsidP="0088541D">
      <w:pPr>
        <w:pStyle w:val="Heading2"/>
      </w:pPr>
      <w:bookmarkStart w:id="19" w:name="_Toc362434943"/>
      <w:bookmarkStart w:id="20" w:name="_Toc362589329"/>
      <w:bookmarkStart w:id="21" w:name="_Toc362619029"/>
      <w:bookmarkStart w:id="22" w:name="_Toc362940593"/>
      <w:bookmarkStart w:id="23" w:name="_Toc363047101"/>
      <w:r w:rsidRPr="00082653">
        <w:t>Agency Disclosure Statement</w:t>
      </w:r>
      <w:bookmarkEnd w:id="19"/>
      <w:bookmarkEnd w:id="20"/>
      <w:bookmarkEnd w:id="21"/>
      <w:bookmarkEnd w:id="22"/>
      <w:bookmarkEnd w:id="23"/>
      <w:r w:rsidRPr="00082653">
        <w:t xml:space="preserve"> </w:t>
      </w:r>
    </w:p>
    <w:p w:rsidR="008D5CD9" w:rsidRPr="00923E32" w:rsidRDefault="008D5CD9" w:rsidP="00E236BA">
      <w:pPr>
        <w:pStyle w:val="ListParagraph"/>
        <w:spacing w:after="0" w:line="240" w:lineRule="auto"/>
        <w:ind w:left="0" w:right="170"/>
        <w:contextualSpacing w:val="0"/>
        <w:rPr>
          <w:rFonts w:cs="Arial"/>
        </w:rPr>
      </w:pPr>
      <w:r w:rsidRPr="00923E32">
        <w:rPr>
          <w:rFonts w:cs="Arial"/>
        </w:rPr>
        <w:t xml:space="preserve">This Regulatory Impact Statement </w:t>
      </w:r>
      <w:r w:rsidR="00F0678A">
        <w:rPr>
          <w:rFonts w:cs="Arial"/>
        </w:rPr>
        <w:t xml:space="preserve">(RIS) </w:t>
      </w:r>
      <w:r w:rsidRPr="00923E32">
        <w:rPr>
          <w:rFonts w:cs="Arial"/>
        </w:rPr>
        <w:t xml:space="preserve">has been prepared by </w:t>
      </w:r>
      <w:r w:rsidR="00923E32">
        <w:rPr>
          <w:rFonts w:cs="Arial"/>
        </w:rPr>
        <w:t>the Ministry of Health</w:t>
      </w:r>
      <w:r w:rsidRPr="00923E32">
        <w:rPr>
          <w:rFonts w:cs="Arial"/>
        </w:rPr>
        <w:t xml:space="preserve">. </w:t>
      </w:r>
    </w:p>
    <w:p w:rsidR="00D60ECE" w:rsidRDefault="00D60ECE" w:rsidP="00E236BA">
      <w:pPr>
        <w:pStyle w:val="ListParagraph"/>
        <w:spacing w:after="0" w:line="240" w:lineRule="auto"/>
        <w:ind w:left="0" w:right="170"/>
        <w:contextualSpacing w:val="0"/>
        <w:rPr>
          <w:rFonts w:cs="Arial"/>
        </w:rPr>
      </w:pPr>
    </w:p>
    <w:p w:rsidR="000B3D82" w:rsidRDefault="008D5CD9" w:rsidP="00E236BA">
      <w:pPr>
        <w:pStyle w:val="ListParagraph"/>
        <w:spacing w:after="0" w:line="240" w:lineRule="auto"/>
        <w:ind w:left="0" w:right="170"/>
        <w:contextualSpacing w:val="0"/>
        <w:rPr>
          <w:rFonts w:cs="Arial"/>
        </w:rPr>
      </w:pPr>
      <w:r w:rsidRPr="00923E32">
        <w:rPr>
          <w:rFonts w:cs="Arial"/>
        </w:rPr>
        <w:t xml:space="preserve">It </w:t>
      </w:r>
      <w:r w:rsidR="000B3D82">
        <w:rPr>
          <w:rFonts w:cs="Arial"/>
        </w:rPr>
        <w:t xml:space="preserve">is associated with two Cabinet papers on Therapeutic Products Regulation: Paper 1 –Context and Overview; and Paper 2 – </w:t>
      </w:r>
      <w:r w:rsidR="002C45FE">
        <w:rPr>
          <w:rFonts w:cs="Arial"/>
        </w:rPr>
        <w:t>Proposals</w:t>
      </w:r>
      <w:r w:rsidR="000B3D82">
        <w:rPr>
          <w:rFonts w:cs="Arial"/>
        </w:rPr>
        <w:t xml:space="preserve"> for a Therapeutic Products Bill.</w:t>
      </w:r>
    </w:p>
    <w:p w:rsidR="000B3D82" w:rsidRDefault="000B3D82" w:rsidP="00E236BA">
      <w:pPr>
        <w:pStyle w:val="ListParagraph"/>
        <w:spacing w:after="0" w:line="240" w:lineRule="auto"/>
        <w:ind w:left="0" w:right="170"/>
        <w:contextualSpacing w:val="0"/>
        <w:rPr>
          <w:rFonts w:cs="Arial"/>
        </w:rPr>
      </w:pPr>
    </w:p>
    <w:p w:rsidR="008D5CD9" w:rsidRDefault="000B3D82" w:rsidP="00E236BA">
      <w:pPr>
        <w:pStyle w:val="ListParagraph"/>
        <w:spacing w:after="0" w:line="240" w:lineRule="auto"/>
        <w:ind w:left="0" w:right="170"/>
        <w:contextualSpacing w:val="0"/>
        <w:rPr>
          <w:rFonts w:cs="Arial"/>
        </w:rPr>
      </w:pPr>
      <w:r>
        <w:rPr>
          <w:rFonts w:cs="Arial"/>
        </w:rPr>
        <w:t xml:space="preserve">The RIS </w:t>
      </w:r>
      <w:r w:rsidR="008D5CD9" w:rsidRPr="00923E32">
        <w:rPr>
          <w:rFonts w:cs="Arial"/>
        </w:rPr>
        <w:t xml:space="preserve">provides an analysis of options to </w:t>
      </w:r>
      <w:r w:rsidR="00923E32">
        <w:rPr>
          <w:rFonts w:cs="Arial"/>
        </w:rPr>
        <w:t xml:space="preserve">change the regulation of </w:t>
      </w:r>
      <w:r w:rsidR="00DA35C5">
        <w:rPr>
          <w:rFonts w:cs="Arial"/>
        </w:rPr>
        <w:t>therapeutic products</w:t>
      </w:r>
      <w:r w:rsidR="0023656B">
        <w:rPr>
          <w:rFonts w:cs="Arial"/>
        </w:rPr>
        <w:t xml:space="preserve">.  These </w:t>
      </w:r>
      <w:r w:rsidR="00DA35C5">
        <w:rPr>
          <w:rFonts w:cs="Arial"/>
        </w:rPr>
        <w:t xml:space="preserve">include </w:t>
      </w:r>
      <w:r w:rsidR="00923E32">
        <w:rPr>
          <w:rFonts w:cs="Arial"/>
        </w:rPr>
        <w:t xml:space="preserve">medicines, </w:t>
      </w:r>
      <w:r w:rsidR="002C45FE">
        <w:rPr>
          <w:rFonts w:cs="Arial"/>
        </w:rPr>
        <w:t xml:space="preserve">medical </w:t>
      </w:r>
      <w:r w:rsidR="00923E32">
        <w:rPr>
          <w:rFonts w:cs="Arial"/>
        </w:rPr>
        <w:t xml:space="preserve">devices, and </w:t>
      </w:r>
      <w:r w:rsidR="00A86133">
        <w:rPr>
          <w:rFonts w:cs="Arial"/>
        </w:rPr>
        <w:t>cell and tissue the</w:t>
      </w:r>
      <w:r w:rsidR="0023656B">
        <w:rPr>
          <w:rFonts w:cs="Arial"/>
        </w:rPr>
        <w:t xml:space="preserve">rapies and combinations thereof.  The purpose of change is </w:t>
      </w:r>
      <w:r w:rsidR="00923E32">
        <w:rPr>
          <w:rFonts w:cs="Arial"/>
        </w:rPr>
        <w:t xml:space="preserve">to </w:t>
      </w:r>
      <w:r w:rsidR="002C45FE">
        <w:rPr>
          <w:rFonts w:cs="Arial"/>
        </w:rPr>
        <w:t xml:space="preserve">advance coverage, </w:t>
      </w:r>
      <w:r w:rsidR="00923E32">
        <w:rPr>
          <w:rFonts w:cs="Arial"/>
        </w:rPr>
        <w:t>safety, quality</w:t>
      </w:r>
      <w:r w:rsidR="001B1D5C">
        <w:rPr>
          <w:rFonts w:cs="Arial"/>
        </w:rPr>
        <w:t xml:space="preserve"> and access objectives</w:t>
      </w:r>
      <w:r w:rsidR="008D5CD9" w:rsidRPr="00923E32">
        <w:rPr>
          <w:rFonts w:cs="Arial"/>
        </w:rPr>
        <w:t xml:space="preserve">. </w:t>
      </w:r>
    </w:p>
    <w:p w:rsidR="00D60ECE" w:rsidRDefault="00D60ECE" w:rsidP="00E236BA">
      <w:pPr>
        <w:pStyle w:val="ListParagraph"/>
        <w:spacing w:after="0" w:line="240" w:lineRule="auto"/>
        <w:ind w:left="0" w:right="170"/>
        <w:contextualSpacing w:val="0"/>
        <w:rPr>
          <w:rFonts w:cs="Arial"/>
        </w:rPr>
      </w:pPr>
    </w:p>
    <w:p w:rsidR="00AC42CB" w:rsidRDefault="00AC42CB" w:rsidP="00E236BA">
      <w:pPr>
        <w:pStyle w:val="ListParagraph"/>
        <w:spacing w:after="0" w:line="240" w:lineRule="auto"/>
        <w:ind w:left="0" w:right="170"/>
        <w:contextualSpacing w:val="0"/>
        <w:rPr>
          <w:rFonts w:cs="Arial"/>
        </w:rPr>
      </w:pPr>
      <w:r>
        <w:rPr>
          <w:rFonts w:cs="Arial"/>
        </w:rPr>
        <w:t xml:space="preserve">A key aspect of the proposed regime is the devolution of power to enable the regulator to </w:t>
      </w:r>
      <w:r w:rsidR="00A86133">
        <w:rPr>
          <w:rFonts w:cs="Arial"/>
        </w:rPr>
        <w:t xml:space="preserve">set requirements relating to the </w:t>
      </w:r>
      <w:r>
        <w:rPr>
          <w:rFonts w:cs="Arial"/>
        </w:rPr>
        <w:t>approv</w:t>
      </w:r>
      <w:r w:rsidR="00A86133">
        <w:rPr>
          <w:rFonts w:cs="Arial"/>
        </w:rPr>
        <w:t>al of</w:t>
      </w:r>
      <w:r>
        <w:rPr>
          <w:rFonts w:cs="Arial"/>
        </w:rPr>
        <w:t xml:space="preserve"> products and </w:t>
      </w:r>
      <w:r w:rsidR="00A86133">
        <w:rPr>
          <w:rFonts w:cs="Arial"/>
        </w:rPr>
        <w:t xml:space="preserve">the licensing of </w:t>
      </w:r>
      <w:r>
        <w:rPr>
          <w:rFonts w:cs="Arial"/>
        </w:rPr>
        <w:t>activities on a product life-cycle and risk-proportionate basis.  This would be supported by a clear and principled legislative mandate with robust accountability for the regulator’s organisational performance and its regulatory decisions.</w:t>
      </w:r>
    </w:p>
    <w:p w:rsidR="00AC42CB" w:rsidRDefault="00AC42CB" w:rsidP="00E236BA">
      <w:pPr>
        <w:pStyle w:val="ListParagraph"/>
        <w:spacing w:after="0" w:line="240" w:lineRule="auto"/>
        <w:ind w:left="0" w:right="170"/>
        <w:contextualSpacing w:val="0"/>
        <w:rPr>
          <w:rFonts w:cs="Arial"/>
        </w:rPr>
      </w:pPr>
    </w:p>
    <w:p w:rsidR="00752E56" w:rsidRDefault="00AF16AF" w:rsidP="00E236BA">
      <w:pPr>
        <w:pStyle w:val="ListParagraph"/>
        <w:spacing w:after="0" w:line="240" w:lineRule="auto"/>
        <w:ind w:left="0" w:right="170"/>
        <w:contextualSpacing w:val="0"/>
        <w:rPr>
          <w:rFonts w:cs="Arial"/>
          <w:lang w:val="en-NZ"/>
        </w:rPr>
      </w:pPr>
      <w:r>
        <w:rPr>
          <w:rFonts w:cs="Arial"/>
        </w:rPr>
        <w:t>There are limitations on the extent to which the impacts of the pr</w:t>
      </w:r>
      <w:r w:rsidR="00752E56">
        <w:rPr>
          <w:rFonts w:cs="Arial"/>
        </w:rPr>
        <w:t xml:space="preserve">oposals </w:t>
      </w:r>
      <w:r>
        <w:rPr>
          <w:rFonts w:cs="Arial"/>
        </w:rPr>
        <w:t>can be assessed</w:t>
      </w:r>
      <w:r w:rsidR="00C633BB">
        <w:rPr>
          <w:rFonts w:cs="Arial"/>
        </w:rPr>
        <w:t xml:space="preserve"> specifically or quantitatively</w:t>
      </w:r>
      <w:r>
        <w:rPr>
          <w:rFonts w:cs="Arial"/>
        </w:rPr>
        <w:t>.  This reflects</w:t>
      </w:r>
      <w:r w:rsidR="00FE4AE9">
        <w:rPr>
          <w:rFonts w:cs="Arial"/>
        </w:rPr>
        <w:t xml:space="preserve"> a</w:t>
      </w:r>
      <w:r w:rsidR="00C633BB">
        <w:rPr>
          <w:rFonts w:cs="Arial"/>
        </w:rPr>
        <w:t xml:space="preserve"> lack of information on some products and their risk profiles</w:t>
      </w:r>
      <w:r w:rsidR="00752E56">
        <w:rPr>
          <w:rFonts w:cs="Arial"/>
        </w:rPr>
        <w:t xml:space="preserve">; </w:t>
      </w:r>
      <w:r w:rsidR="00B8139A">
        <w:rPr>
          <w:rFonts w:cs="Arial"/>
        </w:rPr>
        <w:t xml:space="preserve">that </w:t>
      </w:r>
      <w:r w:rsidR="00C633BB">
        <w:rPr>
          <w:rFonts w:cs="Arial"/>
        </w:rPr>
        <w:t xml:space="preserve">the specific regulatory approach </w:t>
      </w:r>
      <w:r w:rsidR="00B8139A">
        <w:rPr>
          <w:rFonts w:cs="Arial"/>
        </w:rPr>
        <w:t xml:space="preserve">in new areas </w:t>
      </w:r>
      <w:r w:rsidR="00752E56">
        <w:rPr>
          <w:rFonts w:cs="Arial"/>
        </w:rPr>
        <w:t xml:space="preserve">has still to be developed </w:t>
      </w:r>
      <w:r w:rsidR="00C633BB">
        <w:rPr>
          <w:rFonts w:cs="Arial"/>
        </w:rPr>
        <w:t>by the regulator</w:t>
      </w:r>
      <w:r w:rsidR="00752E56">
        <w:rPr>
          <w:rFonts w:cs="Arial"/>
        </w:rPr>
        <w:t>; and that t</w:t>
      </w:r>
      <w:r w:rsidR="00752E56">
        <w:rPr>
          <w:rFonts w:cs="Arial"/>
          <w:lang w:val="en-NZ"/>
        </w:rPr>
        <w:t>he timetable for the development and implementation of the new regime is staged over several years</w:t>
      </w:r>
      <w:r w:rsidR="0023656B">
        <w:rPr>
          <w:rFonts w:cs="Arial"/>
          <w:lang w:val="en-NZ"/>
        </w:rPr>
        <w:t xml:space="preserve">.  This </w:t>
      </w:r>
      <w:r w:rsidR="00752E56">
        <w:rPr>
          <w:rFonts w:cs="Arial"/>
          <w:lang w:val="en-NZ"/>
        </w:rPr>
        <w:t>involv</w:t>
      </w:r>
      <w:r w:rsidR="0023656B">
        <w:rPr>
          <w:rFonts w:cs="Arial"/>
          <w:lang w:val="en-NZ"/>
        </w:rPr>
        <w:t xml:space="preserve">es </w:t>
      </w:r>
      <w:r w:rsidR="00752E56">
        <w:rPr>
          <w:rFonts w:cs="Arial"/>
          <w:lang w:val="en-NZ"/>
        </w:rPr>
        <w:t xml:space="preserve">the preparation of an exposure draft, consultation on the draft before the </w:t>
      </w:r>
      <w:r w:rsidR="00E47C68">
        <w:rPr>
          <w:rFonts w:cs="Arial"/>
          <w:lang w:val="en-NZ"/>
        </w:rPr>
        <w:t>B</w:t>
      </w:r>
      <w:r w:rsidR="00752E56">
        <w:rPr>
          <w:rFonts w:cs="Arial"/>
          <w:lang w:val="en-NZ"/>
        </w:rPr>
        <w:t>ill is introduced</w:t>
      </w:r>
      <w:r w:rsidR="00035F3E">
        <w:rPr>
          <w:rFonts w:cs="Arial"/>
          <w:lang w:val="en-NZ"/>
        </w:rPr>
        <w:t xml:space="preserve">, </w:t>
      </w:r>
      <w:r w:rsidR="00E47C68">
        <w:rPr>
          <w:rFonts w:cs="Arial"/>
          <w:lang w:val="en-NZ"/>
        </w:rPr>
        <w:t>the development of regulations and other tertiary instruments</w:t>
      </w:r>
      <w:r w:rsidR="0023656B">
        <w:rPr>
          <w:rFonts w:cs="Arial"/>
          <w:lang w:val="en-NZ"/>
        </w:rPr>
        <w:t>,</w:t>
      </w:r>
      <w:r w:rsidR="00E47C68">
        <w:rPr>
          <w:rFonts w:cs="Arial"/>
          <w:lang w:val="en-NZ"/>
        </w:rPr>
        <w:t xml:space="preserve"> and an </w:t>
      </w:r>
      <w:r w:rsidR="00752E56">
        <w:rPr>
          <w:rFonts w:cs="Arial"/>
          <w:lang w:val="en-NZ"/>
        </w:rPr>
        <w:t>extensive transition</w:t>
      </w:r>
      <w:r w:rsidR="00035F3E">
        <w:rPr>
          <w:rFonts w:cs="Arial"/>
          <w:lang w:val="en-NZ"/>
        </w:rPr>
        <w:t xml:space="preserve"> after enactment</w:t>
      </w:r>
      <w:r w:rsidR="00752E56">
        <w:rPr>
          <w:rFonts w:cs="Arial"/>
          <w:lang w:val="en-NZ"/>
        </w:rPr>
        <w:t xml:space="preserve">.  </w:t>
      </w:r>
    </w:p>
    <w:p w:rsidR="00C633BB" w:rsidRDefault="00C633BB" w:rsidP="00E236BA">
      <w:pPr>
        <w:pStyle w:val="ListParagraph"/>
        <w:spacing w:after="0" w:line="240" w:lineRule="auto"/>
        <w:ind w:left="0" w:right="170"/>
        <w:contextualSpacing w:val="0"/>
        <w:rPr>
          <w:rFonts w:cs="Arial"/>
        </w:rPr>
      </w:pPr>
    </w:p>
    <w:p w:rsidR="00244932" w:rsidRDefault="00C633BB" w:rsidP="00E236BA">
      <w:pPr>
        <w:pStyle w:val="ListParagraph"/>
        <w:spacing w:after="0" w:line="240" w:lineRule="auto"/>
        <w:ind w:left="0" w:right="170"/>
        <w:contextualSpacing w:val="0"/>
        <w:rPr>
          <w:rFonts w:cs="Arial"/>
        </w:rPr>
      </w:pPr>
      <w:r>
        <w:rPr>
          <w:rFonts w:cs="Arial"/>
        </w:rPr>
        <w:t>The overall imp</w:t>
      </w:r>
      <w:r w:rsidR="000B3D82">
        <w:rPr>
          <w:rFonts w:cs="Arial"/>
        </w:rPr>
        <w:t>lications</w:t>
      </w:r>
      <w:r w:rsidR="007F250A">
        <w:rPr>
          <w:rFonts w:cs="Arial"/>
        </w:rPr>
        <w:t xml:space="preserve"> long term</w:t>
      </w:r>
      <w:r w:rsidR="0023656B">
        <w:rPr>
          <w:rFonts w:cs="Arial"/>
        </w:rPr>
        <w:t xml:space="preserve"> </w:t>
      </w:r>
      <w:r>
        <w:rPr>
          <w:rFonts w:cs="Arial"/>
        </w:rPr>
        <w:t xml:space="preserve">are predicted to involve: </w:t>
      </w:r>
    </w:p>
    <w:p w:rsidR="00244932" w:rsidRDefault="00244932" w:rsidP="00E236BA">
      <w:pPr>
        <w:pStyle w:val="ListParagraph"/>
        <w:spacing w:after="0" w:line="240" w:lineRule="auto"/>
        <w:ind w:left="0" w:right="170"/>
        <w:contextualSpacing w:val="0"/>
        <w:rPr>
          <w:rFonts w:cs="Arial"/>
        </w:rPr>
      </w:pPr>
    </w:p>
    <w:p w:rsidR="00F94925" w:rsidRDefault="00E47C68" w:rsidP="00F94925">
      <w:pPr>
        <w:pStyle w:val="BodyText2"/>
      </w:pPr>
      <w:r>
        <w:t xml:space="preserve">moderate </w:t>
      </w:r>
      <w:r w:rsidR="007F250A">
        <w:t>increase</w:t>
      </w:r>
      <w:r>
        <w:t>s</w:t>
      </w:r>
      <w:r w:rsidR="007F250A">
        <w:t xml:space="preserve"> in compliance costs for </w:t>
      </w:r>
      <w:r>
        <w:t xml:space="preserve">some parts of the regulated </w:t>
      </w:r>
      <w:r w:rsidR="007F250A">
        <w:t>industry</w:t>
      </w:r>
      <w:r w:rsidR="00F94925">
        <w:t xml:space="preserve">, </w:t>
      </w:r>
      <w:r>
        <w:t>most notably f</w:t>
      </w:r>
      <w:r w:rsidR="00F94925">
        <w:t>or the newly regulated products</w:t>
      </w:r>
    </w:p>
    <w:p w:rsidR="00F94925" w:rsidRPr="000421DF" w:rsidRDefault="00F94925" w:rsidP="00F94925">
      <w:pPr>
        <w:pStyle w:val="BodyText2"/>
      </w:pPr>
      <w:r>
        <w:t>benefits for industry from having its products regulated and approved (</w:t>
      </w:r>
      <w:proofErr w:type="spellStart"/>
      <w:r>
        <w:t>eg</w:t>
      </w:r>
      <w:proofErr w:type="spellEnd"/>
      <w:r>
        <w:t>, for PHARMAC purposes, for marketing in other countries)</w:t>
      </w:r>
    </w:p>
    <w:p w:rsidR="00244932" w:rsidRDefault="000B3D82" w:rsidP="00F94925">
      <w:pPr>
        <w:pStyle w:val="BodyText2"/>
      </w:pPr>
      <w:r>
        <w:t>positive impacts on the management of t</w:t>
      </w:r>
      <w:r w:rsidR="007F250A">
        <w:t xml:space="preserve">herapeutic product risk, and on product availability and </w:t>
      </w:r>
      <w:r w:rsidR="00E47C68">
        <w:t xml:space="preserve">possibly </w:t>
      </w:r>
      <w:r w:rsidR="00F94925">
        <w:t>pricing</w:t>
      </w:r>
    </w:p>
    <w:p w:rsidR="007F250A" w:rsidRDefault="007F250A" w:rsidP="00F94925">
      <w:pPr>
        <w:pStyle w:val="BodyText2"/>
      </w:pPr>
      <w:proofErr w:type="gramStart"/>
      <w:r>
        <w:t>a</w:t>
      </w:r>
      <w:proofErr w:type="gramEnd"/>
      <w:r>
        <w:t xml:space="preserve"> positive impact fiscally for the Crown from the effects of product availability and risk management on the wider health budget and economy.</w:t>
      </w:r>
    </w:p>
    <w:p w:rsidR="002B5B79" w:rsidRDefault="00797B2B" w:rsidP="00E236BA">
      <w:pPr>
        <w:pStyle w:val="Text"/>
        <w:spacing w:before="0" w:after="0" w:line="240" w:lineRule="auto"/>
        <w:ind w:right="170"/>
        <w:jc w:val="left"/>
        <w:rPr>
          <w:rFonts w:cs="Arial"/>
          <w:lang w:val="en-NZ"/>
        </w:rPr>
      </w:pPr>
      <w:r>
        <w:rPr>
          <w:rFonts w:cs="Arial"/>
          <w:lang w:eastAsia="en-GB"/>
        </w:rPr>
        <w:t>T</w:t>
      </w:r>
      <w:r w:rsidR="00AF16AF">
        <w:rPr>
          <w:rFonts w:cs="Arial"/>
          <w:lang w:val="en-NZ"/>
        </w:rPr>
        <w:t xml:space="preserve">he </w:t>
      </w:r>
      <w:r w:rsidR="0023656B">
        <w:rPr>
          <w:rFonts w:cs="Arial"/>
          <w:lang w:val="en-NZ"/>
        </w:rPr>
        <w:t xml:space="preserve">design of the proposed regime </w:t>
      </w:r>
      <w:r w:rsidR="00AF16AF">
        <w:rPr>
          <w:rFonts w:cs="Arial"/>
          <w:lang w:val="en-NZ"/>
        </w:rPr>
        <w:t>has been informed</w:t>
      </w:r>
      <w:r w:rsidR="001D04CA">
        <w:rPr>
          <w:rFonts w:cs="Arial"/>
          <w:lang w:val="en-NZ"/>
        </w:rPr>
        <w:t xml:space="preserve"> </w:t>
      </w:r>
      <w:r w:rsidR="00AF16AF">
        <w:rPr>
          <w:rFonts w:cs="Arial"/>
          <w:lang w:val="en-NZ"/>
        </w:rPr>
        <w:t>by</w:t>
      </w:r>
      <w:r w:rsidR="00C02BCE">
        <w:rPr>
          <w:rFonts w:cs="Arial"/>
          <w:lang w:val="en-NZ"/>
        </w:rPr>
        <w:t>:</w:t>
      </w:r>
      <w:r w:rsidR="00AF16AF">
        <w:rPr>
          <w:rFonts w:cs="Arial"/>
          <w:lang w:val="en-NZ"/>
        </w:rPr>
        <w:t xml:space="preserve"> a long-standing a</w:t>
      </w:r>
      <w:r w:rsidR="00C02BCE">
        <w:rPr>
          <w:rFonts w:cs="Arial"/>
          <w:lang w:val="en-NZ"/>
        </w:rPr>
        <w:t xml:space="preserve">ppreciation </w:t>
      </w:r>
      <w:r w:rsidR="00AF16AF">
        <w:rPr>
          <w:rFonts w:cs="Arial"/>
          <w:lang w:val="en-NZ"/>
        </w:rPr>
        <w:t xml:space="preserve">of </w:t>
      </w:r>
      <w:r w:rsidR="00C02BCE">
        <w:rPr>
          <w:rFonts w:cs="Arial"/>
          <w:lang w:val="en-NZ"/>
        </w:rPr>
        <w:t xml:space="preserve">the </w:t>
      </w:r>
      <w:r w:rsidR="00AF16AF">
        <w:rPr>
          <w:rFonts w:cs="Arial"/>
          <w:lang w:val="en-NZ"/>
        </w:rPr>
        <w:t xml:space="preserve">key problems that need to be addressed; accepted international practice; current public sector standards for </w:t>
      </w:r>
      <w:r w:rsidR="000B3D82">
        <w:rPr>
          <w:rFonts w:cs="Arial"/>
          <w:lang w:val="en-NZ"/>
        </w:rPr>
        <w:t>l</w:t>
      </w:r>
      <w:r w:rsidR="00AF16AF">
        <w:rPr>
          <w:rFonts w:cs="Arial"/>
          <w:lang w:val="en-NZ"/>
        </w:rPr>
        <w:t>e</w:t>
      </w:r>
      <w:r w:rsidR="00C02BCE">
        <w:rPr>
          <w:rFonts w:cs="Arial"/>
          <w:lang w:val="en-NZ"/>
        </w:rPr>
        <w:t>gislative and regulatory design</w:t>
      </w:r>
      <w:r w:rsidR="00AC42CB">
        <w:rPr>
          <w:rFonts w:cs="Arial"/>
          <w:lang w:val="en-NZ"/>
        </w:rPr>
        <w:t xml:space="preserve">; and a measured timetable for </w:t>
      </w:r>
      <w:r w:rsidR="00035F3E">
        <w:rPr>
          <w:rFonts w:cs="Arial"/>
          <w:lang w:val="en-NZ"/>
        </w:rPr>
        <w:t xml:space="preserve">decisions, </w:t>
      </w:r>
      <w:r w:rsidR="00AC42CB">
        <w:rPr>
          <w:rFonts w:cs="Arial"/>
          <w:lang w:val="en-NZ"/>
        </w:rPr>
        <w:t>development and implementation.</w:t>
      </w:r>
      <w:r w:rsidR="00AF16AF">
        <w:rPr>
          <w:rFonts w:cs="Arial"/>
          <w:lang w:val="en-NZ"/>
        </w:rPr>
        <w:t xml:space="preserve"> </w:t>
      </w:r>
    </w:p>
    <w:p w:rsidR="00C633BB" w:rsidRDefault="00C633BB" w:rsidP="00E236BA">
      <w:pPr>
        <w:pStyle w:val="Text"/>
        <w:spacing w:before="0" w:after="0" w:line="240" w:lineRule="auto"/>
        <w:ind w:right="170"/>
        <w:jc w:val="left"/>
        <w:rPr>
          <w:rFonts w:cs="Arial"/>
          <w:lang w:val="en-NZ"/>
        </w:rPr>
      </w:pPr>
    </w:p>
    <w:p w:rsidR="00FA2F3F" w:rsidRDefault="001E691F" w:rsidP="00E236BA">
      <w:pPr>
        <w:pStyle w:val="Text"/>
        <w:spacing w:before="0" w:after="0" w:line="240" w:lineRule="auto"/>
        <w:ind w:right="170"/>
        <w:jc w:val="left"/>
        <w:rPr>
          <w:rFonts w:cs="Arial"/>
          <w:lang w:val="en-NZ"/>
        </w:rPr>
      </w:pPr>
      <w:r>
        <w:rPr>
          <w:rFonts w:cs="Arial"/>
          <w:lang w:val="en-NZ"/>
        </w:rPr>
        <w:t xml:space="preserve">Further decisions will be sought </w:t>
      </w:r>
      <w:r w:rsidR="00E47C68">
        <w:rPr>
          <w:rFonts w:cs="Arial"/>
          <w:lang w:val="en-NZ"/>
        </w:rPr>
        <w:t xml:space="preserve">from Cabinet </w:t>
      </w:r>
      <w:r>
        <w:rPr>
          <w:rFonts w:cs="Arial"/>
          <w:lang w:val="en-NZ"/>
        </w:rPr>
        <w:t xml:space="preserve">on aspects of the regime in </w:t>
      </w:r>
      <w:r w:rsidR="0023656B">
        <w:rPr>
          <w:rFonts w:cs="Arial"/>
          <w:lang w:val="en-NZ"/>
        </w:rPr>
        <w:t xml:space="preserve">early </w:t>
      </w:r>
      <w:r>
        <w:rPr>
          <w:rFonts w:cs="Arial"/>
          <w:lang w:val="en-NZ"/>
        </w:rPr>
        <w:t>2016</w:t>
      </w:r>
      <w:r w:rsidR="0023656B">
        <w:rPr>
          <w:rFonts w:cs="Arial"/>
          <w:lang w:val="en-NZ"/>
        </w:rPr>
        <w:t xml:space="preserve"> in the following areas: </w:t>
      </w:r>
    </w:p>
    <w:p w:rsidR="00FA2F3F" w:rsidRDefault="00FA2F3F" w:rsidP="00E236BA">
      <w:pPr>
        <w:autoSpaceDE w:val="0"/>
        <w:autoSpaceDN w:val="0"/>
        <w:adjustRightInd w:val="0"/>
        <w:spacing w:after="0" w:line="240" w:lineRule="auto"/>
        <w:rPr>
          <w:rFonts w:ascii="Tms Rmn" w:hAnsi="Tms Rmn"/>
          <w:sz w:val="24"/>
          <w:szCs w:val="24"/>
          <w:lang w:val="en-NZ" w:eastAsia="en-NZ"/>
        </w:rPr>
      </w:pPr>
    </w:p>
    <w:p w:rsidR="00F94925" w:rsidRDefault="00F94925" w:rsidP="00E236BA">
      <w:pPr>
        <w:autoSpaceDE w:val="0"/>
        <w:autoSpaceDN w:val="0"/>
        <w:adjustRightInd w:val="0"/>
        <w:spacing w:after="0" w:line="240" w:lineRule="auto"/>
        <w:rPr>
          <w:rFonts w:ascii="Tms Rmn" w:hAnsi="Tms Rmn"/>
          <w:sz w:val="24"/>
          <w:szCs w:val="24"/>
          <w:lang w:val="en-NZ" w:eastAsia="en-NZ"/>
        </w:rPr>
      </w:pPr>
    </w:p>
    <w:p w:rsidR="00FA2F3F" w:rsidRDefault="00FA2F3F" w:rsidP="0023656B">
      <w:pPr>
        <w:pStyle w:val="BodyText2"/>
        <w:spacing w:after="0"/>
        <w:rPr>
          <w:lang w:val="en-NZ" w:eastAsia="en-NZ"/>
        </w:rPr>
      </w:pPr>
      <w:r>
        <w:rPr>
          <w:lang w:val="en-NZ" w:eastAsia="en-NZ"/>
        </w:rPr>
        <w:t>Proposed institutional form of the regulator</w:t>
      </w:r>
    </w:p>
    <w:p w:rsidR="00FA2F3F" w:rsidRDefault="00FA2F3F" w:rsidP="0023656B">
      <w:pPr>
        <w:pStyle w:val="BodyText2"/>
        <w:spacing w:after="0"/>
        <w:rPr>
          <w:lang w:val="en-NZ" w:eastAsia="en-NZ"/>
        </w:rPr>
      </w:pPr>
      <w:r>
        <w:rPr>
          <w:lang w:val="en-NZ" w:eastAsia="en-NZ"/>
        </w:rPr>
        <w:t>Regulatory approach to cell and tissue therapies</w:t>
      </w:r>
    </w:p>
    <w:p w:rsidR="00FA2F3F" w:rsidRDefault="00FA2F3F" w:rsidP="0023656B">
      <w:pPr>
        <w:pStyle w:val="BodyText2"/>
        <w:spacing w:after="0"/>
        <w:rPr>
          <w:lang w:val="en-NZ" w:eastAsia="en-NZ"/>
        </w:rPr>
      </w:pPr>
      <w:r>
        <w:rPr>
          <w:lang w:val="en-NZ" w:eastAsia="en-NZ"/>
        </w:rPr>
        <w:t>Clinical trial arrangements</w:t>
      </w:r>
    </w:p>
    <w:p w:rsidR="00FA2F3F" w:rsidRDefault="00FA2F3F" w:rsidP="0023656B">
      <w:pPr>
        <w:pStyle w:val="BodyText2"/>
        <w:spacing w:after="0"/>
        <w:rPr>
          <w:lang w:val="en-NZ" w:eastAsia="en-NZ"/>
        </w:rPr>
      </w:pPr>
      <w:r>
        <w:rPr>
          <w:lang w:val="en-NZ" w:eastAsia="en-NZ"/>
        </w:rPr>
        <w:t>Detail of the proposed offence and penalty framework</w:t>
      </w:r>
    </w:p>
    <w:p w:rsidR="00FA2F3F" w:rsidRDefault="00FA2F3F" w:rsidP="0023656B">
      <w:pPr>
        <w:pStyle w:val="BodyText2"/>
        <w:spacing w:after="0"/>
        <w:rPr>
          <w:lang w:val="en-NZ" w:eastAsia="en-NZ"/>
        </w:rPr>
      </w:pPr>
      <w:r>
        <w:rPr>
          <w:lang w:val="en-NZ" w:eastAsia="en-NZ"/>
        </w:rPr>
        <w:t>Pha</w:t>
      </w:r>
      <w:r w:rsidR="00B029C8">
        <w:rPr>
          <w:lang w:val="en-NZ" w:eastAsia="en-NZ"/>
        </w:rPr>
        <w:t>r</w:t>
      </w:r>
      <w:r>
        <w:rPr>
          <w:lang w:val="en-NZ" w:eastAsia="en-NZ"/>
        </w:rPr>
        <w:t>macy ownership</w:t>
      </w:r>
    </w:p>
    <w:p w:rsidR="00FA2F3F" w:rsidRDefault="00FA2F3F" w:rsidP="0023656B">
      <w:pPr>
        <w:pStyle w:val="BodyText2"/>
        <w:spacing w:after="0"/>
        <w:rPr>
          <w:lang w:val="en-NZ" w:eastAsia="en-NZ"/>
        </w:rPr>
      </w:pPr>
      <w:r>
        <w:rPr>
          <w:lang w:val="en-NZ" w:eastAsia="en-NZ"/>
        </w:rPr>
        <w:t>Import and export (including parallel importation)</w:t>
      </w:r>
    </w:p>
    <w:p w:rsidR="00FA2F3F" w:rsidRDefault="00FA2F3F" w:rsidP="0023656B">
      <w:pPr>
        <w:pStyle w:val="BodyText2"/>
        <w:spacing w:after="0"/>
        <w:rPr>
          <w:lang w:val="en-NZ" w:eastAsia="en-NZ"/>
        </w:rPr>
      </w:pPr>
      <w:r>
        <w:rPr>
          <w:lang w:val="en-NZ" w:eastAsia="en-NZ"/>
        </w:rPr>
        <w:t>Prescribing</w:t>
      </w:r>
      <w:r w:rsidR="000E3B7F">
        <w:rPr>
          <w:lang w:val="en-NZ" w:eastAsia="en-NZ"/>
        </w:rPr>
        <w:t xml:space="preserve"> and </w:t>
      </w:r>
      <w:r>
        <w:rPr>
          <w:lang w:val="en-NZ" w:eastAsia="en-NZ"/>
        </w:rPr>
        <w:t xml:space="preserve">dispensing </w:t>
      </w:r>
    </w:p>
    <w:p w:rsidR="00FA2F3F" w:rsidRDefault="00FA2F3F" w:rsidP="0023656B">
      <w:pPr>
        <w:pStyle w:val="BodyText2"/>
        <w:spacing w:after="0"/>
        <w:rPr>
          <w:lang w:val="en-NZ" w:eastAsia="en-NZ"/>
        </w:rPr>
      </w:pPr>
      <w:r>
        <w:rPr>
          <w:lang w:val="en-NZ" w:eastAsia="en-NZ"/>
        </w:rPr>
        <w:t>Interface with the Hazardous Substances and New Organisms Act</w:t>
      </w:r>
    </w:p>
    <w:p w:rsidR="00FA2F3F" w:rsidRDefault="00FA2F3F" w:rsidP="0023656B">
      <w:pPr>
        <w:pStyle w:val="BodyText2"/>
        <w:spacing w:after="0"/>
        <w:rPr>
          <w:lang w:val="en-NZ" w:eastAsia="en-NZ"/>
        </w:rPr>
      </w:pPr>
      <w:r>
        <w:rPr>
          <w:lang w:val="en-NZ" w:eastAsia="en-NZ"/>
        </w:rPr>
        <w:t>Privileged statements (statements about therapeutic products during periods of data protection)</w:t>
      </w:r>
    </w:p>
    <w:p w:rsidR="00FA2F3F" w:rsidRDefault="00FA2F3F" w:rsidP="0023656B">
      <w:pPr>
        <w:pStyle w:val="BodyText2"/>
        <w:spacing w:after="0"/>
        <w:rPr>
          <w:lang w:val="en-NZ" w:eastAsia="en-NZ"/>
        </w:rPr>
      </w:pPr>
      <w:r>
        <w:rPr>
          <w:lang w:val="en-NZ" w:eastAsia="en-NZ"/>
        </w:rPr>
        <w:t>Further advice on legislative placement of provisions if required.</w:t>
      </w:r>
    </w:p>
    <w:p w:rsidR="00FA2F3F" w:rsidRDefault="00FA2F3F" w:rsidP="00E236BA">
      <w:pPr>
        <w:pStyle w:val="Text"/>
        <w:spacing w:before="0" w:after="0" w:line="240" w:lineRule="auto"/>
        <w:ind w:right="170"/>
        <w:jc w:val="left"/>
        <w:rPr>
          <w:rFonts w:cs="Arial"/>
          <w:lang w:val="en-NZ"/>
        </w:rPr>
      </w:pPr>
    </w:p>
    <w:p w:rsidR="002E3C26" w:rsidRDefault="002E3C26" w:rsidP="00E236BA">
      <w:pPr>
        <w:pStyle w:val="Text"/>
        <w:spacing w:before="0" w:after="0" w:line="240" w:lineRule="auto"/>
        <w:ind w:right="170"/>
        <w:rPr>
          <w:rFonts w:cs="Arial"/>
          <w:lang w:val="en-NZ"/>
        </w:rPr>
      </w:pPr>
      <w:r>
        <w:rPr>
          <w:rFonts w:cs="Arial"/>
          <w:lang w:val="en-NZ"/>
        </w:rPr>
        <w:t>Another RIS will be prepared to cover these issues.</w:t>
      </w:r>
    </w:p>
    <w:p w:rsidR="00E236BA" w:rsidRDefault="00E236BA" w:rsidP="00E236BA">
      <w:pPr>
        <w:pStyle w:val="Text"/>
        <w:spacing w:before="0" w:after="0" w:line="240" w:lineRule="auto"/>
        <w:ind w:right="170"/>
        <w:rPr>
          <w:rFonts w:cs="Arial"/>
          <w:lang w:val="en-NZ"/>
        </w:rPr>
      </w:pPr>
    </w:p>
    <w:p w:rsidR="007F250A" w:rsidRDefault="00B029C8" w:rsidP="00E236BA">
      <w:pPr>
        <w:pStyle w:val="Text"/>
        <w:spacing w:before="0" w:after="0" w:line="240" w:lineRule="auto"/>
        <w:ind w:right="170"/>
        <w:rPr>
          <w:rFonts w:cs="Arial"/>
          <w:lang w:val="en-NZ"/>
        </w:rPr>
      </w:pPr>
      <w:r>
        <w:rPr>
          <w:rFonts w:cs="Arial"/>
          <w:lang w:val="en-NZ"/>
        </w:rPr>
        <w:t xml:space="preserve">The details of how the regime will operate in practice will be set out in regulations and </w:t>
      </w:r>
      <w:r w:rsidR="00A86133">
        <w:rPr>
          <w:rFonts w:cs="Arial"/>
          <w:lang w:val="en-NZ"/>
        </w:rPr>
        <w:t xml:space="preserve">subordinate </w:t>
      </w:r>
      <w:r>
        <w:rPr>
          <w:rFonts w:cs="Arial"/>
          <w:lang w:val="en-NZ"/>
        </w:rPr>
        <w:t xml:space="preserve">instruments. The exposure draft of the legislation will be accompanied </w:t>
      </w:r>
      <w:r w:rsidR="00972959">
        <w:rPr>
          <w:rFonts w:cs="Arial"/>
          <w:lang w:val="en-NZ"/>
        </w:rPr>
        <w:t xml:space="preserve">by </w:t>
      </w:r>
      <w:r w:rsidR="00972959" w:rsidRPr="00972959">
        <w:rPr>
          <w:rFonts w:cs="Arial"/>
          <w:lang w:val="en-NZ"/>
        </w:rPr>
        <w:t>a description of the policy to be contained in these instruments</w:t>
      </w:r>
      <w:r w:rsidR="00972959">
        <w:rPr>
          <w:rFonts w:cs="Arial"/>
          <w:lang w:val="en-NZ"/>
        </w:rPr>
        <w:t xml:space="preserve">. The instruments themselves will be drafted throughout late 2016 and 2017 and </w:t>
      </w:r>
      <w:r w:rsidR="00253550">
        <w:rPr>
          <w:rFonts w:cs="Arial"/>
          <w:lang w:val="en-NZ"/>
        </w:rPr>
        <w:t xml:space="preserve">a </w:t>
      </w:r>
      <w:r w:rsidR="00972959">
        <w:rPr>
          <w:rFonts w:cs="Arial"/>
          <w:lang w:val="en-NZ"/>
        </w:rPr>
        <w:t xml:space="preserve">further RIS will </w:t>
      </w:r>
      <w:r w:rsidR="002E3C26">
        <w:rPr>
          <w:rFonts w:cs="Arial"/>
          <w:lang w:val="en-NZ"/>
        </w:rPr>
        <w:t xml:space="preserve">be </w:t>
      </w:r>
      <w:r w:rsidR="00972959">
        <w:rPr>
          <w:rFonts w:cs="Arial"/>
          <w:lang w:val="en-NZ"/>
        </w:rPr>
        <w:t>prepared for them.</w:t>
      </w:r>
    </w:p>
    <w:p w:rsidR="00E47C68" w:rsidRDefault="00E47C68" w:rsidP="001F492F">
      <w:pPr>
        <w:pStyle w:val="Text"/>
        <w:spacing w:before="0" w:after="180" w:line="280" w:lineRule="atLeast"/>
        <w:ind w:right="170"/>
        <w:rPr>
          <w:rFonts w:cs="Arial"/>
          <w:lang w:val="en-NZ"/>
        </w:rPr>
      </w:pPr>
    </w:p>
    <w:p w:rsidR="004C0250" w:rsidRDefault="004C0250" w:rsidP="007F250A">
      <w:pPr>
        <w:rPr>
          <w:rFonts w:cs="Arial"/>
          <w:lang w:val="en-NZ"/>
        </w:rPr>
      </w:pPr>
    </w:p>
    <w:p w:rsidR="0020214C" w:rsidRDefault="0020214C" w:rsidP="007F250A">
      <w:pPr>
        <w:rPr>
          <w:rFonts w:cs="Arial"/>
          <w:lang w:val="en-NZ"/>
        </w:rPr>
      </w:pPr>
    </w:p>
    <w:p w:rsidR="004C0250" w:rsidRDefault="004C0250" w:rsidP="007F250A">
      <w:pPr>
        <w:rPr>
          <w:rFonts w:cs="Arial"/>
          <w:lang w:val="en-NZ"/>
        </w:rPr>
      </w:pPr>
      <w:r>
        <w:rPr>
          <w:rFonts w:cs="Arial"/>
          <w:lang w:val="en-NZ"/>
        </w:rPr>
        <w:t>Teresa Wall</w:t>
      </w:r>
    </w:p>
    <w:p w:rsidR="004C0250" w:rsidRDefault="00244932" w:rsidP="004C0250">
      <w:pPr>
        <w:spacing w:after="0" w:line="240" w:lineRule="auto"/>
        <w:rPr>
          <w:rFonts w:cs="Arial"/>
          <w:lang w:val="en-NZ"/>
        </w:rPr>
      </w:pPr>
      <w:r>
        <w:rPr>
          <w:rFonts w:cs="Arial"/>
          <w:lang w:val="en-NZ"/>
        </w:rPr>
        <w:t xml:space="preserve">Acting </w:t>
      </w:r>
      <w:r w:rsidR="004C0250">
        <w:rPr>
          <w:rFonts w:cs="Arial"/>
          <w:lang w:val="en-NZ"/>
        </w:rPr>
        <w:t>Deputy Director-General</w:t>
      </w:r>
    </w:p>
    <w:p w:rsidR="00244932" w:rsidRDefault="00244932" w:rsidP="004C0250">
      <w:pPr>
        <w:spacing w:after="0" w:line="240" w:lineRule="auto"/>
        <w:rPr>
          <w:rFonts w:cs="Arial"/>
          <w:lang w:val="en-NZ"/>
        </w:rPr>
      </w:pPr>
      <w:r>
        <w:rPr>
          <w:rFonts w:cs="Arial"/>
          <w:lang w:val="en-NZ"/>
        </w:rPr>
        <w:t>Policy Business Unit</w:t>
      </w:r>
    </w:p>
    <w:p w:rsidR="007F250A" w:rsidRDefault="004C0250" w:rsidP="004C0250">
      <w:pPr>
        <w:spacing w:after="0" w:line="240" w:lineRule="auto"/>
        <w:rPr>
          <w:rFonts w:cs="Arial"/>
          <w:lang w:val="en-NZ"/>
        </w:rPr>
      </w:pPr>
      <w:r>
        <w:rPr>
          <w:rFonts w:cs="Arial"/>
          <w:lang w:val="en-NZ"/>
        </w:rPr>
        <w:t>Ministry of Health</w:t>
      </w:r>
    </w:p>
    <w:p w:rsidR="004C0250" w:rsidRDefault="004C0250" w:rsidP="004C0250">
      <w:pPr>
        <w:spacing w:after="0" w:line="240" w:lineRule="auto"/>
        <w:rPr>
          <w:rFonts w:cs="Arial"/>
          <w:lang w:val="en-NZ"/>
        </w:rPr>
      </w:pPr>
    </w:p>
    <w:p w:rsidR="004C0250" w:rsidRPr="00082653" w:rsidRDefault="0023656B" w:rsidP="004C0250">
      <w:pPr>
        <w:spacing w:after="0" w:line="240" w:lineRule="auto"/>
        <w:rPr>
          <w:lang w:val="en-NZ"/>
        </w:rPr>
      </w:pPr>
      <w:r>
        <w:rPr>
          <w:lang w:val="en-NZ"/>
        </w:rPr>
        <w:t>11</w:t>
      </w:r>
      <w:r w:rsidR="004C0250">
        <w:rPr>
          <w:lang w:val="en-NZ"/>
        </w:rPr>
        <w:t xml:space="preserve"> November 2015</w:t>
      </w:r>
    </w:p>
    <w:p w:rsidR="004C0250" w:rsidRPr="004C0250" w:rsidRDefault="00DA35C5" w:rsidP="004C0250">
      <w:pPr>
        <w:pStyle w:val="Heading2"/>
      </w:pPr>
      <w:bookmarkStart w:id="24" w:name="_Toc362368103"/>
      <w:bookmarkStart w:id="25" w:name="_Toc362434944"/>
      <w:bookmarkStart w:id="26" w:name="_Toc362589330"/>
      <w:bookmarkStart w:id="27" w:name="_Toc362619030"/>
      <w:bookmarkStart w:id="28" w:name="_Toc362940594"/>
      <w:bookmarkStart w:id="29" w:name="_Toc363047102"/>
      <w:r>
        <w:br w:type="page"/>
      </w:r>
      <w:r w:rsidR="004C0250" w:rsidRPr="004C0250">
        <w:t>Contents</w:t>
      </w:r>
    </w:p>
    <w:p w:rsidR="00A45009" w:rsidRPr="00105FF9" w:rsidRDefault="00A45009" w:rsidP="00A45009">
      <w:pPr>
        <w:spacing w:after="0" w:line="240" w:lineRule="auto"/>
        <w:rPr>
          <w:b/>
          <w:i/>
          <w:sz w:val="18"/>
          <w:szCs w:val="18"/>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sidR="00105FF9">
        <w:rPr>
          <w:b/>
        </w:rPr>
        <w:t xml:space="preserve">      </w:t>
      </w:r>
      <w:r w:rsidRPr="00105FF9">
        <w:rPr>
          <w:b/>
          <w:i/>
          <w:sz w:val="18"/>
          <w:szCs w:val="18"/>
        </w:rPr>
        <w:t>Page</w:t>
      </w:r>
    </w:p>
    <w:p w:rsidR="00A45009" w:rsidRDefault="00A45009" w:rsidP="00A45009">
      <w:pPr>
        <w:spacing w:after="0" w:line="240" w:lineRule="auto"/>
        <w:rPr>
          <w:b/>
        </w:rPr>
      </w:pPr>
    </w:p>
    <w:p w:rsidR="004C0250" w:rsidRPr="004C0250" w:rsidRDefault="00E236BA" w:rsidP="00A45009">
      <w:pPr>
        <w:spacing w:after="0" w:line="240" w:lineRule="auto"/>
        <w:rPr>
          <w:b/>
        </w:rPr>
      </w:pPr>
      <w:r>
        <w:rPr>
          <w:b/>
        </w:rPr>
        <w:t>Executive Summary</w:t>
      </w:r>
      <w:r w:rsidR="00A45009">
        <w:rPr>
          <w:b/>
        </w:rPr>
        <w:tab/>
      </w:r>
      <w:r w:rsidR="00A45009">
        <w:rPr>
          <w:b/>
        </w:rPr>
        <w:tab/>
      </w:r>
      <w:r w:rsidR="00A45009">
        <w:rPr>
          <w:b/>
        </w:rPr>
        <w:tab/>
      </w:r>
      <w:r w:rsidR="00A45009">
        <w:rPr>
          <w:b/>
        </w:rPr>
        <w:tab/>
      </w:r>
      <w:r w:rsidR="00A45009">
        <w:rPr>
          <w:b/>
        </w:rPr>
        <w:tab/>
      </w:r>
      <w:r w:rsidR="00A45009">
        <w:rPr>
          <w:b/>
        </w:rPr>
        <w:tab/>
      </w:r>
      <w:r w:rsidR="00A45009">
        <w:rPr>
          <w:b/>
        </w:rPr>
        <w:tab/>
      </w:r>
      <w:r w:rsidR="00A45009">
        <w:rPr>
          <w:b/>
        </w:rPr>
        <w:tab/>
      </w:r>
      <w:r w:rsidR="00A45009">
        <w:rPr>
          <w:b/>
        </w:rPr>
        <w:tab/>
      </w:r>
      <w:r w:rsidR="00A45009">
        <w:rPr>
          <w:b/>
        </w:rPr>
        <w:tab/>
      </w:r>
      <w:r w:rsidR="00A45009">
        <w:rPr>
          <w:b/>
        </w:rPr>
        <w:tab/>
      </w:r>
      <w:r w:rsidR="00A45009" w:rsidRPr="00A45009">
        <w:t>4</w:t>
      </w:r>
    </w:p>
    <w:p w:rsidR="00A45009" w:rsidRDefault="00A45009" w:rsidP="00A45009">
      <w:pPr>
        <w:spacing w:after="0" w:line="240" w:lineRule="auto"/>
        <w:rPr>
          <w:b/>
        </w:rPr>
      </w:pPr>
    </w:p>
    <w:p w:rsidR="004C0250" w:rsidRPr="00A45009" w:rsidRDefault="004C0250" w:rsidP="00A45009">
      <w:pPr>
        <w:spacing w:after="0" w:line="240" w:lineRule="auto"/>
      </w:pPr>
      <w:r w:rsidRPr="004C0250">
        <w:rPr>
          <w:b/>
        </w:rPr>
        <w:t>Status quo and problem definition</w:t>
      </w:r>
      <w:r w:rsidR="00A45009">
        <w:rPr>
          <w:b/>
        </w:rPr>
        <w:tab/>
      </w:r>
      <w:r w:rsidR="00A45009">
        <w:rPr>
          <w:b/>
        </w:rPr>
        <w:tab/>
      </w:r>
      <w:r w:rsidR="00A45009">
        <w:rPr>
          <w:b/>
        </w:rPr>
        <w:tab/>
      </w:r>
      <w:r w:rsidR="00A45009">
        <w:rPr>
          <w:b/>
        </w:rPr>
        <w:tab/>
      </w:r>
      <w:r w:rsidR="00A45009">
        <w:rPr>
          <w:b/>
        </w:rPr>
        <w:tab/>
      </w:r>
      <w:r w:rsidR="00A45009">
        <w:rPr>
          <w:b/>
        </w:rPr>
        <w:tab/>
      </w:r>
      <w:r w:rsidR="00A45009">
        <w:rPr>
          <w:b/>
        </w:rPr>
        <w:tab/>
      </w:r>
      <w:r w:rsidR="00A45009">
        <w:rPr>
          <w:b/>
        </w:rPr>
        <w:tab/>
      </w:r>
      <w:r w:rsidR="00A45009" w:rsidRPr="00A45009">
        <w:t>5</w:t>
      </w:r>
    </w:p>
    <w:p w:rsidR="00A45009" w:rsidRDefault="00A45009" w:rsidP="00A45009">
      <w:pPr>
        <w:spacing w:after="0" w:line="240" w:lineRule="auto"/>
        <w:rPr>
          <w:b/>
        </w:rPr>
      </w:pPr>
    </w:p>
    <w:p w:rsidR="004C0250" w:rsidRPr="004C0250" w:rsidRDefault="004C0250" w:rsidP="00A45009">
      <w:pPr>
        <w:spacing w:after="0" w:line="240" w:lineRule="auto"/>
        <w:rPr>
          <w:b/>
        </w:rPr>
      </w:pPr>
      <w:r w:rsidRPr="004C0250">
        <w:rPr>
          <w:b/>
        </w:rPr>
        <w:t>Objectives</w:t>
      </w:r>
      <w:r w:rsidR="00A45009">
        <w:rPr>
          <w:b/>
        </w:rPr>
        <w:tab/>
      </w:r>
      <w:r w:rsidR="00A45009">
        <w:rPr>
          <w:b/>
        </w:rPr>
        <w:tab/>
      </w:r>
      <w:r w:rsidR="00A45009">
        <w:rPr>
          <w:b/>
        </w:rPr>
        <w:tab/>
      </w:r>
      <w:r w:rsidR="00A45009">
        <w:rPr>
          <w:b/>
        </w:rPr>
        <w:tab/>
      </w:r>
      <w:r w:rsidR="00A45009">
        <w:rPr>
          <w:b/>
        </w:rPr>
        <w:tab/>
      </w:r>
      <w:r w:rsidR="00A45009">
        <w:rPr>
          <w:b/>
        </w:rPr>
        <w:tab/>
      </w:r>
      <w:r w:rsidR="00A45009">
        <w:rPr>
          <w:b/>
        </w:rPr>
        <w:tab/>
      </w:r>
      <w:r w:rsidR="00A45009">
        <w:rPr>
          <w:b/>
        </w:rPr>
        <w:tab/>
      </w:r>
      <w:r w:rsidR="00A45009">
        <w:rPr>
          <w:b/>
        </w:rPr>
        <w:tab/>
      </w:r>
      <w:r w:rsidR="00A45009">
        <w:rPr>
          <w:b/>
        </w:rPr>
        <w:tab/>
      </w:r>
      <w:r w:rsidR="00A45009">
        <w:rPr>
          <w:b/>
        </w:rPr>
        <w:tab/>
      </w:r>
      <w:r w:rsidR="00A45009">
        <w:rPr>
          <w:b/>
        </w:rPr>
        <w:tab/>
      </w:r>
      <w:r w:rsidR="00A45009">
        <w:rPr>
          <w:b/>
        </w:rPr>
        <w:tab/>
      </w:r>
      <w:r w:rsidR="00195771">
        <w:t>11</w:t>
      </w:r>
      <w:r w:rsidR="00A45009">
        <w:rPr>
          <w:b/>
        </w:rPr>
        <w:tab/>
      </w:r>
      <w:r w:rsidR="00A45009">
        <w:rPr>
          <w:b/>
        </w:rPr>
        <w:tab/>
      </w:r>
      <w:r w:rsidR="00A45009">
        <w:rPr>
          <w:b/>
        </w:rPr>
        <w:tab/>
      </w:r>
      <w:r w:rsidR="00A45009">
        <w:rPr>
          <w:b/>
        </w:rPr>
        <w:tab/>
      </w:r>
      <w:r w:rsidR="00A45009">
        <w:rPr>
          <w:b/>
        </w:rPr>
        <w:tab/>
      </w:r>
      <w:r w:rsidR="00A45009">
        <w:rPr>
          <w:b/>
        </w:rPr>
        <w:tab/>
      </w:r>
      <w:r w:rsidR="00A45009">
        <w:rPr>
          <w:b/>
        </w:rPr>
        <w:tab/>
      </w:r>
      <w:r w:rsidR="00A45009">
        <w:rPr>
          <w:b/>
        </w:rPr>
        <w:tab/>
      </w:r>
      <w:r w:rsidR="00A45009">
        <w:rPr>
          <w:b/>
        </w:rPr>
        <w:tab/>
      </w:r>
      <w:r w:rsidR="00A45009">
        <w:rPr>
          <w:b/>
        </w:rPr>
        <w:tab/>
      </w:r>
      <w:r w:rsidR="00A45009">
        <w:rPr>
          <w:b/>
        </w:rPr>
        <w:tab/>
      </w:r>
    </w:p>
    <w:p w:rsidR="004C0250" w:rsidRPr="004C0250" w:rsidRDefault="004C0250" w:rsidP="00A45009">
      <w:pPr>
        <w:spacing w:after="0" w:line="240" w:lineRule="auto"/>
        <w:rPr>
          <w:b/>
        </w:rPr>
      </w:pPr>
      <w:r w:rsidRPr="004C0250">
        <w:rPr>
          <w:b/>
        </w:rPr>
        <w:t>Options and impact analysis</w:t>
      </w:r>
      <w:r w:rsidR="00105FF9">
        <w:rPr>
          <w:b/>
        </w:rPr>
        <w:tab/>
      </w:r>
      <w:r w:rsidR="00105FF9">
        <w:rPr>
          <w:b/>
        </w:rPr>
        <w:tab/>
      </w:r>
      <w:r w:rsidR="00105FF9">
        <w:rPr>
          <w:b/>
        </w:rPr>
        <w:tab/>
      </w:r>
      <w:r w:rsidR="00105FF9">
        <w:rPr>
          <w:b/>
        </w:rPr>
        <w:tab/>
      </w:r>
      <w:r w:rsidR="00105FF9">
        <w:rPr>
          <w:b/>
        </w:rPr>
        <w:tab/>
      </w:r>
      <w:r w:rsidR="00105FF9">
        <w:rPr>
          <w:b/>
        </w:rPr>
        <w:tab/>
      </w:r>
      <w:r w:rsidR="00105FF9">
        <w:rPr>
          <w:b/>
        </w:rPr>
        <w:tab/>
      </w:r>
      <w:r w:rsidR="00105FF9">
        <w:rPr>
          <w:b/>
        </w:rPr>
        <w:tab/>
      </w:r>
      <w:r w:rsidR="00105FF9">
        <w:rPr>
          <w:b/>
        </w:rPr>
        <w:tab/>
      </w:r>
      <w:r w:rsidR="00052091">
        <w:t>11</w:t>
      </w:r>
    </w:p>
    <w:p w:rsidR="00A45009" w:rsidRDefault="00A45009" w:rsidP="00A45009">
      <w:pPr>
        <w:spacing w:after="0" w:line="240" w:lineRule="auto"/>
        <w:ind w:left="567"/>
        <w:rPr>
          <w:b/>
          <w:i/>
        </w:rPr>
      </w:pPr>
    </w:p>
    <w:p w:rsidR="004C0250" w:rsidRPr="00E236BA" w:rsidRDefault="009F2908" w:rsidP="009F2908">
      <w:pPr>
        <w:spacing w:after="0" w:line="240" w:lineRule="auto"/>
      </w:pPr>
      <w:r>
        <w:rPr>
          <w:b/>
          <w:i/>
        </w:rPr>
        <w:t xml:space="preserve">     </w:t>
      </w:r>
      <w:r w:rsidR="004C0250" w:rsidRPr="004C0250">
        <w:rPr>
          <w:b/>
          <w:i/>
        </w:rPr>
        <w:t>Part A</w:t>
      </w:r>
      <w:r w:rsidR="00A45009">
        <w:rPr>
          <w:b/>
          <w:i/>
        </w:rPr>
        <w:t>: Issues and Options</w:t>
      </w:r>
      <w:r w:rsidR="00E236BA">
        <w:rPr>
          <w:b/>
          <w:i/>
        </w:rPr>
        <w:tab/>
      </w:r>
      <w:r w:rsidR="00E236BA">
        <w:rPr>
          <w:b/>
          <w:i/>
        </w:rPr>
        <w:tab/>
      </w:r>
      <w:r w:rsidR="00E236BA">
        <w:rPr>
          <w:b/>
          <w:i/>
        </w:rPr>
        <w:tab/>
      </w:r>
      <w:r w:rsidR="00E236BA">
        <w:rPr>
          <w:b/>
          <w:i/>
        </w:rPr>
        <w:tab/>
      </w:r>
      <w:r w:rsidR="00E236BA">
        <w:rPr>
          <w:b/>
          <w:i/>
        </w:rPr>
        <w:tab/>
      </w:r>
      <w:r w:rsidR="00E236BA">
        <w:rPr>
          <w:b/>
          <w:i/>
        </w:rPr>
        <w:tab/>
      </w:r>
      <w:r w:rsidR="00E236BA">
        <w:rPr>
          <w:b/>
          <w:i/>
        </w:rPr>
        <w:tab/>
      </w:r>
      <w:r w:rsidR="00E236BA">
        <w:rPr>
          <w:b/>
          <w:i/>
        </w:rPr>
        <w:tab/>
      </w:r>
      <w:r w:rsidR="00E236BA">
        <w:rPr>
          <w:b/>
          <w:i/>
        </w:rPr>
        <w:tab/>
      </w:r>
      <w:r w:rsidR="0020581D">
        <w:t>12</w:t>
      </w:r>
    </w:p>
    <w:p w:rsidR="00A45009" w:rsidRDefault="00A45009" w:rsidP="00A45009">
      <w:pPr>
        <w:pStyle w:val="TableBullet"/>
        <w:numPr>
          <w:ilvl w:val="0"/>
          <w:numId w:val="0"/>
        </w:numPr>
        <w:spacing w:after="0" w:line="240" w:lineRule="auto"/>
        <w:ind w:left="567"/>
      </w:pPr>
    </w:p>
    <w:p w:rsidR="004C0250" w:rsidRPr="00A45009" w:rsidRDefault="004C0250" w:rsidP="00A45009">
      <w:pPr>
        <w:pStyle w:val="TableBullet"/>
        <w:numPr>
          <w:ilvl w:val="0"/>
          <w:numId w:val="0"/>
        </w:numPr>
        <w:spacing w:after="0" w:line="240" w:lineRule="auto"/>
        <w:ind w:left="567"/>
      </w:pPr>
      <w:r w:rsidRPr="00A45009">
        <w:t>Strategic / framework</w:t>
      </w:r>
      <w:r w:rsidR="00E236BA">
        <w:tab/>
      </w:r>
      <w:r w:rsidR="00E236BA">
        <w:tab/>
      </w:r>
      <w:r w:rsidR="00E236BA">
        <w:tab/>
      </w:r>
      <w:r w:rsidR="00E236BA">
        <w:tab/>
      </w:r>
      <w:r w:rsidR="00E236BA">
        <w:tab/>
      </w:r>
      <w:r w:rsidR="00E236BA">
        <w:tab/>
      </w:r>
      <w:r w:rsidR="00E236BA">
        <w:tab/>
      </w:r>
      <w:r w:rsidR="00E236BA">
        <w:tab/>
      </w:r>
      <w:r w:rsidR="00E236BA">
        <w:tab/>
      </w:r>
      <w:r w:rsidR="00E236BA">
        <w:tab/>
      </w:r>
    </w:p>
    <w:p w:rsidR="004C0250" w:rsidRDefault="004C0250" w:rsidP="00A45009">
      <w:pPr>
        <w:pStyle w:val="TableBullet"/>
        <w:numPr>
          <w:ilvl w:val="0"/>
          <w:numId w:val="0"/>
        </w:numPr>
        <w:spacing w:after="0" w:line="240" w:lineRule="auto"/>
        <w:ind w:left="567"/>
      </w:pPr>
    </w:p>
    <w:p w:rsidR="004C0250" w:rsidRDefault="004C0250" w:rsidP="00A45009">
      <w:pPr>
        <w:pStyle w:val="TableBullet"/>
        <w:numPr>
          <w:ilvl w:val="0"/>
          <w:numId w:val="0"/>
        </w:numPr>
        <w:spacing w:after="0" w:line="240" w:lineRule="auto"/>
        <w:ind w:left="1134"/>
      </w:pPr>
      <w:r>
        <w:t>Issue 1:   Merits of therapeutic product regulation</w:t>
      </w:r>
      <w:r w:rsidR="00E236BA">
        <w:tab/>
      </w:r>
      <w:r w:rsidR="00E236BA">
        <w:tab/>
      </w:r>
      <w:r w:rsidR="00E236BA">
        <w:tab/>
      </w:r>
      <w:r w:rsidR="00E236BA">
        <w:tab/>
      </w:r>
      <w:r w:rsidR="0020581D">
        <w:t>12</w:t>
      </w:r>
    </w:p>
    <w:p w:rsidR="004C0250" w:rsidRDefault="004C0250" w:rsidP="00A45009">
      <w:pPr>
        <w:pStyle w:val="TableBullet"/>
        <w:numPr>
          <w:ilvl w:val="0"/>
          <w:numId w:val="0"/>
        </w:numPr>
        <w:spacing w:after="0" w:line="240" w:lineRule="auto"/>
        <w:ind w:left="1134"/>
      </w:pPr>
      <w:r>
        <w:t>Issue 2:   Stand-alone versus joint regulation</w:t>
      </w:r>
      <w:r w:rsidR="00E236BA">
        <w:tab/>
      </w:r>
      <w:r w:rsidR="00E236BA">
        <w:tab/>
      </w:r>
      <w:r w:rsidR="00E236BA">
        <w:tab/>
      </w:r>
      <w:r w:rsidR="00E236BA">
        <w:tab/>
      </w:r>
      <w:r w:rsidR="00E236BA">
        <w:tab/>
      </w:r>
      <w:r w:rsidR="00383F10">
        <w:t>16</w:t>
      </w:r>
    </w:p>
    <w:p w:rsidR="004C0250" w:rsidRPr="005B76C6" w:rsidRDefault="004C0250" w:rsidP="00A45009">
      <w:pPr>
        <w:pStyle w:val="TableBullet"/>
        <w:numPr>
          <w:ilvl w:val="0"/>
          <w:numId w:val="0"/>
        </w:numPr>
        <w:spacing w:after="0" w:line="240" w:lineRule="auto"/>
        <w:ind w:left="1134"/>
      </w:pPr>
      <w:r w:rsidRPr="005B76C6">
        <w:t>Issue 3:</w:t>
      </w:r>
      <w:r>
        <w:t xml:space="preserve">   Purpose and scope</w:t>
      </w:r>
      <w:r w:rsidR="00E236BA">
        <w:tab/>
      </w:r>
      <w:r w:rsidR="00E236BA">
        <w:tab/>
      </w:r>
      <w:r w:rsidR="00E236BA">
        <w:tab/>
      </w:r>
      <w:r w:rsidR="00E236BA">
        <w:tab/>
      </w:r>
      <w:r w:rsidR="00E236BA">
        <w:tab/>
      </w:r>
      <w:r w:rsidR="00E236BA">
        <w:tab/>
      </w:r>
      <w:r w:rsidR="00E236BA">
        <w:tab/>
      </w:r>
      <w:r w:rsidR="0020581D">
        <w:t>17</w:t>
      </w:r>
    </w:p>
    <w:p w:rsidR="004C0250" w:rsidRDefault="004C0250" w:rsidP="00A45009">
      <w:pPr>
        <w:pStyle w:val="TableBullet"/>
        <w:numPr>
          <w:ilvl w:val="0"/>
          <w:numId w:val="0"/>
        </w:numPr>
        <w:spacing w:after="0" w:line="240" w:lineRule="auto"/>
        <w:ind w:left="1134"/>
        <w:rPr>
          <w:u w:val="single"/>
        </w:rPr>
      </w:pPr>
    </w:p>
    <w:p w:rsidR="004C0250" w:rsidRPr="00A45009" w:rsidRDefault="004C0250" w:rsidP="00A45009">
      <w:pPr>
        <w:pStyle w:val="TableBullet"/>
        <w:numPr>
          <w:ilvl w:val="0"/>
          <w:numId w:val="0"/>
        </w:numPr>
        <w:spacing w:after="0" w:line="240" w:lineRule="auto"/>
        <w:ind w:left="567"/>
      </w:pPr>
      <w:r w:rsidRPr="00A45009">
        <w:t>Administrative / institutional</w:t>
      </w:r>
      <w:r w:rsidR="00E236BA">
        <w:tab/>
      </w:r>
      <w:r w:rsidR="00E236BA">
        <w:tab/>
      </w:r>
      <w:r w:rsidR="00E236BA">
        <w:tab/>
      </w:r>
      <w:r w:rsidR="00E236BA">
        <w:tab/>
      </w:r>
      <w:r w:rsidR="00E236BA">
        <w:tab/>
      </w:r>
      <w:r w:rsidR="00E236BA">
        <w:tab/>
      </w:r>
      <w:r w:rsidR="00E236BA">
        <w:tab/>
      </w:r>
      <w:r w:rsidR="00E236BA">
        <w:tab/>
      </w:r>
      <w:r w:rsidR="00E236BA">
        <w:tab/>
      </w:r>
    </w:p>
    <w:p w:rsidR="004C0250" w:rsidRDefault="004C0250" w:rsidP="00A45009">
      <w:pPr>
        <w:pStyle w:val="TableBullet"/>
        <w:numPr>
          <w:ilvl w:val="0"/>
          <w:numId w:val="0"/>
        </w:numPr>
        <w:spacing w:after="0" w:line="240" w:lineRule="auto"/>
        <w:ind w:left="567"/>
      </w:pPr>
    </w:p>
    <w:p w:rsidR="004C0250" w:rsidRDefault="004C0250" w:rsidP="00A45009">
      <w:pPr>
        <w:pStyle w:val="TableBullet"/>
        <w:numPr>
          <w:ilvl w:val="0"/>
          <w:numId w:val="0"/>
        </w:numPr>
        <w:spacing w:after="0" w:line="240" w:lineRule="auto"/>
        <w:ind w:left="1134"/>
      </w:pPr>
      <w:r>
        <w:t>Issue 4:   Powers</w:t>
      </w:r>
      <w:r w:rsidR="00E236BA">
        <w:tab/>
      </w:r>
      <w:r w:rsidR="00E236BA">
        <w:tab/>
      </w:r>
      <w:r w:rsidR="00E236BA">
        <w:tab/>
      </w:r>
      <w:r w:rsidR="00E236BA">
        <w:tab/>
      </w:r>
      <w:r w:rsidR="00E236BA">
        <w:tab/>
      </w:r>
      <w:r w:rsidR="00E236BA">
        <w:tab/>
      </w:r>
      <w:r w:rsidR="00E236BA">
        <w:tab/>
      </w:r>
      <w:r w:rsidR="00E236BA">
        <w:tab/>
      </w:r>
      <w:r w:rsidR="00E236BA">
        <w:tab/>
      </w:r>
      <w:r w:rsidR="00E236BA">
        <w:tab/>
      </w:r>
      <w:r w:rsidR="00195771">
        <w:t>20</w:t>
      </w:r>
    </w:p>
    <w:p w:rsidR="004C0250" w:rsidRDefault="004C0250" w:rsidP="00A45009">
      <w:pPr>
        <w:pStyle w:val="TableBullet"/>
        <w:numPr>
          <w:ilvl w:val="0"/>
          <w:numId w:val="0"/>
        </w:numPr>
        <w:spacing w:after="0" w:line="240" w:lineRule="auto"/>
        <w:ind w:left="1134"/>
      </w:pPr>
      <w:r>
        <w:t>Issue 5:   Institutional form of regulator</w:t>
      </w:r>
      <w:r w:rsidR="00E236BA">
        <w:tab/>
      </w:r>
      <w:r w:rsidR="00E236BA">
        <w:tab/>
      </w:r>
      <w:r w:rsidR="00E236BA">
        <w:tab/>
      </w:r>
      <w:r w:rsidR="00E236BA">
        <w:tab/>
      </w:r>
      <w:r w:rsidR="00E236BA">
        <w:tab/>
      </w:r>
      <w:r w:rsidR="00E236BA">
        <w:tab/>
      </w:r>
      <w:r w:rsidR="00195771">
        <w:t>22</w:t>
      </w:r>
    </w:p>
    <w:p w:rsidR="004C0250" w:rsidRDefault="004C0250" w:rsidP="00A45009">
      <w:pPr>
        <w:pStyle w:val="TableBullet"/>
        <w:numPr>
          <w:ilvl w:val="0"/>
          <w:numId w:val="0"/>
        </w:numPr>
        <w:spacing w:after="0" w:line="240" w:lineRule="auto"/>
        <w:ind w:left="1134"/>
      </w:pPr>
      <w:r>
        <w:t>Issue 6:   Accountability</w:t>
      </w:r>
      <w:r w:rsidR="00E236BA">
        <w:tab/>
      </w:r>
      <w:r w:rsidR="00E236BA">
        <w:tab/>
      </w:r>
      <w:r w:rsidR="00E236BA">
        <w:tab/>
      </w:r>
      <w:r w:rsidR="00E236BA">
        <w:tab/>
      </w:r>
      <w:r w:rsidR="00E236BA">
        <w:tab/>
      </w:r>
      <w:r w:rsidR="00E236BA">
        <w:tab/>
      </w:r>
      <w:r w:rsidR="00E236BA">
        <w:tab/>
      </w:r>
      <w:r w:rsidR="00E236BA">
        <w:tab/>
      </w:r>
      <w:r w:rsidR="00195771">
        <w:t>23</w:t>
      </w:r>
    </w:p>
    <w:p w:rsidR="004C0250" w:rsidRDefault="004C0250" w:rsidP="00A45009">
      <w:pPr>
        <w:pStyle w:val="TableBullet"/>
        <w:numPr>
          <w:ilvl w:val="0"/>
          <w:numId w:val="0"/>
        </w:numPr>
        <w:spacing w:after="0" w:line="240" w:lineRule="auto"/>
        <w:ind w:left="1134"/>
      </w:pPr>
      <w:r>
        <w:t>Issue 7:   Cost recovery</w:t>
      </w:r>
      <w:r w:rsidR="00E236BA">
        <w:tab/>
      </w:r>
      <w:r w:rsidR="00E236BA">
        <w:tab/>
      </w:r>
      <w:r w:rsidR="00E236BA">
        <w:tab/>
      </w:r>
      <w:r w:rsidR="00E236BA">
        <w:tab/>
      </w:r>
      <w:r w:rsidR="00E236BA">
        <w:tab/>
      </w:r>
      <w:r w:rsidR="00E236BA">
        <w:tab/>
      </w:r>
      <w:r w:rsidR="00E236BA">
        <w:tab/>
      </w:r>
      <w:r w:rsidR="00E236BA">
        <w:tab/>
      </w:r>
      <w:r w:rsidR="00195771">
        <w:t>25</w:t>
      </w:r>
    </w:p>
    <w:p w:rsidR="004C0250" w:rsidRDefault="004C0250" w:rsidP="00A45009">
      <w:pPr>
        <w:pStyle w:val="TableBullet"/>
        <w:numPr>
          <w:ilvl w:val="0"/>
          <w:numId w:val="0"/>
        </w:numPr>
        <w:spacing w:after="0" w:line="240" w:lineRule="auto"/>
        <w:ind w:left="567"/>
        <w:rPr>
          <w:u w:val="single"/>
        </w:rPr>
      </w:pPr>
    </w:p>
    <w:p w:rsidR="004C0250" w:rsidRPr="00A45009" w:rsidRDefault="004C0250" w:rsidP="00A45009">
      <w:pPr>
        <w:pStyle w:val="TableBullet"/>
        <w:numPr>
          <w:ilvl w:val="0"/>
          <w:numId w:val="0"/>
        </w:numPr>
        <w:spacing w:after="0" w:line="240" w:lineRule="auto"/>
        <w:ind w:left="567"/>
      </w:pPr>
      <w:r w:rsidRPr="00A45009">
        <w:t xml:space="preserve">Pre-market </w:t>
      </w:r>
      <w:r w:rsidR="009252C0">
        <w:tab/>
      </w:r>
      <w:r w:rsidR="009252C0">
        <w:tab/>
      </w:r>
      <w:r w:rsidR="009252C0">
        <w:tab/>
      </w:r>
      <w:r w:rsidR="009252C0">
        <w:tab/>
      </w:r>
      <w:r w:rsidR="009252C0">
        <w:tab/>
      </w:r>
      <w:r w:rsidR="009252C0">
        <w:tab/>
      </w:r>
      <w:r w:rsidR="009252C0">
        <w:tab/>
      </w:r>
      <w:r w:rsidR="009252C0">
        <w:tab/>
      </w:r>
      <w:r w:rsidR="009252C0">
        <w:tab/>
      </w:r>
      <w:r w:rsidR="009252C0">
        <w:tab/>
      </w:r>
      <w:r w:rsidR="009252C0">
        <w:tab/>
      </w:r>
    </w:p>
    <w:p w:rsidR="004C0250" w:rsidRDefault="004C0250" w:rsidP="00A45009">
      <w:pPr>
        <w:pStyle w:val="TableBullet"/>
        <w:numPr>
          <w:ilvl w:val="0"/>
          <w:numId w:val="0"/>
        </w:numPr>
        <w:spacing w:after="0" w:line="240" w:lineRule="auto"/>
        <w:ind w:left="567"/>
      </w:pPr>
    </w:p>
    <w:p w:rsidR="004C0250" w:rsidRDefault="004C0250" w:rsidP="00A45009">
      <w:pPr>
        <w:pStyle w:val="TableBullet"/>
        <w:numPr>
          <w:ilvl w:val="0"/>
          <w:numId w:val="0"/>
        </w:numPr>
        <w:spacing w:after="0" w:line="240" w:lineRule="auto"/>
        <w:ind w:left="1134"/>
      </w:pPr>
      <w:r>
        <w:t>Issue 8:   Product approvals</w:t>
      </w:r>
      <w:r w:rsidR="00E236BA">
        <w:tab/>
      </w:r>
      <w:r w:rsidR="00E236BA">
        <w:tab/>
      </w:r>
      <w:r w:rsidR="00E236BA">
        <w:tab/>
      </w:r>
      <w:r w:rsidR="00E236BA">
        <w:tab/>
      </w:r>
      <w:r w:rsidR="00E236BA">
        <w:tab/>
      </w:r>
      <w:r w:rsidR="00E236BA">
        <w:tab/>
      </w:r>
      <w:r w:rsidR="00E236BA">
        <w:tab/>
      </w:r>
      <w:r w:rsidR="00E236BA">
        <w:tab/>
      </w:r>
      <w:r w:rsidR="00383F10">
        <w:t>28</w:t>
      </w:r>
    </w:p>
    <w:p w:rsidR="004C0250" w:rsidRDefault="004C0250" w:rsidP="00A45009">
      <w:pPr>
        <w:pStyle w:val="TableBullet"/>
        <w:numPr>
          <w:ilvl w:val="0"/>
          <w:numId w:val="0"/>
        </w:numPr>
        <w:spacing w:after="0" w:line="240" w:lineRule="auto"/>
        <w:ind w:left="1134"/>
      </w:pPr>
      <w:r>
        <w:t xml:space="preserve">Issue 9:   Controlled activities </w:t>
      </w:r>
      <w:r w:rsidR="00E236BA">
        <w:tab/>
      </w:r>
      <w:r w:rsidR="00E236BA">
        <w:tab/>
      </w:r>
      <w:r w:rsidR="00E236BA">
        <w:tab/>
      </w:r>
      <w:r w:rsidR="00E236BA">
        <w:tab/>
      </w:r>
      <w:r w:rsidR="00E236BA">
        <w:tab/>
      </w:r>
      <w:r w:rsidR="00E236BA">
        <w:tab/>
      </w:r>
      <w:r w:rsidR="00E236BA">
        <w:tab/>
      </w:r>
      <w:r w:rsidR="0020581D">
        <w:t>30</w:t>
      </w:r>
    </w:p>
    <w:p w:rsidR="004C0250" w:rsidRDefault="004C0250" w:rsidP="00A45009">
      <w:pPr>
        <w:pStyle w:val="TableBullet"/>
        <w:numPr>
          <w:ilvl w:val="0"/>
          <w:numId w:val="0"/>
        </w:numPr>
        <w:spacing w:after="0" w:line="240" w:lineRule="auto"/>
        <w:ind w:left="1134"/>
      </w:pPr>
      <w:r>
        <w:t>Issue 10: Pharmacy licensing and control</w:t>
      </w:r>
      <w:r w:rsidR="00E236BA">
        <w:tab/>
      </w:r>
      <w:r w:rsidR="00E236BA">
        <w:tab/>
      </w:r>
      <w:r w:rsidR="00E236BA">
        <w:tab/>
      </w:r>
      <w:r w:rsidR="00E236BA">
        <w:tab/>
      </w:r>
      <w:r w:rsidR="00E236BA">
        <w:tab/>
      </w:r>
      <w:r w:rsidR="00383F10">
        <w:t>32</w:t>
      </w:r>
    </w:p>
    <w:p w:rsidR="004C0250" w:rsidRDefault="004C0250" w:rsidP="00A45009">
      <w:pPr>
        <w:pStyle w:val="TableBullet"/>
        <w:numPr>
          <w:ilvl w:val="0"/>
          <w:numId w:val="0"/>
        </w:numPr>
        <w:spacing w:after="0" w:line="240" w:lineRule="auto"/>
        <w:ind w:left="1134"/>
      </w:pPr>
      <w:r>
        <w:t>Issue 11: Exemption issues</w:t>
      </w:r>
      <w:r w:rsidR="009252C0">
        <w:tab/>
      </w:r>
      <w:r w:rsidR="009252C0">
        <w:tab/>
      </w:r>
      <w:r w:rsidR="009252C0">
        <w:tab/>
      </w:r>
      <w:r w:rsidR="009252C0">
        <w:tab/>
      </w:r>
      <w:r w:rsidR="009252C0">
        <w:tab/>
      </w:r>
      <w:r w:rsidR="009252C0">
        <w:tab/>
      </w:r>
      <w:r w:rsidR="009252C0">
        <w:tab/>
      </w:r>
      <w:r w:rsidR="009252C0">
        <w:tab/>
      </w:r>
      <w:r w:rsidR="0020581D">
        <w:t>33</w:t>
      </w:r>
    </w:p>
    <w:p w:rsidR="004C0250" w:rsidRDefault="004C0250" w:rsidP="00A45009">
      <w:pPr>
        <w:pStyle w:val="TableBullet"/>
        <w:numPr>
          <w:ilvl w:val="0"/>
          <w:numId w:val="0"/>
        </w:numPr>
        <w:spacing w:after="0" w:line="240" w:lineRule="auto"/>
        <w:ind w:left="567"/>
        <w:rPr>
          <w:u w:val="single"/>
        </w:rPr>
      </w:pPr>
    </w:p>
    <w:p w:rsidR="004C0250" w:rsidRPr="00A45009" w:rsidRDefault="004C0250" w:rsidP="00A45009">
      <w:pPr>
        <w:pStyle w:val="TableBullet"/>
        <w:numPr>
          <w:ilvl w:val="0"/>
          <w:numId w:val="0"/>
        </w:numPr>
        <w:spacing w:after="0" w:line="240" w:lineRule="auto"/>
        <w:ind w:left="567"/>
      </w:pPr>
      <w:r w:rsidRPr="00A45009">
        <w:t xml:space="preserve">Post-market </w:t>
      </w:r>
      <w:r w:rsidR="00E236BA">
        <w:tab/>
      </w:r>
      <w:r w:rsidR="00E236BA">
        <w:tab/>
      </w:r>
      <w:r w:rsidR="00E236BA">
        <w:tab/>
      </w:r>
      <w:r w:rsidR="00E236BA">
        <w:tab/>
      </w:r>
      <w:r w:rsidR="00E236BA">
        <w:tab/>
      </w:r>
      <w:r w:rsidR="00E236BA">
        <w:tab/>
      </w:r>
      <w:r w:rsidR="00E236BA">
        <w:tab/>
      </w:r>
      <w:r w:rsidR="00E236BA">
        <w:tab/>
      </w:r>
      <w:r w:rsidR="00E236BA">
        <w:tab/>
      </w:r>
      <w:r w:rsidR="00E236BA">
        <w:tab/>
      </w:r>
      <w:r w:rsidR="00E236BA">
        <w:tab/>
      </w:r>
    </w:p>
    <w:p w:rsidR="004C0250" w:rsidRDefault="004C0250" w:rsidP="00A45009">
      <w:pPr>
        <w:pStyle w:val="TableBullet"/>
        <w:numPr>
          <w:ilvl w:val="0"/>
          <w:numId w:val="0"/>
        </w:numPr>
        <w:spacing w:after="0" w:line="240" w:lineRule="auto"/>
        <w:ind w:left="567"/>
      </w:pPr>
    </w:p>
    <w:p w:rsidR="004C0250" w:rsidRDefault="004C0250" w:rsidP="00A45009">
      <w:pPr>
        <w:pStyle w:val="TableBullet"/>
        <w:numPr>
          <w:ilvl w:val="0"/>
          <w:numId w:val="0"/>
        </w:numPr>
        <w:spacing w:after="0" w:line="240" w:lineRule="auto"/>
        <w:ind w:left="1134"/>
      </w:pPr>
      <w:r>
        <w:t>Issue 12: Monitoring</w:t>
      </w:r>
      <w:r w:rsidR="00E236BA">
        <w:tab/>
      </w:r>
      <w:r w:rsidR="00E236BA">
        <w:tab/>
      </w:r>
      <w:r w:rsidR="00E236BA">
        <w:tab/>
      </w:r>
      <w:r w:rsidR="00E236BA">
        <w:tab/>
      </w:r>
      <w:r w:rsidR="00E236BA">
        <w:tab/>
      </w:r>
      <w:r w:rsidR="00E236BA">
        <w:tab/>
      </w:r>
      <w:r w:rsidR="00E236BA">
        <w:tab/>
      </w:r>
      <w:r w:rsidR="00E236BA">
        <w:tab/>
      </w:r>
      <w:r w:rsidR="00E236BA">
        <w:tab/>
      </w:r>
      <w:r w:rsidR="0020581D">
        <w:t>35</w:t>
      </w:r>
    </w:p>
    <w:p w:rsidR="004C0250" w:rsidRDefault="004C0250" w:rsidP="00A45009">
      <w:pPr>
        <w:pStyle w:val="TableBullet"/>
        <w:numPr>
          <w:ilvl w:val="0"/>
          <w:numId w:val="0"/>
        </w:numPr>
        <w:spacing w:after="0" w:line="240" w:lineRule="auto"/>
        <w:ind w:left="1134"/>
      </w:pPr>
      <w:r>
        <w:t>Issue 13: Enforcement</w:t>
      </w:r>
      <w:r w:rsidR="00E236BA">
        <w:tab/>
      </w:r>
      <w:r w:rsidR="00E236BA">
        <w:tab/>
      </w:r>
      <w:r w:rsidR="00E236BA">
        <w:tab/>
      </w:r>
      <w:r w:rsidR="00E236BA">
        <w:tab/>
      </w:r>
      <w:r w:rsidR="00E236BA">
        <w:tab/>
      </w:r>
      <w:r w:rsidR="00E236BA">
        <w:tab/>
      </w:r>
      <w:r w:rsidR="00E236BA">
        <w:tab/>
      </w:r>
      <w:r w:rsidR="00E236BA">
        <w:tab/>
      </w:r>
      <w:r w:rsidR="00E236BA">
        <w:tab/>
      </w:r>
      <w:r w:rsidR="00383F10">
        <w:t>37</w:t>
      </w:r>
    </w:p>
    <w:p w:rsidR="00A45009" w:rsidRDefault="00A45009" w:rsidP="00A45009">
      <w:pPr>
        <w:spacing w:after="0" w:line="240" w:lineRule="auto"/>
        <w:ind w:firstLine="567"/>
        <w:rPr>
          <w:b/>
          <w:i/>
        </w:rPr>
      </w:pPr>
    </w:p>
    <w:p w:rsidR="00A45009" w:rsidRPr="00E236BA" w:rsidRDefault="009F2908" w:rsidP="009F2908">
      <w:pPr>
        <w:spacing w:after="0" w:line="240" w:lineRule="auto"/>
      </w:pPr>
      <w:r>
        <w:rPr>
          <w:b/>
          <w:i/>
        </w:rPr>
        <w:t xml:space="preserve">     </w:t>
      </w:r>
      <w:r w:rsidR="00A45009" w:rsidRPr="004C0250">
        <w:rPr>
          <w:b/>
          <w:i/>
        </w:rPr>
        <w:t xml:space="preserve">Part </w:t>
      </w:r>
      <w:r w:rsidR="003737C5">
        <w:rPr>
          <w:b/>
          <w:i/>
        </w:rPr>
        <w:t>B: Expected i</w:t>
      </w:r>
      <w:r w:rsidR="00A45009">
        <w:rPr>
          <w:b/>
          <w:i/>
        </w:rPr>
        <w:t>mpacts for preferred approach</w:t>
      </w:r>
      <w:r w:rsidR="00E236BA">
        <w:rPr>
          <w:b/>
          <w:i/>
        </w:rPr>
        <w:tab/>
      </w:r>
      <w:r w:rsidR="00E236BA">
        <w:rPr>
          <w:b/>
          <w:i/>
        </w:rPr>
        <w:tab/>
      </w:r>
      <w:r w:rsidR="00E236BA">
        <w:rPr>
          <w:b/>
          <w:i/>
        </w:rPr>
        <w:tab/>
      </w:r>
      <w:r w:rsidR="00E236BA">
        <w:rPr>
          <w:b/>
          <w:i/>
        </w:rPr>
        <w:tab/>
      </w:r>
      <w:r w:rsidR="00E236BA">
        <w:rPr>
          <w:b/>
          <w:i/>
        </w:rPr>
        <w:tab/>
      </w:r>
      <w:r w:rsidR="00383F10">
        <w:t>39</w:t>
      </w:r>
    </w:p>
    <w:p w:rsidR="00A45009" w:rsidRDefault="00A45009" w:rsidP="00A45009">
      <w:pPr>
        <w:spacing w:after="0" w:line="240" w:lineRule="auto"/>
        <w:ind w:left="567"/>
        <w:rPr>
          <w:b/>
          <w:i/>
        </w:rPr>
      </w:pPr>
    </w:p>
    <w:p w:rsidR="00A45009" w:rsidRPr="00E236BA" w:rsidRDefault="009F2908" w:rsidP="009F2908">
      <w:pPr>
        <w:spacing w:after="0" w:line="240" w:lineRule="auto"/>
      </w:pPr>
      <w:r>
        <w:rPr>
          <w:b/>
          <w:i/>
        </w:rPr>
        <w:t xml:space="preserve">     </w:t>
      </w:r>
      <w:r w:rsidR="00A45009" w:rsidRPr="004C0250">
        <w:rPr>
          <w:b/>
          <w:i/>
        </w:rPr>
        <w:t xml:space="preserve">Part </w:t>
      </w:r>
      <w:r w:rsidR="00A45009">
        <w:rPr>
          <w:b/>
          <w:i/>
        </w:rPr>
        <w:t>C: Overall impacts on costs and outcomes</w:t>
      </w:r>
      <w:r w:rsidR="00E236BA">
        <w:rPr>
          <w:b/>
          <w:i/>
        </w:rPr>
        <w:tab/>
      </w:r>
      <w:r w:rsidR="00E236BA">
        <w:rPr>
          <w:b/>
          <w:i/>
        </w:rPr>
        <w:tab/>
      </w:r>
      <w:r w:rsidR="00E236BA">
        <w:rPr>
          <w:b/>
          <w:i/>
        </w:rPr>
        <w:tab/>
      </w:r>
      <w:r w:rsidR="00E236BA">
        <w:rPr>
          <w:b/>
          <w:i/>
        </w:rPr>
        <w:tab/>
      </w:r>
      <w:r w:rsidR="00E236BA">
        <w:rPr>
          <w:b/>
          <w:i/>
        </w:rPr>
        <w:tab/>
      </w:r>
      <w:r w:rsidR="00383F10">
        <w:t>4</w:t>
      </w:r>
      <w:r w:rsidR="0020581D">
        <w:t>1</w:t>
      </w:r>
    </w:p>
    <w:p w:rsidR="00A45009" w:rsidRDefault="00A45009" w:rsidP="00A45009">
      <w:pPr>
        <w:spacing w:after="0" w:line="240" w:lineRule="auto"/>
        <w:ind w:left="567"/>
        <w:rPr>
          <w:b/>
          <w:i/>
        </w:rPr>
      </w:pPr>
    </w:p>
    <w:p w:rsidR="00A45009" w:rsidRPr="00E236BA" w:rsidRDefault="009F2908" w:rsidP="009F2908">
      <w:pPr>
        <w:spacing w:after="0" w:line="240" w:lineRule="auto"/>
      </w:pPr>
      <w:r>
        <w:rPr>
          <w:b/>
          <w:i/>
        </w:rPr>
        <w:t xml:space="preserve">     </w:t>
      </w:r>
      <w:r w:rsidR="00A45009" w:rsidRPr="004C0250">
        <w:rPr>
          <w:b/>
          <w:i/>
        </w:rPr>
        <w:t xml:space="preserve">Part </w:t>
      </w:r>
      <w:r w:rsidR="00A45009">
        <w:rPr>
          <w:b/>
          <w:i/>
        </w:rPr>
        <w:t xml:space="preserve">D: Further points on </w:t>
      </w:r>
      <w:r w:rsidR="00BC50FA">
        <w:rPr>
          <w:b/>
          <w:i/>
        </w:rPr>
        <w:t>approaches and impacts</w:t>
      </w:r>
      <w:r w:rsidR="00E236BA">
        <w:rPr>
          <w:b/>
          <w:i/>
        </w:rPr>
        <w:tab/>
      </w:r>
      <w:r w:rsidR="00195771">
        <w:rPr>
          <w:b/>
          <w:i/>
        </w:rPr>
        <w:tab/>
      </w:r>
      <w:r w:rsidR="00195771">
        <w:rPr>
          <w:b/>
          <w:i/>
        </w:rPr>
        <w:tab/>
      </w:r>
      <w:r w:rsidR="00E236BA">
        <w:rPr>
          <w:b/>
          <w:i/>
        </w:rPr>
        <w:tab/>
      </w:r>
      <w:r w:rsidR="00E236BA">
        <w:rPr>
          <w:b/>
          <w:i/>
        </w:rPr>
        <w:tab/>
      </w:r>
      <w:r w:rsidR="0020581D">
        <w:t>44</w:t>
      </w:r>
    </w:p>
    <w:p w:rsidR="00A45009" w:rsidRDefault="00A45009" w:rsidP="00A45009">
      <w:pPr>
        <w:spacing w:after="0" w:line="240" w:lineRule="auto"/>
        <w:rPr>
          <w:b/>
        </w:rPr>
      </w:pPr>
    </w:p>
    <w:p w:rsidR="00A45009" w:rsidRDefault="00A45009" w:rsidP="00A45009">
      <w:pPr>
        <w:spacing w:after="0" w:line="240" w:lineRule="auto"/>
      </w:pPr>
      <w:r>
        <w:rPr>
          <w:b/>
        </w:rPr>
        <w:t>Consultation</w:t>
      </w:r>
      <w:r w:rsidR="00E236BA">
        <w:rPr>
          <w:b/>
        </w:rPr>
        <w:tab/>
      </w:r>
      <w:r w:rsidR="00E236BA">
        <w:rPr>
          <w:b/>
        </w:rPr>
        <w:tab/>
      </w:r>
      <w:r w:rsidR="00E236BA">
        <w:rPr>
          <w:b/>
        </w:rPr>
        <w:tab/>
      </w:r>
      <w:r w:rsidR="00E236BA">
        <w:rPr>
          <w:b/>
        </w:rPr>
        <w:tab/>
      </w:r>
      <w:r w:rsidR="00E236BA">
        <w:rPr>
          <w:b/>
        </w:rPr>
        <w:tab/>
      </w:r>
      <w:r w:rsidR="00E236BA">
        <w:rPr>
          <w:b/>
        </w:rPr>
        <w:tab/>
      </w:r>
      <w:r w:rsidR="00E236BA">
        <w:rPr>
          <w:b/>
        </w:rPr>
        <w:tab/>
      </w:r>
      <w:r w:rsidR="00E236BA">
        <w:rPr>
          <w:b/>
        </w:rPr>
        <w:tab/>
      </w:r>
      <w:r w:rsidR="00E236BA">
        <w:rPr>
          <w:b/>
        </w:rPr>
        <w:tab/>
      </w:r>
      <w:r w:rsidR="00E236BA">
        <w:rPr>
          <w:b/>
        </w:rPr>
        <w:tab/>
      </w:r>
      <w:r w:rsidR="00E236BA">
        <w:rPr>
          <w:b/>
        </w:rPr>
        <w:tab/>
      </w:r>
      <w:r w:rsidR="00E236BA">
        <w:rPr>
          <w:b/>
        </w:rPr>
        <w:tab/>
      </w:r>
      <w:r w:rsidR="00383F10">
        <w:t>46</w:t>
      </w:r>
    </w:p>
    <w:p w:rsidR="009252C0" w:rsidRDefault="009252C0" w:rsidP="00A45009">
      <w:pPr>
        <w:spacing w:after="0" w:line="240" w:lineRule="auto"/>
        <w:rPr>
          <w:b/>
        </w:rPr>
      </w:pPr>
    </w:p>
    <w:p w:rsidR="00A45009" w:rsidRPr="00E236BA" w:rsidRDefault="00A45009" w:rsidP="00A45009">
      <w:pPr>
        <w:spacing w:after="0" w:line="240" w:lineRule="auto"/>
      </w:pPr>
      <w:r>
        <w:rPr>
          <w:b/>
        </w:rPr>
        <w:t>Conclusions and recommendations</w:t>
      </w:r>
      <w:r w:rsidR="00E236BA">
        <w:rPr>
          <w:b/>
        </w:rPr>
        <w:tab/>
      </w:r>
      <w:r w:rsidR="00E236BA">
        <w:rPr>
          <w:b/>
        </w:rPr>
        <w:tab/>
      </w:r>
      <w:r w:rsidR="00E236BA">
        <w:rPr>
          <w:b/>
        </w:rPr>
        <w:tab/>
      </w:r>
      <w:r w:rsidR="00E236BA">
        <w:rPr>
          <w:b/>
        </w:rPr>
        <w:tab/>
      </w:r>
      <w:r w:rsidR="00E236BA">
        <w:rPr>
          <w:b/>
        </w:rPr>
        <w:tab/>
      </w:r>
      <w:r w:rsidR="00E236BA">
        <w:rPr>
          <w:b/>
        </w:rPr>
        <w:tab/>
      </w:r>
      <w:r w:rsidR="00E236BA">
        <w:rPr>
          <w:b/>
        </w:rPr>
        <w:tab/>
      </w:r>
      <w:r w:rsidR="00E236BA">
        <w:rPr>
          <w:b/>
        </w:rPr>
        <w:tab/>
      </w:r>
      <w:r w:rsidR="0020581D">
        <w:t>46</w:t>
      </w:r>
    </w:p>
    <w:p w:rsidR="00A45009" w:rsidRDefault="00A45009" w:rsidP="00A45009">
      <w:pPr>
        <w:spacing w:after="0" w:line="240" w:lineRule="auto"/>
        <w:rPr>
          <w:b/>
        </w:rPr>
      </w:pPr>
    </w:p>
    <w:p w:rsidR="00A45009" w:rsidRPr="00E236BA" w:rsidRDefault="00A45009" w:rsidP="00A45009">
      <w:pPr>
        <w:spacing w:after="0" w:line="240" w:lineRule="auto"/>
      </w:pPr>
      <w:r>
        <w:rPr>
          <w:b/>
        </w:rPr>
        <w:t>Implementation</w:t>
      </w:r>
      <w:r w:rsidR="00E236BA">
        <w:rPr>
          <w:b/>
        </w:rPr>
        <w:tab/>
      </w:r>
      <w:r w:rsidR="00E236BA">
        <w:rPr>
          <w:b/>
        </w:rPr>
        <w:tab/>
      </w:r>
      <w:r w:rsidR="00E236BA">
        <w:rPr>
          <w:b/>
        </w:rPr>
        <w:tab/>
      </w:r>
      <w:r w:rsidR="00E236BA">
        <w:rPr>
          <w:b/>
        </w:rPr>
        <w:tab/>
      </w:r>
      <w:r w:rsidR="00E236BA">
        <w:rPr>
          <w:b/>
        </w:rPr>
        <w:tab/>
      </w:r>
      <w:r w:rsidR="00E236BA">
        <w:rPr>
          <w:b/>
        </w:rPr>
        <w:tab/>
      </w:r>
      <w:r w:rsidR="00E236BA">
        <w:rPr>
          <w:b/>
        </w:rPr>
        <w:tab/>
      </w:r>
      <w:r w:rsidR="00E236BA">
        <w:rPr>
          <w:b/>
        </w:rPr>
        <w:tab/>
      </w:r>
      <w:r w:rsidR="00E236BA">
        <w:rPr>
          <w:b/>
        </w:rPr>
        <w:tab/>
      </w:r>
      <w:r w:rsidR="00E236BA">
        <w:rPr>
          <w:b/>
        </w:rPr>
        <w:tab/>
      </w:r>
      <w:r w:rsidR="00E236BA">
        <w:rPr>
          <w:b/>
        </w:rPr>
        <w:tab/>
      </w:r>
      <w:r w:rsidR="00E236BA">
        <w:rPr>
          <w:b/>
        </w:rPr>
        <w:tab/>
      </w:r>
      <w:r w:rsidR="0020581D">
        <w:t>47</w:t>
      </w:r>
    </w:p>
    <w:p w:rsidR="00A45009" w:rsidRDefault="00A45009" w:rsidP="00A45009">
      <w:pPr>
        <w:spacing w:after="0" w:line="240" w:lineRule="auto"/>
        <w:rPr>
          <w:b/>
        </w:rPr>
      </w:pPr>
    </w:p>
    <w:p w:rsidR="00A45009" w:rsidRPr="00E236BA" w:rsidRDefault="00A45009" w:rsidP="00A45009">
      <w:pPr>
        <w:spacing w:after="0" w:line="240" w:lineRule="auto"/>
      </w:pPr>
      <w:r>
        <w:rPr>
          <w:b/>
        </w:rPr>
        <w:t>Monitoring, evaluation and review</w:t>
      </w:r>
      <w:r w:rsidR="00E236BA">
        <w:rPr>
          <w:b/>
        </w:rPr>
        <w:tab/>
      </w:r>
      <w:r w:rsidR="00E236BA">
        <w:rPr>
          <w:b/>
        </w:rPr>
        <w:tab/>
      </w:r>
      <w:r w:rsidR="00E236BA">
        <w:rPr>
          <w:b/>
        </w:rPr>
        <w:tab/>
      </w:r>
      <w:r w:rsidR="00E236BA">
        <w:rPr>
          <w:b/>
        </w:rPr>
        <w:tab/>
      </w:r>
      <w:r w:rsidR="00E236BA">
        <w:rPr>
          <w:b/>
        </w:rPr>
        <w:tab/>
      </w:r>
      <w:r w:rsidR="00E236BA">
        <w:rPr>
          <w:b/>
        </w:rPr>
        <w:tab/>
      </w:r>
      <w:r w:rsidR="00E236BA">
        <w:rPr>
          <w:b/>
        </w:rPr>
        <w:tab/>
      </w:r>
      <w:r w:rsidR="00E236BA">
        <w:rPr>
          <w:b/>
        </w:rPr>
        <w:tab/>
      </w:r>
      <w:r w:rsidR="0020581D">
        <w:t>49</w:t>
      </w:r>
    </w:p>
    <w:p w:rsidR="008D5CD9" w:rsidRDefault="007276CD" w:rsidP="0088541D">
      <w:pPr>
        <w:pStyle w:val="Heading2"/>
      </w:pPr>
      <w:r>
        <w:t>Executive s</w:t>
      </w:r>
      <w:r w:rsidR="008D5CD9">
        <w:t>ummary</w:t>
      </w:r>
      <w:bookmarkEnd w:id="24"/>
      <w:bookmarkEnd w:id="25"/>
      <w:bookmarkEnd w:id="26"/>
      <w:bookmarkEnd w:id="27"/>
      <w:bookmarkEnd w:id="28"/>
      <w:bookmarkEnd w:id="29"/>
    </w:p>
    <w:p w:rsidR="00023980" w:rsidRDefault="00443A57" w:rsidP="00B85C02">
      <w:pPr>
        <w:pStyle w:val="BodyText"/>
      </w:pPr>
      <w:r>
        <w:t>Th</w:t>
      </w:r>
      <w:r w:rsidR="0037065C">
        <w:t>is RIS address</w:t>
      </w:r>
      <w:r w:rsidR="008B70FA">
        <w:t>es</w:t>
      </w:r>
      <w:r w:rsidR="0037065C">
        <w:t xml:space="preserve"> the issues and </w:t>
      </w:r>
      <w:r>
        <w:t xml:space="preserve">options </w:t>
      </w:r>
      <w:r w:rsidR="008B279A">
        <w:t xml:space="preserve">associated with replacing the Medicines Act 1981 and its </w:t>
      </w:r>
      <w:r w:rsidR="008B279A" w:rsidRPr="00B85C02">
        <w:t>Regulations</w:t>
      </w:r>
      <w:r w:rsidR="008B279A">
        <w:t xml:space="preserve"> with a </w:t>
      </w:r>
      <w:r w:rsidR="0037065C">
        <w:t xml:space="preserve">new and comprehensive </w:t>
      </w:r>
      <w:r w:rsidR="008B279A">
        <w:t xml:space="preserve">therapeutic products regulatory </w:t>
      </w:r>
      <w:r w:rsidR="0037065C">
        <w:t>regime</w:t>
      </w:r>
      <w:r w:rsidR="008B279A">
        <w:t>.</w:t>
      </w:r>
      <w:r w:rsidR="00023980">
        <w:t xml:space="preserve">  Th</w:t>
      </w:r>
      <w:r w:rsidR="0023656B">
        <w:t xml:space="preserve">e Therapeutic Products Bill </w:t>
      </w:r>
      <w:r w:rsidR="00023980" w:rsidRPr="00FA2F3F">
        <w:t>has priority 6 on the Government’s Legislation Programme [CAB Min (15) 5/7 refers].</w:t>
      </w:r>
    </w:p>
    <w:p w:rsidR="00D10455" w:rsidRDefault="00D10455" w:rsidP="00316AA9">
      <w:pPr>
        <w:pStyle w:val="BodyText"/>
      </w:pPr>
      <w:r>
        <w:t xml:space="preserve">Therapeutic products </w:t>
      </w:r>
      <w:r w:rsidR="008B279A">
        <w:t xml:space="preserve">are </w:t>
      </w:r>
      <w:r>
        <w:t xml:space="preserve">vital </w:t>
      </w:r>
      <w:r w:rsidR="008B279A">
        <w:t>for achieving health outco</w:t>
      </w:r>
      <w:r w:rsidR="0087132D">
        <w:t xml:space="preserve">mes, and need to be regulated. </w:t>
      </w:r>
    </w:p>
    <w:p w:rsidR="00023980" w:rsidRPr="00FA2F3F" w:rsidRDefault="00D10455" w:rsidP="00316AA9">
      <w:pPr>
        <w:pStyle w:val="BodyText"/>
      </w:pPr>
      <w:r>
        <w:t>Deficiencies in the Medicines Act</w:t>
      </w:r>
      <w:r w:rsidR="0023656B">
        <w:t xml:space="preserve"> </w:t>
      </w:r>
      <w:r>
        <w:t>have been noted (for at least 20 years), a</w:t>
      </w:r>
      <w:r w:rsidR="008B279A">
        <w:t xml:space="preserve">nd a joint approach with Australia </w:t>
      </w:r>
      <w:r>
        <w:t xml:space="preserve">was explored (over the last </w:t>
      </w:r>
      <w:r w:rsidR="007A122C">
        <w:t>15 years</w:t>
      </w:r>
      <w:r>
        <w:t>) to create a single trans-Tasman regime</w:t>
      </w:r>
      <w:r w:rsidR="0014085C">
        <w:t xml:space="preserve"> (ANZTPA)</w:t>
      </w:r>
      <w:r>
        <w:t>.</w:t>
      </w:r>
      <w:r w:rsidR="00023980">
        <w:t xml:space="preserve">  </w:t>
      </w:r>
      <w:r w:rsidR="00023980" w:rsidRPr="00FA2F3F">
        <w:t>In November 2014</w:t>
      </w:r>
      <w:r w:rsidR="00023980">
        <w:t>,</w:t>
      </w:r>
      <w:r w:rsidR="00023980" w:rsidRPr="00FA2F3F">
        <w:t xml:space="preserve"> </w:t>
      </w:r>
      <w:r w:rsidR="00023980">
        <w:t xml:space="preserve">Minister Coleman and his Australian counterpart </w:t>
      </w:r>
      <w:r w:rsidR="00023980" w:rsidRPr="00FA2F3F">
        <w:t>announced the cessation of efforts to establish ANZTPA.  At that time</w:t>
      </w:r>
      <w:r w:rsidR="00023980">
        <w:t xml:space="preserve">, the Minister </w:t>
      </w:r>
      <w:r w:rsidR="00023980" w:rsidRPr="00FA2F3F">
        <w:t>also announced that New Zealand would develop its own comprehensive domestic regulatory regime that covers medicines, medical devices and cell and tissue therapies [CAB Min (14) 36/22 refers].</w:t>
      </w:r>
    </w:p>
    <w:p w:rsidR="0018483D" w:rsidRDefault="00D10455" w:rsidP="0018483D">
      <w:pPr>
        <w:pStyle w:val="BodyText"/>
      </w:pPr>
      <w:r>
        <w:t xml:space="preserve">New Zealand </w:t>
      </w:r>
      <w:r w:rsidR="002D17E9">
        <w:t xml:space="preserve">now needs </w:t>
      </w:r>
      <w:r w:rsidR="005D20E7">
        <w:t xml:space="preserve">to </w:t>
      </w:r>
      <w:r w:rsidR="002D17E9">
        <w:t>put</w:t>
      </w:r>
      <w:r>
        <w:t xml:space="preserve"> in place an upgraded domestic regime for the regulation of therapeutic products</w:t>
      </w:r>
      <w:r w:rsidR="00DF7A41">
        <w:t xml:space="preserve">. </w:t>
      </w:r>
      <w:r w:rsidR="0018483D">
        <w:t>It is necessary to address th</w:t>
      </w:r>
      <w:r w:rsidR="0018483D" w:rsidRPr="00B96F59">
        <w:t>e legislative frame</w:t>
      </w:r>
      <w:r w:rsidR="00DF7A41">
        <w:t>work</w:t>
      </w:r>
      <w:r w:rsidR="0018483D">
        <w:t xml:space="preserve"> and gaps and deficiencies in the policy settings, which increase the risks of adverse health outcomes</w:t>
      </w:r>
      <w:r w:rsidR="00DF7A41">
        <w:t xml:space="preserve">, </w:t>
      </w:r>
      <w:r w:rsidR="0018483D">
        <w:t>especially in relation to medical device</w:t>
      </w:r>
      <w:r w:rsidR="00DF7A41">
        <w:t>s and cell and tissue therapies</w:t>
      </w:r>
      <w:r w:rsidR="0018483D">
        <w:t xml:space="preserve">. </w:t>
      </w:r>
    </w:p>
    <w:p w:rsidR="009F398A" w:rsidRDefault="00DF7A41" w:rsidP="00316AA9">
      <w:pPr>
        <w:pStyle w:val="BodyText"/>
      </w:pPr>
      <w:r>
        <w:t>While t</w:t>
      </w:r>
      <w:r w:rsidR="009F398A">
        <w:t>his cannot be done in one stage</w:t>
      </w:r>
      <w:r>
        <w:t xml:space="preserve">, it </w:t>
      </w:r>
      <w:r w:rsidR="009F398A">
        <w:t xml:space="preserve">is urgent to make a start </w:t>
      </w:r>
      <w:r w:rsidR="00983C52">
        <w:t xml:space="preserve">now </w:t>
      </w:r>
      <w:r w:rsidR="009F398A">
        <w:t xml:space="preserve">because it will involve some years of work.  </w:t>
      </w:r>
    </w:p>
    <w:p w:rsidR="00297749" w:rsidRDefault="00297749" w:rsidP="0018483D">
      <w:pPr>
        <w:pStyle w:val="BodyText"/>
      </w:pPr>
      <w:r>
        <w:t xml:space="preserve">The legislative framework problem may be best addressed by ensuring that product and licensing decisions </w:t>
      </w:r>
      <w:r w:rsidR="00DF7A41">
        <w:t xml:space="preserve">are </w:t>
      </w:r>
      <w:r>
        <w:t>devolved to the regulator</w:t>
      </w:r>
      <w:r w:rsidR="00DF7A41">
        <w:t xml:space="preserve">.  This should be </w:t>
      </w:r>
      <w:r>
        <w:t>supported by a clear and principled legislative mandate with robust accountability for the regulator’s organisational performance and its regulatory decisions.</w:t>
      </w:r>
    </w:p>
    <w:p w:rsidR="00297749" w:rsidRDefault="00297749" w:rsidP="0018483D">
      <w:pPr>
        <w:pStyle w:val="BodyText"/>
      </w:pPr>
      <w:r>
        <w:t>Policy settings should be strengthened by bringing all therapeutic products and related activities within the scope of regulation</w:t>
      </w:r>
      <w:r w:rsidR="00DF7A41">
        <w:t>,</w:t>
      </w:r>
      <w:r>
        <w:t xml:space="preserve"> and</w:t>
      </w:r>
      <w:r w:rsidR="00DF7A41">
        <w:t xml:space="preserve"> taking an approach that is</w:t>
      </w:r>
      <w:r>
        <w:t>:</w:t>
      </w:r>
    </w:p>
    <w:p w:rsidR="00297749" w:rsidRDefault="00297749" w:rsidP="0018483D">
      <w:pPr>
        <w:pStyle w:val="BodyText2"/>
      </w:pPr>
      <w:r>
        <w:t xml:space="preserve">comprehensive </w:t>
      </w:r>
      <w:r w:rsidR="00DF7A41">
        <w:t xml:space="preserve">and reflects a </w:t>
      </w:r>
      <w:r>
        <w:t>life-cycle approach, meaning all of the stages of a product or activity are considered for r</w:t>
      </w:r>
      <w:r w:rsidR="00DF7A41">
        <w:t>isk management purposes</w:t>
      </w:r>
    </w:p>
    <w:p w:rsidR="00297749" w:rsidRDefault="00DF7A41" w:rsidP="0018483D">
      <w:pPr>
        <w:pStyle w:val="BodyText2"/>
      </w:pPr>
      <w:proofErr w:type="gramStart"/>
      <w:r>
        <w:t>risk</w:t>
      </w:r>
      <w:proofErr w:type="gramEnd"/>
      <w:r>
        <w:t xml:space="preserve"> appropriate</w:t>
      </w:r>
      <w:r w:rsidR="00297749">
        <w:t xml:space="preserve">, meaning that regulatory scrutiny and the information and assurance required </w:t>
      </w:r>
      <w:r>
        <w:t xml:space="preserve">are </w:t>
      </w:r>
      <w:r w:rsidR="00297749">
        <w:t xml:space="preserve">proportionate to the risks involved. </w:t>
      </w:r>
    </w:p>
    <w:p w:rsidR="00297749" w:rsidRDefault="00297749" w:rsidP="0018483D">
      <w:pPr>
        <w:pStyle w:val="BodyText"/>
      </w:pPr>
      <w:r>
        <w:t>The powers of the regulator should be updated to ensure it is able to</w:t>
      </w:r>
      <w:r w:rsidR="00797B2B">
        <w:t>:</w:t>
      </w:r>
      <w:r>
        <w:t xml:space="preserve"> determine requirements and to impose and modify conditions on approval and licensing decisions</w:t>
      </w:r>
      <w:r w:rsidR="00797B2B">
        <w:t xml:space="preserve">; and </w:t>
      </w:r>
      <w:r>
        <w:t>obtain information and take enforcement action, which is reasonable and nec</w:t>
      </w:r>
      <w:r w:rsidR="00797B2B">
        <w:t>essary for effective regulation.  This would be</w:t>
      </w:r>
      <w:r>
        <w:t xml:space="preserve"> supported by updated sanctions and penalties for non-compliance.</w:t>
      </w:r>
    </w:p>
    <w:p w:rsidR="00A45009" w:rsidRDefault="00297749" w:rsidP="009336B4">
      <w:pPr>
        <w:pStyle w:val="BodyText"/>
      </w:pPr>
      <w:r w:rsidRPr="0018483D">
        <w:t>Given the significant development work still to be undertaken, the</w:t>
      </w:r>
      <w:r w:rsidR="00DF7A41">
        <w:t xml:space="preserve"> full </w:t>
      </w:r>
      <w:r w:rsidRPr="0018483D">
        <w:t>impacts of the proposals can</w:t>
      </w:r>
      <w:r w:rsidR="00DF7A41">
        <w:t>not</w:t>
      </w:r>
      <w:r w:rsidRPr="0018483D">
        <w:t xml:space="preserve"> be assessed quantitatively. </w:t>
      </w:r>
      <w:r w:rsidR="00DF7A41">
        <w:t xml:space="preserve"> Based on </w:t>
      </w:r>
      <w:r w:rsidRPr="0018483D">
        <w:t>the framework and building blocks proposed, however, the implications long term are predicted to involve:</w:t>
      </w:r>
      <w:r w:rsidR="0018483D" w:rsidRPr="0018483D">
        <w:t xml:space="preserve"> </w:t>
      </w:r>
      <w:r>
        <w:t>moderate increases in compliance costs for some parts of the regulated industry (most notably for the newly regulated products); positive impacts on the management of therapeutic product risk, and on product availability and possibly pricing; and a potentially positive impact fiscally for the Crown from the effects of product availability and risk management on the wider health budget and economy.</w:t>
      </w:r>
    </w:p>
    <w:p w:rsidR="008D5CD9" w:rsidRDefault="00316AA9" w:rsidP="007A122C">
      <w:pPr>
        <w:pStyle w:val="Heading2"/>
        <w:spacing w:before="0" w:after="0"/>
        <w:ind w:left="0" w:firstLine="0"/>
      </w:pPr>
      <w:bookmarkStart w:id="30" w:name="_Toc362368104"/>
      <w:bookmarkStart w:id="31" w:name="_Toc362434945"/>
      <w:bookmarkStart w:id="32" w:name="_Toc362589331"/>
      <w:bookmarkStart w:id="33" w:name="_Toc362619031"/>
      <w:bookmarkStart w:id="34" w:name="_Toc362940595"/>
      <w:bookmarkStart w:id="35" w:name="_Toc363047103"/>
      <w:r>
        <w:br w:type="page"/>
      </w:r>
      <w:r w:rsidR="008D5CD9" w:rsidRPr="00082653">
        <w:t>Status quo and problem definition</w:t>
      </w:r>
      <w:bookmarkEnd w:id="30"/>
      <w:bookmarkEnd w:id="31"/>
      <w:bookmarkEnd w:id="32"/>
      <w:bookmarkEnd w:id="33"/>
      <w:bookmarkEnd w:id="34"/>
      <w:bookmarkEnd w:id="35"/>
    </w:p>
    <w:p w:rsidR="00FB707F" w:rsidRDefault="00FB707F" w:rsidP="00FB707F">
      <w:pPr>
        <w:pStyle w:val="Bullet-list"/>
        <w:numPr>
          <w:ilvl w:val="0"/>
          <w:numId w:val="0"/>
        </w:numPr>
        <w:spacing w:after="0" w:line="240" w:lineRule="auto"/>
      </w:pPr>
    </w:p>
    <w:p w:rsidR="000E054D" w:rsidRDefault="0087132D" w:rsidP="00AC1201">
      <w:pPr>
        <w:pStyle w:val="Heading3"/>
      </w:pPr>
      <w:r>
        <w:t>Status Quo</w:t>
      </w:r>
    </w:p>
    <w:p w:rsidR="000E054D" w:rsidRDefault="000E054D" w:rsidP="00FB707F">
      <w:pPr>
        <w:pStyle w:val="Bullet-list"/>
        <w:numPr>
          <w:ilvl w:val="0"/>
          <w:numId w:val="0"/>
        </w:numPr>
        <w:spacing w:after="0" w:line="240" w:lineRule="auto"/>
        <w:rPr>
          <w:b/>
        </w:rPr>
      </w:pPr>
    </w:p>
    <w:p w:rsidR="00B8326A" w:rsidRPr="00B8326A" w:rsidRDefault="00B8326A" w:rsidP="00AC1201">
      <w:pPr>
        <w:pStyle w:val="Heading4"/>
      </w:pPr>
      <w:r w:rsidRPr="00AC1201">
        <w:t>Legislation</w:t>
      </w:r>
    </w:p>
    <w:p w:rsidR="00B8326A" w:rsidRDefault="00B8326A" w:rsidP="00FB707F">
      <w:pPr>
        <w:pStyle w:val="Bullet-list"/>
        <w:numPr>
          <w:ilvl w:val="0"/>
          <w:numId w:val="0"/>
        </w:numPr>
        <w:spacing w:after="0" w:line="240" w:lineRule="auto"/>
        <w:rPr>
          <w:b/>
        </w:rPr>
      </w:pPr>
    </w:p>
    <w:p w:rsidR="008D52D0" w:rsidRDefault="009F35FB" w:rsidP="00316AA9">
      <w:pPr>
        <w:pStyle w:val="BodyText"/>
      </w:pPr>
      <w:r w:rsidRPr="00860903">
        <w:t xml:space="preserve">The Medicines Act 1981 </w:t>
      </w:r>
      <w:r>
        <w:t xml:space="preserve">and the Medicines Regulations 1984 </w:t>
      </w:r>
      <w:r w:rsidRPr="00860903">
        <w:t xml:space="preserve">provide for the regulation of </w:t>
      </w:r>
      <w:r>
        <w:t xml:space="preserve">certain </w:t>
      </w:r>
      <w:r w:rsidRPr="00860903">
        <w:t xml:space="preserve">products </w:t>
      </w:r>
      <w:r>
        <w:t xml:space="preserve">and activities. </w:t>
      </w:r>
      <w:r w:rsidRPr="00860903">
        <w:t xml:space="preserve"> </w:t>
      </w:r>
    </w:p>
    <w:p w:rsidR="000E054D" w:rsidRPr="009F2908" w:rsidRDefault="00C163C8" w:rsidP="00316AA9">
      <w:pPr>
        <w:pStyle w:val="BodyText"/>
        <w:rPr>
          <w:b/>
        </w:rPr>
      </w:pPr>
      <w:r>
        <w:t>In summary, t</w:t>
      </w:r>
      <w:r w:rsidR="008346FD">
        <w:t>he</w:t>
      </w:r>
      <w:r w:rsidR="00267187">
        <w:t xml:space="preserve"> major focus of the</w:t>
      </w:r>
      <w:r w:rsidR="008346FD">
        <w:t xml:space="preserve"> legislation </w:t>
      </w:r>
      <w:r w:rsidR="00267187">
        <w:t xml:space="preserve">is </w:t>
      </w:r>
      <w:r w:rsidR="00C5278A">
        <w:t xml:space="preserve">on </w:t>
      </w:r>
      <w:r w:rsidR="004C5FB7">
        <w:t>medicines</w:t>
      </w:r>
      <w:r w:rsidR="00DF7A41">
        <w:t>.  I</w:t>
      </w:r>
      <w:r w:rsidR="00267187">
        <w:t xml:space="preserve">t seeks to ensure that they are </w:t>
      </w:r>
      <w:r w:rsidR="004C5FB7">
        <w:t>safe and that access to them is appropriately controlled and managed.  It does this through establishing</w:t>
      </w:r>
      <w:r w:rsidR="008346FD">
        <w:t>:</w:t>
      </w:r>
      <w:r w:rsidR="004C5FB7">
        <w:t xml:space="preserve"> an approval process (to enable the medicine to be marketed)</w:t>
      </w:r>
      <w:r w:rsidR="008346FD">
        <w:t>;</w:t>
      </w:r>
      <w:r w:rsidR="004C5FB7">
        <w:t xml:space="preserve"> </w:t>
      </w:r>
      <w:r w:rsidR="008346FD">
        <w:t xml:space="preserve">a </w:t>
      </w:r>
      <w:r w:rsidR="004C5FB7">
        <w:t>classif</w:t>
      </w:r>
      <w:r w:rsidR="00267187">
        <w:t>ication process</w:t>
      </w:r>
      <w:r w:rsidR="004C5FB7">
        <w:t xml:space="preserve"> (to determine how access may be gained)</w:t>
      </w:r>
      <w:r w:rsidR="008346FD">
        <w:t>;</w:t>
      </w:r>
      <w:r w:rsidR="004C5FB7">
        <w:t xml:space="preserve"> </w:t>
      </w:r>
      <w:r w:rsidR="008346FD">
        <w:t xml:space="preserve">a licensing system for various </w:t>
      </w:r>
      <w:r>
        <w:t>medicine-</w:t>
      </w:r>
      <w:r w:rsidR="008346FD">
        <w:t>related activities (</w:t>
      </w:r>
      <w:proofErr w:type="spellStart"/>
      <w:r w:rsidR="008346FD">
        <w:t>eg</w:t>
      </w:r>
      <w:proofErr w:type="spellEnd"/>
      <w:r w:rsidR="008346FD">
        <w:t>, manufacturing, supplying, dispensing</w:t>
      </w:r>
      <w:r w:rsidR="00267187">
        <w:t>); and addresses a range of exemptions, restrictions</w:t>
      </w:r>
      <w:r w:rsidR="005D20E7">
        <w:t xml:space="preserve"> (</w:t>
      </w:r>
      <w:proofErr w:type="spellStart"/>
      <w:r w:rsidR="005D20E7">
        <w:t>eg</w:t>
      </w:r>
      <w:proofErr w:type="spellEnd"/>
      <w:r w:rsidR="005D20E7">
        <w:t>, pharmacy ownership)</w:t>
      </w:r>
      <w:r w:rsidR="00267187">
        <w:t xml:space="preserve">, detailed procedures and processes, and enforcement.  The Act also covers </w:t>
      </w:r>
      <w:r>
        <w:t>medical devices</w:t>
      </w:r>
      <w:r w:rsidR="00267187">
        <w:t xml:space="preserve"> to a </w:t>
      </w:r>
      <w:r w:rsidR="009F2908">
        <w:t xml:space="preserve">very </w:t>
      </w:r>
      <w:r w:rsidR="00267187">
        <w:t xml:space="preserve">limited extent, and </w:t>
      </w:r>
      <w:r w:rsidR="009F2908">
        <w:t>a range of other administrative issues.</w:t>
      </w:r>
    </w:p>
    <w:p w:rsidR="00B8326A" w:rsidRDefault="00B8326A" w:rsidP="00AC1201">
      <w:pPr>
        <w:pStyle w:val="Heading4"/>
        <w:spacing w:after="240"/>
      </w:pPr>
      <w:r>
        <w:t>S</w:t>
      </w:r>
      <w:r w:rsidRPr="00622E17">
        <w:t>ize of the sector and the risks regulation seeks to manage</w:t>
      </w:r>
      <w:r>
        <w:t xml:space="preserve">  </w:t>
      </w:r>
    </w:p>
    <w:p w:rsidR="00B8326A" w:rsidRDefault="00B8326A" w:rsidP="00B8326A">
      <w:pPr>
        <w:pStyle w:val="BodyText"/>
      </w:pPr>
      <w:r w:rsidRPr="00072FA5">
        <w:t xml:space="preserve">For therapeutic products, the annual sales in New Zealand are </w:t>
      </w:r>
      <w:r w:rsidR="00DF7A41">
        <w:t xml:space="preserve">estimated to </w:t>
      </w:r>
      <w:r w:rsidRPr="00072FA5">
        <w:t xml:space="preserve">be </w:t>
      </w:r>
      <w:r w:rsidR="00DF7A41">
        <w:t xml:space="preserve">around </w:t>
      </w:r>
      <w:r w:rsidRPr="00072FA5">
        <w:t xml:space="preserve">$2 billion. </w:t>
      </w:r>
      <w:r w:rsidR="00DF7A41">
        <w:t xml:space="preserve"> </w:t>
      </w:r>
      <w:r w:rsidRPr="00B117EB">
        <w:t xml:space="preserve">Medicines and medical devices account for roughly </w:t>
      </w:r>
      <w:r w:rsidR="00DF7A41">
        <w:t>$1 billion each</w:t>
      </w:r>
      <w:r>
        <w:t>:</w:t>
      </w:r>
    </w:p>
    <w:p w:rsidR="00B8326A" w:rsidRDefault="00B8326A" w:rsidP="00B8326A">
      <w:pPr>
        <w:pStyle w:val="BodyText2"/>
      </w:pPr>
      <w:r>
        <w:t xml:space="preserve">PHARMAC’s combined pharmaceutical budget in 2015/16 is $800 million, which </w:t>
      </w:r>
      <w:r w:rsidR="00EB02F5">
        <w:t>is</w:t>
      </w:r>
      <w:r w:rsidR="00DF7A41">
        <w:t xml:space="preserve"> about </w:t>
      </w:r>
      <w:r>
        <w:t xml:space="preserve">80% of total spending on </w:t>
      </w:r>
      <w:r w:rsidRPr="00B8326A">
        <w:rPr>
          <w:u w:val="single"/>
        </w:rPr>
        <w:t>medicines</w:t>
      </w:r>
      <w:r w:rsidRPr="002828F2">
        <w:t xml:space="preserve"> </w:t>
      </w:r>
      <w:r>
        <w:t>(</w:t>
      </w:r>
      <w:proofErr w:type="spellStart"/>
      <w:r>
        <w:t>ie</w:t>
      </w:r>
      <w:proofErr w:type="spellEnd"/>
      <w:r>
        <w:t xml:space="preserve">, </w:t>
      </w:r>
      <w:r w:rsidR="00DF7A41">
        <w:t xml:space="preserve">based on </w:t>
      </w:r>
      <w:r w:rsidR="002828F2">
        <w:t xml:space="preserve">the overall average </w:t>
      </w:r>
      <w:r>
        <w:t>public/private share of health system spending</w:t>
      </w:r>
      <w:r w:rsidR="002828F2">
        <w:t>).</w:t>
      </w:r>
    </w:p>
    <w:p w:rsidR="00B8326A" w:rsidRPr="00B117EB" w:rsidRDefault="00B8326A" w:rsidP="00B8326A">
      <w:pPr>
        <w:pStyle w:val="BodyText2"/>
      </w:pPr>
      <w:r>
        <w:t xml:space="preserve">The spending by DHBs on </w:t>
      </w:r>
      <w:r w:rsidRPr="00B8326A">
        <w:rPr>
          <w:u w:val="single"/>
        </w:rPr>
        <w:t>medical devices</w:t>
      </w:r>
      <w:r w:rsidR="002828F2">
        <w:t xml:space="preserve">, </w:t>
      </w:r>
      <w:r>
        <w:t>a high-growth cost area</w:t>
      </w:r>
      <w:r w:rsidR="002828F2">
        <w:t xml:space="preserve">, </w:t>
      </w:r>
      <w:r>
        <w:t>was estimated at around $880 million four years ago.</w:t>
      </w:r>
    </w:p>
    <w:p w:rsidR="00B8326A" w:rsidRDefault="00B8326A" w:rsidP="00B8326A">
      <w:pPr>
        <w:pStyle w:val="BodyText"/>
      </w:pPr>
      <w:r w:rsidRPr="00072FA5">
        <w:t xml:space="preserve">Total </w:t>
      </w:r>
      <w:r>
        <w:t xml:space="preserve">reported </w:t>
      </w:r>
      <w:r w:rsidRPr="00072FA5">
        <w:t>adverse events for medicines and medical d</w:t>
      </w:r>
      <w:r>
        <w:t>evices each year number around 4</w:t>
      </w:r>
      <w:r w:rsidRPr="00072FA5">
        <w:t>,</w:t>
      </w:r>
      <w:r>
        <w:t>450 (although this may be understated due to under-reporting)</w:t>
      </w:r>
      <w:r w:rsidRPr="00072FA5">
        <w:t>.</w:t>
      </w:r>
    </w:p>
    <w:p w:rsidR="00B8326A" w:rsidRDefault="00C5278A" w:rsidP="00AC1201">
      <w:pPr>
        <w:pStyle w:val="Heading4"/>
        <w:spacing w:after="240"/>
      </w:pPr>
      <w:r>
        <w:t>R</w:t>
      </w:r>
      <w:r w:rsidR="00B8326A" w:rsidRPr="00622E17">
        <w:t xml:space="preserve">egulatory costs </w:t>
      </w:r>
      <w:r w:rsidR="00B8326A">
        <w:t>f</w:t>
      </w:r>
      <w:r w:rsidR="00B8326A" w:rsidRPr="00622E17">
        <w:t>or industry and the Crown</w:t>
      </w:r>
    </w:p>
    <w:p w:rsidR="00B8326A" w:rsidRDefault="00B8326A" w:rsidP="00B8326A">
      <w:pPr>
        <w:pStyle w:val="BodyText"/>
      </w:pPr>
      <w:r w:rsidRPr="00072FA5">
        <w:t>Currently, the annual total cost for the regulatory bodies</w:t>
      </w:r>
      <w:r w:rsidR="002828F2">
        <w:t xml:space="preserve">, </w:t>
      </w:r>
      <w:proofErr w:type="spellStart"/>
      <w:r w:rsidRPr="00072FA5">
        <w:t>Medsafe</w:t>
      </w:r>
      <w:proofErr w:type="spellEnd"/>
      <w:r w:rsidRPr="00072FA5">
        <w:t xml:space="preserve"> and Medicines Control</w:t>
      </w:r>
      <w:r w:rsidR="002828F2">
        <w:t xml:space="preserve">, </w:t>
      </w:r>
      <w:r w:rsidRPr="00072FA5">
        <w:t>is about $11.</w:t>
      </w:r>
      <w:r w:rsidR="00800DFD">
        <w:t>8</w:t>
      </w:r>
      <w:r w:rsidRPr="00072FA5">
        <w:t xml:space="preserve"> million.</w:t>
      </w:r>
      <w:r>
        <w:t xml:space="preserve">  </w:t>
      </w:r>
      <w:r w:rsidRPr="00072FA5">
        <w:t>Of this figure, $10.25 million is borne by industry through fees</w:t>
      </w:r>
      <w:r w:rsidR="00C5278A">
        <w:t xml:space="preserve"> which are cost-recovered</w:t>
      </w:r>
      <w:r w:rsidRPr="00072FA5">
        <w:t>, and $</w:t>
      </w:r>
      <w:r w:rsidR="00800DFD">
        <w:t>1</w:t>
      </w:r>
      <w:r w:rsidRPr="00072FA5">
        <w:t>.</w:t>
      </w:r>
      <w:r w:rsidR="00800DFD">
        <w:t>5</w:t>
      </w:r>
      <w:r w:rsidRPr="00072FA5">
        <w:t>5 million is borne by the Crown.</w:t>
      </w:r>
    </w:p>
    <w:p w:rsidR="00B8326A" w:rsidRDefault="00B8326A" w:rsidP="00B8326A">
      <w:pPr>
        <w:pStyle w:val="BodyText"/>
      </w:pPr>
      <w:r w:rsidRPr="00072FA5">
        <w:t>Fees are paid by industry in respect of medicines</w:t>
      </w:r>
      <w:r>
        <w:t xml:space="preserve"> and licences</w:t>
      </w:r>
      <w:r w:rsidRPr="00072FA5">
        <w:t>, but no fees are paid in respect of medical devices.</w:t>
      </w:r>
    </w:p>
    <w:p w:rsidR="00131FB7" w:rsidRPr="0008116C" w:rsidRDefault="00E35DA5" w:rsidP="00AC1201">
      <w:pPr>
        <w:pStyle w:val="Heading4"/>
      </w:pPr>
      <w:r w:rsidRPr="0008116C">
        <w:t>G</w:t>
      </w:r>
      <w:r w:rsidR="009F35FB" w:rsidRPr="0008116C">
        <w:t xml:space="preserve">eneral </w:t>
      </w:r>
      <w:r w:rsidRPr="0008116C">
        <w:t xml:space="preserve">regulatory </w:t>
      </w:r>
      <w:r w:rsidR="009F35FB" w:rsidRPr="0008116C">
        <w:t>approach</w:t>
      </w:r>
    </w:p>
    <w:p w:rsidR="00FA2F3F" w:rsidRDefault="00FA2F3F" w:rsidP="00FB707F">
      <w:pPr>
        <w:pStyle w:val="Bullet-list"/>
        <w:numPr>
          <w:ilvl w:val="0"/>
          <w:numId w:val="0"/>
        </w:numPr>
        <w:spacing w:after="0" w:line="240" w:lineRule="auto"/>
      </w:pPr>
    </w:p>
    <w:p w:rsidR="00781038" w:rsidRPr="00860903" w:rsidRDefault="00781038" w:rsidP="00316AA9">
      <w:pPr>
        <w:pStyle w:val="BodyText"/>
      </w:pPr>
      <w:r w:rsidRPr="00860903">
        <w:t xml:space="preserve">The Medicines Act 1981 provides for the regulation of products which come within a product definition. </w:t>
      </w:r>
    </w:p>
    <w:p w:rsidR="00781038" w:rsidRDefault="00781038" w:rsidP="00316AA9">
      <w:pPr>
        <w:pStyle w:val="BodyText"/>
      </w:pPr>
      <w:r w:rsidRPr="00860903">
        <w:t>The</w:t>
      </w:r>
      <w:r>
        <w:t xml:space="preserve"> Act defines some types of therapeutic product:</w:t>
      </w:r>
    </w:p>
    <w:p w:rsidR="00781038" w:rsidRPr="00316AA9" w:rsidRDefault="00D62648" w:rsidP="00316AA9">
      <w:pPr>
        <w:pStyle w:val="BodyText2"/>
      </w:pPr>
      <w:r>
        <w:t>medicines under section 3</w:t>
      </w:r>
      <w:r w:rsidR="00781038" w:rsidRPr="00316AA9">
        <w:t xml:space="preserve"> </w:t>
      </w:r>
    </w:p>
    <w:p w:rsidR="00781038" w:rsidRPr="00F17252" w:rsidRDefault="005753A4" w:rsidP="00316AA9">
      <w:pPr>
        <w:pStyle w:val="BodyText2"/>
      </w:pPr>
      <w:r>
        <w:t>medical devices under section 3</w:t>
      </w:r>
      <w:r w:rsidR="00D62648">
        <w:t>A</w:t>
      </w:r>
    </w:p>
    <w:p w:rsidR="00781038" w:rsidRPr="00F17252" w:rsidRDefault="00781038" w:rsidP="00316AA9">
      <w:pPr>
        <w:pStyle w:val="BodyText2"/>
      </w:pPr>
      <w:proofErr w:type="gramStart"/>
      <w:r w:rsidRPr="00F17252">
        <w:t>xenotransplantation</w:t>
      </w:r>
      <w:proofErr w:type="gramEnd"/>
      <w:r w:rsidRPr="00F17252">
        <w:t xml:space="preserve"> under section 96A.</w:t>
      </w:r>
    </w:p>
    <w:p w:rsidR="00781038" w:rsidRDefault="00781038" w:rsidP="00316AA9">
      <w:pPr>
        <w:pStyle w:val="BodyText"/>
      </w:pPr>
      <w:r w:rsidRPr="00860903">
        <w:t>Hybrid</w:t>
      </w:r>
      <w:r>
        <w:t xml:space="preserve"> products are products which span more than one product category, including categories for which there is no product definition in the Act.  The Act also defines therapeutic purpose.  </w:t>
      </w:r>
    </w:p>
    <w:p w:rsidR="00E97042" w:rsidRDefault="00E97042" w:rsidP="00316AA9">
      <w:pPr>
        <w:pStyle w:val="BodyText"/>
      </w:pPr>
      <w:r>
        <w:t>Regulation provides a means of assessing risk in relation to the claimed benefits (often requiring significant scientific information and clinical testing), controlling the introduction of products to the market, licensing activities, together with monitoring and enforcement.</w:t>
      </w:r>
    </w:p>
    <w:p w:rsidR="00E05CBA" w:rsidRPr="0087132D" w:rsidRDefault="00E05CBA" w:rsidP="00AC1201">
      <w:pPr>
        <w:pStyle w:val="Heading4"/>
      </w:pPr>
      <w:r w:rsidRPr="0087132D">
        <w:t>Medicines</w:t>
      </w:r>
    </w:p>
    <w:p w:rsidR="00E05CBA" w:rsidRPr="0087132D" w:rsidRDefault="00E05CBA" w:rsidP="00E05CBA">
      <w:pPr>
        <w:spacing w:after="0" w:line="240" w:lineRule="auto"/>
        <w:rPr>
          <w:rFonts w:cs="Arial"/>
          <w:u w:val="single"/>
        </w:rPr>
      </w:pPr>
    </w:p>
    <w:p w:rsidR="00E05CBA" w:rsidRPr="00860903" w:rsidRDefault="00E05CBA" w:rsidP="00316AA9">
      <w:pPr>
        <w:pStyle w:val="BodyText"/>
      </w:pPr>
      <w:r w:rsidRPr="00860903">
        <w:t xml:space="preserve">Medicines </w:t>
      </w:r>
      <w:r w:rsidR="00A86133">
        <w:t xml:space="preserve">primarily </w:t>
      </w:r>
      <w:r w:rsidRPr="00860903">
        <w:t xml:space="preserve">work through pharmacological, immunological or metabolic means.  They are </w:t>
      </w:r>
      <w:r w:rsidRPr="00316AA9">
        <w:t>composed</w:t>
      </w:r>
      <w:r w:rsidRPr="00860903">
        <w:t xml:space="preserve"> of </w:t>
      </w:r>
      <w:r w:rsidR="00A86133">
        <w:t>a</w:t>
      </w:r>
      <w:r w:rsidRPr="00860903">
        <w:t xml:space="preserve">ctive substances that interact with human physiological processes and there </w:t>
      </w:r>
      <w:r w:rsidR="00A86133">
        <w:t xml:space="preserve">may be </w:t>
      </w:r>
      <w:r w:rsidRPr="00860903">
        <w:t>a narrow margin between the amount required to produce a therapeutic effect and a toxic effect.</w:t>
      </w:r>
    </w:p>
    <w:p w:rsidR="00E05CBA" w:rsidRDefault="00E05CBA" w:rsidP="00316AA9">
      <w:pPr>
        <w:pStyle w:val="BodyText"/>
      </w:pPr>
      <w:r w:rsidRPr="00860903">
        <w:t xml:space="preserve">Medicines are currently regulated pre- and post-market.  The approval process will vary in accordance with whether it is considered to be a higher risk, intermediate risk or lower risk medicine. This will depend on the ingredients and intended purpose.  The level of cost-recovery through fees is </w:t>
      </w:r>
      <w:r w:rsidR="00960340">
        <w:t>around</w:t>
      </w:r>
      <w:r w:rsidRPr="00860903">
        <w:t xml:space="preserve"> 90%.</w:t>
      </w:r>
    </w:p>
    <w:p w:rsidR="000421DF" w:rsidRPr="000421DF" w:rsidRDefault="000421DF" w:rsidP="000421DF">
      <w:pPr>
        <w:pStyle w:val="BodyText"/>
        <w:rPr>
          <w:szCs w:val="22"/>
        </w:rPr>
      </w:pPr>
      <w:r w:rsidRPr="000421DF">
        <w:rPr>
          <w:szCs w:val="22"/>
        </w:rPr>
        <w:t xml:space="preserve">There are a number of innovative ways in which the approval process has already been made more efficient and cost effective. Truncated pathways have been developed to allow the regulator to leverage off previous work and data. There are abbreviated evaluations, where the applicant must provide the evaluation report of another trusted regulator, which is used as an adjunct to the assessment. </w:t>
      </w:r>
      <w:r w:rsidRPr="000421DF">
        <w:rPr>
          <w:rFonts w:eastAsia="Calibri"/>
          <w:szCs w:val="22"/>
          <w:lang w:val="en-NZ"/>
        </w:rPr>
        <w:t>Generic pharmaceuticals and biosimilars (the biological equivalent of a generic) can go through an accelerated approval pathway which allows the applicant to rely in part on the data submitted in respect of the innovator product</w:t>
      </w:r>
      <w:r w:rsidR="007C17B8">
        <w:rPr>
          <w:szCs w:val="22"/>
        </w:rPr>
        <w:t>. In addition, l</w:t>
      </w:r>
      <w:r w:rsidRPr="000421DF">
        <w:rPr>
          <w:rFonts w:eastAsia="Calibri"/>
          <w:szCs w:val="22"/>
          <w:lang w:val="en-NZ"/>
        </w:rPr>
        <w:t>ower</w:t>
      </w:r>
      <w:r w:rsidR="007C17B8">
        <w:rPr>
          <w:rFonts w:eastAsia="Calibri"/>
          <w:szCs w:val="22"/>
          <w:lang w:val="en-NZ"/>
        </w:rPr>
        <w:t>-</w:t>
      </w:r>
      <w:r w:rsidRPr="000421DF">
        <w:rPr>
          <w:rFonts w:eastAsia="Calibri"/>
          <w:szCs w:val="22"/>
          <w:lang w:val="en-NZ"/>
        </w:rPr>
        <w:t>risk medicines that have well-known risk profiles and are suitable for self-selection by patients</w:t>
      </w:r>
      <w:r w:rsidRPr="000421DF">
        <w:rPr>
          <w:szCs w:val="22"/>
        </w:rPr>
        <w:t xml:space="preserve"> go through an abridged application process that does not require clinical and toxicological data.</w:t>
      </w:r>
    </w:p>
    <w:p w:rsidR="00E05CBA" w:rsidRPr="00A54445" w:rsidRDefault="00E05CBA" w:rsidP="000421DF">
      <w:pPr>
        <w:pStyle w:val="BodyText"/>
        <w:rPr>
          <w:rFonts w:cs="Arial"/>
        </w:rPr>
      </w:pPr>
      <w:r w:rsidRPr="00860903">
        <w:t>Medsafe currently processes approximately 200 new medicine applications (50 innovator, 100 generic/</w:t>
      </w:r>
      <w:proofErr w:type="spellStart"/>
      <w:r w:rsidRPr="00860903">
        <w:t>biosimilars</w:t>
      </w:r>
      <w:proofErr w:type="spellEnd"/>
      <w:r w:rsidRPr="00860903">
        <w:t xml:space="preserve"> and 50 over the counter (OTC) medicines) and 1</w:t>
      </w:r>
      <w:r w:rsidR="00BC3985">
        <w:t>,</w:t>
      </w:r>
      <w:r w:rsidRPr="00860903">
        <w:t xml:space="preserve">500 changed medicine notifications per year. </w:t>
      </w:r>
      <w:r w:rsidR="002828F2">
        <w:t xml:space="preserve"> Of the total </w:t>
      </w:r>
      <w:r w:rsidRPr="00860903">
        <w:t>medicines currently listed as approved</w:t>
      </w:r>
      <w:r w:rsidR="002828F2">
        <w:t xml:space="preserve">, </w:t>
      </w:r>
      <w:r w:rsidRPr="00860903">
        <w:t>4</w:t>
      </w:r>
      <w:r w:rsidR="00BC3985">
        <w:t>,</w:t>
      </w:r>
      <w:r w:rsidRPr="00860903">
        <w:t>735 are consented, 57 have provisional consent and 2219 are consented but not available</w:t>
      </w:r>
      <w:r w:rsidR="00A86133">
        <w:t xml:space="preserve"> (or actively marketed)</w:t>
      </w:r>
      <w:r w:rsidR="002828F2">
        <w:t xml:space="preserve">.  Of </w:t>
      </w:r>
      <w:r w:rsidRPr="00860903">
        <w:t>prescription medicines</w:t>
      </w:r>
      <w:r w:rsidR="002828F2">
        <w:t xml:space="preserve">, </w:t>
      </w:r>
      <w:r w:rsidRPr="00860903">
        <w:t>1</w:t>
      </w:r>
      <w:r w:rsidR="00BC3985">
        <w:t>,</w:t>
      </w:r>
      <w:r w:rsidRPr="00860903">
        <w:t>795 are not available</w:t>
      </w:r>
      <w:r w:rsidR="002828F2">
        <w:t xml:space="preserve">, </w:t>
      </w:r>
      <w:r w:rsidRPr="00860903">
        <w:t>and 3</w:t>
      </w:r>
      <w:r w:rsidR="00BC3985">
        <w:t>,</w:t>
      </w:r>
      <w:r w:rsidRPr="00860903">
        <w:t xml:space="preserve">450 are over the counter medicines. </w:t>
      </w:r>
      <w:r w:rsidR="002828F2">
        <w:t xml:space="preserve">Just over 800 </w:t>
      </w:r>
      <w:r w:rsidRPr="00860903">
        <w:t>different unapproved medicines have been notified as having been supplied in New Zealand since January 2014, with a total of 253,325 packs. Around 4</w:t>
      </w:r>
      <w:r w:rsidR="00BC3985">
        <w:t>,</w:t>
      </w:r>
      <w:r w:rsidRPr="00860903">
        <w:t>000 adverse</w:t>
      </w:r>
      <w:r w:rsidRPr="00A54445">
        <w:rPr>
          <w:rFonts w:cs="Arial"/>
        </w:rPr>
        <w:t xml:space="preserve"> events from medicines are reported each year.</w:t>
      </w:r>
    </w:p>
    <w:p w:rsidR="00E05CBA" w:rsidRPr="0087132D" w:rsidRDefault="00E05CBA" w:rsidP="00AC1201">
      <w:pPr>
        <w:pStyle w:val="Heading4"/>
      </w:pPr>
      <w:r w:rsidRPr="0087132D">
        <w:t>Medical devices</w:t>
      </w:r>
    </w:p>
    <w:p w:rsidR="00E05CBA" w:rsidRDefault="00E05CBA" w:rsidP="00E05CBA">
      <w:pPr>
        <w:spacing w:after="0" w:line="240" w:lineRule="auto"/>
        <w:rPr>
          <w:rFonts w:cs="Arial"/>
        </w:rPr>
      </w:pPr>
    </w:p>
    <w:p w:rsidR="00E05CBA" w:rsidRPr="00786D18" w:rsidRDefault="00E05CBA" w:rsidP="00316AA9">
      <w:pPr>
        <w:pStyle w:val="BodyText"/>
      </w:pPr>
      <w:r w:rsidRPr="00860903">
        <w:t>Medical</w:t>
      </w:r>
      <w:r>
        <w:t xml:space="preserve"> devices work primarily through physical and electrical/electronic means.  They include </w:t>
      </w:r>
      <w:r w:rsidRPr="00786D18">
        <w:t xml:space="preserve">a wide </w:t>
      </w:r>
      <w:r>
        <w:t xml:space="preserve">range of apparatus, instruments and appliances, ranging from tongue depressors and </w:t>
      </w:r>
      <w:r w:rsidRPr="00786D18">
        <w:t xml:space="preserve">latex gloves to implantable heart valves and machinery (such as ventilators and CT scanners).  The term medical device also includes diagnostic equipment ranging from home pregnancy kits through to </w:t>
      </w:r>
      <w:r w:rsidR="0037693E">
        <w:t>software.</w:t>
      </w:r>
    </w:p>
    <w:p w:rsidR="00E05CBA" w:rsidRPr="00860903" w:rsidRDefault="00E05CBA" w:rsidP="00316AA9">
      <w:pPr>
        <w:pStyle w:val="BodyText"/>
      </w:pPr>
      <w:r w:rsidRPr="00860903">
        <w:t>There is no pre-market approval process for medical devices. Instead they must be notified to the Web Assisted Notification of Devices (WAND) database. Notification is free and there are no on-going fees. If there is a safety issue with a device, the WAND database can be used to identify sponsors of that device. The sponsor of the medical device must be a N</w:t>
      </w:r>
      <w:r w:rsidR="00E27301">
        <w:t xml:space="preserve">ew </w:t>
      </w:r>
      <w:r w:rsidRPr="00860903">
        <w:t>Z</w:t>
      </w:r>
      <w:r w:rsidR="00E27301">
        <w:t>ealand</w:t>
      </w:r>
      <w:r w:rsidRPr="00860903">
        <w:t xml:space="preserve"> legal entity with a physical address in N</w:t>
      </w:r>
      <w:r w:rsidR="00E27301">
        <w:t xml:space="preserve">ew </w:t>
      </w:r>
      <w:r w:rsidRPr="00860903">
        <w:t>Z</w:t>
      </w:r>
      <w:r w:rsidR="00E27301">
        <w:t>eal</w:t>
      </w:r>
      <w:r w:rsidR="002828F2">
        <w:t>a</w:t>
      </w:r>
      <w:r w:rsidR="00E27301">
        <w:t>nd</w:t>
      </w:r>
      <w:r w:rsidRPr="00860903">
        <w:t>.</w:t>
      </w:r>
    </w:p>
    <w:p w:rsidR="00E05CBA" w:rsidRPr="00A54445" w:rsidRDefault="000F393C" w:rsidP="00316AA9">
      <w:pPr>
        <w:pStyle w:val="BodyText"/>
        <w:rPr>
          <w:rFonts w:cs="Arial"/>
        </w:rPr>
      </w:pPr>
      <w:r>
        <w:t>About 48,400</w:t>
      </w:r>
      <w:r w:rsidR="00E05CBA" w:rsidRPr="00860903">
        <w:t xml:space="preserve"> individual medical devices </w:t>
      </w:r>
      <w:r w:rsidR="00BC3985">
        <w:t xml:space="preserve">have been </w:t>
      </w:r>
      <w:r w:rsidR="00E05CBA" w:rsidRPr="00860903">
        <w:t>n</w:t>
      </w:r>
      <w:r>
        <w:t xml:space="preserve">otified to </w:t>
      </w:r>
      <w:proofErr w:type="spellStart"/>
      <w:r>
        <w:t>Medsafe</w:t>
      </w:r>
      <w:proofErr w:type="spellEnd"/>
      <w:r>
        <w:t xml:space="preserve"> (around 5</w:t>
      </w:r>
      <w:r w:rsidR="00BC3985">
        <w:t>,</w:t>
      </w:r>
      <w:r w:rsidR="00E05CBA" w:rsidRPr="00860903">
        <w:t>0</w:t>
      </w:r>
      <w:r>
        <w:t xml:space="preserve">00 more are added each year). </w:t>
      </w:r>
      <w:r w:rsidR="002828F2">
        <w:t>Of the sponsor</w:t>
      </w:r>
      <w:r w:rsidR="00244932">
        <w:t>s who have active</w:t>
      </w:r>
      <w:r w:rsidR="002828F2">
        <w:t xml:space="preserve"> </w:t>
      </w:r>
      <w:r>
        <w:t>notifications</w:t>
      </w:r>
      <w:r w:rsidR="002828F2">
        <w:t xml:space="preserve">, </w:t>
      </w:r>
      <w:r>
        <w:t>49</w:t>
      </w:r>
      <w:r w:rsidR="00E05CBA" w:rsidRPr="00860903">
        <w:t xml:space="preserve">7 </w:t>
      </w:r>
      <w:r w:rsidR="00244932">
        <w:t xml:space="preserve">sponsors </w:t>
      </w:r>
      <w:r w:rsidR="00E05CBA" w:rsidRPr="00860903">
        <w:t>(5</w:t>
      </w:r>
      <w:r w:rsidR="002828F2">
        <w:t>6</w:t>
      </w:r>
      <w:r w:rsidR="00E05CBA" w:rsidRPr="00860903">
        <w:t>%) have five or fewer</w:t>
      </w:r>
      <w:r>
        <w:rPr>
          <w:rFonts w:cs="Arial"/>
        </w:rPr>
        <w:t xml:space="preserve"> notifications, 275</w:t>
      </w:r>
      <w:r w:rsidR="00E05CBA" w:rsidRPr="00860903">
        <w:rPr>
          <w:rFonts w:cs="Arial"/>
        </w:rPr>
        <w:t xml:space="preserve"> (</w:t>
      </w:r>
      <w:r w:rsidR="002828F2">
        <w:rPr>
          <w:rFonts w:cs="Arial"/>
        </w:rPr>
        <w:t>31</w:t>
      </w:r>
      <w:r w:rsidR="00E05CBA" w:rsidRPr="00860903">
        <w:rPr>
          <w:rFonts w:cs="Arial"/>
        </w:rPr>
        <w:t xml:space="preserve">%) have only one </w:t>
      </w:r>
      <w:r>
        <w:rPr>
          <w:rFonts w:cs="Arial"/>
        </w:rPr>
        <w:t>notification</w:t>
      </w:r>
      <w:r w:rsidR="002828F2">
        <w:rPr>
          <w:rFonts w:cs="Arial"/>
        </w:rPr>
        <w:t xml:space="preserve">, </w:t>
      </w:r>
      <w:r>
        <w:rPr>
          <w:rFonts w:cs="Arial"/>
        </w:rPr>
        <w:t>109</w:t>
      </w:r>
      <w:r w:rsidR="00E05CBA" w:rsidRPr="00860903">
        <w:rPr>
          <w:rFonts w:cs="Arial"/>
        </w:rPr>
        <w:t xml:space="preserve"> (12</w:t>
      </w:r>
      <w:r>
        <w:rPr>
          <w:rFonts w:cs="Arial"/>
        </w:rPr>
        <w:t>%) have 100 or more</w:t>
      </w:r>
      <w:r w:rsidR="002828F2">
        <w:rPr>
          <w:rFonts w:cs="Arial"/>
        </w:rPr>
        <w:t xml:space="preserve">, and </w:t>
      </w:r>
      <w:r>
        <w:rPr>
          <w:rFonts w:cs="Arial"/>
        </w:rPr>
        <w:t>eight</w:t>
      </w:r>
      <w:r w:rsidR="00E05CBA" w:rsidRPr="00A54445">
        <w:rPr>
          <w:rFonts w:cs="Arial"/>
        </w:rPr>
        <w:t xml:space="preserve"> (1%) have more th</w:t>
      </w:r>
      <w:r w:rsidR="00D62648">
        <w:rPr>
          <w:rFonts w:cs="Arial"/>
        </w:rPr>
        <w:t>an 1</w:t>
      </w:r>
      <w:r w:rsidR="00BC3985">
        <w:rPr>
          <w:rFonts w:cs="Arial"/>
        </w:rPr>
        <w:t>,</w:t>
      </w:r>
      <w:r w:rsidR="00D62648">
        <w:rPr>
          <w:rFonts w:cs="Arial"/>
        </w:rPr>
        <w:t>000 notifications</w:t>
      </w:r>
      <w:r>
        <w:rPr>
          <w:rFonts w:cs="Arial"/>
        </w:rPr>
        <w:t>.</w:t>
      </w:r>
      <w:r w:rsidR="00D62648">
        <w:rPr>
          <w:rFonts w:cs="Arial"/>
        </w:rPr>
        <w:t xml:space="preserve"> </w:t>
      </w:r>
      <w:r>
        <w:rPr>
          <w:rFonts w:cs="Arial"/>
        </w:rPr>
        <w:t xml:space="preserve"> About 45</w:t>
      </w:r>
      <w:r w:rsidR="00E05CBA" w:rsidRPr="00A54445">
        <w:rPr>
          <w:rFonts w:cs="Arial"/>
        </w:rPr>
        <w:t>0 adverse events related to medical devices are reported each year.</w:t>
      </w:r>
    </w:p>
    <w:p w:rsidR="008B3A95" w:rsidRPr="0087132D" w:rsidRDefault="008B3A95" w:rsidP="00AC1201">
      <w:pPr>
        <w:pStyle w:val="Heading4"/>
      </w:pPr>
      <w:r w:rsidRPr="0087132D">
        <w:t>Cell and tissue products</w:t>
      </w:r>
    </w:p>
    <w:p w:rsidR="008B3A95" w:rsidRPr="00860903" w:rsidRDefault="008B3A95" w:rsidP="00860903">
      <w:pPr>
        <w:pStyle w:val="Bullet-list"/>
        <w:numPr>
          <w:ilvl w:val="0"/>
          <w:numId w:val="0"/>
        </w:numPr>
        <w:spacing w:after="0" w:line="240" w:lineRule="auto"/>
        <w:ind w:left="360"/>
      </w:pPr>
    </w:p>
    <w:p w:rsidR="008B3A95" w:rsidRPr="00860903" w:rsidRDefault="008B3A95" w:rsidP="00316AA9">
      <w:pPr>
        <w:pStyle w:val="BodyText"/>
      </w:pPr>
      <w:r w:rsidRPr="00860903">
        <w:t>Cell and tissue therapeutic products are derived from living cells and tissues of human or animal origin. These products span whole tissues that are part of established clinical practice (</w:t>
      </w:r>
      <w:proofErr w:type="spellStart"/>
      <w:r w:rsidRPr="00860903">
        <w:t>eg</w:t>
      </w:r>
      <w:proofErr w:type="spellEnd"/>
      <w:r w:rsidRPr="00860903">
        <w:t>, skin grafts) through to innovative and substantially manipulated gene and cellular therapies (</w:t>
      </w:r>
      <w:proofErr w:type="spellStart"/>
      <w:r w:rsidRPr="00860903">
        <w:t>eg</w:t>
      </w:r>
      <w:proofErr w:type="spellEnd"/>
      <w:r w:rsidRPr="00860903">
        <w:t>, demineralized bone matrix for repair, reconstruction or replacement of cartilage, dental pulp-derived stem cells for tooth regeneration).</w:t>
      </w:r>
    </w:p>
    <w:p w:rsidR="008B3A95" w:rsidRPr="00860903" w:rsidRDefault="008B3A95" w:rsidP="00316AA9">
      <w:pPr>
        <w:pStyle w:val="BodyText"/>
      </w:pPr>
      <w:r w:rsidRPr="00860903">
        <w:t xml:space="preserve">New Zealand does not have specific regulation for cell and tissue therapeutic products, although some cell and tissue products are currently regulated as medicines. These include products at the clinical trial stage, and various blood products. Products regulated as medicines must meet certain manufacturing standards, and the manufacturer must be licensed and undergo regular audit. </w:t>
      </w:r>
    </w:p>
    <w:p w:rsidR="008B3A95" w:rsidRDefault="008B3A95" w:rsidP="00316AA9">
      <w:pPr>
        <w:pStyle w:val="BodyText"/>
        <w:rPr>
          <w:rFonts w:cs="Arial"/>
        </w:rPr>
      </w:pPr>
      <w:r w:rsidRPr="00860903">
        <w:t>The cell and tissue therapeutic product sector is a mix of non-profit entities (universities and health services) and commercial companies.  Although volumes are generally low, there is a wide range of cell and tissue products on the market.  It is characterised by significant innovation internationally and the range of products (including hybrid products) is likely to continue</w:t>
      </w:r>
      <w:r w:rsidRPr="00F01ADF">
        <w:rPr>
          <w:rFonts w:cs="Arial"/>
        </w:rPr>
        <w:t xml:space="preserve"> to grow. </w:t>
      </w:r>
    </w:p>
    <w:p w:rsidR="008B3A95" w:rsidRPr="0087132D" w:rsidRDefault="008B3A95" w:rsidP="00AC1201">
      <w:pPr>
        <w:pStyle w:val="Heading4"/>
      </w:pPr>
      <w:r w:rsidRPr="0087132D">
        <w:t>Xenotransplantation</w:t>
      </w:r>
    </w:p>
    <w:p w:rsidR="008B3A95" w:rsidRDefault="008B3A95" w:rsidP="008B3A95">
      <w:pPr>
        <w:spacing w:after="0" w:line="240" w:lineRule="auto"/>
        <w:rPr>
          <w:rFonts w:cs="Arial"/>
        </w:rPr>
      </w:pPr>
    </w:p>
    <w:p w:rsidR="008B3A95" w:rsidRPr="00860903" w:rsidRDefault="008B3A95" w:rsidP="00316AA9">
      <w:pPr>
        <w:pStyle w:val="BodyText"/>
      </w:pPr>
      <w:r w:rsidRPr="00860903">
        <w:t xml:space="preserve">Xenotransplantation is the transplantation of living biological material from animals to humans.  It carries the risk of transmission of disease, and can be controversial for ethical, cultural, spiritual or other reasons.  </w:t>
      </w:r>
    </w:p>
    <w:p w:rsidR="008B3A95" w:rsidRPr="00860903" w:rsidRDefault="008B3A95" w:rsidP="00316AA9">
      <w:pPr>
        <w:pStyle w:val="BodyText"/>
      </w:pPr>
      <w:r w:rsidRPr="00860903">
        <w:t xml:space="preserve">The Act </w:t>
      </w:r>
      <w:r w:rsidR="00A86133">
        <w:t xml:space="preserve">only covers </w:t>
      </w:r>
      <w:r w:rsidRPr="00860903">
        <w:t xml:space="preserve">xenotransplantation </w:t>
      </w:r>
      <w:r w:rsidR="00A86133">
        <w:t xml:space="preserve">in the clinical trial phase and requires </w:t>
      </w:r>
      <w:r w:rsidRPr="00860903">
        <w:t xml:space="preserve">the Minister of Health </w:t>
      </w:r>
      <w:r w:rsidR="00A86133">
        <w:t xml:space="preserve">to be </w:t>
      </w:r>
      <w:r w:rsidRPr="00860903">
        <w:t xml:space="preserve">satisfied that robust safety and ethical criteria have been met. In addition to Ministerial approval, a xenotransplantation trial requires approval by the Gene Technology Advisory Committee (covering safety and risk management) and a Health and Disability Ethics Committee.  </w:t>
      </w:r>
    </w:p>
    <w:p w:rsidR="008B3A95" w:rsidRPr="00860903" w:rsidRDefault="008B3A95" w:rsidP="00316AA9">
      <w:pPr>
        <w:pStyle w:val="BodyText"/>
      </w:pPr>
      <w:r w:rsidRPr="00860903">
        <w:t>There is currently one company active in this field in New Zealand.  To date, three Ministerial approvals have been issued for pig cell therapy clinical trials for t</w:t>
      </w:r>
      <w:r w:rsidR="006176AC">
        <w:t>ype 1 diabetes and Parkinson's d</w:t>
      </w:r>
      <w:r w:rsidRPr="00860903">
        <w:t xml:space="preserve">isease.  Should these trials show promise, it will be necessary to develop an approval process that addresses the ongoing safety, manufacture and supply of the cellular product itself. The Medicines Act does not cater for this eventuality.  </w:t>
      </w:r>
    </w:p>
    <w:p w:rsidR="006478CC" w:rsidRPr="0087132D" w:rsidRDefault="006478CC" w:rsidP="00AC1201">
      <w:pPr>
        <w:pStyle w:val="Heading4"/>
      </w:pPr>
      <w:r w:rsidRPr="0087132D">
        <w:t>Medicines supply chain</w:t>
      </w:r>
    </w:p>
    <w:p w:rsidR="006478CC" w:rsidRPr="006478CC" w:rsidRDefault="006478CC" w:rsidP="006478CC">
      <w:pPr>
        <w:spacing w:after="0" w:line="240" w:lineRule="auto"/>
        <w:rPr>
          <w:rFonts w:cs="Arial"/>
        </w:rPr>
      </w:pPr>
    </w:p>
    <w:p w:rsidR="006478CC" w:rsidRPr="00860903" w:rsidRDefault="006478CC" w:rsidP="00316AA9">
      <w:pPr>
        <w:pStyle w:val="BodyText"/>
      </w:pPr>
      <w:r w:rsidRPr="00860903">
        <w:t xml:space="preserve">Once a medicine is manufactured or imported into New Zealand it needs to be safely stored, distributed, dispensed or sold to the patient.  Companies manufacture or sponsor the import of scheduled medicines and distribute them either directly to hospitals, pharmacies, and doctors, or distribute through national wholesalers.  </w:t>
      </w:r>
    </w:p>
    <w:p w:rsidR="006478CC" w:rsidRPr="00860903" w:rsidRDefault="006478CC" w:rsidP="00316AA9">
      <w:pPr>
        <w:pStyle w:val="BodyText"/>
      </w:pPr>
      <w:r w:rsidRPr="00860903">
        <w:t xml:space="preserve">All wholesalers require a Licence to Wholesale Medicines unless the medicines are classified as </w:t>
      </w:r>
      <w:r w:rsidR="00D62648">
        <w:t>g</w:t>
      </w:r>
      <w:r w:rsidRPr="00860903">
        <w:t xml:space="preserve">eneral </w:t>
      </w:r>
      <w:r w:rsidR="00D62648">
        <w:t>s</w:t>
      </w:r>
      <w:r w:rsidRPr="00860903">
        <w:t xml:space="preserve">ales </w:t>
      </w:r>
      <w:r w:rsidR="00D62648">
        <w:t>m</w:t>
      </w:r>
      <w:r w:rsidRPr="00860903">
        <w:t>edicines, in which case they can be distributed without restriction.  Pharmacies require a licence to dispense and sell medicines.  Retailers in remote areas who hold a range of pharmacy-only medicines require a Licence to Sell Medicines by Retail.  Companies that “hawk” medicines for promotional purposes, for example professional samples to doctors, require a Licence to Hawk Medicines.  Authorities and approvals to procure or possess medicines are also issued.  In addition, the regulatory requirements for the dispensing of medicines in pharmacies are monitored as part of the pharmacy licensing regime.</w:t>
      </w:r>
    </w:p>
    <w:p w:rsidR="006478CC" w:rsidRPr="00860903" w:rsidRDefault="006478CC" w:rsidP="00316AA9">
      <w:pPr>
        <w:pStyle w:val="BodyText"/>
      </w:pPr>
      <w:r w:rsidRPr="00860903">
        <w:t>Medicines Control currently processes 1036 pharmacy licences, 189 wholesale licences, 63 licences to sell medicines by retail, 32 hawk licences, 117 authorities and 16 approvals per year.</w:t>
      </w:r>
    </w:p>
    <w:p w:rsidR="008B3A95" w:rsidRPr="0087132D" w:rsidRDefault="008B3A95" w:rsidP="00AC1201">
      <w:pPr>
        <w:pStyle w:val="Heading4"/>
      </w:pPr>
      <w:r w:rsidRPr="0087132D">
        <w:t>Institutional arrangements</w:t>
      </w:r>
    </w:p>
    <w:p w:rsidR="006478CC" w:rsidRDefault="006478CC" w:rsidP="006478CC">
      <w:pPr>
        <w:spacing w:after="0" w:line="240" w:lineRule="auto"/>
        <w:rPr>
          <w:rFonts w:cs="Arial"/>
        </w:rPr>
      </w:pPr>
    </w:p>
    <w:p w:rsidR="008B3A95" w:rsidRDefault="008B3A95" w:rsidP="00316AA9">
      <w:pPr>
        <w:pStyle w:val="BodyText"/>
      </w:pPr>
      <w:r w:rsidRPr="00860903">
        <w:t>Medsafe</w:t>
      </w:r>
      <w:r>
        <w:t xml:space="preserve"> and Medicines Control are the two regulatory entities in New Zealand responsible for the regulation of therapeutic products and related activities.  Both are business units within the Ministry of Health.</w:t>
      </w:r>
    </w:p>
    <w:p w:rsidR="008B3A95" w:rsidRPr="0087132D" w:rsidRDefault="008B3A95" w:rsidP="00AC1201">
      <w:pPr>
        <w:pStyle w:val="Heading5"/>
      </w:pPr>
      <w:proofErr w:type="spellStart"/>
      <w:r w:rsidRPr="00AC1201">
        <w:t>Medsafe</w:t>
      </w:r>
      <w:proofErr w:type="spellEnd"/>
    </w:p>
    <w:p w:rsidR="006478CC" w:rsidRDefault="006478CC" w:rsidP="006478CC">
      <w:pPr>
        <w:spacing w:after="0" w:line="240" w:lineRule="auto"/>
        <w:rPr>
          <w:rFonts w:cs="Arial"/>
        </w:rPr>
      </w:pPr>
    </w:p>
    <w:p w:rsidR="008B3A95" w:rsidRDefault="008B3A95" w:rsidP="00316AA9">
      <w:pPr>
        <w:pStyle w:val="BodyText"/>
      </w:pPr>
      <w:r w:rsidRPr="00860903">
        <w:t>Medsafe</w:t>
      </w:r>
      <w:r w:rsidRPr="00DF3DD7">
        <w:t xml:space="preserve"> is the </w:t>
      </w:r>
      <w:r w:rsidRPr="00DF3DD7">
        <w:rPr>
          <w:rStyle w:val="style-bold"/>
        </w:rPr>
        <w:t>New Zealand Medicines and Medical Devices Safety Authority</w:t>
      </w:r>
      <w:r w:rsidRPr="00DF3DD7">
        <w:t xml:space="preserve">. </w:t>
      </w:r>
      <w:r>
        <w:t xml:space="preserve">It is </w:t>
      </w:r>
      <w:r w:rsidRPr="00DF3DD7">
        <w:t>responsible for the regulation of medicines and medical devices</w:t>
      </w:r>
      <w:r>
        <w:t xml:space="preserve"> and</w:t>
      </w:r>
      <w:r w:rsidRPr="00DF3DD7">
        <w:t xml:space="preserve"> </w:t>
      </w:r>
      <w:r>
        <w:t>for e</w:t>
      </w:r>
      <w:r w:rsidRPr="00DF3DD7">
        <w:t>nsur</w:t>
      </w:r>
      <w:r>
        <w:t xml:space="preserve">ing </w:t>
      </w:r>
      <w:r w:rsidRPr="00DF3DD7">
        <w:t>that medicines and medical devices are acceptably safe.</w:t>
      </w:r>
    </w:p>
    <w:p w:rsidR="008B3A95" w:rsidRPr="00BC0088" w:rsidRDefault="008B3A95" w:rsidP="00316AA9">
      <w:pPr>
        <w:pStyle w:val="BodyText"/>
      </w:pPr>
      <w:r w:rsidRPr="00BC0088">
        <w:t>In 2015/16</w:t>
      </w:r>
      <w:r>
        <w:t xml:space="preserve"> the total budget for </w:t>
      </w:r>
      <w:proofErr w:type="spellStart"/>
      <w:r>
        <w:t>Medsafe</w:t>
      </w:r>
      <w:proofErr w:type="spellEnd"/>
      <w:r>
        <w:t xml:space="preserve"> is $</w:t>
      </w:r>
      <w:r w:rsidR="00B92CD0">
        <w:t>10.1</w:t>
      </w:r>
      <w:r>
        <w:t xml:space="preserve"> million, with a personnel complement of 52 FTE staff.  Industry meets approximately 90% of </w:t>
      </w:r>
      <w:proofErr w:type="spellStart"/>
      <w:r>
        <w:t>Medsafe’s</w:t>
      </w:r>
      <w:proofErr w:type="spellEnd"/>
      <w:r>
        <w:t xml:space="preserve"> budget, with the balance met by the Crown.</w:t>
      </w:r>
    </w:p>
    <w:p w:rsidR="008B3A95" w:rsidRPr="0087132D" w:rsidRDefault="008B3A95" w:rsidP="00AC1201">
      <w:pPr>
        <w:pStyle w:val="Heading5"/>
      </w:pPr>
      <w:r w:rsidRPr="0087132D">
        <w:t>Medicines Control</w:t>
      </w:r>
    </w:p>
    <w:p w:rsidR="00F61064" w:rsidRDefault="00F61064" w:rsidP="006478CC">
      <w:pPr>
        <w:spacing w:after="0" w:line="240" w:lineRule="auto"/>
        <w:rPr>
          <w:rFonts w:cs="Arial"/>
        </w:rPr>
      </w:pPr>
    </w:p>
    <w:p w:rsidR="008B3A95" w:rsidRPr="00DF3DD7" w:rsidRDefault="008B3A95" w:rsidP="00316AA9">
      <w:pPr>
        <w:pStyle w:val="BodyText"/>
      </w:pPr>
      <w:r w:rsidRPr="00DF3DD7">
        <w:t xml:space="preserve">Medicines </w:t>
      </w:r>
      <w:r>
        <w:t>C</w:t>
      </w:r>
      <w:r w:rsidRPr="00DF3DD7">
        <w:t>ontrol</w:t>
      </w:r>
      <w:r>
        <w:t xml:space="preserve"> oversees the local distribution chain of medicines and controlled drugs within New Zealand. Its activities include the issuing of licences and authorities and monitoring compliance with legislation.  It is the designated licensing authority for all licences issued under the Medicines Act 1981 and Medicines Regulations 1984 (except licenses to manufacture and pack medicines).</w:t>
      </w:r>
      <w:r w:rsidRPr="00DF3DD7">
        <w:t xml:space="preserve"> </w:t>
      </w:r>
      <w:r>
        <w:t>This includes licences to operate a pharmacy.  In addition, Medicines Control has responsibilities under the Misuse of Drugs Act 1977 and Mi</w:t>
      </w:r>
      <w:r w:rsidR="00710E3D">
        <w:t>suse of Drugs Regulations 1977.</w:t>
      </w:r>
    </w:p>
    <w:p w:rsidR="008B3A95" w:rsidRDefault="008B3A95" w:rsidP="00316AA9">
      <w:pPr>
        <w:pStyle w:val="BodyText"/>
      </w:pPr>
      <w:r w:rsidRPr="00BC0088">
        <w:t>In 2015/16</w:t>
      </w:r>
      <w:r>
        <w:t xml:space="preserve"> the total budget for Medicines Control is $1.7 million, with a personnel complement of 14 FTE staff.  Industry meets close to 100% of Med</w:t>
      </w:r>
      <w:r w:rsidR="008B70FA">
        <w:t>icine Control</w:t>
      </w:r>
      <w:r>
        <w:t>’s budget.</w:t>
      </w:r>
    </w:p>
    <w:p w:rsidR="00131FB7" w:rsidRPr="00131FB7" w:rsidRDefault="00131FB7" w:rsidP="00AC1201">
      <w:pPr>
        <w:pStyle w:val="Heading3"/>
      </w:pPr>
      <w:r w:rsidRPr="00131FB7">
        <w:t>Problem definition</w:t>
      </w:r>
    </w:p>
    <w:p w:rsidR="00434229" w:rsidRDefault="00434229" w:rsidP="00FB707F">
      <w:pPr>
        <w:spacing w:after="0" w:line="240" w:lineRule="auto"/>
        <w:rPr>
          <w:rFonts w:cs="Arial"/>
        </w:rPr>
      </w:pPr>
    </w:p>
    <w:p w:rsidR="008D52D0" w:rsidRPr="008D52D0" w:rsidRDefault="008D52D0" w:rsidP="00AC1201">
      <w:pPr>
        <w:pStyle w:val="Heading4"/>
      </w:pPr>
      <w:r w:rsidRPr="008D52D0">
        <w:t>Reason for regulation</w:t>
      </w:r>
    </w:p>
    <w:p w:rsidR="008D52D0" w:rsidRDefault="008D52D0" w:rsidP="00FB707F">
      <w:pPr>
        <w:spacing w:after="0" w:line="240" w:lineRule="auto"/>
        <w:rPr>
          <w:rFonts w:cs="Arial"/>
        </w:rPr>
      </w:pPr>
    </w:p>
    <w:p w:rsidR="00C163C8" w:rsidRPr="00860903" w:rsidRDefault="00C163C8" w:rsidP="00316AA9">
      <w:pPr>
        <w:pStyle w:val="BodyText"/>
      </w:pPr>
      <w:r w:rsidRPr="00860903">
        <w:t xml:space="preserve">Therapeutic products provide a range of well-documented benefits, </w:t>
      </w:r>
      <w:r w:rsidR="00710E3D">
        <w:t xml:space="preserve">but </w:t>
      </w:r>
      <w:r w:rsidRPr="00860903">
        <w:t>also pres</w:t>
      </w:r>
      <w:r w:rsidR="00710E3D">
        <w:t>ent a range of risks.  T</w:t>
      </w:r>
      <w:r w:rsidRPr="00860903">
        <w:t xml:space="preserve">o promote public health and welfare outcomes, the government needs to ensure </w:t>
      </w:r>
      <w:r w:rsidR="00710E3D">
        <w:t xml:space="preserve">therapeutic </w:t>
      </w:r>
      <w:r w:rsidRPr="00860903">
        <w:t xml:space="preserve">products are available and accessible, and the risks are sufficiently known and justified in relation to the benefits.  </w:t>
      </w:r>
    </w:p>
    <w:p w:rsidR="00FD3AFF" w:rsidRDefault="00C163C8" w:rsidP="00316AA9">
      <w:pPr>
        <w:pStyle w:val="BodyText"/>
      </w:pPr>
      <w:r w:rsidRPr="00FD3AFF">
        <w:t>There</w:t>
      </w:r>
      <w:r w:rsidRPr="00E35DA5">
        <w:t xml:space="preserve"> is broad consensus and acceptance in New Zealand and internationally that the regulation of therapeutic products remains relevant and essential</w:t>
      </w:r>
      <w:r w:rsidR="00E35DA5" w:rsidRPr="00E35DA5">
        <w:t xml:space="preserve">.  </w:t>
      </w:r>
      <w:r w:rsidR="00FD3AFF">
        <w:t>In brief, t</w:t>
      </w:r>
      <w:r w:rsidR="00E35DA5" w:rsidRPr="00E35DA5">
        <w:t>his is because</w:t>
      </w:r>
      <w:r w:rsidR="00FD3AFF">
        <w:t>:</w:t>
      </w:r>
    </w:p>
    <w:p w:rsidR="00FD3AFF" w:rsidRDefault="00710E3D" w:rsidP="00316AA9">
      <w:pPr>
        <w:pStyle w:val="BodyText2"/>
      </w:pPr>
      <w:r>
        <w:t>T</w:t>
      </w:r>
      <w:r w:rsidR="00E35DA5" w:rsidRPr="00E35DA5">
        <w:t>he market on its own does not always adequately manage risk</w:t>
      </w:r>
      <w:r w:rsidR="00B01442">
        <w:t xml:space="preserve">, and users cannot judge risks without </w:t>
      </w:r>
      <w:r w:rsidR="00A86133">
        <w:t xml:space="preserve">substantial </w:t>
      </w:r>
      <w:r w:rsidR="00B01442">
        <w:t>further information</w:t>
      </w:r>
      <w:r>
        <w:t>.</w:t>
      </w:r>
      <w:r w:rsidR="00E35DA5" w:rsidRPr="00E35DA5">
        <w:t xml:space="preserve"> </w:t>
      </w:r>
    </w:p>
    <w:p w:rsidR="00FD3AFF" w:rsidRDefault="00710E3D" w:rsidP="00316AA9">
      <w:pPr>
        <w:pStyle w:val="BodyText2"/>
      </w:pPr>
      <w:r>
        <w:t>T</w:t>
      </w:r>
      <w:r w:rsidR="00E35DA5" w:rsidRPr="00E35DA5">
        <w:t>he consequences of unsa</w:t>
      </w:r>
      <w:r>
        <w:t>fe products can be devastating.</w:t>
      </w:r>
    </w:p>
    <w:p w:rsidR="00FD3AFF" w:rsidRDefault="00710E3D" w:rsidP="00316AA9">
      <w:pPr>
        <w:pStyle w:val="BodyText2"/>
      </w:pPr>
      <w:r>
        <w:t>S</w:t>
      </w:r>
      <w:r w:rsidR="00FD3AFF">
        <w:t>ome issues (</w:t>
      </w:r>
      <w:proofErr w:type="spellStart"/>
      <w:r w:rsidR="00FD3AFF">
        <w:t>eg</w:t>
      </w:r>
      <w:proofErr w:type="spellEnd"/>
      <w:r w:rsidR="00FD3AFF">
        <w:t>, major ethical issues arising from new technology applications) require government consideratio</w:t>
      </w:r>
      <w:r>
        <w:t>n.</w:t>
      </w:r>
    </w:p>
    <w:p w:rsidR="00EB647E" w:rsidRDefault="00710E3D" w:rsidP="00316AA9">
      <w:pPr>
        <w:pStyle w:val="BodyText2"/>
      </w:pPr>
      <w:r>
        <w:t>P</w:t>
      </w:r>
      <w:r w:rsidR="00E35DA5" w:rsidRPr="00E35DA5">
        <w:t>roportionate regulation</w:t>
      </w:r>
      <w:r w:rsidR="00E35DA5">
        <w:t xml:space="preserve"> </w:t>
      </w:r>
      <w:r w:rsidR="00B01442">
        <w:t xml:space="preserve">can be </w:t>
      </w:r>
      <w:r w:rsidR="00E35DA5">
        <w:t>cost-effecti</w:t>
      </w:r>
      <w:r w:rsidR="00E35DA5" w:rsidRPr="00E35DA5">
        <w:t>ve</w:t>
      </w:r>
      <w:r w:rsidR="00B01442">
        <w:t xml:space="preserve"> (</w:t>
      </w:r>
      <w:proofErr w:type="spellStart"/>
      <w:r w:rsidR="00B01442">
        <w:t>ie</w:t>
      </w:r>
      <w:proofErr w:type="spellEnd"/>
      <w:r w:rsidR="00B01442">
        <w:t>, identifying and managing risk without undue compliance costs).</w:t>
      </w:r>
    </w:p>
    <w:p w:rsidR="00EB647E" w:rsidRPr="00B74A60" w:rsidRDefault="00EB647E" w:rsidP="00316AA9">
      <w:pPr>
        <w:pStyle w:val="BodyText"/>
        <w:rPr>
          <w:rFonts w:eastAsia="Calibri"/>
        </w:rPr>
      </w:pPr>
      <w:r w:rsidRPr="00EB647E">
        <w:t>The</w:t>
      </w:r>
      <w:r w:rsidRPr="00EB647E">
        <w:rPr>
          <w:rFonts w:eastAsia="Calibri"/>
        </w:rPr>
        <w:t xml:space="preserve"> regulation of therapeutic products involves a range of activities designed to ensure consumers, health practitioners, and businesses have access to (and can confidently use) effective and safe therapeutic products.  </w:t>
      </w:r>
      <w:r w:rsidRPr="00B74A60">
        <w:rPr>
          <w:rFonts w:eastAsia="Calibri"/>
        </w:rPr>
        <w:t>Th</w:t>
      </w:r>
      <w:r w:rsidR="00710E3D">
        <w:rPr>
          <w:rFonts w:eastAsia="Calibri"/>
        </w:rPr>
        <w:t xml:space="preserve">ese </w:t>
      </w:r>
      <w:r w:rsidRPr="00B74A60">
        <w:rPr>
          <w:rFonts w:eastAsia="Calibri"/>
        </w:rPr>
        <w:t>activit</w:t>
      </w:r>
      <w:r w:rsidR="00710E3D">
        <w:rPr>
          <w:rFonts w:eastAsia="Calibri"/>
        </w:rPr>
        <w:t>ies</w:t>
      </w:r>
      <w:r w:rsidRPr="00B74A60">
        <w:rPr>
          <w:rFonts w:eastAsia="Calibri"/>
        </w:rPr>
        <w:t xml:space="preserve"> include assessing whether such products can be marketed in New Zealand, and if so</w:t>
      </w:r>
      <w:r w:rsidR="00710E3D">
        <w:rPr>
          <w:rFonts w:eastAsia="Calibri"/>
        </w:rPr>
        <w:t>,</w:t>
      </w:r>
      <w:r w:rsidRPr="00B74A60">
        <w:rPr>
          <w:rFonts w:eastAsia="Calibri"/>
        </w:rPr>
        <w:t xml:space="preserve"> on what basis.</w:t>
      </w:r>
    </w:p>
    <w:p w:rsidR="00EB647E" w:rsidRPr="00B74A60" w:rsidRDefault="00EB647E" w:rsidP="00316AA9">
      <w:pPr>
        <w:pStyle w:val="BodyText"/>
        <w:rPr>
          <w:rFonts w:eastAsia="Calibri"/>
        </w:rPr>
      </w:pPr>
      <w:r w:rsidRPr="00B74A60">
        <w:rPr>
          <w:rFonts w:eastAsia="Calibri"/>
        </w:rPr>
        <w:t xml:space="preserve">The </w:t>
      </w:r>
      <w:r w:rsidR="005D20E7">
        <w:rPr>
          <w:rFonts w:eastAsia="Calibri"/>
        </w:rPr>
        <w:t>g</w:t>
      </w:r>
      <w:r w:rsidRPr="00B74A60">
        <w:rPr>
          <w:rFonts w:eastAsia="Calibri"/>
        </w:rPr>
        <w:t>overnment may be seen to have a closer interest in therapeutic goods than it does for ordinary goods of commerce:</w:t>
      </w:r>
    </w:p>
    <w:p w:rsidR="00EB647E" w:rsidRPr="00B74A60" w:rsidRDefault="00EB647E" w:rsidP="00316AA9">
      <w:pPr>
        <w:pStyle w:val="BodyText2"/>
        <w:rPr>
          <w:rFonts w:eastAsia="Calibri"/>
          <w:lang w:val="en-NZ" w:eastAsia="en-US"/>
        </w:rPr>
      </w:pPr>
      <w:r w:rsidRPr="00B74A60">
        <w:rPr>
          <w:rFonts w:eastAsia="Calibri"/>
          <w:lang w:val="en-NZ" w:eastAsia="en-US"/>
        </w:rPr>
        <w:t>it wants to encourage their availability in New Zealand (it is less neutral than it is in rela</w:t>
      </w:r>
      <w:r w:rsidR="002B620E">
        <w:rPr>
          <w:rFonts w:eastAsia="Calibri"/>
          <w:lang w:val="en-NZ" w:eastAsia="en-US"/>
        </w:rPr>
        <w:t>tion to many other goods)</w:t>
      </w:r>
    </w:p>
    <w:p w:rsidR="00EB647E" w:rsidRPr="00B74A60" w:rsidRDefault="00EB647E" w:rsidP="00316AA9">
      <w:pPr>
        <w:pStyle w:val="BodyText2"/>
        <w:rPr>
          <w:rFonts w:eastAsia="Calibri"/>
          <w:lang w:val="en-NZ" w:eastAsia="en-US"/>
        </w:rPr>
      </w:pPr>
      <w:proofErr w:type="gramStart"/>
      <w:r w:rsidRPr="00B74A60">
        <w:rPr>
          <w:rFonts w:eastAsia="Calibri"/>
          <w:lang w:val="en-NZ" w:eastAsia="en-US"/>
        </w:rPr>
        <w:t>it</w:t>
      </w:r>
      <w:proofErr w:type="gramEnd"/>
      <w:r w:rsidRPr="00B74A60">
        <w:rPr>
          <w:rFonts w:eastAsia="Calibri"/>
          <w:lang w:val="en-NZ" w:eastAsia="en-US"/>
        </w:rPr>
        <w:t xml:space="preserve"> is more concerned about their risks than it is for most goods.</w:t>
      </w:r>
    </w:p>
    <w:p w:rsidR="0087132D" w:rsidRDefault="00EB647E" w:rsidP="00316AA9">
      <w:pPr>
        <w:pStyle w:val="BodyText"/>
      </w:pPr>
      <w:r w:rsidRPr="008D52D0">
        <w:rPr>
          <w:rFonts w:eastAsia="Calibri"/>
        </w:rPr>
        <w:t xml:space="preserve">In particular, the </w:t>
      </w:r>
      <w:r w:rsidR="005D20E7">
        <w:rPr>
          <w:rFonts w:eastAsia="Calibri"/>
        </w:rPr>
        <w:t>g</w:t>
      </w:r>
      <w:r w:rsidRPr="008D52D0">
        <w:rPr>
          <w:rFonts w:eastAsia="Calibri"/>
        </w:rPr>
        <w:t xml:space="preserve">overnment is concerned to maximise the benefits of such goods relative to the risks as part of its strategic goal of promoting health outcomes. </w:t>
      </w:r>
      <w:r w:rsidRPr="00B74A60">
        <w:rPr>
          <w:rFonts w:eastAsia="Calibri"/>
        </w:rPr>
        <w:t>Thus, regulation of therapeutic products is beneficial for the users of those products (access to health benefits) a</w:t>
      </w:r>
      <w:r w:rsidR="00710E3D">
        <w:rPr>
          <w:rFonts w:eastAsia="Calibri"/>
        </w:rPr>
        <w:t xml:space="preserve">nd </w:t>
      </w:r>
      <w:r w:rsidRPr="00B74A60">
        <w:rPr>
          <w:rFonts w:eastAsia="Calibri"/>
        </w:rPr>
        <w:t xml:space="preserve">for the suppliers of those products (commercial benefits).  </w:t>
      </w:r>
      <w:r w:rsidR="008D52D0">
        <w:rPr>
          <w:rFonts w:eastAsia="Calibri"/>
        </w:rPr>
        <w:t>Yet t</w:t>
      </w:r>
      <w:r w:rsidR="00434229" w:rsidRPr="00434229">
        <w:t xml:space="preserve">herapeutic products </w:t>
      </w:r>
      <w:r w:rsidR="008D52D0">
        <w:t>c</w:t>
      </w:r>
      <w:r w:rsidR="00434229" w:rsidRPr="00434229">
        <w:t xml:space="preserve">an present serious risks of harm, especially if used inappropriately. </w:t>
      </w:r>
    </w:p>
    <w:p w:rsidR="002C2D24" w:rsidRDefault="00434229" w:rsidP="00316AA9">
      <w:pPr>
        <w:pStyle w:val="BodyText"/>
      </w:pPr>
      <w:r w:rsidRPr="00434229">
        <w:t>All developed economies, including New Zealand, recognise that assuring the safety of therapeutic products is fundamental to the delivery of high quality health and disability support services (public and private) and to avoid diversion into illicit uses.  United Nations member countries take their lead from the World Health Organization’s framework</w:t>
      </w:r>
      <w:r w:rsidR="00710E3D">
        <w:t>,</w:t>
      </w:r>
      <w:r w:rsidRPr="00434229">
        <w:t xml:space="preserve"> and </w:t>
      </w:r>
      <w:r w:rsidR="00710E3D">
        <w:t xml:space="preserve">member countries </w:t>
      </w:r>
      <w:r w:rsidRPr="00434229">
        <w:t>regulate to control the manufacturing chain, distribution chain, promotion/advertising, pre-market evaluation and approval, post-market surveillance and access.</w:t>
      </w:r>
      <w:r w:rsidR="002C2D24">
        <w:t xml:space="preserve"> </w:t>
      </w:r>
      <w:r>
        <w:t xml:space="preserve"> </w:t>
      </w:r>
      <w:r w:rsidR="002C2D24">
        <w:t xml:space="preserve">The </w:t>
      </w:r>
      <w:r>
        <w:t xml:space="preserve">challenge </w:t>
      </w:r>
      <w:r w:rsidR="002C2D24">
        <w:t xml:space="preserve">is to ensure that </w:t>
      </w:r>
      <w:r>
        <w:t xml:space="preserve">regulation </w:t>
      </w:r>
      <w:r w:rsidR="002C2D24">
        <w:t>is fit-for purpose and cost-effective.</w:t>
      </w:r>
    </w:p>
    <w:p w:rsidR="00FB707F" w:rsidRPr="008D52D0" w:rsidRDefault="008D52D0" w:rsidP="00AC1201">
      <w:pPr>
        <w:pStyle w:val="Heading4"/>
      </w:pPr>
      <w:r w:rsidRPr="008D52D0">
        <w:t>Current problems</w:t>
      </w:r>
    </w:p>
    <w:p w:rsidR="008D52D0" w:rsidRDefault="008D52D0" w:rsidP="008D52D0">
      <w:pPr>
        <w:pStyle w:val="Bullet-list"/>
        <w:numPr>
          <w:ilvl w:val="0"/>
          <w:numId w:val="0"/>
        </w:numPr>
        <w:spacing w:after="0" w:line="240" w:lineRule="auto"/>
        <w:ind w:left="360"/>
        <w:rPr>
          <w:rFonts w:cs="Arial"/>
        </w:rPr>
      </w:pPr>
    </w:p>
    <w:p w:rsidR="00434229" w:rsidRDefault="002C2D24" w:rsidP="00316AA9">
      <w:pPr>
        <w:pStyle w:val="BodyText"/>
      </w:pPr>
      <w:r>
        <w:t xml:space="preserve">A range of specific and general </w:t>
      </w:r>
      <w:r w:rsidRPr="00981501">
        <w:t>concerns</w:t>
      </w:r>
      <w:r w:rsidR="00434229">
        <w:t xml:space="preserve"> </w:t>
      </w:r>
      <w:r w:rsidRPr="00981501">
        <w:t xml:space="preserve">have been raised about </w:t>
      </w:r>
      <w:r>
        <w:t>the Medicines Act s</w:t>
      </w:r>
      <w:r w:rsidRPr="00981501">
        <w:t>ince at least the mid-1990s</w:t>
      </w:r>
      <w:r>
        <w:t xml:space="preserve">.  These centre on issues of clarity, coverage, </w:t>
      </w:r>
      <w:r w:rsidR="006B5759">
        <w:t xml:space="preserve">flexibility, </w:t>
      </w:r>
      <w:r w:rsidR="00710E3D">
        <w:t xml:space="preserve">and cost. </w:t>
      </w:r>
    </w:p>
    <w:p w:rsidR="00434229" w:rsidRDefault="00B01442" w:rsidP="00316AA9">
      <w:pPr>
        <w:pStyle w:val="BodyText2"/>
      </w:pPr>
      <w:r>
        <w:t>T</w:t>
      </w:r>
      <w:r w:rsidR="00434229">
        <w:t>he legislation is dated and</w:t>
      </w:r>
      <w:r w:rsidR="00434229" w:rsidRPr="00535929">
        <w:t xml:space="preserve"> inflexible</w:t>
      </w:r>
      <w:r w:rsidR="00EB647E">
        <w:t xml:space="preserve">.  This reflects the </w:t>
      </w:r>
      <w:r w:rsidR="00434229">
        <w:t>policy and legislative drafting of the 1970s when the types of products requiring regulation were simpler, industry was often locally-based, and it was usual to set out detailed processes in primary legislation.</w:t>
      </w:r>
      <w:r w:rsidR="00D73C9B">
        <w:t xml:space="preserve">  This prevents more efficient regulatory approaches.</w:t>
      </w:r>
    </w:p>
    <w:p w:rsidR="0014085C" w:rsidRDefault="00B01442" w:rsidP="00316AA9">
      <w:pPr>
        <w:pStyle w:val="BodyText2"/>
      </w:pPr>
      <w:r>
        <w:t>T</w:t>
      </w:r>
      <w:r w:rsidR="00434229">
        <w:t xml:space="preserve">here are significant gaps in coverage.  The </w:t>
      </w:r>
      <w:r w:rsidR="002B620E">
        <w:t xml:space="preserve">range and </w:t>
      </w:r>
      <w:r w:rsidR="00434229">
        <w:t>complexity of products is growing</w:t>
      </w:r>
      <w:r w:rsidR="002B620E">
        <w:t>, but the legislation is unable to accommodate them</w:t>
      </w:r>
      <w:r w:rsidR="0014085C">
        <w:t>.</w:t>
      </w:r>
    </w:p>
    <w:p w:rsidR="00927F84" w:rsidRPr="00927F84" w:rsidRDefault="0014085C" w:rsidP="00316AA9">
      <w:pPr>
        <w:pStyle w:val="BodyText2"/>
      </w:pPr>
      <w:r>
        <w:t>The Act places many core regulatory powers with the Minister of Health (</w:t>
      </w:r>
      <w:proofErr w:type="spellStart"/>
      <w:r>
        <w:t>eg</w:t>
      </w:r>
      <w:proofErr w:type="spellEnd"/>
      <w:r>
        <w:t>, approval of new medicines) which are exercised under delegation.  This model does not enable a separation of responsibilities for accountability purposes, and also makes the Minister responsible for technical decisions that have significant impacts on private interests.</w:t>
      </w:r>
      <w:r w:rsidR="00434229">
        <w:t xml:space="preserve"> </w:t>
      </w:r>
    </w:p>
    <w:p w:rsidR="006B5759" w:rsidRDefault="006B5759" w:rsidP="00316AA9">
      <w:pPr>
        <w:pStyle w:val="BodyText"/>
      </w:pPr>
      <w:r>
        <w:t>S</w:t>
      </w:r>
      <w:r w:rsidR="000C379F" w:rsidRPr="00860903">
        <w:t>pecific</w:t>
      </w:r>
      <w:r>
        <w:t xml:space="preserve"> examples of problems include:</w:t>
      </w:r>
    </w:p>
    <w:p w:rsidR="00441A12" w:rsidRDefault="00B01442" w:rsidP="00E06A10">
      <w:pPr>
        <w:pStyle w:val="BodyText2"/>
      </w:pPr>
      <w:r>
        <w:t>T</w:t>
      </w:r>
      <w:r w:rsidR="000C379F" w:rsidRPr="00860903">
        <w:t xml:space="preserve">he Act does not allow for unilateral recognition of </w:t>
      </w:r>
      <w:r w:rsidR="006B5759">
        <w:t>decisions by other regulators in respect of new medicines applications</w:t>
      </w:r>
      <w:r w:rsidR="000C379F" w:rsidRPr="00860903">
        <w:t>.</w:t>
      </w:r>
      <w:r w:rsidR="006B5759">
        <w:t xml:space="preserve">  Medsafe does operate</w:t>
      </w:r>
      <w:r>
        <w:t xml:space="preserve"> an abbreviated process for new prescription medicines that have already been approved by one or more trusted regulators</w:t>
      </w:r>
      <w:r w:rsidR="00FF203D">
        <w:t xml:space="preserve">.  In this </w:t>
      </w:r>
      <w:r w:rsidR="008E5949">
        <w:t>case</w:t>
      </w:r>
      <w:r w:rsidR="00FF203D">
        <w:t>, a reduced fee applies</w:t>
      </w:r>
      <w:r w:rsidR="008E5949">
        <w:t>, but this stops short of the potential benefits possible if the Act were more flexible.</w:t>
      </w:r>
      <w:r>
        <w:t xml:space="preserve">  </w:t>
      </w:r>
    </w:p>
    <w:p w:rsidR="00D73C9B" w:rsidRDefault="00D73C9B" w:rsidP="00E06A10">
      <w:pPr>
        <w:pStyle w:val="BodyText2"/>
      </w:pPr>
      <w:r>
        <w:t>There is no coverage of cell and tissue therapies that are not considered medicines, and medical devices are not fully regulated</w:t>
      </w:r>
      <w:r w:rsidR="008E5949">
        <w:t>, which means risks are not being managed actively</w:t>
      </w:r>
      <w:r>
        <w:t xml:space="preserve">. </w:t>
      </w:r>
    </w:p>
    <w:p w:rsidR="00434229" w:rsidRDefault="0030387A" w:rsidP="00E06A10">
      <w:pPr>
        <w:pStyle w:val="BodyText2"/>
      </w:pPr>
      <w:r>
        <w:t>Under the Human Tissues Act 2008, c</w:t>
      </w:r>
      <w:r w:rsidR="00434229" w:rsidRPr="00860903">
        <w:t xml:space="preserve">ell and tissue therapies cannot be traded </w:t>
      </w:r>
      <w:r w:rsidR="000C379F" w:rsidRPr="00860903">
        <w:t xml:space="preserve">without a Ministerial approval and </w:t>
      </w:r>
      <w:r w:rsidR="00434229" w:rsidRPr="00860903">
        <w:t>at present there is no mechanism to obtain an approval making it difficult for legitimate products to come to market.</w:t>
      </w:r>
      <w:r w:rsidR="000C379F" w:rsidRPr="00860903">
        <w:t xml:space="preserve"> </w:t>
      </w:r>
    </w:p>
    <w:p w:rsidR="00D73C9B" w:rsidRPr="00860903" w:rsidRDefault="00D73C9B" w:rsidP="00E06A10">
      <w:pPr>
        <w:pStyle w:val="BodyText2"/>
      </w:pPr>
      <w:r>
        <w:t>New Zealand is moving to centralised procurement of medical devices under PHARMAC</w:t>
      </w:r>
      <w:r w:rsidR="008E5949">
        <w:t>, but the issue of the safety and risks of such products and how they should be managed is unclear</w:t>
      </w:r>
      <w:r>
        <w:t>.</w:t>
      </w:r>
    </w:p>
    <w:p w:rsidR="002C2D24" w:rsidRPr="00443A57" w:rsidRDefault="002C2D24" w:rsidP="00A86133">
      <w:pPr>
        <w:pStyle w:val="BodyText"/>
      </w:pPr>
      <w:r w:rsidRPr="006B5759">
        <w:t xml:space="preserve">Over the course of the last 20 years, a </w:t>
      </w:r>
      <w:r w:rsidR="00434229" w:rsidRPr="006B5759">
        <w:t xml:space="preserve">number </w:t>
      </w:r>
      <w:r w:rsidRPr="006B5759">
        <w:t xml:space="preserve">of </w:t>
      </w:r>
      <w:r w:rsidR="00434229" w:rsidRPr="006B5759">
        <w:t xml:space="preserve">partial solutions </w:t>
      </w:r>
      <w:r w:rsidRPr="006B5759">
        <w:t xml:space="preserve">including amendments </w:t>
      </w:r>
      <w:r w:rsidR="00CE118F" w:rsidRPr="006B5759">
        <w:t xml:space="preserve">to the Medicines Act </w:t>
      </w:r>
      <w:r w:rsidRPr="006B5759">
        <w:t xml:space="preserve">and </w:t>
      </w:r>
      <w:r w:rsidR="00434229" w:rsidRPr="006B5759">
        <w:t xml:space="preserve">other </w:t>
      </w:r>
      <w:r w:rsidRPr="006B5759">
        <w:t xml:space="preserve">new legislation have </w:t>
      </w:r>
      <w:r w:rsidR="00434229" w:rsidRPr="006B5759">
        <w:t xml:space="preserve">attempted to </w:t>
      </w:r>
      <w:r w:rsidR="000C379F" w:rsidRPr="006B5759">
        <w:t xml:space="preserve">manage </w:t>
      </w:r>
      <w:r w:rsidRPr="006B5759">
        <w:t>some of these concerns</w:t>
      </w:r>
      <w:r w:rsidR="006B5759" w:rsidRPr="006B5759">
        <w:t xml:space="preserve">, </w:t>
      </w:r>
      <w:r w:rsidR="006B5759">
        <w:t xml:space="preserve">but </w:t>
      </w:r>
      <w:r w:rsidR="00522FBF">
        <w:t xml:space="preserve">the fundamental problems with the regulatory regime that were identified </w:t>
      </w:r>
      <w:r w:rsidR="004C5FB7">
        <w:t xml:space="preserve">many </w:t>
      </w:r>
      <w:r w:rsidR="00522FBF">
        <w:t>years ago have still not been addressed.</w:t>
      </w:r>
      <w:r w:rsidR="001B2EBB">
        <w:t xml:space="preserve"> The Act does not fully enable flexibility to fully adopt a modern regulatory scheme (</w:t>
      </w:r>
      <w:proofErr w:type="spellStart"/>
      <w:r w:rsidR="001B2EBB">
        <w:t>eg</w:t>
      </w:r>
      <w:proofErr w:type="spellEnd"/>
      <w:r w:rsidR="001B2EBB">
        <w:t>, fee setting provisions; changed medicine notifications).</w:t>
      </w:r>
    </w:p>
    <w:p w:rsidR="00757E12" w:rsidRPr="00757E12" w:rsidRDefault="00757E12" w:rsidP="00AC1201">
      <w:pPr>
        <w:pStyle w:val="Heading3"/>
      </w:pPr>
      <w:r w:rsidRPr="00757E12">
        <w:t xml:space="preserve">Alternative approach </w:t>
      </w:r>
      <w:r>
        <w:t xml:space="preserve">to problem </w:t>
      </w:r>
      <w:r w:rsidRPr="00757E12">
        <w:t>previously considered</w:t>
      </w:r>
    </w:p>
    <w:p w:rsidR="00757E12" w:rsidRDefault="00757E12" w:rsidP="00757E12">
      <w:pPr>
        <w:pStyle w:val="Bullet-list"/>
        <w:numPr>
          <w:ilvl w:val="0"/>
          <w:numId w:val="0"/>
        </w:numPr>
        <w:spacing w:after="0" w:line="240" w:lineRule="auto"/>
      </w:pPr>
    </w:p>
    <w:p w:rsidR="00757E12" w:rsidRDefault="00757E12" w:rsidP="00316AA9">
      <w:pPr>
        <w:pStyle w:val="BodyText"/>
      </w:pPr>
      <w:r w:rsidRPr="00860903">
        <w:rPr>
          <w:rFonts w:cs="Arial"/>
        </w:rPr>
        <w:t>Over</w:t>
      </w:r>
      <w:r>
        <w:t xml:space="preserve"> the last two decades, a joint regulatory approach has been explored with Australia in the form of the Australia New Zealand Therapeutic Products A</w:t>
      </w:r>
      <w:r w:rsidR="00A86133">
        <w:t>gency</w:t>
      </w:r>
      <w:r>
        <w:t xml:space="preserve"> (</w:t>
      </w:r>
      <w:r w:rsidRPr="00C62675">
        <w:t>ANZTPA</w:t>
      </w:r>
      <w:r>
        <w:t xml:space="preserve">).  This </w:t>
      </w:r>
      <w:r w:rsidRPr="00C62675">
        <w:t xml:space="preserve">initiative began in the late 1990s and in 2003 the Australian and New Zealand Governments signed a Treaty for the establishment of a joint regulatory scheme and agency.  </w:t>
      </w:r>
    </w:p>
    <w:p w:rsidR="00757E12" w:rsidRPr="00860903" w:rsidRDefault="00757E12" w:rsidP="00316AA9">
      <w:pPr>
        <w:pStyle w:val="BodyText"/>
      </w:pPr>
      <w:r w:rsidRPr="00860903">
        <w:t xml:space="preserve">In effect the arrangement would have created a single market for therapeutic products across the two countries.  The agency was to have been jointly and equally governed by both countries.  The </w:t>
      </w:r>
      <w:r w:rsidR="0014085C">
        <w:t xml:space="preserve">objectives were </w:t>
      </w:r>
      <w:r w:rsidRPr="00860903">
        <w:t xml:space="preserve">to address capacity issues in New Zealand (which were also anticipated in Australia in the future), lower costs to industry and governments, and position both countries well on the international stage.  It would also have resolved the </w:t>
      </w:r>
      <w:r w:rsidR="0014085C">
        <w:t xml:space="preserve">issues with the Medicines Act and the </w:t>
      </w:r>
      <w:r w:rsidRPr="00860903">
        <w:t>temporary exemption for therapeutic products under the Trans-Tasman Mutual Recognition Arrangement</w:t>
      </w:r>
      <w:r w:rsidR="001B2EBB">
        <w:t xml:space="preserve"> (which </w:t>
      </w:r>
      <w:r w:rsidR="003C62A2">
        <w:t>has now beco</w:t>
      </w:r>
      <w:r w:rsidR="001B2EBB">
        <w:t>me a permanent exemption)</w:t>
      </w:r>
      <w:r w:rsidRPr="00860903">
        <w:t xml:space="preserve">.  </w:t>
      </w:r>
    </w:p>
    <w:p w:rsidR="00757E12" w:rsidRPr="00860903" w:rsidRDefault="00757E12" w:rsidP="00316AA9">
      <w:pPr>
        <w:pStyle w:val="BodyText"/>
      </w:pPr>
      <w:r w:rsidRPr="00860903">
        <w:t xml:space="preserve">Until 2007 a large amount of work was done to bring the ANZTPA initiative to fruition.  Legislation was introduced in New Zealand (and released as an exposure draft in Australia) but could not be passed as there was a lack of political support.  The lack of support </w:t>
      </w:r>
      <w:r w:rsidR="00244932">
        <w:t xml:space="preserve">largely </w:t>
      </w:r>
      <w:r w:rsidRPr="00860903">
        <w:t xml:space="preserve">reflected concern about the inclusion of complementary medicines within the scope of the joint scheme.  </w:t>
      </w:r>
      <w:r w:rsidR="00A521EF">
        <w:t>(New Zealand has now developed a separate regime for these products in the form of the Natural Health Products Bill</w:t>
      </w:r>
      <w:r w:rsidR="0014085C">
        <w:t>.</w:t>
      </w:r>
      <w:r w:rsidR="00A521EF">
        <w:t xml:space="preserve">)  </w:t>
      </w:r>
      <w:r w:rsidRPr="00860903">
        <w:t xml:space="preserve">As a consequence the two governments put ANZTPA on </w:t>
      </w:r>
      <w:r w:rsidR="00244932">
        <w:t>hold</w:t>
      </w:r>
      <w:r w:rsidRPr="00860903">
        <w:t xml:space="preserve">.  In 2011 </w:t>
      </w:r>
      <w:r w:rsidR="00A521EF">
        <w:t xml:space="preserve">the </w:t>
      </w:r>
      <w:r w:rsidRPr="00860903">
        <w:t xml:space="preserve">Prime Ministers </w:t>
      </w:r>
      <w:r w:rsidR="00A521EF">
        <w:t xml:space="preserve">of New Zealand and Australia </w:t>
      </w:r>
      <w:r w:rsidRPr="00860903">
        <w:t>recommitted to ANZTPA and work recommenced.</w:t>
      </w:r>
    </w:p>
    <w:p w:rsidR="00757E12" w:rsidRDefault="00A521EF" w:rsidP="00316AA9">
      <w:pPr>
        <w:pStyle w:val="BodyText"/>
      </w:pPr>
      <w:r>
        <w:t>A few years later, however, f</w:t>
      </w:r>
      <w:r w:rsidR="00757E12" w:rsidRPr="00860903">
        <w:t>ollowing a comprehensive review of progress and assessment of the costs and benefits to each country of proceeding, the Prime Ministers of Australia and New Zealand announced in November 2014</w:t>
      </w:r>
      <w:r w:rsidR="00757E12">
        <w:t xml:space="preserve"> to cease efforts on this major project. </w:t>
      </w:r>
    </w:p>
    <w:p w:rsidR="00757E12" w:rsidRPr="00131FB7" w:rsidRDefault="00757E12" w:rsidP="00AC1201">
      <w:pPr>
        <w:pStyle w:val="Heading3"/>
      </w:pPr>
      <w:r w:rsidRPr="00131FB7">
        <w:t>Government expectation</w:t>
      </w:r>
      <w:r w:rsidR="008D52D0">
        <w:t>s</w:t>
      </w:r>
    </w:p>
    <w:p w:rsidR="00757E12" w:rsidRPr="00860903" w:rsidRDefault="00757E12" w:rsidP="00860903">
      <w:pPr>
        <w:pStyle w:val="Bullet-list"/>
        <w:numPr>
          <w:ilvl w:val="0"/>
          <w:numId w:val="0"/>
        </w:numPr>
        <w:spacing w:after="0" w:line="240" w:lineRule="auto"/>
        <w:ind w:left="360"/>
        <w:rPr>
          <w:rFonts w:cs="Arial"/>
        </w:rPr>
      </w:pPr>
    </w:p>
    <w:p w:rsidR="00757E12" w:rsidRPr="00860903" w:rsidRDefault="00021B06" w:rsidP="00316AA9">
      <w:pPr>
        <w:pStyle w:val="BodyText"/>
      </w:pPr>
      <w:r>
        <w:t xml:space="preserve">On 17 </w:t>
      </w:r>
      <w:r w:rsidR="00A521EF">
        <w:t xml:space="preserve">November 2014 </w:t>
      </w:r>
      <w:r w:rsidR="00757E12" w:rsidRPr="00860903">
        <w:t>Cabinet noted that the Minister of Health would signal the next steps to upgrade New Zealand’s regulation of therapeutic products.  This involves “a new and comprehensive regulatory regime … which will replace the Medicin</w:t>
      </w:r>
      <w:r w:rsidR="00800DFD">
        <w:t>es Act 1981 and its Regulations</w:t>
      </w:r>
      <w:r w:rsidR="00757E12" w:rsidRPr="00860903">
        <w:t>”</w:t>
      </w:r>
      <w:r w:rsidR="001B2EBB">
        <w:t xml:space="preserve"> [CAB Min (14) 36/22 refers].</w:t>
      </w:r>
    </w:p>
    <w:p w:rsidR="00757E12" w:rsidRDefault="00757E12" w:rsidP="00316AA9">
      <w:pPr>
        <w:pStyle w:val="BodyText"/>
      </w:pPr>
      <w:r w:rsidRPr="00860903">
        <w:t>A Therapeutic Products Bill to repeal and replace the Medicines Act 1981 has priority 6 on the</w:t>
      </w:r>
      <w:r>
        <w:t xml:space="preserve"> Government’s Legislation Programme [CAB Min (15) 5/7 refers].  </w:t>
      </w:r>
    </w:p>
    <w:p w:rsidR="008D5CD9" w:rsidRPr="00082653" w:rsidRDefault="008D5CD9" w:rsidP="0088541D">
      <w:pPr>
        <w:pStyle w:val="Heading2"/>
      </w:pPr>
      <w:bookmarkStart w:id="36" w:name="_Toc244580364"/>
      <w:bookmarkStart w:id="37" w:name="_Toc244587040"/>
      <w:bookmarkStart w:id="38" w:name="_Toc244857274"/>
      <w:bookmarkStart w:id="39" w:name="_Toc244912539"/>
      <w:bookmarkStart w:id="40" w:name="_Toc244916996"/>
      <w:bookmarkStart w:id="41" w:name="_Toc362368105"/>
      <w:bookmarkStart w:id="42" w:name="_Toc362434946"/>
      <w:bookmarkStart w:id="43" w:name="_Toc362589332"/>
      <w:bookmarkStart w:id="44" w:name="_Toc362619032"/>
      <w:bookmarkStart w:id="45" w:name="_Toc362940596"/>
      <w:bookmarkStart w:id="46" w:name="_Toc363047104"/>
      <w:r w:rsidRPr="00082653">
        <w:t>Objectives</w:t>
      </w:r>
      <w:bookmarkEnd w:id="36"/>
      <w:bookmarkEnd w:id="37"/>
      <w:bookmarkEnd w:id="38"/>
      <w:bookmarkEnd w:id="39"/>
      <w:bookmarkEnd w:id="40"/>
      <w:bookmarkEnd w:id="41"/>
      <w:bookmarkEnd w:id="42"/>
      <w:bookmarkEnd w:id="43"/>
      <w:bookmarkEnd w:id="44"/>
      <w:bookmarkEnd w:id="45"/>
      <w:bookmarkEnd w:id="46"/>
    </w:p>
    <w:p w:rsidR="0064172B" w:rsidRDefault="004177A2" w:rsidP="00316AA9">
      <w:pPr>
        <w:pStyle w:val="BodyText"/>
      </w:pPr>
      <w:bookmarkStart w:id="47" w:name="_Toc244580365"/>
      <w:bookmarkStart w:id="48" w:name="_Toc244587041"/>
      <w:bookmarkStart w:id="49" w:name="_Toc244857275"/>
      <w:bookmarkStart w:id="50" w:name="_Toc244912540"/>
      <w:bookmarkStart w:id="51" w:name="_Toc244916997"/>
      <w:bookmarkStart w:id="52" w:name="_Toc362368106"/>
      <w:bookmarkStart w:id="53" w:name="_Toc362434947"/>
      <w:bookmarkStart w:id="54" w:name="_Toc362589333"/>
      <w:bookmarkStart w:id="55" w:name="_Toc362619033"/>
      <w:bookmarkStart w:id="56" w:name="_Toc362940597"/>
      <w:bookmarkStart w:id="57" w:name="_Toc363047105"/>
      <w:r w:rsidRPr="00860903">
        <w:rPr>
          <w:rFonts w:cs="Arial"/>
        </w:rPr>
        <w:t>The</w:t>
      </w:r>
      <w:r>
        <w:t xml:space="preserve"> new regime is being designed to meet the needs of the health and disability support sector now and into the future, </w:t>
      </w:r>
      <w:r w:rsidR="00C04191">
        <w:t xml:space="preserve">and </w:t>
      </w:r>
      <w:r>
        <w:t xml:space="preserve">to give effect to Government’s expectations for regulatory systems </w:t>
      </w:r>
      <w:r w:rsidR="00C04191">
        <w:t>(including international alignment or conformity as appropriate)</w:t>
      </w:r>
      <w:r>
        <w:t xml:space="preserve">.  </w:t>
      </w:r>
    </w:p>
    <w:p w:rsidR="0064172B" w:rsidRDefault="0064172B" w:rsidP="00316AA9">
      <w:pPr>
        <w:pStyle w:val="BodyText"/>
      </w:pPr>
      <w:r w:rsidRPr="00860903">
        <w:rPr>
          <w:rFonts w:cs="Arial"/>
        </w:rPr>
        <w:t>More</w:t>
      </w:r>
      <w:r>
        <w:t xml:space="preserve"> specifically, the regime is being designed to:</w:t>
      </w:r>
    </w:p>
    <w:p w:rsidR="004177A2" w:rsidRDefault="004177A2" w:rsidP="000421DF">
      <w:pPr>
        <w:pStyle w:val="BodyText2"/>
        <w:spacing w:after="0"/>
      </w:pPr>
      <w:r>
        <w:t>meet expectations of risk management and assurance of safety</w:t>
      </w:r>
    </w:p>
    <w:p w:rsidR="004177A2" w:rsidRDefault="004177A2" w:rsidP="000421DF">
      <w:pPr>
        <w:pStyle w:val="BodyText2"/>
        <w:spacing w:after="0"/>
      </w:pPr>
      <w:r>
        <w:t>result in efficient and cost effective regulation</w:t>
      </w:r>
    </w:p>
    <w:p w:rsidR="004177A2" w:rsidRDefault="0064172B" w:rsidP="000421DF">
      <w:pPr>
        <w:pStyle w:val="BodyText2"/>
        <w:spacing w:after="0"/>
      </w:pPr>
      <w:r>
        <w:t xml:space="preserve">be </w:t>
      </w:r>
      <w:r w:rsidR="004177A2">
        <w:t>flexible, durable, up-to-date, and easy to use</w:t>
      </w:r>
    </w:p>
    <w:p w:rsidR="004177A2" w:rsidRDefault="004177A2" w:rsidP="000421DF">
      <w:pPr>
        <w:pStyle w:val="BodyText2"/>
        <w:spacing w:after="0"/>
      </w:pPr>
      <w:r>
        <w:t>ensure high-quality, robust and accountable decision-making</w:t>
      </w:r>
    </w:p>
    <w:p w:rsidR="004177A2" w:rsidRDefault="00C04191" w:rsidP="000421DF">
      <w:pPr>
        <w:pStyle w:val="BodyText2"/>
        <w:spacing w:after="0"/>
      </w:pPr>
      <w:r>
        <w:t xml:space="preserve">foster </w:t>
      </w:r>
      <w:r w:rsidR="004177A2">
        <w:t>sustain</w:t>
      </w:r>
      <w:r>
        <w:t xml:space="preserve">able </w:t>
      </w:r>
      <w:r w:rsidR="004177A2">
        <w:t>regulatory capacity</w:t>
      </w:r>
    </w:p>
    <w:p w:rsidR="004177A2" w:rsidRDefault="004177A2" w:rsidP="000421DF">
      <w:pPr>
        <w:pStyle w:val="BodyText2"/>
        <w:spacing w:after="0"/>
      </w:pPr>
      <w:r>
        <w:t>support New Zealand trade and economic objectives</w:t>
      </w:r>
    </w:p>
    <w:p w:rsidR="004177A2" w:rsidRDefault="0064172B" w:rsidP="000421DF">
      <w:pPr>
        <w:pStyle w:val="BodyText2"/>
        <w:spacing w:after="0"/>
      </w:pPr>
      <w:r>
        <w:t xml:space="preserve">be </w:t>
      </w:r>
      <w:r w:rsidR="004177A2">
        <w:t>trusted and respected</w:t>
      </w:r>
    </w:p>
    <w:p w:rsidR="004177A2" w:rsidRDefault="004177A2" w:rsidP="000421DF">
      <w:pPr>
        <w:pStyle w:val="BodyText2"/>
        <w:spacing w:after="0"/>
      </w:pPr>
      <w:proofErr w:type="gramStart"/>
      <w:r>
        <w:t>support</w:t>
      </w:r>
      <w:proofErr w:type="gramEnd"/>
      <w:r>
        <w:t xml:space="preserve"> consumer access and individual responsibility for care.</w:t>
      </w:r>
    </w:p>
    <w:p w:rsidR="000421DF" w:rsidRDefault="000421DF" w:rsidP="000421DF">
      <w:pPr>
        <w:pStyle w:val="BodyText2"/>
        <w:numPr>
          <w:ilvl w:val="0"/>
          <w:numId w:val="0"/>
        </w:numPr>
        <w:spacing w:after="0"/>
        <w:ind w:left="1134"/>
      </w:pPr>
    </w:p>
    <w:p w:rsidR="0064172B" w:rsidRDefault="004177A2" w:rsidP="00316AA9">
      <w:pPr>
        <w:pStyle w:val="BodyText"/>
      </w:pPr>
      <w:r w:rsidRPr="00120C8E">
        <w:rPr>
          <w:rFonts w:cs="Arial"/>
        </w:rPr>
        <w:t>These</w:t>
      </w:r>
      <w:r>
        <w:t xml:space="preserve"> objectives will </w:t>
      </w:r>
      <w:r w:rsidR="0064172B">
        <w:t>require:</w:t>
      </w:r>
    </w:p>
    <w:p w:rsidR="0064172B" w:rsidRDefault="0064172B" w:rsidP="00316AA9">
      <w:pPr>
        <w:pStyle w:val="BodyText2"/>
      </w:pPr>
      <w:r>
        <w:t xml:space="preserve">an enabling legislative framework that can be readily maintained and updated  </w:t>
      </w:r>
    </w:p>
    <w:p w:rsidR="0064172B" w:rsidRDefault="0064172B" w:rsidP="00316AA9">
      <w:pPr>
        <w:pStyle w:val="BodyText2"/>
      </w:pPr>
      <w:r>
        <w:t>regulatory requirements that are consistent with cost-effective risk management</w:t>
      </w:r>
      <w:r w:rsidR="00C80748">
        <w:t xml:space="preserve"> and accepted international practice</w:t>
      </w:r>
    </w:p>
    <w:p w:rsidR="00C80748" w:rsidRDefault="004177A2" w:rsidP="00316AA9">
      <w:pPr>
        <w:pStyle w:val="BodyText2"/>
      </w:pPr>
      <w:proofErr w:type="gramStart"/>
      <w:r>
        <w:t>a</w:t>
      </w:r>
      <w:proofErr w:type="gramEnd"/>
      <w:r>
        <w:t xml:space="preserve"> regulator </w:t>
      </w:r>
      <w:r w:rsidR="000421DF">
        <w:t xml:space="preserve">with </w:t>
      </w:r>
      <w:r w:rsidR="00C80748">
        <w:t xml:space="preserve">capacity, independence, flexibility, and </w:t>
      </w:r>
      <w:r>
        <w:t>accountab</w:t>
      </w:r>
      <w:r w:rsidR="00C80748">
        <w:t>ility.</w:t>
      </w:r>
    </w:p>
    <w:p w:rsidR="008D5CD9" w:rsidRPr="00082653" w:rsidRDefault="008D5CD9" w:rsidP="0088541D">
      <w:pPr>
        <w:pStyle w:val="Heading2"/>
      </w:pPr>
      <w:r>
        <w:t xml:space="preserve">Options and </w:t>
      </w:r>
      <w:r w:rsidRPr="00082653">
        <w:t>impact analysis</w:t>
      </w:r>
      <w:bookmarkEnd w:id="47"/>
      <w:bookmarkEnd w:id="48"/>
      <w:bookmarkEnd w:id="49"/>
      <w:bookmarkEnd w:id="50"/>
      <w:bookmarkEnd w:id="51"/>
      <w:bookmarkEnd w:id="52"/>
      <w:bookmarkEnd w:id="53"/>
      <w:bookmarkEnd w:id="54"/>
      <w:bookmarkEnd w:id="55"/>
      <w:bookmarkEnd w:id="56"/>
      <w:bookmarkEnd w:id="57"/>
      <w:r w:rsidRPr="00082653">
        <w:t xml:space="preserve"> </w:t>
      </w:r>
    </w:p>
    <w:p w:rsidR="006C73FD" w:rsidRDefault="006C73FD" w:rsidP="00316AA9">
      <w:pPr>
        <w:pStyle w:val="BodyText"/>
      </w:pPr>
      <w:r w:rsidRPr="00120C8E">
        <w:rPr>
          <w:rFonts w:cs="Arial"/>
        </w:rPr>
        <w:t>The</w:t>
      </w:r>
      <w:r>
        <w:t xml:space="preserve"> proposal is to replace the Medicines Act 1981 and the Medicines Regulati</w:t>
      </w:r>
      <w:r w:rsidR="00FB707F">
        <w:t>ons 1984 with new legislation</w:t>
      </w:r>
      <w:r w:rsidR="002C45FE">
        <w:t>, regulations and subordinate instruments</w:t>
      </w:r>
      <w:r w:rsidR="00FB707F">
        <w:t xml:space="preserve">. </w:t>
      </w:r>
    </w:p>
    <w:p w:rsidR="006C73FD" w:rsidRDefault="006C73FD" w:rsidP="00316AA9">
      <w:pPr>
        <w:pStyle w:val="BodyText"/>
      </w:pPr>
      <w:r>
        <w:t xml:space="preserve">In approaching the analysis of options, </w:t>
      </w:r>
      <w:r w:rsidR="00FF203D">
        <w:t xml:space="preserve">the following </w:t>
      </w:r>
      <w:r>
        <w:t xml:space="preserve">key factors </w:t>
      </w:r>
      <w:r w:rsidR="00FF203D">
        <w:t>were considered</w:t>
      </w:r>
      <w:r>
        <w:t>:</w:t>
      </w:r>
    </w:p>
    <w:p w:rsidR="00FB707F" w:rsidRDefault="006C73FD" w:rsidP="00316AA9">
      <w:pPr>
        <w:pStyle w:val="BodyText2"/>
      </w:pPr>
      <w:r>
        <w:t xml:space="preserve">It is a major and wide-ranging proposal with a significant number of elements. The analysis needs to cover high-level strategic issues, as well as </w:t>
      </w:r>
      <w:r w:rsidR="00C84187">
        <w:t xml:space="preserve">major </w:t>
      </w:r>
      <w:r>
        <w:t xml:space="preserve">design and policy issues.  The focus must therefore be on the most significant </w:t>
      </w:r>
      <w:r w:rsidR="00C84187">
        <w:t xml:space="preserve">areas - </w:t>
      </w:r>
      <w:r>
        <w:t xml:space="preserve">those that are expected to involve the most material changes or </w:t>
      </w:r>
      <w:r w:rsidR="00C84187">
        <w:t>have the most significant impacts</w:t>
      </w:r>
      <w:r>
        <w:t>.</w:t>
      </w:r>
    </w:p>
    <w:p w:rsidR="006C73FD" w:rsidRDefault="006C73FD" w:rsidP="00316AA9">
      <w:pPr>
        <w:pStyle w:val="BodyText2"/>
      </w:pPr>
      <w:r>
        <w:t>Some issues will not be pre</w:t>
      </w:r>
      <w:r w:rsidR="00EA37D3">
        <w:t>sented for decision until 2016,</w:t>
      </w:r>
      <w:r>
        <w:t xml:space="preserve"> including the institutional form of the regulator</w:t>
      </w:r>
      <w:r w:rsidR="00441A12">
        <w:t xml:space="preserve"> and pharmacy licensing and control (including ownership restrictions).  </w:t>
      </w:r>
      <w:r>
        <w:t xml:space="preserve">For completeness, however, such issues </w:t>
      </w:r>
      <w:r w:rsidR="0025749C">
        <w:t xml:space="preserve">and options are </w:t>
      </w:r>
      <w:r w:rsidR="00C84187">
        <w:t xml:space="preserve">sketched </w:t>
      </w:r>
      <w:r>
        <w:t>in a preliminary way</w:t>
      </w:r>
      <w:r w:rsidR="00C84187">
        <w:t xml:space="preserve">, and in order to </w:t>
      </w:r>
      <w:r>
        <w:t xml:space="preserve">provide assurance </w:t>
      </w:r>
      <w:r w:rsidR="00C84187">
        <w:t xml:space="preserve">that </w:t>
      </w:r>
      <w:r>
        <w:t>th</w:t>
      </w:r>
      <w:r w:rsidR="00245E32">
        <w:t xml:space="preserve">eir later consideration </w:t>
      </w:r>
      <w:r w:rsidR="00C84187">
        <w:t>present</w:t>
      </w:r>
      <w:r w:rsidR="00245E32">
        <w:t>s</w:t>
      </w:r>
      <w:r w:rsidR="00C84187">
        <w:t xml:space="preserve"> no impediment to </w:t>
      </w:r>
      <w:r>
        <w:t xml:space="preserve">other matters </w:t>
      </w:r>
      <w:r w:rsidR="00C84187">
        <w:t xml:space="preserve">being </w:t>
      </w:r>
      <w:r>
        <w:t xml:space="preserve">decided </w:t>
      </w:r>
      <w:r w:rsidR="00441A12">
        <w:t>now.</w:t>
      </w:r>
    </w:p>
    <w:p w:rsidR="00FB707F" w:rsidRDefault="006C73FD" w:rsidP="00316AA9">
      <w:pPr>
        <w:pStyle w:val="BodyText2"/>
      </w:pPr>
      <w:r>
        <w:t>In some areas, detailed information on specific impacts is unknown (</w:t>
      </w:r>
      <w:proofErr w:type="spellStart"/>
      <w:r>
        <w:t>eg</w:t>
      </w:r>
      <w:proofErr w:type="spellEnd"/>
      <w:r>
        <w:t xml:space="preserve">, in relation to products that would be brought within the scope of the regime).  </w:t>
      </w:r>
      <w:r w:rsidR="00C14507">
        <w:t xml:space="preserve">Currently, knowledge of </w:t>
      </w:r>
      <w:r w:rsidR="001B2EBB">
        <w:t>cell and tissue therapies</w:t>
      </w:r>
      <w:r w:rsidR="00C14507">
        <w:t xml:space="preserve"> and </w:t>
      </w:r>
      <w:r w:rsidR="00EA37D3">
        <w:t>medical devices</w:t>
      </w:r>
      <w:r w:rsidR="00C14507">
        <w:t xml:space="preserve"> is limited.  The </w:t>
      </w:r>
      <w:r w:rsidR="00EA37D3">
        <w:t xml:space="preserve">obligation to assure safety falls implicitly </w:t>
      </w:r>
      <w:r w:rsidR="001B457B">
        <w:t xml:space="preserve">and variously </w:t>
      </w:r>
      <w:r w:rsidR="00EA37D3">
        <w:t>on D</w:t>
      </w:r>
      <w:r w:rsidR="00850281">
        <w:t>istrict Health Boards (D</w:t>
      </w:r>
      <w:r w:rsidR="00EA37D3">
        <w:t>HBs</w:t>
      </w:r>
      <w:r w:rsidR="00850281">
        <w:t>)</w:t>
      </w:r>
      <w:r w:rsidR="00EA37D3">
        <w:t xml:space="preserve">, PHARMAC, and clinicians but without a clear framework of responsibility.  </w:t>
      </w:r>
      <w:r>
        <w:t xml:space="preserve"> </w:t>
      </w:r>
      <w:r w:rsidR="00EA37D3">
        <w:t>B</w:t>
      </w:r>
      <w:r>
        <w:t>r</w:t>
      </w:r>
      <w:r w:rsidR="00C84187">
        <w:t xml:space="preserve">inging them within scope provides the opportunity for </w:t>
      </w:r>
      <w:r w:rsidR="00C14507">
        <w:t xml:space="preserve">more </w:t>
      </w:r>
      <w:r w:rsidR="00C84187">
        <w:t>informed risk management</w:t>
      </w:r>
      <w:r>
        <w:t xml:space="preserve">.  </w:t>
      </w:r>
    </w:p>
    <w:p w:rsidR="00713B18" w:rsidRDefault="00F95E71" w:rsidP="00D57174">
      <w:pPr>
        <w:pStyle w:val="BodyText"/>
      </w:pPr>
      <w:r>
        <w:t xml:space="preserve">The issues addressed in this RIS for option identification and impact analysis represent the high-level questions and </w:t>
      </w:r>
      <w:r w:rsidR="00ED3778">
        <w:t xml:space="preserve">potential </w:t>
      </w:r>
      <w:r>
        <w:t>building blocks for the proposed regime.  The</w:t>
      </w:r>
      <w:r w:rsidR="00C84187">
        <w:t>y</w:t>
      </w:r>
      <w:r>
        <w:t xml:space="preserve"> are as follows:</w:t>
      </w:r>
    </w:p>
    <w:p w:rsidR="00F95E71" w:rsidRPr="0014064B" w:rsidRDefault="0014064B" w:rsidP="00120C8E">
      <w:pPr>
        <w:pStyle w:val="TableBullet"/>
        <w:numPr>
          <w:ilvl w:val="0"/>
          <w:numId w:val="0"/>
        </w:numPr>
        <w:spacing w:after="0" w:line="240" w:lineRule="auto"/>
        <w:ind w:left="1134"/>
        <w:rPr>
          <w:u w:val="single"/>
        </w:rPr>
      </w:pPr>
      <w:r w:rsidRPr="0014064B">
        <w:rPr>
          <w:u w:val="single"/>
        </w:rPr>
        <w:t>Strategic</w:t>
      </w:r>
      <w:r>
        <w:rPr>
          <w:u w:val="single"/>
        </w:rPr>
        <w:t xml:space="preserve"> </w:t>
      </w:r>
      <w:r w:rsidR="00710397">
        <w:rPr>
          <w:u w:val="single"/>
        </w:rPr>
        <w:t>/ framework</w:t>
      </w:r>
    </w:p>
    <w:p w:rsidR="00A827BF" w:rsidRDefault="00A827BF" w:rsidP="00120C8E">
      <w:pPr>
        <w:pStyle w:val="TableBullet"/>
        <w:numPr>
          <w:ilvl w:val="0"/>
          <w:numId w:val="0"/>
        </w:numPr>
        <w:spacing w:after="0" w:line="240" w:lineRule="auto"/>
        <w:ind w:left="1134"/>
      </w:pPr>
    </w:p>
    <w:p w:rsidR="00F95E71" w:rsidRDefault="00F95E71" w:rsidP="00120C8E">
      <w:pPr>
        <w:pStyle w:val="TableBullet"/>
        <w:numPr>
          <w:ilvl w:val="0"/>
          <w:numId w:val="0"/>
        </w:numPr>
        <w:spacing w:after="0" w:line="240" w:lineRule="auto"/>
        <w:ind w:left="1701"/>
      </w:pPr>
      <w:r>
        <w:t xml:space="preserve">Issue 1: </w:t>
      </w:r>
      <w:r w:rsidR="005B76C6">
        <w:t xml:space="preserve">  </w:t>
      </w:r>
      <w:r w:rsidR="006C73FD">
        <w:t xml:space="preserve">Merits of therapeutic product </w:t>
      </w:r>
      <w:r w:rsidR="005B76C6">
        <w:t>regulat</w:t>
      </w:r>
      <w:r w:rsidR="006C73FD">
        <w:t>ion</w:t>
      </w:r>
    </w:p>
    <w:p w:rsidR="00713B18" w:rsidRDefault="00F95E71" w:rsidP="00120C8E">
      <w:pPr>
        <w:pStyle w:val="TableBullet"/>
        <w:numPr>
          <w:ilvl w:val="0"/>
          <w:numId w:val="0"/>
        </w:numPr>
        <w:spacing w:after="0" w:line="240" w:lineRule="auto"/>
        <w:ind w:left="1701"/>
      </w:pPr>
      <w:r>
        <w:t xml:space="preserve">Issue 2: </w:t>
      </w:r>
      <w:r w:rsidR="005B76C6">
        <w:t xml:space="preserve">  </w:t>
      </w:r>
      <w:r>
        <w:t xml:space="preserve">Stand-alone </w:t>
      </w:r>
      <w:r w:rsidR="005B76C6">
        <w:t>versus joint regulation</w:t>
      </w:r>
    </w:p>
    <w:p w:rsidR="00D27891" w:rsidRPr="005B76C6" w:rsidRDefault="005B76C6" w:rsidP="00120C8E">
      <w:pPr>
        <w:pStyle w:val="TableBullet"/>
        <w:numPr>
          <w:ilvl w:val="0"/>
          <w:numId w:val="0"/>
        </w:numPr>
        <w:spacing w:after="0" w:line="240" w:lineRule="auto"/>
        <w:ind w:left="1701"/>
      </w:pPr>
      <w:r w:rsidRPr="005B76C6">
        <w:t>Issue 3:</w:t>
      </w:r>
      <w:r>
        <w:t xml:space="preserve">   </w:t>
      </w:r>
      <w:r w:rsidR="009877A3">
        <w:t>Purpose and scope</w:t>
      </w:r>
    </w:p>
    <w:p w:rsidR="00D27891" w:rsidRDefault="00D27891" w:rsidP="00120C8E">
      <w:pPr>
        <w:pStyle w:val="TableBullet"/>
        <w:numPr>
          <w:ilvl w:val="0"/>
          <w:numId w:val="0"/>
        </w:numPr>
        <w:spacing w:after="0" w:line="240" w:lineRule="auto"/>
        <w:ind w:left="1701"/>
        <w:rPr>
          <w:u w:val="single"/>
        </w:rPr>
      </w:pPr>
    </w:p>
    <w:p w:rsidR="0014064B" w:rsidRPr="0014064B" w:rsidRDefault="0014064B" w:rsidP="00120C8E">
      <w:pPr>
        <w:pStyle w:val="TableBullet"/>
        <w:numPr>
          <w:ilvl w:val="0"/>
          <w:numId w:val="0"/>
        </w:numPr>
        <w:spacing w:after="0" w:line="240" w:lineRule="auto"/>
        <w:ind w:left="1134"/>
        <w:rPr>
          <w:u w:val="single"/>
        </w:rPr>
      </w:pPr>
      <w:r w:rsidRPr="0014064B">
        <w:rPr>
          <w:u w:val="single"/>
        </w:rPr>
        <w:t>Administrative</w:t>
      </w:r>
      <w:r w:rsidR="005B76C6">
        <w:rPr>
          <w:u w:val="single"/>
        </w:rPr>
        <w:t xml:space="preserve"> </w:t>
      </w:r>
      <w:r w:rsidRPr="0014064B">
        <w:rPr>
          <w:u w:val="single"/>
        </w:rPr>
        <w:t>/</w:t>
      </w:r>
      <w:r w:rsidR="005B76C6">
        <w:rPr>
          <w:u w:val="single"/>
        </w:rPr>
        <w:t xml:space="preserve"> </w:t>
      </w:r>
      <w:r w:rsidRPr="0014064B">
        <w:rPr>
          <w:u w:val="single"/>
        </w:rPr>
        <w:t>institutional</w:t>
      </w:r>
    </w:p>
    <w:p w:rsidR="005B76C6" w:rsidRDefault="005B76C6" w:rsidP="00120C8E">
      <w:pPr>
        <w:pStyle w:val="TableBullet"/>
        <w:numPr>
          <w:ilvl w:val="0"/>
          <w:numId w:val="0"/>
        </w:numPr>
        <w:spacing w:after="0" w:line="240" w:lineRule="auto"/>
        <w:ind w:left="1134"/>
      </w:pPr>
    </w:p>
    <w:p w:rsidR="0014064B" w:rsidRDefault="0014064B" w:rsidP="00120C8E">
      <w:pPr>
        <w:pStyle w:val="TableBullet"/>
        <w:numPr>
          <w:ilvl w:val="0"/>
          <w:numId w:val="0"/>
        </w:numPr>
        <w:spacing w:after="0" w:line="240" w:lineRule="auto"/>
        <w:ind w:left="1701"/>
      </w:pPr>
      <w:r>
        <w:t xml:space="preserve">Issue </w:t>
      </w:r>
      <w:r w:rsidR="005B76C6">
        <w:t>4</w:t>
      </w:r>
      <w:r>
        <w:t xml:space="preserve">: </w:t>
      </w:r>
      <w:r w:rsidR="005B76C6">
        <w:t xml:space="preserve">  </w:t>
      </w:r>
      <w:r>
        <w:t>Powers</w:t>
      </w:r>
    </w:p>
    <w:p w:rsidR="0014064B" w:rsidRDefault="005B76C6" w:rsidP="00120C8E">
      <w:pPr>
        <w:pStyle w:val="TableBullet"/>
        <w:numPr>
          <w:ilvl w:val="0"/>
          <w:numId w:val="0"/>
        </w:numPr>
        <w:spacing w:after="0" w:line="240" w:lineRule="auto"/>
        <w:ind w:left="1701"/>
      </w:pPr>
      <w:r>
        <w:t>Issue 5</w:t>
      </w:r>
      <w:r w:rsidR="0014064B">
        <w:t xml:space="preserve">: </w:t>
      </w:r>
      <w:r>
        <w:t xml:space="preserve">  </w:t>
      </w:r>
      <w:r w:rsidR="0014064B">
        <w:t xml:space="preserve">Institutional form </w:t>
      </w:r>
      <w:r w:rsidR="0043485C">
        <w:t>of regulator</w:t>
      </w:r>
    </w:p>
    <w:p w:rsidR="0014064B" w:rsidRDefault="005B76C6" w:rsidP="00120C8E">
      <w:pPr>
        <w:pStyle w:val="TableBullet"/>
        <w:numPr>
          <w:ilvl w:val="0"/>
          <w:numId w:val="0"/>
        </w:numPr>
        <w:spacing w:after="0" w:line="240" w:lineRule="auto"/>
        <w:ind w:left="1701"/>
      </w:pPr>
      <w:r>
        <w:t>Issue 6</w:t>
      </w:r>
      <w:r w:rsidR="0014064B">
        <w:t xml:space="preserve">: </w:t>
      </w:r>
      <w:r>
        <w:t xml:space="preserve">  </w:t>
      </w:r>
      <w:r w:rsidR="0014064B">
        <w:t>Accountability</w:t>
      </w:r>
    </w:p>
    <w:p w:rsidR="0014064B" w:rsidRDefault="005B76C6" w:rsidP="00120C8E">
      <w:pPr>
        <w:pStyle w:val="TableBullet"/>
        <w:numPr>
          <w:ilvl w:val="0"/>
          <w:numId w:val="0"/>
        </w:numPr>
        <w:spacing w:after="0" w:line="240" w:lineRule="auto"/>
        <w:ind w:left="1701"/>
      </w:pPr>
      <w:r>
        <w:t>Issue 7</w:t>
      </w:r>
      <w:r w:rsidR="0014064B">
        <w:t xml:space="preserve">: </w:t>
      </w:r>
      <w:r>
        <w:t xml:space="preserve">  </w:t>
      </w:r>
      <w:r w:rsidR="0014064B">
        <w:t>Cost recovery</w:t>
      </w:r>
    </w:p>
    <w:p w:rsidR="00D27891" w:rsidRDefault="00D27891" w:rsidP="00120C8E">
      <w:pPr>
        <w:pStyle w:val="TableBullet"/>
        <w:numPr>
          <w:ilvl w:val="0"/>
          <w:numId w:val="0"/>
        </w:numPr>
        <w:spacing w:after="0" w:line="240" w:lineRule="auto"/>
        <w:ind w:left="1134"/>
        <w:rPr>
          <w:u w:val="single"/>
        </w:rPr>
      </w:pPr>
    </w:p>
    <w:p w:rsidR="0014064B" w:rsidRPr="00D27891" w:rsidRDefault="00710397" w:rsidP="00120C8E">
      <w:pPr>
        <w:pStyle w:val="TableBullet"/>
        <w:numPr>
          <w:ilvl w:val="0"/>
          <w:numId w:val="0"/>
        </w:numPr>
        <w:spacing w:after="0" w:line="240" w:lineRule="auto"/>
        <w:ind w:left="1134"/>
        <w:rPr>
          <w:u w:val="single"/>
        </w:rPr>
      </w:pPr>
      <w:r>
        <w:rPr>
          <w:u w:val="single"/>
        </w:rPr>
        <w:t xml:space="preserve">Pre-market </w:t>
      </w:r>
    </w:p>
    <w:p w:rsidR="005B76C6" w:rsidRDefault="005B76C6" w:rsidP="00120C8E">
      <w:pPr>
        <w:pStyle w:val="TableBullet"/>
        <w:numPr>
          <w:ilvl w:val="0"/>
          <w:numId w:val="0"/>
        </w:numPr>
        <w:spacing w:after="0" w:line="240" w:lineRule="auto"/>
        <w:ind w:left="1134"/>
      </w:pPr>
    </w:p>
    <w:p w:rsidR="00D27891" w:rsidRDefault="005B76C6" w:rsidP="00120C8E">
      <w:pPr>
        <w:pStyle w:val="TableBullet"/>
        <w:numPr>
          <w:ilvl w:val="0"/>
          <w:numId w:val="0"/>
        </w:numPr>
        <w:spacing w:after="0" w:line="240" w:lineRule="auto"/>
        <w:ind w:left="1701"/>
      </w:pPr>
      <w:r>
        <w:t>Issue 8</w:t>
      </w:r>
      <w:r w:rsidR="00D27891">
        <w:t xml:space="preserve">: </w:t>
      </w:r>
      <w:r>
        <w:t xml:space="preserve">  </w:t>
      </w:r>
      <w:r w:rsidR="00D27891">
        <w:t>Product approvals</w:t>
      </w:r>
    </w:p>
    <w:p w:rsidR="00D27891" w:rsidRDefault="005B76C6" w:rsidP="00120C8E">
      <w:pPr>
        <w:pStyle w:val="TableBullet"/>
        <w:numPr>
          <w:ilvl w:val="0"/>
          <w:numId w:val="0"/>
        </w:numPr>
        <w:spacing w:after="0" w:line="240" w:lineRule="auto"/>
        <w:ind w:left="1701"/>
      </w:pPr>
      <w:r>
        <w:t>Issue 9</w:t>
      </w:r>
      <w:r w:rsidR="00D27891">
        <w:t xml:space="preserve">: </w:t>
      </w:r>
      <w:r>
        <w:t xml:space="preserve">  </w:t>
      </w:r>
      <w:r w:rsidR="00D27891">
        <w:t xml:space="preserve">Controlled activities </w:t>
      </w:r>
    </w:p>
    <w:p w:rsidR="00D27891" w:rsidRDefault="005B76C6" w:rsidP="00120C8E">
      <w:pPr>
        <w:pStyle w:val="TableBullet"/>
        <w:numPr>
          <w:ilvl w:val="0"/>
          <w:numId w:val="0"/>
        </w:numPr>
        <w:spacing w:after="0" w:line="240" w:lineRule="auto"/>
        <w:ind w:left="1701"/>
      </w:pPr>
      <w:r>
        <w:t>Issue 10</w:t>
      </w:r>
      <w:r w:rsidR="00D27891">
        <w:t>: Pharmacy licensing and control</w:t>
      </w:r>
    </w:p>
    <w:p w:rsidR="00D27891" w:rsidRDefault="005B76C6" w:rsidP="00120C8E">
      <w:pPr>
        <w:pStyle w:val="TableBullet"/>
        <w:numPr>
          <w:ilvl w:val="0"/>
          <w:numId w:val="0"/>
        </w:numPr>
        <w:spacing w:after="0" w:line="240" w:lineRule="auto"/>
        <w:ind w:left="1701"/>
      </w:pPr>
      <w:r>
        <w:t>Issue 11</w:t>
      </w:r>
      <w:r w:rsidR="00D27891">
        <w:t>: Exemption issues</w:t>
      </w:r>
    </w:p>
    <w:p w:rsidR="00D55EFF" w:rsidRDefault="00D55EFF" w:rsidP="00FB707F">
      <w:pPr>
        <w:pStyle w:val="TableBullet"/>
        <w:numPr>
          <w:ilvl w:val="0"/>
          <w:numId w:val="0"/>
        </w:numPr>
        <w:spacing w:after="0" w:line="240" w:lineRule="auto"/>
        <w:rPr>
          <w:u w:val="single"/>
        </w:rPr>
      </w:pPr>
    </w:p>
    <w:p w:rsidR="00D27891" w:rsidRPr="00D27891" w:rsidRDefault="00D27891" w:rsidP="00120C8E">
      <w:pPr>
        <w:pStyle w:val="TableBullet"/>
        <w:numPr>
          <w:ilvl w:val="0"/>
          <w:numId w:val="0"/>
        </w:numPr>
        <w:spacing w:after="0" w:line="240" w:lineRule="auto"/>
        <w:ind w:left="1134"/>
        <w:rPr>
          <w:u w:val="single"/>
        </w:rPr>
      </w:pPr>
      <w:r w:rsidRPr="00D27891">
        <w:rPr>
          <w:u w:val="single"/>
        </w:rPr>
        <w:t>Pos</w:t>
      </w:r>
      <w:r w:rsidR="00710397">
        <w:rPr>
          <w:u w:val="single"/>
        </w:rPr>
        <w:t xml:space="preserve">t-market </w:t>
      </w:r>
    </w:p>
    <w:p w:rsidR="005B76C6" w:rsidRDefault="005B76C6" w:rsidP="00120C8E">
      <w:pPr>
        <w:pStyle w:val="TableBullet"/>
        <w:numPr>
          <w:ilvl w:val="0"/>
          <w:numId w:val="0"/>
        </w:numPr>
        <w:spacing w:after="0" w:line="240" w:lineRule="auto"/>
        <w:ind w:left="1134"/>
      </w:pPr>
    </w:p>
    <w:p w:rsidR="00D27891" w:rsidRDefault="005B76C6" w:rsidP="00120C8E">
      <w:pPr>
        <w:pStyle w:val="TableBullet"/>
        <w:numPr>
          <w:ilvl w:val="0"/>
          <w:numId w:val="0"/>
        </w:numPr>
        <w:spacing w:after="0" w:line="240" w:lineRule="auto"/>
        <w:ind w:left="1701"/>
      </w:pPr>
      <w:r>
        <w:t>Issue 12</w:t>
      </w:r>
      <w:r w:rsidR="00D27891">
        <w:t>: Monitoring</w:t>
      </w:r>
    </w:p>
    <w:p w:rsidR="00D27891" w:rsidRDefault="005B76C6" w:rsidP="00120C8E">
      <w:pPr>
        <w:pStyle w:val="TableBullet"/>
        <w:numPr>
          <w:ilvl w:val="0"/>
          <w:numId w:val="0"/>
        </w:numPr>
        <w:spacing w:after="0" w:line="240" w:lineRule="auto"/>
        <w:ind w:left="1701"/>
      </w:pPr>
      <w:r>
        <w:t>Issue 13</w:t>
      </w:r>
      <w:r w:rsidR="00D27891">
        <w:t>: Enforcement</w:t>
      </w:r>
    </w:p>
    <w:p w:rsidR="00850281" w:rsidRDefault="00850281" w:rsidP="00120C8E">
      <w:pPr>
        <w:pStyle w:val="TableBullet"/>
        <w:numPr>
          <w:ilvl w:val="0"/>
          <w:numId w:val="0"/>
        </w:numPr>
        <w:spacing w:after="0" w:line="240" w:lineRule="auto"/>
        <w:ind w:left="1701"/>
      </w:pPr>
    </w:p>
    <w:p w:rsidR="00D57174" w:rsidRDefault="00573411" w:rsidP="00850281">
      <w:pPr>
        <w:pStyle w:val="BodyText"/>
      </w:pPr>
      <w:r>
        <w:t>Decisions on t</w:t>
      </w:r>
      <w:r w:rsidR="00850281">
        <w:t xml:space="preserve">hese issues – apart from institutional form of the regulator, and pharmacy licensing and control - are </w:t>
      </w:r>
      <w:r>
        <w:t xml:space="preserve">sought </w:t>
      </w:r>
      <w:r w:rsidR="00850281">
        <w:t xml:space="preserve">in the </w:t>
      </w:r>
      <w:r>
        <w:t xml:space="preserve">associated </w:t>
      </w:r>
      <w:r w:rsidR="00850281">
        <w:t>Cabinet papers.  The following issues will be addressed substantively in advice in early 2016:</w:t>
      </w:r>
    </w:p>
    <w:p w:rsidR="00850281" w:rsidRDefault="00850281" w:rsidP="00850281">
      <w:pPr>
        <w:pStyle w:val="BodyText2"/>
        <w:spacing w:after="0"/>
      </w:pPr>
      <w:r>
        <w:t>Proposed institutional form of the regulator</w:t>
      </w:r>
    </w:p>
    <w:p w:rsidR="00850281" w:rsidRDefault="00850281" w:rsidP="00850281">
      <w:pPr>
        <w:pStyle w:val="BodyText2"/>
        <w:spacing w:after="0"/>
      </w:pPr>
      <w:r>
        <w:t>Regulatory approach to cell and tissue therapies</w:t>
      </w:r>
    </w:p>
    <w:p w:rsidR="00850281" w:rsidRDefault="00850281" w:rsidP="00850281">
      <w:pPr>
        <w:pStyle w:val="BodyText2"/>
        <w:spacing w:after="0"/>
      </w:pPr>
      <w:r>
        <w:t>Clinical trial arrangements</w:t>
      </w:r>
    </w:p>
    <w:p w:rsidR="00850281" w:rsidRDefault="00850281" w:rsidP="00850281">
      <w:pPr>
        <w:pStyle w:val="BodyText2"/>
        <w:spacing w:after="0"/>
      </w:pPr>
      <w:r>
        <w:t>Detail of the proposed offence and penalty framework</w:t>
      </w:r>
    </w:p>
    <w:p w:rsidR="00850281" w:rsidRDefault="00850281" w:rsidP="00850281">
      <w:pPr>
        <w:pStyle w:val="BodyText2"/>
        <w:spacing w:after="0"/>
      </w:pPr>
      <w:r>
        <w:t>Pharmacy ownership</w:t>
      </w:r>
    </w:p>
    <w:p w:rsidR="00850281" w:rsidRDefault="00850281" w:rsidP="00850281">
      <w:pPr>
        <w:pStyle w:val="BodyText2"/>
        <w:spacing w:after="0"/>
      </w:pPr>
      <w:r>
        <w:t>Import and export (including parallel importation)</w:t>
      </w:r>
    </w:p>
    <w:p w:rsidR="00850281" w:rsidRDefault="00850281" w:rsidP="00850281">
      <w:pPr>
        <w:pStyle w:val="BodyText2"/>
        <w:spacing w:after="0"/>
      </w:pPr>
      <w:r>
        <w:t xml:space="preserve">Prescribing and dispensing </w:t>
      </w:r>
    </w:p>
    <w:p w:rsidR="00850281" w:rsidRDefault="00850281" w:rsidP="00850281">
      <w:pPr>
        <w:pStyle w:val="BodyText2"/>
        <w:spacing w:after="0"/>
      </w:pPr>
      <w:r>
        <w:t>Interface with the Hazardous Substances and New Organisms Act</w:t>
      </w:r>
    </w:p>
    <w:p w:rsidR="00850281" w:rsidRDefault="00850281" w:rsidP="00850281">
      <w:pPr>
        <w:pStyle w:val="BodyText2"/>
        <w:spacing w:after="0"/>
      </w:pPr>
      <w:r>
        <w:t>Privileged statements (statements about therapeutic products during periods of data protection)</w:t>
      </w:r>
    </w:p>
    <w:p w:rsidR="00850281" w:rsidRDefault="00850281" w:rsidP="00850281">
      <w:pPr>
        <w:pStyle w:val="BodyText2"/>
        <w:spacing w:after="0"/>
      </w:pPr>
      <w:r>
        <w:t>Further advice on legislative placement of provisions if required.</w:t>
      </w:r>
    </w:p>
    <w:p w:rsidR="00850281" w:rsidRDefault="00850281" w:rsidP="00850281">
      <w:pPr>
        <w:pStyle w:val="BodyText"/>
        <w:numPr>
          <w:ilvl w:val="0"/>
          <w:numId w:val="0"/>
        </w:numPr>
        <w:ind w:left="567"/>
      </w:pPr>
    </w:p>
    <w:p w:rsidR="00551EBA" w:rsidRDefault="00551EBA" w:rsidP="00AC1201">
      <w:pPr>
        <w:pStyle w:val="Heading3"/>
        <w:spacing w:after="240"/>
      </w:pPr>
      <w:r>
        <w:t>Part A: I</w:t>
      </w:r>
      <w:r w:rsidR="009F2908">
        <w:t>ssues and options</w:t>
      </w:r>
    </w:p>
    <w:p w:rsidR="000E054D" w:rsidRPr="00F71EFD" w:rsidRDefault="000E054D" w:rsidP="00F71EFD">
      <w:pPr>
        <w:pStyle w:val="Heading4"/>
        <w:spacing w:after="240"/>
        <w:rPr>
          <w:rFonts w:eastAsia="Calibri" w:cs="Arial"/>
          <w:b/>
          <w:i/>
          <w:szCs w:val="22"/>
          <w:u w:val="none"/>
          <w:lang w:val="en-NZ"/>
        </w:rPr>
      </w:pPr>
      <w:r w:rsidRPr="00F71EFD">
        <w:rPr>
          <w:b/>
          <w:i/>
          <w:u w:val="none"/>
        </w:rPr>
        <w:t>Strategic / framework</w:t>
      </w:r>
    </w:p>
    <w:p w:rsidR="00B74A60" w:rsidRPr="00830E17" w:rsidRDefault="00B74A60" w:rsidP="00830E17">
      <w:pPr>
        <w:pStyle w:val="Heading5"/>
        <w:spacing w:after="240"/>
        <w:rPr>
          <w:rFonts w:eastAsia="Calibri"/>
          <w:b/>
          <w:i w:val="0"/>
          <w:lang w:val="en-NZ" w:eastAsia="en-US"/>
        </w:rPr>
      </w:pPr>
      <w:r w:rsidRPr="00830E17">
        <w:rPr>
          <w:rFonts w:eastAsia="Calibri"/>
          <w:b/>
          <w:i w:val="0"/>
          <w:lang w:val="en-NZ" w:eastAsia="en-US"/>
        </w:rPr>
        <w:t>Issue 1: Merits of therapeutic product regulation</w:t>
      </w:r>
    </w:p>
    <w:p w:rsidR="00DE71E8" w:rsidRDefault="00B74A60" w:rsidP="00E440A3">
      <w:pPr>
        <w:pStyle w:val="BodyText"/>
      </w:pPr>
      <w:r w:rsidRPr="00D86A71">
        <w:t>Therapeutic products provide a range of well-documented benefits while also presenting a range of risks.  The overall challenge is to ensure access to safe and effective products</w:t>
      </w:r>
      <w:r w:rsidR="00C14507">
        <w:t>.  This requires th</w:t>
      </w:r>
      <w:r w:rsidRPr="00D86A71">
        <w:t xml:space="preserve">e risks </w:t>
      </w:r>
      <w:r w:rsidR="00C14507">
        <w:t xml:space="preserve">to be </w:t>
      </w:r>
      <w:r w:rsidRPr="00D86A71">
        <w:t>sufficiently known</w:t>
      </w:r>
      <w:r w:rsidR="007052E5" w:rsidRPr="00D86A71">
        <w:t>, managed</w:t>
      </w:r>
      <w:r w:rsidRPr="00D86A71">
        <w:t xml:space="preserve"> and justified in relation to the benefits. </w:t>
      </w:r>
    </w:p>
    <w:p w:rsidR="00B74A60" w:rsidRDefault="00B74A60" w:rsidP="00E440A3">
      <w:pPr>
        <w:pStyle w:val="BodyText"/>
        <w:rPr>
          <w:rFonts w:eastAsia="Calibri"/>
        </w:rPr>
      </w:pPr>
      <w:r w:rsidRPr="00D86A71">
        <w:t>Regulation of therapeutic products seeks to achieve this objective: it provides a means of assessing</w:t>
      </w:r>
      <w:r w:rsidRPr="00B74A60">
        <w:rPr>
          <w:rFonts w:eastAsia="Calibri"/>
        </w:rPr>
        <w:t xml:space="preserve"> risk in relation to the claimed benefits (often requiring significant scientific information and clinical testing), controlling the introduction of products to the market, and monitoring use.</w:t>
      </w:r>
    </w:p>
    <w:p w:rsidR="00C14507" w:rsidRDefault="00B74A60" w:rsidP="00E259B0">
      <w:pPr>
        <w:pStyle w:val="BodyText"/>
        <w:rPr>
          <w:rFonts w:eastAsia="Calibri"/>
        </w:rPr>
      </w:pPr>
      <w:r w:rsidRPr="00C14507">
        <w:rPr>
          <w:rFonts w:eastAsia="Calibri"/>
        </w:rPr>
        <w:t xml:space="preserve">A key issue is whether regulation is necessary for this purpose.  </w:t>
      </w:r>
    </w:p>
    <w:p w:rsidR="00B74A60" w:rsidRPr="00C14507" w:rsidRDefault="00B74A60" w:rsidP="00E259B0">
      <w:pPr>
        <w:pStyle w:val="BodyText"/>
        <w:rPr>
          <w:rFonts w:eastAsia="Calibri"/>
        </w:rPr>
      </w:pPr>
      <w:r w:rsidRPr="00C14507">
        <w:rPr>
          <w:rFonts w:eastAsia="Calibri"/>
        </w:rPr>
        <w:t xml:space="preserve">New Zealand currently regulates a range of therapeutic products.  The origins of the current approach to regulation are found in the 1950s and 1960s.  Controls were </w:t>
      </w:r>
      <w:r w:rsidR="001B2EBB" w:rsidRPr="00C14507">
        <w:rPr>
          <w:rFonts w:eastAsia="Calibri"/>
        </w:rPr>
        <w:t xml:space="preserve">first </w:t>
      </w:r>
      <w:r w:rsidRPr="00C14507">
        <w:rPr>
          <w:rFonts w:eastAsia="Calibri"/>
        </w:rPr>
        <w:t>put in place around access to medicines (pharmacy restrictions).  Then, with the development of the pharmaceutical industry – and the significant innovation and introduction of new medicines onto the world market – New Zealand, following the lead of other major countries, put in place a process to approve new medicines.</w:t>
      </w:r>
    </w:p>
    <w:p w:rsidR="00B74A60" w:rsidRDefault="00B74A60" w:rsidP="00E440A3">
      <w:pPr>
        <w:pStyle w:val="BodyText"/>
        <w:rPr>
          <w:rFonts w:eastAsia="Calibri"/>
        </w:rPr>
      </w:pPr>
      <w:r w:rsidRPr="00B74A60">
        <w:rPr>
          <w:rFonts w:eastAsia="Calibri"/>
        </w:rPr>
        <w:t xml:space="preserve">In particular, the devastating experience of the adverse effects of thalidomide </w:t>
      </w:r>
      <w:r w:rsidR="00C14507">
        <w:rPr>
          <w:rFonts w:eastAsia="Calibri"/>
        </w:rPr>
        <w:t xml:space="preserve">highlighted </w:t>
      </w:r>
      <w:r w:rsidRPr="00B74A60">
        <w:rPr>
          <w:rFonts w:eastAsia="Calibri"/>
        </w:rPr>
        <w:t>the significant risks associated with medicines</w:t>
      </w:r>
      <w:r w:rsidR="00C14507">
        <w:rPr>
          <w:rFonts w:eastAsia="Calibri"/>
        </w:rPr>
        <w:t>.</w:t>
      </w:r>
    </w:p>
    <w:p w:rsidR="00B74A60" w:rsidRPr="00B74A60" w:rsidRDefault="00B74A60" w:rsidP="00E440A3">
      <w:pPr>
        <w:pStyle w:val="BodyText"/>
        <w:rPr>
          <w:rFonts w:eastAsia="Calibri"/>
        </w:rPr>
      </w:pPr>
      <w:r w:rsidRPr="00B74A60">
        <w:rPr>
          <w:rFonts w:eastAsia="Calibri"/>
        </w:rPr>
        <w:t xml:space="preserve">The current regulation of therapeutic products is governed by the Medicines Act 1981 and the Medicines Regulations 1984. The corresponding regulatory agencies are Medsafe and Medicines Control, business units within the Ministry of Health.  </w:t>
      </w:r>
      <w:r w:rsidR="00C14507">
        <w:rPr>
          <w:rFonts w:eastAsia="Calibri"/>
        </w:rPr>
        <w:t>R</w:t>
      </w:r>
      <w:r w:rsidRPr="00B74A60">
        <w:rPr>
          <w:rFonts w:eastAsia="Calibri"/>
        </w:rPr>
        <w:t xml:space="preserve">egulation currently focuses on medicines (reasonably fully) and medical devices (partially).  </w:t>
      </w:r>
    </w:p>
    <w:p w:rsidR="00B74A60" w:rsidRPr="00B74A60" w:rsidRDefault="00B74A60" w:rsidP="00E440A3">
      <w:pPr>
        <w:pStyle w:val="BodyText"/>
        <w:rPr>
          <w:rFonts w:eastAsia="Calibri"/>
        </w:rPr>
      </w:pPr>
      <w:r w:rsidRPr="00B74A60">
        <w:rPr>
          <w:rFonts w:eastAsia="Calibri"/>
        </w:rPr>
        <w:t>The management of risk in the public and private sectors has changed significantly since the 1960s.  In brief, there is more awareness of risk, there is more concern about risk</w:t>
      </w:r>
      <w:r w:rsidR="001B2EBB">
        <w:rPr>
          <w:rFonts w:eastAsia="Calibri"/>
        </w:rPr>
        <w:t xml:space="preserve"> management</w:t>
      </w:r>
      <w:r w:rsidRPr="00B74A60">
        <w:rPr>
          <w:rFonts w:eastAsia="Calibri"/>
        </w:rPr>
        <w:t xml:space="preserve">, and there are </w:t>
      </w:r>
      <w:r w:rsidR="008B16BE">
        <w:rPr>
          <w:rFonts w:eastAsia="Calibri"/>
        </w:rPr>
        <w:t xml:space="preserve">stronger sanctions when </w:t>
      </w:r>
      <w:r w:rsidRPr="00B74A60">
        <w:rPr>
          <w:rFonts w:eastAsia="Calibri"/>
        </w:rPr>
        <w:t>products caus</w:t>
      </w:r>
      <w:r w:rsidR="0078403F">
        <w:rPr>
          <w:rFonts w:eastAsia="Calibri"/>
        </w:rPr>
        <w:t>e harm.</w:t>
      </w:r>
    </w:p>
    <w:p w:rsidR="00B74A60" w:rsidRDefault="00B74A60" w:rsidP="00E440A3">
      <w:pPr>
        <w:pStyle w:val="BodyText"/>
        <w:rPr>
          <w:rFonts w:eastAsia="Calibri"/>
        </w:rPr>
      </w:pPr>
      <w:r w:rsidRPr="00B74A60">
        <w:rPr>
          <w:rFonts w:eastAsia="Calibri"/>
        </w:rPr>
        <w:t xml:space="preserve">It would be hard to quantify or assess in precise or objective terms the net value added of therapeutic regulation in New Zealand.  Nonetheless, </w:t>
      </w:r>
      <w:r w:rsidR="00C14507">
        <w:rPr>
          <w:rFonts w:eastAsia="Calibri"/>
        </w:rPr>
        <w:t xml:space="preserve">the following </w:t>
      </w:r>
      <w:r w:rsidRPr="00B74A60">
        <w:rPr>
          <w:rFonts w:eastAsia="Calibri"/>
        </w:rPr>
        <w:t xml:space="preserve">considerations </w:t>
      </w:r>
      <w:r w:rsidR="00C14507">
        <w:rPr>
          <w:rFonts w:eastAsia="Calibri"/>
        </w:rPr>
        <w:t>support the case for regulation.</w:t>
      </w:r>
    </w:p>
    <w:p w:rsidR="00B74A60" w:rsidRDefault="00B74A60" w:rsidP="00E440A3">
      <w:pPr>
        <w:pStyle w:val="BodyText2"/>
        <w:rPr>
          <w:rFonts w:eastAsia="Calibri"/>
          <w:lang w:val="en-NZ" w:eastAsia="en-US"/>
        </w:rPr>
      </w:pPr>
      <w:r w:rsidRPr="00B74A60">
        <w:rPr>
          <w:rFonts w:eastAsia="Calibri"/>
          <w:lang w:val="en-NZ" w:eastAsia="en-US"/>
        </w:rPr>
        <w:t xml:space="preserve">There are inherent risks with therapeutic products given their nature and the ways in which they are used. </w:t>
      </w:r>
    </w:p>
    <w:p w:rsidR="00B74A60" w:rsidRDefault="00B74A60" w:rsidP="00E440A3">
      <w:pPr>
        <w:pStyle w:val="BodyText2"/>
        <w:rPr>
          <w:rFonts w:eastAsia="Calibri"/>
          <w:lang w:val="en-NZ" w:eastAsia="en-US"/>
        </w:rPr>
      </w:pPr>
      <w:r w:rsidRPr="00B74A60">
        <w:rPr>
          <w:rFonts w:eastAsia="Calibri"/>
          <w:lang w:val="en-NZ" w:eastAsia="en-US"/>
        </w:rPr>
        <w:t xml:space="preserve">Major established companies producing such products do not always get it right despite the financial and reputational consequences they face </w:t>
      </w:r>
      <w:r w:rsidR="00C14507">
        <w:rPr>
          <w:rFonts w:eastAsia="Calibri"/>
          <w:lang w:val="en-NZ" w:eastAsia="en-US"/>
        </w:rPr>
        <w:t xml:space="preserve">when </w:t>
      </w:r>
      <w:r w:rsidRPr="00B74A60">
        <w:rPr>
          <w:rFonts w:eastAsia="Calibri"/>
          <w:lang w:val="en-NZ" w:eastAsia="en-US"/>
        </w:rPr>
        <w:t>they get it wrong.</w:t>
      </w:r>
    </w:p>
    <w:p w:rsidR="00B74A60" w:rsidRDefault="00B74A60" w:rsidP="00E440A3">
      <w:pPr>
        <w:pStyle w:val="BodyText2"/>
        <w:rPr>
          <w:rFonts w:eastAsia="Calibri"/>
          <w:lang w:val="en-NZ" w:eastAsia="en-US"/>
        </w:rPr>
      </w:pPr>
      <w:r w:rsidRPr="00B74A60">
        <w:rPr>
          <w:rFonts w:eastAsia="Calibri"/>
          <w:lang w:val="en-NZ" w:eastAsia="en-US"/>
        </w:rPr>
        <w:t>The catastrophic consequences of just one problem in one product (</w:t>
      </w:r>
      <w:proofErr w:type="spellStart"/>
      <w:r w:rsidRPr="00B74A60">
        <w:rPr>
          <w:rFonts w:eastAsia="Calibri"/>
          <w:lang w:val="en-NZ" w:eastAsia="en-US"/>
        </w:rPr>
        <w:t>eg</w:t>
      </w:r>
      <w:proofErr w:type="spellEnd"/>
      <w:r w:rsidRPr="00B74A60">
        <w:rPr>
          <w:rFonts w:eastAsia="Calibri"/>
          <w:lang w:val="en-NZ" w:eastAsia="en-US"/>
        </w:rPr>
        <w:t xml:space="preserve">, if it gives rise to fatalities, deformities) suggest that regulation may be worthwhile even where it rarely finds problems with products, or rarely assesses them to be too risky to enter the market. </w:t>
      </w:r>
    </w:p>
    <w:p w:rsidR="00B74A60" w:rsidRDefault="00B74A60" w:rsidP="00E440A3">
      <w:pPr>
        <w:pStyle w:val="BodyText2"/>
        <w:rPr>
          <w:rFonts w:eastAsia="Calibri"/>
          <w:lang w:val="en-NZ" w:eastAsia="en-US"/>
        </w:rPr>
      </w:pPr>
      <w:r w:rsidRPr="00B74A60">
        <w:rPr>
          <w:rFonts w:eastAsia="Calibri"/>
          <w:lang w:val="en-NZ" w:eastAsia="en-US"/>
        </w:rPr>
        <w:t>All developed countries regulate therapeutic products, and there is a broad similarity of approach across major jurisdictions</w:t>
      </w:r>
      <w:r w:rsidR="00C14507">
        <w:rPr>
          <w:rFonts w:eastAsia="Calibri"/>
          <w:lang w:val="en-NZ" w:eastAsia="en-US"/>
        </w:rPr>
        <w:t xml:space="preserve">, </w:t>
      </w:r>
      <w:r w:rsidR="007052E5">
        <w:rPr>
          <w:rFonts w:eastAsia="Calibri"/>
          <w:lang w:val="en-NZ" w:eastAsia="en-US"/>
        </w:rPr>
        <w:t>especially given the extent of global trade and the need for co-operation (</w:t>
      </w:r>
      <w:proofErr w:type="spellStart"/>
      <w:r w:rsidR="007052E5">
        <w:rPr>
          <w:rFonts w:eastAsia="Calibri"/>
          <w:lang w:val="en-NZ" w:eastAsia="en-US"/>
        </w:rPr>
        <w:t>eg</w:t>
      </w:r>
      <w:proofErr w:type="spellEnd"/>
      <w:r w:rsidR="007052E5">
        <w:rPr>
          <w:rFonts w:eastAsia="Calibri"/>
          <w:lang w:val="en-NZ" w:eastAsia="en-US"/>
        </w:rPr>
        <w:t>, in relation to counterfeit product)</w:t>
      </w:r>
      <w:r w:rsidRPr="00B74A60">
        <w:rPr>
          <w:rFonts w:eastAsia="Calibri"/>
          <w:lang w:val="en-NZ" w:eastAsia="en-US"/>
        </w:rPr>
        <w:t>.</w:t>
      </w:r>
    </w:p>
    <w:p w:rsidR="00B74A60" w:rsidRPr="00B74A60" w:rsidRDefault="00B74A60" w:rsidP="00E440A3">
      <w:pPr>
        <w:pStyle w:val="BodyText2"/>
        <w:rPr>
          <w:rFonts w:eastAsia="Calibri"/>
          <w:lang w:val="en-NZ" w:eastAsia="en-US"/>
        </w:rPr>
      </w:pPr>
      <w:r w:rsidRPr="00B74A60">
        <w:rPr>
          <w:rFonts w:eastAsia="Calibri"/>
          <w:lang w:val="en-NZ" w:eastAsia="en-US"/>
        </w:rPr>
        <w:t>The experience with the regulation of therapeutic products in New Zealand does not suggest that regulation is unnecessary or is seen to be unnecessary.  For example:</w:t>
      </w:r>
    </w:p>
    <w:p w:rsidR="00B74A60" w:rsidRPr="00B85C02" w:rsidRDefault="00B74A60" w:rsidP="00B85C02">
      <w:pPr>
        <w:pStyle w:val="BodyText3"/>
      </w:pPr>
      <w:r w:rsidRPr="00B85C02">
        <w:t xml:space="preserve">A number of products each year that have been approved in overseas markets are not approved In New Zealand (about 2%).  </w:t>
      </w:r>
      <w:r w:rsidR="002356C4">
        <w:t>This includes situations where Medsafe has identified issues and concerns unique to New Zealand.</w:t>
      </w:r>
    </w:p>
    <w:p w:rsidR="00B74A60" w:rsidRPr="00B74A60" w:rsidRDefault="00B74A60" w:rsidP="00B85C02">
      <w:pPr>
        <w:pStyle w:val="BodyText3"/>
      </w:pPr>
      <w:r w:rsidRPr="00B74A60">
        <w:t>There is no groundswell for the de-regulation of the therapeutic product industry.</w:t>
      </w:r>
    </w:p>
    <w:p w:rsidR="00B74A60" w:rsidRDefault="00C14507" w:rsidP="00E440A3">
      <w:pPr>
        <w:pStyle w:val="BodyText2"/>
        <w:rPr>
          <w:rFonts w:eastAsia="Calibri"/>
        </w:rPr>
      </w:pPr>
      <w:r>
        <w:rPr>
          <w:rFonts w:eastAsia="Calibri"/>
        </w:rPr>
        <w:t xml:space="preserve">Regulation is consistent with the approach taken </w:t>
      </w:r>
      <w:r w:rsidR="00B74A60" w:rsidRPr="00B74A60">
        <w:rPr>
          <w:rFonts w:eastAsia="Calibri"/>
        </w:rPr>
        <w:t xml:space="preserve">in other sectors where health </w:t>
      </w:r>
      <w:r w:rsidR="001B2EBB">
        <w:rPr>
          <w:rFonts w:eastAsia="Calibri"/>
        </w:rPr>
        <w:t xml:space="preserve">and </w:t>
      </w:r>
      <w:r w:rsidR="00B74A60" w:rsidRPr="00B74A60">
        <w:rPr>
          <w:rFonts w:eastAsia="Calibri"/>
        </w:rPr>
        <w:t>safety issues are at stake (</w:t>
      </w:r>
      <w:proofErr w:type="spellStart"/>
      <w:r w:rsidR="00B74A60" w:rsidRPr="00B74A60">
        <w:rPr>
          <w:rFonts w:eastAsia="Calibri"/>
        </w:rPr>
        <w:t>eg</w:t>
      </w:r>
      <w:proofErr w:type="spellEnd"/>
      <w:r w:rsidR="00B74A60" w:rsidRPr="00B74A60">
        <w:rPr>
          <w:rFonts w:eastAsia="Calibri"/>
        </w:rPr>
        <w:t>, the Health and Safety Reform Bill has passed, with the Health and Safety at Work Act to come into force on 4 April 2016).</w:t>
      </w:r>
    </w:p>
    <w:p w:rsidR="00B74A60" w:rsidRPr="00B74A60" w:rsidRDefault="00B74A60" w:rsidP="00E440A3">
      <w:pPr>
        <w:pStyle w:val="BodyText"/>
        <w:rPr>
          <w:rFonts w:eastAsia="Calibri"/>
        </w:rPr>
      </w:pPr>
      <w:r w:rsidRPr="00B74A60">
        <w:rPr>
          <w:rFonts w:eastAsia="Calibri"/>
        </w:rPr>
        <w:t xml:space="preserve">Cabinet has noted that the Minister of Health would signal the next steps to upgrade New Zealand’s regulation of therapeutic products (CAB Min (14) 36/22 of 17 November 2014).  </w:t>
      </w:r>
    </w:p>
    <w:p w:rsidR="00B74A60" w:rsidRPr="00B74A60" w:rsidRDefault="00B74A60" w:rsidP="00E440A3">
      <w:pPr>
        <w:pStyle w:val="BodyText"/>
        <w:rPr>
          <w:rFonts w:eastAsia="Calibri"/>
        </w:rPr>
      </w:pPr>
      <w:r w:rsidRPr="00B74A60">
        <w:rPr>
          <w:rFonts w:eastAsia="Calibri"/>
        </w:rPr>
        <w:t>To this end, the following statement has been made on the Ministry of Health’s website: “The New Zealand Government is working on a new and comprehensive regulatory regime to regulate therapeutic products in New Zealand, which will replace the Medicines Act 1981 and its Regulations.”</w:t>
      </w:r>
    </w:p>
    <w:p w:rsidR="00B74A60" w:rsidRDefault="00B74A60" w:rsidP="00E440A3">
      <w:pPr>
        <w:pStyle w:val="BodyText"/>
        <w:rPr>
          <w:rFonts w:eastAsia="Calibri"/>
        </w:rPr>
      </w:pPr>
      <w:r w:rsidRPr="00B74A60">
        <w:rPr>
          <w:rFonts w:eastAsia="Calibri"/>
        </w:rPr>
        <w:t>The above points indicate a high-level consensus and acceptance that the regulation of therapeutic products in some form is worthwhile.</w:t>
      </w:r>
    </w:p>
    <w:p w:rsidR="00B74A60" w:rsidRPr="00B74A60" w:rsidRDefault="00B74A60" w:rsidP="00E440A3">
      <w:pPr>
        <w:pStyle w:val="BodyText"/>
        <w:rPr>
          <w:rFonts w:eastAsia="Calibri"/>
        </w:rPr>
      </w:pPr>
      <w:r w:rsidRPr="00B74A60">
        <w:rPr>
          <w:rFonts w:eastAsia="Calibri"/>
        </w:rPr>
        <w:t>The goal then is to ensure that the regulatory regime is fit-for purpose and adds maximum value at least cost.</w:t>
      </w:r>
    </w:p>
    <w:p w:rsidR="00B74A60" w:rsidRPr="00B74A60" w:rsidRDefault="00B74A60" w:rsidP="00E440A3">
      <w:pPr>
        <w:pStyle w:val="BodyText"/>
        <w:rPr>
          <w:rFonts w:eastAsia="Calibri"/>
        </w:rPr>
      </w:pPr>
      <w:r w:rsidRPr="00B74A60">
        <w:rPr>
          <w:rFonts w:eastAsia="Calibri"/>
        </w:rPr>
        <w:t xml:space="preserve">Therapeutic product regulation must also be considered alongside other health </w:t>
      </w:r>
      <w:r w:rsidR="001B2EBB">
        <w:rPr>
          <w:rFonts w:eastAsia="Calibri"/>
        </w:rPr>
        <w:t xml:space="preserve">and related </w:t>
      </w:r>
      <w:r w:rsidRPr="00B74A60">
        <w:rPr>
          <w:rFonts w:eastAsia="Calibri"/>
        </w:rPr>
        <w:t>regulation (</w:t>
      </w:r>
      <w:proofErr w:type="spellStart"/>
      <w:r w:rsidRPr="00B74A60">
        <w:rPr>
          <w:rFonts w:eastAsia="Calibri"/>
        </w:rPr>
        <w:t>eg</w:t>
      </w:r>
      <w:proofErr w:type="spellEnd"/>
      <w:r w:rsidRPr="00B74A60">
        <w:rPr>
          <w:rFonts w:eastAsia="Calibri"/>
        </w:rPr>
        <w:t>, Health Practitioner Competence and Assurance Act 2003</w:t>
      </w:r>
      <w:r w:rsidR="001B2EBB">
        <w:rPr>
          <w:rFonts w:eastAsia="Calibri"/>
        </w:rPr>
        <w:t xml:space="preserve">, Food Act </w:t>
      </w:r>
      <w:r w:rsidR="00E27805">
        <w:rPr>
          <w:rFonts w:eastAsia="Calibri"/>
        </w:rPr>
        <w:t>2014</w:t>
      </w:r>
      <w:r w:rsidR="00244932">
        <w:rPr>
          <w:rFonts w:eastAsia="Calibri"/>
        </w:rPr>
        <w:t xml:space="preserve">, Natural Health </w:t>
      </w:r>
      <w:r w:rsidR="001B2EBB">
        <w:rPr>
          <w:rFonts w:eastAsia="Calibri"/>
        </w:rPr>
        <w:t xml:space="preserve">Products </w:t>
      </w:r>
      <w:r w:rsidR="00E27805">
        <w:rPr>
          <w:rFonts w:eastAsia="Calibri"/>
        </w:rPr>
        <w:t>Bill</w:t>
      </w:r>
      <w:r w:rsidRPr="00B74A60">
        <w:rPr>
          <w:rFonts w:eastAsia="Calibri"/>
        </w:rPr>
        <w:t>). There are important connections between them, and mutual inter-dependencies in promoting wider health outcomes</w:t>
      </w:r>
      <w:r w:rsidR="002E7EF9">
        <w:rPr>
          <w:rFonts w:eastAsia="Calibri"/>
        </w:rPr>
        <w:t xml:space="preserve"> (</w:t>
      </w:r>
      <w:proofErr w:type="spellStart"/>
      <w:r w:rsidR="002E7EF9">
        <w:rPr>
          <w:rFonts w:eastAsia="Calibri"/>
        </w:rPr>
        <w:t>eg</w:t>
      </w:r>
      <w:proofErr w:type="spellEnd"/>
      <w:r w:rsidR="002E7EF9">
        <w:rPr>
          <w:rFonts w:eastAsia="Calibri"/>
        </w:rPr>
        <w:t>, prescribing and dispensing in particular).</w:t>
      </w:r>
      <w:r w:rsidRPr="00B74A60">
        <w:rPr>
          <w:rFonts w:eastAsia="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976"/>
        <w:gridCol w:w="4372"/>
      </w:tblGrid>
      <w:tr w:rsidR="00B74A60" w:rsidRPr="003A3E2B" w:rsidTr="00747CD2">
        <w:trPr>
          <w:tblHeader/>
        </w:trPr>
        <w:tc>
          <w:tcPr>
            <w:tcW w:w="9016" w:type="dxa"/>
            <w:gridSpan w:val="3"/>
            <w:shd w:val="clear" w:color="auto" w:fill="DEEAF6"/>
          </w:tcPr>
          <w:p w:rsidR="00B74A60" w:rsidRPr="003A3E2B" w:rsidRDefault="00B74A60" w:rsidP="003A3E2B">
            <w:pPr>
              <w:spacing w:after="0" w:line="240" w:lineRule="auto"/>
              <w:rPr>
                <w:rFonts w:eastAsia="Calibri" w:cs="Arial"/>
                <w:b/>
                <w:szCs w:val="22"/>
                <w:lang w:val="en-NZ" w:eastAsia="en-US"/>
              </w:rPr>
            </w:pPr>
            <w:r w:rsidRPr="003A3E2B">
              <w:rPr>
                <w:rFonts w:eastAsia="Calibri" w:cs="Arial"/>
                <w:b/>
                <w:szCs w:val="22"/>
                <w:lang w:val="en-NZ" w:eastAsia="en-US"/>
              </w:rPr>
              <w:t>Merits of regulation: options and impacts</w:t>
            </w:r>
          </w:p>
          <w:p w:rsidR="00B74A60" w:rsidRPr="003A3E2B" w:rsidRDefault="00B74A60" w:rsidP="003A3E2B">
            <w:pPr>
              <w:spacing w:after="0" w:line="240" w:lineRule="auto"/>
              <w:rPr>
                <w:rFonts w:eastAsia="Calibri" w:cs="Arial"/>
                <w:szCs w:val="22"/>
                <w:lang w:val="en-NZ" w:eastAsia="en-US"/>
              </w:rPr>
            </w:pPr>
          </w:p>
        </w:tc>
      </w:tr>
      <w:tr w:rsidR="00B17048" w:rsidRPr="003A3E2B" w:rsidTr="00747CD2">
        <w:trPr>
          <w:tblHeader/>
        </w:trPr>
        <w:tc>
          <w:tcPr>
            <w:tcW w:w="1668" w:type="dxa"/>
            <w:shd w:val="clear" w:color="auto" w:fill="DEEAF6"/>
          </w:tcPr>
          <w:p w:rsidR="00B17048" w:rsidRPr="003A3E2B" w:rsidRDefault="00B17048" w:rsidP="003A3E2B">
            <w:pPr>
              <w:spacing w:after="0" w:line="240" w:lineRule="auto"/>
              <w:jc w:val="center"/>
              <w:rPr>
                <w:rFonts w:eastAsia="Calibri" w:cs="Arial"/>
                <w:i/>
                <w:szCs w:val="22"/>
                <w:lang w:val="en-NZ" w:eastAsia="en-US"/>
              </w:rPr>
            </w:pPr>
            <w:r w:rsidRPr="003A3E2B">
              <w:rPr>
                <w:rFonts w:eastAsia="Calibri" w:cs="Arial"/>
                <w:i/>
                <w:szCs w:val="22"/>
                <w:lang w:val="en-NZ" w:eastAsia="en-US"/>
              </w:rPr>
              <w:t>Options</w:t>
            </w:r>
          </w:p>
          <w:p w:rsidR="00B17048" w:rsidRPr="003A3E2B" w:rsidRDefault="00B17048" w:rsidP="003A3E2B">
            <w:pPr>
              <w:spacing w:after="0" w:line="240" w:lineRule="auto"/>
              <w:jc w:val="center"/>
              <w:rPr>
                <w:rFonts w:eastAsia="Calibri" w:cs="Arial"/>
                <w:i/>
                <w:szCs w:val="22"/>
                <w:lang w:val="en-NZ" w:eastAsia="en-US"/>
              </w:rPr>
            </w:pPr>
          </w:p>
        </w:tc>
        <w:tc>
          <w:tcPr>
            <w:tcW w:w="2976" w:type="dxa"/>
            <w:shd w:val="clear" w:color="auto" w:fill="DEEAF6"/>
          </w:tcPr>
          <w:p w:rsidR="00B17048" w:rsidRPr="003A3E2B" w:rsidRDefault="00B17048" w:rsidP="00B17048">
            <w:pPr>
              <w:spacing w:after="0" w:line="240" w:lineRule="auto"/>
              <w:jc w:val="center"/>
              <w:rPr>
                <w:rFonts w:eastAsia="Calibri" w:cs="Arial"/>
                <w:i/>
                <w:szCs w:val="22"/>
                <w:lang w:val="en-NZ" w:eastAsia="en-US"/>
              </w:rPr>
            </w:pPr>
            <w:r>
              <w:rPr>
                <w:rFonts w:eastAsia="Calibri" w:cs="Arial"/>
                <w:i/>
                <w:szCs w:val="22"/>
                <w:lang w:val="en-NZ" w:eastAsia="en-US"/>
              </w:rPr>
              <w:t>Description</w:t>
            </w:r>
          </w:p>
        </w:tc>
        <w:tc>
          <w:tcPr>
            <w:tcW w:w="4372" w:type="dxa"/>
            <w:shd w:val="clear" w:color="auto" w:fill="DEEAF6"/>
          </w:tcPr>
          <w:p w:rsidR="00B17048" w:rsidRPr="003A3E2B" w:rsidRDefault="00B17048" w:rsidP="003A3E2B">
            <w:pPr>
              <w:spacing w:after="0" w:line="240" w:lineRule="auto"/>
              <w:jc w:val="center"/>
              <w:rPr>
                <w:rFonts w:eastAsia="Calibri" w:cs="Arial"/>
                <w:i/>
                <w:szCs w:val="22"/>
                <w:lang w:val="en-NZ" w:eastAsia="en-US"/>
              </w:rPr>
            </w:pPr>
            <w:r>
              <w:rPr>
                <w:rFonts w:eastAsia="Calibri" w:cs="Arial"/>
                <w:i/>
                <w:szCs w:val="22"/>
                <w:lang w:val="en-NZ" w:eastAsia="en-US"/>
              </w:rPr>
              <w:t>Impacts</w:t>
            </w:r>
          </w:p>
        </w:tc>
      </w:tr>
      <w:tr w:rsidR="00B17048" w:rsidRPr="003A3E2B" w:rsidTr="00471AA4">
        <w:tc>
          <w:tcPr>
            <w:tcW w:w="1668" w:type="dxa"/>
            <w:shd w:val="clear" w:color="auto" w:fill="auto"/>
          </w:tcPr>
          <w:p w:rsidR="00B17048" w:rsidRPr="003A3E2B" w:rsidRDefault="00B17048"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Status quo</w:t>
            </w:r>
          </w:p>
          <w:p w:rsidR="00B17048" w:rsidRPr="003A3E2B" w:rsidRDefault="00B17048" w:rsidP="003A3E2B">
            <w:pPr>
              <w:spacing w:after="0" w:line="240" w:lineRule="auto"/>
              <w:rPr>
                <w:rFonts w:eastAsia="Calibri" w:cs="Arial"/>
                <w:sz w:val="20"/>
                <w:szCs w:val="22"/>
                <w:lang w:val="en-NZ" w:eastAsia="en-US"/>
              </w:rPr>
            </w:pPr>
          </w:p>
          <w:p w:rsidR="00B17048" w:rsidRPr="003A3E2B" w:rsidRDefault="00B17048" w:rsidP="003A3E2B">
            <w:pPr>
              <w:spacing w:after="0" w:line="240" w:lineRule="auto"/>
              <w:rPr>
                <w:rFonts w:eastAsia="Calibri" w:cs="Arial"/>
                <w:sz w:val="20"/>
                <w:szCs w:val="22"/>
                <w:lang w:val="en-NZ" w:eastAsia="en-US"/>
              </w:rPr>
            </w:pPr>
          </w:p>
          <w:p w:rsidR="00B17048" w:rsidRPr="003A3E2B" w:rsidRDefault="00B17048" w:rsidP="003A3E2B">
            <w:pPr>
              <w:spacing w:after="0" w:line="240" w:lineRule="auto"/>
              <w:rPr>
                <w:rFonts w:eastAsia="Calibri" w:cs="Arial"/>
                <w:sz w:val="20"/>
                <w:szCs w:val="22"/>
                <w:lang w:val="en-NZ" w:eastAsia="en-US"/>
              </w:rPr>
            </w:pPr>
          </w:p>
        </w:tc>
        <w:tc>
          <w:tcPr>
            <w:tcW w:w="2976" w:type="dxa"/>
            <w:shd w:val="clear" w:color="auto" w:fill="auto"/>
          </w:tcPr>
          <w:p w:rsidR="00B17048" w:rsidRPr="003A3E2B" w:rsidRDefault="00B17048"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The status quo involves the continued regulation of </w:t>
            </w:r>
            <w:r w:rsidR="001B2EBB">
              <w:rPr>
                <w:rFonts w:eastAsia="Calibri" w:cs="Arial"/>
                <w:sz w:val="20"/>
                <w:szCs w:val="22"/>
                <w:lang w:val="en-NZ" w:eastAsia="en-US"/>
              </w:rPr>
              <w:t xml:space="preserve">only </w:t>
            </w:r>
            <w:r w:rsidRPr="003A3E2B">
              <w:rPr>
                <w:rFonts w:eastAsia="Calibri" w:cs="Arial"/>
                <w:sz w:val="20"/>
                <w:szCs w:val="22"/>
                <w:lang w:val="en-NZ" w:eastAsia="en-US"/>
              </w:rPr>
              <w:t>some therapeutic products</w:t>
            </w:r>
            <w:r w:rsidR="00AA7D86">
              <w:rPr>
                <w:rFonts w:eastAsia="Calibri" w:cs="Arial"/>
                <w:sz w:val="20"/>
                <w:szCs w:val="22"/>
                <w:lang w:val="en-NZ" w:eastAsia="en-US"/>
              </w:rPr>
              <w:t xml:space="preserve"> (essentially medicines) on a basis where the regulator has little flexibility</w:t>
            </w:r>
            <w:r w:rsidRPr="003A3E2B">
              <w:rPr>
                <w:rFonts w:eastAsia="Calibri" w:cs="Arial"/>
                <w:sz w:val="20"/>
                <w:szCs w:val="22"/>
                <w:lang w:val="en-NZ" w:eastAsia="en-US"/>
              </w:rPr>
              <w:t>.</w:t>
            </w:r>
          </w:p>
          <w:p w:rsidR="00B17048" w:rsidRDefault="00B17048" w:rsidP="00471AA4">
            <w:pPr>
              <w:spacing w:after="0" w:line="240" w:lineRule="auto"/>
              <w:ind w:left="360"/>
              <w:rPr>
                <w:rFonts w:eastAsia="Calibri" w:cs="Arial"/>
                <w:sz w:val="20"/>
                <w:szCs w:val="22"/>
                <w:lang w:val="en-NZ" w:eastAsia="en-US"/>
              </w:rPr>
            </w:pPr>
          </w:p>
        </w:tc>
        <w:tc>
          <w:tcPr>
            <w:tcW w:w="4372" w:type="dxa"/>
            <w:shd w:val="clear" w:color="auto" w:fill="auto"/>
          </w:tcPr>
          <w:p w:rsidR="00B17048" w:rsidRDefault="00B17048" w:rsidP="00B66942">
            <w:pPr>
              <w:numPr>
                <w:ilvl w:val="0"/>
                <w:numId w:val="19"/>
              </w:num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Over time, under the status quo, there will be increased difficulty providing a satisfactory level of regulatory information and oversight. </w:t>
            </w:r>
          </w:p>
          <w:p w:rsidR="00B17048" w:rsidRPr="003A3E2B" w:rsidRDefault="00B17048" w:rsidP="00471AA4">
            <w:pPr>
              <w:spacing w:after="0" w:line="240" w:lineRule="auto"/>
              <w:ind w:left="360"/>
              <w:rPr>
                <w:rFonts w:eastAsia="Calibri" w:cs="Arial"/>
                <w:sz w:val="20"/>
                <w:szCs w:val="22"/>
                <w:lang w:val="en-NZ" w:eastAsia="en-US"/>
              </w:rPr>
            </w:pPr>
            <w:r w:rsidRPr="003A3E2B">
              <w:rPr>
                <w:rFonts w:eastAsia="Calibri" w:cs="Arial"/>
                <w:sz w:val="20"/>
                <w:szCs w:val="22"/>
                <w:lang w:val="en-NZ" w:eastAsia="en-US"/>
              </w:rPr>
              <w:t xml:space="preserve"> </w:t>
            </w:r>
          </w:p>
          <w:p w:rsidR="00B17048" w:rsidRDefault="00B17048" w:rsidP="00B66942">
            <w:pPr>
              <w:numPr>
                <w:ilvl w:val="0"/>
                <w:numId w:val="19"/>
              </w:num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In particular, as new and more complex products emerge, the regulator may </w:t>
            </w:r>
            <w:r w:rsidR="008B16BE">
              <w:rPr>
                <w:rFonts w:eastAsia="Calibri" w:cs="Arial"/>
                <w:sz w:val="20"/>
                <w:szCs w:val="22"/>
                <w:lang w:val="en-NZ" w:eastAsia="en-US"/>
              </w:rPr>
              <w:t xml:space="preserve">not have the </w:t>
            </w:r>
            <w:r w:rsidRPr="003A3E2B">
              <w:rPr>
                <w:rFonts w:eastAsia="Calibri" w:cs="Arial"/>
                <w:sz w:val="20"/>
                <w:szCs w:val="22"/>
                <w:lang w:val="en-NZ" w:eastAsia="en-US"/>
              </w:rPr>
              <w:t>ability to assess and respond to risk</w:t>
            </w:r>
            <w:r w:rsidR="00E028F9">
              <w:rPr>
                <w:rFonts w:eastAsia="Calibri" w:cs="Arial"/>
                <w:sz w:val="20"/>
                <w:szCs w:val="22"/>
                <w:lang w:val="en-NZ" w:eastAsia="en-US"/>
              </w:rPr>
              <w:t xml:space="preserve"> (gaps in coverage, inadequate powers to act)</w:t>
            </w:r>
            <w:r w:rsidRPr="003A3E2B">
              <w:rPr>
                <w:rFonts w:eastAsia="Calibri" w:cs="Arial"/>
                <w:sz w:val="20"/>
                <w:szCs w:val="22"/>
                <w:lang w:val="en-NZ" w:eastAsia="en-US"/>
              </w:rPr>
              <w:t>.</w:t>
            </w:r>
          </w:p>
          <w:p w:rsidR="00B17048" w:rsidRPr="003A3E2B" w:rsidRDefault="00B17048" w:rsidP="00471AA4">
            <w:pPr>
              <w:spacing w:after="0" w:line="240" w:lineRule="auto"/>
              <w:rPr>
                <w:rFonts w:eastAsia="Calibri" w:cs="Arial"/>
                <w:sz w:val="20"/>
                <w:szCs w:val="22"/>
                <w:lang w:val="en-NZ" w:eastAsia="en-US"/>
              </w:rPr>
            </w:pPr>
          </w:p>
          <w:p w:rsidR="00B17048" w:rsidRDefault="00B17048" w:rsidP="00B66942">
            <w:pPr>
              <w:numPr>
                <w:ilvl w:val="0"/>
                <w:numId w:val="19"/>
              </w:num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Regulator does not have </w:t>
            </w:r>
            <w:r w:rsidR="001B2EBB">
              <w:rPr>
                <w:rFonts w:eastAsia="Calibri" w:cs="Arial"/>
                <w:sz w:val="20"/>
                <w:szCs w:val="22"/>
                <w:lang w:val="en-NZ" w:eastAsia="en-US"/>
              </w:rPr>
              <w:t xml:space="preserve">the </w:t>
            </w:r>
            <w:r w:rsidRPr="003A3E2B">
              <w:rPr>
                <w:rFonts w:eastAsia="Calibri" w:cs="Arial"/>
                <w:sz w:val="20"/>
                <w:szCs w:val="22"/>
                <w:lang w:val="en-NZ" w:eastAsia="en-US"/>
              </w:rPr>
              <w:t>ability to optimise its resources across its various areas of responsibility (</w:t>
            </w:r>
            <w:proofErr w:type="spellStart"/>
            <w:r w:rsidRPr="003A3E2B">
              <w:rPr>
                <w:rFonts w:eastAsia="Calibri" w:cs="Arial"/>
                <w:sz w:val="20"/>
                <w:szCs w:val="22"/>
                <w:lang w:val="en-NZ" w:eastAsia="en-US"/>
              </w:rPr>
              <w:t>eg</w:t>
            </w:r>
            <w:proofErr w:type="spellEnd"/>
            <w:r w:rsidRPr="003A3E2B">
              <w:rPr>
                <w:rFonts w:eastAsia="Calibri" w:cs="Arial"/>
                <w:sz w:val="20"/>
                <w:szCs w:val="22"/>
                <w:lang w:val="en-NZ" w:eastAsia="en-US"/>
              </w:rPr>
              <w:t xml:space="preserve">, the primary legislation </w:t>
            </w:r>
            <w:r w:rsidR="0024130F">
              <w:rPr>
                <w:rFonts w:eastAsia="Calibri" w:cs="Arial"/>
                <w:sz w:val="20"/>
                <w:szCs w:val="22"/>
                <w:lang w:val="en-NZ" w:eastAsia="en-US"/>
              </w:rPr>
              <w:t xml:space="preserve">may need </w:t>
            </w:r>
            <w:r w:rsidRPr="003A3E2B">
              <w:rPr>
                <w:rFonts w:eastAsia="Calibri" w:cs="Arial"/>
                <w:sz w:val="20"/>
                <w:szCs w:val="22"/>
                <w:lang w:val="en-NZ" w:eastAsia="en-US"/>
              </w:rPr>
              <w:t>to be more enabling and less prescriptive).</w:t>
            </w:r>
          </w:p>
          <w:p w:rsidR="00B17048" w:rsidRPr="003A3E2B" w:rsidRDefault="00B17048" w:rsidP="003A3E2B">
            <w:pPr>
              <w:spacing w:after="0" w:line="240" w:lineRule="auto"/>
              <w:rPr>
                <w:rFonts w:eastAsia="Calibri" w:cs="Arial"/>
                <w:sz w:val="20"/>
                <w:szCs w:val="22"/>
                <w:lang w:val="en-NZ" w:eastAsia="en-US"/>
              </w:rPr>
            </w:pPr>
          </w:p>
        </w:tc>
      </w:tr>
      <w:tr w:rsidR="00B17048" w:rsidRPr="003A3E2B" w:rsidTr="00471AA4">
        <w:tc>
          <w:tcPr>
            <w:tcW w:w="1668" w:type="dxa"/>
            <w:shd w:val="clear" w:color="auto" w:fill="auto"/>
          </w:tcPr>
          <w:p w:rsidR="00B17048" w:rsidRPr="003A3E2B" w:rsidRDefault="00B17048"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Option 1</w:t>
            </w:r>
            <w:r w:rsidR="00495157">
              <w:rPr>
                <w:rFonts w:eastAsia="Calibri" w:cs="Arial"/>
                <w:sz w:val="20"/>
                <w:szCs w:val="22"/>
                <w:lang w:val="en-NZ" w:eastAsia="en-US"/>
              </w:rPr>
              <w:t xml:space="preserve"> -</w:t>
            </w:r>
          </w:p>
          <w:p w:rsidR="00B17048" w:rsidRPr="003A3E2B" w:rsidRDefault="00B17048" w:rsidP="003A3E2B">
            <w:pPr>
              <w:spacing w:after="0" w:line="240" w:lineRule="auto"/>
              <w:rPr>
                <w:rFonts w:eastAsia="Calibri" w:cs="Arial"/>
                <w:sz w:val="20"/>
                <w:szCs w:val="22"/>
                <w:lang w:val="en-NZ" w:eastAsia="en-US"/>
              </w:rPr>
            </w:pPr>
          </w:p>
          <w:p w:rsidR="00B17048" w:rsidRPr="003A3E2B" w:rsidRDefault="00B17048"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Enhanced status quo (preferred)</w:t>
            </w:r>
          </w:p>
          <w:p w:rsidR="00B17048" w:rsidRPr="003A3E2B" w:rsidRDefault="00B17048" w:rsidP="003A3E2B">
            <w:pPr>
              <w:spacing w:after="0" w:line="240" w:lineRule="auto"/>
              <w:rPr>
                <w:rFonts w:eastAsia="Calibri" w:cs="Arial"/>
                <w:sz w:val="20"/>
                <w:szCs w:val="22"/>
                <w:lang w:val="en-NZ" w:eastAsia="en-US"/>
              </w:rPr>
            </w:pPr>
          </w:p>
          <w:p w:rsidR="00B17048" w:rsidRPr="003A3E2B" w:rsidRDefault="00B17048" w:rsidP="003A3E2B">
            <w:pPr>
              <w:spacing w:after="0" w:line="240" w:lineRule="auto"/>
              <w:rPr>
                <w:rFonts w:eastAsia="Calibri" w:cs="Arial"/>
                <w:sz w:val="20"/>
                <w:szCs w:val="22"/>
                <w:lang w:val="en-NZ" w:eastAsia="en-US"/>
              </w:rPr>
            </w:pPr>
          </w:p>
          <w:p w:rsidR="00B17048" w:rsidRPr="003A3E2B" w:rsidRDefault="00B17048" w:rsidP="003A3E2B">
            <w:pPr>
              <w:spacing w:after="0" w:line="240" w:lineRule="auto"/>
              <w:rPr>
                <w:rFonts w:eastAsia="Calibri" w:cs="Arial"/>
                <w:sz w:val="20"/>
                <w:szCs w:val="22"/>
                <w:lang w:val="en-NZ" w:eastAsia="en-US"/>
              </w:rPr>
            </w:pPr>
          </w:p>
        </w:tc>
        <w:tc>
          <w:tcPr>
            <w:tcW w:w="2976" w:type="dxa"/>
            <w:shd w:val="clear" w:color="auto" w:fill="auto"/>
          </w:tcPr>
          <w:p w:rsidR="00B17048" w:rsidRPr="003A3E2B" w:rsidRDefault="00B17048"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This option involves the continued regulation of therapeutic products but on a more comprehensive </w:t>
            </w:r>
            <w:r>
              <w:rPr>
                <w:rFonts w:eastAsia="Calibri" w:cs="Arial"/>
                <w:sz w:val="20"/>
                <w:szCs w:val="22"/>
                <w:lang w:val="en-NZ" w:eastAsia="en-US"/>
              </w:rPr>
              <w:t>basis.</w:t>
            </w:r>
          </w:p>
          <w:p w:rsidR="00997BE2" w:rsidRDefault="00997BE2" w:rsidP="00471AA4">
            <w:pPr>
              <w:spacing w:after="0" w:line="240" w:lineRule="auto"/>
              <w:rPr>
                <w:rFonts w:eastAsia="Calibri" w:cs="Arial"/>
                <w:sz w:val="20"/>
                <w:szCs w:val="22"/>
                <w:lang w:val="en-NZ" w:eastAsia="en-US"/>
              </w:rPr>
            </w:pPr>
          </w:p>
          <w:p w:rsidR="00B17048" w:rsidRDefault="00B17048"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In particular, this would entail developing and implementing a clearer and more principled framework, more complete product coverage, and more flexible </w:t>
            </w:r>
            <w:r>
              <w:rPr>
                <w:rFonts w:eastAsia="Calibri" w:cs="Arial"/>
                <w:sz w:val="20"/>
                <w:szCs w:val="22"/>
                <w:lang w:val="en-NZ" w:eastAsia="en-US"/>
              </w:rPr>
              <w:t xml:space="preserve">(and risk-appropriate) </w:t>
            </w:r>
            <w:r w:rsidRPr="003A3E2B">
              <w:rPr>
                <w:rFonts w:eastAsia="Calibri" w:cs="Arial"/>
                <w:sz w:val="20"/>
                <w:szCs w:val="22"/>
                <w:lang w:val="en-NZ" w:eastAsia="en-US"/>
              </w:rPr>
              <w:t>approval pathways alongside other regulatory improvements.</w:t>
            </w:r>
          </w:p>
          <w:p w:rsidR="00B17048" w:rsidRDefault="00B17048" w:rsidP="00471AA4">
            <w:pPr>
              <w:spacing w:after="0" w:line="240" w:lineRule="auto"/>
              <w:ind w:left="360"/>
              <w:rPr>
                <w:rFonts w:eastAsia="Calibri" w:cs="Arial"/>
                <w:sz w:val="20"/>
                <w:szCs w:val="22"/>
                <w:lang w:val="en-NZ" w:eastAsia="en-US"/>
              </w:rPr>
            </w:pPr>
          </w:p>
          <w:p w:rsidR="00B17048" w:rsidRDefault="00B17048" w:rsidP="00B17048">
            <w:pPr>
              <w:spacing w:after="0" w:line="240" w:lineRule="auto"/>
              <w:ind w:left="360"/>
              <w:rPr>
                <w:rFonts w:eastAsia="Calibri" w:cs="Arial"/>
                <w:sz w:val="20"/>
                <w:szCs w:val="22"/>
                <w:lang w:val="en-NZ" w:eastAsia="en-US"/>
              </w:rPr>
            </w:pPr>
          </w:p>
        </w:tc>
        <w:tc>
          <w:tcPr>
            <w:tcW w:w="4372" w:type="dxa"/>
            <w:shd w:val="clear" w:color="auto" w:fill="auto"/>
          </w:tcPr>
          <w:p w:rsidR="00B17048" w:rsidRDefault="00E028F9" w:rsidP="002D4EAA">
            <w:pPr>
              <w:spacing w:after="0" w:line="240" w:lineRule="auto"/>
              <w:rPr>
                <w:rFonts w:eastAsia="Calibri" w:cs="Arial"/>
                <w:sz w:val="20"/>
                <w:szCs w:val="22"/>
                <w:lang w:val="en-NZ" w:eastAsia="en-US"/>
              </w:rPr>
            </w:pPr>
            <w:r>
              <w:rPr>
                <w:rFonts w:eastAsia="Calibri" w:cs="Arial"/>
                <w:sz w:val="20"/>
                <w:szCs w:val="22"/>
                <w:lang w:val="en-NZ" w:eastAsia="en-US"/>
              </w:rPr>
              <w:t>This option</w:t>
            </w:r>
            <w:r w:rsidR="00997BE2">
              <w:rPr>
                <w:rFonts w:eastAsia="Calibri" w:cs="Arial"/>
                <w:sz w:val="20"/>
                <w:szCs w:val="22"/>
                <w:lang w:val="en-NZ" w:eastAsia="en-US"/>
              </w:rPr>
              <w:t xml:space="preserve"> addresses the deficiencies noted under the status quo. For example:</w:t>
            </w:r>
          </w:p>
          <w:p w:rsidR="00997BE2" w:rsidRDefault="00997BE2" w:rsidP="00997BE2">
            <w:pPr>
              <w:spacing w:after="0" w:line="240" w:lineRule="auto"/>
              <w:rPr>
                <w:rFonts w:eastAsia="Calibri" w:cs="Arial"/>
                <w:sz w:val="20"/>
                <w:szCs w:val="22"/>
                <w:lang w:val="en-NZ" w:eastAsia="en-US"/>
              </w:rPr>
            </w:pPr>
          </w:p>
          <w:p w:rsidR="00997BE2" w:rsidRDefault="00997BE2" w:rsidP="00B66942">
            <w:pPr>
              <w:numPr>
                <w:ilvl w:val="0"/>
                <w:numId w:val="19"/>
              </w:numPr>
              <w:spacing w:after="0" w:line="240" w:lineRule="auto"/>
              <w:rPr>
                <w:rFonts w:eastAsia="Calibri" w:cs="Arial"/>
                <w:sz w:val="20"/>
                <w:szCs w:val="22"/>
                <w:lang w:val="en-NZ" w:eastAsia="en-US"/>
              </w:rPr>
            </w:pPr>
            <w:r>
              <w:rPr>
                <w:rFonts w:eastAsia="Calibri" w:cs="Arial"/>
                <w:sz w:val="20"/>
                <w:szCs w:val="22"/>
                <w:lang w:val="en-NZ" w:eastAsia="en-US"/>
              </w:rPr>
              <w:t xml:space="preserve">The regulator </w:t>
            </w:r>
            <w:r w:rsidRPr="003A3E2B">
              <w:rPr>
                <w:rFonts w:eastAsia="Calibri" w:cs="Arial"/>
                <w:sz w:val="20"/>
                <w:szCs w:val="22"/>
                <w:lang w:val="en-NZ" w:eastAsia="en-US"/>
              </w:rPr>
              <w:t xml:space="preserve">will be </w:t>
            </w:r>
            <w:r>
              <w:rPr>
                <w:rFonts w:eastAsia="Calibri" w:cs="Arial"/>
                <w:sz w:val="20"/>
                <w:szCs w:val="22"/>
                <w:lang w:val="en-NZ" w:eastAsia="en-US"/>
              </w:rPr>
              <w:t xml:space="preserve">able to </w:t>
            </w:r>
            <w:r w:rsidRPr="003A3E2B">
              <w:rPr>
                <w:rFonts w:eastAsia="Calibri" w:cs="Arial"/>
                <w:sz w:val="20"/>
                <w:szCs w:val="22"/>
                <w:lang w:val="en-NZ" w:eastAsia="en-US"/>
              </w:rPr>
              <w:t>provid</w:t>
            </w:r>
            <w:r>
              <w:rPr>
                <w:rFonts w:eastAsia="Calibri" w:cs="Arial"/>
                <w:sz w:val="20"/>
                <w:szCs w:val="22"/>
                <w:lang w:val="en-NZ" w:eastAsia="en-US"/>
              </w:rPr>
              <w:t xml:space="preserve">e </w:t>
            </w:r>
            <w:r w:rsidRPr="003A3E2B">
              <w:rPr>
                <w:rFonts w:eastAsia="Calibri" w:cs="Arial"/>
                <w:sz w:val="20"/>
                <w:szCs w:val="22"/>
                <w:lang w:val="en-NZ" w:eastAsia="en-US"/>
              </w:rPr>
              <w:t xml:space="preserve">a </w:t>
            </w:r>
            <w:r>
              <w:rPr>
                <w:rFonts w:eastAsia="Calibri" w:cs="Arial"/>
                <w:sz w:val="20"/>
                <w:szCs w:val="22"/>
                <w:lang w:val="en-NZ" w:eastAsia="en-US"/>
              </w:rPr>
              <w:t xml:space="preserve">more </w:t>
            </w:r>
            <w:r w:rsidRPr="003A3E2B">
              <w:rPr>
                <w:rFonts w:eastAsia="Calibri" w:cs="Arial"/>
                <w:sz w:val="20"/>
                <w:szCs w:val="22"/>
                <w:lang w:val="en-NZ" w:eastAsia="en-US"/>
              </w:rPr>
              <w:t xml:space="preserve">satisfactory level of regulatory information and oversight. </w:t>
            </w:r>
          </w:p>
          <w:p w:rsidR="00997BE2" w:rsidRPr="003A3E2B" w:rsidRDefault="00997BE2" w:rsidP="00997BE2">
            <w:pPr>
              <w:spacing w:after="0" w:line="240" w:lineRule="auto"/>
              <w:ind w:left="360"/>
              <w:rPr>
                <w:rFonts w:eastAsia="Calibri" w:cs="Arial"/>
                <w:sz w:val="20"/>
                <w:szCs w:val="22"/>
                <w:lang w:val="en-NZ" w:eastAsia="en-US"/>
              </w:rPr>
            </w:pPr>
            <w:r w:rsidRPr="003A3E2B">
              <w:rPr>
                <w:rFonts w:eastAsia="Calibri" w:cs="Arial"/>
                <w:sz w:val="20"/>
                <w:szCs w:val="22"/>
                <w:lang w:val="en-NZ" w:eastAsia="en-US"/>
              </w:rPr>
              <w:t xml:space="preserve"> </w:t>
            </w:r>
          </w:p>
          <w:p w:rsidR="00997BE2" w:rsidRDefault="00997BE2" w:rsidP="00B66942">
            <w:pPr>
              <w:numPr>
                <w:ilvl w:val="0"/>
                <w:numId w:val="19"/>
              </w:numPr>
              <w:spacing w:after="0" w:line="240" w:lineRule="auto"/>
              <w:rPr>
                <w:rFonts w:eastAsia="Calibri" w:cs="Arial"/>
                <w:sz w:val="20"/>
                <w:szCs w:val="22"/>
                <w:lang w:val="en-NZ" w:eastAsia="en-US"/>
              </w:rPr>
            </w:pPr>
            <w:r>
              <w:rPr>
                <w:rFonts w:eastAsia="Calibri" w:cs="Arial"/>
                <w:sz w:val="20"/>
                <w:szCs w:val="22"/>
                <w:lang w:val="en-NZ" w:eastAsia="en-US"/>
              </w:rPr>
              <w:t>A</w:t>
            </w:r>
            <w:r w:rsidRPr="003A3E2B">
              <w:rPr>
                <w:rFonts w:eastAsia="Calibri" w:cs="Arial"/>
                <w:sz w:val="20"/>
                <w:szCs w:val="22"/>
                <w:lang w:val="en-NZ" w:eastAsia="en-US"/>
              </w:rPr>
              <w:t xml:space="preserve">s new and more complex products emerge, the regulator </w:t>
            </w:r>
            <w:r>
              <w:rPr>
                <w:rFonts w:eastAsia="Calibri" w:cs="Arial"/>
                <w:sz w:val="20"/>
                <w:szCs w:val="22"/>
                <w:lang w:val="en-NZ" w:eastAsia="en-US"/>
              </w:rPr>
              <w:t xml:space="preserve">will have the flexibility </w:t>
            </w:r>
            <w:r w:rsidRPr="003A3E2B">
              <w:rPr>
                <w:rFonts w:eastAsia="Calibri" w:cs="Arial"/>
                <w:sz w:val="20"/>
                <w:szCs w:val="22"/>
                <w:lang w:val="en-NZ" w:eastAsia="en-US"/>
              </w:rPr>
              <w:t>to assess and respond to risk</w:t>
            </w:r>
            <w:r>
              <w:rPr>
                <w:rFonts w:eastAsia="Calibri" w:cs="Arial"/>
                <w:sz w:val="20"/>
                <w:szCs w:val="22"/>
                <w:lang w:val="en-NZ" w:eastAsia="en-US"/>
              </w:rPr>
              <w:t xml:space="preserve"> (wider coverage, adequate powers to act)</w:t>
            </w:r>
            <w:r w:rsidRPr="003A3E2B">
              <w:rPr>
                <w:rFonts w:eastAsia="Calibri" w:cs="Arial"/>
                <w:sz w:val="20"/>
                <w:szCs w:val="22"/>
                <w:lang w:val="en-NZ" w:eastAsia="en-US"/>
              </w:rPr>
              <w:t>.</w:t>
            </w:r>
          </w:p>
          <w:p w:rsidR="00997BE2" w:rsidRDefault="00997BE2" w:rsidP="00997BE2">
            <w:pPr>
              <w:spacing w:after="0" w:line="240" w:lineRule="auto"/>
              <w:rPr>
                <w:rFonts w:eastAsia="Calibri" w:cs="Arial"/>
                <w:sz w:val="20"/>
                <w:szCs w:val="22"/>
                <w:lang w:val="en-NZ" w:eastAsia="en-US"/>
              </w:rPr>
            </w:pPr>
          </w:p>
          <w:p w:rsidR="00997BE2" w:rsidRDefault="00997BE2" w:rsidP="00B66942">
            <w:pPr>
              <w:numPr>
                <w:ilvl w:val="0"/>
                <w:numId w:val="19"/>
              </w:numPr>
              <w:spacing w:after="0" w:line="240" w:lineRule="auto"/>
              <w:rPr>
                <w:rFonts w:eastAsia="Calibri" w:cs="Arial"/>
                <w:sz w:val="20"/>
                <w:szCs w:val="22"/>
                <w:lang w:val="en-NZ" w:eastAsia="en-US"/>
              </w:rPr>
            </w:pPr>
            <w:r>
              <w:rPr>
                <w:rFonts w:eastAsia="Calibri" w:cs="Arial"/>
                <w:sz w:val="20"/>
                <w:szCs w:val="22"/>
                <w:lang w:val="en-NZ" w:eastAsia="en-US"/>
              </w:rPr>
              <w:t>The regulator will be able to recognise the decisions of trusted overseas regulators in relation to new medicines applications (with benefits in terms of timeliness of access, and lower compliance costs).</w:t>
            </w:r>
          </w:p>
          <w:p w:rsidR="00997BE2" w:rsidRPr="003A3E2B" w:rsidRDefault="00997BE2" w:rsidP="00997BE2">
            <w:pPr>
              <w:spacing w:after="0" w:line="240" w:lineRule="auto"/>
              <w:rPr>
                <w:rFonts w:eastAsia="Calibri" w:cs="Arial"/>
                <w:sz w:val="20"/>
                <w:szCs w:val="22"/>
                <w:lang w:val="en-NZ" w:eastAsia="en-US"/>
              </w:rPr>
            </w:pPr>
          </w:p>
          <w:p w:rsidR="00997BE2" w:rsidRDefault="00997BE2" w:rsidP="00B66942">
            <w:pPr>
              <w:numPr>
                <w:ilvl w:val="0"/>
                <w:numId w:val="19"/>
              </w:num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Regulator </w:t>
            </w:r>
            <w:r>
              <w:rPr>
                <w:rFonts w:eastAsia="Calibri" w:cs="Arial"/>
                <w:sz w:val="20"/>
                <w:szCs w:val="22"/>
                <w:lang w:val="en-NZ" w:eastAsia="en-US"/>
              </w:rPr>
              <w:t xml:space="preserve">is able </w:t>
            </w:r>
            <w:r w:rsidRPr="003A3E2B">
              <w:rPr>
                <w:rFonts w:eastAsia="Calibri" w:cs="Arial"/>
                <w:sz w:val="20"/>
                <w:szCs w:val="22"/>
                <w:lang w:val="en-NZ" w:eastAsia="en-US"/>
              </w:rPr>
              <w:t>to optimise resources across areas of responsibility (</w:t>
            </w:r>
            <w:proofErr w:type="spellStart"/>
            <w:r w:rsidRPr="003A3E2B">
              <w:rPr>
                <w:rFonts w:eastAsia="Calibri" w:cs="Arial"/>
                <w:sz w:val="20"/>
                <w:szCs w:val="22"/>
                <w:lang w:val="en-NZ" w:eastAsia="en-US"/>
              </w:rPr>
              <w:t>eg</w:t>
            </w:r>
            <w:proofErr w:type="spellEnd"/>
            <w:r w:rsidRPr="003A3E2B">
              <w:rPr>
                <w:rFonts w:eastAsia="Calibri" w:cs="Arial"/>
                <w:sz w:val="20"/>
                <w:szCs w:val="22"/>
                <w:lang w:val="en-NZ" w:eastAsia="en-US"/>
              </w:rPr>
              <w:t>, the primary legislation to be more enabling and less prescriptive).</w:t>
            </w:r>
          </w:p>
          <w:p w:rsidR="00997BE2" w:rsidRPr="003A3E2B" w:rsidRDefault="00997BE2" w:rsidP="00997BE2">
            <w:pPr>
              <w:spacing w:after="0" w:line="240" w:lineRule="auto"/>
              <w:rPr>
                <w:rFonts w:eastAsia="Calibri" w:cs="Arial"/>
                <w:sz w:val="20"/>
                <w:szCs w:val="22"/>
                <w:lang w:val="en-NZ" w:eastAsia="en-US"/>
              </w:rPr>
            </w:pPr>
          </w:p>
        </w:tc>
      </w:tr>
      <w:tr w:rsidR="00B17048" w:rsidRPr="003A3E2B" w:rsidTr="00471AA4">
        <w:tc>
          <w:tcPr>
            <w:tcW w:w="1668" w:type="dxa"/>
            <w:shd w:val="clear" w:color="auto" w:fill="auto"/>
          </w:tcPr>
          <w:p w:rsidR="00B17048" w:rsidRPr="003A3E2B" w:rsidRDefault="00B17048"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Option 2</w:t>
            </w:r>
            <w:r w:rsidR="00495157">
              <w:rPr>
                <w:rFonts w:eastAsia="Calibri" w:cs="Arial"/>
                <w:sz w:val="20"/>
                <w:szCs w:val="22"/>
                <w:lang w:val="en-NZ" w:eastAsia="en-US"/>
              </w:rPr>
              <w:t xml:space="preserve"> -</w:t>
            </w:r>
          </w:p>
          <w:p w:rsidR="00B17048" w:rsidRPr="003A3E2B" w:rsidRDefault="00B17048" w:rsidP="003A3E2B">
            <w:pPr>
              <w:spacing w:after="0" w:line="240" w:lineRule="auto"/>
              <w:rPr>
                <w:rFonts w:eastAsia="Calibri" w:cs="Arial"/>
                <w:sz w:val="20"/>
                <w:szCs w:val="22"/>
                <w:lang w:val="en-NZ" w:eastAsia="en-US"/>
              </w:rPr>
            </w:pPr>
          </w:p>
          <w:p w:rsidR="00B17048" w:rsidRPr="003A3E2B" w:rsidRDefault="00B17048"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No specific therapeutic product regulation</w:t>
            </w:r>
          </w:p>
          <w:p w:rsidR="00B17048" w:rsidRPr="003A3E2B" w:rsidRDefault="00B17048" w:rsidP="003A3E2B">
            <w:pPr>
              <w:spacing w:after="0" w:line="240" w:lineRule="auto"/>
              <w:rPr>
                <w:rFonts w:eastAsia="Calibri" w:cs="Arial"/>
                <w:sz w:val="20"/>
                <w:szCs w:val="22"/>
                <w:lang w:val="en-NZ" w:eastAsia="en-US"/>
              </w:rPr>
            </w:pPr>
          </w:p>
          <w:p w:rsidR="00B17048" w:rsidRPr="003A3E2B" w:rsidRDefault="00B17048" w:rsidP="003A3E2B">
            <w:pPr>
              <w:spacing w:after="0" w:line="240" w:lineRule="auto"/>
              <w:rPr>
                <w:rFonts w:eastAsia="Calibri" w:cs="Arial"/>
                <w:sz w:val="20"/>
                <w:szCs w:val="22"/>
                <w:lang w:val="en-NZ" w:eastAsia="en-US"/>
              </w:rPr>
            </w:pPr>
          </w:p>
        </w:tc>
        <w:tc>
          <w:tcPr>
            <w:tcW w:w="2976" w:type="dxa"/>
            <w:shd w:val="clear" w:color="auto" w:fill="auto"/>
          </w:tcPr>
          <w:p w:rsidR="00B17048" w:rsidRPr="003A3E2B" w:rsidRDefault="00B17048"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This option would allow therapeutic products to be marketed on more or less the same basis as general consumer products.</w:t>
            </w:r>
          </w:p>
          <w:p w:rsidR="00B17048" w:rsidRDefault="00B17048" w:rsidP="00471AA4">
            <w:pPr>
              <w:spacing w:after="0" w:line="240" w:lineRule="auto"/>
              <w:ind w:left="360"/>
              <w:rPr>
                <w:rFonts w:eastAsia="Calibri" w:cs="Arial"/>
                <w:sz w:val="20"/>
                <w:szCs w:val="22"/>
                <w:lang w:val="en-NZ" w:eastAsia="en-US"/>
              </w:rPr>
            </w:pPr>
          </w:p>
        </w:tc>
        <w:tc>
          <w:tcPr>
            <w:tcW w:w="4372" w:type="dxa"/>
            <w:shd w:val="clear" w:color="auto" w:fill="auto"/>
          </w:tcPr>
          <w:p w:rsidR="00B17048" w:rsidRDefault="00B17048" w:rsidP="00B66942">
            <w:pPr>
              <w:numPr>
                <w:ilvl w:val="0"/>
                <w:numId w:val="25"/>
              </w:numPr>
              <w:spacing w:after="0" w:line="240" w:lineRule="auto"/>
              <w:ind w:left="360"/>
              <w:rPr>
                <w:rFonts w:eastAsia="Calibri" w:cs="Arial"/>
                <w:sz w:val="20"/>
                <w:szCs w:val="22"/>
                <w:lang w:val="en-NZ" w:eastAsia="en-US"/>
              </w:rPr>
            </w:pPr>
            <w:r w:rsidRPr="003A3E2B">
              <w:rPr>
                <w:rFonts w:eastAsia="Calibri" w:cs="Arial"/>
                <w:sz w:val="20"/>
                <w:szCs w:val="22"/>
                <w:lang w:val="en-NZ" w:eastAsia="en-US"/>
              </w:rPr>
              <w:t xml:space="preserve">This option represents a significant and radical departure from current </w:t>
            </w:r>
            <w:r>
              <w:rPr>
                <w:rFonts w:eastAsia="Calibri" w:cs="Arial"/>
                <w:sz w:val="20"/>
                <w:szCs w:val="22"/>
                <w:lang w:val="en-NZ" w:eastAsia="en-US"/>
              </w:rPr>
              <w:t xml:space="preserve">New Zealand and international </w:t>
            </w:r>
            <w:r w:rsidRPr="003A3E2B">
              <w:rPr>
                <w:rFonts w:eastAsia="Calibri" w:cs="Arial"/>
                <w:sz w:val="20"/>
                <w:szCs w:val="22"/>
                <w:lang w:val="en-NZ" w:eastAsia="en-US"/>
              </w:rPr>
              <w:t>practice (which explicitly does not recognise therapeutic products as ordinary goods of commerce).</w:t>
            </w:r>
          </w:p>
          <w:p w:rsidR="00850281" w:rsidRDefault="00850281" w:rsidP="00850281">
            <w:pPr>
              <w:spacing w:after="0" w:line="240" w:lineRule="auto"/>
              <w:rPr>
                <w:rFonts w:eastAsia="Calibri" w:cs="Arial"/>
                <w:sz w:val="20"/>
                <w:szCs w:val="22"/>
                <w:lang w:val="en-NZ" w:eastAsia="en-US"/>
              </w:rPr>
            </w:pPr>
          </w:p>
          <w:p w:rsidR="00850281" w:rsidRDefault="00850281" w:rsidP="00B66942">
            <w:pPr>
              <w:numPr>
                <w:ilvl w:val="0"/>
                <w:numId w:val="51"/>
              </w:numPr>
              <w:spacing w:after="0" w:line="240" w:lineRule="auto"/>
              <w:rPr>
                <w:rFonts w:eastAsia="Calibri" w:cs="Arial"/>
                <w:sz w:val="20"/>
                <w:szCs w:val="22"/>
                <w:lang w:val="en-NZ" w:eastAsia="en-US"/>
              </w:rPr>
            </w:pPr>
            <w:r>
              <w:rPr>
                <w:rFonts w:eastAsia="Calibri" w:cs="Arial"/>
                <w:sz w:val="20"/>
                <w:szCs w:val="22"/>
                <w:lang w:val="en-NZ" w:eastAsia="en-US"/>
              </w:rPr>
              <w:t xml:space="preserve">New Zealand would effectively not have a </w:t>
            </w:r>
            <w:r w:rsidR="00202FA1">
              <w:rPr>
                <w:rFonts w:eastAsia="Calibri" w:cs="Arial"/>
                <w:sz w:val="20"/>
                <w:szCs w:val="22"/>
                <w:lang w:val="en-NZ" w:eastAsia="en-US"/>
              </w:rPr>
              <w:t>therapeutic products regulator.</w:t>
            </w:r>
          </w:p>
          <w:p w:rsidR="00B17048" w:rsidRPr="003A3E2B" w:rsidRDefault="00B17048" w:rsidP="00471AA4">
            <w:pPr>
              <w:spacing w:after="0" w:line="240" w:lineRule="auto"/>
              <w:ind w:left="360"/>
              <w:rPr>
                <w:rFonts w:eastAsia="Calibri" w:cs="Arial"/>
                <w:sz w:val="20"/>
                <w:szCs w:val="22"/>
                <w:lang w:val="en-NZ" w:eastAsia="en-US"/>
              </w:rPr>
            </w:pPr>
            <w:r w:rsidRPr="003A3E2B">
              <w:rPr>
                <w:rFonts w:eastAsia="Calibri" w:cs="Arial"/>
                <w:sz w:val="20"/>
                <w:szCs w:val="22"/>
                <w:lang w:val="en-NZ" w:eastAsia="en-US"/>
              </w:rPr>
              <w:t xml:space="preserve">  </w:t>
            </w:r>
          </w:p>
          <w:p w:rsidR="00B17048" w:rsidRDefault="00B17048" w:rsidP="00B66942">
            <w:pPr>
              <w:numPr>
                <w:ilvl w:val="0"/>
                <w:numId w:val="28"/>
              </w:numPr>
              <w:spacing w:after="0" w:line="240" w:lineRule="auto"/>
              <w:ind w:left="360"/>
              <w:rPr>
                <w:rFonts w:eastAsia="Calibri" w:cs="Arial"/>
                <w:sz w:val="20"/>
                <w:szCs w:val="22"/>
                <w:lang w:val="en-NZ" w:eastAsia="en-US"/>
              </w:rPr>
            </w:pPr>
            <w:r w:rsidRPr="003A3E2B">
              <w:rPr>
                <w:rFonts w:eastAsia="Calibri" w:cs="Arial"/>
                <w:sz w:val="20"/>
                <w:szCs w:val="22"/>
                <w:lang w:val="en-NZ" w:eastAsia="en-US"/>
              </w:rPr>
              <w:t>This option is likely to have the most significant impacts (</w:t>
            </w:r>
            <w:proofErr w:type="spellStart"/>
            <w:r w:rsidRPr="003A3E2B">
              <w:rPr>
                <w:rFonts w:eastAsia="Calibri" w:cs="Arial"/>
                <w:sz w:val="20"/>
                <w:szCs w:val="22"/>
                <w:lang w:val="en-NZ" w:eastAsia="en-US"/>
              </w:rPr>
              <w:t>eg</w:t>
            </w:r>
            <w:proofErr w:type="spellEnd"/>
            <w:r w:rsidRPr="003A3E2B">
              <w:rPr>
                <w:rFonts w:eastAsia="Calibri" w:cs="Arial"/>
                <w:sz w:val="20"/>
                <w:szCs w:val="22"/>
                <w:lang w:val="en-NZ" w:eastAsia="en-US"/>
              </w:rPr>
              <w:t>, cost reduction for industry, increased access to therapeutic products (mostly safe, but some potentially unsafe), increased risk o</w:t>
            </w:r>
            <w:r>
              <w:rPr>
                <w:rFonts w:eastAsia="Calibri" w:cs="Arial"/>
                <w:sz w:val="20"/>
                <w:szCs w:val="22"/>
                <w:lang w:val="en-NZ" w:eastAsia="en-US"/>
              </w:rPr>
              <w:t>f adverse reactions or events).</w:t>
            </w:r>
          </w:p>
          <w:p w:rsidR="00B17048" w:rsidRDefault="00B17048" w:rsidP="00471AA4">
            <w:pPr>
              <w:spacing w:after="0" w:line="240" w:lineRule="auto"/>
              <w:rPr>
                <w:rFonts w:eastAsia="Calibri" w:cs="Arial"/>
                <w:sz w:val="20"/>
                <w:szCs w:val="22"/>
                <w:lang w:val="en-NZ" w:eastAsia="en-US"/>
              </w:rPr>
            </w:pPr>
          </w:p>
          <w:p w:rsidR="00B17048" w:rsidRDefault="00B17048" w:rsidP="00B66942">
            <w:pPr>
              <w:numPr>
                <w:ilvl w:val="0"/>
                <w:numId w:val="28"/>
              </w:numPr>
              <w:spacing w:after="0" w:line="240" w:lineRule="auto"/>
              <w:ind w:left="360"/>
              <w:rPr>
                <w:rFonts w:eastAsia="Calibri" w:cs="Arial"/>
                <w:sz w:val="20"/>
                <w:szCs w:val="22"/>
                <w:lang w:val="en-NZ" w:eastAsia="en-US"/>
              </w:rPr>
            </w:pPr>
            <w:r>
              <w:rPr>
                <w:rFonts w:eastAsia="Calibri" w:cs="Arial"/>
                <w:sz w:val="20"/>
                <w:szCs w:val="22"/>
                <w:lang w:val="en-NZ" w:eastAsia="en-US"/>
              </w:rPr>
              <w:t>It would not be consistent with New Zealand’s international obligations to play its part in promoting cross-border safety.</w:t>
            </w:r>
          </w:p>
          <w:p w:rsidR="00B17048" w:rsidRPr="003A3E2B" w:rsidRDefault="00B17048" w:rsidP="003A3E2B">
            <w:pPr>
              <w:spacing w:after="0" w:line="240" w:lineRule="auto"/>
              <w:rPr>
                <w:rFonts w:eastAsia="Calibri" w:cs="Arial"/>
                <w:sz w:val="20"/>
                <w:szCs w:val="22"/>
                <w:lang w:val="en-NZ" w:eastAsia="en-US"/>
              </w:rPr>
            </w:pPr>
          </w:p>
        </w:tc>
      </w:tr>
      <w:tr w:rsidR="00B17048" w:rsidRPr="003A3E2B" w:rsidTr="00471AA4">
        <w:tc>
          <w:tcPr>
            <w:tcW w:w="1668" w:type="dxa"/>
            <w:shd w:val="clear" w:color="auto" w:fill="auto"/>
          </w:tcPr>
          <w:p w:rsidR="00B17048" w:rsidRPr="003A3E2B" w:rsidRDefault="00B17048"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Option 3 </w:t>
            </w:r>
            <w:r w:rsidR="00495157">
              <w:rPr>
                <w:rFonts w:eastAsia="Calibri" w:cs="Arial"/>
                <w:sz w:val="20"/>
                <w:szCs w:val="22"/>
                <w:lang w:val="en-NZ" w:eastAsia="en-US"/>
              </w:rPr>
              <w:t>-</w:t>
            </w:r>
          </w:p>
          <w:p w:rsidR="00B17048" w:rsidRPr="003A3E2B" w:rsidRDefault="00B17048" w:rsidP="003A3E2B">
            <w:pPr>
              <w:spacing w:after="0" w:line="240" w:lineRule="auto"/>
              <w:rPr>
                <w:rFonts w:eastAsia="Calibri" w:cs="Arial"/>
                <w:sz w:val="20"/>
                <w:szCs w:val="22"/>
                <w:lang w:val="en-NZ" w:eastAsia="en-US"/>
              </w:rPr>
            </w:pPr>
          </w:p>
          <w:p w:rsidR="00B17048" w:rsidRPr="003A3E2B" w:rsidRDefault="00B17048"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Minimalist regulation</w:t>
            </w:r>
          </w:p>
          <w:p w:rsidR="00B17048" w:rsidRPr="003A3E2B" w:rsidRDefault="00B17048" w:rsidP="003A3E2B">
            <w:pPr>
              <w:spacing w:after="0" w:line="240" w:lineRule="auto"/>
              <w:rPr>
                <w:rFonts w:eastAsia="Calibri" w:cs="Arial"/>
                <w:sz w:val="20"/>
                <w:szCs w:val="22"/>
                <w:lang w:val="en-NZ" w:eastAsia="en-US"/>
              </w:rPr>
            </w:pPr>
          </w:p>
          <w:p w:rsidR="00B17048" w:rsidRPr="003A3E2B" w:rsidRDefault="00B17048" w:rsidP="003A3E2B">
            <w:pPr>
              <w:spacing w:after="0" w:line="240" w:lineRule="auto"/>
              <w:rPr>
                <w:rFonts w:eastAsia="Calibri" w:cs="Arial"/>
                <w:sz w:val="20"/>
                <w:szCs w:val="22"/>
                <w:lang w:val="en-NZ" w:eastAsia="en-US"/>
              </w:rPr>
            </w:pPr>
          </w:p>
        </w:tc>
        <w:tc>
          <w:tcPr>
            <w:tcW w:w="2976" w:type="dxa"/>
            <w:shd w:val="clear" w:color="auto" w:fill="auto"/>
          </w:tcPr>
          <w:p w:rsidR="00B17048" w:rsidRPr="003A3E2B" w:rsidRDefault="00B17048"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A range of minimalist approaches are possible.  </w:t>
            </w:r>
          </w:p>
          <w:p w:rsidR="00FA7AAE" w:rsidRDefault="00FA7AAE" w:rsidP="00471AA4">
            <w:pPr>
              <w:spacing w:after="0" w:line="240" w:lineRule="auto"/>
              <w:rPr>
                <w:rFonts w:eastAsia="Calibri" w:cs="Arial"/>
                <w:sz w:val="20"/>
                <w:szCs w:val="22"/>
                <w:lang w:val="en-NZ" w:eastAsia="en-US"/>
              </w:rPr>
            </w:pPr>
          </w:p>
          <w:p w:rsidR="00B17048" w:rsidRPr="003A3E2B" w:rsidRDefault="00B17048"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One example would be for the regulator to focus on market monitoring and enforcement only (ie, no explicit pre-market approval process).  </w:t>
            </w:r>
          </w:p>
          <w:p w:rsidR="00B17048" w:rsidRDefault="00B17048" w:rsidP="00471AA4">
            <w:pPr>
              <w:spacing w:after="0" w:line="240" w:lineRule="auto"/>
              <w:rPr>
                <w:rFonts w:eastAsia="Calibri" w:cs="Arial"/>
                <w:sz w:val="20"/>
                <w:szCs w:val="22"/>
                <w:lang w:val="en-NZ" w:eastAsia="en-US"/>
              </w:rPr>
            </w:pPr>
          </w:p>
          <w:p w:rsidR="00B17048" w:rsidRDefault="00B17048"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Under this option, the regulator would </w:t>
            </w:r>
            <w:r w:rsidR="00202FA1">
              <w:rPr>
                <w:rFonts w:eastAsia="Calibri" w:cs="Arial"/>
                <w:sz w:val="20"/>
                <w:szCs w:val="22"/>
                <w:lang w:val="en-NZ" w:eastAsia="en-US"/>
              </w:rPr>
              <w:t xml:space="preserve">probably accept the decisions of other regulators without an assessment.  It would only </w:t>
            </w:r>
            <w:r w:rsidRPr="003A3E2B">
              <w:rPr>
                <w:rFonts w:eastAsia="Calibri" w:cs="Arial"/>
                <w:sz w:val="20"/>
                <w:szCs w:val="22"/>
                <w:lang w:val="en-NZ" w:eastAsia="en-US"/>
              </w:rPr>
              <w:t>monitor and take appropriate action in response to any concerns about products entering or in use in the New Zealand market.</w:t>
            </w:r>
          </w:p>
          <w:p w:rsidR="00B17048" w:rsidRDefault="00B17048" w:rsidP="00FA7AAE">
            <w:pPr>
              <w:spacing w:after="0" w:line="240" w:lineRule="auto"/>
              <w:rPr>
                <w:rFonts w:eastAsia="Calibri" w:cs="Arial"/>
                <w:sz w:val="20"/>
                <w:szCs w:val="22"/>
                <w:lang w:val="en-NZ" w:eastAsia="en-US"/>
              </w:rPr>
            </w:pPr>
          </w:p>
        </w:tc>
        <w:tc>
          <w:tcPr>
            <w:tcW w:w="4372" w:type="dxa"/>
            <w:shd w:val="clear" w:color="auto" w:fill="auto"/>
          </w:tcPr>
          <w:p w:rsidR="00B17048" w:rsidRDefault="00E028F9" w:rsidP="00B66942">
            <w:pPr>
              <w:numPr>
                <w:ilvl w:val="0"/>
                <w:numId w:val="30"/>
              </w:numPr>
              <w:spacing w:after="0" w:line="240" w:lineRule="auto"/>
              <w:rPr>
                <w:rFonts w:eastAsia="Calibri" w:cs="Arial"/>
                <w:sz w:val="20"/>
                <w:szCs w:val="22"/>
                <w:lang w:val="en-NZ" w:eastAsia="en-US"/>
              </w:rPr>
            </w:pPr>
            <w:r>
              <w:rPr>
                <w:rFonts w:eastAsia="Calibri" w:cs="Arial"/>
                <w:sz w:val="20"/>
                <w:szCs w:val="22"/>
                <w:lang w:val="en-NZ" w:eastAsia="en-US"/>
              </w:rPr>
              <w:t>This option represent</w:t>
            </w:r>
            <w:r w:rsidR="005A73AE">
              <w:rPr>
                <w:rFonts w:eastAsia="Calibri" w:cs="Arial"/>
                <w:sz w:val="20"/>
                <w:szCs w:val="22"/>
                <w:lang w:val="en-NZ" w:eastAsia="en-US"/>
              </w:rPr>
              <w:t>s</w:t>
            </w:r>
            <w:r>
              <w:rPr>
                <w:rFonts w:eastAsia="Calibri" w:cs="Arial"/>
                <w:sz w:val="20"/>
                <w:szCs w:val="22"/>
                <w:lang w:val="en-NZ" w:eastAsia="en-US"/>
              </w:rPr>
              <w:t xml:space="preserve"> a less extreme version of option 2 above, with corresponding impacts.</w:t>
            </w:r>
          </w:p>
          <w:p w:rsidR="00E028F9" w:rsidRDefault="00E028F9" w:rsidP="00471AA4">
            <w:pPr>
              <w:spacing w:after="0" w:line="240" w:lineRule="auto"/>
              <w:rPr>
                <w:rFonts w:eastAsia="Calibri" w:cs="Arial"/>
                <w:sz w:val="20"/>
                <w:szCs w:val="22"/>
                <w:lang w:val="en-NZ" w:eastAsia="en-US"/>
              </w:rPr>
            </w:pPr>
          </w:p>
          <w:p w:rsidR="00E028F9" w:rsidRDefault="00E028F9" w:rsidP="00B66942">
            <w:pPr>
              <w:numPr>
                <w:ilvl w:val="0"/>
                <w:numId w:val="29"/>
              </w:numPr>
              <w:spacing w:after="0" w:line="240" w:lineRule="auto"/>
              <w:ind w:left="360"/>
              <w:rPr>
                <w:rFonts w:eastAsia="Calibri" w:cs="Arial"/>
                <w:sz w:val="20"/>
                <w:szCs w:val="22"/>
                <w:lang w:val="en-NZ" w:eastAsia="en-US"/>
              </w:rPr>
            </w:pPr>
            <w:r>
              <w:rPr>
                <w:rFonts w:eastAsia="Calibri" w:cs="Arial"/>
                <w:sz w:val="20"/>
                <w:szCs w:val="22"/>
                <w:lang w:val="en-NZ" w:eastAsia="en-US"/>
              </w:rPr>
              <w:t>In particular, while cost and access objectives may be met, risk management objectives and public expectations of safety are less likely to be consistently met. On occasion post-market action will be too late to prevent serious adverse outcomes.</w:t>
            </w:r>
          </w:p>
          <w:p w:rsidR="00202FA1" w:rsidRDefault="00202FA1" w:rsidP="00202FA1">
            <w:pPr>
              <w:spacing w:after="0" w:line="240" w:lineRule="auto"/>
              <w:rPr>
                <w:rFonts w:eastAsia="Calibri" w:cs="Arial"/>
                <w:sz w:val="20"/>
                <w:szCs w:val="22"/>
                <w:lang w:val="en-NZ" w:eastAsia="en-US"/>
              </w:rPr>
            </w:pPr>
          </w:p>
          <w:p w:rsidR="00202FA1" w:rsidRDefault="00202FA1" w:rsidP="00B66942">
            <w:pPr>
              <w:numPr>
                <w:ilvl w:val="0"/>
                <w:numId w:val="52"/>
              </w:numPr>
              <w:spacing w:after="0" w:line="240" w:lineRule="auto"/>
              <w:rPr>
                <w:rFonts w:eastAsia="Calibri" w:cs="Arial"/>
                <w:sz w:val="20"/>
                <w:szCs w:val="22"/>
                <w:lang w:val="en-NZ" w:eastAsia="en-US"/>
              </w:rPr>
            </w:pPr>
            <w:r>
              <w:rPr>
                <w:rFonts w:eastAsia="Calibri" w:cs="Arial"/>
                <w:sz w:val="20"/>
                <w:szCs w:val="22"/>
                <w:lang w:val="en-NZ" w:eastAsia="en-US"/>
              </w:rPr>
              <w:t>New Zealand would not have a credible regulator that could participate in the international arena.  Nor would it enjoy the benefits of WHO co-operation</w:t>
            </w:r>
            <w:r w:rsidR="005A73AE">
              <w:rPr>
                <w:rFonts w:eastAsia="Calibri" w:cs="Arial"/>
                <w:sz w:val="20"/>
                <w:szCs w:val="22"/>
                <w:lang w:val="en-NZ" w:eastAsia="en-US"/>
              </w:rPr>
              <w:t xml:space="preserve"> (</w:t>
            </w:r>
            <w:proofErr w:type="spellStart"/>
            <w:r w:rsidR="005A73AE">
              <w:rPr>
                <w:rFonts w:eastAsia="Calibri" w:cs="Arial"/>
                <w:sz w:val="20"/>
                <w:szCs w:val="22"/>
                <w:lang w:val="en-NZ" w:eastAsia="en-US"/>
              </w:rPr>
              <w:t>eg</w:t>
            </w:r>
            <w:proofErr w:type="spellEnd"/>
            <w:r w:rsidR="005A73AE">
              <w:rPr>
                <w:rFonts w:eastAsia="Calibri" w:cs="Arial"/>
                <w:sz w:val="20"/>
                <w:szCs w:val="22"/>
                <w:lang w:val="en-NZ" w:eastAsia="en-US"/>
              </w:rPr>
              <w:t>, information sharing)</w:t>
            </w:r>
            <w:r>
              <w:rPr>
                <w:rFonts w:eastAsia="Calibri" w:cs="Arial"/>
                <w:sz w:val="20"/>
                <w:szCs w:val="22"/>
                <w:lang w:val="en-NZ" w:eastAsia="en-US"/>
              </w:rPr>
              <w:t>.</w:t>
            </w:r>
          </w:p>
          <w:p w:rsidR="00B17048" w:rsidRDefault="00B17048" w:rsidP="000225B4">
            <w:pPr>
              <w:spacing w:after="0" w:line="240" w:lineRule="auto"/>
              <w:ind w:left="360"/>
              <w:rPr>
                <w:rFonts w:eastAsia="Calibri" w:cs="Arial"/>
                <w:sz w:val="20"/>
                <w:szCs w:val="22"/>
                <w:lang w:val="en-NZ" w:eastAsia="en-US"/>
              </w:rPr>
            </w:pPr>
          </w:p>
          <w:p w:rsidR="00B17048" w:rsidRDefault="00B17048" w:rsidP="00B66942">
            <w:pPr>
              <w:numPr>
                <w:ilvl w:val="0"/>
                <w:numId w:val="28"/>
              </w:numPr>
              <w:spacing w:after="0" w:line="240" w:lineRule="auto"/>
              <w:ind w:left="360"/>
              <w:rPr>
                <w:rFonts w:eastAsia="Calibri" w:cs="Arial"/>
                <w:sz w:val="20"/>
                <w:szCs w:val="22"/>
                <w:lang w:val="en-NZ" w:eastAsia="en-US"/>
              </w:rPr>
            </w:pPr>
            <w:r>
              <w:rPr>
                <w:rFonts w:eastAsia="Calibri" w:cs="Arial"/>
                <w:sz w:val="20"/>
                <w:szCs w:val="22"/>
                <w:lang w:val="en-NZ" w:eastAsia="en-US"/>
              </w:rPr>
              <w:t>As above,</w:t>
            </w:r>
            <w:r w:rsidR="000421DF">
              <w:rPr>
                <w:rFonts w:eastAsia="Calibri" w:cs="Arial"/>
                <w:sz w:val="20"/>
                <w:szCs w:val="22"/>
                <w:lang w:val="en-NZ" w:eastAsia="en-US"/>
              </w:rPr>
              <w:t xml:space="preserve"> this </w:t>
            </w:r>
            <w:r w:rsidR="00F74A94">
              <w:rPr>
                <w:rFonts w:eastAsia="Calibri" w:cs="Arial"/>
                <w:sz w:val="20"/>
                <w:szCs w:val="22"/>
                <w:lang w:val="en-NZ" w:eastAsia="en-US"/>
              </w:rPr>
              <w:t xml:space="preserve">would </w:t>
            </w:r>
            <w:r>
              <w:rPr>
                <w:rFonts w:eastAsia="Calibri" w:cs="Arial"/>
                <w:sz w:val="20"/>
                <w:szCs w:val="22"/>
                <w:lang w:val="en-NZ" w:eastAsia="en-US"/>
              </w:rPr>
              <w:t>not be consistent with New Zealand’s international obligations to play its part in promoting cross-border safety.</w:t>
            </w:r>
          </w:p>
          <w:p w:rsidR="0008116C" w:rsidRPr="00997BE2" w:rsidRDefault="0008116C" w:rsidP="0008116C">
            <w:pPr>
              <w:spacing w:after="0" w:line="240" w:lineRule="auto"/>
              <w:ind w:left="360"/>
              <w:rPr>
                <w:rFonts w:eastAsia="Calibri" w:cs="Arial"/>
                <w:sz w:val="20"/>
                <w:szCs w:val="22"/>
                <w:lang w:val="en-NZ" w:eastAsia="en-US"/>
              </w:rPr>
            </w:pPr>
          </w:p>
        </w:tc>
      </w:tr>
    </w:tbl>
    <w:p w:rsidR="00B74A60" w:rsidRPr="00B74A60" w:rsidRDefault="00B74A60" w:rsidP="00B74A60">
      <w:pPr>
        <w:spacing w:after="0" w:line="240" w:lineRule="auto"/>
        <w:rPr>
          <w:rFonts w:eastAsia="Calibri" w:cs="Arial"/>
          <w:szCs w:val="22"/>
          <w:lang w:val="en-NZ" w:eastAsia="en-US"/>
        </w:rPr>
      </w:pPr>
    </w:p>
    <w:p w:rsidR="0023297A" w:rsidRPr="00E440A3" w:rsidRDefault="0023297A" w:rsidP="00E440A3">
      <w:pPr>
        <w:pStyle w:val="BodyText"/>
        <w:rPr>
          <w:rFonts w:eastAsia="Calibri" w:cs="Arial"/>
          <w:szCs w:val="22"/>
          <w:lang w:val="en-NZ"/>
        </w:rPr>
      </w:pPr>
      <w:r w:rsidRPr="00E440A3">
        <w:rPr>
          <w:rFonts w:eastAsia="Calibri"/>
        </w:rPr>
        <w:t>The issues discussed below address whether the current approach to therapeutic product regulation, and the current settings, are fit for purpose or whether there are options for improving the operation and effectiveness of the regime.</w:t>
      </w:r>
    </w:p>
    <w:p w:rsidR="00B74A60" w:rsidRPr="00830E17" w:rsidRDefault="00B74A60" w:rsidP="00830E17">
      <w:pPr>
        <w:pStyle w:val="Heading5"/>
        <w:rPr>
          <w:rFonts w:eastAsia="Calibri"/>
          <w:b/>
          <w:i w:val="0"/>
          <w:lang w:val="en-NZ" w:eastAsia="en-US"/>
        </w:rPr>
      </w:pPr>
      <w:r w:rsidRPr="00830E17">
        <w:rPr>
          <w:rFonts w:eastAsia="Calibri"/>
          <w:b/>
          <w:i w:val="0"/>
          <w:lang w:val="en-NZ" w:eastAsia="en-US"/>
        </w:rPr>
        <w:t>Issue 2: Stand-alone versus joint regulation</w:t>
      </w:r>
    </w:p>
    <w:p w:rsidR="00B74A60" w:rsidRPr="00B74A60" w:rsidRDefault="00B74A60" w:rsidP="00B74A60">
      <w:pPr>
        <w:spacing w:after="0" w:line="240" w:lineRule="auto"/>
        <w:rPr>
          <w:rFonts w:eastAsia="Calibri" w:cs="Arial"/>
          <w:szCs w:val="22"/>
          <w:lang w:val="en-NZ" w:eastAsia="en-US"/>
        </w:rPr>
      </w:pPr>
    </w:p>
    <w:p w:rsidR="00B74A60" w:rsidRPr="00B74A60" w:rsidRDefault="00B74A60" w:rsidP="00E440A3">
      <w:pPr>
        <w:pStyle w:val="BodyText"/>
        <w:rPr>
          <w:rFonts w:eastAsia="Calibri"/>
        </w:rPr>
      </w:pPr>
      <w:r w:rsidRPr="00B74A60">
        <w:rPr>
          <w:rFonts w:eastAsia="Calibri"/>
        </w:rPr>
        <w:t>The regulation of therapeutic products may be undertaken by New Zealand:</w:t>
      </w:r>
    </w:p>
    <w:p w:rsidR="00B74A60" w:rsidRPr="00B74A60" w:rsidRDefault="00B74A60" w:rsidP="00E440A3">
      <w:pPr>
        <w:pStyle w:val="BodyText2"/>
        <w:rPr>
          <w:rFonts w:eastAsia="Calibri"/>
        </w:rPr>
      </w:pPr>
      <w:r w:rsidRPr="00B74A60">
        <w:rPr>
          <w:rFonts w:eastAsia="Calibri"/>
        </w:rPr>
        <w:t>on a stand-alone basis (</w:t>
      </w:r>
      <w:proofErr w:type="spellStart"/>
      <w:r w:rsidRPr="00B74A60">
        <w:rPr>
          <w:rFonts w:eastAsia="Calibri"/>
        </w:rPr>
        <w:t>ie</w:t>
      </w:r>
      <w:proofErr w:type="spellEnd"/>
      <w:r w:rsidRPr="00B74A60">
        <w:rPr>
          <w:rFonts w:eastAsia="Calibri"/>
        </w:rPr>
        <w:t>, as a distinc</w:t>
      </w:r>
      <w:r w:rsidR="0024130F">
        <w:rPr>
          <w:rFonts w:eastAsia="Calibri"/>
        </w:rPr>
        <w:t>t, domestic New Zealand regime),</w:t>
      </w:r>
      <w:r w:rsidRPr="00B74A60">
        <w:rPr>
          <w:rFonts w:eastAsia="Calibri"/>
        </w:rPr>
        <w:t xml:space="preserve"> or </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on</w:t>
      </w:r>
      <w:proofErr w:type="gramEnd"/>
      <w:r w:rsidRPr="00B74A60">
        <w:rPr>
          <w:rFonts w:eastAsia="Calibri"/>
          <w:lang w:val="en-NZ" w:eastAsia="en-US"/>
        </w:rPr>
        <w:t xml:space="preserve"> a joint basis with another country or countries.</w:t>
      </w:r>
    </w:p>
    <w:p w:rsidR="00B74A60" w:rsidRPr="00B74A60" w:rsidRDefault="00B74A60" w:rsidP="00E440A3">
      <w:pPr>
        <w:pStyle w:val="BodyText"/>
        <w:rPr>
          <w:rFonts w:eastAsia="Calibri"/>
        </w:rPr>
      </w:pPr>
      <w:r w:rsidRPr="00B74A60">
        <w:rPr>
          <w:rFonts w:eastAsia="Calibri"/>
        </w:rPr>
        <w:t xml:space="preserve">New Zealand has always operated a stand-alone regulatory regime for therapeutic products (as indeed it has for other areas subject to regulation).  </w:t>
      </w:r>
    </w:p>
    <w:p w:rsidR="00B74A60" w:rsidRPr="00B74A60" w:rsidRDefault="00B74A60" w:rsidP="00E440A3">
      <w:pPr>
        <w:pStyle w:val="BodyText"/>
        <w:rPr>
          <w:rFonts w:eastAsia="Calibri"/>
        </w:rPr>
      </w:pPr>
      <w:r w:rsidRPr="00B74A60">
        <w:rPr>
          <w:rFonts w:eastAsia="Calibri"/>
        </w:rPr>
        <w:t>During the last decade, however, the joint regulatory option has been considered actively as part of the Australia New Zealand Joint Therapeutics A</w:t>
      </w:r>
      <w:r w:rsidR="002D4EAA">
        <w:rPr>
          <w:rFonts w:eastAsia="Calibri"/>
        </w:rPr>
        <w:t>gency</w:t>
      </w:r>
      <w:r w:rsidRPr="00B74A60">
        <w:rPr>
          <w:rFonts w:eastAsia="Calibri"/>
        </w:rPr>
        <w:t xml:space="preserve"> (ANZTPA) project.</w:t>
      </w:r>
      <w:r w:rsidR="002E7EF9">
        <w:rPr>
          <w:rFonts w:eastAsia="Calibri"/>
        </w:rPr>
        <w:t xml:space="preserve">  It was progressed almost to the point of implementation.</w:t>
      </w:r>
    </w:p>
    <w:p w:rsidR="00B74A60" w:rsidRPr="00B74A60" w:rsidRDefault="008B16BE" w:rsidP="00E440A3">
      <w:pPr>
        <w:pStyle w:val="BodyText"/>
        <w:rPr>
          <w:rFonts w:eastAsia="Calibri"/>
        </w:rPr>
      </w:pPr>
      <w:r w:rsidRPr="0024130F">
        <w:rPr>
          <w:rFonts w:eastAsia="Calibri"/>
        </w:rPr>
        <w:t>In addition to addressing the problems identified</w:t>
      </w:r>
      <w:r>
        <w:rPr>
          <w:rFonts w:eastAsia="Calibri"/>
        </w:rPr>
        <w:t xml:space="preserve">, </w:t>
      </w:r>
      <w:r w:rsidR="00B74A60" w:rsidRPr="00B74A60">
        <w:rPr>
          <w:rFonts w:eastAsia="Calibri"/>
        </w:rPr>
        <w:t>a joint approach w</w:t>
      </w:r>
      <w:r w:rsidR="006D5627">
        <w:rPr>
          <w:rFonts w:eastAsia="Calibri"/>
        </w:rPr>
        <w:t xml:space="preserve">as </w:t>
      </w:r>
      <w:r w:rsidR="00B74A60" w:rsidRPr="00B74A60">
        <w:rPr>
          <w:rFonts w:eastAsia="Calibri"/>
        </w:rPr>
        <w:t xml:space="preserve">perceived to </w:t>
      </w:r>
      <w:r w:rsidR="006D5627">
        <w:rPr>
          <w:rFonts w:eastAsia="Calibri"/>
        </w:rPr>
        <w:t>have the potential to deliver other benefits</w:t>
      </w:r>
      <w:r w:rsidR="00B74A60" w:rsidRPr="00B74A60">
        <w:rPr>
          <w:rFonts w:eastAsia="Calibri"/>
        </w:rPr>
        <w:t xml:space="preserve">: </w:t>
      </w:r>
    </w:p>
    <w:p w:rsidR="00B74A60" w:rsidRPr="00B74A60" w:rsidRDefault="00B74A60" w:rsidP="00E440A3">
      <w:pPr>
        <w:pStyle w:val="BodyText2"/>
        <w:rPr>
          <w:rFonts w:eastAsia="Calibri"/>
          <w:lang w:val="en-NZ" w:eastAsia="en-US"/>
        </w:rPr>
      </w:pPr>
      <w:r w:rsidRPr="00B74A60">
        <w:rPr>
          <w:rFonts w:eastAsia="Calibri"/>
          <w:lang w:val="en-NZ" w:eastAsia="en-US"/>
        </w:rPr>
        <w:t>regulatory capacity – as a small country there would be benefits for New Zealand, in terms of domestic regulation as wel</w:t>
      </w:r>
      <w:r w:rsidR="0024130F">
        <w:rPr>
          <w:rFonts w:eastAsia="Calibri"/>
          <w:lang w:val="en-NZ" w:eastAsia="en-US"/>
        </w:rPr>
        <w:t>l as international co-operation</w:t>
      </w:r>
    </w:p>
    <w:p w:rsidR="00B74A60" w:rsidRPr="00B74A60" w:rsidRDefault="00B74A60" w:rsidP="00E440A3">
      <w:pPr>
        <w:pStyle w:val="BodyText2"/>
        <w:rPr>
          <w:rFonts w:eastAsia="Calibri"/>
          <w:lang w:val="en-NZ" w:eastAsia="en-US"/>
        </w:rPr>
      </w:pPr>
      <w:r w:rsidRPr="00B74A60">
        <w:rPr>
          <w:rFonts w:eastAsia="Calibri"/>
          <w:lang w:val="en-NZ" w:eastAsia="en-US"/>
        </w:rPr>
        <w:t>reduced costs for industry - through common definitions, classifications and processes for gaining approval and marketing products in either country</w:t>
      </w:r>
      <w:r w:rsidR="0081425E">
        <w:rPr>
          <w:rFonts w:eastAsia="Calibri"/>
          <w:lang w:val="en-NZ" w:eastAsia="en-US"/>
        </w:rPr>
        <w:t xml:space="preserve"> (a single market)</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greater</w:t>
      </w:r>
      <w:proofErr w:type="gramEnd"/>
      <w:r w:rsidRPr="00B74A60">
        <w:rPr>
          <w:rFonts w:eastAsia="Calibri"/>
          <w:lang w:val="en-NZ" w:eastAsia="en-US"/>
        </w:rPr>
        <w:t xml:space="preserve"> regional alignment and co-operation - with potential benefits for wider economic and trade development.</w:t>
      </w:r>
    </w:p>
    <w:p w:rsidR="00B74A60" w:rsidRPr="0024130F" w:rsidRDefault="00B74A60" w:rsidP="00E259B0">
      <w:pPr>
        <w:pStyle w:val="BodyText"/>
        <w:rPr>
          <w:rFonts w:eastAsia="Calibri"/>
        </w:rPr>
      </w:pPr>
      <w:r w:rsidRPr="0024130F">
        <w:rPr>
          <w:rFonts w:eastAsia="Calibri"/>
        </w:rPr>
        <w:t xml:space="preserve">A review was undertaken of the merits of the joint approach in May 2014 by the respective Departments </w:t>
      </w:r>
      <w:r w:rsidR="00202FA1" w:rsidRPr="0024130F">
        <w:rPr>
          <w:rFonts w:eastAsia="Calibri"/>
        </w:rPr>
        <w:t xml:space="preserve">of Prime Minister and Cabinet. </w:t>
      </w:r>
      <w:r w:rsidRPr="0024130F">
        <w:rPr>
          <w:rFonts w:eastAsia="Calibri"/>
        </w:rPr>
        <w:t xml:space="preserve">As a result of that review, Cabinet noted that the Prime Ministers of Australia and New Zealand agreed that the project to establish ANZTPA should cease (CAB Min (14) 36/22 of 17 November 2014).  </w:t>
      </w:r>
    </w:p>
    <w:p w:rsidR="00B74A60" w:rsidRPr="00B74A60" w:rsidRDefault="00B74A60" w:rsidP="00E440A3">
      <w:pPr>
        <w:pStyle w:val="BodyText"/>
        <w:rPr>
          <w:rFonts w:eastAsia="Calibri"/>
        </w:rPr>
      </w:pPr>
      <w:r w:rsidRPr="00B74A60">
        <w:rPr>
          <w:rFonts w:eastAsia="Calibri"/>
        </w:rPr>
        <w:t>At that meeting, Cabinet also noted that the Australian and New Zealand Health Ministers agreed that each country’s therapeutic regulators would continue to co-operate where there are mutual benefits to be gained.</w:t>
      </w:r>
    </w:p>
    <w:p w:rsidR="00B74A60" w:rsidRPr="00B74A60" w:rsidRDefault="00B74A60" w:rsidP="00E440A3">
      <w:pPr>
        <w:pStyle w:val="BodyText"/>
        <w:rPr>
          <w:rFonts w:eastAsia="Calibri"/>
        </w:rPr>
      </w:pPr>
      <w:r w:rsidRPr="00B74A60">
        <w:rPr>
          <w:rFonts w:eastAsia="Calibri"/>
        </w:rPr>
        <w:t>It is difficult to identify an alternative joint regulatory partner other than Australia with whom a joint approach would be a feasible or prac</w:t>
      </w:r>
      <w:r w:rsidR="0024130F">
        <w:rPr>
          <w:rFonts w:eastAsia="Calibri"/>
        </w:rPr>
        <w:t xml:space="preserve">tical option for New Zealand.  </w:t>
      </w:r>
      <w:r w:rsidRPr="00B74A60">
        <w:rPr>
          <w:rFonts w:eastAsia="Calibri"/>
        </w:rPr>
        <w:t>The ANZTPA option was able to be explored because Australia and New Zealand have close cultural and economic ties</w:t>
      </w:r>
      <w:r w:rsidR="002E7EF9">
        <w:rPr>
          <w:rFonts w:eastAsia="Calibri"/>
        </w:rPr>
        <w:t>, and because of the Trans-Tasm</w:t>
      </w:r>
      <w:r w:rsidR="0024130F">
        <w:rPr>
          <w:rFonts w:eastAsia="Calibri"/>
        </w:rPr>
        <w:t>an Mutual Recognition Agreement</w:t>
      </w:r>
      <w:r w:rsidRPr="00B74A60">
        <w:rPr>
          <w:rFonts w:eastAsia="Calibri"/>
        </w:rPr>
        <w:t>.</w:t>
      </w:r>
    </w:p>
    <w:p w:rsidR="00B74A60" w:rsidRDefault="00927551" w:rsidP="00E440A3">
      <w:pPr>
        <w:pStyle w:val="BodyText"/>
        <w:rPr>
          <w:rFonts w:eastAsia="Calibri"/>
        </w:rPr>
      </w:pPr>
      <w:r>
        <w:rPr>
          <w:rFonts w:eastAsia="Calibri"/>
        </w:rPr>
        <w:t xml:space="preserve">A further option might be a combined approach with PHARMAC </w:t>
      </w:r>
      <w:r w:rsidR="002E7EF9">
        <w:rPr>
          <w:rFonts w:eastAsia="Calibri"/>
        </w:rPr>
        <w:t xml:space="preserve">in order to leverage </w:t>
      </w:r>
      <w:r>
        <w:rPr>
          <w:rFonts w:eastAsia="Calibri"/>
        </w:rPr>
        <w:t xml:space="preserve">capacity. This might </w:t>
      </w:r>
      <w:r w:rsidR="00D11619">
        <w:rPr>
          <w:rFonts w:eastAsia="Calibri"/>
        </w:rPr>
        <w:t xml:space="preserve">be </w:t>
      </w:r>
      <w:r>
        <w:rPr>
          <w:rFonts w:eastAsia="Calibri"/>
        </w:rPr>
        <w:t>an issue to consider in further reporting on institutional form</w:t>
      </w:r>
      <w:r w:rsidR="004D6C29">
        <w:rPr>
          <w:rFonts w:eastAsia="Calibri"/>
        </w:rPr>
        <w:t xml:space="preserve">. A particular issue would </w:t>
      </w:r>
      <w:r>
        <w:rPr>
          <w:rFonts w:eastAsia="Calibri"/>
        </w:rPr>
        <w:t xml:space="preserve">the merits of </w:t>
      </w:r>
      <w:r w:rsidR="004D6C29">
        <w:rPr>
          <w:rFonts w:eastAsia="Calibri"/>
        </w:rPr>
        <w:t xml:space="preserve">having </w:t>
      </w:r>
      <w:r>
        <w:rPr>
          <w:rFonts w:eastAsia="Calibri"/>
        </w:rPr>
        <w:t>agencies with different objectives (</w:t>
      </w:r>
      <w:r w:rsidR="004D6C29">
        <w:rPr>
          <w:rFonts w:eastAsia="Calibri"/>
        </w:rPr>
        <w:t xml:space="preserve">or </w:t>
      </w:r>
      <w:r>
        <w:rPr>
          <w:rFonts w:eastAsia="Calibri"/>
        </w:rPr>
        <w:t>potentially conflicting objectives)</w:t>
      </w:r>
      <w:r w:rsidR="004D6C29">
        <w:rPr>
          <w:rFonts w:eastAsia="Calibri"/>
        </w:rPr>
        <w:t xml:space="preserve"> under the one administrative umbrella</w:t>
      </w:r>
      <w:r>
        <w:rPr>
          <w:rFonts w:eastAsia="Calibri"/>
        </w:rPr>
        <w:t>.</w:t>
      </w:r>
    </w:p>
    <w:p w:rsidR="008F7631" w:rsidRDefault="008F7631" w:rsidP="00B74A60">
      <w:pPr>
        <w:spacing w:after="0" w:line="240" w:lineRule="auto"/>
        <w:rPr>
          <w:rFonts w:eastAsia="Calibri" w:cs="Arial"/>
          <w:szCs w:val="22"/>
          <w:lang w:val="en-NZ" w:eastAsia="en-US"/>
        </w:rPr>
      </w:pPr>
    </w:p>
    <w:p w:rsidR="0024130F" w:rsidRDefault="0024130F" w:rsidP="00B74A60">
      <w:pPr>
        <w:spacing w:after="0" w:line="240" w:lineRule="auto"/>
        <w:rPr>
          <w:rFonts w:eastAsia="Calibri" w:cs="Arial"/>
          <w:szCs w:val="22"/>
          <w:lang w:val="en-NZ" w:eastAsia="en-US"/>
        </w:rPr>
      </w:pPr>
    </w:p>
    <w:p w:rsidR="0024130F" w:rsidRDefault="0024130F" w:rsidP="00B74A60">
      <w:pPr>
        <w:spacing w:after="0" w:line="240" w:lineRule="auto"/>
        <w:rPr>
          <w:rFonts w:eastAsia="Calibri" w:cs="Arial"/>
          <w:szCs w:val="22"/>
          <w:lang w:val="en-NZ" w:eastAsia="en-US"/>
        </w:rPr>
      </w:pPr>
    </w:p>
    <w:p w:rsidR="0024130F" w:rsidRDefault="0024130F" w:rsidP="00B74A60">
      <w:pPr>
        <w:spacing w:after="0" w:line="240" w:lineRule="auto"/>
        <w:rPr>
          <w:rFonts w:eastAsia="Calibri" w:cs="Arial"/>
          <w:szCs w:val="22"/>
          <w:lang w:val="en-NZ" w:eastAsia="en-US"/>
        </w:rPr>
      </w:pPr>
    </w:p>
    <w:p w:rsidR="0024130F" w:rsidRDefault="0024130F" w:rsidP="00B74A60">
      <w:pPr>
        <w:spacing w:after="0" w:line="240" w:lineRule="auto"/>
        <w:rPr>
          <w:rFonts w:eastAsia="Calibri" w:cs="Arial"/>
          <w:szCs w:val="22"/>
          <w:lang w:val="en-NZ" w:eastAsia="en-US"/>
        </w:rPr>
      </w:pPr>
    </w:p>
    <w:p w:rsidR="0024130F" w:rsidRPr="00B74A60" w:rsidRDefault="0024130F" w:rsidP="00B74A60">
      <w:pPr>
        <w:spacing w:after="0" w:line="240" w:lineRule="auto"/>
        <w:rPr>
          <w:rFonts w:eastAsia="Calibri" w:cs="Arial"/>
          <w:szCs w:val="22"/>
          <w:lang w:val="en-N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118"/>
        <w:gridCol w:w="4372"/>
      </w:tblGrid>
      <w:tr w:rsidR="00B74A60" w:rsidRPr="003A3E2B" w:rsidTr="00747CD2">
        <w:trPr>
          <w:tblHeader/>
        </w:trPr>
        <w:tc>
          <w:tcPr>
            <w:tcW w:w="9016" w:type="dxa"/>
            <w:gridSpan w:val="3"/>
            <w:shd w:val="clear" w:color="auto" w:fill="DEEAF6"/>
          </w:tcPr>
          <w:p w:rsidR="00B74A60" w:rsidRPr="003A3E2B" w:rsidRDefault="00B74A60" w:rsidP="003A3E2B">
            <w:pPr>
              <w:spacing w:after="0" w:line="240" w:lineRule="auto"/>
              <w:rPr>
                <w:rFonts w:eastAsia="Calibri" w:cs="Arial"/>
                <w:b/>
                <w:szCs w:val="22"/>
                <w:lang w:val="en-NZ" w:eastAsia="en-US"/>
              </w:rPr>
            </w:pPr>
            <w:r w:rsidRPr="003A3E2B">
              <w:rPr>
                <w:rFonts w:eastAsia="Calibri" w:cs="Arial"/>
                <w:b/>
                <w:szCs w:val="22"/>
                <w:lang w:val="en-NZ" w:eastAsia="en-US"/>
              </w:rPr>
              <w:t>Stand-alone versus joint regulation: options and impacts</w:t>
            </w:r>
          </w:p>
          <w:p w:rsidR="00B74A60" w:rsidRPr="003A3E2B" w:rsidRDefault="00B74A60" w:rsidP="003A3E2B">
            <w:pPr>
              <w:spacing w:after="0" w:line="240" w:lineRule="auto"/>
              <w:rPr>
                <w:rFonts w:eastAsia="Calibri" w:cs="Arial"/>
                <w:szCs w:val="22"/>
                <w:lang w:val="en-NZ" w:eastAsia="en-US"/>
              </w:rPr>
            </w:pPr>
          </w:p>
        </w:tc>
      </w:tr>
      <w:tr w:rsidR="00393196" w:rsidRPr="003A3E2B" w:rsidTr="00747CD2">
        <w:trPr>
          <w:tblHeader/>
        </w:trPr>
        <w:tc>
          <w:tcPr>
            <w:tcW w:w="1526" w:type="dxa"/>
            <w:shd w:val="clear" w:color="auto" w:fill="DEEAF6"/>
          </w:tcPr>
          <w:p w:rsidR="00393196" w:rsidRPr="003A3E2B" w:rsidRDefault="00393196" w:rsidP="003A3E2B">
            <w:pPr>
              <w:spacing w:after="0" w:line="240" w:lineRule="auto"/>
              <w:jc w:val="center"/>
              <w:rPr>
                <w:rFonts w:eastAsia="Calibri" w:cs="Arial"/>
                <w:i/>
                <w:szCs w:val="22"/>
                <w:lang w:val="en-NZ" w:eastAsia="en-US"/>
              </w:rPr>
            </w:pPr>
            <w:r w:rsidRPr="003A3E2B">
              <w:rPr>
                <w:rFonts w:eastAsia="Calibri" w:cs="Arial"/>
                <w:i/>
                <w:szCs w:val="22"/>
                <w:lang w:val="en-NZ" w:eastAsia="en-US"/>
              </w:rPr>
              <w:t>Options</w:t>
            </w:r>
          </w:p>
          <w:p w:rsidR="00393196" w:rsidRPr="003A3E2B" w:rsidRDefault="00393196" w:rsidP="003A3E2B">
            <w:pPr>
              <w:spacing w:after="0" w:line="240" w:lineRule="auto"/>
              <w:jc w:val="center"/>
              <w:rPr>
                <w:rFonts w:eastAsia="Calibri" w:cs="Arial"/>
                <w:i/>
                <w:szCs w:val="22"/>
                <w:lang w:val="en-NZ" w:eastAsia="en-US"/>
              </w:rPr>
            </w:pPr>
          </w:p>
        </w:tc>
        <w:tc>
          <w:tcPr>
            <w:tcW w:w="3118" w:type="dxa"/>
            <w:shd w:val="clear" w:color="auto" w:fill="DEEAF6"/>
          </w:tcPr>
          <w:p w:rsidR="00393196" w:rsidRPr="003A3E2B" w:rsidRDefault="00393196" w:rsidP="003A3E2B">
            <w:pPr>
              <w:spacing w:after="0" w:line="240" w:lineRule="auto"/>
              <w:jc w:val="center"/>
              <w:rPr>
                <w:rFonts w:eastAsia="Calibri" w:cs="Arial"/>
                <w:i/>
                <w:szCs w:val="22"/>
                <w:lang w:val="en-NZ" w:eastAsia="en-US"/>
              </w:rPr>
            </w:pPr>
            <w:r>
              <w:rPr>
                <w:rFonts w:eastAsia="Calibri" w:cs="Arial"/>
                <w:i/>
                <w:szCs w:val="22"/>
                <w:lang w:val="en-NZ" w:eastAsia="en-US"/>
              </w:rPr>
              <w:t>Description</w:t>
            </w:r>
          </w:p>
        </w:tc>
        <w:tc>
          <w:tcPr>
            <w:tcW w:w="4372" w:type="dxa"/>
            <w:shd w:val="clear" w:color="auto" w:fill="DEEAF6"/>
          </w:tcPr>
          <w:p w:rsidR="00393196" w:rsidRPr="003A3E2B" w:rsidRDefault="00393196" w:rsidP="003A3E2B">
            <w:pPr>
              <w:spacing w:after="0" w:line="240" w:lineRule="auto"/>
              <w:jc w:val="center"/>
              <w:rPr>
                <w:rFonts w:eastAsia="Calibri" w:cs="Arial"/>
                <w:i/>
                <w:szCs w:val="22"/>
                <w:lang w:val="en-NZ" w:eastAsia="en-US"/>
              </w:rPr>
            </w:pPr>
            <w:r>
              <w:rPr>
                <w:rFonts w:eastAsia="Calibri" w:cs="Arial"/>
                <w:i/>
                <w:szCs w:val="22"/>
                <w:lang w:val="en-NZ" w:eastAsia="en-US"/>
              </w:rPr>
              <w:t>Impacts</w:t>
            </w:r>
          </w:p>
        </w:tc>
      </w:tr>
      <w:tr w:rsidR="00393196" w:rsidRPr="003A3E2B" w:rsidTr="00471AA4">
        <w:tc>
          <w:tcPr>
            <w:tcW w:w="1526" w:type="dxa"/>
            <w:shd w:val="clear" w:color="auto" w:fill="auto"/>
          </w:tcPr>
          <w:p w:rsidR="00393196" w:rsidRPr="003A3E2B" w:rsidRDefault="00393196"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Status quo (preferred)</w:t>
            </w:r>
          </w:p>
          <w:p w:rsidR="00393196" w:rsidRPr="003A3E2B" w:rsidRDefault="00393196" w:rsidP="003A3E2B">
            <w:pPr>
              <w:spacing w:after="0" w:line="240" w:lineRule="auto"/>
              <w:rPr>
                <w:rFonts w:eastAsia="Calibri" w:cs="Arial"/>
                <w:sz w:val="20"/>
                <w:szCs w:val="22"/>
                <w:lang w:val="en-NZ" w:eastAsia="en-US"/>
              </w:rPr>
            </w:pPr>
          </w:p>
          <w:p w:rsidR="00393196" w:rsidRPr="003A3E2B" w:rsidRDefault="00393196" w:rsidP="003A3E2B">
            <w:pPr>
              <w:spacing w:after="0" w:line="240" w:lineRule="auto"/>
              <w:rPr>
                <w:rFonts w:eastAsia="Calibri" w:cs="Arial"/>
                <w:sz w:val="20"/>
                <w:szCs w:val="22"/>
                <w:lang w:val="en-NZ" w:eastAsia="en-US"/>
              </w:rPr>
            </w:pPr>
          </w:p>
          <w:p w:rsidR="00393196" w:rsidRPr="003A3E2B" w:rsidRDefault="00393196" w:rsidP="003A3E2B">
            <w:pPr>
              <w:spacing w:after="0" w:line="240" w:lineRule="auto"/>
              <w:rPr>
                <w:rFonts w:eastAsia="Calibri" w:cs="Arial"/>
                <w:sz w:val="20"/>
                <w:szCs w:val="22"/>
                <w:lang w:val="en-NZ" w:eastAsia="en-US"/>
              </w:rPr>
            </w:pPr>
          </w:p>
        </w:tc>
        <w:tc>
          <w:tcPr>
            <w:tcW w:w="3118" w:type="dxa"/>
            <w:shd w:val="clear" w:color="auto" w:fill="auto"/>
          </w:tcPr>
          <w:p w:rsidR="00393196" w:rsidRPr="003A3E2B" w:rsidRDefault="00393196"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Under the status quo, New Zealand would continue to develop its own domestic regulatory regime for therapeutic products.</w:t>
            </w:r>
          </w:p>
          <w:p w:rsidR="00393196" w:rsidRDefault="00393196" w:rsidP="00471AA4">
            <w:pPr>
              <w:spacing w:after="0" w:line="240" w:lineRule="auto"/>
              <w:rPr>
                <w:rFonts w:eastAsia="Calibri" w:cs="Arial"/>
                <w:sz w:val="20"/>
                <w:szCs w:val="22"/>
                <w:lang w:val="en-NZ" w:eastAsia="en-US"/>
              </w:rPr>
            </w:pPr>
          </w:p>
          <w:p w:rsidR="00393196" w:rsidRDefault="00393196" w:rsidP="00471AA4">
            <w:pPr>
              <w:spacing w:after="0" w:line="240" w:lineRule="auto"/>
              <w:rPr>
                <w:rFonts w:eastAsia="Calibri" w:cs="Arial"/>
                <w:sz w:val="20"/>
                <w:szCs w:val="22"/>
                <w:lang w:val="en-NZ" w:eastAsia="en-US"/>
              </w:rPr>
            </w:pPr>
          </w:p>
          <w:p w:rsidR="00393196" w:rsidRDefault="00393196" w:rsidP="00471AA4">
            <w:pPr>
              <w:spacing w:after="0" w:line="240" w:lineRule="auto"/>
              <w:rPr>
                <w:rFonts w:eastAsia="Calibri" w:cs="Arial"/>
                <w:sz w:val="20"/>
                <w:szCs w:val="22"/>
                <w:lang w:val="en-NZ" w:eastAsia="en-US"/>
              </w:rPr>
            </w:pPr>
          </w:p>
          <w:p w:rsidR="00393196" w:rsidRDefault="00393196" w:rsidP="00471AA4">
            <w:pPr>
              <w:spacing w:after="0" w:line="240" w:lineRule="auto"/>
              <w:rPr>
                <w:rFonts w:eastAsia="Calibri" w:cs="Arial"/>
                <w:sz w:val="20"/>
                <w:szCs w:val="22"/>
                <w:lang w:val="en-NZ" w:eastAsia="en-US"/>
              </w:rPr>
            </w:pPr>
          </w:p>
          <w:p w:rsidR="00393196" w:rsidRDefault="00393196" w:rsidP="00471AA4">
            <w:pPr>
              <w:spacing w:after="0" w:line="240" w:lineRule="auto"/>
              <w:rPr>
                <w:rFonts w:eastAsia="Calibri" w:cs="Arial"/>
                <w:sz w:val="20"/>
                <w:szCs w:val="22"/>
                <w:lang w:val="en-NZ" w:eastAsia="en-US"/>
              </w:rPr>
            </w:pPr>
          </w:p>
        </w:tc>
        <w:tc>
          <w:tcPr>
            <w:tcW w:w="4372" w:type="dxa"/>
            <w:shd w:val="clear" w:color="auto" w:fill="auto"/>
          </w:tcPr>
          <w:p w:rsidR="00393196" w:rsidRDefault="00393196" w:rsidP="00B66942">
            <w:pPr>
              <w:numPr>
                <w:ilvl w:val="0"/>
                <w:numId w:val="19"/>
              </w:numPr>
              <w:spacing w:after="0" w:line="240" w:lineRule="auto"/>
              <w:rPr>
                <w:rFonts w:eastAsia="Calibri" w:cs="Arial"/>
                <w:sz w:val="20"/>
                <w:szCs w:val="22"/>
                <w:lang w:val="en-NZ" w:eastAsia="en-US"/>
              </w:rPr>
            </w:pPr>
            <w:r>
              <w:rPr>
                <w:rFonts w:eastAsia="Calibri" w:cs="Arial"/>
                <w:sz w:val="20"/>
                <w:szCs w:val="22"/>
                <w:lang w:val="en-NZ" w:eastAsia="en-US"/>
              </w:rPr>
              <w:t xml:space="preserve">Can </w:t>
            </w:r>
            <w:r w:rsidRPr="003A3E2B">
              <w:rPr>
                <w:rFonts w:eastAsia="Calibri" w:cs="Arial"/>
                <w:sz w:val="20"/>
                <w:szCs w:val="22"/>
                <w:lang w:val="en-NZ" w:eastAsia="en-US"/>
              </w:rPr>
              <w:t>co-operat</w:t>
            </w:r>
            <w:r w:rsidR="0024130F">
              <w:rPr>
                <w:rFonts w:eastAsia="Calibri" w:cs="Arial"/>
                <w:sz w:val="20"/>
                <w:szCs w:val="22"/>
                <w:lang w:val="en-NZ" w:eastAsia="en-US"/>
              </w:rPr>
              <w:t>e</w:t>
            </w:r>
            <w:r w:rsidRPr="003A3E2B">
              <w:rPr>
                <w:rFonts w:eastAsia="Calibri" w:cs="Arial"/>
                <w:sz w:val="20"/>
                <w:szCs w:val="22"/>
                <w:lang w:val="en-NZ" w:eastAsia="en-US"/>
              </w:rPr>
              <w:t xml:space="preserve"> bilaterally and internationally at an operational level.</w:t>
            </w:r>
          </w:p>
          <w:p w:rsidR="008F7631" w:rsidRDefault="008F7631" w:rsidP="00471AA4">
            <w:pPr>
              <w:spacing w:after="0" w:line="240" w:lineRule="auto"/>
              <w:ind w:left="360"/>
              <w:rPr>
                <w:rFonts w:eastAsia="Calibri" w:cs="Arial"/>
                <w:sz w:val="20"/>
                <w:szCs w:val="22"/>
                <w:lang w:val="en-NZ" w:eastAsia="en-US"/>
              </w:rPr>
            </w:pPr>
          </w:p>
          <w:p w:rsidR="00393196" w:rsidRDefault="00393196" w:rsidP="00B66942">
            <w:pPr>
              <w:numPr>
                <w:ilvl w:val="0"/>
                <w:numId w:val="19"/>
              </w:numPr>
              <w:spacing w:after="0" w:line="240" w:lineRule="auto"/>
              <w:rPr>
                <w:rFonts w:eastAsia="Calibri" w:cs="Arial"/>
                <w:sz w:val="20"/>
                <w:szCs w:val="22"/>
                <w:lang w:val="en-NZ" w:eastAsia="en-US"/>
              </w:rPr>
            </w:pPr>
            <w:r>
              <w:rPr>
                <w:rFonts w:eastAsia="Calibri" w:cs="Arial"/>
                <w:sz w:val="20"/>
                <w:szCs w:val="22"/>
                <w:lang w:val="en-NZ" w:eastAsia="en-US"/>
              </w:rPr>
              <w:t>Provides maximum control of policy direction and settings</w:t>
            </w:r>
            <w:r w:rsidR="00202FA1">
              <w:rPr>
                <w:rFonts w:eastAsia="Calibri" w:cs="Arial"/>
                <w:sz w:val="20"/>
                <w:szCs w:val="22"/>
                <w:lang w:val="en-NZ" w:eastAsia="en-US"/>
              </w:rPr>
              <w:t xml:space="preserve"> to meet national interests</w:t>
            </w:r>
            <w:r>
              <w:rPr>
                <w:rFonts w:eastAsia="Calibri" w:cs="Arial"/>
                <w:sz w:val="20"/>
                <w:szCs w:val="22"/>
                <w:lang w:val="en-NZ" w:eastAsia="en-US"/>
              </w:rPr>
              <w:t>.</w:t>
            </w:r>
          </w:p>
          <w:p w:rsidR="00393196" w:rsidRDefault="00393196" w:rsidP="00471AA4">
            <w:pPr>
              <w:spacing w:after="0" w:line="240" w:lineRule="auto"/>
              <w:ind w:left="360"/>
              <w:rPr>
                <w:rFonts w:eastAsia="Calibri" w:cs="Arial"/>
                <w:sz w:val="20"/>
                <w:szCs w:val="22"/>
                <w:lang w:val="en-NZ" w:eastAsia="en-US"/>
              </w:rPr>
            </w:pPr>
          </w:p>
          <w:p w:rsidR="00393196" w:rsidRDefault="00393196" w:rsidP="00B66942">
            <w:pPr>
              <w:numPr>
                <w:ilvl w:val="0"/>
                <w:numId w:val="19"/>
              </w:numPr>
              <w:spacing w:after="0" w:line="240" w:lineRule="auto"/>
              <w:rPr>
                <w:rFonts w:eastAsia="Calibri" w:cs="Arial"/>
                <w:sz w:val="20"/>
                <w:szCs w:val="22"/>
                <w:lang w:val="en-NZ" w:eastAsia="en-US"/>
              </w:rPr>
            </w:pPr>
            <w:r>
              <w:rPr>
                <w:rFonts w:eastAsia="Calibri" w:cs="Arial"/>
                <w:sz w:val="20"/>
                <w:szCs w:val="22"/>
                <w:lang w:val="en-NZ" w:eastAsia="en-US"/>
              </w:rPr>
              <w:t>Less aligned with Australia relative to joint approach.</w:t>
            </w:r>
          </w:p>
          <w:p w:rsidR="008F7631" w:rsidRDefault="008F7631" w:rsidP="00471AA4">
            <w:pPr>
              <w:spacing w:after="0" w:line="240" w:lineRule="auto"/>
              <w:rPr>
                <w:rFonts w:eastAsia="Calibri" w:cs="Arial"/>
                <w:sz w:val="20"/>
                <w:szCs w:val="22"/>
                <w:lang w:val="en-NZ" w:eastAsia="en-US"/>
              </w:rPr>
            </w:pPr>
          </w:p>
          <w:p w:rsidR="00393196" w:rsidRPr="003A3E2B" w:rsidRDefault="00393196" w:rsidP="00B66942">
            <w:pPr>
              <w:numPr>
                <w:ilvl w:val="0"/>
                <w:numId w:val="19"/>
              </w:numPr>
              <w:spacing w:after="0" w:line="240" w:lineRule="auto"/>
              <w:rPr>
                <w:rFonts w:eastAsia="Calibri" w:cs="Arial"/>
                <w:sz w:val="20"/>
                <w:szCs w:val="22"/>
                <w:lang w:val="en-NZ" w:eastAsia="en-US"/>
              </w:rPr>
            </w:pPr>
            <w:r>
              <w:rPr>
                <w:rFonts w:eastAsia="Calibri" w:cs="Arial"/>
                <w:sz w:val="20"/>
                <w:szCs w:val="22"/>
                <w:lang w:val="en-NZ" w:eastAsia="en-US"/>
              </w:rPr>
              <w:t>Less regulatory capacity / economies at least in medium term.</w:t>
            </w:r>
          </w:p>
          <w:p w:rsidR="00393196" w:rsidRPr="003A3E2B" w:rsidRDefault="00393196" w:rsidP="003A3E2B">
            <w:pPr>
              <w:spacing w:after="0" w:line="240" w:lineRule="auto"/>
              <w:rPr>
                <w:rFonts w:eastAsia="Calibri" w:cs="Arial"/>
                <w:sz w:val="20"/>
                <w:szCs w:val="22"/>
                <w:lang w:val="en-NZ" w:eastAsia="en-US"/>
              </w:rPr>
            </w:pPr>
          </w:p>
        </w:tc>
      </w:tr>
      <w:tr w:rsidR="00393196" w:rsidRPr="003A3E2B" w:rsidTr="00471AA4">
        <w:tc>
          <w:tcPr>
            <w:tcW w:w="1526" w:type="dxa"/>
            <w:shd w:val="clear" w:color="auto" w:fill="auto"/>
          </w:tcPr>
          <w:p w:rsidR="00495157" w:rsidRDefault="00393196"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Option 1</w:t>
            </w:r>
            <w:r w:rsidR="00495157">
              <w:rPr>
                <w:rFonts w:eastAsia="Calibri" w:cs="Arial"/>
                <w:sz w:val="20"/>
                <w:szCs w:val="22"/>
                <w:lang w:val="en-NZ" w:eastAsia="en-US"/>
              </w:rPr>
              <w:t xml:space="preserve"> </w:t>
            </w:r>
            <w:r w:rsidRPr="003A3E2B">
              <w:rPr>
                <w:rFonts w:eastAsia="Calibri" w:cs="Arial"/>
                <w:sz w:val="20"/>
                <w:szCs w:val="22"/>
                <w:lang w:val="en-NZ" w:eastAsia="en-US"/>
              </w:rPr>
              <w:t xml:space="preserve">- </w:t>
            </w:r>
          </w:p>
          <w:p w:rsidR="00495157" w:rsidRDefault="00495157" w:rsidP="003A3E2B">
            <w:pPr>
              <w:spacing w:after="0" w:line="240" w:lineRule="auto"/>
              <w:rPr>
                <w:rFonts w:eastAsia="Calibri" w:cs="Arial"/>
                <w:sz w:val="20"/>
                <w:szCs w:val="22"/>
                <w:lang w:val="en-NZ" w:eastAsia="en-US"/>
              </w:rPr>
            </w:pPr>
          </w:p>
          <w:p w:rsidR="00393196" w:rsidRPr="003A3E2B" w:rsidRDefault="00393196"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Joint approach with Australia</w:t>
            </w:r>
          </w:p>
          <w:p w:rsidR="00393196" w:rsidRPr="003A3E2B" w:rsidRDefault="00393196" w:rsidP="003A3E2B">
            <w:pPr>
              <w:spacing w:after="0" w:line="240" w:lineRule="auto"/>
              <w:rPr>
                <w:rFonts w:eastAsia="Calibri" w:cs="Arial"/>
                <w:sz w:val="20"/>
                <w:szCs w:val="22"/>
                <w:lang w:val="en-NZ" w:eastAsia="en-US"/>
              </w:rPr>
            </w:pPr>
          </w:p>
          <w:p w:rsidR="00393196" w:rsidRPr="003A3E2B" w:rsidRDefault="00393196" w:rsidP="003A3E2B">
            <w:pPr>
              <w:spacing w:after="0" w:line="240" w:lineRule="auto"/>
              <w:rPr>
                <w:rFonts w:eastAsia="Calibri" w:cs="Arial"/>
                <w:sz w:val="20"/>
                <w:szCs w:val="22"/>
                <w:lang w:val="en-NZ" w:eastAsia="en-US"/>
              </w:rPr>
            </w:pPr>
          </w:p>
        </w:tc>
        <w:tc>
          <w:tcPr>
            <w:tcW w:w="3118" w:type="dxa"/>
            <w:shd w:val="clear" w:color="auto" w:fill="auto"/>
          </w:tcPr>
          <w:p w:rsidR="00393196" w:rsidRDefault="00393196"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Under this option, an arrangement along the lines of ANZTPA would be implemented involving a joint regulatory scheme. </w:t>
            </w:r>
          </w:p>
          <w:p w:rsidR="00393196" w:rsidRDefault="00393196" w:rsidP="00471AA4">
            <w:pPr>
              <w:spacing w:after="0" w:line="240" w:lineRule="auto"/>
              <w:rPr>
                <w:rFonts w:eastAsia="Calibri" w:cs="Arial"/>
                <w:sz w:val="20"/>
                <w:szCs w:val="22"/>
                <w:lang w:val="en-NZ" w:eastAsia="en-US"/>
              </w:rPr>
            </w:pPr>
          </w:p>
        </w:tc>
        <w:tc>
          <w:tcPr>
            <w:tcW w:w="4372" w:type="dxa"/>
            <w:shd w:val="clear" w:color="auto" w:fill="auto"/>
          </w:tcPr>
          <w:p w:rsidR="008F7631" w:rsidRDefault="008F7631" w:rsidP="00B66942">
            <w:pPr>
              <w:numPr>
                <w:ilvl w:val="0"/>
                <w:numId w:val="31"/>
              </w:numPr>
              <w:spacing w:after="0" w:line="240" w:lineRule="auto"/>
              <w:rPr>
                <w:rFonts w:eastAsia="Calibri" w:cs="Arial"/>
                <w:sz w:val="20"/>
                <w:szCs w:val="22"/>
                <w:lang w:val="en-NZ" w:eastAsia="en-US"/>
              </w:rPr>
            </w:pPr>
            <w:r>
              <w:rPr>
                <w:rFonts w:eastAsia="Calibri" w:cs="Arial"/>
                <w:sz w:val="20"/>
                <w:szCs w:val="22"/>
                <w:lang w:val="en-NZ" w:eastAsia="en-US"/>
              </w:rPr>
              <w:t>Capacity and cost benefits if successful.</w:t>
            </w:r>
          </w:p>
          <w:p w:rsidR="008F7631" w:rsidRDefault="008F7631" w:rsidP="00471AA4">
            <w:pPr>
              <w:spacing w:after="0" w:line="240" w:lineRule="auto"/>
              <w:ind w:left="360"/>
              <w:rPr>
                <w:rFonts w:eastAsia="Calibri" w:cs="Arial"/>
                <w:sz w:val="20"/>
                <w:szCs w:val="22"/>
                <w:lang w:val="en-NZ" w:eastAsia="en-US"/>
              </w:rPr>
            </w:pPr>
          </w:p>
          <w:p w:rsidR="008F7631" w:rsidRDefault="008F7631" w:rsidP="00B66942">
            <w:pPr>
              <w:numPr>
                <w:ilvl w:val="0"/>
                <w:numId w:val="31"/>
              </w:numPr>
              <w:spacing w:after="0" w:line="240" w:lineRule="auto"/>
              <w:rPr>
                <w:rFonts w:eastAsia="Calibri" w:cs="Arial"/>
                <w:sz w:val="20"/>
                <w:szCs w:val="22"/>
                <w:lang w:val="en-NZ" w:eastAsia="en-US"/>
              </w:rPr>
            </w:pPr>
            <w:r>
              <w:rPr>
                <w:rFonts w:eastAsia="Calibri" w:cs="Arial"/>
                <w:sz w:val="20"/>
                <w:szCs w:val="22"/>
                <w:lang w:val="en-NZ" w:eastAsia="en-US"/>
              </w:rPr>
              <w:t>Risks of lock-in or loss of leverage and higher costs over time.</w:t>
            </w:r>
          </w:p>
          <w:p w:rsidR="008F7631" w:rsidRPr="003A3E2B" w:rsidRDefault="008F7631" w:rsidP="00471AA4">
            <w:pPr>
              <w:spacing w:after="0" w:line="240" w:lineRule="auto"/>
              <w:rPr>
                <w:rFonts w:eastAsia="Calibri" w:cs="Arial"/>
                <w:sz w:val="20"/>
                <w:szCs w:val="22"/>
                <w:lang w:val="en-NZ" w:eastAsia="en-US"/>
              </w:rPr>
            </w:pPr>
          </w:p>
          <w:p w:rsidR="008F7631" w:rsidRDefault="008F7631" w:rsidP="00B66942">
            <w:pPr>
              <w:numPr>
                <w:ilvl w:val="0"/>
                <w:numId w:val="31"/>
              </w:num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This option has been actively and extensively explored </w:t>
            </w:r>
            <w:r>
              <w:rPr>
                <w:rFonts w:eastAsia="Calibri" w:cs="Arial"/>
                <w:sz w:val="20"/>
                <w:szCs w:val="22"/>
                <w:lang w:val="en-NZ" w:eastAsia="en-US"/>
              </w:rPr>
              <w:t>since 1999.</w:t>
            </w:r>
          </w:p>
          <w:p w:rsidR="008F7631" w:rsidRPr="003A3E2B" w:rsidRDefault="008F7631" w:rsidP="00471AA4">
            <w:pPr>
              <w:spacing w:after="0" w:line="240" w:lineRule="auto"/>
              <w:rPr>
                <w:rFonts w:eastAsia="Calibri" w:cs="Arial"/>
                <w:sz w:val="20"/>
                <w:szCs w:val="22"/>
                <w:lang w:val="en-NZ" w:eastAsia="en-US"/>
              </w:rPr>
            </w:pPr>
          </w:p>
          <w:p w:rsidR="00393196" w:rsidRDefault="008F7631" w:rsidP="00B66942">
            <w:pPr>
              <w:numPr>
                <w:ilvl w:val="0"/>
                <w:numId w:val="31"/>
              </w:numPr>
              <w:spacing w:after="0" w:line="240" w:lineRule="auto"/>
              <w:rPr>
                <w:rFonts w:eastAsia="Calibri" w:cs="Arial"/>
                <w:sz w:val="20"/>
                <w:szCs w:val="22"/>
                <w:lang w:val="en-NZ" w:eastAsia="en-US"/>
              </w:rPr>
            </w:pPr>
            <w:r w:rsidRPr="003A3E2B">
              <w:rPr>
                <w:rFonts w:eastAsia="Calibri" w:cs="Arial"/>
                <w:sz w:val="20"/>
                <w:szCs w:val="22"/>
                <w:lang w:val="en-NZ" w:eastAsia="en-US"/>
              </w:rPr>
              <w:t>Currently there is no mutual agreement on the merits of</w:t>
            </w:r>
            <w:r>
              <w:rPr>
                <w:rFonts w:eastAsia="Calibri" w:cs="Arial"/>
                <w:sz w:val="20"/>
                <w:szCs w:val="22"/>
                <w:lang w:val="en-NZ" w:eastAsia="en-US"/>
              </w:rPr>
              <w:t xml:space="preserve"> this approach.</w:t>
            </w:r>
          </w:p>
          <w:p w:rsidR="00393196" w:rsidRPr="003A3E2B" w:rsidRDefault="00393196" w:rsidP="00471AA4">
            <w:pPr>
              <w:spacing w:after="0" w:line="240" w:lineRule="auto"/>
              <w:rPr>
                <w:rFonts w:eastAsia="Calibri" w:cs="Arial"/>
                <w:sz w:val="20"/>
                <w:szCs w:val="22"/>
                <w:lang w:val="en-NZ" w:eastAsia="en-US"/>
              </w:rPr>
            </w:pPr>
          </w:p>
        </w:tc>
      </w:tr>
      <w:tr w:rsidR="008F7631" w:rsidRPr="003A3E2B" w:rsidTr="00471AA4">
        <w:tc>
          <w:tcPr>
            <w:tcW w:w="1526" w:type="dxa"/>
            <w:shd w:val="clear" w:color="auto" w:fill="auto"/>
          </w:tcPr>
          <w:p w:rsidR="00495157" w:rsidRDefault="008F7631"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Option 2 – </w:t>
            </w:r>
          </w:p>
          <w:p w:rsidR="00495157" w:rsidRDefault="00495157" w:rsidP="003A3E2B">
            <w:pPr>
              <w:spacing w:after="0" w:line="240" w:lineRule="auto"/>
              <w:rPr>
                <w:rFonts w:eastAsia="Calibri" w:cs="Arial"/>
                <w:sz w:val="20"/>
                <w:szCs w:val="22"/>
                <w:lang w:val="en-NZ" w:eastAsia="en-US"/>
              </w:rPr>
            </w:pPr>
          </w:p>
          <w:p w:rsidR="008F7631" w:rsidRPr="003A3E2B" w:rsidRDefault="008F7631"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Joint approach with another country</w:t>
            </w:r>
          </w:p>
          <w:p w:rsidR="008F7631" w:rsidRPr="003A3E2B" w:rsidRDefault="008F7631" w:rsidP="003A3E2B">
            <w:pPr>
              <w:spacing w:after="0" w:line="240" w:lineRule="auto"/>
              <w:rPr>
                <w:rFonts w:eastAsia="Calibri" w:cs="Arial"/>
                <w:sz w:val="20"/>
                <w:szCs w:val="22"/>
                <w:lang w:val="en-NZ" w:eastAsia="en-US"/>
              </w:rPr>
            </w:pPr>
          </w:p>
          <w:p w:rsidR="008F7631" w:rsidRPr="003A3E2B" w:rsidRDefault="008F7631" w:rsidP="003A3E2B">
            <w:pPr>
              <w:spacing w:after="0" w:line="240" w:lineRule="auto"/>
              <w:rPr>
                <w:rFonts w:eastAsia="Calibri" w:cs="Arial"/>
                <w:sz w:val="20"/>
                <w:szCs w:val="22"/>
                <w:lang w:val="en-NZ" w:eastAsia="en-US"/>
              </w:rPr>
            </w:pPr>
          </w:p>
        </w:tc>
        <w:tc>
          <w:tcPr>
            <w:tcW w:w="3118" w:type="dxa"/>
            <w:shd w:val="clear" w:color="auto" w:fill="auto"/>
          </w:tcPr>
          <w:p w:rsidR="008F7631" w:rsidRDefault="008F7631"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Under this option, a joint regulatory arrangement (analogous to ANZTPA) would be implemented with a country other than Australia.  </w:t>
            </w:r>
          </w:p>
          <w:p w:rsidR="008F7631" w:rsidRDefault="008F7631" w:rsidP="00471AA4">
            <w:pPr>
              <w:spacing w:after="0" w:line="240" w:lineRule="auto"/>
              <w:ind w:left="360"/>
              <w:rPr>
                <w:rFonts w:eastAsia="Calibri" w:cs="Arial"/>
                <w:sz w:val="20"/>
                <w:szCs w:val="22"/>
                <w:lang w:val="en-NZ" w:eastAsia="en-US"/>
              </w:rPr>
            </w:pPr>
          </w:p>
        </w:tc>
        <w:tc>
          <w:tcPr>
            <w:tcW w:w="4372" w:type="dxa"/>
            <w:shd w:val="clear" w:color="auto" w:fill="auto"/>
          </w:tcPr>
          <w:p w:rsidR="008F7631" w:rsidRDefault="008F7631" w:rsidP="00B66942">
            <w:pPr>
              <w:numPr>
                <w:ilvl w:val="0"/>
                <w:numId w:val="24"/>
              </w:numPr>
              <w:spacing w:after="0" w:line="240" w:lineRule="auto"/>
              <w:ind w:left="360"/>
              <w:rPr>
                <w:rFonts w:eastAsia="Calibri" w:cs="Arial"/>
                <w:sz w:val="20"/>
                <w:szCs w:val="22"/>
                <w:lang w:val="en-NZ" w:eastAsia="en-US"/>
              </w:rPr>
            </w:pPr>
            <w:r w:rsidRPr="003A3E2B">
              <w:rPr>
                <w:rFonts w:eastAsia="Calibri" w:cs="Arial"/>
                <w:sz w:val="20"/>
                <w:szCs w:val="22"/>
                <w:lang w:val="en-NZ" w:eastAsia="en-US"/>
              </w:rPr>
              <w:t xml:space="preserve">Apart from Australia, with whom New Zealand has close cultural and economic ties, it is difficult to identify an alternative joint regulatory partner with whom a joint approach would be a feasible or practical option. </w:t>
            </w:r>
          </w:p>
          <w:p w:rsidR="00202FA1" w:rsidRDefault="00202FA1" w:rsidP="00202FA1">
            <w:pPr>
              <w:spacing w:after="0" w:line="240" w:lineRule="auto"/>
              <w:ind w:left="360"/>
              <w:rPr>
                <w:rFonts w:eastAsia="Calibri" w:cs="Arial"/>
                <w:sz w:val="20"/>
                <w:szCs w:val="22"/>
                <w:lang w:val="en-NZ" w:eastAsia="en-US"/>
              </w:rPr>
            </w:pPr>
          </w:p>
          <w:p w:rsidR="00202FA1" w:rsidRPr="003A3E2B" w:rsidRDefault="00202FA1" w:rsidP="00B66942">
            <w:pPr>
              <w:numPr>
                <w:ilvl w:val="0"/>
                <w:numId w:val="53"/>
              </w:numPr>
              <w:spacing w:after="0" w:line="240" w:lineRule="auto"/>
              <w:rPr>
                <w:rFonts w:eastAsia="Calibri" w:cs="Arial"/>
                <w:sz w:val="20"/>
                <w:szCs w:val="22"/>
                <w:lang w:val="en-NZ" w:eastAsia="en-US"/>
              </w:rPr>
            </w:pPr>
            <w:r>
              <w:rPr>
                <w:rFonts w:eastAsia="Calibri" w:cs="Arial"/>
                <w:sz w:val="20"/>
                <w:szCs w:val="22"/>
                <w:lang w:val="en-NZ" w:eastAsia="en-US"/>
              </w:rPr>
              <w:t>New Zealand would need to find a willing and appropriate partner.</w:t>
            </w:r>
          </w:p>
          <w:p w:rsidR="008F7631" w:rsidRDefault="008F7631" w:rsidP="003A3E2B">
            <w:pPr>
              <w:spacing w:after="0" w:line="240" w:lineRule="auto"/>
              <w:rPr>
                <w:rFonts w:eastAsia="Calibri" w:cs="Arial"/>
                <w:sz w:val="20"/>
                <w:szCs w:val="22"/>
                <w:lang w:val="en-NZ" w:eastAsia="en-US"/>
              </w:rPr>
            </w:pPr>
          </w:p>
          <w:p w:rsidR="00C70D60" w:rsidRDefault="00C70D60" w:rsidP="00B66942">
            <w:pPr>
              <w:numPr>
                <w:ilvl w:val="0"/>
                <w:numId w:val="32"/>
              </w:numPr>
              <w:spacing w:after="0" w:line="240" w:lineRule="auto"/>
              <w:rPr>
                <w:rFonts w:eastAsia="Calibri" w:cs="Arial"/>
                <w:sz w:val="20"/>
                <w:szCs w:val="22"/>
                <w:lang w:val="en-NZ" w:eastAsia="en-US"/>
              </w:rPr>
            </w:pPr>
            <w:r>
              <w:rPr>
                <w:rFonts w:eastAsia="Calibri" w:cs="Arial"/>
                <w:sz w:val="20"/>
                <w:szCs w:val="22"/>
                <w:lang w:val="en-NZ" w:eastAsia="en-US"/>
              </w:rPr>
              <w:t>Thus there may be significant opportunity costs associated with this option and wasted resources.</w:t>
            </w:r>
          </w:p>
          <w:p w:rsidR="00C70D60" w:rsidRPr="003A3E2B" w:rsidRDefault="00C70D60" w:rsidP="00471AA4">
            <w:pPr>
              <w:spacing w:after="0" w:line="240" w:lineRule="auto"/>
              <w:ind w:left="360"/>
              <w:rPr>
                <w:rFonts w:eastAsia="Calibri" w:cs="Arial"/>
                <w:sz w:val="20"/>
                <w:szCs w:val="22"/>
                <w:lang w:val="en-NZ" w:eastAsia="en-US"/>
              </w:rPr>
            </w:pPr>
          </w:p>
        </w:tc>
      </w:tr>
    </w:tbl>
    <w:p w:rsidR="00B74A60" w:rsidRPr="00B74A60" w:rsidRDefault="00B74A60" w:rsidP="00B74A60">
      <w:pPr>
        <w:spacing w:after="0" w:line="240" w:lineRule="auto"/>
        <w:rPr>
          <w:rFonts w:eastAsia="Calibri" w:cs="Arial"/>
          <w:sz w:val="20"/>
          <w:lang w:val="en-NZ" w:eastAsia="en-US"/>
        </w:rPr>
      </w:pPr>
    </w:p>
    <w:p w:rsidR="005A73AE" w:rsidRDefault="005A73AE" w:rsidP="00B74A60">
      <w:pPr>
        <w:spacing w:after="0" w:line="240" w:lineRule="auto"/>
        <w:rPr>
          <w:rFonts w:eastAsia="Calibri" w:cs="Arial"/>
          <w:b/>
          <w:szCs w:val="22"/>
          <w:lang w:val="en-NZ" w:eastAsia="en-US"/>
        </w:rPr>
      </w:pPr>
    </w:p>
    <w:p w:rsidR="00B74A60" w:rsidRPr="00830E17" w:rsidRDefault="00B74A60" w:rsidP="00830E17">
      <w:pPr>
        <w:pStyle w:val="Heading5"/>
        <w:rPr>
          <w:rFonts w:eastAsia="Calibri"/>
          <w:b/>
          <w:i w:val="0"/>
          <w:lang w:val="en-NZ" w:eastAsia="en-US"/>
        </w:rPr>
      </w:pPr>
      <w:r w:rsidRPr="00830E17">
        <w:rPr>
          <w:rFonts w:eastAsia="Calibri"/>
          <w:b/>
          <w:i w:val="0"/>
          <w:lang w:val="en-NZ" w:eastAsia="en-US"/>
        </w:rPr>
        <w:t xml:space="preserve">Issue 3: </w:t>
      </w:r>
      <w:r w:rsidR="002B5B79" w:rsidRPr="00830E17">
        <w:rPr>
          <w:rFonts w:eastAsia="Calibri"/>
          <w:b/>
          <w:i w:val="0"/>
          <w:lang w:val="en-NZ" w:eastAsia="en-US"/>
        </w:rPr>
        <w:t>Purpose and scope</w:t>
      </w:r>
    </w:p>
    <w:p w:rsidR="00B74A60" w:rsidRPr="00B74A60" w:rsidRDefault="00B74A60" w:rsidP="00D15978">
      <w:pPr>
        <w:pStyle w:val="Bullet-list"/>
        <w:numPr>
          <w:ilvl w:val="0"/>
          <w:numId w:val="0"/>
        </w:numPr>
        <w:spacing w:after="0" w:line="240" w:lineRule="auto"/>
        <w:ind w:left="357"/>
        <w:rPr>
          <w:rFonts w:eastAsia="Calibri" w:cs="Arial"/>
          <w:szCs w:val="22"/>
          <w:lang w:val="en-NZ"/>
        </w:rPr>
      </w:pPr>
    </w:p>
    <w:p w:rsidR="003C2855" w:rsidRDefault="003C2855" w:rsidP="00E440A3">
      <w:pPr>
        <w:pStyle w:val="BodyText"/>
        <w:rPr>
          <w:rFonts w:eastAsia="Calibri"/>
        </w:rPr>
      </w:pPr>
      <w:r w:rsidRPr="003C2855">
        <w:rPr>
          <w:rFonts w:eastAsia="Calibri"/>
        </w:rPr>
        <w:t xml:space="preserve">The new Act will need to have a defined purpose and a set of principles to guide regulatory practice. </w:t>
      </w:r>
      <w:r>
        <w:rPr>
          <w:rFonts w:eastAsia="Calibri"/>
        </w:rPr>
        <w:t>This will influence the scope of the regulation, but different approaches are possible.  Options are considered for scope.</w:t>
      </w:r>
    </w:p>
    <w:p w:rsidR="001D71D6" w:rsidRPr="00830E17" w:rsidRDefault="001D71D6" w:rsidP="00830E17">
      <w:pPr>
        <w:pStyle w:val="Heading6"/>
      </w:pPr>
      <w:r w:rsidRPr="001D71D6">
        <w:t>Purpose</w:t>
      </w:r>
    </w:p>
    <w:p w:rsidR="001D71D6" w:rsidRDefault="001D71D6" w:rsidP="00D15978">
      <w:pPr>
        <w:pStyle w:val="Bullet-list"/>
        <w:numPr>
          <w:ilvl w:val="0"/>
          <w:numId w:val="0"/>
        </w:numPr>
        <w:spacing w:after="0" w:line="240" w:lineRule="auto"/>
        <w:ind w:left="357"/>
        <w:rPr>
          <w:rFonts w:eastAsia="Calibri" w:cs="Arial"/>
          <w:szCs w:val="22"/>
          <w:lang w:val="en-NZ"/>
        </w:rPr>
      </w:pPr>
    </w:p>
    <w:p w:rsidR="00B74A60" w:rsidRPr="00B74A60" w:rsidRDefault="00B74A60" w:rsidP="00E440A3">
      <w:pPr>
        <w:pStyle w:val="BodyText"/>
        <w:rPr>
          <w:rFonts w:eastAsia="Calibri"/>
        </w:rPr>
      </w:pPr>
      <w:r w:rsidRPr="00B74A60">
        <w:rPr>
          <w:rFonts w:eastAsia="Calibri"/>
        </w:rPr>
        <w:t>Regulatory and L</w:t>
      </w:r>
      <w:r w:rsidR="00202FA1">
        <w:rPr>
          <w:rFonts w:eastAsia="Calibri"/>
        </w:rPr>
        <w:t xml:space="preserve">egislation Advisory Committee </w:t>
      </w:r>
      <w:r w:rsidRPr="00B74A60">
        <w:rPr>
          <w:rFonts w:eastAsia="Calibri"/>
        </w:rPr>
        <w:t>guidance suggest effective modern statutes should have a clear purpose and not be cluttered with unnecessary detail.</w:t>
      </w:r>
    </w:p>
    <w:p w:rsidR="00B74A60" w:rsidRPr="00B74A60" w:rsidRDefault="00B74A60" w:rsidP="00E440A3">
      <w:pPr>
        <w:pStyle w:val="BodyText"/>
        <w:rPr>
          <w:rFonts w:eastAsia="Calibri"/>
        </w:rPr>
      </w:pPr>
      <w:r w:rsidRPr="00B74A60">
        <w:rPr>
          <w:rFonts w:eastAsia="Calibri"/>
        </w:rPr>
        <w:t>The current Medicines Act does not contain</w:t>
      </w:r>
      <w:r w:rsidR="002B5B79">
        <w:rPr>
          <w:rFonts w:eastAsia="Calibri"/>
        </w:rPr>
        <w:t xml:space="preserve"> a purpose statement</w:t>
      </w:r>
      <w:r w:rsidRPr="00B74A60">
        <w:rPr>
          <w:rFonts w:eastAsia="Calibri"/>
        </w:rPr>
        <w:t xml:space="preserve"> or</w:t>
      </w:r>
      <w:r w:rsidR="002B5B79">
        <w:rPr>
          <w:rFonts w:eastAsia="Calibri"/>
        </w:rPr>
        <w:t xml:space="preserve"> </w:t>
      </w:r>
      <w:r w:rsidRPr="00B74A60">
        <w:rPr>
          <w:rFonts w:eastAsia="Calibri"/>
        </w:rPr>
        <w:t>a coherent set of principles for guiding or circumscribing regulatory practice.</w:t>
      </w:r>
      <w:r w:rsidR="002B5B79">
        <w:rPr>
          <w:rFonts w:eastAsia="Calibri"/>
        </w:rPr>
        <w:t xml:space="preserve">  Instead, it is very </w:t>
      </w:r>
      <w:r w:rsidRPr="00B74A60">
        <w:rPr>
          <w:rFonts w:eastAsia="Calibri"/>
        </w:rPr>
        <w:t>rule driven and prescriptive; and</w:t>
      </w:r>
      <w:r w:rsidR="002B5B79">
        <w:rPr>
          <w:rFonts w:eastAsia="Calibri"/>
        </w:rPr>
        <w:t xml:space="preserve"> </w:t>
      </w:r>
      <w:r w:rsidRPr="00B74A60">
        <w:rPr>
          <w:rFonts w:eastAsia="Calibri"/>
        </w:rPr>
        <w:t>does not readily accommodate changes.</w:t>
      </w:r>
      <w:r w:rsidR="001D71D6">
        <w:rPr>
          <w:rFonts w:eastAsia="Calibri"/>
        </w:rPr>
        <w:t xml:space="preserve">  </w:t>
      </w:r>
      <w:r w:rsidRPr="00B74A60">
        <w:rPr>
          <w:rFonts w:eastAsia="Calibri"/>
        </w:rPr>
        <w:t xml:space="preserve">This means regulation cannot respond quickly or efficiently to changes in product technologies and markets, with adverse implications for effective </w:t>
      </w:r>
      <w:r w:rsidR="00EE76D9">
        <w:rPr>
          <w:rFonts w:eastAsia="Calibri"/>
        </w:rPr>
        <w:t xml:space="preserve">and efficient </w:t>
      </w:r>
      <w:r w:rsidRPr="00B74A60">
        <w:rPr>
          <w:rFonts w:eastAsia="Calibri"/>
        </w:rPr>
        <w:t>risk management.</w:t>
      </w:r>
    </w:p>
    <w:p w:rsidR="00B74A60" w:rsidRPr="00B74A60" w:rsidRDefault="00B74A60" w:rsidP="00E440A3">
      <w:pPr>
        <w:pStyle w:val="BodyText"/>
        <w:rPr>
          <w:rFonts w:eastAsia="Calibri"/>
        </w:rPr>
      </w:pPr>
      <w:r w:rsidRPr="00B74A60">
        <w:rPr>
          <w:rFonts w:eastAsia="Calibri"/>
        </w:rPr>
        <w:t>A purpose statement for the new Act might be directed at ensuring acceptable safety, quality and efficacy or performance of therapeutic products across their lifecycle to protect public health and welfare</w:t>
      </w:r>
      <w:r w:rsidR="00EE76D9">
        <w:rPr>
          <w:rFonts w:eastAsia="Calibri"/>
        </w:rPr>
        <w:t xml:space="preserve">.  </w:t>
      </w:r>
      <w:r w:rsidR="00202FA1">
        <w:rPr>
          <w:rFonts w:eastAsia="Calibri"/>
        </w:rPr>
        <w:t>The p</w:t>
      </w:r>
      <w:r w:rsidR="002B5B79">
        <w:rPr>
          <w:rFonts w:eastAsia="Calibri"/>
        </w:rPr>
        <w:t xml:space="preserve">urpose might be further defined through principles </w:t>
      </w:r>
      <w:r w:rsidRPr="00B74A60">
        <w:rPr>
          <w:rFonts w:eastAsia="Calibri"/>
        </w:rPr>
        <w:t xml:space="preserve">which give effect to the overall purpose and set the parameters for the design and administration of the regulatory regime. </w:t>
      </w:r>
    </w:p>
    <w:p w:rsidR="00B74A60" w:rsidRPr="00B74A60" w:rsidRDefault="00B74A60" w:rsidP="00E440A3">
      <w:pPr>
        <w:pStyle w:val="BodyText"/>
        <w:rPr>
          <w:rFonts w:eastAsia="Calibri"/>
        </w:rPr>
      </w:pPr>
      <w:r w:rsidRPr="00B74A60">
        <w:rPr>
          <w:rFonts w:eastAsia="Calibri"/>
        </w:rPr>
        <w:t>A range of principles are possible, drawing on concepts of: benefits outweighing risks, risk proportionality, impartiality and independence, market responsibility, access of information to consumers, international cooperation, compliance cost minimisation and supporting innovation</w:t>
      </w:r>
      <w:r w:rsidR="00EE76D9">
        <w:rPr>
          <w:rFonts w:eastAsia="Calibri"/>
        </w:rPr>
        <w:t xml:space="preserve"> and competition</w:t>
      </w:r>
      <w:r w:rsidRPr="00B74A60">
        <w:rPr>
          <w:rFonts w:eastAsia="Calibri"/>
        </w:rPr>
        <w:t>.</w:t>
      </w:r>
      <w:r w:rsidR="001D71D6">
        <w:rPr>
          <w:rFonts w:eastAsia="Calibri"/>
        </w:rPr>
        <w:t xml:space="preserve">  </w:t>
      </w:r>
      <w:r w:rsidRPr="00B74A60">
        <w:rPr>
          <w:rFonts w:eastAsia="Calibri"/>
        </w:rPr>
        <w:t>In addition, and to the extent possible, it would be useful in shaping a coherent set of principles to:</w:t>
      </w:r>
    </w:p>
    <w:p w:rsidR="00B74A60" w:rsidRPr="00B74A60" w:rsidRDefault="00B74A60" w:rsidP="00E440A3">
      <w:pPr>
        <w:pStyle w:val="BodyText2"/>
        <w:rPr>
          <w:rFonts w:eastAsia="Calibri"/>
          <w:lang w:val="en-NZ" w:eastAsia="en-US"/>
        </w:rPr>
      </w:pPr>
      <w:r w:rsidRPr="00B74A60">
        <w:rPr>
          <w:rFonts w:eastAsia="Calibri"/>
          <w:lang w:val="en-NZ" w:eastAsia="en-US"/>
        </w:rPr>
        <w:t>keep the principles focused (a long list of principles may be difficult to operationalise (the Health and Safety at Work Bill provides a good example of how to avoid this problem, focusing on health and safety outcomes, ri</w:t>
      </w:r>
      <w:r w:rsidR="0024130F">
        <w:rPr>
          <w:rFonts w:eastAsia="Calibri"/>
          <w:lang w:val="en-NZ" w:eastAsia="en-US"/>
        </w:rPr>
        <w:t>sks, costs, and reasonableness)</w:t>
      </w:r>
    </w:p>
    <w:p w:rsidR="00B74A60" w:rsidRPr="00B74A60" w:rsidRDefault="00B74A60" w:rsidP="00E440A3">
      <w:pPr>
        <w:pStyle w:val="BodyText2"/>
        <w:rPr>
          <w:rFonts w:eastAsia="Calibri"/>
          <w:lang w:val="en-NZ" w:eastAsia="en-US"/>
        </w:rPr>
      </w:pPr>
      <w:r w:rsidRPr="00B74A60">
        <w:rPr>
          <w:rFonts w:eastAsia="Calibri"/>
          <w:lang w:val="en-NZ" w:eastAsia="en-US"/>
        </w:rPr>
        <w:t>keep the principles high-level (ie, principles are not design features) in order to empower and enable t</w:t>
      </w:r>
      <w:r w:rsidR="0078403F">
        <w:rPr>
          <w:rFonts w:eastAsia="Calibri"/>
          <w:lang w:val="en-NZ" w:eastAsia="en-US"/>
        </w:rPr>
        <w:t>he regulator to make trade-offs</w:t>
      </w:r>
    </w:p>
    <w:p w:rsidR="00B74A60" w:rsidRPr="00B74A60" w:rsidRDefault="00B74A60" w:rsidP="00E440A3">
      <w:pPr>
        <w:pStyle w:val="BodyText2"/>
        <w:rPr>
          <w:rFonts w:eastAsia="Calibri"/>
          <w:lang w:val="en-NZ" w:eastAsia="en-US"/>
        </w:rPr>
      </w:pPr>
      <w:r w:rsidRPr="00B74A60">
        <w:rPr>
          <w:rFonts w:eastAsia="Calibri"/>
          <w:lang w:val="en-NZ" w:eastAsia="en-US"/>
        </w:rPr>
        <w:t>ensure a level of compatibility with approaches to risk in other modern N</w:t>
      </w:r>
      <w:r w:rsidR="00EB02F5">
        <w:rPr>
          <w:rFonts w:eastAsia="Calibri"/>
          <w:lang w:val="en-NZ" w:eastAsia="en-US"/>
        </w:rPr>
        <w:t xml:space="preserve">ew </w:t>
      </w:r>
      <w:r w:rsidRPr="00B74A60">
        <w:rPr>
          <w:rFonts w:eastAsia="Calibri"/>
          <w:lang w:val="en-NZ" w:eastAsia="en-US"/>
        </w:rPr>
        <w:t>Z</w:t>
      </w:r>
      <w:r w:rsidR="00EB02F5">
        <w:rPr>
          <w:rFonts w:eastAsia="Calibri"/>
          <w:lang w:val="en-NZ" w:eastAsia="en-US"/>
        </w:rPr>
        <w:t>ealand</w:t>
      </w:r>
      <w:r w:rsidRPr="00B74A60">
        <w:rPr>
          <w:rFonts w:eastAsia="Calibri"/>
          <w:lang w:val="en-NZ" w:eastAsia="en-US"/>
        </w:rPr>
        <w:t xml:space="preserve"> statutes (in accordance with</w:t>
      </w:r>
      <w:r w:rsidR="0024130F">
        <w:rPr>
          <w:rFonts w:eastAsia="Calibri"/>
          <w:lang w:val="en-NZ" w:eastAsia="en-US"/>
        </w:rPr>
        <w:t xml:space="preserve"> the Government’s expectations)</w:t>
      </w:r>
    </w:p>
    <w:p w:rsidR="00B74A60" w:rsidRPr="00B74A60" w:rsidRDefault="00B74A60" w:rsidP="00E440A3">
      <w:pPr>
        <w:pStyle w:val="BodyText2"/>
        <w:rPr>
          <w:rFonts w:eastAsia="Calibri"/>
          <w:lang w:val="en-NZ" w:eastAsia="en-US"/>
        </w:rPr>
      </w:pPr>
      <w:r w:rsidRPr="00B74A60">
        <w:rPr>
          <w:rFonts w:eastAsia="Calibri"/>
          <w:lang w:val="en-NZ" w:eastAsia="en-US"/>
        </w:rPr>
        <w:t>take into account health consumer risk preferences where possible for defined patient groups or sub-groups (</w:t>
      </w:r>
      <w:proofErr w:type="spellStart"/>
      <w:r w:rsidRPr="00B74A60">
        <w:rPr>
          <w:rFonts w:eastAsia="Calibri"/>
          <w:lang w:val="en-NZ" w:eastAsia="en-US"/>
        </w:rPr>
        <w:t>eg</w:t>
      </w:r>
      <w:proofErr w:type="spellEnd"/>
      <w:r w:rsidRPr="00B74A60">
        <w:rPr>
          <w:rFonts w:eastAsia="Calibri"/>
          <w:lang w:val="en-NZ" w:eastAsia="en-US"/>
        </w:rPr>
        <w:t>, those for whom particular products are specifically targeted and who may be much les</w:t>
      </w:r>
      <w:r w:rsidR="0024130F">
        <w:rPr>
          <w:rFonts w:eastAsia="Calibri"/>
          <w:lang w:val="en-NZ" w:eastAsia="en-US"/>
        </w:rPr>
        <w:t>s risk averse than average)</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have</w:t>
      </w:r>
      <w:proofErr w:type="gramEnd"/>
      <w:r w:rsidRPr="00B74A60">
        <w:rPr>
          <w:rFonts w:eastAsia="Calibri"/>
          <w:lang w:val="en-NZ" w:eastAsia="en-US"/>
        </w:rPr>
        <w:t xml:space="preserve"> regard to opportunity costs  - the implications of opportunities that must be forgone (</w:t>
      </w:r>
      <w:proofErr w:type="spellStart"/>
      <w:r w:rsidRPr="00B74A60">
        <w:rPr>
          <w:rFonts w:eastAsia="Calibri"/>
          <w:lang w:val="en-NZ" w:eastAsia="en-US"/>
        </w:rPr>
        <w:t>eg</w:t>
      </w:r>
      <w:proofErr w:type="spellEnd"/>
      <w:r w:rsidRPr="00B74A60">
        <w:rPr>
          <w:rFonts w:eastAsia="Calibri"/>
          <w:lang w:val="en-NZ" w:eastAsia="en-US"/>
        </w:rPr>
        <w:t>, by the regulator, product applicants, consumers) as a result of particular regulatory actions.</w:t>
      </w:r>
    </w:p>
    <w:p w:rsidR="001D71D6" w:rsidRPr="001D71D6" w:rsidRDefault="001D71D6" w:rsidP="00830E17">
      <w:pPr>
        <w:pStyle w:val="Heading6"/>
      </w:pPr>
      <w:r w:rsidRPr="001D71D6">
        <w:t>Scope</w:t>
      </w:r>
    </w:p>
    <w:p w:rsidR="001D71D6" w:rsidRDefault="001D71D6" w:rsidP="00B74A60">
      <w:pPr>
        <w:spacing w:after="0" w:line="240" w:lineRule="auto"/>
        <w:rPr>
          <w:rFonts w:eastAsia="Calibri" w:cs="Arial"/>
          <w:szCs w:val="22"/>
          <w:lang w:val="en-NZ" w:eastAsia="en-US"/>
        </w:rPr>
      </w:pPr>
    </w:p>
    <w:p w:rsidR="00B74A60" w:rsidRPr="00B74A60" w:rsidRDefault="001D71D6" w:rsidP="00E440A3">
      <w:pPr>
        <w:pStyle w:val="BodyText"/>
        <w:rPr>
          <w:rFonts w:eastAsia="Calibri"/>
        </w:rPr>
      </w:pPr>
      <w:r>
        <w:rPr>
          <w:rFonts w:eastAsia="Calibri"/>
        </w:rPr>
        <w:t>D</w:t>
      </w:r>
      <w:r w:rsidR="00B74A60" w:rsidRPr="00B74A60">
        <w:rPr>
          <w:rFonts w:eastAsia="Calibri"/>
        </w:rPr>
        <w:t>ifferent approaches to scope</w:t>
      </w:r>
      <w:r w:rsidR="007F40FA">
        <w:rPr>
          <w:rFonts w:eastAsia="Calibri"/>
        </w:rPr>
        <w:t xml:space="preserve"> are possible</w:t>
      </w:r>
      <w:r w:rsidR="00B74A60" w:rsidRPr="00B74A60">
        <w:rPr>
          <w:rFonts w:eastAsia="Calibri"/>
        </w:rPr>
        <w:t>.  For example:</w:t>
      </w:r>
    </w:p>
    <w:p w:rsidR="00B74A60" w:rsidRPr="00B74A60" w:rsidRDefault="00B74A60" w:rsidP="00E440A3">
      <w:pPr>
        <w:pStyle w:val="BodyText2"/>
        <w:rPr>
          <w:rFonts w:eastAsia="Calibri"/>
          <w:lang w:val="en-NZ" w:eastAsia="en-US"/>
        </w:rPr>
      </w:pPr>
      <w:r w:rsidRPr="00B74A60">
        <w:rPr>
          <w:rFonts w:eastAsia="Calibri"/>
          <w:lang w:val="en-NZ" w:eastAsia="en-US"/>
        </w:rPr>
        <w:t>scope should be broad, covering all products and ena</w:t>
      </w:r>
      <w:r w:rsidR="00176A76">
        <w:rPr>
          <w:rFonts w:eastAsia="Calibri"/>
          <w:lang w:val="en-NZ" w:eastAsia="en-US"/>
        </w:rPr>
        <w:t>bling all risks to be addressed,</w:t>
      </w:r>
      <w:r w:rsidRPr="00B74A60">
        <w:rPr>
          <w:rFonts w:eastAsia="Calibri"/>
          <w:lang w:val="en-NZ" w:eastAsia="en-US"/>
        </w:rPr>
        <w:t xml:space="preserve"> or</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scope</w:t>
      </w:r>
      <w:proofErr w:type="gramEnd"/>
      <w:r w:rsidRPr="00B74A60">
        <w:rPr>
          <w:rFonts w:eastAsia="Calibri"/>
          <w:lang w:val="en-NZ" w:eastAsia="en-US"/>
        </w:rPr>
        <w:t xml:space="preserve"> should be limited to the most risky products - those whose perceived risk exceeds some threshold level.</w:t>
      </w:r>
    </w:p>
    <w:p w:rsidR="00B74A60" w:rsidRPr="00B74A60" w:rsidRDefault="00B74A60" w:rsidP="00E440A3">
      <w:pPr>
        <w:pStyle w:val="BodyText"/>
        <w:rPr>
          <w:rFonts w:eastAsia="Calibri"/>
        </w:rPr>
      </w:pPr>
      <w:r w:rsidRPr="00B74A60">
        <w:rPr>
          <w:rFonts w:eastAsia="Calibri"/>
        </w:rPr>
        <w:t>The current Act adopts the second approach. A limited number of therapeutic products are defined under the Act, essentially:</w:t>
      </w:r>
    </w:p>
    <w:p w:rsidR="00B74A60" w:rsidRPr="00B74A60" w:rsidRDefault="00B74A60" w:rsidP="00E440A3">
      <w:pPr>
        <w:pStyle w:val="BodyText2"/>
        <w:rPr>
          <w:rFonts w:eastAsia="Calibri"/>
          <w:lang w:val="en-NZ" w:eastAsia="en-US"/>
        </w:rPr>
      </w:pPr>
      <w:r w:rsidRPr="00B74A60">
        <w:rPr>
          <w:rFonts w:eastAsia="Calibri"/>
          <w:lang w:val="en-NZ" w:eastAsia="en-US"/>
        </w:rPr>
        <w:t>medicine</w:t>
      </w:r>
      <w:r w:rsidR="003C2855">
        <w:rPr>
          <w:rFonts w:eastAsia="Calibri"/>
          <w:lang w:val="en-NZ" w:eastAsia="en-US"/>
        </w:rPr>
        <w:t>s</w:t>
      </w:r>
      <w:r w:rsidRPr="00B74A60">
        <w:rPr>
          <w:rFonts w:eastAsia="Calibri"/>
          <w:lang w:val="en-NZ" w:eastAsia="en-US"/>
        </w:rPr>
        <w:t>, new medicine</w:t>
      </w:r>
      <w:r w:rsidR="003C2855">
        <w:rPr>
          <w:rFonts w:eastAsia="Calibri"/>
          <w:lang w:val="en-NZ" w:eastAsia="en-US"/>
        </w:rPr>
        <w:t>s</w:t>
      </w:r>
      <w:r w:rsidR="0078403F">
        <w:rPr>
          <w:rFonts w:eastAsia="Calibri"/>
          <w:lang w:val="en-NZ" w:eastAsia="en-US"/>
        </w:rPr>
        <w:t>,</w:t>
      </w:r>
      <w:r w:rsidRPr="00B74A60">
        <w:rPr>
          <w:rFonts w:eastAsia="Calibri"/>
          <w:lang w:val="en-NZ" w:eastAsia="en-US"/>
        </w:rPr>
        <w:t xml:space="preserve"> prescription medicine</w:t>
      </w:r>
      <w:r w:rsidR="003C2855">
        <w:rPr>
          <w:rFonts w:eastAsia="Calibri"/>
          <w:lang w:val="en-NZ" w:eastAsia="en-US"/>
        </w:rPr>
        <w:t>s</w:t>
      </w:r>
      <w:r w:rsidRPr="00B74A60">
        <w:rPr>
          <w:rFonts w:eastAsia="Calibri"/>
          <w:lang w:val="en-NZ" w:eastAsia="en-US"/>
        </w:rPr>
        <w:t xml:space="preserve">, </w:t>
      </w:r>
      <w:r w:rsidR="0078403F">
        <w:rPr>
          <w:rFonts w:eastAsia="Calibri"/>
          <w:lang w:val="en-NZ" w:eastAsia="en-US"/>
        </w:rPr>
        <w:t xml:space="preserve">pharmacy-only medicines, </w:t>
      </w:r>
      <w:r w:rsidRPr="00B74A60">
        <w:rPr>
          <w:rFonts w:eastAsia="Calibri"/>
          <w:lang w:val="en-NZ" w:eastAsia="en-US"/>
        </w:rPr>
        <w:t>and restricted medicine</w:t>
      </w:r>
      <w:r w:rsidR="003C2855">
        <w:rPr>
          <w:rFonts w:eastAsia="Calibri"/>
          <w:lang w:val="en-NZ" w:eastAsia="en-US"/>
        </w:rPr>
        <w:t>s</w:t>
      </w:r>
      <w:r w:rsidR="00176A76">
        <w:rPr>
          <w:rFonts w:eastAsia="Calibri"/>
          <w:lang w:val="en-NZ" w:eastAsia="en-US"/>
        </w:rPr>
        <w:t xml:space="preserve"> under section 3 of the Act</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medical</w:t>
      </w:r>
      <w:proofErr w:type="gramEnd"/>
      <w:r w:rsidRPr="00B74A60">
        <w:rPr>
          <w:rFonts w:eastAsia="Calibri"/>
          <w:lang w:val="en-NZ" w:eastAsia="en-US"/>
        </w:rPr>
        <w:t xml:space="preserve"> devices under section 3A</w:t>
      </w:r>
      <w:r w:rsidR="003C2855">
        <w:rPr>
          <w:rFonts w:eastAsia="Calibri"/>
          <w:lang w:val="en-NZ" w:eastAsia="en-US"/>
        </w:rPr>
        <w:t xml:space="preserve"> (subject to minimal controls only)</w:t>
      </w:r>
      <w:r w:rsidRPr="00B74A60">
        <w:rPr>
          <w:rFonts w:eastAsia="Calibri"/>
          <w:lang w:val="en-NZ" w:eastAsia="en-US"/>
        </w:rPr>
        <w:t>.</w:t>
      </w:r>
    </w:p>
    <w:p w:rsidR="00B74A60" w:rsidRPr="00B74A60" w:rsidRDefault="00B74A60" w:rsidP="00E440A3">
      <w:pPr>
        <w:pStyle w:val="BodyText"/>
        <w:rPr>
          <w:rFonts w:eastAsia="Calibri"/>
        </w:rPr>
      </w:pPr>
      <w:r w:rsidRPr="00B74A60">
        <w:rPr>
          <w:rFonts w:eastAsia="Calibri"/>
        </w:rPr>
        <w:t xml:space="preserve">There is a concern that the current scope is too limited in that some therapeutic products (such as </w:t>
      </w:r>
      <w:r w:rsidR="003C2855">
        <w:rPr>
          <w:rFonts w:eastAsia="Calibri"/>
        </w:rPr>
        <w:t>medical devices</w:t>
      </w:r>
      <w:r w:rsidR="007656A7">
        <w:rPr>
          <w:rFonts w:eastAsia="Calibri"/>
        </w:rPr>
        <w:t>, and</w:t>
      </w:r>
      <w:r w:rsidR="003C2855">
        <w:rPr>
          <w:rFonts w:eastAsia="Calibri"/>
        </w:rPr>
        <w:t xml:space="preserve"> </w:t>
      </w:r>
      <w:r w:rsidRPr="00B74A60">
        <w:rPr>
          <w:rFonts w:eastAsia="Calibri"/>
        </w:rPr>
        <w:t>cell and tissue therap</w:t>
      </w:r>
      <w:r w:rsidR="007656A7">
        <w:rPr>
          <w:rFonts w:eastAsia="Calibri"/>
        </w:rPr>
        <w:t>ies</w:t>
      </w:r>
      <w:r w:rsidRPr="00B74A60">
        <w:rPr>
          <w:rFonts w:eastAsia="Calibri"/>
        </w:rPr>
        <w:t xml:space="preserve">) </w:t>
      </w:r>
      <w:r w:rsidR="003C2855">
        <w:rPr>
          <w:rFonts w:eastAsia="Calibri"/>
        </w:rPr>
        <w:t xml:space="preserve">should </w:t>
      </w:r>
      <w:r w:rsidRPr="00B74A60">
        <w:rPr>
          <w:rFonts w:eastAsia="Calibri"/>
        </w:rPr>
        <w:t xml:space="preserve">be subject to regulation </w:t>
      </w:r>
      <w:r w:rsidR="003C2855">
        <w:rPr>
          <w:rFonts w:eastAsia="Calibri"/>
        </w:rPr>
        <w:t xml:space="preserve">or more regulation </w:t>
      </w:r>
      <w:r w:rsidRPr="00B74A60">
        <w:rPr>
          <w:rFonts w:eastAsia="Calibri"/>
        </w:rPr>
        <w:t>(g</w:t>
      </w:r>
      <w:r w:rsidR="003C2855">
        <w:rPr>
          <w:rFonts w:eastAsia="Calibri"/>
        </w:rPr>
        <w:t>iven their risk profiles)</w:t>
      </w:r>
      <w:r w:rsidRPr="00B74A60">
        <w:rPr>
          <w:rFonts w:eastAsia="Calibri"/>
        </w:rPr>
        <w:t>.</w:t>
      </w:r>
      <w:r w:rsidR="00EE76D9">
        <w:rPr>
          <w:rFonts w:eastAsia="Calibri"/>
        </w:rPr>
        <w:t xml:space="preserve">  The current scope reflects the state of therapeutic regulation in the 1970s</w:t>
      </w:r>
      <w:r w:rsidR="00176A76">
        <w:rPr>
          <w:rFonts w:eastAsia="Calibri"/>
        </w:rPr>
        <w:t xml:space="preserve">, </w:t>
      </w:r>
      <w:r w:rsidR="00EE76D9">
        <w:rPr>
          <w:rFonts w:eastAsia="Calibri"/>
        </w:rPr>
        <w:t>but is now outdated.</w:t>
      </w:r>
    </w:p>
    <w:p w:rsidR="00B74A60" w:rsidRPr="00B74A60" w:rsidRDefault="00B74A60" w:rsidP="00E440A3">
      <w:pPr>
        <w:pStyle w:val="BodyText"/>
        <w:rPr>
          <w:rFonts w:eastAsia="Calibri"/>
        </w:rPr>
      </w:pPr>
      <w:r w:rsidRPr="00B74A60">
        <w:rPr>
          <w:rFonts w:eastAsia="Calibri"/>
        </w:rPr>
        <w:t>An alternative approach is for the primary legislation to make clear that:</w:t>
      </w:r>
    </w:p>
    <w:p w:rsidR="00B74A60" w:rsidRPr="00B74A60" w:rsidRDefault="00B74A60" w:rsidP="00E440A3">
      <w:pPr>
        <w:pStyle w:val="BodyText2"/>
        <w:rPr>
          <w:rFonts w:eastAsia="Calibri"/>
          <w:lang w:val="en-NZ" w:eastAsia="en-US"/>
        </w:rPr>
      </w:pPr>
      <w:r w:rsidRPr="00B74A60">
        <w:rPr>
          <w:rFonts w:eastAsia="Calibri"/>
          <w:lang w:val="en-NZ" w:eastAsia="en-US"/>
        </w:rPr>
        <w:t>all products and activities having a therapeutic pur</w:t>
      </w:r>
      <w:r w:rsidR="009A2A0A">
        <w:rPr>
          <w:rFonts w:eastAsia="Calibri"/>
          <w:lang w:val="en-NZ" w:eastAsia="en-US"/>
        </w:rPr>
        <w:t>pose are  subject to regulation</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the</w:t>
      </w:r>
      <w:proofErr w:type="gramEnd"/>
      <w:r w:rsidRPr="00B74A60">
        <w:rPr>
          <w:rFonts w:eastAsia="Calibri"/>
          <w:lang w:val="en-NZ" w:eastAsia="en-US"/>
        </w:rPr>
        <w:t xml:space="preserve"> particular regulatory requirements will be risk-appropriate.</w:t>
      </w:r>
    </w:p>
    <w:p w:rsidR="00B74A60" w:rsidRPr="00B74A60" w:rsidRDefault="00B74A60" w:rsidP="00E440A3">
      <w:pPr>
        <w:pStyle w:val="BodyText"/>
        <w:rPr>
          <w:rFonts w:eastAsia="Calibri"/>
        </w:rPr>
      </w:pPr>
      <w:r w:rsidRPr="00B74A60">
        <w:rPr>
          <w:rFonts w:eastAsia="Calibri"/>
        </w:rPr>
        <w:t>What is risk-appropriate will be determined by a balance of requirements</w:t>
      </w:r>
      <w:r w:rsidR="009A2A0A">
        <w:rPr>
          <w:rFonts w:eastAsia="Calibri"/>
        </w:rPr>
        <w:t xml:space="preserve"> that are</w:t>
      </w:r>
      <w:r w:rsidRPr="00B74A60">
        <w:rPr>
          <w:rFonts w:eastAsia="Calibri"/>
        </w:rPr>
        <w:t>:</w:t>
      </w:r>
    </w:p>
    <w:p w:rsidR="00B74A60" w:rsidRPr="00B74A60" w:rsidRDefault="00B74A60" w:rsidP="00E440A3">
      <w:pPr>
        <w:pStyle w:val="BodyText2"/>
        <w:rPr>
          <w:rFonts w:eastAsia="Calibri"/>
          <w:lang w:val="en-NZ" w:eastAsia="en-US"/>
        </w:rPr>
      </w:pPr>
      <w:r w:rsidRPr="00B74A60">
        <w:rPr>
          <w:rFonts w:eastAsia="Calibri"/>
          <w:lang w:val="en-NZ" w:eastAsia="en-US"/>
        </w:rPr>
        <w:t xml:space="preserve">set out in </w:t>
      </w:r>
      <w:r w:rsidR="00EE76D9">
        <w:rPr>
          <w:rFonts w:eastAsia="Calibri"/>
          <w:lang w:val="en-NZ" w:eastAsia="en-US"/>
        </w:rPr>
        <w:t>primary legislation and in r</w:t>
      </w:r>
      <w:r w:rsidRPr="00B74A60">
        <w:rPr>
          <w:rFonts w:eastAsia="Calibri"/>
          <w:lang w:val="en-NZ" w:eastAsia="en-US"/>
        </w:rPr>
        <w:t>egulations where Ministerial o</w:t>
      </w:r>
      <w:r w:rsidR="009A2A0A">
        <w:rPr>
          <w:rFonts w:eastAsia="Calibri"/>
          <w:lang w:val="en-NZ" w:eastAsia="en-US"/>
        </w:rPr>
        <w:t>versight remains important</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determined</w:t>
      </w:r>
      <w:proofErr w:type="gramEnd"/>
      <w:r w:rsidRPr="00B74A60">
        <w:rPr>
          <w:rFonts w:eastAsia="Calibri"/>
          <w:lang w:val="en-NZ" w:eastAsia="en-US"/>
        </w:rPr>
        <w:t xml:space="preserve"> by the regulator where decisions can appropriately be taken at that level.</w:t>
      </w:r>
    </w:p>
    <w:p w:rsidR="00B74A60" w:rsidRPr="00B74A60" w:rsidRDefault="00B74A60" w:rsidP="00E440A3">
      <w:pPr>
        <w:pStyle w:val="BodyText"/>
        <w:rPr>
          <w:rFonts w:eastAsia="Calibri"/>
        </w:rPr>
      </w:pPr>
      <w:r w:rsidRPr="00B74A60">
        <w:rPr>
          <w:rFonts w:eastAsia="Calibri"/>
        </w:rPr>
        <w:t>The implications of this approach for product categories</w:t>
      </w:r>
      <w:r w:rsidR="009A2A0A">
        <w:rPr>
          <w:rFonts w:eastAsia="Calibri"/>
        </w:rPr>
        <w:t xml:space="preserve"> are</w:t>
      </w:r>
      <w:r w:rsidRPr="00B74A60">
        <w:rPr>
          <w:rFonts w:eastAsia="Calibri"/>
        </w:rPr>
        <w:t xml:space="preserve">: </w:t>
      </w:r>
    </w:p>
    <w:p w:rsidR="00B74A60" w:rsidRPr="00B74A60" w:rsidRDefault="00BB08A1" w:rsidP="00E440A3">
      <w:pPr>
        <w:pStyle w:val="BodyText2"/>
        <w:rPr>
          <w:rFonts w:eastAsia="Calibri"/>
          <w:lang w:val="en-NZ" w:eastAsia="en-US"/>
        </w:rPr>
      </w:pPr>
      <w:r>
        <w:rPr>
          <w:rFonts w:eastAsia="Calibri"/>
          <w:u w:val="single"/>
          <w:lang w:val="en-NZ" w:eastAsia="en-US"/>
        </w:rPr>
        <w:t>M</w:t>
      </w:r>
      <w:r w:rsidR="00B74A60" w:rsidRPr="00B74A60">
        <w:rPr>
          <w:rFonts w:eastAsia="Calibri"/>
          <w:u w:val="single"/>
          <w:lang w:val="en-NZ" w:eastAsia="en-US"/>
        </w:rPr>
        <w:t>edicines</w:t>
      </w:r>
      <w:r w:rsidR="00B74A60" w:rsidRPr="00B74A60">
        <w:rPr>
          <w:rFonts w:eastAsia="Calibri"/>
          <w:lang w:val="en-NZ" w:eastAsia="en-US"/>
        </w:rPr>
        <w:t xml:space="preserve"> would continue to be regulated comprehensively, with additional approval methods able to be use</w:t>
      </w:r>
      <w:r w:rsidR="009A2A0A">
        <w:rPr>
          <w:rFonts w:eastAsia="Calibri"/>
          <w:lang w:val="en-NZ" w:eastAsia="en-US"/>
        </w:rPr>
        <w:t>d (</w:t>
      </w:r>
      <w:proofErr w:type="spellStart"/>
      <w:r w:rsidR="009A2A0A">
        <w:rPr>
          <w:rFonts w:eastAsia="Calibri"/>
          <w:lang w:val="en-NZ" w:eastAsia="en-US"/>
        </w:rPr>
        <w:t>eg</w:t>
      </w:r>
      <w:proofErr w:type="spellEnd"/>
      <w:r w:rsidR="009A2A0A">
        <w:rPr>
          <w:rFonts w:eastAsia="Calibri"/>
          <w:lang w:val="en-NZ" w:eastAsia="en-US"/>
        </w:rPr>
        <w:t>, unilateral recognition)</w:t>
      </w:r>
      <w:r>
        <w:rPr>
          <w:rFonts w:eastAsia="Calibri"/>
          <w:lang w:val="en-NZ" w:eastAsia="en-US"/>
        </w:rPr>
        <w:t>.</w:t>
      </w:r>
    </w:p>
    <w:p w:rsidR="00B74A60" w:rsidRPr="00B74A60" w:rsidRDefault="00BB08A1" w:rsidP="00E440A3">
      <w:pPr>
        <w:pStyle w:val="BodyText2"/>
        <w:rPr>
          <w:rFonts w:eastAsia="Calibri"/>
          <w:lang w:val="en-NZ" w:eastAsia="en-US"/>
        </w:rPr>
      </w:pPr>
      <w:r>
        <w:rPr>
          <w:rFonts w:eastAsia="Calibri"/>
          <w:u w:val="single"/>
          <w:lang w:val="en-NZ" w:eastAsia="en-US"/>
        </w:rPr>
        <w:t>M</w:t>
      </w:r>
      <w:r w:rsidR="00B74A60" w:rsidRPr="00B74A60">
        <w:rPr>
          <w:rFonts w:eastAsia="Calibri"/>
          <w:u w:val="single"/>
          <w:lang w:val="en-NZ" w:eastAsia="en-US"/>
        </w:rPr>
        <w:t>edical devices</w:t>
      </w:r>
      <w:r w:rsidR="00B74A60" w:rsidRPr="00B74A60">
        <w:rPr>
          <w:rFonts w:eastAsia="Calibri"/>
          <w:lang w:val="en-NZ" w:eastAsia="en-US"/>
        </w:rPr>
        <w:t xml:space="preserve"> would be subject to </w:t>
      </w:r>
      <w:r w:rsidR="007F40FA">
        <w:rPr>
          <w:rFonts w:eastAsia="Calibri"/>
          <w:lang w:val="en-NZ" w:eastAsia="en-US"/>
        </w:rPr>
        <w:t xml:space="preserve">risk-proportionate </w:t>
      </w:r>
      <w:r w:rsidR="00B74A60" w:rsidRPr="00B74A60">
        <w:rPr>
          <w:rFonts w:eastAsia="Calibri"/>
          <w:lang w:val="en-NZ" w:eastAsia="en-US"/>
        </w:rPr>
        <w:t>regulation</w:t>
      </w:r>
      <w:r w:rsidR="007F40FA">
        <w:rPr>
          <w:rFonts w:eastAsia="Calibri"/>
          <w:lang w:val="en-NZ" w:eastAsia="en-US"/>
        </w:rPr>
        <w:t xml:space="preserve"> (pre- and post-market)</w:t>
      </w:r>
      <w:r w:rsidR="00B74A60" w:rsidRPr="00B74A60">
        <w:rPr>
          <w:rFonts w:eastAsia="Calibri"/>
          <w:lang w:val="en-NZ" w:eastAsia="en-US"/>
        </w:rPr>
        <w:t xml:space="preserve">, with the requirements </w:t>
      </w:r>
      <w:r w:rsidR="007F40FA">
        <w:rPr>
          <w:rFonts w:eastAsia="Calibri"/>
          <w:lang w:val="en-NZ" w:eastAsia="en-US"/>
        </w:rPr>
        <w:t xml:space="preserve">calibrated to risk, </w:t>
      </w:r>
      <w:r w:rsidR="00B74A60" w:rsidRPr="00B74A60">
        <w:rPr>
          <w:rFonts w:eastAsia="Calibri"/>
          <w:lang w:val="en-NZ" w:eastAsia="en-US"/>
        </w:rPr>
        <w:t>involving a low-impact process (</w:t>
      </w:r>
      <w:proofErr w:type="spellStart"/>
      <w:r w:rsidR="00B74A60" w:rsidRPr="00B74A60">
        <w:rPr>
          <w:rFonts w:eastAsia="Calibri"/>
          <w:lang w:val="en-NZ" w:eastAsia="en-US"/>
        </w:rPr>
        <w:t>eg</w:t>
      </w:r>
      <w:proofErr w:type="spellEnd"/>
      <w:r w:rsidR="00B74A60" w:rsidRPr="00B74A60">
        <w:rPr>
          <w:rFonts w:eastAsia="Calibri"/>
          <w:lang w:val="en-NZ" w:eastAsia="en-US"/>
        </w:rPr>
        <w:t xml:space="preserve">, </w:t>
      </w:r>
      <w:r w:rsidR="00A0478A">
        <w:rPr>
          <w:rFonts w:eastAsia="Calibri"/>
          <w:lang w:val="en-NZ" w:eastAsia="en-US"/>
        </w:rPr>
        <w:t>self-certification</w:t>
      </w:r>
      <w:r w:rsidR="00B74A60" w:rsidRPr="00B74A60">
        <w:rPr>
          <w:rFonts w:eastAsia="Calibri"/>
          <w:lang w:val="en-NZ" w:eastAsia="en-US"/>
        </w:rPr>
        <w:t>)</w:t>
      </w:r>
      <w:r w:rsidR="007F40FA">
        <w:rPr>
          <w:rFonts w:eastAsia="Calibri"/>
          <w:lang w:val="en-NZ" w:eastAsia="en-US"/>
        </w:rPr>
        <w:t xml:space="preserve"> through to requiring conformity </w:t>
      </w:r>
      <w:r w:rsidR="00D11619">
        <w:rPr>
          <w:rFonts w:eastAsia="Calibri"/>
          <w:lang w:val="en-NZ" w:eastAsia="en-US"/>
        </w:rPr>
        <w:t>assessment against defined requirements</w:t>
      </w:r>
      <w:r>
        <w:rPr>
          <w:rFonts w:eastAsia="Calibri"/>
          <w:lang w:val="en-NZ" w:eastAsia="en-US"/>
        </w:rPr>
        <w:t>.</w:t>
      </w:r>
    </w:p>
    <w:p w:rsidR="00B74A60" w:rsidRPr="00B74A60" w:rsidRDefault="00BB08A1" w:rsidP="00E440A3">
      <w:pPr>
        <w:pStyle w:val="BodyText2"/>
        <w:rPr>
          <w:rFonts w:eastAsia="Calibri"/>
          <w:lang w:val="en-NZ" w:eastAsia="en-US"/>
        </w:rPr>
      </w:pPr>
      <w:r>
        <w:rPr>
          <w:rFonts w:eastAsia="Calibri"/>
          <w:lang w:val="en-NZ" w:eastAsia="en-US"/>
        </w:rPr>
        <w:t>S</w:t>
      </w:r>
      <w:r w:rsidR="00B74A60" w:rsidRPr="00B74A60">
        <w:rPr>
          <w:rFonts w:eastAsia="Calibri"/>
          <w:lang w:val="en-NZ" w:eastAsia="en-US"/>
        </w:rPr>
        <w:t xml:space="preserve">ome areas would become subject to regulation, such as </w:t>
      </w:r>
      <w:r w:rsidR="00B74A60" w:rsidRPr="00B74A60">
        <w:rPr>
          <w:rFonts w:eastAsia="Calibri"/>
          <w:u w:val="single"/>
          <w:lang w:val="en-NZ" w:eastAsia="en-US"/>
        </w:rPr>
        <w:t>cell and tissue therapies</w:t>
      </w:r>
      <w:r w:rsidR="009A2A0A">
        <w:rPr>
          <w:rFonts w:eastAsia="Calibri"/>
          <w:u w:val="single"/>
          <w:lang w:val="en-NZ" w:eastAsia="en-US"/>
        </w:rPr>
        <w:t xml:space="preserve"> (CTT)</w:t>
      </w:r>
      <w:r w:rsidR="00B74A60" w:rsidRPr="00B74A60">
        <w:rPr>
          <w:rFonts w:eastAsia="Calibri"/>
          <w:lang w:val="en-NZ" w:eastAsia="en-US"/>
        </w:rPr>
        <w:t>, which are currently not regulated unless they me</w:t>
      </w:r>
      <w:r w:rsidR="009A2A0A">
        <w:rPr>
          <w:rFonts w:eastAsia="Calibri"/>
          <w:lang w:val="en-NZ" w:eastAsia="en-US"/>
        </w:rPr>
        <w:t>et the definition of a medicine</w:t>
      </w:r>
      <w:r>
        <w:rPr>
          <w:rFonts w:eastAsia="Calibri"/>
          <w:lang w:val="en-NZ" w:eastAsia="en-US"/>
        </w:rPr>
        <w:t>.</w:t>
      </w:r>
    </w:p>
    <w:p w:rsidR="00B74A60" w:rsidRPr="00B74A60" w:rsidRDefault="00BB08A1" w:rsidP="00E440A3">
      <w:pPr>
        <w:pStyle w:val="BodyText2"/>
        <w:rPr>
          <w:rFonts w:eastAsia="Calibri"/>
          <w:lang w:val="en-NZ" w:eastAsia="en-US"/>
        </w:rPr>
      </w:pPr>
      <w:r>
        <w:rPr>
          <w:rFonts w:eastAsia="Calibri"/>
          <w:u w:val="single"/>
          <w:lang w:val="en-NZ" w:eastAsia="en-US"/>
        </w:rPr>
        <w:t>X</w:t>
      </w:r>
      <w:r w:rsidR="00B74A60" w:rsidRPr="00B74A60">
        <w:rPr>
          <w:rFonts w:eastAsia="Calibri"/>
          <w:u w:val="single"/>
          <w:lang w:val="en-NZ" w:eastAsia="en-US"/>
        </w:rPr>
        <w:t>enotransplantation</w:t>
      </w:r>
      <w:r>
        <w:rPr>
          <w:rFonts w:eastAsia="Calibri"/>
          <w:lang w:val="en-NZ" w:eastAsia="en-US"/>
        </w:rPr>
        <w:t xml:space="preserve">, </w:t>
      </w:r>
      <w:r w:rsidR="00B74A60" w:rsidRPr="00B74A60">
        <w:rPr>
          <w:rFonts w:eastAsia="Calibri"/>
          <w:lang w:val="en-NZ" w:eastAsia="en-US"/>
        </w:rPr>
        <w:t>use of the living biological m</w:t>
      </w:r>
      <w:r>
        <w:rPr>
          <w:rFonts w:eastAsia="Calibri"/>
          <w:lang w:val="en-NZ" w:eastAsia="en-US"/>
        </w:rPr>
        <w:t>aterial of an animal in a human</w:t>
      </w:r>
      <w:r w:rsidR="00B74A60" w:rsidRPr="00B74A60">
        <w:rPr>
          <w:rFonts w:eastAsia="Calibri"/>
          <w:lang w:val="en-NZ" w:eastAsia="en-US"/>
        </w:rPr>
        <w:t xml:space="preserve">, </w:t>
      </w:r>
      <w:r w:rsidR="003F579E">
        <w:rPr>
          <w:rFonts w:eastAsia="Calibri"/>
          <w:lang w:val="en-NZ" w:eastAsia="en-US"/>
        </w:rPr>
        <w:t xml:space="preserve">is </w:t>
      </w:r>
      <w:r w:rsidR="00B74A60" w:rsidRPr="00B74A60">
        <w:rPr>
          <w:rFonts w:eastAsia="Calibri"/>
          <w:lang w:val="en-NZ" w:eastAsia="en-US"/>
        </w:rPr>
        <w:t xml:space="preserve">currently </w:t>
      </w:r>
      <w:r w:rsidR="003F579E">
        <w:rPr>
          <w:rFonts w:eastAsia="Calibri"/>
          <w:lang w:val="en-NZ" w:eastAsia="en-US"/>
        </w:rPr>
        <w:t xml:space="preserve">only </w:t>
      </w:r>
      <w:r w:rsidR="00B74A60" w:rsidRPr="00B74A60">
        <w:rPr>
          <w:rFonts w:eastAsia="Calibri"/>
          <w:lang w:val="en-NZ" w:eastAsia="en-US"/>
        </w:rPr>
        <w:t xml:space="preserve">regulated </w:t>
      </w:r>
      <w:r w:rsidR="003F579E">
        <w:rPr>
          <w:rFonts w:eastAsia="Calibri"/>
          <w:lang w:val="en-NZ" w:eastAsia="en-US"/>
        </w:rPr>
        <w:t xml:space="preserve">to the clinical trial stage </w:t>
      </w:r>
      <w:r w:rsidR="00B74A60" w:rsidRPr="00B74A60">
        <w:rPr>
          <w:rFonts w:eastAsia="Calibri"/>
          <w:lang w:val="en-NZ" w:eastAsia="en-US"/>
        </w:rPr>
        <w:t>under Part 7A of the Act (which expires on 30 September 2016)</w:t>
      </w:r>
      <w:r w:rsidR="003F579E">
        <w:rPr>
          <w:rFonts w:eastAsia="Calibri"/>
          <w:lang w:val="en-NZ" w:eastAsia="en-US"/>
        </w:rPr>
        <w:t xml:space="preserve">.  The intention is that </w:t>
      </w:r>
      <w:r w:rsidR="003F579E" w:rsidRPr="003F579E">
        <w:rPr>
          <w:rFonts w:eastAsia="Calibri"/>
          <w:lang w:val="en-NZ" w:eastAsia="en-US"/>
        </w:rPr>
        <w:t>xenotransplantation</w:t>
      </w:r>
      <w:r w:rsidR="00B74A60" w:rsidRPr="00B74A60">
        <w:rPr>
          <w:rFonts w:eastAsia="Calibri"/>
          <w:lang w:val="en-NZ" w:eastAsia="en-US"/>
        </w:rPr>
        <w:t xml:space="preserve"> would be regulated </w:t>
      </w:r>
      <w:r w:rsidR="007F40FA">
        <w:rPr>
          <w:rFonts w:eastAsia="Calibri"/>
          <w:lang w:val="en-NZ" w:eastAsia="en-US"/>
        </w:rPr>
        <w:t>as part of CTT</w:t>
      </w:r>
      <w:r w:rsidR="009A2A0A">
        <w:rPr>
          <w:rFonts w:eastAsia="Calibri"/>
          <w:lang w:val="en-NZ" w:eastAsia="en-US"/>
        </w:rPr>
        <w:t xml:space="preserve"> on a risk-appropriate basis</w:t>
      </w:r>
      <w:r>
        <w:rPr>
          <w:rFonts w:eastAsia="Calibri"/>
          <w:lang w:val="en-NZ" w:eastAsia="en-US"/>
        </w:rPr>
        <w:t>.</w:t>
      </w:r>
    </w:p>
    <w:p w:rsidR="00B74A60" w:rsidRDefault="00BB08A1" w:rsidP="00E440A3">
      <w:pPr>
        <w:pStyle w:val="BodyText2"/>
        <w:rPr>
          <w:rFonts w:eastAsia="Calibri"/>
          <w:lang w:val="en-NZ" w:eastAsia="en-US"/>
        </w:rPr>
      </w:pPr>
      <w:r>
        <w:rPr>
          <w:rFonts w:eastAsia="Calibri"/>
          <w:u w:val="single"/>
          <w:lang w:val="en-NZ" w:eastAsia="en-US"/>
        </w:rPr>
        <w:t>E</w:t>
      </w:r>
      <w:r w:rsidR="00B74A60" w:rsidRPr="00B74A60">
        <w:rPr>
          <w:rFonts w:eastAsia="Calibri"/>
          <w:u w:val="single"/>
          <w:lang w:val="en-NZ" w:eastAsia="en-US"/>
        </w:rPr>
        <w:t>ntirely new products</w:t>
      </w:r>
      <w:r w:rsidR="005A73AE">
        <w:rPr>
          <w:rFonts w:eastAsia="Calibri"/>
          <w:lang w:val="en-NZ" w:eastAsia="en-US"/>
        </w:rPr>
        <w:t xml:space="preserve">, including hybrids, </w:t>
      </w:r>
      <w:r w:rsidR="00B74A60" w:rsidRPr="00B74A60">
        <w:rPr>
          <w:rFonts w:eastAsia="Calibri"/>
          <w:lang w:val="en-NZ" w:eastAsia="en-US"/>
        </w:rPr>
        <w:t>which are invented, developed and come onto the market, currently unforeseen, would be catered for – they would be subject to regulation in the same principled way as the products and activities above (ie, where they have a therapeutic purpose, and according to their risk) without any need to change the Act.</w:t>
      </w:r>
    </w:p>
    <w:p w:rsidR="00711AD3" w:rsidRPr="00B74A60" w:rsidRDefault="00711AD3" w:rsidP="00711AD3">
      <w:pPr>
        <w:pStyle w:val="BodyText2"/>
        <w:numPr>
          <w:ilvl w:val="0"/>
          <w:numId w:val="0"/>
        </w:numPr>
        <w:ind w:left="1134"/>
        <w:rPr>
          <w:rFonts w:eastAsia="Calibri"/>
          <w:lang w:val="en-N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976"/>
        <w:gridCol w:w="4372"/>
      </w:tblGrid>
      <w:tr w:rsidR="00B74A60" w:rsidRPr="003A3E2B" w:rsidTr="00747CD2">
        <w:trPr>
          <w:tblHeader/>
        </w:trPr>
        <w:tc>
          <w:tcPr>
            <w:tcW w:w="9016" w:type="dxa"/>
            <w:gridSpan w:val="3"/>
            <w:shd w:val="clear" w:color="auto" w:fill="DEEAF6"/>
          </w:tcPr>
          <w:p w:rsidR="00B74A60" w:rsidRPr="003A3E2B" w:rsidRDefault="003C2855" w:rsidP="003A3E2B">
            <w:pPr>
              <w:spacing w:after="0" w:line="240" w:lineRule="auto"/>
              <w:rPr>
                <w:rFonts w:eastAsia="Calibri" w:cs="Arial"/>
                <w:b/>
                <w:szCs w:val="22"/>
                <w:lang w:val="en-NZ" w:eastAsia="en-US"/>
              </w:rPr>
            </w:pPr>
            <w:r>
              <w:rPr>
                <w:rFonts w:eastAsia="Calibri" w:cs="Arial"/>
                <w:b/>
                <w:szCs w:val="22"/>
                <w:lang w:val="en-NZ" w:eastAsia="en-US"/>
              </w:rPr>
              <w:t>S</w:t>
            </w:r>
            <w:r w:rsidR="00B74A60" w:rsidRPr="003A3E2B">
              <w:rPr>
                <w:rFonts w:eastAsia="Calibri" w:cs="Arial"/>
                <w:b/>
                <w:szCs w:val="22"/>
                <w:lang w:val="en-NZ" w:eastAsia="en-US"/>
              </w:rPr>
              <w:t>cope: options and impacts</w:t>
            </w:r>
          </w:p>
          <w:p w:rsidR="00B74A60" w:rsidRPr="003A3E2B" w:rsidRDefault="00B74A60" w:rsidP="003A3E2B">
            <w:pPr>
              <w:spacing w:after="0" w:line="240" w:lineRule="auto"/>
              <w:rPr>
                <w:rFonts w:eastAsia="Calibri" w:cs="Arial"/>
                <w:szCs w:val="22"/>
                <w:lang w:val="en-NZ" w:eastAsia="en-US"/>
              </w:rPr>
            </w:pPr>
          </w:p>
        </w:tc>
      </w:tr>
      <w:tr w:rsidR="009C56EC" w:rsidRPr="003A3E2B" w:rsidTr="00052091">
        <w:trPr>
          <w:tblHeader/>
        </w:trPr>
        <w:tc>
          <w:tcPr>
            <w:tcW w:w="1668" w:type="dxa"/>
            <w:shd w:val="clear" w:color="auto" w:fill="DEEAF6"/>
          </w:tcPr>
          <w:p w:rsidR="009C56EC" w:rsidRPr="003A3E2B" w:rsidRDefault="009C56EC" w:rsidP="003C2855">
            <w:pPr>
              <w:spacing w:after="0" w:line="240" w:lineRule="auto"/>
              <w:jc w:val="center"/>
              <w:rPr>
                <w:rFonts w:eastAsia="Calibri" w:cs="Arial"/>
                <w:i/>
                <w:szCs w:val="22"/>
                <w:lang w:val="en-NZ" w:eastAsia="en-US"/>
              </w:rPr>
            </w:pPr>
            <w:r>
              <w:rPr>
                <w:rFonts w:eastAsia="Calibri" w:cs="Arial"/>
                <w:i/>
                <w:szCs w:val="22"/>
                <w:lang w:val="en-NZ" w:eastAsia="en-US"/>
              </w:rPr>
              <w:t>Options</w:t>
            </w:r>
          </w:p>
        </w:tc>
        <w:tc>
          <w:tcPr>
            <w:tcW w:w="2976" w:type="dxa"/>
            <w:shd w:val="clear" w:color="auto" w:fill="DEEAF6"/>
          </w:tcPr>
          <w:p w:rsidR="009C56EC" w:rsidRPr="003A3E2B" w:rsidRDefault="009C56EC" w:rsidP="003A3E2B">
            <w:pPr>
              <w:spacing w:after="0" w:line="240" w:lineRule="auto"/>
              <w:jc w:val="center"/>
              <w:rPr>
                <w:rFonts w:eastAsia="Calibri" w:cs="Arial"/>
                <w:i/>
                <w:szCs w:val="22"/>
                <w:lang w:val="en-NZ" w:eastAsia="en-US"/>
              </w:rPr>
            </w:pPr>
            <w:r>
              <w:rPr>
                <w:rFonts w:eastAsia="Calibri" w:cs="Arial"/>
                <w:i/>
                <w:szCs w:val="22"/>
                <w:lang w:val="en-NZ" w:eastAsia="en-US"/>
              </w:rPr>
              <w:t>Description</w:t>
            </w:r>
          </w:p>
        </w:tc>
        <w:tc>
          <w:tcPr>
            <w:tcW w:w="4372" w:type="dxa"/>
            <w:shd w:val="clear" w:color="auto" w:fill="DEEAF6"/>
          </w:tcPr>
          <w:p w:rsidR="009C56EC" w:rsidRDefault="009C56EC" w:rsidP="003A3E2B">
            <w:pPr>
              <w:spacing w:after="0" w:line="240" w:lineRule="auto"/>
              <w:jc w:val="center"/>
              <w:rPr>
                <w:rFonts w:eastAsia="Calibri" w:cs="Arial"/>
                <w:i/>
                <w:szCs w:val="22"/>
                <w:lang w:val="en-NZ" w:eastAsia="en-US"/>
              </w:rPr>
            </w:pPr>
            <w:r>
              <w:rPr>
                <w:rFonts w:eastAsia="Calibri" w:cs="Arial"/>
                <w:i/>
                <w:szCs w:val="22"/>
                <w:lang w:val="en-NZ" w:eastAsia="en-US"/>
              </w:rPr>
              <w:t>Impacts</w:t>
            </w:r>
          </w:p>
          <w:p w:rsidR="00355F04" w:rsidRPr="003A3E2B" w:rsidRDefault="00355F04" w:rsidP="003A3E2B">
            <w:pPr>
              <w:spacing w:after="0" w:line="240" w:lineRule="auto"/>
              <w:jc w:val="center"/>
              <w:rPr>
                <w:rFonts w:eastAsia="Calibri" w:cs="Arial"/>
                <w:i/>
                <w:szCs w:val="22"/>
                <w:lang w:val="en-NZ" w:eastAsia="en-US"/>
              </w:rPr>
            </w:pPr>
          </w:p>
        </w:tc>
      </w:tr>
      <w:tr w:rsidR="009C56EC" w:rsidRPr="003A3E2B" w:rsidTr="00052091">
        <w:tc>
          <w:tcPr>
            <w:tcW w:w="1668" w:type="dxa"/>
            <w:shd w:val="clear" w:color="auto" w:fill="auto"/>
          </w:tcPr>
          <w:p w:rsidR="009C56EC" w:rsidRPr="003A3E2B" w:rsidRDefault="009C56EC"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Status quo</w:t>
            </w:r>
          </w:p>
          <w:p w:rsidR="009C56EC" w:rsidRPr="003A3E2B" w:rsidRDefault="009C56EC" w:rsidP="003A3E2B">
            <w:pPr>
              <w:spacing w:after="0" w:line="240" w:lineRule="auto"/>
              <w:rPr>
                <w:rFonts w:eastAsia="Calibri" w:cs="Arial"/>
                <w:sz w:val="20"/>
                <w:szCs w:val="22"/>
                <w:lang w:val="en-NZ" w:eastAsia="en-US"/>
              </w:rPr>
            </w:pPr>
          </w:p>
          <w:p w:rsidR="009C56EC" w:rsidRPr="003A3E2B" w:rsidRDefault="009C56EC" w:rsidP="003A3E2B">
            <w:pPr>
              <w:spacing w:after="0" w:line="240" w:lineRule="auto"/>
              <w:rPr>
                <w:rFonts w:eastAsia="Calibri" w:cs="Arial"/>
                <w:sz w:val="20"/>
                <w:szCs w:val="22"/>
                <w:lang w:val="en-NZ" w:eastAsia="en-US"/>
              </w:rPr>
            </w:pPr>
          </w:p>
        </w:tc>
        <w:tc>
          <w:tcPr>
            <w:tcW w:w="2976" w:type="dxa"/>
            <w:shd w:val="clear" w:color="auto" w:fill="auto"/>
          </w:tcPr>
          <w:p w:rsidR="009C56EC" w:rsidRDefault="009C56EC" w:rsidP="00471AA4">
            <w:pPr>
              <w:spacing w:after="0" w:line="240" w:lineRule="auto"/>
              <w:rPr>
                <w:rFonts w:eastAsia="Calibri" w:cs="Arial"/>
                <w:sz w:val="20"/>
                <w:szCs w:val="22"/>
                <w:lang w:val="en-NZ" w:eastAsia="en-US"/>
              </w:rPr>
            </w:pPr>
            <w:r>
              <w:rPr>
                <w:rFonts w:eastAsia="Calibri" w:cs="Arial"/>
                <w:sz w:val="20"/>
                <w:szCs w:val="22"/>
                <w:lang w:val="en-NZ" w:eastAsia="en-US"/>
              </w:rPr>
              <w:t>T</w:t>
            </w:r>
            <w:r w:rsidRPr="003A3E2B">
              <w:rPr>
                <w:rFonts w:eastAsia="Calibri" w:cs="Arial"/>
                <w:sz w:val="20"/>
                <w:szCs w:val="22"/>
                <w:lang w:val="en-NZ" w:eastAsia="en-US"/>
              </w:rPr>
              <w:t>he scope of therapeutic product regulation would remain limited.</w:t>
            </w:r>
          </w:p>
          <w:p w:rsidR="00207091" w:rsidRPr="003A3E2B" w:rsidRDefault="00207091" w:rsidP="00471AA4">
            <w:pPr>
              <w:spacing w:after="0" w:line="240" w:lineRule="auto"/>
              <w:rPr>
                <w:rFonts w:eastAsia="Calibri" w:cs="Arial"/>
                <w:sz w:val="20"/>
                <w:szCs w:val="22"/>
                <w:lang w:val="en-NZ" w:eastAsia="en-US"/>
              </w:rPr>
            </w:pPr>
          </w:p>
          <w:p w:rsidR="009C56EC" w:rsidRDefault="009C56EC" w:rsidP="00471AA4">
            <w:pPr>
              <w:spacing w:after="0" w:line="240" w:lineRule="auto"/>
              <w:rPr>
                <w:rFonts w:eastAsia="Calibri" w:cs="Arial"/>
                <w:sz w:val="20"/>
                <w:szCs w:val="22"/>
                <w:lang w:val="en-NZ" w:eastAsia="en-US"/>
              </w:rPr>
            </w:pPr>
            <w:r>
              <w:rPr>
                <w:rFonts w:eastAsia="Calibri" w:cs="Arial"/>
                <w:sz w:val="20"/>
                <w:szCs w:val="22"/>
                <w:lang w:val="en-NZ" w:eastAsia="en-US"/>
              </w:rPr>
              <w:t>T</w:t>
            </w:r>
            <w:r w:rsidRPr="003A3E2B">
              <w:rPr>
                <w:rFonts w:eastAsia="Calibri" w:cs="Arial"/>
                <w:sz w:val="20"/>
                <w:szCs w:val="22"/>
                <w:lang w:val="en-NZ" w:eastAsia="en-US"/>
              </w:rPr>
              <w:t>he focus would be on medicines (reasonably full</w:t>
            </w:r>
            <w:r>
              <w:rPr>
                <w:rFonts w:eastAsia="Calibri" w:cs="Arial"/>
                <w:sz w:val="20"/>
                <w:szCs w:val="22"/>
                <w:lang w:val="en-NZ" w:eastAsia="en-US"/>
              </w:rPr>
              <w:t>y</w:t>
            </w:r>
            <w:r w:rsidRPr="003A3E2B">
              <w:rPr>
                <w:rFonts w:eastAsia="Calibri" w:cs="Arial"/>
                <w:sz w:val="20"/>
                <w:szCs w:val="22"/>
                <w:lang w:val="en-NZ" w:eastAsia="en-US"/>
              </w:rPr>
              <w:t xml:space="preserve"> regulated at present) and medical devices (partially regulated at present).   </w:t>
            </w:r>
          </w:p>
          <w:p w:rsidR="009C56EC" w:rsidRDefault="009C56EC" w:rsidP="009C56EC">
            <w:pPr>
              <w:spacing w:after="0" w:line="240" w:lineRule="auto"/>
              <w:rPr>
                <w:rFonts w:eastAsia="Calibri" w:cs="Arial"/>
                <w:sz w:val="20"/>
                <w:szCs w:val="22"/>
                <w:lang w:val="en-NZ" w:eastAsia="en-US"/>
              </w:rPr>
            </w:pPr>
          </w:p>
        </w:tc>
        <w:tc>
          <w:tcPr>
            <w:tcW w:w="4372" w:type="dxa"/>
            <w:shd w:val="clear" w:color="auto" w:fill="auto"/>
          </w:tcPr>
          <w:p w:rsidR="001376E0" w:rsidRDefault="00207091" w:rsidP="00B66942">
            <w:pPr>
              <w:numPr>
                <w:ilvl w:val="0"/>
                <w:numId w:val="32"/>
              </w:numPr>
              <w:spacing w:after="0" w:line="240" w:lineRule="auto"/>
              <w:rPr>
                <w:rFonts w:eastAsia="Calibri" w:cs="Arial"/>
                <w:sz w:val="20"/>
                <w:szCs w:val="22"/>
                <w:lang w:val="en-NZ" w:eastAsia="en-US"/>
              </w:rPr>
            </w:pPr>
            <w:r>
              <w:rPr>
                <w:rFonts w:eastAsia="Calibri" w:cs="Arial"/>
                <w:sz w:val="20"/>
                <w:szCs w:val="22"/>
                <w:lang w:val="en-NZ" w:eastAsia="en-US"/>
              </w:rPr>
              <w:t xml:space="preserve">Some </w:t>
            </w:r>
            <w:r w:rsidR="00CB1427">
              <w:rPr>
                <w:rFonts w:eastAsia="Calibri" w:cs="Arial"/>
                <w:sz w:val="20"/>
                <w:szCs w:val="22"/>
                <w:lang w:val="en-NZ" w:eastAsia="en-US"/>
              </w:rPr>
              <w:t xml:space="preserve">potentially risky </w:t>
            </w:r>
            <w:r>
              <w:rPr>
                <w:rFonts w:eastAsia="Calibri" w:cs="Arial"/>
                <w:sz w:val="20"/>
                <w:szCs w:val="22"/>
                <w:lang w:val="en-NZ" w:eastAsia="en-US"/>
              </w:rPr>
              <w:t xml:space="preserve">products </w:t>
            </w:r>
            <w:r w:rsidR="00CB1427">
              <w:rPr>
                <w:rFonts w:eastAsia="Calibri" w:cs="Arial"/>
                <w:sz w:val="20"/>
                <w:szCs w:val="22"/>
                <w:lang w:val="en-NZ" w:eastAsia="en-US"/>
              </w:rPr>
              <w:t>are not covered</w:t>
            </w:r>
            <w:r w:rsidR="005C09BD">
              <w:rPr>
                <w:rFonts w:eastAsia="Calibri" w:cs="Arial"/>
                <w:sz w:val="20"/>
                <w:szCs w:val="22"/>
                <w:lang w:val="en-NZ" w:eastAsia="en-US"/>
              </w:rPr>
              <w:t xml:space="preserve"> (cell and tissue therap</w:t>
            </w:r>
            <w:r w:rsidR="00D11619">
              <w:rPr>
                <w:rFonts w:eastAsia="Calibri" w:cs="Arial"/>
                <w:sz w:val="20"/>
                <w:szCs w:val="22"/>
                <w:lang w:val="en-NZ" w:eastAsia="en-US"/>
              </w:rPr>
              <w:t>ies, and medical devices</w:t>
            </w:r>
            <w:r w:rsidR="005C09BD">
              <w:rPr>
                <w:rFonts w:eastAsia="Calibri" w:cs="Arial"/>
                <w:sz w:val="20"/>
                <w:szCs w:val="22"/>
                <w:lang w:val="en-NZ" w:eastAsia="en-US"/>
              </w:rPr>
              <w:t>)</w:t>
            </w:r>
            <w:r w:rsidR="001376E0">
              <w:rPr>
                <w:rFonts w:eastAsia="Calibri" w:cs="Arial"/>
                <w:sz w:val="20"/>
                <w:szCs w:val="22"/>
                <w:lang w:val="en-NZ" w:eastAsia="en-US"/>
              </w:rPr>
              <w:t>.</w:t>
            </w:r>
          </w:p>
          <w:p w:rsidR="001376E0" w:rsidRDefault="001376E0" w:rsidP="001376E0">
            <w:pPr>
              <w:spacing w:after="0" w:line="240" w:lineRule="auto"/>
              <w:ind w:left="360"/>
              <w:rPr>
                <w:rFonts w:eastAsia="Calibri" w:cs="Arial"/>
                <w:sz w:val="20"/>
                <w:szCs w:val="22"/>
                <w:lang w:val="en-NZ" w:eastAsia="en-US"/>
              </w:rPr>
            </w:pPr>
          </w:p>
          <w:p w:rsidR="00207091" w:rsidRDefault="001376E0" w:rsidP="00B66942">
            <w:pPr>
              <w:numPr>
                <w:ilvl w:val="0"/>
                <w:numId w:val="32"/>
              </w:numPr>
              <w:spacing w:after="0" w:line="240" w:lineRule="auto"/>
              <w:rPr>
                <w:rFonts w:eastAsia="Calibri" w:cs="Arial"/>
                <w:sz w:val="20"/>
                <w:szCs w:val="22"/>
                <w:lang w:val="en-NZ" w:eastAsia="en-US"/>
              </w:rPr>
            </w:pPr>
            <w:r>
              <w:rPr>
                <w:rFonts w:eastAsia="Calibri" w:cs="Arial"/>
                <w:sz w:val="20"/>
                <w:szCs w:val="22"/>
                <w:lang w:val="en-NZ" w:eastAsia="en-US"/>
              </w:rPr>
              <w:t xml:space="preserve">Some products are </w:t>
            </w:r>
            <w:r w:rsidR="005C09BD">
              <w:rPr>
                <w:rFonts w:eastAsia="Calibri" w:cs="Arial"/>
                <w:sz w:val="20"/>
                <w:szCs w:val="22"/>
                <w:lang w:val="en-NZ" w:eastAsia="en-US"/>
              </w:rPr>
              <w:t>not covered sufficiently for risk management purposes (medical devices)</w:t>
            </w:r>
            <w:r w:rsidR="00CB1427">
              <w:rPr>
                <w:rFonts w:eastAsia="Calibri" w:cs="Arial"/>
                <w:sz w:val="20"/>
                <w:szCs w:val="22"/>
                <w:lang w:val="en-NZ" w:eastAsia="en-US"/>
              </w:rPr>
              <w:t>.</w:t>
            </w:r>
            <w:r w:rsidR="00207091">
              <w:rPr>
                <w:rFonts w:eastAsia="Calibri" w:cs="Arial"/>
                <w:sz w:val="20"/>
                <w:szCs w:val="22"/>
                <w:lang w:val="en-NZ" w:eastAsia="en-US"/>
              </w:rPr>
              <w:t xml:space="preserve"> </w:t>
            </w:r>
          </w:p>
          <w:p w:rsidR="00CB1427" w:rsidRDefault="00CB1427" w:rsidP="00CB1427">
            <w:pPr>
              <w:spacing w:after="0" w:line="240" w:lineRule="auto"/>
              <w:rPr>
                <w:rFonts w:eastAsia="Calibri" w:cs="Arial"/>
                <w:sz w:val="20"/>
                <w:szCs w:val="22"/>
                <w:lang w:val="en-NZ" w:eastAsia="en-US"/>
              </w:rPr>
            </w:pPr>
          </w:p>
          <w:p w:rsidR="00EF6936" w:rsidRPr="005C09BD" w:rsidRDefault="00EF6936" w:rsidP="001376E0">
            <w:pPr>
              <w:spacing w:after="0" w:line="240" w:lineRule="auto"/>
              <w:ind w:left="360"/>
              <w:rPr>
                <w:rFonts w:eastAsia="Calibri" w:cs="Arial"/>
                <w:sz w:val="20"/>
                <w:szCs w:val="22"/>
                <w:lang w:val="en-NZ" w:eastAsia="en-US"/>
              </w:rPr>
            </w:pPr>
          </w:p>
        </w:tc>
      </w:tr>
      <w:tr w:rsidR="009C56EC" w:rsidRPr="003A3E2B" w:rsidTr="00052091">
        <w:tc>
          <w:tcPr>
            <w:tcW w:w="1668" w:type="dxa"/>
            <w:tcBorders>
              <w:bottom w:val="single" w:sz="4" w:space="0" w:color="auto"/>
            </w:tcBorders>
            <w:shd w:val="clear" w:color="auto" w:fill="auto"/>
          </w:tcPr>
          <w:p w:rsidR="009C56EC" w:rsidRDefault="009C56EC"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Option 1 – </w:t>
            </w:r>
          </w:p>
          <w:p w:rsidR="009C56EC" w:rsidRPr="003A3E2B" w:rsidRDefault="009C56EC"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Expanded scope</w:t>
            </w:r>
          </w:p>
          <w:p w:rsidR="009C56EC" w:rsidRPr="003A3E2B" w:rsidRDefault="009C56EC" w:rsidP="003A3E2B">
            <w:pPr>
              <w:spacing w:after="0" w:line="240" w:lineRule="auto"/>
              <w:rPr>
                <w:rFonts w:eastAsia="Calibri" w:cs="Arial"/>
                <w:sz w:val="20"/>
                <w:szCs w:val="22"/>
                <w:lang w:val="en-NZ" w:eastAsia="en-US"/>
              </w:rPr>
            </w:pPr>
          </w:p>
        </w:tc>
        <w:tc>
          <w:tcPr>
            <w:tcW w:w="2976" w:type="dxa"/>
            <w:tcBorders>
              <w:bottom w:val="single" w:sz="4" w:space="0" w:color="auto"/>
            </w:tcBorders>
            <w:shd w:val="clear" w:color="auto" w:fill="auto"/>
          </w:tcPr>
          <w:p w:rsidR="009C56EC" w:rsidRPr="003A3E2B" w:rsidRDefault="009C56EC" w:rsidP="00471AA4">
            <w:pPr>
              <w:spacing w:after="0" w:line="240" w:lineRule="auto"/>
              <w:rPr>
                <w:rFonts w:eastAsia="Calibri" w:cs="Arial"/>
                <w:sz w:val="20"/>
                <w:szCs w:val="22"/>
                <w:lang w:val="en-NZ" w:eastAsia="en-US"/>
              </w:rPr>
            </w:pPr>
            <w:r>
              <w:rPr>
                <w:rFonts w:eastAsia="Calibri" w:cs="Arial"/>
                <w:sz w:val="20"/>
                <w:szCs w:val="22"/>
                <w:lang w:val="en-NZ" w:eastAsia="en-US"/>
              </w:rPr>
              <w:t>T</w:t>
            </w:r>
            <w:r w:rsidRPr="003A3E2B">
              <w:rPr>
                <w:rFonts w:eastAsia="Calibri" w:cs="Arial"/>
                <w:sz w:val="20"/>
                <w:szCs w:val="22"/>
                <w:lang w:val="en-NZ" w:eastAsia="en-US"/>
              </w:rPr>
              <w:t>he scope of the regime would be expanded to include one or more defined products (</w:t>
            </w:r>
            <w:proofErr w:type="spellStart"/>
            <w:r w:rsidRPr="003A3E2B">
              <w:rPr>
                <w:rFonts w:eastAsia="Calibri" w:cs="Arial"/>
                <w:sz w:val="20"/>
                <w:szCs w:val="22"/>
                <w:lang w:val="en-NZ" w:eastAsia="en-US"/>
              </w:rPr>
              <w:t>eg</w:t>
            </w:r>
            <w:proofErr w:type="spellEnd"/>
            <w:r w:rsidRPr="003A3E2B">
              <w:rPr>
                <w:rFonts w:eastAsia="Calibri" w:cs="Arial"/>
                <w:sz w:val="20"/>
                <w:szCs w:val="22"/>
                <w:lang w:val="en-NZ" w:eastAsia="en-US"/>
              </w:rPr>
              <w:t xml:space="preserve">, cell and tissue therapy). </w:t>
            </w:r>
            <w:r w:rsidR="001376E0">
              <w:rPr>
                <w:rFonts w:eastAsia="Calibri" w:cs="Arial"/>
                <w:sz w:val="20"/>
                <w:szCs w:val="22"/>
                <w:lang w:val="en-NZ" w:eastAsia="en-US"/>
              </w:rPr>
              <w:t>Some products, however, would remain outside of scope.</w:t>
            </w:r>
          </w:p>
          <w:p w:rsidR="009C56EC" w:rsidRDefault="009C56EC" w:rsidP="003A3E2B">
            <w:pPr>
              <w:spacing w:after="0" w:line="240" w:lineRule="auto"/>
              <w:rPr>
                <w:rFonts w:eastAsia="Calibri" w:cs="Arial"/>
                <w:sz w:val="20"/>
                <w:szCs w:val="22"/>
                <w:lang w:val="en-NZ" w:eastAsia="en-US"/>
              </w:rPr>
            </w:pPr>
          </w:p>
          <w:p w:rsidR="009C56EC" w:rsidRDefault="009C56EC" w:rsidP="003A3E2B">
            <w:pPr>
              <w:spacing w:after="0" w:line="240" w:lineRule="auto"/>
              <w:rPr>
                <w:rFonts w:eastAsia="Calibri" w:cs="Arial"/>
                <w:sz w:val="20"/>
                <w:szCs w:val="22"/>
                <w:lang w:val="en-NZ" w:eastAsia="en-US"/>
              </w:rPr>
            </w:pPr>
          </w:p>
        </w:tc>
        <w:tc>
          <w:tcPr>
            <w:tcW w:w="4372" w:type="dxa"/>
            <w:tcBorders>
              <w:bottom w:val="single" w:sz="4" w:space="0" w:color="auto"/>
            </w:tcBorders>
            <w:shd w:val="clear" w:color="auto" w:fill="auto"/>
          </w:tcPr>
          <w:p w:rsidR="001376E0" w:rsidRDefault="001376E0" w:rsidP="00B66942">
            <w:pPr>
              <w:numPr>
                <w:ilvl w:val="0"/>
                <w:numId w:val="43"/>
              </w:numPr>
              <w:spacing w:after="0" w:line="240" w:lineRule="auto"/>
              <w:rPr>
                <w:rFonts w:eastAsia="Calibri" w:cs="Arial"/>
                <w:sz w:val="20"/>
                <w:szCs w:val="22"/>
                <w:lang w:val="en-NZ" w:eastAsia="en-US"/>
              </w:rPr>
            </w:pPr>
            <w:r>
              <w:rPr>
                <w:rFonts w:eastAsia="Calibri" w:cs="Arial"/>
                <w:sz w:val="20"/>
                <w:szCs w:val="22"/>
                <w:lang w:val="en-NZ" w:eastAsia="en-US"/>
              </w:rPr>
              <w:t xml:space="preserve">Increase in compliance costs for industry whose products are brought within (or more within) the scope of regulation. </w:t>
            </w:r>
          </w:p>
          <w:p w:rsidR="001376E0" w:rsidRDefault="001376E0" w:rsidP="001376E0">
            <w:pPr>
              <w:spacing w:after="0" w:line="240" w:lineRule="auto"/>
              <w:ind w:left="360"/>
              <w:rPr>
                <w:rFonts w:eastAsia="Calibri" w:cs="Arial"/>
                <w:sz w:val="20"/>
                <w:szCs w:val="22"/>
                <w:lang w:val="en-NZ" w:eastAsia="en-US"/>
              </w:rPr>
            </w:pPr>
          </w:p>
          <w:p w:rsidR="001376E0" w:rsidRDefault="001376E0" w:rsidP="00B66942">
            <w:pPr>
              <w:numPr>
                <w:ilvl w:val="0"/>
                <w:numId w:val="43"/>
              </w:numPr>
              <w:spacing w:after="0" w:line="240" w:lineRule="auto"/>
              <w:rPr>
                <w:rFonts w:eastAsia="Calibri" w:cs="Arial"/>
                <w:sz w:val="20"/>
                <w:szCs w:val="22"/>
                <w:lang w:val="en-NZ" w:eastAsia="en-US"/>
              </w:rPr>
            </w:pPr>
            <w:r>
              <w:rPr>
                <w:rFonts w:eastAsia="Calibri" w:cs="Arial"/>
                <w:sz w:val="20"/>
                <w:szCs w:val="22"/>
                <w:lang w:val="en-NZ" w:eastAsia="en-US"/>
              </w:rPr>
              <w:t>Benefits for risk detection and risk management with associated health and safety benefits.</w:t>
            </w:r>
          </w:p>
          <w:p w:rsidR="001376E0" w:rsidRDefault="001376E0" w:rsidP="001376E0">
            <w:pPr>
              <w:spacing w:after="0" w:line="240" w:lineRule="auto"/>
              <w:rPr>
                <w:rFonts w:eastAsia="Calibri" w:cs="Arial"/>
                <w:sz w:val="20"/>
                <w:szCs w:val="22"/>
                <w:lang w:val="en-NZ" w:eastAsia="en-US"/>
              </w:rPr>
            </w:pPr>
          </w:p>
          <w:p w:rsidR="001376E0" w:rsidRPr="003A3E2B" w:rsidRDefault="001376E0" w:rsidP="00B66942">
            <w:pPr>
              <w:numPr>
                <w:ilvl w:val="0"/>
                <w:numId w:val="43"/>
              </w:num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A very-low risk product might be subject to very few or no requirements, whereas a high-risk product might be subject to more significant information and other requirements commensurate with its risk. </w:t>
            </w:r>
          </w:p>
          <w:p w:rsidR="00BB08A1" w:rsidRDefault="00BB08A1" w:rsidP="00BB08A1">
            <w:pPr>
              <w:spacing w:after="0" w:line="240" w:lineRule="auto"/>
              <w:ind w:left="360"/>
              <w:rPr>
                <w:rFonts w:eastAsia="Calibri" w:cs="Arial"/>
                <w:sz w:val="20"/>
                <w:szCs w:val="22"/>
                <w:lang w:val="en-NZ" w:eastAsia="en-US"/>
              </w:rPr>
            </w:pPr>
          </w:p>
          <w:p w:rsidR="001376E0" w:rsidRPr="00BB08A1" w:rsidRDefault="001376E0" w:rsidP="00B66942">
            <w:pPr>
              <w:numPr>
                <w:ilvl w:val="0"/>
                <w:numId w:val="43"/>
              </w:numPr>
              <w:spacing w:after="0" w:line="240" w:lineRule="auto"/>
              <w:rPr>
                <w:rFonts w:eastAsia="Calibri" w:cs="Arial"/>
                <w:sz w:val="20"/>
                <w:szCs w:val="22"/>
                <w:lang w:val="en-NZ" w:eastAsia="en-US"/>
              </w:rPr>
            </w:pPr>
            <w:r w:rsidRPr="00BB08A1">
              <w:rPr>
                <w:rFonts w:eastAsia="Calibri" w:cs="Arial"/>
                <w:sz w:val="20"/>
                <w:szCs w:val="22"/>
                <w:lang w:val="en-NZ" w:eastAsia="en-US"/>
              </w:rPr>
              <w:t>Excluding some products from the scop</w:t>
            </w:r>
            <w:r w:rsidR="00BB08A1" w:rsidRPr="00BB08A1">
              <w:rPr>
                <w:rFonts w:eastAsia="Calibri" w:cs="Arial"/>
                <w:sz w:val="20"/>
                <w:szCs w:val="22"/>
                <w:lang w:val="en-NZ" w:eastAsia="en-US"/>
              </w:rPr>
              <w:t>e of regulation is itself risky (</w:t>
            </w:r>
            <w:r w:rsidR="00BB08A1">
              <w:rPr>
                <w:rFonts w:eastAsia="Calibri" w:cs="Arial"/>
                <w:sz w:val="20"/>
                <w:szCs w:val="22"/>
                <w:lang w:val="en-NZ" w:eastAsia="en-US"/>
              </w:rPr>
              <w:t>p</w:t>
            </w:r>
            <w:r w:rsidRPr="00BB08A1">
              <w:rPr>
                <w:rFonts w:eastAsia="Calibri" w:cs="Arial"/>
                <w:sz w:val="20"/>
                <w:szCs w:val="22"/>
                <w:lang w:val="en-NZ" w:eastAsia="en-US"/>
              </w:rPr>
              <w:t>roducts seen as low-risk can turn out to be high risk</w:t>
            </w:r>
            <w:r w:rsidR="00BB08A1">
              <w:rPr>
                <w:rFonts w:eastAsia="Calibri" w:cs="Arial"/>
                <w:sz w:val="20"/>
                <w:szCs w:val="22"/>
                <w:lang w:val="en-NZ" w:eastAsia="en-US"/>
              </w:rPr>
              <w:t>)</w:t>
            </w:r>
            <w:r w:rsidRPr="00BB08A1">
              <w:rPr>
                <w:rFonts w:eastAsia="Calibri" w:cs="Arial"/>
                <w:sz w:val="20"/>
                <w:szCs w:val="22"/>
                <w:lang w:val="en-NZ" w:eastAsia="en-US"/>
              </w:rPr>
              <w:t xml:space="preserve">. </w:t>
            </w:r>
          </w:p>
          <w:p w:rsidR="001376E0" w:rsidRDefault="001376E0" w:rsidP="001376E0">
            <w:pPr>
              <w:spacing w:after="0" w:line="240" w:lineRule="auto"/>
              <w:ind w:left="360"/>
              <w:rPr>
                <w:rFonts w:eastAsia="Calibri" w:cs="Arial"/>
                <w:sz w:val="20"/>
                <w:szCs w:val="22"/>
                <w:lang w:val="en-NZ" w:eastAsia="en-US"/>
              </w:rPr>
            </w:pPr>
          </w:p>
          <w:p w:rsidR="001376E0" w:rsidRDefault="001376E0" w:rsidP="00B66942">
            <w:pPr>
              <w:numPr>
                <w:ilvl w:val="0"/>
                <w:numId w:val="32"/>
              </w:numPr>
              <w:spacing w:after="0" w:line="240" w:lineRule="auto"/>
              <w:rPr>
                <w:rFonts w:eastAsia="Calibri" w:cs="Arial"/>
                <w:sz w:val="20"/>
                <w:szCs w:val="22"/>
                <w:lang w:val="en-NZ" w:eastAsia="en-US"/>
              </w:rPr>
            </w:pPr>
            <w:r w:rsidRPr="005C09BD">
              <w:rPr>
                <w:rFonts w:eastAsia="Calibri" w:cs="Arial"/>
                <w:sz w:val="20"/>
                <w:szCs w:val="22"/>
                <w:lang w:val="en-NZ" w:eastAsia="en-US"/>
              </w:rPr>
              <w:t>In a complex and evolving market driven by technology, the nature and risk of products can change quickly</w:t>
            </w:r>
            <w:r w:rsidR="002D4EAA">
              <w:rPr>
                <w:rFonts w:eastAsia="Calibri" w:cs="Arial"/>
                <w:sz w:val="20"/>
                <w:szCs w:val="22"/>
                <w:lang w:val="en-NZ" w:eastAsia="en-US"/>
              </w:rPr>
              <w:t xml:space="preserve"> (making fixed boundaries difficult to manage in practice)</w:t>
            </w:r>
            <w:r w:rsidRPr="005C09BD">
              <w:rPr>
                <w:rFonts w:eastAsia="Calibri" w:cs="Arial"/>
                <w:sz w:val="20"/>
                <w:szCs w:val="22"/>
                <w:lang w:val="en-NZ" w:eastAsia="en-US"/>
              </w:rPr>
              <w:t>.</w:t>
            </w:r>
          </w:p>
          <w:p w:rsidR="009C56EC" w:rsidRPr="003A3E2B" w:rsidRDefault="009C56EC" w:rsidP="001376E0">
            <w:pPr>
              <w:spacing w:after="0" w:line="240" w:lineRule="auto"/>
              <w:rPr>
                <w:rFonts w:eastAsia="Calibri" w:cs="Arial"/>
                <w:sz w:val="20"/>
                <w:szCs w:val="22"/>
                <w:lang w:val="en-NZ" w:eastAsia="en-US"/>
              </w:rPr>
            </w:pPr>
          </w:p>
        </w:tc>
      </w:tr>
      <w:tr w:rsidR="00207091" w:rsidRPr="003A3E2B" w:rsidTr="00052091">
        <w:tc>
          <w:tcPr>
            <w:tcW w:w="1668" w:type="dxa"/>
            <w:tcBorders>
              <w:bottom w:val="single" w:sz="4" w:space="0" w:color="auto"/>
            </w:tcBorders>
            <w:shd w:val="clear" w:color="auto" w:fill="auto"/>
          </w:tcPr>
          <w:p w:rsidR="00207091" w:rsidRPr="003A3E2B" w:rsidRDefault="00207091"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Option 2 – Comprehensive scope (preferred) </w:t>
            </w:r>
          </w:p>
          <w:p w:rsidR="00207091" w:rsidRDefault="00207091" w:rsidP="003A3E2B">
            <w:pPr>
              <w:spacing w:after="0" w:line="240" w:lineRule="auto"/>
              <w:rPr>
                <w:rFonts w:eastAsia="Calibri" w:cs="Arial"/>
                <w:sz w:val="20"/>
                <w:szCs w:val="22"/>
                <w:lang w:val="en-NZ" w:eastAsia="en-US"/>
              </w:rPr>
            </w:pPr>
          </w:p>
          <w:p w:rsidR="00495157" w:rsidRDefault="00495157" w:rsidP="003A3E2B">
            <w:pPr>
              <w:spacing w:after="0" w:line="240" w:lineRule="auto"/>
              <w:rPr>
                <w:rFonts w:eastAsia="Calibri" w:cs="Arial"/>
                <w:sz w:val="20"/>
                <w:szCs w:val="22"/>
                <w:lang w:val="en-NZ" w:eastAsia="en-US"/>
              </w:rPr>
            </w:pPr>
          </w:p>
          <w:p w:rsidR="00207091" w:rsidRPr="003A3E2B" w:rsidRDefault="00207091" w:rsidP="003A3E2B">
            <w:pPr>
              <w:spacing w:after="0" w:line="240" w:lineRule="auto"/>
              <w:rPr>
                <w:rFonts w:eastAsia="Calibri" w:cs="Arial"/>
                <w:sz w:val="20"/>
                <w:szCs w:val="22"/>
                <w:lang w:val="en-NZ" w:eastAsia="en-US"/>
              </w:rPr>
            </w:pPr>
          </w:p>
        </w:tc>
        <w:tc>
          <w:tcPr>
            <w:tcW w:w="2976" w:type="dxa"/>
            <w:tcBorders>
              <w:bottom w:val="single" w:sz="4" w:space="0" w:color="auto"/>
            </w:tcBorders>
            <w:shd w:val="clear" w:color="auto" w:fill="auto"/>
          </w:tcPr>
          <w:p w:rsidR="00207091" w:rsidRDefault="00207091" w:rsidP="009C56EC">
            <w:pPr>
              <w:spacing w:after="0" w:line="240" w:lineRule="auto"/>
              <w:rPr>
                <w:rFonts w:eastAsia="Calibri" w:cs="Arial"/>
                <w:sz w:val="20"/>
                <w:szCs w:val="22"/>
                <w:lang w:val="en-NZ" w:eastAsia="en-US"/>
              </w:rPr>
            </w:pPr>
            <w:r>
              <w:rPr>
                <w:rFonts w:eastAsia="Calibri" w:cs="Arial"/>
                <w:sz w:val="20"/>
                <w:szCs w:val="22"/>
                <w:lang w:val="en-NZ" w:eastAsia="en-US"/>
              </w:rPr>
              <w:t>T</w:t>
            </w:r>
            <w:r w:rsidRPr="003A3E2B">
              <w:rPr>
                <w:rFonts w:eastAsia="Calibri" w:cs="Arial"/>
                <w:sz w:val="20"/>
                <w:szCs w:val="22"/>
                <w:lang w:val="en-NZ" w:eastAsia="en-US"/>
              </w:rPr>
              <w:t xml:space="preserve">he scope of the regime would be expanded to include all therapeutic products or all products having a therapeutic purpose.   </w:t>
            </w:r>
          </w:p>
        </w:tc>
        <w:tc>
          <w:tcPr>
            <w:tcW w:w="4372" w:type="dxa"/>
            <w:tcBorders>
              <w:bottom w:val="single" w:sz="4" w:space="0" w:color="auto"/>
            </w:tcBorders>
            <w:shd w:val="clear" w:color="auto" w:fill="auto"/>
          </w:tcPr>
          <w:p w:rsidR="001376E0" w:rsidRDefault="001376E0" w:rsidP="00B66942">
            <w:pPr>
              <w:numPr>
                <w:ilvl w:val="0"/>
                <w:numId w:val="43"/>
              </w:numPr>
              <w:spacing w:after="0" w:line="240" w:lineRule="auto"/>
              <w:rPr>
                <w:rFonts w:eastAsia="Calibri" w:cs="Arial"/>
                <w:sz w:val="20"/>
                <w:szCs w:val="22"/>
                <w:lang w:val="en-NZ" w:eastAsia="en-US"/>
              </w:rPr>
            </w:pPr>
            <w:r>
              <w:rPr>
                <w:rFonts w:eastAsia="Calibri" w:cs="Arial"/>
                <w:sz w:val="20"/>
                <w:szCs w:val="22"/>
                <w:lang w:val="en-NZ" w:eastAsia="en-US"/>
              </w:rPr>
              <w:t>The impacts will be similar to those for Option 1 above</w:t>
            </w:r>
            <w:r w:rsidR="00562E34">
              <w:rPr>
                <w:rFonts w:eastAsia="Calibri" w:cs="Arial"/>
                <w:sz w:val="20"/>
                <w:szCs w:val="22"/>
                <w:lang w:val="en-NZ" w:eastAsia="en-US"/>
              </w:rPr>
              <w:t>.</w:t>
            </w:r>
          </w:p>
          <w:p w:rsidR="001376E0" w:rsidRDefault="001376E0" w:rsidP="001376E0">
            <w:pPr>
              <w:spacing w:after="0" w:line="240" w:lineRule="auto"/>
              <w:ind w:left="360"/>
              <w:rPr>
                <w:rFonts w:eastAsia="Calibri" w:cs="Arial"/>
                <w:sz w:val="20"/>
                <w:szCs w:val="22"/>
                <w:lang w:val="en-NZ" w:eastAsia="en-US"/>
              </w:rPr>
            </w:pPr>
          </w:p>
          <w:p w:rsidR="00207091" w:rsidRDefault="00207091" w:rsidP="00B66942">
            <w:pPr>
              <w:numPr>
                <w:ilvl w:val="0"/>
                <w:numId w:val="43"/>
              </w:num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The advantage of having all products within scope is that it requires the regulator to align the regulatory approach with the assessed </w:t>
            </w:r>
            <w:r>
              <w:rPr>
                <w:rFonts w:eastAsia="Calibri" w:cs="Arial"/>
                <w:sz w:val="20"/>
                <w:szCs w:val="22"/>
                <w:lang w:val="en-NZ" w:eastAsia="en-US"/>
              </w:rPr>
              <w:t xml:space="preserve">(or pre-assessed) </w:t>
            </w:r>
            <w:r w:rsidRPr="003A3E2B">
              <w:rPr>
                <w:rFonts w:eastAsia="Calibri" w:cs="Arial"/>
                <w:sz w:val="20"/>
                <w:szCs w:val="22"/>
                <w:lang w:val="en-NZ" w:eastAsia="en-US"/>
              </w:rPr>
              <w:t>risk, and no products fall between the cracks</w:t>
            </w:r>
            <w:r w:rsidR="00021B06">
              <w:rPr>
                <w:rFonts w:eastAsia="Calibri" w:cs="Arial"/>
                <w:sz w:val="20"/>
                <w:szCs w:val="22"/>
                <w:lang w:val="en-NZ" w:eastAsia="en-US"/>
              </w:rPr>
              <w:t xml:space="preserve"> (ie, future-proofed for products not yet invented)</w:t>
            </w:r>
            <w:r w:rsidRPr="003A3E2B">
              <w:rPr>
                <w:rFonts w:eastAsia="Calibri" w:cs="Arial"/>
                <w:sz w:val="20"/>
                <w:szCs w:val="22"/>
                <w:lang w:val="en-NZ" w:eastAsia="en-US"/>
              </w:rPr>
              <w:t>.</w:t>
            </w:r>
          </w:p>
          <w:p w:rsidR="00711AD3" w:rsidRPr="0008116C" w:rsidRDefault="00711AD3" w:rsidP="00711AD3">
            <w:pPr>
              <w:spacing w:after="0" w:line="240" w:lineRule="auto"/>
              <w:rPr>
                <w:rFonts w:eastAsia="Calibri" w:cs="Arial"/>
                <w:sz w:val="20"/>
                <w:szCs w:val="22"/>
                <w:lang w:val="en-NZ" w:eastAsia="en-US"/>
              </w:rPr>
            </w:pPr>
          </w:p>
        </w:tc>
      </w:tr>
    </w:tbl>
    <w:p w:rsidR="00202FA1" w:rsidRDefault="00202FA1" w:rsidP="000E054D">
      <w:pPr>
        <w:pStyle w:val="TableBullet"/>
        <w:numPr>
          <w:ilvl w:val="0"/>
          <w:numId w:val="0"/>
        </w:numPr>
        <w:spacing w:after="0" w:line="240" w:lineRule="auto"/>
        <w:rPr>
          <w:b/>
          <w:i/>
        </w:rPr>
      </w:pPr>
    </w:p>
    <w:p w:rsidR="000E054D" w:rsidRPr="00F71EFD" w:rsidRDefault="000E054D" w:rsidP="00F71EFD">
      <w:pPr>
        <w:pStyle w:val="Heading4"/>
        <w:rPr>
          <w:b/>
          <w:i/>
          <w:u w:val="none"/>
        </w:rPr>
      </w:pPr>
      <w:r w:rsidRPr="00F71EFD">
        <w:rPr>
          <w:b/>
          <w:i/>
          <w:u w:val="none"/>
        </w:rPr>
        <w:t>Administrative / institutional</w:t>
      </w:r>
    </w:p>
    <w:p w:rsidR="00B74A60" w:rsidRDefault="00B74A60" w:rsidP="00B74A60">
      <w:pPr>
        <w:spacing w:after="0" w:line="240" w:lineRule="auto"/>
        <w:rPr>
          <w:rFonts w:eastAsia="Calibri" w:cs="Arial"/>
          <w:b/>
          <w:szCs w:val="22"/>
          <w:lang w:val="en-NZ" w:eastAsia="en-US"/>
        </w:rPr>
      </w:pPr>
    </w:p>
    <w:p w:rsidR="00B74A60" w:rsidRPr="00830E17" w:rsidRDefault="00B74A60" w:rsidP="00830E17">
      <w:pPr>
        <w:pStyle w:val="Heading5"/>
        <w:rPr>
          <w:rFonts w:eastAsia="Calibri"/>
          <w:b/>
          <w:i w:val="0"/>
          <w:lang w:val="en-NZ" w:eastAsia="en-US"/>
        </w:rPr>
      </w:pPr>
      <w:r w:rsidRPr="00830E17">
        <w:rPr>
          <w:rFonts w:eastAsia="Calibri"/>
          <w:b/>
          <w:i w:val="0"/>
          <w:lang w:val="en-NZ" w:eastAsia="en-US"/>
        </w:rPr>
        <w:t>Issue 4: Powers</w:t>
      </w:r>
    </w:p>
    <w:p w:rsidR="00B74A60" w:rsidRPr="00B74A60" w:rsidRDefault="00B74A60" w:rsidP="00B74A60">
      <w:pPr>
        <w:spacing w:after="0" w:line="240" w:lineRule="auto"/>
        <w:rPr>
          <w:rFonts w:eastAsia="Calibri" w:cs="Arial"/>
          <w:szCs w:val="22"/>
          <w:lang w:val="en-NZ" w:eastAsia="en-US"/>
        </w:rPr>
      </w:pPr>
    </w:p>
    <w:p w:rsidR="00B74A60" w:rsidRPr="00B74A60" w:rsidRDefault="00B5252C" w:rsidP="00E440A3">
      <w:pPr>
        <w:pStyle w:val="BodyText"/>
        <w:rPr>
          <w:rFonts w:eastAsia="Calibri"/>
        </w:rPr>
      </w:pPr>
      <w:r>
        <w:rPr>
          <w:rFonts w:eastAsia="Calibri"/>
        </w:rPr>
        <w:t>D</w:t>
      </w:r>
      <w:r w:rsidR="00B74A60" w:rsidRPr="00B74A60">
        <w:rPr>
          <w:rFonts w:eastAsia="Calibri"/>
        </w:rPr>
        <w:t xml:space="preserve">ecision rights for various regulatory requirements </w:t>
      </w:r>
      <w:r>
        <w:rPr>
          <w:rFonts w:eastAsia="Calibri"/>
        </w:rPr>
        <w:t xml:space="preserve">should be at </w:t>
      </w:r>
      <w:r w:rsidR="00B74A60" w:rsidRPr="00B74A60">
        <w:rPr>
          <w:rFonts w:eastAsia="Calibri"/>
        </w:rPr>
        <w:t xml:space="preserve">the appropriate level with the supporting accountability between each.  </w:t>
      </w:r>
    </w:p>
    <w:p w:rsidR="00B5252C" w:rsidRDefault="00B5252C" w:rsidP="00E440A3">
      <w:pPr>
        <w:pStyle w:val="BodyText"/>
        <w:rPr>
          <w:rFonts w:eastAsia="Calibri"/>
        </w:rPr>
      </w:pPr>
      <w:r>
        <w:rPr>
          <w:rFonts w:eastAsia="Calibri"/>
        </w:rPr>
        <w:t>This is an issue on which</w:t>
      </w:r>
      <w:r w:rsidR="003F579E">
        <w:rPr>
          <w:rFonts w:eastAsia="Calibri"/>
        </w:rPr>
        <w:t xml:space="preserve"> the</w:t>
      </w:r>
      <w:r>
        <w:rPr>
          <w:rFonts w:eastAsia="Calibri"/>
        </w:rPr>
        <w:t xml:space="preserve"> Parliamentary Counsel Office </w:t>
      </w:r>
      <w:r w:rsidR="003F579E">
        <w:rPr>
          <w:rFonts w:eastAsia="Calibri"/>
        </w:rPr>
        <w:t xml:space="preserve">and the Legislative Design Advisory Committee </w:t>
      </w:r>
      <w:r w:rsidR="00A01064">
        <w:rPr>
          <w:rFonts w:eastAsia="Calibri"/>
        </w:rPr>
        <w:t>can provide expertise, but it is not solely a legislative design issue; it also needs to be informed by judgment on the policy/regulatory requirements.</w:t>
      </w:r>
    </w:p>
    <w:p w:rsidR="00B74A60" w:rsidRPr="00B74A60" w:rsidRDefault="00B74A60" w:rsidP="00E440A3">
      <w:pPr>
        <w:pStyle w:val="BodyText"/>
        <w:rPr>
          <w:rFonts w:eastAsia="Calibri"/>
        </w:rPr>
      </w:pPr>
      <w:r w:rsidRPr="00B74A60">
        <w:rPr>
          <w:rFonts w:eastAsia="Calibri"/>
        </w:rPr>
        <w:t>The following structure illustrates a typical hierarchy of relationships:</w:t>
      </w:r>
    </w:p>
    <w:tbl>
      <w:tblPr>
        <w:tblW w:w="0" w:type="auto"/>
        <w:tblInd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3715"/>
      </w:tblGrid>
      <w:tr w:rsidR="00B74A60" w:rsidRPr="003A3E2B" w:rsidTr="002D4EAA">
        <w:tc>
          <w:tcPr>
            <w:tcW w:w="2503" w:type="dxa"/>
            <w:shd w:val="clear" w:color="auto" w:fill="auto"/>
          </w:tcPr>
          <w:p w:rsidR="00B74A60" w:rsidRPr="003A3E2B" w:rsidRDefault="00B74A60" w:rsidP="003A3E2B">
            <w:pPr>
              <w:spacing w:after="0" w:line="240" w:lineRule="auto"/>
              <w:contextualSpacing/>
              <w:rPr>
                <w:rFonts w:eastAsia="Calibri" w:cs="Arial"/>
                <w:b/>
                <w:sz w:val="20"/>
                <w:szCs w:val="22"/>
                <w:lang w:val="en-NZ" w:eastAsia="en-US"/>
              </w:rPr>
            </w:pPr>
            <w:r w:rsidRPr="003A3E2B">
              <w:rPr>
                <w:rFonts w:eastAsia="Calibri" w:cs="Arial"/>
                <w:b/>
                <w:sz w:val="20"/>
                <w:szCs w:val="22"/>
                <w:lang w:val="en-NZ" w:eastAsia="en-US"/>
              </w:rPr>
              <w:t xml:space="preserve">Decision level </w:t>
            </w:r>
          </w:p>
          <w:p w:rsidR="00B74A60" w:rsidRPr="003A3E2B" w:rsidRDefault="00B74A60" w:rsidP="003A3E2B">
            <w:pPr>
              <w:spacing w:after="0" w:line="240" w:lineRule="auto"/>
              <w:contextualSpacing/>
              <w:rPr>
                <w:rFonts w:eastAsia="Calibri" w:cs="Arial"/>
                <w:b/>
                <w:sz w:val="20"/>
                <w:szCs w:val="22"/>
                <w:lang w:val="en-NZ" w:eastAsia="en-US"/>
              </w:rPr>
            </w:pPr>
          </w:p>
        </w:tc>
        <w:tc>
          <w:tcPr>
            <w:tcW w:w="3715" w:type="dxa"/>
            <w:shd w:val="clear" w:color="auto" w:fill="auto"/>
          </w:tcPr>
          <w:p w:rsidR="00B74A60" w:rsidRPr="003A3E2B" w:rsidRDefault="00B74A60" w:rsidP="003A3E2B">
            <w:pPr>
              <w:spacing w:after="0" w:line="240" w:lineRule="auto"/>
              <w:contextualSpacing/>
              <w:rPr>
                <w:rFonts w:eastAsia="Calibri" w:cs="Arial"/>
                <w:b/>
                <w:sz w:val="20"/>
                <w:szCs w:val="22"/>
                <w:lang w:val="en-NZ" w:eastAsia="en-US"/>
              </w:rPr>
            </w:pPr>
            <w:r w:rsidRPr="003A3E2B">
              <w:rPr>
                <w:rFonts w:eastAsia="Calibri" w:cs="Arial"/>
                <w:b/>
                <w:sz w:val="20"/>
                <w:szCs w:val="22"/>
                <w:lang w:val="en-NZ" w:eastAsia="en-US"/>
              </w:rPr>
              <w:t>Legislative/administrative vehicle</w:t>
            </w:r>
          </w:p>
        </w:tc>
      </w:tr>
      <w:tr w:rsidR="00B74A60" w:rsidRPr="003A3E2B" w:rsidTr="002D4EAA">
        <w:tc>
          <w:tcPr>
            <w:tcW w:w="2503" w:type="dxa"/>
            <w:shd w:val="clear" w:color="auto" w:fill="auto"/>
          </w:tcPr>
          <w:p w:rsidR="00B74A60" w:rsidRDefault="00B74A60" w:rsidP="003A3E2B">
            <w:pPr>
              <w:spacing w:after="0" w:line="240" w:lineRule="auto"/>
              <w:contextualSpacing/>
              <w:rPr>
                <w:rFonts w:eastAsia="Calibri" w:cs="Arial"/>
                <w:sz w:val="20"/>
                <w:szCs w:val="22"/>
                <w:lang w:val="en-NZ" w:eastAsia="en-US"/>
              </w:rPr>
            </w:pPr>
            <w:r w:rsidRPr="003A3E2B">
              <w:rPr>
                <w:rFonts w:eastAsia="Calibri" w:cs="Arial"/>
                <w:sz w:val="20"/>
                <w:szCs w:val="22"/>
                <w:lang w:val="en-NZ" w:eastAsia="en-US"/>
              </w:rPr>
              <w:t>Parliament</w:t>
            </w:r>
          </w:p>
          <w:p w:rsidR="00202FA1" w:rsidRPr="003A3E2B" w:rsidRDefault="00202FA1" w:rsidP="003A3E2B">
            <w:pPr>
              <w:spacing w:after="0" w:line="240" w:lineRule="auto"/>
              <w:contextualSpacing/>
              <w:rPr>
                <w:rFonts w:eastAsia="Calibri" w:cs="Arial"/>
                <w:sz w:val="20"/>
                <w:szCs w:val="22"/>
                <w:lang w:val="en-NZ" w:eastAsia="en-US"/>
              </w:rPr>
            </w:pPr>
          </w:p>
        </w:tc>
        <w:tc>
          <w:tcPr>
            <w:tcW w:w="3715" w:type="dxa"/>
            <w:shd w:val="clear" w:color="auto" w:fill="auto"/>
          </w:tcPr>
          <w:p w:rsidR="00B74A60" w:rsidRPr="003A3E2B" w:rsidRDefault="00B74A60" w:rsidP="003A3E2B">
            <w:pPr>
              <w:spacing w:after="0" w:line="240" w:lineRule="auto"/>
              <w:contextualSpacing/>
              <w:rPr>
                <w:rFonts w:eastAsia="Calibri" w:cs="Arial"/>
                <w:sz w:val="20"/>
                <w:szCs w:val="22"/>
                <w:lang w:val="en-NZ" w:eastAsia="en-US"/>
              </w:rPr>
            </w:pPr>
            <w:r w:rsidRPr="003A3E2B">
              <w:rPr>
                <w:rFonts w:eastAsia="Calibri" w:cs="Arial"/>
                <w:sz w:val="20"/>
                <w:szCs w:val="22"/>
                <w:lang w:val="en-NZ" w:eastAsia="en-US"/>
              </w:rPr>
              <w:t>Act of Parliament (primary legislation)</w:t>
            </w:r>
          </w:p>
        </w:tc>
      </w:tr>
      <w:tr w:rsidR="00B74A60" w:rsidRPr="003A3E2B" w:rsidTr="002D4EAA">
        <w:tc>
          <w:tcPr>
            <w:tcW w:w="2503" w:type="dxa"/>
            <w:shd w:val="clear" w:color="auto" w:fill="auto"/>
          </w:tcPr>
          <w:p w:rsidR="00202FA1" w:rsidRPr="003A3E2B" w:rsidRDefault="00B74A60" w:rsidP="003A3E2B">
            <w:pPr>
              <w:spacing w:after="0" w:line="240" w:lineRule="auto"/>
              <w:contextualSpacing/>
              <w:rPr>
                <w:rFonts w:eastAsia="Calibri" w:cs="Arial"/>
                <w:sz w:val="20"/>
                <w:szCs w:val="22"/>
                <w:lang w:val="en-NZ" w:eastAsia="en-US"/>
              </w:rPr>
            </w:pPr>
            <w:r w:rsidRPr="003A3E2B">
              <w:rPr>
                <w:rFonts w:eastAsia="Calibri" w:cs="Arial"/>
                <w:sz w:val="20"/>
                <w:szCs w:val="22"/>
                <w:lang w:val="en-NZ" w:eastAsia="en-US"/>
              </w:rPr>
              <w:t>Minister(s)</w:t>
            </w:r>
          </w:p>
        </w:tc>
        <w:tc>
          <w:tcPr>
            <w:tcW w:w="3715" w:type="dxa"/>
            <w:shd w:val="clear" w:color="auto" w:fill="auto"/>
          </w:tcPr>
          <w:p w:rsidR="00B74A60" w:rsidRDefault="00B74A60" w:rsidP="003A3E2B">
            <w:pPr>
              <w:spacing w:after="0" w:line="240" w:lineRule="auto"/>
              <w:contextualSpacing/>
              <w:rPr>
                <w:rFonts w:eastAsia="Calibri" w:cs="Arial"/>
                <w:sz w:val="20"/>
                <w:szCs w:val="22"/>
                <w:lang w:val="en-NZ" w:eastAsia="en-US"/>
              </w:rPr>
            </w:pPr>
            <w:r w:rsidRPr="003A3E2B">
              <w:rPr>
                <w:rFonts w:eastAsia="Calibri" w:cs="Arial"/>
                <w:sz w:val="20"/>
                <w:szCs w:val="22"/>
                <w:lang w:val="en-NZ" w:eastAsia="en-US"/>
              </w:rPr>
              <w:t>Regulations (secondary)</w:t>
            </w:r>
          </w:p>
          <w:p w:rsidR="00711AD3" w:rsidRPr="003A3E2B" w:rsidRDefault="00711AD3" w:rsidP="003A3E2B">
            <w:pPr>
              <w:spacing w:after="0" w:line="240" w:lineRule="auto"/>
              <w:contextualSpacing/>
              <w:rPr>
                <w:rFonts w:eastAsia="Calibri" w:cs="Arial"/>
                <w:sz w:val="20"/>
                <w:szCs w:val="22"/>
                <w:lang w:val="en-NZ" w:eastAsia="en-US"/>
              </w:rPr>
            </w:pPr>
          </w:p>
        </w:tc>
      </w:tr>
      <w:tr w:rsidR="00B74A60" w:rsidRPr="003A3E2B" w:rsidTr="002D4EAA">
        <w:tc>
          <w:tcPr>
            <w:tcW w:w="2503" w:type="dxa"/>
            <w:shd w:val="clear" w:color="auto" w:fill="auto"/>
          </w:tcPr>
          <w:p w:rsidR="00B74A60" w:rsidRDefault="00B74A60" w:rsidP="003A3E2B">
            <w:pPr>
              <w:spacing w:after="0" w:line="240" w:lineRule="auto"/>
              <w:contextualSpacing/>
              <w:rPr>
                <w:rFonts w:eastAsia="Calibri" w:cs="Arial"/>
                <w:sz w:val="20"/>
                <w:szCs w:val="22"/>
                <w:lang w:val="en-NZ" w:eastAsia="en-US"/>
              </w:rPr>
            </w:pPr>
            <w:r w:rsidRPr="003A3E2B">
              <w:rPr>
                <w:rFonts w:eastAsia="Calibri" w:cs="Arial"/>
                <w:sz w:val="20"/>
                <w:szCs w:val="22"/>
                <w:lang w:val="en-NZ" w:eastAsia="en-US"/>
              </w:rPr>
              <w:t>Government agency</w:t>
            </w:r>
          </w:p>
          <w:p w:rsidR="00202FA1" w:rsidRPr="003A3E2B" w:rsidRDefault="00202FA1" w:rsidP="003A3E2B">
            <w:pPr>
              <w:spacing w:after="0" w:line="240" w:lineRule="auto"/>
              <w:contextualSpacing/>
              <w:rPr>
                <w:rFonts w:eastAsia="Calibri" w:cs="Arial"/>
                <w:sz w:val="20"/>
                <w:szCs w:val="22"/>
                <w:lang w:val="en-NZ" w:eastAsia="en-US"/>
              </w:rPr>
            </w:pPr>
          </w:p>
        </w:tc>
        <w:tc>
          <w:tcPr>
            <w:tcW w:w="3715" w:type="dxa"/>
            <w:shd w:val="clear" w:color="auto" w:fill="auto"/>
          </w:tcPr>
          <w:p w:rsidR="00B74A60" w:rsidRPr="003A3E2B" w:rsidRDefault="00B74A60" w:rsidP="003A3E2B">
            <w:pPr>
              <w:spacing w:after="0" w:line="240" w:lineRule="auto"/>
              <w:contextualSpacing/>
              <w:rPr>
                <w:rFonts w:eastAsia="Calibri" w:cs="Arial"/>
                <w:sz w:val="20"/>
                <w:szCs w:val="22"/>
                <w:lang w:val="en-NZ" w:eastAsia="en-US"/>
              </w:rPr>
            </w:pPr>
            <w:r w:rsidRPr="003A3E2B">
              <w:rPr>
                <w:rFonts w:eastAsia="Calibri" w:cs="Arial"/>
                <w:sz w:val="20"/>
                <w:szCs w:val="22"/>
                <w:lang w:val="en-NZ" w:eastAsia="en-US"/>
              </w:rPr>
              <w:t>Notices (tertiary instrument)</w:t>
            </w:r>
          </w:p>
        </w:tc>
      </w:tr>
      <w:tr w:rsidR="00B74A60" w:rsidRPr="003A3E2B" w:rsidTr="002D4EAA">
        <w:tc>
          <w:tcPr>
            <w:tcW w:w="2503" w:type="dxa"/>
            <w:shd w:val="clear" w:color="auto" w:fill="auto"/>
          </w:tcPr>
          <w:p w:rsidR="00B74A60" w:rsidRDefault="00B74A60" w:rsidP="003A3E2B">
            <w:pPr>
              <w:spacing w:after="0" w:line="240" w:lineRule="auto"/>
              <w:contextualSpacing/>
              <w:rPr>
                <w:rFonts w:eastAsia="Calibri" w:cs="Arial"/>
                <w:sz w:val="20"/>
                <w:szCs w:val="22"/>
                <w:lang w:val="en-NZ" w:eastAsia="en-US"/>
              </w:rPr>
            </w:pPr>
            <w:r w:rsidRPr="003A3E2B">
              <w:rPr>
                <w:rFonts w:eastAsia="Calibri" w:cs="Arial"/>
                <w:sz w:val="20"/>
                <w:szCs w:val="22"/>
                <w:lang w:val="en-NZ" w:eastAsia="en-US"/>
              </w:rPr>
              <w:t xml:space="preserve">Delegated within agency </w:t>
            </w:r>
          </w:p>
          <w:p w:rsidR="00202FA1" w:rsidRPr="003A3E2B" w:rsidRDefault="00202FA1" w:rsidP="003A3E2B">
            <w:pPr>
              <w:spacing w:after="0" w:line="240" w:lineRule="auto"/>
              <w:contextualSpacing/>
              <w:rPr>
                <w:rFonts w:eastAsia="Calibri" w:cs="Arial"/>
                <w:sz w:val="20"/>
                <w:szCs w:val="22"/>
                <w:lang w:val="en-NZ" w:eastAsia="en-US"/>
              </w:rPr>
            </w:pPr>
          </w:p>
        </w:tc>
        <w:tc>
          <w:tcPr>
            <w:tcW w:w="3715" w:type="dxa"/>
            <w:shd w:val="clear" w:color="auto" w:fill="auto"/>
          </w:tcPr>
          <w:p w:rsidR="00B74A60" w:rsidRDefault="00B74A60" w:rsidP="003A3E2B">
            <w:pPr>
              <w:spacing w:after="0" w:line="240" w:lineRule="auto"/>
              <w:contextualSpacing/>
              <w:rPr>
                <w:rFonts w:eastAsia="Calibri" w:cs="Arial"/>
                <w:sz w:val="20"/>
                <w:szCs w:val="22"/>
                <w:lang w:val="en-NZ" w:eastAsia="en-US"/>
              </w:rPr>
            </w:pPr>
            <w:r w:rsidRPr="003A3E2B">
              <w:rPr>
                <w:rFonts w:eastAsia="Calibri" w:cs="Arial"/>
                <w:sz w:val="20"/>
                <w:szCs w:val="22"/>
                <w:lang w:val="en-NZ" w:eastAsia="en-US"/>
              </w:rPr>
              <w:t>Administrative Practice Guidelines</w:t>
            </w:r>
            <w:r w:rsidR="00202FA1">
              <w:rPr>
                <w:rFonts w:eastAsia="Calibri" w:cs="Arial"/>
                <w:sz w:val="20"/>
                <w:szCs w:val="22"/>
                <w:lang w:val="en-NZ" w:eastAsia="en-US"/>
              </w:rPr>
              <w:t xml:space="preserve"> (also tertiary instruments)</w:t>
            </w:r>
          </w:p>
          <w:p w:rsidR="00202FA1" w:rsidRPr="003A3E2B" w:rsidRDefault="00202FA1" w:rsidP="003A3E2B">
            <w:pPr>
              <w:spacing w:after="0" w:line="240" w:lineRule="auto"/>
              <w:contextualSpacing/>
              <w:rPr>
                <w:rFonts w:eastAsia="Calibri" w:cs="Arial"/>
                <w:sz w:val="20"/>
                <w:szCs w:val="22"/>
                <w:lang w:val="en-NZ" w:eastAsia="en-US"/>
              </w:rPr>
            </w:pPr>
          </w:p>
        </w:tc>
      </w:tr>
    </w:tbl>
    <w:p w:rsidR="00B74A60" w:rsidRPr="00B74A60" w:rsidRDefault="00B74A60" w:rsidP="00B74A60">
      <w:pPr>
        <w:spacing w:after="0" w:line="240" w:lineRule="auto"/>
        <w:rPr>
          <w:rFonts w:eastAsia="Calibri" w:cs="Arial"/>
          <w:szCs w:val="22"/>
          <w:lang w:val="en-NZ" w:eastAsia="en-US"/>
        </w:rPr>
      </w:pPr>
    </w:p>
    <w:p w:rsidR="00B74A60" w:rsidRPr="00B74A60" w:rsidRDefault="00B74A60" w:rsidP="00E440A3">
      <w:pPr>
        <w:pStyle w:val="BodyText"/>
        <w:rPr>
          <w:rFonts w:eastAsia="Calibri"/>
        </w:rPr>
      </w:pPr>
      <w:r w:rsidRPr="00B74A60">
        <w:rPr>
          <w:rFonts w:eastAsia="Calibri"/>
        </w:rPr>
        <w:t>In general:</w:t>
      </w:r>
    </w:p>
    <w:p w:rsidR="00B74A60" w:rsidRPr="00B74A60" w:rsidRDefault="00DD53D3" w:rsidP="00E440A3">
      <w:pPr>
        <w:pStyle w:val="BodyText2"/>
        <w:rPr>
          <w:rFonts w:eastAsia="Calibri"/>
          <w:lang w:val="en-NZ" w:eastAsia="en-US"/>
        </w:rPr>
      </w:pPr>
      <w:r>
        <w:rPr>
          <w:rFonts w:eastAsia="Calibri"/>
          <w:lang w:val="en-NZ" w:eastAsia="en-US"/>
        </w:rPr>
        <w:t>S</w:t>
      </w:r>
      <w:r w:rsidR="00B74A60" w:rsidRPr="00B74A60">
        <w:rPr>
          <w:rFonts w:eastAsia="Calibri"/>
          <w:lang w:val="en-NZ" w:eastAsia="en-US"/>
        </w:rPr>
        <w:t>ignificant issues (ie, major policy issues) should be dec</w:t>
      </w:r>
      <w:r>
        <w:rPr>
          <w:rFonts w:eastAsia="Calibri"/>
          <w:lang w:val="en-NZ" w:eastAsia="en-US"/>
        </w:rPr>
        <w:t>ided by Parliament or Ministers.</w:t>
      </w:r>
    </w:p>
    <w:p w:rsidR="00B74A60" w:rsidRPr="00B74A60" w:rsidRDefault="00DD53D3" w:rsidP="00E440A3">
      <w:pPr>
        <w:pStyle w:val="BodyText2"/>
        <w:rPr>
          <w:rFonts w:eastAsia="Calibri"/>
          <w:lang w:val="en-NZ" w:eastAsia="en-US"/>
        </w:rPr>
      </w:pPr>
      <w:r>
        <w:rPr>
          <w:rFonts w:eastAsia="Calibri"/>
          <w:lang w:val="en-NZ" w:eastAsia="en-US"/>
        </w:rPr>
        <w:t>L</w:t>
      </w:r>
      <w:r w:rsidR="00B74A60" w:rsidRPr="00B74A60">
        <w:rPr>
          <w:rFonts w:eastAsia="Calibri"/>
          <w:lang w:val="en-NZ" w:eastAsia="en-US"/>
        </w:rPr>
        <w:t>ess significant issues (ie, issues which are operational or administrative in nature, and which are necessary to give effect to statutory and regulatory policy) should be decided by agenci</w:t>
      </w:r>
      <w:r>
        <w:rPr>
          <w:rFonts w:eastAsia="Calibri"/>
          <w:lang w:val="en-NZ" w:eastAsia="en-US"/>
        </w:rPr>
        <w:t>es or delegated within agencies.</w:t>
      </w:r>
    </w:p>
    <w:p w:rsidR="00B74A60" w:rsidRPr="00B74A60" w:rsidRDefault="00DD53D3" w:rsidP="00E440A3">
      <w:pPr>
        <w:pStyle w:val="BodyText2"/>
        <w:rPr>
          <w:rFonts w:eastAsia="Calibri"/>
          <w:lang w:val="en-NZ" w:eastAsia="en-US"/>
        </w:rPr>
      </w:pPr>
      <w:r>
        <w:rPr>
          <w:rFonts w:eastAsia="Calibri"/>
          <w:lang w:val="en-NZ" w:eastAsia="en-US"/>
        </w:rPr>
        <w:t>J</w:t>
      </w:r>
      <w:r w:rsidR="00E947EF">
        <w:rPr>
          <w:rFonts w:eastAsia="Calibri"/>
          <w:lang w:val="en-NZ" w:eastAsia="en-US"/>
        </w:rPr>
        <w:t>udg</w:t>
      </w:r>
      <w:r w:rsidR="00B74A60" w:rsidRPr="00B74A60">
        <w:rPr>
          <w:rFonts w:eastAsia="Calibri"/>
          <w:lang w:val="en-NZ" w:eastAsia="en-US"/>
        </w:rPr>
        <w:t>ment is required in establishing the right balance between the diff</w:t>
      </w:r>
      <w:r>
        <w:rPr>
          <w:rFonts w:eastAsia="Calibri"/>
          <w:lang w:val="en-NZ" w:eastAsia="en-US"/>
        </w:rPr>
        <w:t>erent levels of decision rights.</w:t>
      </w:r>
    </w:p>
    <w:p w:rsidR="00B74A60" w:rsidRPr="00B74A60" w:rsidRDefault="00DD53D3" w:rsidP="00E440A3">
      <w:pPr>
        <w:pStyle w:val="BodyText2"/>
        <w:rPr>
          <w:rFonts w:eastAsia="Calibri"/>
          <w:lang w:val="en-NZ" w:eastAsia="en-US"/>
        </w:rPr>
      </w:pPr>
      <w:r>
        <w:rPr>
          <w:rFonts w:eastAsia="Calibri"/>
          <w:lang w:val="en-NZ" w:eastAsia="en-US"/>
        </w:rPr>
        <w:t>T</w:t>
      </w:r>
      <w:r w:rsidR="00B74A60" w:rsidRPr="00B74A60">
        <w:rPr>
          <w:rFonts w:eastAsia="Calibri"/>
          <w:lang w:val="en-NZ" w:eastAsia="en-US"/>
        </w:rPr>
        <w:t>he objective, however, is to ensure as far as possible that statutes and regulations are lean and do not contain unnecessary detail.</w:t>
      </w:r>
    </w:p>
    <w:p w:rsidR="00B74A60" w:rsidRPr="00B74A60" w:rsidRDefault="00B74A60" w:rsidP="00E440A3">
      <w:pPr>
        <w:pStyle w:val="BodyText"/>
        <w:rPr>
          <w:rFonts w:eastAsia="Calibri"/>
        </w:rPr>
      </w:pPr>
      <w:r w:rsidRPr="00B74A60">
        <w:rPr>
          <w:rFonts w:eastAsia="Calibri"/>
        </w:rPr>
        <w:t>This requires a consideration of all the relevant powers in relation to the preferred policy settings for the regime.</w:t>
      </w:r>
    </w:p>
    <w:p w:rsidR="00B74A60" w:rsidRPr="00B74A60" w:rsidRDefault="00B74A60" w:rsidP="00E440A3">
      <w:pPr>
        <w:pStyle w:val="BodyText"/>
        <w:rPr>
          <w:rFonts w:eastAsia="Calibri"/>
        </w:rPr>
      </w:pPr>
      <w:r w:rsidRPr="00B74A60">
        <w:rPr>
          <w:rFonts w:eastAsia="Calibri"/>
        </w:rPr>
        <w:t xml:space="preserve">The overriding </w:t>
      </w:r>
      <w:r w:rsidR="00B5252C">
        <w:rPr>
          <w:rFonts w:eastAsia="Calibri"/>
        </w:rPr>
        <w:t xml:space="preserve">design </w:t>
      </w:r>
      <w:r w:rsidRPr="00B74A60">
        <w:rPr>
          <w:rFonts w:eastAsia="Calibri"/>
        </w:rPr>
        <w:t>objectives of the new therapeutic products regulatory regime is to ensure that:</w:t>
      </w:r>
    </w:p>
    <w:p w:rsidR="00B74A60" w:rsidRPr="00B74A60" w:rsidRDefault="00A01064" w:rsidP="00E440A3">
      <w:pPr>
        <w:pStyle w:val="BodyText2"/>
        <w:rPr>
          <w:rFonts w:eastAsia="Calibri"/>
          <w:lang w:val="en-NZ" w:eastAsia="en-US"/>
        </w:rPr>
      </w:pPr>
      <w:r>
        <w:rPr>
          <w:rFonts w:eastAsia="Calibri"/>
          <w:lang w:val="en-NZ" w:eastAsia="en-US"/>
        </w:rPr>
        <w:t>t</w:t>
      </w:r>
      <w:r w:rsidR="00B74A60" w:rsidRPr="00B74A60">
        <w:rPr>
          <w:rFonts w:eastAsia="Calibri"/>
          <w:lang w:val="en-NZ" w:eastAsia="en-US"/>
        </w:rPr>
        <w:t xml:space="preserve">he primary legislation has a clear purpose, provides robust principles to guide regulatory practice, is </w:t>
      </w:r>
      <w:r w:rsidR="00DD53D3">
        <w:rPr>
          <w:rFonts w:eastAsia="Calibri"/>
          <w:lang w:val="en-NZ" w:eastAsia="en-US"/>
        </w:rPr>
        <w:t>comprehensive, and enabling</w:t>
      </w:r>
    </w:p>
    <w:p w:rsidR="00B74A60" w:rsidRPr="00B74A60" w:rsidRDefault="00A01064" w:rsidP="00E440A3">
      <w:pPr>
        <w:pStyle w:val="BodyText2"/>
        <w:rPr>
          <w:rFonts w:eastAsia="Calibri"/>
          <w:lang w:val="en-NZ" w:eastAsia="en-US"/>
        </w:rPr>
      </w:pPr>
      <w:proofErr w:type="gramStart"/>
      <w:r>
        <w:rPr>
          <w:rFonts w:eastAsia="Calibri"/>
          <w:lang w:val="en-NZ" w:eastAsia="en-US"/>
        </w:rPr>
        <w:t>t</w:t>
      </w:r>
      <w:r w:rsidR="00B74A60" w:rsidRPr="00B74A60">
        <w:rPr>
          <w:rFonts w:eastAsia="Calibri"/>
          <w:lang w:val="en-NZ" w:eastAsia="en-US"/>
        </w:rPr>
        <w:t>he</w:t>
      </w:r>
      <w:proofErr w:type="gramEnd"/>
      <w:r w:rsidR="00B74A60" w:rsidRPr="00B74A60">
        <w:rPr>
          <w:rFonts w:eastAsia="Calibri"/>
          <w:lang w:val="en-NZ" w:eastAsia="en-US"/>
        </w:rPr>
        <w:t xml:space="preserve"> regulator has a clear mandate, powers, and accountability to achieve cost effective outcomes.</w:t>
      </w:r>
    </w:p>
    <w:p w:rsidR="00B74A60" w:rsidRPr="00B74A60" w:rsidRDefault="00B74A60" w:rsidP="00E440A3">
      <w:pPr>
        <w:pStyle w:val="BodyText"/>
        <w:rPr>
          <w:rFonts w:eastAsia="Calibri"/>
        </w:rPr>
      </w:pPr>
      <w:r w:rsidRPr="00B74A60">
        <w:rPr>
          <w:rFonts w:eastAsia="Calibri"/>
        </w:rPr>
        <w:t>These objectives argue for:</w:t>
      </w:r>
    </w:p>
    <w:p w:rsidR="00B74A60" w:rsidRPr="00B74A60" w:rsidRDefault="00B74A60" w:rsidP="00E440A3">
      <w:pPr>
        <w:pStyle w:val="BodyText2"/>
        <w:rPr>
          <w:rFonts w:eastAsia="Calibri"/>
          <w:lang w:val="en-NZ" w:eastAsia="en-US"/>
        </w:rPr>
      </w:pPr>
      <w:r w:rsidRPr="00B74A60">
        <w:rPr>
          <w:rFonts w:eastAsia="Calibri"/>
          <w:lang w:val="en-NZ" w:eastAsia="en-US"/>
        </w:rPr>
        <w:t>Ministers having the responsibility for setting the outcomes to be delivered and empowerin</w:t>
      </w:r>
      <w:r w:rsidR="00DD53D3">
        <w:rPr>
          <w:rFonts w:eastAsia="Calibri"/>
          <w:lang w:val="en-NZ" w:eastAsia="en-US"/>
        </w:rPr>
        <w:t>g the regulator to deliver them</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the</w:t>
      </w:r>
      <w:proofErr w:type="gramEnd"/>
      <w:r w:rsidRPr="00B74A60">
        <w:rPr>
          <w:rFonts w:eastAsia="Calibri"/>
          <w:lang w:val="en-NZ" w:eastAsia="en-US"/>
        </w:rPr>
        <w:t xml:space="preserve"> regulator being accountable to Ministers for the results.</w:t>
      </w:r>
    </w:p>
    <w:p w:rsidR="009D7E39" w:rsidRDefault="009D7E39" w:rsidP="00E440A3">
      <w:pPr>
        <w:pStyle w:val="BodyText"/>
        <w:rPr>
          <w:rFonts w:eastAsia="Calibri"/>
        </w:rPr>
      </w:pPr>
      <w:r>
        <w:rPr>
          <w:rFonts w:eastAsia="Calibri"/>
        </w:rPr>
        <w:t>This approach is consistent with the findings of the Productivity Commission which support new regimes being developed with regulatory detail contained in second tier and subordinate instruments, and</w:t>
      </w:r>
      <w:r w:rsidR="008928C5">
        <w:rPr>
          <w:rFonts w:eastAsia="Calibri"/>
        </w:rPr>
        <w:t xml:space="preserve"> the regulator empowered to kee</w:t>
      </w:r>
      <w:r>
        <w:rPr>
          <w:rFonts w:eastAsia="Calibri"/>
        </w:rPr>
        <w:t>p the instruments up to date.</w:t>
      </w:r>
    </w:p>
    <w:p w:rsidR="00B74A60" w:rsidRDefault="00B74A60" w:rsidP="00E440A3">
      <w:pPr>
        <w:pStyle w:val="BodyText"/>
        <w:rPr>
          <w:rFonts w:eastAsia="Calibri"/>
        </w:rPr>
      </w:pPr>
      <w:r w:rsidRPr="00B74A60">
        <w:rPr>
          <w:rFonts w:eastAsia="Calibri"/>
        </w:rPr>
        <w:t xml:space="preserve">On this basis, and given the preferred options outlined in this document, many of the current powers of the Minister should be </w:t>
      </w:r>
      <w:r w:rsidR="00963CBC">
        <w:rPr>
          <w:rFonts w:eastAsia="Calibri"/>
        </w:rPr>
        <w:t xml:space="preserve">conferred by statute on </w:t>
      </w:r>
      <w:r w:rsidRPr="00B74A60">
        <w:rPr>
          <w:rFonts w:eastAsia="Calibri"/>
        </w:rPr>
        <w:t>the regulator.</w:t>
      </w:r>
    </w:p>
    <w:p w:rsidR="00DD53D3" w:rsidRDefault="00DD53D3" w:rsidP="00DD53D3">
      <w:pPr>
        <w:pStyle w:val="BodyText"/>
        <w:numPr>
          <w:ilvl w:val="0"/>
          <w:numId w:val="0"/>
        </w:numPr>
        <w:ind w:left="567"/>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118"/>
        <w:gridCol w:w="4372"/>
      </w:tblGrid>
      <w:tr w:rsidR="00B74A60" w:rsidRPr="003A3E2B" w:rsidTr="00747CD2">
        <w:trPr>
          <w:tblHeader/>
        </w:trPr>
        <w:tc>
          <w:tcPr>
            <w:tcW w:w="9016" w:type="dxa"/>
            <w:gridSpan w:val="3"/>
            <w:shd w:val="clear" w:color="auto" w:fill="DEEAF6"/>
          </w:tcPr>
          <w:p w:rsidR="00B74A60" w:rsidRPr="003A3E2B" w:rsidRDefault="00B74A60" w:rsidP="003A3E2B">
            <w:pPr>
              <w:spacing w:after="0" w:line="240" w:lineRule="auto"/>
              <w:rPr>
                <w:rFonts w:eastAsia="Calibri" w:cs="Arial"/>
                <w:b/>
                <w:szCs w:val="22"/>
                <w:lang w:val="en-NZ" w:eastAsia="en-US"/>
              </w:rPr>
            </w:pPr>
            <w:r w:rsidRPr="003A3E2B">
              <w:rPr>
                <w:rFonts w:eastAsia="Calibri" w:cs="Arial"/>
                <w:b/>
                <w:szCs w:val="22"/>
                <w:lang w:val="en-NZ" w:eastAsia="en-US"/>
              </w:rPr>
              <w:t>Powers: options and impacts</w:t>
            </w:r>
          </w:p>
          <w:p w:rsidR="00B74A60" w:rsidRPr="003A3E2B" w:rsidRDefault="00B74A60" w:rsidP="003A3E2B">
            <w:pPr>
              <w:spacing w:after="0" w:line="240" w:lineRule="auto"/>
              <w:rPr>
                <w:rFonts w:eastAsia="Calibri" w:cs="Arial"/>
                <w:szCs w:val="22"/>
                <w:lang w:val="en-NZ" w:eastAsia="en-US"/>
              </w:rPr>
            </w:pPr>
          </w:p>
        </w:tc>
      </w:tr>
      <w:tr w:rsidR="00207091" w:rsidRPr="003A3E2B" w:rsidTr="00747CD2">
        <w:trPr>
          <w:tblHeader/>
        </w:trPr>
        <w:tc>
          <w:tcPr>
            <w:tcW w:w="1526" w:type="dxa"/>
            <w:shd w:val="clear" w:color="auto" w:fill="DEEAF6"/>
          </w:tcPr>
          <w:p w:rsidR="00207091" w:rsidRPr="003A3E2B" w:rsidRDefault="00207091" w:rsidP="003A3E2B">
            <w:pPr>
              <w:spacing w:after="0" w:line="240" w:lineRule="auto"/>
              <w:jc w:val="center"/>
              <w:rPr>
                <w:rFonts w:eastAsia="Calibri" w:cs="Arial"/>
                <w:i/>
                <w:szCs w:val="22"/>
                <w:lang w:val="en-NZ" w:eastAsia="en-US"/>
              </w:rPr>
            </w:pPr>
            <w:r w:rsidRPr="003A3E2B">
              <w:rPr>
                <w:rFonts w:eastAsia="Calibri" w:cs="Arial"/>
                <w:i/>
                <w:szCs w:val="22"/>
                <w:lang w:val="en-NZ" w:eastAsia="en-US"/>
              </w:rPr>
              <w:t>Options</w:t>
            </w:r>
          </w:p>
          <w:p w:rsidR="00207091" w:rsidRPr="003A3E2B" w:rsidRDefault="00207091" w:rsidP="003A3E2B">
            <w:pPr>
              <w:spacing w:after="0" w:line="240" w:lineRule="auto"/>
              <w:jc w:val="center"/>
              <w:rPr>
                <w:rFonts w:eastAsia="Calibri" w:cs="Arial"/>
                <w:i/>
                <w:szCs w:val="22"/>
                <w:lang w:val="en-NZ" w:eastAsia="en-US"/>
              </w:rPr>
            </w:pPr>
          </w:p>
        </w:tc>
        <w:tc>
          <w:tcPr>
            <w:tcW w:w="3118" w:type="dxa"/>
            <w:shd w:val="clear" w:color="auto" w:fill="DEEAF6"/>
          </w:tcPr>
          <w:p w:rsidR="00207091" w:rsidRPr="003A3E2B" w:rsidRDefault="00207091" w:rsidP="003A3E2B">
            <w:pPr>
              <w:spacing w:after="0" w:line="240" w:lineRule="auto"/>
              <w:jc w:val="center"/>
              <w:rPr>
                <w:rFonts w:eastAsia="Calibri" w:cs="Arial"/>
                <w:i/>
                <w:szCs w:val="22"/>
                <w:lang w:val="en-NZ" w:eastAsia="en-US"/>
              </w:rPr>
            </w:pPr>
            <w:r>
              <w:rPr>
                <w:rFonts w:eastAsia="Calibri" w:cs="Arial"/>
                <w:i/>
                <w:szCs w:val="22"/>
                <w:lang w:val="en-NZ" w:eastAsia="en-US"/>
              </w:rPr>
              <w:t>Description</w:t>
            </w:r>
          </w:p>
        </w:tc>
        <w:tc>
          <w:tcPr>
            <w:tcW w:w="4372" w:type="dxa"/>
            <w:shd w:val="clear" w:color="auto" w:fill="DEEAF6"/>
          </w:tcPr>
          <w:p w:rsidR="00207091" w:rsidRPr="003A3E2B" w:rsidRDefault="00207091" w:rsidP="003A3E2B">
            <w:pPr>
              <w:spacing w:after="0" w:line="240" w:lineRule="auto"/>
              <w:jc w:val="center"/>
              <w:rPr>
                <w:rFonts w:eastAsia="Calibri" w:cs="Arial"/>
                <w:i/>
                <w:szCs w:val="22"/>
                <w:lang w:val="en-NZ" w:eastAsia="en-US"/>
              </w:rPr>
            </w:pPr>
            <w:r>
              <w:rPr>
                <w:rFonts w:eastAsia="Calibri" w:cs="Arial"/>
                <w:i/>
                <w:szCs w:val="22"/>
                <w:lang w:val="en-NZ" w:eastAsia="en-US"/>
              </w:rPr>
              <w:t>Impacts</w:t>
            </w:r>
          </w:p>
        </w:tc>
      </w:tr>
      <w:tr w:rsidR="00207091" w:rsidRPr="003A3E2B" w:rsidTr="00471AA4">
        <w:tc>
          <w:tcPr>
            <w:tcW w:w="1526" w:type="dxa"/>
            <w:shd w:val="clear" w:color="auto" w:fill="auto"/>
          </w:tcPr>
          <w:p w:rsidR="00207091" w:rsidRPr="003A3E2B" w:rsidRDefault="00207091"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Status quo</w:t>
            </w:r>
          </w:p>
          <w:p w:rsidR="00207091" w:rsidRPr="003A3E2B" w:rsidRDefault="00207091" w:rsidP="003A3E2B">
            <w:pPr>
              <w:spacing w:after="0" w:line="240" w:lineRule="auto"/>
              <w:rPr>
                <w:rFonts w:eastAsia="Calibri" w:cs="Arial"/>
                <w:sz w:val="20"/>
                <w:szCs w:val="22"/>
                <w:lang w:val="en-NZ" w:eastAsia="en-US"/>
              </w:rPr>
            </w:pPr>
          </w:p>
          <w:p w:rsidR="00207091" w:rsidRPr="003A3E2B" w:rsidRDefault="00207091" w:rsidP="003A3E2B">
            <w:pPr>
              <w:spacing w:after="0" w:line="240" w:lineRule="auto"/>
              <w:rPr>
                <w:rFonts w:eastAsia="Calibri" w:cs="Arial"/>
                <w:sz w:val="20"/>
                <w:szCs w:val="22"/>
                <w:lang w:val="en-NZ" w:eastAsia="en-US"/>
              </w:rPr>
            </w:pPr>
          </w:p>
          <w:p w:rsidR="00207091" w:rsidRPr="003A3E2B" w:rsidRDefault="00207091" w:rsidP="003A3E2B">
            <w:pPr>
              <w:spacing w:after="0" w:line="240" w:lineRule="auto"/>
              <w:rPr>
                <w:rFonts w:eastAsia="Calibri" w:cs="Arial"/>
                <w:sz w:val="20"/>
                <w:szCs w:val="22"/>
                <w:lang w:val="en-NZ" w:eastAsia="en-US"/>
              </w:rPr>
            </w:pPr>
          </w:p>
        </w:tc>
        <w:tc>
          <w:tcPr>
            <w:tcW w:w="3118" w:type="dxa"/>
            <w:shd w:val="clear" w:color="auto" w:fill="auto"/>
          </w:tcPr>
          <w:p w:rsidR="00207091" w:rsidRDefault="00207091"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Under the status quo approach</w:t>
            </w:r>
            <w:r>
              <w:rPr>
                <w:rFonts w:eastAsia="Calibri" w:cs="Arial"/>
                <w:sz w:val="20"/>
                <w:szCs w:val="22"/>
                <w:lang w:val="en-NZ" w:eastAsia="en-US"/>
              </w:rPr>
              <w:t xml:space="preserve">, there would </w:t>
            </w:r>
            <w:r w:rsidR="008928C5">
              <w:rPr>
                <w:rFonts w:eastAsia="Calibri" w:cs="Arial"/>
                <w:sz w:val="20"/>
                <w:szCs w:val="22"/>
                <w:lang w:val="en-NZ" w:eastAsia="en-US"/>
              </w:rPr>
              <w:t xml:space="preserve">be </w:t>
            </w:r>
            <w:r>
              <w:rPr>
                <w:rFonts w:eastAsia="Calibri" w:cs="Arial"/>
                <w:sz w:val="20"/>
                <w:szCs w:val="22"/>
                <w:lang w:val="en-NZ" w:eastAsia="en-US"/>
              </w:rPr>
              <w:t xml:space="preserve">no change in the balance of </w:t>
            </w:r>
            <w:r w:rsidRPr="003A3E2B">
              <w:rPr>
                <w:rFonts w:eastAsia="Calibri" w:cs="Arial"/>
                <w:sz w:val="20"/>
                <w:szCs w:val="22"/>
                <w:lang w:val="en-NZ" w:eastAsia="en-US"/>
              </w:rPr>
              <w:t xml:space="preserve">powers held by the Minister </w:t>
            </w:r>
            <w:r>
              <w:rPr>
                <w:rFonts w:eastAsia="Calibri" w:cs="Arial"/>
                <w:sz w:val="20"/>
                <w:szCs w:val="22"/>
                <w:lang w:val="en-NZ" w:eastAsia="en-US"/>
              </w:rPr>
              <w:t>versus the regulator in relation to regulatory decision making</w:t>
            </w:r>
            <w:r w:rsidRPr="003A3E2B">
              <w:rPr>
                <w:rFonts w:eastAsia="Calibri" w:cs="Arial"/>
                <w:sz w:val="20"/>
                <w:szCs w:val="22"/>
                <w:lang w:val="en-NZ" w:eastAsia="en-US"/>
              </w:rPr>
              <w:t>.</w:t>
            </w:r>
          </w:p>
          <w:p w:rsidR="00207091" w:rsidRDefault="00207091" w:rsidP="00471AA4">
            <w:pPr>
              <w:spacing w:after="0" w:line="240" w:lineRule="auto"/>
              <w:rPr>
                <w:rFonts w:eastAsia="Calibri" w:cs="Arial"/>
                <w:sz w:val="20"/>
                <w:szCs w:val="22"/>
                <w:lang w:val="en-NZ" w:eastAsia="en-US"/>
              </w:rPr>
            </w:pPr>
          </w:p>
          <w:p w:rsidR="00207091" w:rsidRDefault="00207091" w:rsidP="00471AA4">
            <w:pPr>
              <w:spacing w:after="0" w:line="240" w:lineRule="auto"/>
              <w:rPr>
                <w:rFonts w:eastAsia="Calibri" w:cs="Arial"/>
                <w:sz w:val="20"/>
                <w:szCs w:val="22"/>
                <w:lang w:val="en-NZ" w:eastAsia="en-US"/>
              </w:rPr>
            </w:pPr>
            <w:r>
              <w:rPr>
                <w:rFonts w:eastAsia="Calibri" w:cs="Arial"/>
                <w:sz w:val="20"/>
                <w:szCs w:val="22"/>
                <w:lang w:val="en-NZ" w:eastAsia="en-US"/>
              </w:rPr>
              <w:t>Currently there is a “mixed model”</w:t>
            </w:r>
            <w:r w:rsidR="00441A12">
              <w:rPr>
                <w:rFonts w:eastAsia="Calibri" w:cs="Arial"/>
                <w:sz w:val="20"/>
                <w:szCs w:val="22"/>
                <w:lang w:val="en-NZ" w:eastAsia="en-US"/>
              </w:rPr>
              <w:t xml:space="preserve"> (the Act currently splits powers </w:t>
            </w:r>
            <w:r w:rsidR="00E947EF">
              <w:rPr>
                <w:rFonts w:eastAsia="Calibri" w:cs="Arial"/>
                <w:sz w:val="20"/>
                <w:szCs w:val="22"/>
                <w:lang w:val="en-NZ" w:eastAsia="en-US"/>
              </w:rPr>
              <w:t>between the Minister and the Di</w:t>
            </w:r>
            <w:r w:rsidR="00441A12">
              <w:rPr>
                <w:rFonts w:eastAsia="Calibri" w:cs="Arial"/>
                <w:sz w:val="20"/>
                <w:szCs w:val="22"/>
                <w:lang w:val="en-NZ" w:eastAsia="en-US"/>
              </w:rPr>
              <w:t>rector-General)</w:t>
            </w:r>
            <w:r>
              <w:rPr>
                <w:rFonts w:eastAsia="Calibri" w:cs="Arial"/>
                <w:sz w:val="20"/>
                <w:szCs w:val="22"/>
                <w:lang w:val="en-NZ" w:eastAsia="en-US"/>
              </w:rPr>
              <w:t>.</w:t>
            </w:r>
          </w:p>
          <w:p w:rsidR="00DD53D3" w:rsidRDefault="00DD53D3" w:rsidP="00471AA4">
            <w:pPr>
              <w:spacing w:after="0" w:line="240" w:lineRule="auto"/>
              <w:rPr>
                <w:rFonts w:eastAsia="Calibri" w:cs="Arial"/>
                <w:sz w:val="20"/>
                <w:szCs w:val="22"/>
                <w:lang w:val="en-NZ" w:eastAsia="en-US"/>
              </w:rPr>
            </w:pPr>
          </w:p>
          <w:p w:rsidR="00207091" w:rsidRDefault="00207091" w:rsidP="00207091">
            <w:pPr>
              <w:spacing w:after="0" w:line="240" w:lineRule="auto"/>
              <w:rPr>
                <w:rFonts w:eastAsia="Calibri" w:cs="Arial"/>
                <w:sz w:val="20"/>
                <w:szCs w:val="22"/>
                <w:lang w:val="en-NZ" w:eastAsia="en-US"/>
              </w:rPr>
            </w:pPr>
          </w:p>
        </w:tc>
        <w:tc>
          <w:tcPr>
            <w:tcW w:w="4372" w:type="dxa"/>
            <w:shd w:val="clear" w:color="auto" w:fill="auto"/>
          </w:tcPr>
          <w:p w:rsidR="00207091" w:rsidRDefault="005C09BD" w:rsidP="00B66942">
            <w:pPr>
              <w:numPr>
                <w:ilvl w:val="0"/>
                <w:numId w:val="46"/>
              </w:numPr>
              <w:spacing w:after="0" w:line="240" w:lineRule="auto"/>
              <w:ind w:left="360"/>
              <w:rPr>
                <w:rFonts w:eastAsia="Calibri" w:cs="Arial"/>
                <w:sz w:val="20"/>
                <w:szCs w:val="22"/>
                <w:lang w:val="en-NZ" w:eastAsia="en-US"/>
              </w:rPr>
            </w:pPr>
            <w:r>
              <w:rPr>
                <w:rFonts w:eastAsia="Calibri" w:cs="Arial"/>
                <w:sz w:val="20"/>
                <w:szCs w:val="22"/>
                <w:lang w:val="en-NZ" w:eastAsia="en-US"/>
              </w:rPr>
              <w:t xml:space="preserve">Because significant power </w:t>
            </w:r>
            <w:r w:rsidR="00D41D02">
              <w:rPr>
                <w:rFonts w:eastAsia="Calibri" w:cs="Arial"/>
                <w:sz w:val="20"/>
                <w:szCs w:val="22"/>
                <w:lang w:val="en-NZ" w:eastAsia="en-US"/>
              </w:rPr>
              <w:t>is held formally by the Minister, this impacts on the costs, timeliness, and perceived independence of the regulatory decision process.</w:t>
            </w:r>
          </w:p>
          <w:p w:rsidR="00207091" w:rsidRDefault="00207091" w:rsidP="00D41D02">
            <w:pPr>
              <w:spacing w:after="0" w:line="240" w:lineRule="auto"/>
              <w:rPr>
                <w:rFonts w:eastAsia="Calibri" w:cs="Arial"/>
                <w:sz w:val="20"/>
                <w:szCs w:val="22"/>
                <w:lang w:val="en-NZ" w:eastAsia="en-US"/>
              </w:rPr>
            </w:pPr>
          </w:p>
          <w:p w:rsidR="00207091" w:rsidRPr="003A3E2B" w:rsidRDefault="00207091" w:rsidP="00D41D02">
            <w:pPr>
              <w:spacing w:after="0" w:line="240" w:lineRule="auto"/>
              <w:ind w:left="360"/>
              <w:rPr>
                <w:rFonts w:eastAsia="Calibri" w:cs="Arial"/>
                <w:sz w:val="20"/>
                <w:szCs w:val="22"/>
                <w:lang w:val="en-NZ" w:eastAsia="en-US"/>
              </w:rPr>
            </w:pPr>
          </w:p>
        </w:tc>
      </w:tr>
      <w:tr w:rsidR="00207091" w:rsidRPr="003A3E2B" w:rsidTr="00471AA4">
        <w:tc>
          <w:tcPr>
            <w:tcW w:w="1526" w:type="dxa"/>
            <w:shd w:val="clear" w:color="auto" w:fill="auto"/>
          </w:tcPr>
          <w:p w:rsidR="00207091" w:rsidRDefault="00207091" w:rsidP="003A3E2B">
            <w:pPr>
              <w:spacing w:after="0" w:line="240" w:lineRule="auto"/>
              <w:rPr>
                <w:rFonts w:eastAsia="Calibri" w:cs="Arial"/>
                <w:sz w:val="20"/>
                <w:szCs w:val="22"/>
                <w:lang w:val="en-NZ" w:eastAsia="en-US"/>
              </w:rPr>
            </w:pPr>
            <w:r>
              <w:rPr>
                <w:rFonts w:eastAsia="Calibri" w:cs="Arial"/>
                <w:sz w:val="20"/>
                <w:szCs w:val="22"/>
                <w:lang w:val="en-NZ" w:eastAsia="en-US"/>
              </w:rPr>
              <w:t>Option 1</w:t>
            </w:r>
          </w:p>
          <w:p w:rsidR="00207091" w:rsidRDefault="00207091" w:rsidP="003A3E2B">
            <w:pPr>
              <w:spacing w:after="0" w:line="240" w:lineRule="auto"/>
              <w:rPr>
                <w:rFonts w:eastAsia="Calibri" w:cs="Arial"/>
                <w:sz w:val="20"/>
                <w:szCs w:val="22"/>
                <w:lang w:val="en-NZ" w:eastAsia="en-US"/>
              </w:rPr>
            </w:pPr>
          </w:p>
          <w:p w:rsidR="00207091" w:rsidRPr="003A3E2B" w:rsidRDefault="00207091"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Enhanced status quo</w:t>
            </w:r>
          </w:p>
          <w:p w:rsidR="00207091" w:rsidRPr="003A3E2B" w:rsidRDefault="00207091" w:rsidP="003A3E2B">
            <w:pPr>
              <w:spacing w:after="0" w:line="240" w:lineRule="auto"/>
              <w:rPr>
                <w:rFonts w:eastAsia="Calibri" w:cs="Arial"/>
                <w:sz w:val="20"/>
                <w:szCs w:val="22"/>
                <w:lang w:val="en-NZ" w:eastAsia="en-US"/>
              </w:rPr>
            </w:pPr>
          </w:p>
        </w:tc>
        <w:tc>
          <w:tcPr>
            <w:tcW w:w="3118" w:type="dxa"/>
            <w:shd w:val="clear" w:color="auto" w:fill="auto"/>
          </w:tcPr>
          <w:p w:rsidR="00207091" w:rsidRDefault="00207091" w:rsidP="00471AA4">
            <w:pPr>
              <w:spacing w:after="0" w:line="240" w:lineRule="auto"/>
              <w:rPr>
                <w:rFonts w:eastAsia="Calibri" w:cs="Arial"/>
                <w:sz w:val="20"/>
                <w:szCs w:val="22"/>
                <w:lang w:val="en-NZ" w:eastAsia="en-US"/>
              </w:rPr>
            </w:pPr>
            <w:r>
              <w:rPr>
                <w:rFonts w:eastAsia="Calibri" w:cs="Arial"/>
                <w:sz w:val="20"/>
                <w:szCs w:val="22"/>
                <w:lang w:val="en-NZ" w:eastAsia="en-US"/>
              </w:rPr>
              <w:t>T</w:t>
            </w:r>
            <w:r w:rsidRPr="003A3E2B">
              <w:rPr>
                <w:rFonts w:eastAsia="Calibri" w:cs="Arial"/>
                <w:sz w:val="20"/>
                <w:szCs w:val="22"/>
                <w:lang w:val="en-NZ" w:eastAsia="en-US"/>
              </w:rPr>
              <w:t>here would be some (limited) devolution of powers to the regulator.</w:t>
            </w:r>
          </w:p>
          <w:p w:rsidR="00207091" w:rsidRDefault="00207091" w:rsidP="00471AA4">
            <w:pPr>
              <w:spacing w:after="0" w:line="240" w:lineRule="auto"/>
              <w:rPr>
                <w:rFonts w:eastAsia="Calibri" w:cs="Arial"/>
                <w:sz w:val="20"/>
                <w:szCs w:val="22"/>
                <w:lang w:val="en-NZ" w:eastAsia="en-US"/>
              </w:rPr>
            </w:pPr>
          </w:p>
          <w:p w:rsidR="00207091" w:rsidRDefault="00207091" w:rsidP="00471AA4">
            <w:pPr>
              <w:spacing w:after="0" w:line="240" w:lineRule="auto"/>
              <w:rPr>
                <w:rFonts w:eastAsia="Calibri" w:cs="Arial"/>
                <w:sz w:val="20"/>
                <w:szCs w:val="22"/>
                <w:lang w:val="en-NZ" w:eastAsia="en-US"/>
              </w:rPr>
            </w:pPr>
            <w:r>
              <w:rPr>
                <w:rFonts w:eastAsia="Calibri" w:cs="Arial"/>
                <w:sz w:val="20"/>
                <w:szCs w:val="22"/>
                <w:lang w:val="en-NZ" w:eastAsia="en-US"/>
              </w:rPr>
              <w:t>This might include a range of regulatory approval and licensing decision powers.</w:t>
            </w:r>
          </w:p>
          <w:p w:rsidR="00207091" w:rsidRDefault="00207091" w:rsidP="005C09BD">
            <w:pPr>
              <w:spacing w:after="0" w:line="240" w:lineRule="auto"/>
              <w:rPr>
                <w:rFonts w:eastAsia="Calibri" w:cs="Arial"/>
                <w:sz w:val="20"/>
                <w:szCs w:val="22"/>
                <w:lang w:val="en-NZ" w:eastAsia="en-US"/>
              </w:rPr>
            </w:pPr>
          </w:p>
        </w:tc>
        <w:tc>
          <w:tcPr>
            <w:tcW w:w="4372" w:type="dxa"/>
            <w:shd w:val="clear" w:color="auto" w:fill="auto"/>
          </w:tcPr>
          <w:p w:rsidR="00207091" w:rsidRDefault="005C09BD" w:rsidP="00B66942">
            <w:pPr>
              <w:numPr>
                <w:ilvl w:val="0"/>
                <w:numId w:val="45"/>
              </w:numPr>
              <w:spacing w:after="0" w:line="240" w:lineRule="auto"/>
              <w:rPr>
                <w:rFonts w:eastAsia="Calibri" w:cs="Arial"/>
                <w:sz w:val="20"/>
                <w:szCs w:val="22"/>
                <w:lang w:val="en-NZ" w:eastAsia="en-US"/>
              </w:rPr>
            </w:pPr>
            <w:r>
              <w:rPr>
                <w:rFonts w:eastAsia="Calibri" w:cs="Arial"/>
                <w:sz w:val="20"/>
                <w:szCs w:val="22"/>
                <w:lang w:val="en-NZ" w:eastAsia="en-US"/>
              </w:rPr>
              <w:t>The impacts under this approach would be similar to (and smaller than) those listed under Option 2 below.</w:t>
            </w:r>
          </w:p>
          <w:p w:rsidR="00D41D02" w:rsidRDefault="00D41D02" w:rsidP="00D41D02">
            <w:pPr>
              <w:spacing w:after="0" w:line="240" w:lineRule="auto"/>
              <w:rPr>
                <w:rFonts w:eastAsia="Calibri" w:cs="Arial"/>
                <w:sz w:val="20"/>
                <w:szCs w:val="22"/>
                <w:lang w:val="en-NZ" w:eastAsia="en-US"/>
              </w:rPr>
            </w:pPr>
          </w:p>
          <w:p w:rsidR="00D41D02" w:rsidRPr="003A3E2B" w:rsidRDefault="00D41D02" w:rsidP="00D41D02">
            <w:pPr>
              <w:spacing w:after="0" w:line="240" w:lineRule="auto"/>
              <w:rPr>
                <w:rFonts w:eastAsia="Calibri" w:cs="Arial"/>
                <w:sz w:val="20"/>
                <w:szCs w:val="22"/>
                <w:lang w:val="en-NZ" w:eastAsia="en-US"/>
              </w:rPr>
            </w:pPr>
          </w:p>
        </w:tc>
      </w:tr>
      <w:tr w:rsidR="00207091" w:rsidRPr="003A3E2B" w:rsidTr="00471AA4">
        <w:tc>
          <w:tcPr>
            <w:tcW w:w="1526" w:type="dxa"/>
            <w:shd w:val="clear" w:color="auto" w:fill="auto"/>
          </w:tcPr>
          <w:p w:rsidR="00207091" w:rsidRDefault="00207091" w:rsidP="003A3E2B">
            <w:pPr>
              <w:spacing w:after="0" w:line="240" w:lineRule="auto"/>
              <w:rPr>
                <w:rFonts w:eastAsia="Calibri" w:cs="Arial"/>
                <w:sz w:val="20"/>
                <w:szCs w:val="22"/>
                <w:lang w:val="en-NZ" w:eastAsia="en-US"/>
              </w:rPr>
            </w:pPr>
            <w:r>
              <w:rPr>
                <w:rFonts w:eastAsia="Calibri" w:cs="Arial"/>
                <w:sz w:val="20"/>
                <w:szCs w:val="22"/>
                <w:lang w:val="en-NZ" w:eastAsia="en-US"/>
              </w:rPr>
              <w:t xml:space="preserve">Option 2 </w:t>
            </w:r>
          </w:p>
          <w:p w:rsidR="00207091" w:rsidRDefault="00207091" w:rsidP="003A3E2B">
            <w:pPr>
              <w:spacing w:after="0" w:line="240" w:lineRule="auto"/>
              <w:rPr>
                <w:rFonts w:eastAsia="Calibri" w:cs="Arial"/>
                <w:sz w:val="20"/>
                <w:szCs w:val="22"/>
                <w:lang w:val="en-NZ" w:eastAsia="en-US"/>
              </w:rPr>
            </w:pPr>
          </w:p>
          <w:p w:rsidR="00207091" w:rsidRPr="003A3E2B" w:rsidRDefault="00207091"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Significant devolution (preferred)</w:t>
            </w:r>
          </w:p>
          <w:p w:rsidR="00207091" w:rsidRPr="003A3E2B" w:rsidRDefault="00207091" w:rsidP="003A3E2B">
            <w:pPr>
              <w:spacing w:after="0" w:line="240" w:lineRule="auto"/>
              <w:rPr>
                <w:rFonts w:eastAsia="Calibri" w:cs="Arial"/>
                <w:sz w:val="20"/>
                <w:szCs w:val="22"/>
                <w:lang w:val="en-NZ" w:eastAsia="en-US"/>
              </w:rPr>
            </w:pPr>
          </w:p>
        </w:tc>
        <w:tc>
          <w:tcPr>
            <w:tcW w:w="3118" w:type="dxa"/>
            <w:shd w:val="clear" w:color="auto" w:fill="auto"/>
          </w:tcPr>
          <w:p w:rsidR="00207091" w:rsidRDefault="00207091" w:rsidP="00471AA4">
            <w:pPr>
              <w:spacing w:after="0" w:line="240" w:lineRule="auto"/>
              <w:rPr>
                <w:rFonts w:eastAsia="Calibri" w:cs="Arial"/>
                <w:sz w:val="20"/>
                <w:szCs w:val="22"/>
                <w:lang w:val="en-NZ" w:eastAsia="en-US"/>
              </w:rPr>
            </w:pPr>
            <w:r>
              <w:rPr>
                <w:rFonts w:eastAsia="Calibri" w:cs="Arial"/>
                <w:sz w:val="20"/>
                <w:szCs w:val="22"/>
                <w:lang w:val="en-NZ" w:eastAsia="en-US"/>
              </w:rPr>
              <w:t>T</w:t>
            </w:r>
            <w:r w:rsidRPr="003A3E2B">
              <w:rPr>
                <w:rFonts w:eastAsia="Calibri" w:cs="Arial"/>
                <w:sz w:val="20"/>
                <w:szCs w:val="22"/>
                <w:lang w:val="en-NZ" w:eastAsia="en-US"/>
              </w:rPr>
              <w:t>here would be more significant devolution of powers to the regulator.</w:t>
            </w:r>
          </w:p>
          <w:p w:rsidR="00207091" w:rsidRDefault="00207091" w:rsidP="00471AA4">
            <w:pPr>
              <w:spacing w:after="0" w:line="240" w:lineRule="auto"/>
              <w:rPr>
                <w:rFonts w:eastAsia="Calibri" w:cs="Arial"/>
                <w:sz w:val="20"/>
                <w:szCs w:val="22"/>
                <w:lang w:val="en-NZ" w:eastAsia="en-US"/>
              </w:rPr>
            </w:pPr>
          </w:p>
          <w:p w:rsidR="00207091" w:rsidRDefault="00207091" w:rsidP="00471AA4">
            <w:pPr>
              <w:spacing w:after="0" w:line="240" w:lineRule="auto"/>
              <w:rPr>
                <w:rFonts w:eastAsia="Calibri" w:cs="Arial"/>
                <w:sz w:val="20"/>
                <w:szCs w:val="22"/>
                <w:lang w:val="en-NZ" w:eastAsia="en-US"/>
              </w:rPr>
            </w:pPr>
            <w:r>
              <w:rPr>
                <w:rFonts w:eastAsia="Calibri" w:cs="Arial"/>
                <w:sz w:val="20"/>
                <w:szCs w:val="22"/>
                <w:lang w:val="en-NZ" w:eastAsia="en-US"/>
              </w:rPr>
              <w:t xml:space="preserve">The Minister would retain powers in relation to major policy issues, </w:t>
            </w:r>
            <w:r w:rsidR="00753D33">
              <w:rPr>
                <w:rFonts w:eastAsia="Calibri" w:cs="Arial"/>
                <w:sz w:val="20"/>
                <w:szCs w:val="22"/>
                <w:lang w:val="en-NZ" w:eastAsia="en-US"/>
              </w:rPr>
              <w:t xml:space="preserve">and </w:t>
            </w:r>
            <w:r>
              <w:rPr>
                <w:rFonts w:eastAsia="Calibri" w:cs="Arial"/>
                <w:sz w:val="20"/>
                <w:szCs w:val="22"/>
                <w:lang w:val="en-NZ" w:eastAsia="en-US"/>
              </w:rPr>
              <w:t>some committee appointments.</w:t>
            </w:r>
          </w:p>
          <w:p w:rsidR="00207091" w:rsidRDefault="00207091" w:rsidP="00471AA4">
            <w:pPr>
              <w:spacing w:after="0" w:line="240" w:lineRule="auto"/>
              <w:rPr>
                <w:rFonts w:eastAsia="Calibri" w:cs="Arial"/>
                <w:sz w:val="20"/>
                <w:szCs w:val="22"/>
                <w:lang w:val="en-NZ" w:eastAsia="en-US"/>
              </w:rPr>
            </w:pPr>
          </w:p>
          <w:p w:rsidR="00207091" w:rsidRDefault="00207091" w:rsidP="00471AA4">
            <w:pPr>
              <w:spacing w:after="0" w:line="240" w:lineRule="auto"/>
              <w:rPr>
                <w:rFonts w:eastAsia="Calibri" w:cs="Arial"/>
                <w:sz w:val="20"/>
                <w:szCs w:val="22"/>
                <w:lang w:val="en-NZ" w:eastAsia="en-US"/>
              </w:rPr>
            </w:pPr>
            <w:r>
              <w:rPr>
                <w:rFonts w:eastAsia="Calibri" w:cs="Arial"/>
                <w:sz w:val="20"/>
                <w:szCs w:val="22"/>
                <w:lang w:val="en-NZ" w:eastAsia="en-US"/>
              </w:rPr>
              <w:t xml:space="preserve">The Minister should also retain power to decide issues where major ethical or public interest issues </w:t>
            </w:r>
            <w:r w:rsidR="0030387A">
              <w:rPr>
                <w:rFonts w:eastAsia="Calibri" w:cs="Arial"/>
                <w:sz w:val="20"/>
                <w:szCs w:val="22"/>
                <w:lang w:val="en-NZ" w:eastAsia="en-US"/>
              </w:rPr>
              <w:t xml:space="preserve">are </w:t>
            </w:r>
            <w:r>
              <w:rPr>
                <w:rFonts w:eastAsia="Calibri" w:cs="Arial"/>
                <w:sz w:val="20"/>
                <w:szCs w:val="22"/>
                <w:lang w:val="en-NZ" w:eastAsia="en-US"/>
              </w:rPr>
              <w:t>involved.</w:t>
            </w:r>
          </w:p>
          <w:p w:rsidR="00207091" w:rsidRDefault="00207091" w:rsidP="00A01064">
            <w:pPr>
              <w:spacing w:after="0" w:line="240" w:lineRule="auto"/>
              <w:ind w:left="360"/>
              <w:rPr>
                <w:rFonts w:eastAsia="Calibri" w:cs="Arial"/>
                <w:sz w:val="20"/>
                <w:szCs w:val="22"/>
                <w:lang w:val="en-NZ" w:eastAsia="en-US"/>
              </w:rPr>
            </w:pPr>
          </w:p>
        </w:tc>
        <w:tc>
          <w:tcPr>
            <w:tcW w:w="4372" w:type="dxa"/>
            <w:shd w:val="clear" w:color="auto" w:fill="auto"/>
          </w:tcPr>
          <w:p w:rsidR="00D41D02" w:rsidRDefault="00D41D02" w:rsidP="00B66942">
            <w:pPr>
              <w:numPr>
                <w:ilvl w:val="0"/>
                <w:numId w:val="44"/>
              </w:numPr>
              <w:spacing w:after="0" w:line="240" w:lineRule="auto"/>
              <w:rPr>
                <w:rFonts w:eastAsia="Calibri" w:cs="Arial"/>
                <w:sz w:val="20"/>
                <w:szCs w:val="22"/>
                <w:lang w:val="en-NZ" w:eastAsia="en-US"/>
              </w:rPr>
            </w:pPr>
            <w:r>
              <w:rPr>
                <w:rFonts w:eastAsia="Calibri" w:cs="Arial"/>
                <w:sz w:val="20"/>
                <w:szCs w:val="22"/>
                <w:lang w:val="en-NZ" w:eastAsia="en-US"/>
              </w:rPr>
              <w:t>Where the regulator has a clear mandate, powers, and accountability a number of beneficial impacts are possible relative to the status quo.</w:t>
            </w:r>
          </w:p>
          <w:p w:rsidR="00D41D02" w:rsidRDefault="00D41D02" w:rsidP="00D41D02">
            <w:pPr>
              <w:spacing w:after="0" w:line="240" w:lineRule="auto"/>
              <w:ind w:left="360"/>
              <w:rPr>
                <w:rFonts w:eastAsia="Calibri" w:cs="Arial"/>
                <w:sz w:val="20"/>
                <w:szCs w:val="22"/>
                <w:lang w:val="en-NZ" w:eastAsia="en-US"/>
              </w:rPr>
            </w:pPr>
          </w:p>
          <w:p w:rsidR="00207091" w:rsidRDefault="00D41D02" w:rsidP="00B66942">
            <w:pPr>
              <w:numPr>
                <w:ilvl w:val="0"/>
                <w:numId w:val="44"/>
              </w:numPr>
              <w:spacing w:after="0" w:line="240" w:lineRule="auto"/>
              <w:rPr>
                <w:rFonts w:eastAsia="Calibri" w:cs="Arial"/>
                <w:sz w:val="20"/>
                <w:szCs w:val="22"/>
                <w:lang w:val="en-NZ" w:eastAsia="en-US"/>
              </w:rPr>
            </w:pPr>
            <w:r>
              <w:rPr>
                <w:rFonts w:eastAsia="Calibri" w:cs="Arial"/>
                <w:sz w:val="20"/>
                <w:szCs w:val="22"/>
                <w:lang w:val="en-NZ" w:eastAsia="en-US"/>
              </w:rPr>
              <w:t xml:space="preserve">The </w:t>
            </w:r>
            <w:r w:rsidR="005C09BD">
              <w:rPr>
                <w:rFonts w:eastAsia="Calibri" w:cs="Arial"/>
                <w:sz w:val="20"/>
                <w:szCs w:val="22"/>
                <w:lang w:val="en-NZ" w:eastAsia="en-US"/>
              </w:rPr>
              <w:t xml:space="preserve">Minister </w:t>
            </w:r>
            <w:r>
              <w:rPr>
                <w:rFonts w:eastAsia="Calibri" w:cs="Arial"/>
                <w:sz w:val="20"/>
                <w:szCs w:val="22"/>
                <w:lang w:val="en-NZ" w:eastAsia="en-US"/>
              </w:rPr>
              <w:t xml:space="preserve">is more </w:t>
            </w:r>
            <w:r w:rsidR="005C09BD">
              <w:rPr>
                <w:rFonts w:eastAsia="Calibri" w:cs="Arial"/>
                <w:sz w:val="20"/>
                <w:szCs w:val="22"/>
                <w:lang w:val="en-NZ" w:eastAsia="en-US"/>
              </w:rPr>
              <w:t xml:space="preserve">able to focus on issues relating to </w:t>
            </w:r>
            <w:r>
              <w:rPr>
                <w:rFonts w:eastAsia="Calibri" w:cs="Arial"/>
                <w:sz w:val="20"/>
                <w:szCs w:val="22"/>
                <w:lang w:val="en-NZ" w:eastAsia="en-US"/>
              </w:rPr>
              <w:t>the</w:t>
            </w:r>
            <w:r w:rsidR="005C09BD">
              <w:rPr>
                <w:rFonts w:eastAsia="Calibri" w:cs="Arial"/>
                <w:sz w:val="20"/>
                <w:szCs w:val="22"/>
                <w:lang w:val="en-NZ" w:eastAsia="en-US"/>
              </w:rPr>
              <w:t xml:space="preserve"> accountability of</w:t>
            </w:r>
            <w:r>
              <w:rPr>
                <w:rFonts w:eastAsia="Calibri" w:cs="Arial"/>
                <w:sz w:val="20"/>
                <w:szCs w:val="22"/>
                <w:lang w:val="en-NZ" w:eastAsia="en-US"/>
              </w:rPr>
              <w:t xml:space="preserve"> the</w:t>
            </w:r>
            <w:r w:rsidR="005C09BD">
              <w:rPr>
                <w:rFonts w:eastAsia="Calibri" w:cs="Arial"/>
                <w:sz w:val="20"/>
                <w:szCs w:val="22"/>
                <w:lang w:val="en-NZ" w:eastAsia="en-US"/>
              </w:rPr>
              <w:t xml:space="preserve"> regulator, and </w:t>
            </w:r>
            <w:r>
              <w:rPr>
                <w:rFonts w:eastAsia="Calibri" w:cs="Arial"/>
                <w:sz w:val="20"/>
                <w:szCs w:val="22"/>
                <w:lang w:val="en-NZ" w:eastAsia="en-US"/>
              </w:rPr>
              <w:t xml:space="preserve">on </w:t>
            </w:r>
            <w:r w:rsidR="005C09BD">
              <w:rPr>
                <w:rFonts w:eastAsia="Calibri" w:cs="Arial"/>
                <w:sz w:val="20"/>
                <w:szCs w:val="22"/>
                <w:lang w:val="en-NZ" w:eastAsia="en-US"/>
              </w:rPr>
              <w:t>issues of major public interest.</w:t>
            </w:r>
          </w:p>
          <w:p w:rsidR="005C09BD" w:rsidRDefault="005C09BD" w:rsidP="005C09BD">
            <w:pPr>
              <w:spacing w:after="0" w:line="240" w:lineRule="auto"/>
              <w:rPr>
                <w:rFonts w:eastAsia="Calibri" w:cs="Arial"/>
                <w:sz w:val="20"/>
                <w:szCs w:val="22"/>
                <w:lang w:val="en-NZ" w:eastAsia="en-US"/>
              </w:rPr>
            </w:pPr>
          </w:p>
          <w:p w:rsidR="005C09BD" w:rsidRDefault="005C09BD" w:rsidP="00B66942">
            <w:pPr>
              <w:numPr>
                <w:ilvl w:val="0"/>
                <w:numId w:val="44"/>
              </w:numPr>
              <w:spacing w:after="0" w:line="240" w:lineRule="auto"/>
              <w:rPr>
                <w:rFonts w:eastAsia="Calibri" w:cs="Arial"/>
                <w:sz w:val="20"/>
                <w:szCs w:val="22"/>
                <w:lang w:val="en-NZ" w:eastAsia="en-US"/>
              </w:rPr>
            </w:pPr>
            <w:r>
              <w:rPr>
                <w:rFonts w:eastAsia="Calibri" w:cs="Arial"/>
                <w:sz w:val="20"/>
                <w:szCs w:val="22"/>
                <w:lang w:val="en-NZ" w:eastAsia="en-US"/>
              </w:rPr>
              <w:t>More timely decision making.</w:t>
            </w:r>
          </w:p>
          <w:p w:rsidR="00600667" w:rsidRDefault="00600667" w:rsidP="00600667">
            <w:pPr>
              <w:spacing w:after="0" w:line="240" w:lineRule="auto"/>
              <w:rPr>
                <w:rFonts w:eastAsia="Calibri" w:cs="Arial"/>
                <w:sz w:val="20"/>
                <w:szCs w:val="22"/>
                <w:lang w:val="en-NZ" w:eastAsia="en-US"/>
              </w:rPr>
            </w:pPr>
          </w:p>
          <w:p w:rsidR="00207091" w:rsidRDefault="005C09BD" w:rsidP="00B66942">
            <w:pPr>
              <w:numPr>
                <w:ilvl w:val="0"/>
                <w:numId w:val="44"/>
              </w:numPr>
              <w:spacing w:after="0" w:line="240" w:lineRule="auto"/>
              <w:rPr>
                <w:rFonts w:eastAsia="Calibri" w:cs="Arial"/>
                <w:sz w:val="20"/>
                <w:szCs w:val="22"/>
                <w:lang w:val="en-NZ" w:eastAsia="en-US"/>
              </w:rPr>
            </w:pPr>
            <w:r>
              <w:rPr>
                <w:rFonts w:eastAsia="Calibri" w:cs="Arial"/>
                <w:sz w:val="20"/>
                <w:szCs w:val="22"/>
                <w:lang w:val="en-NZ" w:eastAsia="en-US"/>
              </w:rPr>
              <w:t>Less costly decision making in some cases.</w:t>
            </w:r>
          </w:p>
          <w:p w:rsidR="005C09BD" w:rsidRDefault="005C09BD" w:rsidP="005C09BD">
            <w:pPr>
              <w:spacing w:after="0" w:line="240" w:lineRule="auto"/>
              <w:rPr>
                <w:rFonts w:eastAsia="Calibri" w:cs="Arial"/>
                <w:sz w:val="20"/>
                <w:szCs w:val="22"/>
                <w:lang w:val="en-NZ" w:eastAsia="en-US"/>
              </w:rPr>
            </w:pPr>
          </w:p>
          <w:p w:rsidR="005C09BD" w:rsidRDefault="005C09BD" w:rsidP="00B66942">
            <w:pPr>
              <w:numPr>
                <w:ilvl w:val="0"/>
                <w:numId w:val="44"/>
              </w:numPr>
              <w:spacing w:after="0" w:line="240" w:lineRule="auto"/>
              <w:rPr>
                <w:rFonts w:eastAsia="Calibri" w:cs="Arial"/>
                <w:sz w:val="20"/>
                <w:szCs w:val="22"/>
                <w:lang w:val="en-NZ" w:eastAsia="en-US"/>
              </w:rPr>
            </w:pPr>
            <w:r>
              <w:rPr>
                <w:rFonts w:eastAsia="Calibri" w:cs="Arial"/>
                <w:sz w:val="20"/>
                <w:szCs w:val="22"/>
                <w:lang w:val="en-NZ" w:eastAsia="en-US"/>
              </w:rPr>
              <w:t>Reduced risk of perceived lack of independence.</w:t>
            </w:r>
          </w:p>
          <w:p w:rsidR="005C09BD" w:rsidRDefault="005C09BD" w:rsidP="005C09BD">
            <w:pPr>
              <w:spacing w:after="0" w:line="240" w:lineRule="auto"/>
              <w:rPr>
                <w:rFonts w:eastAsia="Calibri" w:cs="Arial"/>
                <w:sz w:val="20"/>
                <w:szCs w:val="22"/>
                <w:lang w:val="en-NZ" w:eastAsia="en-US"/>
              </w:rPr>
            </w:pPr>
          </w:p>
          <w:p w:rsidR="005C09BD" w:rsidRDefault="005C09BD" w:rsidP="00B66942">
            <w:pPr>
              <w:numPr>
                <w:ilvl w:val="0"/>
                <w:numId w:val="44"/>
              </w:numPr>
              <w:spacing w:after="0" w:line="240" w:lineRule="auto"/>
              <w:rPr>
                <w:rFonts w:eastAsia="Calibri" w:cs="Arial"/>
                <w:sz w:val="20"/>
                <w:szCs w:val="22"/>
                <w:lang w:val="en-NZ" w:eastAsia="en-US"/>
              </w:rPr>
            </w:pPr>
            <w:r>
              <w:rPr>
                <w:rFonts w:eastAsia="Calibri" w:cs="Arial"/>
                <w:sz w:val="20"/>
                <w:szCs w:val="22"/>
                <w:lang w:val="en-NZ" w:eastAsia="en-US"/>
              </w:rPr>
              <w:t>Greater conformity with public sector legislative and regulatory standards / requirements</w:t>
            </w:r>
            <w:r w:rsidR="00225668">
              <w:rPr>
                <w:rFonts w:eastAsia="Calibri" w:cs="Arial"/>
                <w:sz w:val="20"/>
                <w:szCs w:val="22"/>
                <w:lang w:val="en-NZ" w:eastAsia="en-US"/>
              </w:rPr>
              <w:t xml:space="preserve"> (with cost, accountability, transparency benefits)</w:t>
            </w:r>
            <w:r>
              <w:rPr>
                <w:rFonts w:eastAsia="Calibri" w:cs="Arial"/>
                <w:sz w:val="20"/>
                <w:szCs w:val="22"/>
                <w:lang w:val="en-NZ" w:eastAsia="en-US"/>
              </w:rPr>
              <w:t>.</w:t>
            </w:r>
          </w:p>
          <w:p w:rsidR="002D4EAA" w:rsidRDefault="002D4EAA" w:rsidP="002D4EAA">
            <w:pPr>
              <w:spacing w:after="0" w:line="240" w:lineRule="auto"/>
              <w:ind w:left="360"/>
              <w:rPr>
                <w:rFonts w:eastAsia="Calibri" w:cs="Arial"/>
                <w:sz w:val="20"/>
                <w:szCs w:val="22"/>
                <w:lang w:val="en-NZ" w:eastAsia="en-US"/>
              </w:rPr>
            </w:pPr>
          </w:p>
          <w:p w:rsidR="002D4EAA" w:rsidRDefault="002D4EAA" w:rsidP="00B66942">
            <w:pPr>
              <w:numPr>
                <w:ilvl w:val="0"/>
                <w:numId w:val="44"/>
              </w:numPr>
              <w:spacing w:after="0" w:line="240" w:lineRule="auto"/>
              <w:rPr>
                <w:rFonts w:eastAsia="Calibri" w:cs="Arial"/>
                <w:sz w:val="20"/>
                <w:szCs w:val="22"/>
                <w:lang w:val="en-NZ" w:eastAsia="en-US"/>
              </w:rPr>
            </w:pPr>
            <w:r>
              <w:rPr>
                <w:rFonts w:eastAsia="Calibri" w:cs="Arial"/>
                <w:sz w:val="20"/>
                <w:szCs w:val="22"/>
                <w:lang w:val="en-NZ" w:eastAsia="en-US"/>
              </w:rPr>
              <w:t>Ability to keep technical detail current.</w:t>
            </w:r>
          </w:p>
          <w:p w:rsidR="005C09BD" w:rsidRPr="003A3E2B" w:rsidRDefault="005C09BD" w:rsidP="005C09BD">
            <w:pPr>
              <w:spacing w:after="0" w:line="240" w:lineRule="auto"/>
              <w:rPr>
                <w:rFonts w:eastAsia="Calibri" w:cs="Arial"/>
                <w:sz w:val="20"/>
                <w:szCs w:val="22"/>
                <w:lang w:val="en-NZ" w:eastAsia="en-US"/>
              </w:rPr>
            </w:pPr>
          </w:p>
        </w:tc>
      </w:tr>
    </w:tbl>
    <w:p w:rsidR="00B74A60" w:rsidRPr="00B74A60" w:rsidRDefault="00B74A60" w:rsidP="00B74A60">
      <w:pPr>
        <w:spacing w:after="0" w:line="240" w:lineRule="auto"/>
        <w:rPr>
          <w:rFonts w:eastAsia="Calibri" w:cs="Arial"/>
          <w:szCs w:val="22"/>
          <w:lang w:val="en-NZ" w:eastAsia="en-US"/>
        </w:rPr>
      </w:pPr>
    </w:p>
    <w:p w:rsidR="00600667" w:rsidRDefault="00600667" w:rsidP="00B74A60">
      <w:pPr>
        <w:spacing w:after="0" w:line="240" w:lineRule="auto"/>
        <w:rPr>
          <w:rFonts w:eastAsia="Calibri" w:cs="Arial"/>
          <w:b/>
          <w:szCs w:val="22"/>
          <w:lang w:val="en-NZ" w:eastAsia="en-US"/>
        </w:rPr>
      </w:pPr>
    </w:p>
    <w:p w:rsidR="00B74A60" w:rsidRPr="00830E17" w:rsidRDefault="00B74A60" w:rsidP="00830E17">
      <w:pPr>
        <w:pStyle w:val="Heading5"/>
        <w:rPr>
          <w:rFonts w:eastAsia="Calibri"/>
          <w:b/>
          <w:i w:val="0"/>
          <w:lang w:val="en-NZ" w:eastAsia="en-US"/>
        </w:rPr>
      </w:pPr>
      <w:r w:rsidRPr="00830E17">
        <w:rPr>
          <w:rFonts w:eastAsia="Calibri"/>
          <w:b/>
          <w:i w:val="0"/>
          <w:lang w:val="en-NZ" w:eastAsia="en-US"/>
        </w:rPr>
        <w:t>Issue 5: Institutional form of regulator</w:t>
      </w:r>
    </w:p>
    <w:p w:rsidR="00B74A60" w:rsidRPr="00B74A60" w:rsidRDefault="00B74A60" w:rsidP="00B74A60">
      <w:pPr>
        <w:spacing w:after="0" w:line="240" w:lineRule="auto"/>
        <w:rPr>
          <w:rFonts w:eastAsia="Calibri" w:cs="Arial"/>
          <w:szCs w:val="22"/>
          <w:lang w:val="en-NZ" w:eastAsia="en-US"/>
        </w:rPr>
      </w:pPr>
    </w:p>
    <w:p w:rsidR="00B74A60" w:rsidRPr="00B74A60" w:rsidRDefault="002C709A" w:rsidP="00E440A3">
      <w:pPr>
        <w:pStyle w:val="BodyText"/>
        <w:rPr>
          <w:rFonts w:eastAsia="Calibri"/>
        </w:rPr>
      </w:pPr>
      <w:r>
        <w:rPr>
          <w:rFonts w:eastAsia="Calibri"/>
        </w:rPr>
        <w:t>T</w:t>
      </w:r>
      <w:r w:rsidR="00A97501">
        <w:rPr>
          <w:rFonts w:eastAsia="Calibri"/>
        </w:rPr>
        <w:t xml:space="preserve">he </w:t>
      </w:r>
      <w:r w:rsidR="00B74A60" w:rsidRPr="00B74A60">
        <w:rPr>
          <w:rFonts w:eastAsia="Calibri"/>
        </w:rPr>
        <w:t xml:space="preserve">preferred </w:t>
      </w:r>
      <w:r w:rsidR="00A97501">
        <w:rPr>
          <w:rFonts w:eastAsia="Calibri"/>
        </w:rPr>
        <w:t>institutional form of the regulator</w:t>
      </w:r>
      <w:r>
        <w:rPr>
          <w:rFonts w:eastAsia="Calibri"/>
        </w:rPr>
        <w:t xml:space="preserve"> </w:t>
      </w:r>
      <w:r w:rsidR="00B74A60" w:rsidRPr="00B74A60">
        <w:rPr>
          <w:rFonts w:eastAsia="Calibri"/>
        </w:rPr>
        <w:t>will be addressed in advice to be included in the Cabinet paper in early 2016.</w:t>
      </w:r>
      <w:r w:rsidR="00A97501">
        <w:rPr>
          <w:rFonts w:eastAsia="Calibri"/>
        </w:rPr>
        <w:t xml:space="preserve">  </w:t>
      </w:r>
      <w:r w:rsidR="00A97501" w:rsidRPr="007922F4">
        <w:rPr>
          <w:rFonts w:eastAsia="Calibri"/>
        </w:rPr>
        <w:t>The discussion and identification of options below is for illustrative purposes.</w:t>
      </w:r>
    </w:p>
    <w:p w:rsidR="00B74A60" w:rsidRPr="002C709A" w:rsidRDefault="00B74A60" w:rsidP="0027386C">
      <w:pPr>
        <w:pStyle w:val="BodyText"/>
        <w:rPr>
          <w:rFonts w:eastAsia="Calibri"/>
        </w:rPr>
      </w:pPr>
      <w:r w:rsidRPr="002C709A">
        <w:rPr>
          <w:rFonts w:eastAsia="Calibri"/>
        </w:rPr>
        <w:t>The appropriate institutional form for a regulator will vary with the nature of its role and responsibilities.</w:t>
      </w:r>
      <w:r w:rsidR="00A97501" w:rsidRPr="002C709A">
        <w:rPr>
          <w:rFonts w:eastAsia="Calibri"/>
        </w:rPr>
        <w:t xml:space="preserve"> </w:t>
      </w:r>
      <w:r w:rsidR="002C709A" w:rsidRPr="002C709A">
        <w:rPr>
          <w:rFonts w:eastAsia="Calibri"/>
        </w:rPr>
        <w:t xml:space="preserve"> Decision making is currently delegated, although some powers remain with the Minister.  </w:t>
      </w:r>
      <w:r w:rsidRPr="002C709A">
        <w:rPr>
          <w:rFonts w:eastAsia="Calibri"/>
        </w:rPr>
        <w:t xml:space="preserve">The preferred options for the new therapeutic products regulatory regime would involve significant devolution of powers to the regulator.  </w:t>
      </w:r>
      <w:r w:rsidR="001F5887" w:rsidRPr="002C709A">
        <w:rPr>
          <w:rFonts w:eastAsia="Calibri"/>
        </w:rPr>
        <w:t xml:space="preserve">The main change is the ability of the regulator to design subordinate instruments. </w:t>
      </w:r>
      <w:r w:rsidRPr="002C709A">
        <w:rPr>
          <w:rFonts w:eastAsia="Calibri"/>
        </w:rPr>
        <w:t xml:space="preserve">Given the role the regulator is expected to perform, a key concern is to ensure that the regulator has sufficient: </w:t>
      </w:r>
    </w:p>
    <w:p w:rsidR="00B74A60" w:rsidRPr="00B74A60" w:rsidRDefault="00B74A60" w:rsidP="00E440A3">
      <w:pPr>
        <w:pStyle w:val="BodyText2"/>
        <w:rPr>
          <w:rFonts w:eastAsia="Calibri"/>
          <w:lang w:val="en-NZ" w:eastAsia="en-US"/>
        </w:rPr>
      </w:pPr>
      <w:r w:rsidRPr="00B74A60">
        <w:rPr>
          <w:rFonts w:eastAsia="Calibri"/>
          <w:lang w:val="en-NZ" w:eastAsia="en-US"/>
        </w:rPr>
        <w:t>independence (</w:t>
      </w:r>
      <w:r w:rsidR="002C709A">
        <w:rPr>
          <w:rFonts w:eastAsia="Calibri"/>
          <w:lang w:val="en-NZ" w:eastAsia="en-US"/>
        </w:rPr>
        <w:t>from the party or par</w:t>
      </w:r>
      <w:r w:rsidR="00DD53D3">
        <w:rPr>
          <w:rFonts w:eastAsia="Calibri"/>
          <w:lang w:val="en-NZ" w:eastAsia="en-US"/>
        </w:rPr>
        <w:t>ties to whom it is accountable)</w:t>
      </w:r>
    </w:p>
    <w:p w:rsidR="00B74A60" w:rsidRPr="00B74A60" w:rsidRDefault="00B74A60" w:rsidP="00E440A3">
      <w:pPr>
        <w:pStyle w:val="BodyText2"/>
        <w:rPr>
          <w:rFonts w:eastAsia="Calibri"/>
          <w:lang w:val="en-NZ" w:eastAsia="en-US"/>
        </w:rPr>
      </w:pPr>
      <w:r w:rsidRPr="00B74A60">
        <w:rPr>
          <w:rFonts w:eastAsia="Calibri"/>
          <w:lang w:val="en-NZ" w:eastAsia="en-US"/>
        </w:rPr>
        <w:t>capacity and c</w:t>
      </w:r>
      <w:r w:rsidR="008928C5">
        <w:rPr>
          <w:rFonts w:eastAsia="Calibri"/>
          <w:lang w:val="en-NZ" w:eastAsia="en-US"/>
        </w:rPr>
        <w:t>redibility</w:t>
      </w:r>
      <w:r w:rsidRPr="00B74A60">
        <w:rPr>
          <w:rFonts w:eastAsia="Calibri"/>
          <w:lang w:val="en-NZ" w:eastAsia="en-US"/>
        </w:rPr>
        <w:t xml:space="preserve"> (technical expertise, </w:t>
      </w:r>
      <w:r w:rsidR="008928C5">
        <w:rPr>
          <w:rFonts w:eastAsia="Calibri"/>
          <w:lang w:val="en-NZ" w:eastAsia="en-US"/>
        </w:rPr>
        <w:t>appropriate culture</w:t>
      </w:r>
      <w:r w:rsidR="00DD53D3">
        <w:rPr>
          <w:rFonts w:eastAsia="Calibri"/>
          <w:lang w:val="en-NZ" w:eastAsia="en-US"/>
        </w:rPr>
        <w:t>)</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cost-effectiveness</w:t>
      </w:r>
      <w:proofErr w:type="gramEnd"/>
      <w:r w:rsidRPr="00B74A60">
        <w:rPr>
          <w:rFonts w:eastAsia="Calibri"/>
          <w:lang w:val="en-NZ" w:eastAsia="en-US"/>
        </w:rPr>
        <w:t xml:space="preserve"> and accountability.</w:t>
      </w:r>
    </w:p>
    <w:p w:rsidR="00B74A60" w:rsidRPr="00B74A60" w:rsidRDefault="00B74A60" w:rsidP="00E440A3">
      <w:pPr>
        <w:pStyle w:val="BodyText"/>
        <w:rPr>
          <w:rFonts w:eastAsia="Calibri"/>
        </w:rPr>
      </w:pPr>
      <w:r w:rsidRPr="00B74A60">
        <w:rPr>
          <w:rFonts w:eastAsia="Calibri"/>
        </w:rPr>
        <w:t>Such factors alone, however, do not point conclusively to a particular preferred institutional form.</w:t>
      </w:r>
      <w:r w:rsidR="00A97501">
        <w:rPr>
          <w:rFonts w:eastAsia="Calibri"/>
        </w:rPr>
        <w:t xml:space="preserve">  </w:t>
      </w:r>
      <w:r w:rsidRPr="00B74A60">
        <w:rPr>
          <w:rFonts w:eastAsia="Calibri"/>
        </w:rPr>
        <w:t>Other factors to consider are:</w:t>
      </w:r>
    </w:p>
    <w:p w:rsidR="00B74A60" w:rsidRPr="00B74A60" w:rsidRDefault="00B74A60" w:rsidP="00E440A3">
      <w:pPr>
        <w:pStyle w:val="BodyText2"/>
        <w:rPr>
          <w:rFonts w:eastAsia="Calibri"/>
          <w:lang w:val="en-NZ" w:eastAsia="en-US"/>
        </w:rPr>
      </w:pPr>
      <w:r w:rsidRPr="00B74A60">
        <w:rPr>
          <w:rFonts w:eastAsia="Calibri"/>
          <w:lang w:val="en-NZ" w:eastAsia="en-US"/>
        </w:rPr>
        <w:t>the costs associated wi</w:t>
      </w:r>
      <w:r w:rsidR="00DD53D3">
        <w:rPr>
          <w:rFonts w:eastAsia="Calibri"/>
          <w:lang w:val="en-NZ" w:eastAsia="en-US"/>
        </w:rPr>
        <w:t>th setting up a new entity</w:t>
      </w:r>
    </w:p>
    <w:p w:rsidR="00B74A60" w:rsidRPr="00B74A60" w:rsidRDefault="00B74A60" w:rsidP="00E440A3">
      <w:pPr>
        <w:pStyle w:val="BodyText2"/>
        <w:rPr>
          <w:rFonts w:eastAsia="Calibri"/>
          <w:lang w:val="en-NZ" w:eastAsia="en-US"/>
        </w:rPr>
      </w:pPr>
      <w:r w:rsidRPr="00B74A60">
        <w:rPr>
          <w:rFonts w:eastAsia="Calibri"/>
          <w:lang w:val="en-NZ" w:eastAsia="en-US"/>
        </w:rPr>
        <w:t>continuity of regulatory performance and change management issues (the timing of any institutional change, alongside the change</w:t>
      </w:r>
      <w:r w:rsidR="00DD53D3">
        <w:rPr>
          <w:rFonts w:eastAsia="Calibri"/>
          <w:lang w:val="en-NZ" w:eastAsia="en-US"/>
        </w:rPr>
        <w:t xml:space="preserve"> in powers and policy settings)</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whether</w:t>
      </w:r>
      <w:proofErr w:type="gramEnd"/>
      <w:r w:rsidRPr="00B74A60">
        <w:rPr>
          <w:rFonts w:eastAsia="Calibri"/>
          <w:lang w:val="en-NZ" w:eastAsia="en-US"/>
        </w:rPr>
        <w:t xml:space="preserve"> the merits of institutional form are likely to be influenced by experience operating the new regulatory regime (ie, where the status quo is “a safe pair of hands” meantime).</w:t>
      </w:r>
    </w:p>
    <w:p w:rsidR="00600667" w:rsidRDefault="00600667" w:rsidP="00B74A60">
      <w:pPr>
        <w:spacing w:after="0" w:line="240" w:lineRule="auto"/>
        <w:rPr>
          <w:rFonts w:eastAsia="Calibri" w:cs="Arial"/>
          <w:szCs w:val="22"/>
          <w:lang w:val="en-N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490"/>
      </w:tblGrid>
      <w:tr w:rsidR="00B74A60" w:rsidRPr="003A3E2B" w:rsidTr="00747CD2">
        <w:trPr>
          <w:trHeight w:val="601"/>
          <w:tblHeader/>
        </w:trPr>
        <w:tc>
          <w:tcPr>
            <w:tcW w:w="9016" w:type="dxa"/>
            <w:gridSpan w:val="2"/>
            <w:shd w:val="clear" w:color="auto" w:fill="DEEAF6"/>
          </w:tcPr>
          <w:p w:rsidR="00B74A60" w:rsidRPr="003A3E2B" w:rsidRDefault="00B74A60" w:rsidP="003A3E2B">
            <w:pPr>
              <w:spacing w:after="0" w:line="240" w:lineRule="auto"/>
              <w:rPr>
                <w:rFonts w:eastAsia="Calibri" w:cs="Arial"/>
                <w:b/>
                <w:szCs w:val="22"/>
                <w:lang w:val="en-NZ" w:eastAsia="en-US"/>
              </w:rPr>
            </w:pPr>
            <w:r w:rsidRPr="003A3E2B">
              <w:rPr>
                <w:rFonts w:eastAsia="Calibri" w:cs="Arial"/>
                <w:b/>
                <w:szCs w:val="22"/>
                <w:lang w:val="en-NZ" w:eastAsia="en-US"/>
              </w:rPr>
              <w:t xml:space="preserve">Institutional form of regulator: </w:t>
            </w:r>
            <w:r w:rsidR="00025C3B">
              <w:rPr>
                <w:rFonts w:eastAsia="Calibri" w:cs="Arial"/>
                <w:b/>
                <w:szCs w:val="22"/>
                <w:lang w:val="en-NZ" w:eastAsia="en-US"/>
              </w:rPr>
              <w:t xml:space="preserve">example of </w:t>
            </w:r>
            <w:r w:rsidRPr="003A3E2B">
              <w:rPr>
                <w:rFonts w:eastAsia="Calibri" w:cs="Arial"/>
                <w:b/>
                <w:szCs w:val="22"/>
                <w:lang w:val="en-NZ" w:eastAsia="en-US"/>
              </w:rPr>
              <w:t>options</w:t>
            </w:r>
          </w:p>
          <w:p w:rsidR="00B74A60" w:rsidRPr="003A3E2B" w:rsidRDefault="00B74A60" w:rsidP="003A3E2B">
            <w:pPr>
              <w:spacing w:after="0" w:line="240" w:lineRule="auto"/>
              <w:rPr>
                <w:rFonts w:eastAsia="Calibri" w:cs="Arial"/>
                <w:szCs w:val="22"/>
                <w:lang w:val="en-NZ" w:eastAsia="en-US"/>
              </w:rPr>
            </w:pPr>
          </w:p>
        </w:tc>
      </w:tr>
      <w:tr w:rsidR="00025C3B" w:rsidRPr="003A3E2B" w:rsidTr="0027386C">
        <w:trPr>
          <w:tblHeader/>
        </w:trPr>
        <w:tc>
          <w:tcPr>
            <w:tcW w:w="1526" w:type="dxa"/>
            <w:shd w:val="clear" w:color="auto" w:fill="DEEAF6"/>
          </w:tcPr>
          <w:p w:rsidR="00025C3B" w:rsidRPr="003A3E2B" w:rsidRDefault="00025C3B" w:rsidP="003A3E2B">
            <w:pPr>
              <w:spacing w:after="0" w:line="240" w:lineRule="auto"/>
              <w:jc w:val="center"/>
              <w:rPr>
                <w:rFonts w:eastAsia="Calibri" w:cs="Arial"/>
                <w:i/>
                <w:szCs w:val="22"/>
                <w:lang w:val="en-NZ" w:eastAsia="en-US"/>
              </w:rPr>
            </w:pPr>
            <w:r w:rsidRPr="003A3E2B">
              <w:rPr>
                <w:rFonts w:eastAsia="Calibri" w:cs="Arial"/>
                <w:i/>
                <w:szCs w:val="22"/>
                <w:lang w:val="en-NZ" w:eastAsia="en-US"/>
              </w:rPr>
              <w:t>Options</w:t>
            </w:r>
          </w:p>
          <w:p w:rsidR="00025C3B" w:rsidRPr="003A3E2B" w:rsidRDefault="00025C3B" w:rsidP="003A3E2B">
            <w:pPr>
              <w:spacing w:after="0" w:line="240" w:lineRule="auto"/>
              <w:jc w:val="center"/>
              <w:rPr>
                <w:rFonts w:eastAsia="Calibri" w:cs="Arial"/>
                <w:i/>
                <w:szCs w:val="22"/>
                <w:lang w:val="en-NZ" w:eastAsia="en-US"/>
              </w:rPr>
            </w:pPr>
          </w:p>
        </w:tc>
        <w:tc>
          <w:tcPr>
            <w:tcW w:w="7490" w:type="dxa"/>
            <w:shd w:val="clear" w:color="auto" w:fill="DEEAF6"/>
          </w:tcPr>
          <w:p w:rsidR="00025C3B" w:rsidRPr="003A3E2B" w:rsidRDefault="00025C3B" w:rsidP="00025C3B">
            <w:pPr>
              <w:spacing w:after="0" w:line="240" w:lineRule="auto"/>
              <w:jc w:val="center"/>
              <w:rPr>
                <w:rFonts w:eastAsia="Calibri" w:cs="Arial"/>
                <w:i/>
                <w:szCs w:val="22"/>
                <w:lang w:val="en-NZ" w:eastAsia="en-US"/>
              </w:rPr>
            </w:pPr>
            <w:r>
              <w:rPr>
                <w:rFonts w:eastAsia="Calibri" w:cs="Arial"/>
                <w:i/>
                <w:szCs w:val="22"/>
                <w:lang w:val="en-NZ" w:eastAsia="en-US"/>
              </w:rPr>
              <w:t>Description</w:t>
            </w:r>
            <w:r w:rsidDel="00207091">
              <w:rPr>
                <w:rFonts w:eastAsia="Calibri" w:cs="Arial"/>
                <w:i/>
                <w:szCs w:val="22"/>
                <w:lang w:val="en-NZ" w:eastAsia="en-US"/>
              </w:rPr>
              <w:t xml:space="preserve"> </w:t>
            </w:r>
          </w:p>
        </w:tc>
      </w:tr>
      <w:tr w:rsidR="00B74A60" w:rsidRPr="003A3E2B" w:rsidTr="003A3E2B">
        <w:tc>
          <w:tcPr>
            <w:tcW w:w="9016" w:type="dxa"/>
            <w:gridSpan w:val="2"/>
            <w:shd w:val="clear" w:color="auto" w:fill="auto"/>
          </w:tcPr>
          <w:p w:rsidR="00B74A60" w:rsidRDefault="00B74A60"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The development of options and any proposals for cha</w:t>
            </w:r>
            <w:r w:rsidR="002C709A">
              <w:rPr>
                <w:rFonts w:eastAsia="Calibri" w:cs="Arial"/>
                <w:sz w:val="20"/>
                <w:szCs w:val="22"/>
                <w:lang w:val="en-NZ" w:eastAsia="en-US"/>
              </w:rPr>
              <w:t>nge will be part of advice i</w:t>
            </w:r>
            <w:r w:rsidRPr="003A3E2B">
              <w:rPr>
                <w:rFonts w:eastAsia="Calibri" w:cs="Arial"/>
                <w:sz w:val="20"/>
                <w:szCs w:val="22"/>
                <w:lang w:val="en-NZ" w:eastAsia="en-US"/>
              </w:rPr>
              <w:t>n early 2016.</w:t>
            </w:r>
            <w:r w:rsidR="00A97501" w:rsidRPr="003A3E2B">
              <w:rPr>
                <w:rFonts w:eastAsia="Calibri" w:cs="Arial"/>
                <w:sz w:val="20"/>
                <w:szCs w:val="22"/>
                <w:lang w:val="en-NZ" w:eastAsia="en-US"/>
              </w:rPr>
              <w:t xml:space="preserve">  </w:t>
            </w:r>
            <w:r w:rsidRPr="003A3E2B">
              <w:rPr>
                <w:rFonts w:eastAsia="Calibri" w:cs="Arial"/>
                <w:sz w:val="20"/>
                <w:szCs w:val="22"/>
                <w:lang w:val="en-NZ" w:eastAsia="en-US"/>
              </w:rPr>
              <w:t xml:space="preserve">The options set out below illustrate </w:t>
            </w:r>
            <w:r w:rsidR="002C709A">
              <w:rPr>
                <w:rFonts w:eastAsia="Calibri" w:cs="Arial"/>
                <w:sz w:val="20"/>
                <w:szCs w:val="22"/>
                <w:lang w:val="en-NZ" w:eastAsia="en-US"/>
              </w:rPr>
              <w:t xml:space="preserve">some of the </w:t>
            </w:r>
            <w:r w:rsidRPr="003A3E2B">
              <w:rPr>
                <w:rFonts w:eastAsia="Calibri" w:cs="Arial"/>
                <w:sz w:val="20"/>
                <w:szCs w:val="22"/>
                <w:lang w:val="en-NZ" w:eastAsia="en-US"/>
              </w:rPr>
              <w:t>alternatives available.</w:t>
            </w:r>
          </w:p>
          <w:p w:rsidR="00B74A60" w:rsidRPr="003A3E2B" w:rsidRDefault="00B74A60" w:rsidP="002C709A">
            <w:pPr>
              <w:spacing w:after="0" w:line="240" w:lineRule="auto"/>
              <w:rPr>
                <w:rFonts w:eastAsia="Calibri" w:cs="Arial"/>
                <w:sz w:val="20"/>
                <w:szCs w:val="22"/>
                <w:lang w:val="en-NZ" w:eastAsia="en-US"/>
              </w:rPr>
            </w:pPr>
          </w:p>
        </w:tc>
      </w:tr>
      <w:tr w:rsidR="00025C3B" w:rsidRPr="003A3E2B" w:rsidTr="0027386C">
        <w:tc>
          <w:tcPr>
            <w:tcW w:w="1526" w:type="dxa"/>
            <w:shd w:val="clear" w:color="auto" w:fill="auto"/>
          </w:tcPr>
          <w:p w:rsidR="00025C3B" w:rsidRPr="003A3E2B" w:rsidRDefault="00025C3B"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Status quo</w:t>
            </w:r>
          </w:p>
          <w:p w:rsidR="00025C3B" w:rsidRPr="003A3E2B" w:rsidRDefault="00025C3B" w:rsidP="003A3E2B">
            <w:pPr>
              <w:spacing w:after="0" w:line="240" w:lineRule="auto"/>
              <w:rPr>
                <w:rFonts w:eastAsia="Calibri" w:cs="Arial"/>
                <w:sz w:val="20"/>
                <w:szCs w:val="22"/>
                <w:lang w:val="en-NZ" w:eastAsia="en-US"/>
              </w:rPr>
            </w:pPr>
          </w:p>
          <w:p w:rsidR="00025C3B" w:rsidRPr="003A3E2B" w:rsidRDefault="00025C3B" w:rsidP="003A3E2B">
            <w:pPr>
              <w:spacing w:after="0" w:line="240" w:lineRule="auto"/>
              <w:rPr>
                <w:rFonts w:eastAsia="Calibri" w:cs="Arial"/>
                <w:sz w:val="20"/>
                <w:szCs w:val="22"/>
                <w:lang w:val="en-NZ" w:eastAsia="en-US"/>
              </w:rPr>
            </w:pPr>
          </w:p>
        </w:tc>
        <w:tc>
          <w:tcPr>
            <w:tcW w:w="7490" w:type="dxa"/>
            <w:shd w:val="clear" w:color="auto" w:fill="auto"/>
          </w:tcPr>
          <w:p w:rsidR="00025C3B" w:rsidRDefault="00025C3B"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Under the status quo, the regulator (Medsafe</w:t>
            </w:r>
            <w:r>
              <w:rPr>
                <w:rFonts w:eastAsia="Calibri" w:cs="Arial"/>
                <w:sz w:val="20"/>
                <w:szCs w:val="22"/>
                <w:lang w:val="en-NZ" w:eastAsia="en-US"/>
              </w:rPr>
              <w:t xml:space="preserve"> and Medicines Control)</w:t>
            </w:r>
            <w:r w:rsidRPr="003A3E2B">
              <w:rPr>
                <w:rFonts w:eastAsia="Calibri" w:cs="Arial"/>
                <w:sz w:val="20"/>
                <w:szCs w:val="22"/>
                <w:lang w:val="en-NZ" w:eastAsia="en-US"/>
              </w:rPr>
              <w:t xml:space="preserve"> would continue as a separate business unit within the Ministry of Health.</w:t>
            </w:r>
          </w:p>
          <w:p w:rsidR="00025C3B" w:rsidRPr="003A3E2B" w:rsidRDefault="00025C3B" w:rsidP="003A3E2B">
            <w:pPr>
              <w:spacing w:after="0" w:line="240" w:lineRule="auto"/>
              <w:rPr>
                <w:rFonts w:eastAsia="Calibri" w:cs="Arial"/>
                <w:sz w:val="20"/>
                <w:szCs w:val="22"/>
                <w:lang w:val="en-NZ" w:eastAsia="en-US"/>
              </w:rPr>
            </w:pPr>
          </w:p>
        </w:tc>
      </w:tr>
      <w:tr w:rsidR="00025C3B" w:rsidRPr="003A3E2B" w:rsidTr="0027386C">
        <w:tc>
          <w:tcPr>
            <w:tcW w:w="1526" w:type="dxa"/>
            <w:shd w:val="clear" w:color="auto" w:fill="auto"/>
          </w:tcPr>
          <w:p w:rsidR="00025C3B" w:rsidRDefault="00025C3B" w:rsidP="003A3E2B">
            <w:pPr>
              <w:spacing w:after="0" w:line="240" w:lineRule="auto"/>
              <w:rPr>
                <w:rFonts w:eastAsia="Calibri" w:cs="Arial"/>
                <w:sz w:val="20"/>
                <w:szCs w:val="22"/>
                <w:lang w:val="en-NZ" w:eastAsia="en-US"/>
              </w:rPr>
            </w:pPr>
            <w:r>
              <w:rPr>
                <w:rFonts w:eastAsia="Calibri" w:cs="Arial"/>
                <w:sz w:val="20"/>
                <w:szCs w:val="22"/>
                <w:lang w:val="en-NZ" w:eastAsia="en-US"/>
              </w:rPr>
              <w:t>Option 1</w:t>
            </w:r>
            <w:r w:rsidRPr="003A3E2B">
              <w:rPr>
                <w:rFonts w:eastAsia="Calibri" w:cs="Arial"/>
                <w:sz w:val="20"/>
                <w:szCs w:val="22"/>
                <w:lang w:val="en-NZ" w:eastAsia="en-US"/>
              </w:rPr>
              <w:t xml:space="preserve"> – </w:t>
            </w:r>
          </w:p>
          <w:p w:rsidR="00025C3B" w:rsidRDefault="00025C3B" w:rsidP="003A3E2B">
            <w:pPr>
              <w:spacing w:after="0" w:line="240" w:lineRule="auto"/>
              <w:rPr>
                <w:rFonts w:eastAsia="Calibri" w:cs="Arial"/>
                <w:sz w:val="20"/>
                <w:szCs w:val="22"/>
                <w:lang w:val="en-NZ" w:eastAsia="en-US"/>
              </w:rPr>
            </w:pPr>
          </w:p>
          <w:p w:rsidR="00025C3B" w:rsidRPr="003A3E2B" w:rsidRDefault="00025C3B"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Departmental agency</w:t>
            </w:r>
          </w:p>
          <w:p w:rsidR="00025C3B" w:rsidRPr="003A3E2B" w:rsidRDefault="00025C3B" w:rsidP="003A3E2B">
            <w:pPr>
              <w:spacing w:after="0" w:line="240" w:lineRule="auto"/>
              <w:rPr>
                <w:rFonts w:eastAsia="Calibri" w:cs="Arial"/>
                <w:sz w:val="20"/>
                <w:szCs w:val="22"/>
                <w:lang w:val="en-NZ" w:eastAsia="en-US"/>
              </w:rPr>
            </w:pPr>
          </w:p>
          <w:p w:rsidR="00025C3B" w:rsidRPr="003A3E2B" w:rsidRDefault="00025C3B" w:rsidP="003A3E2B">
            <w:pPr>
              <w:spacing w:after="0" w:line="240" w:lineRule="auto"/>
              <w:rPr>
                <w:rFonts w:eastAsia="Calibri" w:cs="Arial"/>
                <w:sz w:val="20"/>
                <w:szCs w:val="22"/>
                <w:lang w:val="en-NZ" w:eastAsia="en-US"/>
              </w:rPr>
            </w:pPr>
          </w:p>
        </w:tc>
        <w:tc>
          <w:tcPr>
            <w:tcW w:w="7490" w:type="dxa"/>
            <w:shd w:val="clear" w:color="auto" w:fill="auto"/>
          </w:tcPr>
          <w:p w:rsidR="00025C3B" w:rsidRDefault="00025C3B" w:rsidP="00471AA4">
            <w:pPr>
              <w:spacing w:after="0" w:line="240" w:lineRule="auto"/>
              <w:rPr>
                <w:rFonts w:eastAsia="Calibri" w:cs="Arial"/>
                <w:sz w:val="20"/>
                <w:szCs w:val="22"/>
                <w:lang w:val="en-NZ" w:eastAsia="en-US"/>
              </w:rPr>
            </w:pPr>
            <w:r>
              <w:rPr>
                <w:rFonts w:eastAsia="Calibri" w:cs="Arial"/>
                <w:sz w:val="20"/>
                <w:szCs w:val="22"/>
                <w:lang w:val="en-NZ" w:eastAsia="en-US"/>
              </w:rPr>
              <w:t xml:space="preserve">The business units would be established as </w:t>
            </w:r>
            <w:r w:rsidRPr="003A3E2B">
              <w:rPr>
                <w:rFonts w:eastAsia="Calibri" w:cs="Arial"/>
                <w:sz w:val="20"/>
                <w:szCs w:val="22"/>
                <w:lang w:val="en-NZ" w:eastAsia="en-US"/>
              </w:rPr>
              <w:t>a Departmental Agency.</w:t>
            </w:r>
          </w:p>
          <w:p w:rsidR="00025C3B" w:rsidRPr="003A3E2B" w:rsidRDefault="00025C3B" w:rsidP="00471AA4">
            <w:pPr>
              <w:spacing w:after="0" w:line="240" w:lineRule="auto"/>
              <w:ind w:left="360"/>
              <w:rPr>
                <w:rFonts w:eastAsia="Calibri" w:cs="Arial"/>
                <w:sz w:val="20"/>
                <w:szCs w:val="22"/>
                <w:lang w:val="en-NZ" w:eastAsia="en-US"/>
              </w:rPr>
            </w:pPr>
          </w:p>
          <w:p w:rsidR="00025C3B" w:rsidRDefault="00025C3B" w:rsidP="00471AA4">
            <w:pPr>
              <w:spacing w:after="0" w:line="240" w:lineRule="auto"/>
              <w:rPr>
                <w:rFonts w:eastAsia="Calibri" w:cs="Arial"/>
                <w:sz w:val="20"/>
                <w:szCs w:val="22"/>
                <w:lang w:val="en-NZ" w:eastAsia="en-US"/>
              </w:rPr>
            </w:pPr>
            <w:r>
              <w:rPr>
                <w:rFonts w:eastAsia="Calibri" w:cs="Arial"/>
                <w:sz w:val="20"/>
                <w:szCs w:val="22"/>
                <w:lang w:val="en-NZ" w:eastAsia="en-US"/>
              </w:rPr>
              <w:t>P</w:t>
            </w:r>
            <w:r w:rsidRPr="003A3E2B">
              <w:rPr>
                <w:rFonts w:eastAsia="Calibri" w:cs="Arial"/>
                <w:sz w:val="20"/>
                <w:szCs w:val="22"/>
                <w:lang w:val="en-NZ" w:eastAsia="en-US"/>
              </w:rPr>
              <w:t>owers would be vested directly in the CE of the agency</w:t>
            </w:r>
            <w:r>
              <w:rPr>
                <w:rFonts w:eastAsia="Calibri" w:cs="Arial"/>
                <w:sz w:val="20"/>
                <w:szCs w:val="22"/>
                <w:lang w:val="en-NZ" w:eastAsia="en-US"/>
              </w:rPr>
              <w:t>,</w:t>
            </w:r>
            <w:r w:rsidRPr="003A3E2B">
              <w:rPr>
                <w:rFonts w:eastAsia="Calibri" w:cs="Arial"/>
                <w:sz w:val="20"/>
                <w:szCs w:val="22"/>
                <w:lang w:val="en-NZ" w:eastAsia="en-US"/>
              </w:rPr>
              <w:t xml:space="preserve"> o</w:t>
            </w:r>
            <w:r>
              <w:rPr>
                <w:rFonts w:eastAsia="Calibri" w:cs="Arial"/>
                <w:sz w:val="20"/>
                <w:szCs w:val="22"/>
                <w:lang w:val="en-NZ" w:eastAsia="en-US"/>
              </w:rPr>
              <w:t>r</w:t>
            </w:r>
            <w:r w:rsidRPr="003A3E2B">
              <w:rPr>
                <w:rFonts w:eastAsia="Calibri" w:cs="Arial"/>
                <w:sz w:val="20"/>
                <w:szCs w:val="22"/>
                <w:lang w:val="en-NZ" w:eastAsia="en-US"/>
              </w:rPr>
              <w:t xml:space="preserve"> </w:t>
            </w:r>
            <w:r>
              <w:rPr>
                <w:rFonts w:eastAsia="Calibri" w:cs="Arial"/>
                <w:sz w:val="20"/>
                <w:szCs w:val="22"/>
                <w:lang w:val="en-NZ" w:eastAsia="en-US"/>
              </w:rPr>
              <w:t xml:space="preserve">in </w:t>
            </w:r>
            <w:r w:rsidRPr="003A3E2B">
              <w:rPr>
                <w:rFonts w:eastAsia="Calibri" w:cs="Arial"/>
                <w:sz w:val="20"/>
                <w:szCs w:val="22"/>
                <w:lang w:val="en-NZ" w:eastAsia="en-US"/>
              </w:rPr>
              <w:t>the Director-</w:t>
            </w:r>
            <w:r w:rsidR="0006343D">
              <w:rPr>
                <w:rFonts w:eastAsia="Calibri" w:cs="Arial"/>
                <w:sz w:val="20"/>
                <w:szCs w:val="22"/>
                <w:lang w:val="en-NZ" w:eastAsia="en-US"/>
              </w:rPr>
              <w:t>General of Health and delegated</w:t>
            </w:r>
            <w:r w:rsidRPr="003A3E2B">
              <w:rPr>
                <w:rFonts w:eastAsia="Calibri" w:cs="Arial"/>
                <w:sz w:val="20"/>
                <w:szCs w:val="22"/>
                <w:lang w:val="en-NZ" w:eastAsia="en-US"/>
              </w:rPr>
              <w:t>.</w:t>
            </w:r>
          </w:p>
          <w:p w:rsidR="00025C3B" w:rsidRPr="00765409" w:rsidRDefault="00025C3B" w:rsidP="00765409">
            <w:pPr>
              <w:spacing w:after="0" w:line="240" w:lineRule="auto"/>
              <w:ind w:left="360"/>
              <w:rPr>
                <w:rFonts w:eastAsia="Calibri" w:cs="Arial"/>
                <w:sz w:val="20"/>
                <w:szCs w:val="22"/>
                <w:lang w:val="en-NZ" w:eastAsia="en-US"/>
              </w:rPr>
            </w:pPr>
          </w:p>
        </w:tc>
      </w:tr>
      <w:tr w:rsidR="00025C3B" w:rsidRPr="003A3E2B" w:rsidTr="0027386C">
        <w:tc>
          <w:tcPr>
            <w:tcW w:w="1526" w:type="dxa"/>
            <w:shd w:val="clear" w:color="auto" w:fill="auto"/>
          </w:tcPr>
          <w:p w:rsidR="00025C3B" w:rsidRDefault="00025C3B" w:rsidP="003A3E2B">
            <w:pPr>
              <w:spacing w:after="0" w:line="240" w:lineRule="auto"/>
              <w:rPr>
                <w:rFonts w:eastAsia="Calibri" w:cs="Arial"/>
                <w:sz w:val="20"/>
                <w:szCs w:val="22"/>
                <w:lang w:val="en-NZ" w:eastAsia="en-US"/>
              </w:rPr>
            </w:pPr>
            <w:r>
              <w:rPr>
                <w:rFonts w:eastAsia="Calibri" w:cs="Arial"/>
                <w:sz w:val="20"/>
                <w:szCs w:val="22"/>
                <w:lang w:val="en-NZ" w:eastAsia="en-US"/>
              </w:rPr>
              <w:t>Option 2</w:t>
            </w:r>
            <w:r w:rsidRPr="003A3E2B">
              <w:rPr>
                <w:rFonts w:eastAsia="Calibri" w:cs="Arial"/>
                <w:sz w:val="20"/>
                <w:szCs w:val="22"/>
                <w:lang w:val="en-NZ" w:eastAsia="en-US"/>
              </w:rPr>
              <w:t xml:space="preserve"> – </w:t>
            </w:r>
          </w:p>
          <w:p w:rsidR="00025C3B" w:rsidRDefault="00025C3B" w:rsidP="003A3E2B">
            <w:pPr>
              <w:spacing w:after="0" w:line="240" w:lineRule="auto"/>
              <w:rPr>
                <w:rFonts w:eastAsia="Calibri" w:cs="Arial"/>
                <w:sz w:val="20"/>
                <w:szCs w:val="22"/>
                <w:lang w:val="en-NZ" w:eastAsia="en-US"/>
              </w:rPr>
            </w:pPr>
          </w:p>
          <w:p w:rsidR="00025C3B" w:rsidRPr="003A3E2B" w:rsidRDefault="00025C3B"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Crown entity</w:t>
            </w:r>
          </w:p>
          <w:p w:rsidR="00025C3B" w:rsidRPr="003A3E2B" w:rsidRDefault="00025C3B" w:rsidP="003A3E2B">
            <w:pPr>
              <w:spacing w:after="0" w:line="240" w:lineRule="auto"/>
              <w:rPr>
                <w:rFonts w:eastAsia="Calibri" w:cs="Arial"/>
                <w:sz w:val="20"/>
                <w:szCs w:val="22"/>
                <w:lang w:val="en-NZ" w:eastAsia="en-US"/>
              </w:rPr>
            </w:pPr>
          </w:p>
        </w:tc>
        <w:tc>
          <w:tcPr>
            <w:tcW w:w="7490" w:type="dxa"/>
            <w:shd w:val="clear" w:color="auto" w:fill="auto"/>
          </w:tcPr>
          <w:p w:rsidR="00025C3B" w:rsidRPr="003A3E2B" w:rsidRDefault="00025C3B" w:rsidP="00471AA4">
            <w:pPr>
              <w:spacing w:after="0" w:line="240" w:lineRule="auto"/>
              <w:rPr>
                <w:rFonts w:eastAsia="Calibri" w:cs="Arial"/>
                <w:sz w:val="20"/>
                <w:szCs w:val="22"/>
                <w:lang w:val="en-NZ" w:eastAsia="en-US"/>
              </w:rPr>
            </w:pPr>
            <w:r>
              <w:rPr>
                <w:rFonts w:eastAsia="Calibri" w:cs="Arial"/>
                <w:sz w:val="20"/>
                <w:szCs w:val="22"/>
                <w:lang w:val="en-NZ" w:eastAsia="en-US"/>
              </w:rPr>
              <w:t>The business units would be established as</w:t>
            </w:r>
            <w:r w:rsidRPr="003A3E2B">
              <w:rPr>
                <w:rFonts w:eastAsia="Calibri" w:cs="Arial"/>
                <w:sz w:val="20"/>
                <w:szCs w:val="22"/>
                <w:lang w:val="en-NZ" w:eastAsia="en-US"/>
              </w:rPr>
              <w:t xml:space="preserve"> a Crown</w:t>
            </w:r>
            <w:r>
              <w:rPr>
                <w:rFonts w:eastAsia="Calibri" w:cs="Arial"/>
                <w:sz w:val="20"/>
                <w:szCs w:val="22"/>
                <w:lang w:val="en-NZ" w:eastAsia="en-US"/>
              </w:rPr>
              <w:t xml:space="preserve"> entity (</w:t>
            </w:r>
            <w:proofErr w:type="spellStart"/>
            <w:r>
              <w:rPr>
                <w:rFonts w:eastAsia="Calibri" w:cs="Arial"/>
                <w:sz w:val="20"/>
                <w:szCs w:val="22"/>
                <w:lang w:val="en-NZ" w:eastAsia="en-US"/>
              </w:rPr>
              <w:t>eg</w:t>
            </w:r>
            <w:proofErr w:type="spellEnd"/>
            <w:r>
              <w:rPr>
                <w:rFonts w:eastAsia="Calibri" w:cs="Arial"/>
                <w:sz w:val="20"/>
                <w:szCs w:val="22"/>
                <w:lang w:val="en-NZ" w:eastAsia="en-US"/>
              </w:rPr>
              <w:t xml:space="preserve">, </w:t>
            </w:r>
            <w:r w:rsidRPr="003A3E2B">
              <w:rPr>
                <w:rFonts w:eastAsia="Calibri" w:cs="Arial"/>
                <w:sz w:val="20"/>
                <w:szCs w:val="22"/>
                <w:lang w:val="en-NZ" w:eastAsia="en-US"/>
              </w:rPr>
              <w:t xml:space="preserve">Crown </w:t>
            </w:r>
            <w:r>
              <w:rPr>
                <w:rFonts w:eastAsia="Calibri" w:cs="Arial"/>
                <w:sz w:val="20"/>
                <w:szCs w:val="22"/>
                <w:lang w:val="en-NZ" w:eastAsia="en-US"/>
              </w:rPr>
              <w:t>agent</w:t>
            </w:r>
            <w:r w:rsidRPr="003A3E2B">
              <w:rPr>
                <w:rFonts w:eastAsia="Calibri" w:cs="Arial"/>
                <w:sz w:val="20"/>
                <w:szCs w:val="22"/>
                <w:lang w:val="en-NZ" w:eastAsia="en-US"/>
              </w:rPr>
              <w:t xml:space="preserve">). </w:t>
            </w:r>
          </w:p>
          <w:p w:rsidR="00025C3B" w:rsidRDefault="00025C3B" w:rsidP="00471AA4">
            <w:pPr>
              <w:spacing w:after="0" w:line="240" w:lineRule="auto"/>
              <w:rPr>
                <w:rFonts w:eastAsia="Calibri" w:cs="Arial"/>
                <w:sz w:val="20"/>
                <w:szCs w:val="22"/>
                <w:lang w:val="en-NZ" w:eastAsia="en-US"/>
              </w:rPr>
            </w:pPr>
          </w:p>
          <w:p w:rsidR="00025C3B" w:rsidRPr="00340721" w:rsidRDefault="00025C3B" w:rsidP="00BF05C3">
            <w:pPr>
              <w:spacing w:after="0" w:line="240" w:lineRule="auto"/>
              <w:rPr>
                <w:rFonts w:eastAsia="Calibri" w:cs="Arial"/>
                <w:sz w:val="20"/>
                <w:szCs w:val="22"/>
                <w:lang w:val="en-NZ" w:eastAsia="en-US"/>
              </w:rPr>
            </w:pPr>
            <w:r>
              <w:rPr>
                <w:rFonts w:eastAsia="Calibri" w:cs="Arial"/>
                <w:sz w:val="20"/>
                <w:szCs w:val="22"/>
                <w:lang w:val="en-NZ" w:eastAsia="en-US"/>
              </w:rPr>
              <w:t>The</w:t>
            </w:r>
            <w:r w:rsidRPr="003A3E2B">
              <w:rPr>
                <w:rFonts w:eastAsia="Calibri" w:cs="Arial"/>
                <w:sz w:val="20"/>
                <w:szCs w:val="22"/>
                <w:lang w:val="en-NZ" w:eastAsia="en-US"/>
              </w:rPr>
              <w:t xml:space="preserve"> regulatory powers would </w:t>
            </w:r>
            <w:r>
              <w:rPr>
                <w:rFonts w:eastAsia="Calibri" w:cs="Arial"/>
                <w:sz w:val="20"/>
                <w:szCs w:val="22"/>
                <w:lang w:val="en-NZ" w:eastAsia="en-US"/>
              </w:rPr>
              <w:t>be vested directly in the Board.</w:t>
            </w:r>
          </w:p>
        </w:tc>
      </w:tr>
    </w:tbl>
    <w:p w:rsidR="00B74A60" w:rsidRDefault="00B74A60" w:rsidP="00B74A60">
      <w:pPr>
        <w:spacing w:after="0" w:line="240" w:lineRule="auto"/>
        <w:rPr>
          <w:rFonts w:eastAsia="Calibri" w:cs="Arial"/>
          <w:szCs w:val="22"/>
          <w:lang w:val="en-NZ" w:eastAsia="en-US"/>
        </w:rPr>
      </w:pPr>
    </w:p>
    <w:p w:rsidR="00E41050" w:rsidRDefault="00E41050" w:rsidP="00B74A60">
      <w:pPr>
        <w:spacing w:after="0" w:line="240" w:lineRule="auto"/>
        <w:rPr>
          <w:rFonts w:eastAsia="Calibri" w:cs="Arial"/>
          <w:szCs w:val="22"/>
          <w:lang w:val="en-NZ" w:eastAsia="en-US"/>
        </w:rPr>
      </w:pPr>
    </w:p>
    <w:p w:rsidR="00B74A60" w:rsidRPr="00830E17" w:rsidRDefault="00B74A60" w:rsidP="00830E17">
      <w:pPr>
        <w:pStyle w:val="Heading5"/>
        <w:rPr>
          <w:rFonts w:eastAsia="Calibri"/>
          <w:b/>
          <w:i w:val="0"/>
          <w:lang w:val="en-NZ" w:eastAsia="en-US"/>
        </w:rPr>
      </w:pPr>
      <w:r w:rsidRPr="00830E17">
        <w:rPr>
          <w:rFonts w:eastAsia="Calibri"/>
          <w:b/>
          <w:i w:val="0"/>
          <w:lang w:val="en-NZ" w:eastAsia="en-US"/>
        </w:rPr>
        <w:t>Issue 6: Accountability</w:t>
      </w:r>
    </w:p>
    <w:p w:rsidR="00B74A60" w:rsidRPr="00B74A60" w:rsidRDefault="00B74A60" w:rsidP="00B74A60">
      <w:pPr>
        <w:spacing w:after="0" w:line="240" w:lineRule="auto"/>
        <w:rPr>
          <w:rFonts w:eastAsia="Calibri" w:cs="Arial"/>
          <w:szCs w:val="22"/>
          <w:lang w:val="en-NZ" w:eastAsia="en-US"/>
        </w:rPr>
      </w:pPr>
    </w:p>
    <w:p w:rsidR="00B74A60" w:rsidRPr="00B74A60" w:rsidRDefault="00B74A60" w:rsidP="00E440A3">
      <w:pPr>
        <w:pStyle w:val="BodyText"/>
        <w:rPr>
          <w:rFonts w:eastAsia="Calibri"/>
        </w:rPr>
      </w:pPr>
      <w:r w:rsidRPr="00B74A60">
        <w:rPr>
          <w:rFonts w:eastAsia="Calibri"/>
        </w:rPr>
        <w:t>Accountabi</w:t>
      </w:r>
      <w:r w:rsidR="00093B8A">
        <w:rPr>
          <w:rFonts w:eastAsia="Calibri"/>
        </w:rPr>
        <w:t>lity includes</w:t>
      </w:r>
      <w:r w:rsidRPr="00B74A60">
        <w:rPr>
          <w:rFonts w:eastAsia="Calibri"/>
        </w:rPr>
        <w:t>:</w:t>
      </w:r>
    </w:p>
    <w:p w:rsidR="002D4EAA" w:rsidRDefault="00093B8A" w:rsidP="00E440A3">
      <w:pPr>
        <w:pStyle w:val="BodyText2"/>
        <w:rPr>
          <w:rFonts w:eastAsia="Calibri"/>
          <w:lang w:val="en-NZ" w:eastAsia="en-US"/>
        </w:rPr>
      </w:pPr>
      <w:r>
        <w:rPr>
          <w:rFonts w:eastAsia="Calibri"/>
          <w:lang w:val="en-NZ" w:eastAsia="en-US"/>
        </w:rPr>
        <w:t xml:space="preserve">accountability for </w:t>
      </w:r>
      <w:r w:rsidR="00B74A60" w:rsidRPr="00B74A60">
        <w:rPr>
          <w:rFonts w:eastAsia="Calibri"/>
          <w:lang w:val="en-NZ" w:eastAsia="en-US"/>
        </w:rPr>
        <w:t>overall organisation performance which will significantly be shaped by the requirements whic</w:t>
      </w:r>
      <w:r>
        <w:rPr>
          <w:rFonts w:eastAsia="Calibri"/>
          <w:lang w:val="en-NZ" w:eastAsia="en-US"/>
        </w:rPr>
        <w:t>h attach to organisational form, although these may be supplemented or modified as necessary (not addressed further here)</w:t>
      </w:r>
    </w:p>
    <w:p w:rsidR="00B74A60" w:rsidRPr="00B74A60" w:rsidRDefault="002D4EAA" w:rsidP="00E440A3">
      <w:pPr>
        <w:pStyle w:val="BodyText2"/>
        <w:rPr>
          <w:rFonts w:eastAsia="Calibri"/>
          <w:lang w:val="en-NZ" w:eastAsia="en-US"/>
        </w:rPr>
      </w:pPr>
      <w:r>
        <w:rPr>
          <w:rFonts w:eastAsia="Calibri"/>
          <w:lang w:val="en-NZ" w:eastAsia="en-US"/>
        </w:rPr>
        <w:t>accountability for the design of requirements in</w:t>
      </w:r>
      <w:r w:rsidR="00DD53D3">
        <w:rPr>
          <w:rFonts w:eastAsia="Calibri"/>
          <w:lang w:val="en-NZ" w:eastAsia="en-US"/>
        </w:rPr>
        <w:t xml:space="preserve"> regulator-made instruments</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accountability</w:t>
      </w:r>
      <w:proofErr w:type="gramEnd"/>
      <w:r w:rsidRPr="00B74A60">
        <w:rPr>
          <w:rFonts w:eastAsia="Calibri"/>
          <w:lang w:val="en-NZ" w:eastAsia="en-US"/>
        </w:rPr>
        <w:t xml:space="preserve"> for </w:t>
      </w:r>
      <w:r w:rsidR="00C106B1">
        <w:rPr>
          <w:rFonts w:eastAsia="Calibri"/>
          <w:lang w:val="en-NZ" w:eastAsia="en-US"/>
        </w:rPr>
        <w:t xml:space="preserve">all </w:t>
      </w:r>
      <w:r w:rsidRPr="00B74A60">
        <w:rPr>
          <w:rFonts w:eastAsia="Calibri"/>
          <w:lang w:val="en-NZ" w:eastAsia="en-US"/>
        </w:rPr>
        <w:t>regulatory decisions</w:t>
      </w:r>
      <w:r w:rsidR="00C106B1">
        <w:rPr>
          <w:rFonts w:eastAsia="Calibri"/>
          <w:lang w:val="en-NZ" w:eastAsia="en-US"/>
        </w:rPr>
        <w:t xml:space="preserve">, including those </w:t>
      </w:r>
      <w:r w:rsidRPr="00B74A60">
        <w:rPr>
          <w:rFonts w:eastAsia="Calibri"/>
          <w:lang w:val="en-NZ" w:eastAsia="en-US"/>
        </w:rPr>
        <w:t>on product approvals</w:t>
      </w:r>
      <w:r w:rsidR="00C106B1">
        <w:rPr>
          <w:rFonts w:eastAsia="Calibri"/>
          <w:lang w:val="en-NZ" w:eastAsia="en-US"/>
        </w:rPr>
        <w:t xml:space="preserve">, </w:t>
      </w:r>
      <w:r w:rsidRPr="00B74A60">
        <w:rPr>
          <w:rFonts w:eastAsia="Calibri"/>
          <w:lang w:val="en-NZ" w:eastAsia="en-US"/>
        </w:rPr>
        <w:t>licensing</w:t>
      </w:r>
      <w:r w:rsidR="00C106B1">
        <w:rPr>
          <w:rFonts w:eastAsia="Calibri"/>
          <w:lang w:val="en-NZ" w:eastAsia="en-US"/>
        </w:rPr>
        <w:t xml:space="preserve"> (and licensing conditions), and enforcement action</w:t>
      </w:r>
      <w:r w:rsidRPr="00B74A60">
        <w:rPr>
          <w:rFonts w:eastAsia="Calibri"/>
          <w:lang w:val="en-NZ" w:eastAsia="en-US"/>
        </w:rPr>
        <w:t>.</w:t>
      </w:r>
    </w:p>
    <w:p w:rsidR="00B74A60" w:rsidRPr="00B74A60" w:rsidRDefault="00B74A60" w:rsidP="00E440A3">
      <w:pPr>
        <w:pStyle w:val="BodyText"/>
        <w:rPr>
          <w:rFonts w:eastAsia="Calibri"/>
        </w:rPr>
      </w:pPr>
      <w:r w:rsidRPr="00B74A60">
        <w:rPr>
          <w:rFonts w:eastAsia="Calibri"/>
        </w:rPr>
        <w:t xml:space="preserve">The latter involves review and appeal provisions which are an essential part of the legislative and institutional design for a regulatory regime.  </w:t>
      </w:r>
    </w:p>
    <w:p w:rsidR="00B74A60" w:rsidRPr="00B74A60" w:rsidRDefault="00B74A60" w:rsidP="00E440A3">
      <w:pPr>
        <w:pStyle w:val="BodyText"/>
        <w:rPr>
          <w:rFonts w:eastAsia="Calibri"/>
        </w:rPr>
      </w:pPr>
      <w:r w:rsidRPr="00B74A60">
        <w:rPr>
          <w:rFonts w:eastAsia="Calibri"/>
        </w:rPr>
        <w:t>The objective is to ensure that the decision-making process and the decisions of the regulator are subject to appropriate quality control and review processes.</w:t>
      </w:r>
    </w:p>
    <w:p w:rsidR="00B74A60" w:rsidRPr="00B74A60" w:rsidRDefault="00B74A60" w:rsidP="00E440A3">
      <w:pPr>
        <w:pStyle w:val="BodyText"/>
        <w:rPr>
          <w:rFonts w:eastAsia="Calibri"/>
        </w:rPr>
      </w:pPr>
      <w:r w:rsidRPr="00B74A60">
        <w:rPr>
          <w:rFonts w:eastAsia="Calibri"/>
        </w:rPr>
        <w:t>Such processes include:</w:t>
      </w:r>
    </w:p>
    <w:p w:rsidR="00B74A60" w:rsidRPr="00B74A60" w:rsidRDefault="002F7E4B" w:rsidP="00E440A3">
      <w:pPr>
        <w:pStyle w:val="BodyText2"/>
        <w:rPr>
          <w:rFonts w:eastAsia="Calibri"/>
          <w:lang w:val="en-NZ" w:eastAsia="en-US"/>
        </w:rPr>
      </w:pPr>
      <w:r w:rsidRPr="00DD53D3">
        <w:rPr>
          <w:rFonts w:eastAsia="Calibri"/>
          <w:u w:val="single"/>
          <w:lang w:val="en-NZ" w:eastAsia="en-US"/>
        </w:rPr>
        <w:t xml:space="preserve">General and prescribed </w:t>
      </w:r>
      <w:r w:rsidR="00B74A60" w:rsidRPr="00DD53D3">
        <w:rPr>
          <w:rFonts w:eastAsia="Calibri"/>
          <w:u w:val="single"/>
          <w:lang w:val="en-NZ" w:eastAsia="en-US"/>
        </w:rPr>
        <w:t>review</w:t>
      </w:r>
      <w:r w:rsidRPr="00DD53D3">
        <w:rPr>
          <w:rFonts w:eastAsia="Calibri"/>
          <w:u w:val="single"/>
          <w:lang w:val="en-NZ" w:eastAsia="en-US"/>
        </w:rPr>
        <w:t>s</w:t>
      </w:r>
      <w:r w:rsidR="00B74A60" w:rsidRPr="00B74A60">
        <w:rPr>
          <w:rFonts w:eastAsia="Calibri"/>
          <w:lang w:val="en-NZ" w:eastAsia="en-US"/>
        </w:rPr>
        <w:t xml:space="preserve">. This comprises all quality assurance processes, and all other processes that precede a final, substantive decision being made by (or under the authority of) the regulator.  </w:t>
      </w:r>
      <w:r w:rsidR="00B0404E">
        <w:rPr>
          <w:rFonts w:eastAsia="Calibri"/>
          <w:lang w:val="en-NZ" w:eastAsia="en-US"/>
        </w:rPr>
        <w:t>This could include reference to committees established, or required to be established, under primary legislation (</w:t>
      </w:r>
      <w:proofErr w:type="spellStart"/>
      <w:r w:rsidR="00B0404E">
        <w:rPr>
          <w:rFonts w:eastAsia="Calibri"/>
          <w:lang w:val="en-NZ" w:eastAsia="en-US"/>
        </w:rPr>
        <w:t>eg</w:t>
      </w:r>
      <w:proofErr w:type="spellEnd"/>
      <w:r w:rsidR="00B0404E">
        <w:rPr>
          <w:rFonts w:eastAsia="Calibri"/>
          <w:lang w:val="en-NZ" w:eastAsia="en-US"/>
        </w:rPr>
        <w:t>, equivalent of the current Medicines Classification Committee).</w:t>
      </w:r>
    </w:p>
    <w:p w:rsidR="00B0404E" w:rsidRDefault="00B0404E" w:rsidP="00E440A3">
      <w:pPr>
        <w:pStyle w:val="BodyText2"/>
        <w:rPr>
          <w:rFonts w:eastAsia="Calibri"/>
          <w:lang w:val="en-NZ" w:eastAsia="en-US"/>
        </w:rPr>
      </w:pPr>
      <w:r w:rsidRPr="00DD53D3">
        <w:rPr>
          <w:rFonts w:eastAsia="Calibri"/>
          <w:u w:val="single"/>
          <w:lang w:val="en-NZ" w:eastAsia="en-US"/>
        </w:rPr>
        <w:t>Regulations Review Committee</w:t>
      </w:r>
      <w:r>
        <w:rPr>
          <w:rFonts w:eastAsia="Calibri"/>
          <w:lang w:val="en-NZ" w:eastAsia="en-US"/>
        </w:rPr>
        <w:t>. This would include legislative instruments made by the regula</w:t>
      </w:r>
      <w:r w:rsidR="0030387A">
        <w:rPr>
          <w:rFonts w:eastAsia="Calibri"/>
          <w:lang w:val="en-NZ" w:eastAsia="en-US"/>
        </w:rPr>
        <w:t>to</w:t>
      </w:r>
      <w:r>
        <w:rPr>
          <w:rFonts w:eastAsia="Calibri"/>
          <w:lang w:val="en-NZ" w:eastAsia="en-US"/>
        </w:rPr>
        <w:t>r being disallowable instruments subject to review by the Regulations Review Committee.</w:t>
      </w:r>
    </w:p>
    <w:p w:rsidR="00B74A60" w:rsidRPr="00B74A60" w:rsidRDefault="00B74A60" w:rsidP="00E440A3">
      <w:pPr>
        <w:pStyle w:val="BodyText2"/>
        <w:rPr>
          <w:rFonts w:eastAsia="Calibri"/>
          <w:lang w:val="en-NZ" w:eastAsia="en-US"/>
        </w:rPr>
      </w:pPr>
      <w:r w:rsidRPr="00DD53D3">
        <w:rPr>
          <w:rFonts w:eastAsia="Calibri"/>
          <w:u w:val="single"/>
          <w:lang w:val="en-NZ" w:eastAsia="en-US"/>
        </w:rPr>
        <w:t>Judicial review</w:t>
      </w:r>
      <w:r w:rsidRPr="00B74A60">
        <w:rPr>
          <w:rFonts w:eastAsia="Calibri"/>
          <w:lang w:val="en-NZ" w:eastAsia="en-US"/>
        </w:rPr>
        <w:t>.  This process exists as a common law right whereby the High Court reviews a decision (or proposed decision, or refusal to exercise a power of decision) to determine whether it is unauthorised or invalid.</w:t>
      </w:r>
    </w:p>
    <w:p w:rsidR="00B74A60" w:rsidRPr="00B74A60" w:rsidRDefault="00B74A60" w:rsidP="00E440A3">
      <w:pPr>
        <w:pStyle w:val="BodyText2"/>
        <w:rPr>
          <w:rFonts w:eastAsia="Calibri"/>
          <w:lang w:val="en-NZ" w:eastAsia="en-US"/>
        </w:rPr>
      </w:pPr>
      <w:r w:rsidRPr="00DD53D3">
        <w:rPr>
          <w:rFonts w:eastAsia="Calibri"/>
          <w:u w:val="single"/>
          <w:lang w:val="en-NZ" w:eastAsia="en-US"/>
        </w:rPr>
        <w:t>Appeal</w:t>
      </w:r>
      <w:r w:rsidRPr="00B74A60">
        <w:rPr>
          <w:rFonts w:eastAsia="Calibri"/>
          <w:lang w:val="en-NZ" w:eastAsia="en-US"/>
        </w:rPr>
        <w:t xml:space="preserve">.  An appeal exists when a statute provides for a decision to be appealed to a court. In an appeal the focus is on the merits of the decision being appealed.  </w:t>
      </w:r>
    </w:p>
    <w:p w:rsidR="00B74A60" w:rsidRPr="00B74A60" w:rsidRDefault="00DD53D3" w:rsidP="00E440A3">
      <w:pPr>
        <w:pStyle w:val="BodyText"/>
        <w:rPr>
          <w:rFonts w:eastAsia="Calibri"/>
        </w:rPr>
      </w:pPr>
      <w:r>
        <w:rPr>
          <w:rFonts w:eastAsia="Calibri"/>
        </w:rPr>
        <w:t>C</w:t>
      </w:r>
      <w:r w:rsidR="00025C3B">
        <w:rPr>
          <w:rFonts w:eastAsia="Calibri"/>
        </w:rPr>
        <w:t>urrently</w:t>
      </w:r>
      <w:r w:rsidR="00B74A60" w:rsidRPr="00B74A60">
        <w:rPr>
          <w:rFonts w:eastAsia="Calibri"/>
        </w:rPr>
        <w:t>:</w:t>
      </w:r>
    </w:p>
    <w:p w:rsidR="00B74A60" w:rsidRPr="00B74A60" w:rsidRDefault="00B74A60" w:rsidP="00E440A3">
      <w:pPr>
        <w:pStyle w:val="BodyText2"/>
        <w:rPr>
          <w:rFonts w:eastAsia="Calibri"/>
          <w:lang w:val="en-NZ" w:eastAsia="en-US"/>
        </w:rPr>
      </w:pPr>
      <w:r w:rsidRPr="00B74A60">
        <w:rPr>
          <w:rFonts w:eastAsia="Calibri"/>
          <w:lang w:val="en-NZ" w:eastAsia="en-US"/>
        </w:rPr>
        <w:t>the proposed decisions of the regulator (when close-call decisions are put up for review) are gener</w:t>
      </w:r>
      <w:r w:rsidR="00DD53D3">
        <w:rPr>
          <w:rFonts w:eastAsia="Calibri"/>
          <w:lang w:val="en-NZ" w:eastAsia="en-US"/>
        </w:rPr>
        <w:t>ally supported by expert review</w:t>
      </w:r>
    </w:p>
    <w:p w:rsidR="00B74A60" w:rsidRPr="00025C3B" w:rsidRDefault="00B74A60" w:rsidP="00025C3B">
      <w:pPr>
        <w:pStyle w:val="BodyText2"/>
        <w:rPr>
          <w:rFonts w:eastAsia="Calibri"/>
          <w:lang w:val="en-NZ" w:eastAsia="en-US"/>
        </w:rPr>
      </w:pPr>
      <w:proofErr w:type="gramStart"/>
      <w:r w:rsidRPr="00B74A60">
        <w:rPr>
          <w:rFonts w:eastAsia="Calibri"/>
          <w:lang w:val="en-NZ" w:eastAsia="en-US"/>
        </w:rPr>
        <w:t>the</w:t>
      </w:r>
      <w:proofErr w:type="gramEnd"/>
      <w:r w:rsidRPr="00B74A60">
        <w:rPr>
          <w:rFonts w:eastAsia="Calibri"/>
          <w:lang w:val="en-NZ" w:eastAsia="en-US"/>
        </w:rPr>
        <w:t xml:space="preserve"> final decisions of the regu</w:t>
      </w:r>
      <w:r w:rsidR="00025C3B">
        <w:rPr>
          <w:rFonts w:eastAsia="Calibri"/>
          <w:lang w:val="en-NZ" w:eastAsia="en-US"/>
        </w:rPr>
        <w:t>lator are very rarely appealed.</w:t>
      </w:r>
    </w:p>
    <w:p w:rsidR="00B74A60" w:rsidRPr="00B74A60" w:rsidRDefault="00B74A60" w:rsidP="00E440A3">
      <w:pPr>
        <w:pStyle w:val="BodyText"/>
        <w:rPr>
          <w:rFonts w:eastAsia="Calibri"/>
        </w:rPr>
      </w:pPr>
      <w:r w:rsidRPr="00B74A60">
        <w:rPr>
          <w:rFonts w:eastAsia="Calibri"/>
        </w:rPr>
        <w:t>If the current allocation of powers remained the same, the review and appeal provisions need no fundamental change.</w:t>
      </w:r>
    </w:p>
    <w:p w:rsidR="00B74A60" w:rsidRPr="00600667" w:rsidRDefault="00B74A60" w:rsidP="00FD5200">
      <w:pPr>
        <w:pStyle w:val="BodyText"/>
        <w:rPr>
          <w:rFonts w:eastAsia="Calibri"/>
        </w:rPr>
      </w:pPr>
      <w:r w:rsidRPr="00600667">
        <w:rPr>
          <w:rFonts w:eastAsia="Calibri"/>
        </w:rPr>
        <w:t>If, however, the allocation of powers were substantially changed, as is being proposed, review and appeal provisions would need to be updated accordingly.</w:t>
      </w:r>
      <w:r w:rsidR="00600667" w:rsidRPr="00600667">
        <w:rPr>
          <w:rFonts w:eastAsia="Calibri"/>
        </w:rPr>
        <w:t xml:space="preserve">  </w:t>
      </w:r>
      <w:r w:rsidR="00600667">
        <w:rPr>
          <w:rFonts w:eastAsia="Calibri"/>
        </w:rPr>
        <w:t>I</w:t>
      </w:r>
      <w:r w:rsidRPr="00600667">
        <w:rPr>
          <w:rFonts w:eastAsia="Calibri"/>
        </w:rPr>
        <w:t>n particular:</w:t>
      </w:r>
    </w:p>
    <w:p w:rsidR="00B74A60" w:rsidRPr="00B74A60" w:rsidRDefault="00B74A60" w:rsidP="00E440A3">
      <w:pPr>
        <w:pStyle w:val="BodyText2"/>
        <w:rPr>
          <w:rFonts w:eastAsia="Calibri"/>
          <w:lang w:val="en-NZ" w:eastAsia="en-US"/>
        </w:rPr>
      </w:pPr>
      <w:r w:rsidRPr="00B74A60">
        <w:rPr>
          <w:rFonts w:eastAsia="Calibri"/>
          <w:lang w:val="en-NZ" w:eastAsia="en-US"/>
        </w:rPr>
        <w:t>the regulator would take direct responsibil</w:t>
      </w:r>
      <w:r w:rsidR="00DD53D3">
        <w:rPr>
          <w:rFonts w:eastAsia="Calibri"/>
          <w:lang w:val="en-NZ" w:eastAsia="en-US"/>
        </w:rPr>
        <w:t>ity for all internal review</w:t>
      </w:r>
    </w:p>
    <w:p w:rsidR="00B74A60" w:rsidRPr="00B74A60" w:rsidRDefault="00B74A60" w:rsidP="00E440A3">
      <w:pPr>
        <w:pStyle w:val="BodyText2"/>
        <w:rPr>
          <w:rFonts w:eastAsia="Calibri"/>
          <w:lang w:val="en-NZ" w:eastAsia="en-US"/>
        </w:rPr>
      </w:pPr>
      <w:r w:rsidRPr="00B74A60">
        <w:rPr>
          <w:rFonts w:eastAsia="Calibri"/>
          <w:lang w:val="en-NZ" w:eastAsia="en-US"/>
        </w:rPr>
        <w:t>a new specialist appeals body would sit betwe</w:t>
      </w:r>
      <w:r w:rsidR="00DD53D3">
        <w:rPr>
          <w:rFonts w:eastAsia="Calibri"/>
          <w:lang w:val="en-NZ" w:eastAsia="en-US"/>
        </w:rPr>
        <w:t>en the regulator and the courts</w:t>
      </w:r>
    </w:p>
    <w:p w:rsidR="00B74A60" w:rsidRPr="00B74A60" w:rsidRDefault="00B74A60" w:rsidP="00E440A3">
      <w:pPr>
        <w:pStyle w:val="BodyText2"/>
        <w:rPr>
          <w:rFonts w:eastAsia="Calibri"/>
          <w:lang w:val="en-NZ" w:eastAsia="en-US"/>
        </w:rPr>
      </w:pPr>
      <w:r w:rsidRPr="00B74A60">
        <w:rPr>
          <w:rFonts w:eastAsia="Calibri"/>
          <w:lang w:val="en-NZ" w:eastAsia="en-US"/>
        </w:rPr>
        <w:t>the role of the High Court (and potentially the Court of Appeal) could continue - modified only as necessary to reflect that the Minister would not be making regulatory decisions, and the decisions of the regulator would first be considered by the specialist appeals body).</w:t>
      </w:r>
    </w:p>
    <w:p w:rsidR="00AE134A" w:rsidRDefault="00AE134A" w:rsidP="00B74A60">
      <w:pPr>
        <w:spacing w:after="0" w:line="240" w:lineRule="auto"/>
        <w:rPr>
          <w:rFonts w:eastAsia="Calibri" w:cs="Arial"/>
          <w:szCs w:val="22"/>
          <w:lang w:val="en-N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234"/>
        <w:gridCol w:w="3235"/>
      </w:tblGrid>
      <w:tr w:rsidR="00B74A60" w:rsidRPr="003A3E2B" w:rsidTr="00747CD2">
        <w:trPr>
          <w:tblHeader/>
        </w:trPr>
        <w:tc>
          <w:tcPr>
            <w:tcW w:w="9016" w:type="dxa"/>
            <w:gridSpan w:val="3"/>
            <w:shd w:val="clear" w:color="auto" w:fill="DEEAF6"/>
          </w:tcPr>
          <w:p w:rsidR="00F62FBA" w:rsidRPr="00F62FBA" w:rsidRDefault="00B74A60" w:rsidP="00F62FBA">
            <w:pPr>
              <w:spacing w:after="0" w:line="240" w:lineRule="auto"/>
              <w:rPr>
                <w:rFonts w:eastAsia="Calibri" w:cs="Arial"/>
                <w:szCs w:val="22"/>
                <w:lang w:val="en-NZ" w:eastAsia="en-US"/>
              </w:rPr>
            </w:pPr>
            <w:r w:rsidRPr="003A3E2B">
              <w:rPr>
                <w:rFonts w:eastAsia="Calibri" w:cs="Arial"/>
                <w:b/>
                <w:szCs w:val="22"/>
                <w:lang w:val="en-NZ" w:eastAsia="en-US"/>
              </w:rPr>
              <w:t>Account</w:t>
            </w:r>
            <w:r w:rsidR="00F62FBA">
              <w:rPr>
                <w:rFonts w:eastAsia="Calibri" w:cs="Arial"/>
                <w:b/>
                <w:szCs w:val="22"/>
                <w:lang w:val="en-NZ" w:eastAsia="en-US"/>
              </w:rPr>
              <w:t xml:space="preserve">ability: </w:t>
            </w:r>
            <w:r w:rsidR="00F62FBA" w:rsidRPr="00F62FBA">
              <w:rPr>
                <w:rFonts w:eastAsia="Calibri" w:cs="Arial"/>
                <w:b/>
                <w:szCs w:val="22"/>
                <w:lang w:val="en-NZ" w:eastAsia="en-US"/>
              </w:rPr>
              <w:t>Establishment of specialist appeal body</w:t>
            </w:r>
          </w:p>
          <w:p w:rsidR="00B74A60" w:rsidRPr="003A3E2B" w:rsidRDefault="00B74A60" w:rsidP="003A3E2B">
            <w:pPr>
              <w:spacing w:after="0" w:line="240" w:lineRule="auto"/>
              <w:rPr>
                <w:rFonts w:eastAsia="Calibri" w:cs="Arial"/>
                <w:szCs w:val="22"/>
                <w:lang w:val="en-NZ" w:eastAsia="en-US"/>
              </w:rPr>
            </w:pPr>
          </w:p>
        </w:tc>
      </w:tr>
      <w:tr w:rsidR="00093B8A" w:rsidRPr="003A3E2B" w:rsidTr="003A3E2B">
        <w:tc>
          <w:tcPr>
            <w:tcW w:w="9016" w:type="dxa"/>
            <w:gridSpan w:val="3"/>
            <w:shd w:val="clear" w:color="auto" w:fill="auto"/>
          </w:tcPr>
          <w:p w:rsidR="00711AD3" w:rsidRDefault="00093B8A"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If powers are substantially delegated to the regulator, the review and appeal structure would need to be modified. </w:t>
            </w:r>
          </w:p>
          <w:p w:rsidR="00711AD3" w:rsidRDefault="00711AD3" w:rsidP="003A3E2B">
            <w:pPr>
              <w:spacing w:after="0" w:line="240" w:lineRule="auto"/>
              <w:rPr>
                <w:rFonts w:eastAsia="Calibri" w:cs="Arial"/>
                <w:sz w:val="20"/>
                <w:szCs w:val="22"/>
                <w:lang w:val="en-NZ" w:eastAsia="en-US"/>
              </w:rPr>
            </w:pPr>
          </w:p>
          <w:p w:rsidR="00711AD3" w:rsidRDefault="00093B8A"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In particular, </w:t>
            </w:r>
            <w:r w:rsidRPr="002F7E4B">
              <w:rPr>
                <w:rFonts w:eastAsia="Calibri" w:cs="Arial"/>
                <w:sz w:val="20"/>
                <w:szCs w:val="22"/>
                <w:lang w:val="en-NZ" w:eastAsia="en-US"/>
              </w:rPr>
              <w:t xml:space="preserve">a </w:t>
            </w:r>
            <w:r w:rsidR="002F7E4B">
              <w:rPr>
                <w:rFonts w:eastAsia="Calibri" w:cs="Arial"/>
                <w:sz w:val="20"/>
                <w:szCs w:val="22"/>
                <w:lang w:val="en-NZ" w:eastAsia="en-US"/>
              </w:rPr>
              <w:t xml:space="preserve">revised </w:t>
            </w:r>
            <w:r w:rsidRPr="002F7E4B">
              <w:rPr>
                <w:rFonts w:eastAsia="Calibri" w:cs="Arial"/>
                <w:sz w:val="20"/>
                <w:szCs w:val="22"/>
                <w:lang w:val="en-NZ" w:eastAsia="en-US"/>
              </w:rPr>
              <w:t>specialist appeal body would be required.</w:t>
            </w:r>
            <w:r w:rsidRPr="003A3E2B">
              <w:rPr>
                <w:rFonts w:eastAsia="Calibri" w:cs="Arial"/>
                <w:sz w:val="20"/>
                <w:szCs w:val="22"/>
                <w:lang w:val="en-NZ" w:eastAsia="en-US"/>
              </w:rPr>
              <w:t xml:space="preserve">   A range of design issues arise, with options for each.</w:t>
            </w:r>
            <w:r w:rsidR="00600667">
              <w:rPr>
                <w:rFonts w:eastAsia="Calibri" w:cs="Arial"/>
                <w:sz w:val="20"/>
                <w:szCs w:val="22"/>
                <w:lang w:val="en-NZ" w:eastAsia="en-US"/>
              </w:rPr>
              <w:t xml:space="preserve">  </w:t>
            </w:r>
          </w:p>
          <w:p w:rsidR="00711AD3" w:rsidRDefault="00711AD3" w:rsidP="003A3E2B">
            <w:pPr>
              <w:spacing w:after="0" w:line="240" w:lineRule="auto"/>
              <w:rPr>
                <w:rFonts w:eastAsia="Calibri" w:cs="Arial"/>
                <w:sz w:val="20"/>
                <w:szCs w:val="22"/>
                <w:lang w:val="en-NZ" w:eastAsia="en-US"/>
              </w:rPr>
            </w:pPr>
          </w:p>
          <w:p w:rsidR="00711AD3" w:rsidRDefault="00093B8A"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Note: the status quo would no longer be viable. </w:t>
            </w:r>
          </w:p>
          <w:p w:rsidR="00711AD3" w:rsidRDefault="00711AD3" w:rsidP="003A3E2B">
            <w:pPr>
              <w:spacing w:after="0" w:line="240" w:lineRule="auto"/>
              <w:rPr>
                <w:rFonts w:eastAsia="Calibri" w:cs="Arial"/>
                <w:sz w:val="20"/>
                <w:szCs w:val="22"/>
                <w:lang w:val="en-NZ" w:eastAsia="en-US"/>
              </w:rPr>
            </w:pPr>
          </w:p>
          <w:p w:rsidR="00711AD3" w:rsidRPr="003A3E2B" w:rsidRDefault="00225668" w:rsidP="003A3E2B">
            <w:pPr>
              <w:spacing w:after="0" w:line="240" w:lineRule="auto"/>
              <w:rPr>
                <w:rFonts w:eastAsia="Calibri" w:cs="Arial"/>
                <w:sz w:val="20"/>
                <w:szCs w:val="22"/>
                <w:lang w:val="en-NZ" w:eastAsia="en-US"/>
              </w:rPr>
            </w:pPr>
            <w:r>
              <w:rPr>
                <w:rFonts w:eastAsia="Calibri" w:cs="Arial"/>
                <w:sz w:val="20"/>
                <w:szCs w:val="22"/>
                <w:lang w:val="en-NZ" w:eastAsia="en-US"/>
              </w:rPr>
              <w:t xml:space="preserve">Further advice from </w:t>
            </w:r>
            <w:r w:rsidR="00753D33">
              <w:rPr>
                <w:rFonts w:eastAsia="Calibri" w:cs="Arial"/>
                <w:sz w:val="20"/>
                <w:szCs w:val="22"/>
                <w:lang w:val="en-NZ" w:eastAsia="en-US"/>
              </w:rPr>
              <w:t xml:space="preserve">the Ministry of </w:t>
            </w:r>
            <w:r>
              <w:rPr>
                <w:rFonts w:eastAsia="Calibri" w:cs="Arial"/>
                <w:sz w:val="20"/>
                <w:szCs w:val="22"/>
                <w:lang w:val="en-NZ" w:eastAsia="en-US"/>
              </w:rPr>
              <w:t>Justice will be obtained.</w:t>
            </w:r>
          </w:p>
        </w:tc>
      </w:tr>
      <w:tr w:rsidR="00F62FBA" w:rsidRPr="003A3E2B" w:rsidTr="00E06A10">
        <w:tc>
          <w:tcPr>
            <w:tcW w:w="2547" w:type="dxa"/>
            <w:shd w:val="clear" w:color="auto" w:fill="DEEAF6"/>
          </w:tcPr>
          <w:p w:rsidR="00F62FBA" w:rsidRPr="00383596" w:rsidRDefault="00F62FBA" w:rsidP="00CD7BC6">
            <w:pPr>
              <w:spacing w:after="0" w:line="240" w:lineRule="auto"/>
              <w:rPr>
                <w:rFonts w:eastAsia="Calibri" w:cs="Arial"/>
                <w:i/>
                <w:sz w:val="20"/>
                <w:szCs w:val="22"/>
                <w:lang w:val="en-NZ" w:eastAsia="en-US"/>
              </w:rPr>
            </w:pPr>
            <w:r w:rsidRPr="00383596">
              <w:rPr>
                <w:rFonts w:eastAsia="Calibri" w:cs="Arial"/>
                <w:i/>
                <w:sz w:val="20"/>
                <w:szCs w:val="22"/>
                <w:lang w:val="en-NZ" w:eastAsia="en-US"/>
              </w:rPr>
              <w:t>Design issue</w:t>
            </w:r>
          </w:p>
        </w:tc>
        <w:tc>
          <w:tcPr>
            <w:tcW w:w="3234" w:type="dxa"/>
            <w:shd w:val="clear" w:color="auto" w:fill="DEEAF6"/>
          </w:tcPr>
          <w:p w:rsidR="00F62FBA" w:rsidRPr="00383596" w:rsidRDefault="00F62FBA" w:rsidP="00F62FBA">
            <w:pPr>
              <w:spacing w:after="0" w:line="240" w:lineRule="auto"/>
              <w:ind w:left="360"/>
              <w:rPr>
                <w:rFonts w:eastAsia="Calibri" w:cs="Arial"/>
                <w:i/>
                <w:sz w:val="20"/>
                <w:szCs w:val="22"/>
                <w:lang w:val="en-NZ" w:eastAsia="en-US"/>
              </w:rPr>
            </w:pPr>
            <w:r w:rsidRPr="00383596">
              <w:rPr>
                <w:rFonts w:eastAsia="Calibri" w:cs="Arial"/>
                <w:i/>
                <w:sz w:val="20"/>
                <w:szCs w:val="22"/>
                <w:lang w:val="en-NZ" w:eastAsia="en-US"/>
              </w:rPr>
              <w:t>Alternative approaches</w:t>
            </w:r>
          </w:p>
        </w:tc>
        <w:tc>
          <w:tcPr>
            <w:tcW w:w="3235" w:type="dxa"/>
            <w:shd w:val="clear" w:color="auto" w:fill="DEEAF6"/>
          </w:tcPr>
          <w:p w:rsidR="00F62FBA" w:rsidRDefault="0049431D" w:rsidP="0049431D">
            <w:pPr>
              <w:spacing w:after="0" w:line="240" w:lineRule="auto"/>
              <w:ind w:left="360"/>
              <w:rPr>
                <w:rFonts w:eastAsia="Calibri" w:cs="Arial"/>
                <w:i/>
                <w:sz w:val="20"/>
                <w:szCs w:val="22"/>
                <w:lang w:val="en-NZ" w:eastAsia="en-US"/>
              </w:rPr>
            </w:pPr>
            <w:r w:rsidRPr="00383596">
              <w:rPr>
                <w:rFonts w:eastAsia="Calibri" w:cs="Arial"/>
                <w:i/>
                <w:sz w:val="20"/>
                <w:szCs w:val="22"/>
                <w:lang w:val="en-NZ" w:eastAsia="en-US"/>
              </w:rPr>
              <w:t>Issues to be considered / r</w:t>
            </w:r>
            <w:r w:rsidR="00F62FBA" w:rsidRPr="00383596">
              <w:rPr>
                <w:rFonts w:eastAsia="Calibri" w:cs="Arial"/>
                <w:i/>
                <w:sz w:val="20"/>
                <w:szCs w:val="22"/>
                <w:lang w:val="en-NZ" w:eastAsia="en-US"/>
              </w:rPr>
              <w:t>eason for preferred approach</w:t>
            </w:r>
          </w:p>
          <w:p w:rsidR="00383596" w:rsidRPr="00383596" w:rsidRDefault="00383596" w:rsidP="0049431D">
            <w:pPr>
              <w:spacing w:after="0" w:line="240" w:lineRule="auto"/>
              <w:ind w:left="360"/>
              <w:rPr>
                <w:rFonts w:eastAsia="Calibri" w:cs="Arial"/>
                <w:i/>
                <w:sz w:val="20"/>
                <w:szCs w:val="22"/>
                <w:lang w:val="en-NZ" w:eastAsia="en-US"/>
              </w:rPr>
            </w:pPr>
          </w:p>
        </w:tc>
      </w:tr>
      <w:tr w:rsidR="00F62FBA" w:rsidRPr="003A3E2B" w:rsidTr="00E06A10">
        <w:tc>
          <w:tcPr>
            <w:tcW w:w="2547" w:type="dxa"/>
            <w:shd w:val="clear" w:color="auto" w:fill="auto"/>
          </w:tcPr>
          <w:p w:rsidR="00F62FBA" w:rsidRDefault="00F62FBA" w:rsidP="00CD7BC6">
            <w:pPr>
              <w:spacing w:after="0" w:line="240" w:lineRule="auto"/>
              <w:rPr>
                <w:rFonts w:eastAsia="Calibri" w:cs="Arial"/>
                <w:sz w:val="20"/>
                <w:szCs w:val="22"/>
                <w:lang w:val="en-NZ" w:eastAsia="en-US"/>
              </w:rPr>
            </w:pPr>
            <w:r>
              <w:rPr>
                <w:rFonts w:eastAsia="Calibri" w:cs="Arial"/>
                <w:sz w:val="20"/>
                <w:szCs w:val="22"/>
                <w:lang w:val="en-NZ" w:eastAsia="en-US"/>
              </w:rPr>
              <w:t>Administering agency</w:t>
            </w:r>
          </w:p>
        </w:tc>
        <w:tc>
          <w:tcPr>
            <w:tcW w:w="3234" w:type="dxa"/>
            <w:shd w:val="clear" w:color="auto" w:fill="auto"/>
          </w:tcPr>
          <w:p w:rsidR="00F62FBA" w:rsidRDefault="00F62FBA" w:rsidP="00F62FBA">
            <w:pPr>
              <w:spacing w:after="0" w:line="240" w:lineRule="auto"/>
              <w:rPr>
                <w:rFonts w:eastAsia="Calibri" w:cs="Arial"/>
                <w:sz w:val="20"/>
                <w:szCs w:val="22"/>
                <w:lang w:val="en-NZ" w:eastAsia="en-US"/>
              </w:rPr>
            </w:pPr>
            <w:r>
              <w:rPr>
                <w:rFonts w:eastAsia="Calibri" w:cs="Arial"/>
                <w:sz w:val="20"/>
                <w:szCs w:val="22"/>
                <w:lang w:val="en-NZ" w:eastAsia="en-US"/>
              </w:rPr>
              <w:t>Ministry of Health, or</w:t>
            </w:r>
          </w:p>
          <w:p w:rsidR="00F62FBA" w:rsidRDefault="00F62FBA" w:rsidP="00F62FBA">
            <w:pPr>
              <w:spacing w:after="0" w:line="240" w:lineRule="auto"/>
              <w:rPr>
                <w:rFonts w:eastAsia="Calibri" w:cs="Arial"/>
                <w:sz w:val="20"/>
                <w:szCs w:val="22"/>
                <w:lang w:val="en-NZ" w:eastAsia="en-US"/>
              </w:rPr>
            </w:pPr>
          </w:p>
          <w:p w:rsidR="00F62FBA" w:rsidRDefault="00F62FBA" w:rsidP="00F62FBA">
            <w:pPr>
              <w:spacing w:after="0" w:line="240" w:lineRule="auto"/>
              <w:rPr>
                <w:rFonts w:eastAsia="Calibri" w:cs="Arial"/>
                <w:sz w:val="20"/>
                <w:szCs w:val="22"/>
                <w:lang w:val="en-NZ" w:eastAsia="en-US"/>
              </w:rPr>
            </w:pPr>
            <w:r>
              <w:rPr>
                <w:rFonts w:eastAsia="Calibri" w:cs="Arial"/>
                <w:sz w:val="20"/>
                <w:szCs w:val="22"/>
                <w:lang w:val="en-NZ" w:eastAsia="en-US"/>
              </w:rPr>
              <w:t>Ministry of Justice</w:t>
            </w:r>
          </w:p>
          <w:p w:rsidR="00F62FBA" w:rsidRDefault="00F62FBA" w:rsidP="00F62FBA">
            <w:pPr>
              <w:spacing w:after="0" w:line="240" w:lineRule="auto"/>
              <w:rPr>
                <w:rFonts w:eastAsia="Calibri" w:cs="Arial"/>
                <w:sz w:val="20"/>
                <w:szCs w:val="22"/>
                <w:lang w:val="en-NZ" w:eastAsia="en-US"/>
              </w:rPr>
            </w:pPr>
          </w:p>
        </w:tc>
        <w:tc>
          <w:tcPr>
            <w:tcW w:w="3235" w:type="dxa"/>
            <w:shd w:val="clear" w:color="auto" w:fill="auto"/>
          </w:tcPr>
          <w:p w:rsidR="0049431D" w:rsidRDefault="0049431D" w:rsidP="0049431D">
            <w:pPr>
              <w:spacing w:after="0" w:line="240" w:lineRule="auto"/>
              <w:rPr>
                <w:rFonts w:eastAsia="Calibri" w:cs="Arial"/>
                <w:sz w:val="20"/>
                <w:szCs w:val="22"/>
                <w:lang w:val="en-NZ" w:eastAsia="en-US"/>
              </w:rPr>
            </w:pPr>
            <w:r>
              <w:rPr>
                <w:rFonts w:eastAsia="Calibri" w:cs="Arial"/>
                <w:sz w:val="20"/>
                <w:szCs w:val="22"/>
                <w:lang w:val="en-NZ" w:eastAsia="en-US"/>
              </w:rPr>
              <w:t>The Ministry of Justice has greater expertise in the management of such bodies, and may provide for greater independence.</w:t>
            </w:r>
            <w:r w:rsidR="00383596">
              <w:rPr>
                <w:rFonts w:eastAsia="Calibri" w:cs="Arial"/>
                <w:sz w:val="20"/>
                <w:szCs w:val="22"/>
                <w:lang w:val="en-NZ" w:eastAsia="en-US"/>
              </w:rPr>
              <w:t xml:space="preserve">  </w:t>
            </w:r>
            <w:r>
              <w:rPr>
                <w:rFonts w:eastAsia="Calibri" w:cs="Arial"/>
                <w:sz w:val="20"/>
                <w:szCs w:val="22"/>
                <w:lang w:val="en-NZ" w:eastAsia="en-US"/>
              </w:rPr>
              <w:t>Practical issues of cost and capacity</w:t>
            </w:r>
            <w:r w:rsidR="00383596">
              <w:rPr>
                <w:rFonts w:eastAsia="Calibri" w:cs="Arial"/>
                <w:sz w:val="20"/>
                <w:szCs w:val="22"/>
                <w:lang w:val="en-NZ" w:eastAsia="en-US"/>
              </w:rPr>
              <w:t>, however,</w:t>
            </w:r>
            <w:r>
              <w:rPr>
                <w:rFonts w:eastAsia="Calibri" w:cs="Arial"/>
                <w:sz w:val="20"/>
                <w:szCs w:val="22"/>
                <w:lang w:val="en-NZ" w:eastAsia="en-US"/>
              </w:rPr>
              <w:t xml:space="preserve"> would also need to be considered.</w:t>
            </w:r>
          </w:p>
          <w:p w:rsidR="0049431D" w:rsidRDefault="0049431D" w:rsidP="0049431D">
            <w:pPr>
              <w:spacing w:after="0" w:line="240" w:lineRule="auto"/>
              <w:rPr>
                <w:rFonts w:eastAsia="Calibri" w:cs="Arial"/>
                <w:sz w:val="20"/>
                <w:szCs w:val="22"/>
                <w:lang w:val="en-NZ" w:eastAsia="en-US"/>
              </w:rPr>
            </w:pPr>
          </w:p>
        </w:tc>
      </w:tr>
      <w:tr w:rsidR="00F62FBA" w:rsidRPr="003A3E2B" w:rsidTr="00E06A10">
        <w:tc>
          <w:tcPr>
            <w:tcW w:w="2547" w:type="dxa"/>
            <w:shd w:val="clear" w:color="auto" w:fill="auto"/>
          </w:tcPr>
          <w:p w:rsidR="00F62FBA" w:rsidRDefault="00F62FBA" w:rsidP="00CD7BC6">
            <w:pPr>
              <w:spacing w:after="0" w:line="240" w:lineRule="auto"/>
              <w:rPr>
                <w:rFonts w:eastAsia="Calibri" w:cs="Arial"/>
                <w:sz w:val="20"/>
                <w:szCs w:val="22"/>
                <w:lang w:val="en-NZ" w:eastAsia="en-US"/>
              </w:rPr>
            </w:pPr>
            <w:r>
              <w:rPr>
                <w:rFonts w:eastAsia="Calibri" w:cs="Arial"/>
                <w:sz w:val="20"/>
                <w:szCs w:val="22"/>
                <w:lang w:val="en-NZ" w:eastAsia="en-US"/>
              </w:rPr>
              <w:t>Appointment of members</w:t>
            </w:r>
          </w:p>
        </w:tc>
        <w:tc>
          <w:tcPr>
            <w:tcW w:w="3234" w:type="dxa"/>
            <w:shd w:val="clear" w:color="auto" w:fill="auto"/>
          </w:tcPr>
          <w:p w:rsidR="00F62FBA" w:rsidRDefault="00F62FBA" w:rsidP="00F62FBA">
            <w:pPr>
              <w:spacing w:after="0" w:line="240" w:lineRule="auto"/>
              <w:rPr>
                <w:rFonts w:eastAsia="Calibri" w:cs="Arial"/>
                <w:sz w:val="20"/>
                <w:szCs w:val="22"/>
                <w:lang w:val="en-NZ" w:eastAsia="en-US"/>
              </w:rPr>
            </w:pPr>
            <w:r>
              <w:rPr>
                <w:rFonts w:eastAsia="Calibri" w:cs="Arial"/>
                <w:sz w:val="20"/>
                <w:szCs w:val="22"/>
                <w:lang w:val="en-NZ" w:eastAsia="en-US"/>
              </w:rPr>
              <w:t>by Minister of Health, or</w:t>
            </w:r>
          </w:p>
          <w:p w:rsidR="00F62FBA" w:rsidRDefault="00F62FBA" w:rsidP="00F62FBA">
            <w:pPr>
              <w:spacing w:after="0" w:line="240" w:lineRule="auto"/>
              <w:rPr>
                <w:rFonts w:eastAsia="Calibri" w:cs="Arial"/>
                <w:sz w:val="20"/>
                <w:szCs w:val="22"/>
                <w:lang w:val="en-NZ" w:eastAsia="en-US"/>
              </w:rPr>
            </w:pPr>
          </w:p>
          <w:p w:rsidR="00F62FBA" w:rsidRDefault="00F62FBA" w:rsidP="00F62FBA">
            <w:pPr>
              <w:spacing w:after="0" w:line="240" w:lineRule="auto"/>
              <w:rPr>
                <w:rFonts w:eastAsia="Calibri" w:cs="Arial"/>
                <w:sz w:val="20"/>
                <w:szCs w:val="22"/>
                <w:lang w:val="en-NZ" w:eastAsia="en-US"/>
              </w:rPr>
            </w:pPr>
            <w:r>
              <w:rPr>
                <w:rFonts w:eastAsia="Calibri" w:cs="Arial"/>
                <w:sz w:val="20"/>
                <w:szCs w:val="22"/>
                <w:lang w:val="en-NZ" w:eastAsia="en-US"/>
              </w:rPr>
              <w:t>by other person or body</w:t>
            </w:r>
          </w:p>
          <w:p w:rsidR="00F62FBA" w:rsidRDefault="00F62FBA" w:rsidP="00F62FBA">
            <w:pPr>
              <w:spacing w:after="0" w:line="240" w:lineRule="auto"/>
              <w:rPr>
                <w:rFonts w:eastAsia="Calibri" w:cs="Arial"/>
                <w:sz w:val="20"/>
                <w:szCs w:val="22"/>
                <w:lang w:val="en-NZ" w:eastAsia="en-US"/>
              </w:rPr>
            </w:pPr>
          </w:p>
        </w:tc>
        <w:tc>
          <w:tcPr>
            <w:tcW w:w="3235" w:type="dxa"/>
            <w:shd w:val="clear" w:color="auto" w:fill="auto"/>
          </w:tcPr>
          <w:p w:rsidR="00F62FBA" w:rsidRDefault="00383596" w:rsidP="0049431D">
            <w:pPr>
              <w:spacing w:after="0" w:line="240" w:lineRule="auto"/>
              <w:rPr>
                <w:rFonts w:eastAsia="Calibri" w:cs="Arial"/>
                <w:sz w:val="20"/>
                <w:szCs w:val="22"/>
                <w:lang w:val="en-NZ" w:eastAsia="en-US"/>
              </w:rPr>
            </w:pPr>
            <w:r>
              <w:rPr>
                <w:rFonts w:eastAsia="Calibri" w:cs="Arial"/>
                <w:sz w:val="20"/>
                <w:szCs w:val="22"/>
                <w:lang w:val="en-NZ" w:eastAsia="en-US"/>
              </w:rPr>
              <w:t>Either approach may be appropriate.  Further advice will be obtained.</w:t>
            </w:r>
          </w:p>
        </w:tc>
      </w:tr>
      <w:tr w:rsidR="00F62FBA" w:rsidRPr="003A3E2B" w:rsidTr="00E06A10">
        <w:tc>
          <w:tcPr>
            <w:tcW w:w="2547" w:type="dxa"/>
            <w:shd w:val="clear" w:color="auto" w:fill="auto"/>
          </w:tcPr>
          <w:p w:rsidR="00F62FBA" w:rsidRDefault="00F62FBA" w:rsidP="00CD7BC6">
            <w:pPr>
              <w:spacing w:after="0" w:line="240" w:lineRule="auto"/>
              <w:rPr>
                <w:rFonts w:eastAsia="Calibri" w:cs="Arial"/>
                <w:sz w:val="20"/>
                <w:szCs w:val="22"/>
                <w:lang w:val="en-NZ" w:eastAsia="en-US"/>
              </w:rPr>
            </w:pPr>
            <w:r>
              <w:rPr>
                <w:rFonts w:eastAsia="Calibri" w:cs="Arial"/>
                <w:sz w:val="20"/>
                <w:szCs w:val="22"/>
                <w:lang w:val="en-NZ" w:eastAsia="en-US"/>
              </w:rPr>
              <w:t>Membership numbers and skills</w:t>
            </w:r>
          </w:p>
          <w:p w:rsidR="00F62FBA" w:rsidRDefault="00F62FBA" w:rsidP="00CD7BC6">
            <w:pPr>
              <w:spacing w:after="0" w:line="240" w:lineRule="auto"/>
              <w:rPr>
                <w:rFonts w:eastAsia="Calibri" w:cs="Arial"/>
                <w:sz w:val="20"/>
                <w:szCs w:val="22"/>
                <w:lang w:val="en-NZ" w:eastAsia="en-US"/>
              </w:rPr>
            </w:pPr>
          </w:p>
        </w:tc>
        <w:tc>
          <w:tcPr>
            <w:tcW w:w="3234" w:type="dxa"/>
            <w:shd w:val="clear" w:color="auto" w:fill="auto"/>
          </w:tcPr>
          <w:p w:rsidR="00F62FBA" w:rsidRDefault="00F62FBA" w:rsidP="00F62FBA">
            <w:pPr>
              <w:spacing w:after="0" w:line="240" w:lineRule="auto"/>
              <w:rPr>
                <w:rFonts w:eastAsia="Calibri" w:cs="Arial"/>
                <w:sz w:val="20"/>
                <w:szCs w:val="22"/>
                <w:lang w:val="en-NZ" w:eastAsia="en-US"/>
              </w:rPr>
            </w:pPr>
            <w:r>
              <w:rPr>
                <w:rFonts w:eastAsia="Calibri" w:cs="Arial"/>
                <w:sz w:val="20"/>
                <w:szCs w:val="22"/>
                <w:lang w:val="en-NZ" w:eastAsia="en-US"/>
              </w:rPr>
              <w:t>Predefined, or</w:t>
            </w:r>
          </w:p>
          <w:p w:rsidR="00F62FBA" w:rsidRDefault="00F62FBA" w:rsidP="00F62FBA">
            <w:pPr>
              <w:spacing w:after="0" w:line="240" w:lineRule="auto"/>
              <w:rPr>
                <w:rFonts w:eastAsia="Calibri" w:cs="Arial"/>
                <w:sz w:val="20"/>
                <w:szCs w:val="22"/>
                <w:lang w:val="en-NZ" w:eastAsia="en-US"/>
              </w:rPr>
            </w:pPr>
          </w:p>
          <w:p w:rsidR="00F62FBA" w:rsidRDefault="00F62FBA" w:rsidP="00F62FBA">
            <w:pPr>
              <w:spacing w:after="0" w:line="240" w:lineRule="auto"/>
              <w:rPr>
                <w:rFonts w:eastAsia="Calibri" w:cs="Arial"/>
                <w:sz w:val="20"/>
                <w:szCs w:val="22"/>
                <w:lang w:val="en-NZ" w:eastAsia="en-US"/>
              </w:rPr>
            </w:pPr>
            <w:r>
              <w:rPr>
                <w:rFonts w:eastAsia="Calibri" w:cs="Arial"/>
                <w:sz w:val="20"/>
                <w:szCs w:val="22"/>
                <w:lang w:val="en-NZ" w:eastAsia="en-US"/>
              </w:rPr>
              <w:t>Flexible</w:t>
            </w:r>
          </w:p>
          <w:p w:rsidR="00F62FBA" w:rsidRDefault="00F62FBA" w:rsidP="00F62FBA">
            <w:pPr>
              <w:spacing w:after="0" w:line="240" w:lineRule="auto"/>
              <w:rPr>
                <w:rFonts w:eastAsia="Calibri" w:cs="Arial"/>
                <w:sz w:val="20"/>
                <w:szCs w:val="22"/>
                <w:lang w:val="en-NZ" w:eastAsia="en-US"/>
              </w:rPr>
            </w:pPr>
          </w:p>
        </w:tc>
        <w:tc>
          <w:tcPr>
            <w:tcW w:w="3235" w:type="dxa"/>
            <w:shd w:val="clear" w:color="auto" w:fill="auto"/>
          </w:tcPr>
          <w:p w:rsidR="006A28D0" w:rsidRDefault="006A28D0" w:rsidP="006A28D0">
            <w:pPr>
              <w:spacing w:after="0" w:line="240" w:lineRule="auto"/>
              <w:rPr>
                <w:rFonts w:eastAsia="Calibri" w:cs="Arial"/>
                <w:sz w:val="20"/>
                <w:szCs w:val="22"/>
                <w:lang w:val="en-NZ" w:eastAsia="en-US"/>
              </w:rPr>
            </w:pPr>
            <w:r>
              <w:rPr>
                <w:rFonts w:eastAsia="Calibri" w:cs="Arial"/>
                <w:sz w:val="20"/>
                <w:szCs w:val="22"/>
                <w:lang w:val="en-NZ" w:eastAsia="en-US"/>
              </w:rPr>
              <w:t>Retaining flexibility (within some bounds) would provide for the necessary capability and capacity to be provided in the particular circumstances</w:t>
            </w:r>
            <w:r w:rsidR="00753D33">
              <w:rPr>
                <w:rFonts w:eastAsia="Calibri" w:cs="Arial"/>
                <w:sz w:val="20"/>
                <w:szCs w:val="22"/>
                <w:lang w:val="en-NZ" w:eastAsia="en-US"/>
              </w:rPr>
              <w:t xml:space="preserve"> and for different products</w:t>
            </w:r>
            <w:r>
              <w:rPr>
                <w:rFonts w:eastAsia="Calibri" w:cs="Arial"/>
                <w:sz w:val="20"/>
                <w:szCs w:val="22"/>
                <w:lang w:val="en-NZ" w:eastAsia="en-US"/>
              </w:rPr>
              <w:t>.</w:t>
            </w:r>
          </w:p>
          <w:p w:rsidR="00F62FBA" w:rsidRDefault="006A28D0" w:rsidP="006A28D0">
            <w:pPr>
              <w:spacing w:after="0" w:line="240" w:lineRule="auto"/>
              <w:rPr>
                <w:rFonts w:eastAsia="Calibri" w:cs="Arial"/>
                <w:sz w:val="20"/>
                <w:szCs w:val="22"/>
                <w:lang w:val="en-NZ" w:eastAsia="en-US"/>
              </w:rPr>
            </w:pPr>
            <w:r>
              <w:rPr>
                <w:rFonts w:eastAsia="Calibri" w:cs="Arial"/>
                <w:sz w:val="20"/>
                <w:szCs w:val="22"/>
                <w:lang w:val="en-NZ" w:eastAsia="en-US"/>
              </w:rPr>
              <w:t xml:space="preserve"> </w:t>
            </w:r>
          </w:p>
        </w:tc>
      </w:tr>
      <w:tr w:rsidR="00F62FBA" w:rsidRPr="003A3E2B" w:rsidTr="00E06A10">
        <w:tc>
          <w:tcPr>
            <w:tcW w:w="2547" w:type="dxa"/>
            <w:shd w:val="clear" w:color="auto" w:fill="auto"/>
          </w:tcPr>
          <w:p w:rsidR="00F62FBA" w:rsidRDefault="00F62FBA" w:rsidP="00F62FBA">
            <w:pPr>
              <w:spacing w:after="0" w:line="240" w:lineRule="auto"/>
              <w:rPr>
                <w:rFonts w:eastAsia="Calibri" w:cs="Arial"/>
                <w:sz w:val="20"/>
                <w:szCs w:val="22"/>
                <w:lang w:val="en-NZ" w:eastAsia="en-US"/>
              </w:rPr>
            </w:pPr>
            <w:r>
              <w:rPr>
                <w:rFonts w:eastAsia="Calibri" w:cs="Arial"/>
                <w:sz w:val="20"/>
                <w:szCs w:val="22"/>
                <w:lang w:val="en-NZ" w:eastAsia="en-US"/>
              </w:rPr>
              <w:t>Type of appeal</w:t>
            </w:r>
          </w:p>
        </w:tc>
        <w:tc>
          <w:tcPr>
            <w:tcW w:w="3234" w:type="dxa"/>
            <w:shd w:val="clear" w:color="auto" w:fill="auto"/>
          </w:tcPr>
          <w:p w:rsidR="00F62FBA" w:rsidRDefault="00753D33" w:rsidP="00F62FBA">
            <w:pPr>
              <w:spacing w:after="0" w:line="240" w:lineRule="auto"/>
              <w:rPr>
                <w:rFonts w:eastAsia="Calibri" w:cs="Arial"/>
                <w:sz w:val="20"/>
                <w:szCs w:val="22"/>
                <w:lang w:val="en-NZ" w:eastAsia="en-US"/>
              </w:rPr>
            </w:pPr>
            <w:r>
              <w:rPr>
                <w:rFonts w:eastAsia="Calibri" w:cs="Arial"/>
                <w:sz w:val="20"/>
                <w:szCs w:val="22"/>
                <w:lang w:val="en-NZ" w:eastAsia="en-US"/>
              </w:rPr>
              <w:t>b</w:t>
            </w:r>
            <w:r w:rsidR="00F62FBA">
              <w:rPr>
                <w:rFonts w:eastAsia="Calibri" w:cs="Arial"/>
                <w:sz w:val="20"/>
                <w:szCs w:val="22"/>
                <w:lang w:val="en-NZ" w:eastAsia="en-US"/>
              </w:rPr>
              <w:t>y way of re-hearing, or</w:t>
            </w:r>
          </w:p>
          <w:p w:rsidR="00F62FBA" w:rsidRDefault="00F62FBA" w:rsidP="00F62FBA">
            <w:pPr>
              <w:spacing w:after="0" w:line="240" w:lineRule="auto"/>
              <w:rPr>
                <w:rFonts w:eastAsia="Calibri" w:cs="Arial"/>
                <w:sz w:val="20"/>
                <w:szCs w:val="22"/>
                <w:lang w:val="en-NZ" w:eastAsia="en-US"/>
              </w:rPr>
            </w:pPr>
          </w:p>
          <w:p w:rsidR="00F62FBA" w:rsidRDefault="00753D33" w:rsidP="00F62FBA">
            <w:pPr>
              <w:spacing w:after="0" w:line="240" w:lineRule="auto"/>
              <w:rPr>
                <w:rFonts w:eastAsia="Calibri" w:cs="Arial"/>
                <w:sz w:val="20"/>
                <w:szCs w:val="22"/>
                <w:lang w:val="en-NZ" w:eastAsia="en-US"/>
              </w:rPr>
            </w:pPr>
            <w:r>
              <w:rPr>
                <w:rFonts w:eastAsia="Calibri" w:cs="Arial"/>
                <w:sz w:val="20"/>
                <w:szCs w:val="22"/>
                <w:lang w:val="en-NZ" w:eastAsia="en-US"/>
              </w:rPr>
              <w:t>b</w:t>
            </w:r>
            <w:r w:rsidR="00F62FBA">
              <w:rPr>
                <w:rFonts w:eastAsia="Calibri" w:cs="Arial"/>
                <w:sz w:val="20"/>
                <w:szCs w:val="22"/>
                <w:lang w:val="en-NZ" w:eastAsia="en-US"/>
              </w:rPr>
              <w:t>y other type of hearing</w:t>
            </w:r>
          </w:p>
          <w:p w:rsidR="00F62FBA" w:rsidRDefault="00F62FBA" w:rsidP="00F62FBA">
            <w:pPr>
              <w:spacing w:after="0" w:line="240" w:lineRule="auto"/>
              <w:rPr>
                <w:rFonts w:eastAsia="Calibri" w:cs="Arial"/>
                <w:sz w:val="20"/>
                <w:szCs w:val="22"/>
                <w:lang w:val="en-NZ" w:eastAsia="en-US"/>
              </w:rPr>
            </w:pPr>
          </w:p>
        </w:tc>
        <w:tc>
          <w:tcPr>
            <w:tcW w:w="3235" w:type="dxa"/>
            <w:shd w:val="clear" w:color="auto" w:fill="auto"/>
          </w:tcPr>
          <w:p w:rsidR="006A28D0" w:rsidRDefault="0049431D" w:rsidP="006A28D0">
            <w:pPr>
              <w:spacing w:after="0" w:line="240" w:lineRule="auto"/>
              <w:rPr>
                <w:rFonts w:eastAsia="Calibri" w:cs="Arial"/>
                <w:sz w:val="20"/>
                <w:szCs w:val="22"/>
                <w:lang w:val="en-NZ" w:eastAsia="en-US"/>
              </w:rPr>
            </w:pPr>
            <w:r>
              <w:rPr>
                <w:rFonts w:eastAsia="Calibri" w:cs="Arial"/>
                <w:sz w:val="20"/>
                <w:szCs w:val="22"/>
                <w:lang w:val="en-NZ" w:eastAsia="en-US"/>
              </w:rPr>
              <w:t xml:space="preserve">Appeal by way of re-hearing may </w:t>
            </w:r>
            <w:r w:rsidR="006A28D0">
              <w:rPr>
                <w:rFonts w:eastAsia="Calibri" w:cs="Arial"/>
                <w:sz w:val="20"/>
                <w:szCs w:val="22"/>
                <w:lang w:val="en-NZ" w:eastAsia="en-US"/>
              </w:rPr>
              <w:t>provide for the most efficient process: previous evidence and new evidence can be brought to bear.</w:t>
            </w:r>
          </w:p>
          <w:p w:rsidR="00F62FBA" w:rsidRDefault="006A28D0" w:rsidP="006A28D0">
            <w:pPr>
              <w:spacing w:after="0" w:line="240" w:lineRule="auto"/>
              <w:rPr>
                <w:rFonts w:eastAsia="Calibri" w:cs="Arial"/>
                <w:sz w:val="20"/>
                <w:szCs w:val="22"/>
                <w:lang w:val="en-NZ" w:eastAsia="en-US"/>
              </w:rPr>
            </w:pPr>
            <w:r>
              <w:rPr>
                <w:rFonts w:eastAsia="Calibri" w:cs="Arial"/>
                <w:sz w:val="20"/>
                <w:szCs w:val="22"/>
                <w:lang w:val="en-NZ" w:eastAsia="en-US"/>
              </w:rPr>
              <w:t xml:space="preserve"> </w:t>
            </w:r>
          </w:p>
        </w:tc>
      </w:tr>
      <w:tr w:rsidR="00F62FBA" w:rsidRPr="003A3E2B" w:rsidTr="00E06A10">
        <w:tc>
          <w:tcPr>
            <w:tcW w:w="2547" w:type="dxa"/>
            <w:shd w:val="clear" w:color="auto" w:fill="auto"/>
          </w:tcPr>
          <w:p w:rsidR="00F62FBA" w:rsidRDefault="00F62FBA" w:rsidP="00CD7BC6">
            <w:pPr>
              <w:spacing w:after="0" w:line="240" w:lineRule="auto"/>
              <w:rPr>
                <w:rFonts w:eastAsia="Calibri" w:cs="Arial"/>
                <w:sz w:val="20"/>
                <w:szCs w:val="22"/>
                <w:lang w:val="en-NZ" w:eastAsia="en-US"/>
              </w:rPr>
            </w:pPr>
            <w:r>
              <w:rPr>
                <w:rFonts w:eastAsia="Calibri" w:cs="Arial"/>
                <w:sz w:val="20"/>
                <w:szCs w:val="22"/>
                <w:lang w:val="en-NZ" w:eastAsia="en-US"/>
              </w:rPr>
              <w:t>Who may appeal</w:t>
            </w:r>
          </w:p>
        </w:tc>
        <w:tc>
          <w:tcPr>
            <w:tcW w:w="3234" w:type="dxa"/>
            <w:shd w:val="clear" w:color="auto" w:fill="auto"/>
          </w:tcPr>
          <w:p w:rsidR="00F62FBA" w:rsidRDefault="00F62FBA" w:rsidP="00F62FBA">
            <w:pPr>
              <w:spacing w:after="0" w:line="240" w:lineRule="auto"/>
              <w:rPr>
                <w:rFonts w:eastAsia="Calibri" w:cs="Arial"/>
                <w:sz w:val="20"/>
                <w:szCs w:val="22"/>
                <w:lang w:val="en-NZ" w:eastAsia="en-US"/>
              </w:rPr>
            </w:pPr>
            <w:r>
              <w:rPr>
                <w:rFonts w:eastAsia="Calibri" w:cs="Arial"/>
                <w:sz w:val="20"/>
                <w:szCs w:val="22"/>
                <w:lang w:val="en-NZ" w:eastAsia="en-US"/>
              </w:rPr>
              <w:t>Only applicants, or</w:t>
            </w:r>
          </w:p>
          <w:p w:rsidR="00F62FBA" w:rsidRDefault="00F62FBA" w:rsidP="00F62FBA">
            <w:pPr>
              <w:spacing w:after="0" w:line="240" w:lineRule="auto"/>
              <w:rPr>
                <w:rFonts w:eastAsia="Calibri" w:cs="Arial"/>
                <w:sz w:val="20"/>
                <w:szCs w:val="22"/>
                <w:lang w:val="en-NZ" w:eastAsia="en-US"/>
              </w:rPr>
            </w:pPr>
          </w:p>
          <w:p w:rsidR="00F62FBA" w:rsidRDefault="00F62FBA" w:rsidP="00F62FBA">
            <w:pPr>
              <w:spacing w:after="0" w:line="240" w:lineRule="auto"/>
              <w:rPr>
                <w:rFonts w:eastAsia="Calibri" w:cs="Arial"/>
                <w:sz w:val="20"/>
                <w:szCs w:val="22"/>
                <w:lang w:val="en-NZ" w:eastAsia="en-US"/>
              </w:rPr>
            </w:pPr>
            <w:r>
              <w:rPr>
                <w:rFonts w:eastAsia="Calibri" w:cs="Arial"/>
                <w:sz w:val="20"/>
                <w:szCs w:val="22"/>
                <w:lang w:val="en-NZ" w:eastAsia="en-US"/>
              </w:rPr>
              <w:t>Those having an interest</w:t>
            </w:r>
          </w:p>
          <w:p w:rsidR="00F62FBA" w:rsidRDefault="00F62FBA" w:rsidP="00F62FBA">
            <w:pPr>
              <w:spacing w:after="0" w:line="240" w:lineRule="auto"/>
              <w:rPr>
                <w:rFonts w:eastAsia="Calibri" w:cs="Arial"/>
                <w:sz w:val="20"/>
                <w:szCs w:val="22"/>
                <w:lang w:val="en-NZ" w:eastAsia="en-US"/>
              </w:rPr>
            </w:pPr>
          </w:p>
        </w:tc>
        <w:tc>
          <w:tcPr>
            <w:tcW w:w="3235" w:type="dxa"/>
            <w:shd w:val="clear" w:color="auto" w:fill="auto"/>
          </w:tcPr>
          <w:p w:rsidR="00657B6A" w:rsidRDefault="00383596" w:rsidP="00657B6A">
            <w:pPr>
              <w:spacing w:after="0" w:line="240" w:lineRule="auto"/>
              <w:rPr>
                <w:rFonts w:eastAsia="Calibri" w:cs="Arial"/>
                <w:sz w:val="20"/>
                <w:szCs w:val="22"/>
                <w:lang w:val="en-NZ" w:eastAsia="en-US"/>
              </w:rPr>
            </w:pPr>
            <w:r>
              <w:rPr>
                <w:rFonts w:eastAsia="Calibri" w:cs="Arial"/>
                <w:sz w:val="20"/>
                <w:szCs w:val="22"/>
                <w:lang w:val="en-NZ" w:eastAsia="en-US"/>
              </w:rPr>
              <w:t>A</w:t>
            </w:r>
            <w:r w:rsidR="0049431D">
              <w:rPr>
                <w:rFonts w:eastAsia="Calibri" w:cs="Arial"/>
                <w:sz w:val="20"/>
                <w:szCs w:val="22"/>
                <w:lang w:val="en-NZ" w:eastAsia="en-US"/>
              </w:rPr>
              <w:t xml:space="preserve">llowing appeals </w:t>
            </w:r>
            <w:r>
              <w:rPr>
                <w:rFonts w:eastAsia="Calibri" w:cs="Arial"/>
                <w:sz w:val="20"/>
                <w:szCs w:val="22"/>
                <w:lang w:val="en-NZ" w:eastAsia="en-US"/>
              </w:rPr>
              <w:t xml:space="preserve">from those who can establish an interest might be preferred in principle.  </w:t>
            </w:r>
            <w:r w:rsidR="00657B6A">
              <w:rPr>
                <w:rFonts w:eastAsia="Calibri" w:cs="Arial"/>
                <w:sz w:val="20"/>
                <w:szCs w:val="22"/>
                <w:lang w:val="en-NZ" w:eastAsia="en-US"/>
              </w:rPr>
              <w:t>However, practical considerations might lead to “applicants only”</w:t>
            </w:r>
            <w:r w:rsidR="00753D33">
              <w:rPr>
                <w:rFonts w:eastAsia="Calibri" w:cs="Arial"/>
                <w:sz w:val="20"/>
                <w:szCs w:val="22"/>
                <w:lang w:val="en-NZ" w:eastAsia="en-US"/>
              </w:rPr>
              <w:t>.  This may vary depending on the nature of the decision (</w:t>
            </w:r>
            <w:proofErr w:type="spellStart"/>
            <w:r w:rsidR="00753D33">
              <w:rPr>
                <w:rFonts w:eastAsia="Calibri" w:cs="Arial"/>
                <w:sz w:val="20"/>
                <w:szCs w:val="22"/>
                <w:lang w:val="en-NZ" w:eastAsia="en-US"/>
              </w:rPr>
              <w:t>eg</w:t>
            </w:r>
            <w:proofErr w:type="spellEnd"/>
            <w:r w:rsidR="00753D33">
              <w:rPr>
                <w:rFonts w:eastAsia="Calibri" w:cs="Arial"/>
                <w:sz w:val="20"/>
                <w:szCs w:val="22"/>
                <w:lang w:val="en-NZ" w:eastAsia="en-US"/>
              </w:rPr>
              <w:t>, product approvals versus licensing decisions).</w:t>
            </w:r>
          </w:p>
          <w:p w:rsidR="00F62FBA" w:rsidRDefault="00657B6A" w:rsidP="00657B6A">
            <w:pPr>
              <w:spacing w:after="0" w:line="240" w:lineRule="auto"/>
              <w:rPr>
                <w:rFonts w:eastAsia="Calibri" w:cs="Arial"/>
                <w:sz w:val="20"/>
                <w:szCs w:val="22"/>
                <w:lang w:val="en-NZ" w:eastAsia="en-US"/>
              </w:rPr>
            </w:pPr>
            <w:r>
              <w:rPr>
                <w:rFonts w:eastAsia="Calibri" w:cs="Arial"/>
                <w:sz w:val="20"/>
                <w:szCs w:val="22"/>
                <w:lang w:val="en-NZ" w:eastAsia="en-US"/>
              </w:rPr>
              <w:t xml:space="preserve"> </w:t>
            </w:r>
          </w:p>
        </w:tc>
      </w:tr>
      <w:tr w:rsidR="00F62FBA" w:rsidRPr="003A3E2B" w:rsidTr="00E06A10">
        <w:tc>
          <w:tcPr>
            <w:tcW w:w="2547" w:type="dxa"/>
            <w:shd w:val="clear" w:color="auto" w:fill="auto"/>
          </w:tcPr>
          <w:p w:rsidR="00F62FBA" w:rsidRDefault="00F62FBA" w:rsidP="00CD7BC6">
            <w:pPr>
              <w:spacing w:after="0" w:line="240" w:lineRule="auto"/>
              <w:rPr>
                <w:rFonts w:eastAsia="Calibri" w:cs="Arial"/>
                <w:sz w:val="20"/>
                <w:szCs w:val="22"/>
                <w:lang w:val="en-NZ" w:eastAsia="en-US"/>
              </w:rPr>
            </w:pPr>
            <w:r>
              <w:rPr>
                <w:rFonts w:eastAsia="Calibri" w:cs="Arial"/>
                <w:sz w:val="20"/>
                <w:szCs w:val="22"/>
                <w:lang w:val="en-NZ" w:eastAsia="en-US"/>
              </w:rPr>
              <w:t>Charging</w:t>
            </w:r>
          </w:p>
        </w:tc>
        <w:tc>
          <w:tcPr>
            <w:tcW w:w="3234" w:type="dxa"/>
            <w:shd w:val="clear" w:color="auto" w:fill="auto"/>
          </w:tcPr>
          <w:p w:rsidR="00F62FBA" w:rsidRDefault="00F62FBA" w:rsidP="00F62FBA">
            <w:pPr>
              <w:spacing w:after="0" w:line="240" w:lineRule="auto"/>
              <w:rPr>
                <w:rFonts w:eastAsia="Calibri" w:cs="Arial"/>
                <w:sz w:val="20"/>
                <w:szCs w:val="22"/>
                <w:lang w:val="en-NZ" w:eastAsia="en-US"/>
              </w:rPr>
            </w:pPr>
            <w:r>
              <w:rPr>
                <w:rFonts w:eastAsia="Calibri" w:cs="Arial"/>
                <w:sz w:val="20"/>
                <w:szCs w:val="22"/>
                <w:lang w:val="en-NZ" w:eastAsia="en-US"/>
              </w:rPr>
              <w:t>Charging applies, or</w:t>
            </w:r>
          </w:p>
          <w:p w:rsidR="00F62FBA" w:rsidRDefault="00F62FBA" w:rsidP="00F62FBA">
            <w:pPr>
              <w:spacing w:after="0" w:line="240" w:lineRule="auto"/>
              <w:rPr>
                <w:rFonts w:eastAsia="Calibri" w:cs="Arial"/>
                <w:sz w:val="20"/>
                <w:szCs w:val="22"/>
                <w:lang w:val="en-NZ" w:eastAsia="en-US"/>
              </w:rPr>
            </w:pPr>
          </w:p>
          <w:p w:rsidR="00F62FBA" w:rsidRDefault="00F62FBA" w:rsidP="00F62FBA">
            <w:pPr>
              <w:spacing w:after="0" w:line="240" w:lineRule="auto"/>
              <w:rPr>
                <w:rFonts w:eastAsia="Calibri" w:cs="Arial"/>
                <w:sz w:val="20"/>
                <w:szCs w:val="22"/>
                <w:lang w:val="en-NZ" w:eastAsia="en-US"/>
              </w:rPr>
            </w:pPr>
            <w:r>
              <w:rPr>
                <w:rFonts w:eastAsia="Calibri" w:cs="Arial"/>
                <w:sz w:val="20"/>
                <w:szCs w:val="22"/>
                <w:lang w:val="en-NZ" w:eastAsia="en-US"/>
              </w:rPr>
              <w:t>No charging</w:t>
            </w:r>
          </w:p>
          <w:p w:rsidR="00F62FBA" w:rsidRDefault="00F62FBA" w:rsidP="00F62FBA">
            <w:pPr>
              <w:spacing w:after="0" w:line="240" w:lineRule="auto"/>
              <w:rPr>
                <w:rFonts w:eastAsia="Calibri" w:cs="Arial"/>
                <w:sz w:val="20"/>
                <w:szCs w:val="22"/>
                <w:lang w:val="en-NZ" w:eastAsia="en-US"/>
              </w:rPr>
            </w:pPr>
          </w:p>
        </w:tc>
        <w:tc>
          <w:tcPr>
            <w:tcW w:w="3235" w:type="dxa"/>
            <w:shd w:val="clear" w:color="auto" w:fill="auto"/>
          </w:tcPr>
          <w:p w:rsidR="00F62FBA" w:rsidRDefault="0049431D" w:rsidP="0049431D">
            <w:pPr>
              <w:spacing w:after="0" w:line="240" w:lineRule="auto"/>
              <w:rPr>
                <w:rFonts w:eastAsia="Calibri" w:cs="Arial"/>
                <w:sz w:val="20"/>
                <w:szCs w:val="22"/>
                <w:lang w:val="en-NZ" w:eastAsia="en-US"/>
              </w:rPr>
            </w:pPr>
            <w:r>
              <w:rPr>
                <w:rFonts w:eastAsia="Calibri" w:cs="Arial"/>
                <w:sz w:val="20"/>
                <w:szCs w:val="22"/>
                <w:lang w:val="en-NZ" w:eastAsia="en-US"/>
              </w:rPr>
              <w:t>Charging may deter genuine cases from being he</w:t>
            </w:r>
            <w:r w:rsidR="006A28D0">
              <w:rPr>
                <w:rFonts w:eastAsia="Calibri" w:cs="Arial"/>
                <w:sz w:val="20"/>
                <w:szCs w:val="22"/>
                <w:lang w:val="en-NZ" w:eastAsia="en-US"/>
              </w:rPr>
              <w:t xml:space="preserve">ard.  No charging may encourage cases without </w:t>
            </w:r>
            <w:r w:rsidR="00383596">
              <w:rPr>
                <w:rFonts w:eastAsia="Calibri" w:cs="Arial"/>
                <w:sz w:val="20"/>
                <w:szCs w:val="22"/>
                <w:lang w:val="en-NZ" w:eastAsia="en-US"/>
              </w:rPr>
              <w:t xml:space="preserve">sufficient </w:t>
            </w:r>
            <w:r w:rsidR="006A28D0">
              <w:rPr>
                <w:rFonts w:eastAsia="Calibri" w:cs="Arial"/>
                <w:sz w:val="20"/>
                <w:szCs w:val="22"/>
                <w:lang w:val="en-NZ" w:eastAsia="en-US"/>
              </w:rPr>
              <w:t xml:space="preserve">merits. A </w:t>
            </w:r>
            <w:r w:rsidR="006A28D0" w:rsidRPr="006A28D0">
              <w:rPr>
                <w:rFonts w:eastAsia="Calibri" w:cs="Arial"/>
                <w:i/>
                <w:sz w:val="20"/>
                <w:szCs w:val="22"/>
                <w:lang w:val="en-NZ" w:eastAsia="en-US"/>
              </w:rPr>
              <w:t>de minimis</w:t>
            </w:r>
            <w:r w:rsidR="006A28D0">
              <w:rPr>
                <w:rFonts w:eastAsia="Calibri" w:cs="Arial"/>
                <w:sz w:val="20"/>
                <w:szCs w:val="22"/>
                <w:lang w:val="en-NZ" w:eastAsia="en-US"/>
              </w:rPr>
              <w:t xml:space="preserve"> or moderate charge might be indicated.</w:t>
            </w:r>
          </w:p>
          <w:p w:rsidR="006A28D0" w:rsidRDefault="006A28D0" w:rsidP="0049431D">
            <w:pPr>
              <w:spacing w:after="0" w:line="240" w:lineRule="auto"/>
              <w:rPr>
                <w:rFonts w:eastAsia="Calibri" w:cs="Arial"/>
                <w:sz w:val="20"/>
                <w:szCs w:val="22"/>
                <w:lang w:val="en-NZ" w:eastAsia="en-US"/>
              </w:rPr>
            </w:pPr>
          </w:p>
        </w:tc>
      </w:tr>
      <w:tr w:rsidR="00F62FBA" w:rsidRPr="003A3E2B" w:rsidTr="00E06A10">
        <w:tc>
          <w:tcPr>
            <w:tcW w:w="2547" w:type="dxa"/>
            <w:shd w:val="clear" w:color="auto" w:fill="auto"/>
          </w:tcPr>
          <w:p w:rsidR="00F62FBA" w:rsidRDefault="00F62FBA" w:rsidP="00F62FBA">
            <w:pPr>
              <w:spacing w:after="0" w:line="240" w:lineRule="auto"/>
              <w:rPr>
                <w:rFonts w:eastAsia="Calibri" w:cs="Arial"/>
                <w:sz w:val="20"/>
                <w:szCs w:val="22"/>
                <w:lang w:val="en-NZ" w:eastAsia="en-US"/>
              </w:rPr>
            </w:pPr>
            <w:r>
              <w:rPr>
                <w:rFonts w:eastAsia="Calibri" w:cs="Arial"/>
                <w:sz w:val="20"/>
                <w:szCs w:val="22"/>
                <w:lang w:val="en-NZ" w:eastAsia="en-US"/>
              </w:rPr>
              <w:t xml:space="preserve">Complaints </w:t>
            </w:r>
          </w:p>
        </w:tc>
        <w:tc>
          <w:tcPr>
            <w:tcW w:w="3234" w:type="dxa"/>
            <w:shd w:val="clear" w:color="auto" w:fill="auto"/>
          </w:tcPr>
          <w:p w:rsidR="00F62FBA" w:rsidRDefault="00F62FBA" w:rsidP="00F62FBA">
            <w:pPr>
              <w:spacing w:after="0" w:line="240" w:lineRule="auto"/>
              <w:rPr>
                <w:rFonts w:eastAsia="Calibri" w:cs="Arial"/>
                <w:sz w:val="20"/>
                <w:szCs w:val="22"/>
                <w:lang w:val="en-NZ" w:eastAsia="en-US"/>
              </w:rPr>
            </w:pPr>
            <w:r>
              <w:rPr>
                <w:rFonts w:eastAsia="Calibri" w:cs="Arial"/>
                <w:sz w:val="20"/>
                <w:szCs w:val="22"/>
                <w:lang w:val="en-NZ" w:eastAsia="en-US"/>
              </w:rPr>
              <w:t>H</w:t>
            </w:r>
            <w:r w:rsidR="00753D33">
              <w:rPr>
                <w:rFonts w:eastAsia="Calibri" w:cs="Arial"/>
                <w:sz w:val="20"/>
                <w:szCs w:val="22"/>
                <w:lang w:val="en-NZ" w:eastAsia="en-US"/>
              </w:rPr>
              <w:t>ave a complaints mechanism</w:t>
            </w:r>
            <w:r w:rsidR="0049431D">
              <w:rPr>
                <w:rFonts w:eastAsia="Calibri" w:cs="Arial"/>
                <w:sz w:val="20"/>
                <w:szCs w:val="22"/>
                <w:lang w:val="en-NZ" w:eastAsia="en-US"/>
              </w:rPr>
              <w:t>, or</w:t>
            </w:r>
          </w:p>
          <w:p w:rsidR="0049431D" w:rsidRDefault="0049431D" w:rsidP="00F62FBA">
            <w:pPr>
              <w:spacing w:after="0" w:line="240" w:lineRule="auto"/>
              <w:rPr>
                <w:rFonts w:eastAsia="Calibri" w:cs="Arial"/>
                <w:sz w:val="20"/>
                <w:szCs w:val="22"/>
                <w:lang w:val="en-NZ" w:eastAsia="en-US"/>
              </w:rPr>
            </w:pPr>
          </w:p>
          <w:p w:rsidR="0049431D" w:rsidRDefault="00753D33" w:rsidP="00F62FBA">
            <w:pPr>
              <w:spacing w:after="0" w:line="240" w:lineRule="auto"/>
              <w:rPr>
                <w:rFonts w:eastAsia="Calibri" w:cs="Arial"/>
                <w:sz w:val="20"/>
                <w:szCs w:val="22"/>
                <w:lang w:val="en-NZ" w:eastAsia="en-US"/>
              </w:rPr>
            </w:pPr>
            <w:r>
              <w:rPr>
                <w:rFonts w:eastAsia="Calibri" w:cs="Arial"/>
                <w:sz w:val="20"/>
                <w:szCs w:val="22"/>
                <w:lang w:val="en-NZ" w:eastAsia="en-US"/>
              </w:rPr>
              <w:t>No mechanism</w:t>
            </w:r>
            <w:r w:rsidR="0049431D">
              <w:rPr>
                <w:rFonts w:eastAsia="Calibri" w:cs="Arial"/>
                <w:sz w:val="20"/>
                <w:szCs w:val="22"/>
                <w:lang w:val="en-NZ" w:eastAsia="en-US"/>
              </w:rPr>
              <w:t>.</w:t>
            </w:r>
          </w:p>
          <w:p w:rsidR="0049431D" w:rsidRDefault="0049431D" w:rsidP="00F62FBA">
            <w:pPr>
              <w:spacing w:after="0" w:line="240" w:lineRule="auto"/>
              <w:rPr>
                <w:rFonts w:eastAsia="Calibri" w:cs="Arial"/>
                <w:sz w:val="20"/>
                <w:szCs w:val="22"/>
                <w:lang w:val="en-NZ" w:eastAsia="en-US"/>
              </w:rPr>
            </w:pPr>
          </w:p>
        </w:tc>
        <w:tc>
          <w:tcPr>
            <w:tcW w:w="3235" w:type="dxa"/>
            <w:shd w:val="clear" w:color="auto" w:fill="auto"/>
          </w:tcPr>
          <w:p w:rsidR="00383596" w:rsidRDefault="006A28D0" w:rsidP="00383596">
            <w:pPr>
              <w:spacing w:after="0" w:line="240" w:lineRule="auto"/>
              <w:rPr>
                <w:rFonts w:eastAsia="Calibri" w:cs="Arial"/>
                <w:sz w:val="20"/>
                <w:szCs w:val="22"/>
                <w:lang w:val="en-NZ" w:eastAsia="en-US"/>
              </w:rPr>
            </w:pPr>
            <w:r>
              <w:rPr>
                <w:rFonts w:eastAsia="Calibri" w:cs="Arial"/>
                <w:sz w:val="20"/>
                <w:szCs w:val="22"/>
                <w:lang w:val="en-NZ" w:eastAsia="en-US"/>
              </w:rPr>
              <w:t xml:space="preserve">It may be more efficient </w:t>
            </w:r>
            <w:r w:rsidR="00753D33">
              <w:rPr>
                <w:rFonts w:eastAsia="Calibri" w:cs="Arial"/>
                <w:sz w:val="20"/>
                <w:szCs w:val="22"/>
                <w:lang w:val="en-NZ" w:eastAsia="en-US"/>
              </w:rPr>
              <w:t>to have a complaints mechanism operated by the regulator.  This would ensure that only the most significant issues are escalated to the appeal body.</w:t>
            </w:r>
          </w:p>
          <w:p w:rsidR="00383596" w:rsidRDefault="00383596" w:rsidP="00383596">
            <w:pPr>
              <w:spacing w:after="0" w:line="240" w:lineRule="auto"/>
              <w:rPr>
                <w:rFonts w:eastAsia="Calibri" w:cs="Arial"/>
                <w:sz w:val="20"/>
                <w:szCs w:val="22"/>
                <w:lang w:val="en-NZ" w:eastAsia="en-US"/>
              </w:rPr>
            </w:pPr>
          </w:p>
        </w:tc>
      </w:tr>
    </w:tbl>
    <w:p w:rsidR="00B74A60" w:rsidRPr="00B74A60" w:rsidRDefault="00B74A60" w:rsidP="00B74A60">
      <w:pPr>
        <w:spacing w:after="0" w:line="240" w:lineRule="auto"/>
        <w:rPr>
          <w:rFonts w:eastAsia="Calibri" w:cs="Arial"/>
          <w:szCs w:val="22"/>
          <w:lang w:val="en-NZ" w:eastAsia="en-US"/>
        </w:rPr>
      </w:pPr>
    </w:p>
    <w:p w:rsidR="00B74A60" w:rsidRPr="00830E17" w:rsidRDefault="00B74A60" w:rsidP="00830E17">
      <w:pPr>
        <w:pStyle w:val="Heading5"/>
        <w:rPr>
          <w:rFonts w:eastAsia="Calibri"/>
          <w:b/>
          <w:i w:val="0"/>
          <w:lang w:val="en-NZ" w:eastAsia="en-US"/>
        </w:rPr>
      </w:pPr>
      <w:r w:rsidRPr="00830E17">
        <w:rPr>
          <w:rFonts w:eastAsia="Calibri"/>
          <w:b/>
          <w:i w:val="0"/>
          <w:lang w:val="en-NZ" w:eastAsia="en-US"/>
        </w:rPr>
        <w:t>Issue 7: Cost recovery</w:t>
      </w:r>
    </w:p>
    <w:p w:rsidR="00B74A60" w:rsidRPr="00B74A60" w:rsidRDefault="00B74A60" w:rsidP="00B74A60">
      <w:pPr>
        <w:spacing w:after="0" w:line="240" w:lineRule="auto"/>
        <w:rPr>
          <w:rFonts w:eastAsia="Calibri" w:cs="Arial"/>
          <w:szCs w:val="22"/>
          <w:lang w:val="en-NZ" w:eastAsia="en-US"/>
        </w:rPr>
      </w:pPr>
    </w:p>
    <w:p w:rsidR="00B74A60" w:rsidRPr="00E865C6" w:rsidRDefault="00B74A60" w:rsidP="00FD5200">
      <w:pPr>
        <w:pStyle w:val="BodyText"/>
        <w:rPr>
          <w:rFonts w:eastAsia="Calibri"/>
        </w:rPr>
      </w:pPr>
      <w:r w:rsidRPr="00E865C6">
        <w:rPr>
          <w:rFonts w:eastAsia="Calibri"/>
        </w:rPr>
        <w:t xml:space="preserve">Cost-recovery is guided by </w:t>
      </w:r>
      <w:r w:rsidR="00E865C6" w:rsidRPr="00E865C6">
        <w:rPr>
          <w:rFonts w:eastAsia="Calibri"/>
          <w:i/>
        </w:rPr>
        <w:t>Charging fees for public sector goods and services</w:t>
      </w:r>
      <w:r w:rsidR="00E865C6" w:rsidRPr="00E865C6">
        <w:rPr>
          <w:rFonts w:eastAsia="Calibri"/>
        </w:rPr>
        <w:t xml:space="preserve"> (Controller and Auditor-General, 2008) and </w:t>
      </w:r>
      <w:r w:rsidR="00E865C6" w:rsidRPr="00E865C6">
        <w:rPr>
          <w:rFonts w:eastAsia="Calibri"/>
          <w:i/>
        </w:rPr>
        <w:t>Guidelines for Setting Charges in the Public Sector</w:t>
      </w:r>
      <w:r w:rsidR="00E865C6" w:rsidRPr="00E865C6">
        <w:rPr>
          <w:rFonts w:eastAsia="Calibri"/>
        </w:rPr>
        <w:t xml:space="preserve"> (The Treasury, 2002).  </w:t>
      </w:r>
    </w:p>
    <w:p w:rsidR="00B74A60" w:rsidRPr="00E865C6" w:rsidRDefault="00B74A60" w:rsidP="00FD5200">
      <w:pPr>
        <w:pStyle w:val="BodyText"/>
        <w:rPr>
          <w:rFonts w:eastAsia="Calibri"/>
        </w:rPr>
      </w:pPr>
      <w:r w:rsidRPr="00E865C6">
        <w:rPr>
          <w:rFonts w:eastAsia="Calibri"/>
        </w:rPr>
        <w:t>The extent to which the cost of therapeutic product regulation is borne by industry or the Crown should depend on the type of regulatory work involved.</w:t>
      </w:r>
      <w:r w:rsidR="00E865C6" w:rsidRPr="00E865C6">
        <w:rPr>
          <w:rFonts w:eastAsia="Calibri"/>
        </w:rPr>
        <w:t xml:space="preserve">  </w:t>
      </w:r>
      <w:r w:rsidRPr="00E865C6">
        <w:rPr>
          <w:rFonts w:eastAsia="Calibri"/>
        </w:rPr>
        <w:t>In principle, where the regulatory activities represent:</w:t>
      </w:r>
    </w:p>
    <w:p w:rsidR="00B74A60" w:rsidRPr="00B74A60" w:rsidRDefault="00B74A60" w:rsidP="00E440A3">
      <w:pPr>
        <w:pStyle w:val="BodyText2"/>
        <w:rPr>
          <w:rFonts w:eastAsia="Calibri"/>
          <w:lang w:val="en-NZ" w:eastAsia="en-US"/>
        </w:rPr>
      </w:pPr>
      <w:r w:rsidRPr="00B74A60">
        <w:rPr>
          <w:rFonts w:eastAsia="Calibri"/>
          <w:lang w:val="en-NZ" w:eastAsia="en-US"/>
        </w:rPr>
        <w:t>public goods – where the benefits can be share</w:t>
      </w:r>
      <w:r w:rsidR="00770AC5">
        <w:rPr>
          <w:rFonts w:eastAsia="Calibri"/>
          <w:lang w:val="en-NZ" w:eastAsia="en-US"/>
        </w:rPr>
        <w:t>d by all (non-</w:t>
      </w:r>
      <w:r w:rsidRPr="00B74A60">
        <w:rPr>
          <w:rFonts w:eastAsia="Calibri"/>
          <w:lang w:val="en-NZ" w:eastAsia="en-US"/>
        </w:rPr>
        <w:t>excludable, non-rival) - the</w:t>
      </w:r>
      <w:r w:rsidR="00DD53D3">
        <w:rPr>
          <w:rFonts w:eastAsia="Calibri"/>
          <w:lang w:val="en-NZ" w:eastAsia="en-US"/>
        </w:rPr>
        <w:t xml:space="preserve"> Crown should fund the activity</w:t>
      </w:r>
    </w:p>
    <w:p w:rsidR="00B74A60" w:rsidRPr="00B74A60" w:rsidRDefault="00B74A60" w:rsidP="00E440A3">
      <w:pPr>
        <w:pStyle w:val="BodyText2"/>
        <w:rPr>
          <w:rFonts w:eastAsia="Calibri"/>
          <w:lang w:val="en-NZ" w:eastAsia="en-US"/>
        </w:rPr>
      </w:pPr>
      <w:r w:rsidRPr="00B74A60">
        <w:rPr>
          <w:rFonts w:eastAsia="Calibri"/>
          <w:lang w:val="en-NZ" w:eastAsia="en-US"/>
        </w:rPr>
        <w:t>private goods – where the benefits of the activity can be directly attributed (</w:t>
      </w:r>
      <w:proofErr w:type="spellStart"/>
      <w:r w:rsidRPr="00B74A60">
        <w:rPr>
          <w:rFonts w:eastAsia="Calibri"/>
          <w:lang w:val="en-NZ" w:eastAsia="en-US"/>
        </w:rPr>
        <w:t>eg</w:t>
      </w:r>
      <w:proofErr w:type="spellEnd"/>
      <w:r w:rsidRPr="00B74A60">
        <w:rPr>
          <w:rFonts w:eastAsia="Calibri"/>
          <w:lang w:val="en-NZ" w:eastAsia="en-US"/>
        </w:rPr>
        <w:t>, a company seeking approval to market a product, or authorisation to undertake an activity) – industry shoul</w:t>
      </w:r>
      <w:r w:rsidR="00DD53D3">
        <w:rPr>
          <w:rFonts w:eastAsia="Calibri"/>
          <w:lang w:val="en-NZ" w:eastAsia="en-US"/>
        </w:rPr>
        <w:t>d pay through a fee for service</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industry</w:t>
      </w:r>
      <w:proofErr w:type="gramEnd"/>
      <w:r w:rsidRPr="00B74A60">
        <w:rPr>
          <w:rFonts w:eastAsia="Calibri"/>
          <w:lang w:val="en-NZ" w:eastAsia="en-US"/>
        </w:rPr>
        <w:t xml:space="preserve"> or club goods – which have some public good element but also a defined group of beneficiaries or risk-makers – industry should pay through an industry levy.</w:t>
      </w:r>
    </w:p>
    <w:p w:rsidR="00B74A60" w:rsidRPr="00B74A60" w:rsidRDefault="00B74A60" w:rsidP="00E440A3">
      <w:pPr>
        <w:pStyle w:val="BodyText"/>
        <w:rPr>
          <w:rFonts w:eastAsia="Calibri"/>
        </w:rPr>
      </w:pPr>
      <w:r w:rsidRPr="00B74A60">
        <w:rPr>
          <w:rFonts w:eastAsia="Calibri"/>
        </w:rPr>
        <w:t xml:space="preserve">The activities of therapeutic product regulation </w:t>
      </w:r>
      <w:r w:rsidR="00E865C6">
        <w:rPr>
          <w:rFonts w:eastAsia="Calibri"/>
        </w:rPr>
        <w:t>(</w:t>
      </w:r>
      <w:proofErr w:type="spellStart"/>
      <w:r w:rsidR="00E865C6">
        <w:rPr>
          <w:rFonts w:eastAsia="Calibri"/>
        </w:rPr>
        <w:t>ie</w:t>
      </w:r>
      <w:proofErr w:type="spellEnd"/>
      <w:r w:rsidR="00E865C6">
        <w:rPr>
          <w:rFonts w:eastAsia="Calibri"/>
        </w:rPr>
        <w:t xml:space="preserve">, activities undertaken by Medsafe and Medicines Control) </w:t>
      </w:r>
      <w:r w:rsidR="000D2E18">
        <w:rPr>
          <w:rFonts w:eastAsia="Calibri"/>
        </w:rPr>
        <w:t>for which costs must be funded by the Crown or by cost-recovery from industry, are:</w:t>
      </w:r>
    </w:p>
    <w:p w:rsidR="00B74A60" w:rsidRPr="00B74A60" w:rsidRDefault="00B74A60" w:rsidP="00E440A3">
      <w:pPr>
        <w:pStyle w:val="BodyText2"/>
        <w:rPr>
          <w:rFonts w:eastAsia="Calibri"/>
          <w:lang w:val="en-NZ" w:eastAsia="en-US"/>
        </w:rPr>
      </w:pPr>
      <w:r w:rsidRPr="00B74A60">
        <w:rPr>
          <w:rFonts w:eastAsia="Calibri"/>
          <w:lang w:val="en-NZ" w:eastAsia="en-US"/>
        </w:rPr>
        <w:t xml:space="preserve">policy </w:t>
      </w:r>
      <w:r w:rsidR="00E865C6">
        <w:rPr>
          <w:rFonts w:eastAsia="Calibri"/>
          <w:lang w:val="en-NZ" w:eastAsia="en-US"/>
        </w:rPr>
        <w:t>related activity</w:t>
      </w:r>
      <w:r w:rsidRPr="00B74A60">
        <w:rPr>
          <w:rFonts w:eastAsia="Calibri"/>
          <w:lang w:val="en-NZ" w:eastAsia="en-US"/>
        </w:rPr>
        <w:t xml:space="preserve"> (and possibly </w:t>
      </w:r>
      <w:r w:rsidR="000D2E18">
        <w:rPr>
          <w:rFonts w:eastAsia="Calibri"/>
          <w:lang w:val="en-NZ" w:eastAsia="en-US"/>
        </w:rPr>
        <w:t xml:space="preserve">general </w:t>
      </w:r>
      <w:r w:rsidRPr="00B74A60">
        <w:rPr>
          <w:rFonts w:eastAsia="Calibri"/>
          <w:lang w:val="en-NZ" w:eastAsia="en-US"/>
        </w:rPr>
        <w:t>enfor</w:t>
      </w:r>
      <w:r w:rsidR="00DD53D3">
        <w:rPr>
          <w:rFonts w:eastAsia="Calibri"/>
          <w:lang w:val="en-NZ" w:eastAsia="en-US"/>
        </w:rPr>
        <w:t>cement activity) – public goods</w:t>
      </w:r>
    </w:p>
    <w:p w:rsidR="00B74A60" w:rsidRPr="00B74A60" w:rsidRDefault="00B74A60" w:rsidP="00E440A3">
      <w:pPr>
        <w:pStyle w:val="BodyText2"/>
        <w:rPr>
          <w:rFonts w:eastAsia="Calibri"/>
          <w:lang w:val="en-NZ" w:eastAsia="en-US"/>
        </w:rPr>
      </w:pPr>
      <w:r w:rsidRPr="00B74A60">
        <w:rPr>
          <w:rFonts w:eastAsia="Calibri"/>
          <w:lang w:val="en-NZ" w:eastAsia="en-US"/>
        </w:rPr>
        <w:t xml:space="preserve">approvals, licensing, and </w:t>
      </w:r>
      <w:r w:rsidR="00E865C6">
        <w:rPr>
          <w:rFonts w:eastAsia="Calibri"/>
          <w:lang w:val="en-NZ" w:eastAsia="en-US"/>
        </w:rPr>
        <w:t xml:space="preserve">specifically </w:t>
      </w:r>
      <w:r w:rsidRPr="00B74A60">
        <w:rPr>
          <w:rFonts w:eastAsia="Calibri"/>
          <w:lang w:val="en-NZ" w:eastAsia="en-US"/>
        </w:rPr>
        <w:t>rel</w:t>
      </w:r>
      <w:r w:rsidR="00DD53D3">
        <w:rPr>
          <w:rFonts w:eastAsia="Calibri"/>
          <w:lang w:val="en-NZ" w:eastAsia="en-US"/>
        </w:rPr>
        <w:t>ated activities – private goods</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standards</w:t>
      </w:r>
      <w:proofErr w:type="gramEnd"/>
      <w:r w:rsidRPr="00B74A60">
        <w:rPr>
          <w:rFonts w:eastAsia="Calibri"/>
          <w:lang w:val="en-NZ" w:eastAsia="en-US"/>
        </w:rPr>
        <w:t xml:space="preserve"> and industry-wide requirements, </w:t>
      </w:r>
      <w:r w:rsidR="00E865C6">
        <w:rPr>
          <w:rFonts w:eastAsia="Calibri"/>
          <w:lang w:val="en-NZ" w:eastAsia="en-US"/>
        </w:rPr>
        <w:t xml:space="preserve">general </w:t>
      </w:r>
      <w:r w:rsidRPr="00B74A60">
        <w:rPr>
          <w:rFonts w:eastAsia="Calibri"/>
          <w:lang w:val="en-NZ" w:eastAsia="en-US"/>
        </w:rPr>
        <w:t>compliance, audit surveillance and monitoring – industry good.</w:t>
      </w:r>
    </w:p>
    <w:p w:rsidR="00B74A60" w:rsidRPr="00B74A60" w:rsidRDefault="00B74A60" w:rsidP="00E440A3">
      <w:pPr>
        <w:pStyle w:val="BodyText"/>
        <w:rPr>
          <w:rFonts w:eastAsia="Calibri"/>
        </w:rPr>
      </w:pPr>
      <w:r w:rsidRPr="00B74A60">
        <w:rPr>
          <w:rFonts w:eastAsia="Calibri"/>
        </w:rPr>
        <w:t>At present:</w:t>
      </w:r>
    </w:p>
    <w:p w:rsidR="00B74A60" w:rsidRPr="00B74A60" w:rsidRDefault="00B74A60" w:rsidP="00E440A3">
      <w:pPr>
        <w:pStyle w:val="BodyText2"/>
        <w:rPr>
          <w:rFonts w:eastAsia="Calibri"/>
          <w:lang w:val="en-NZ" w:eastAsia="en-US"/>
        </w:rPr>
      </w:pPr>
      <w:r w:rsidRPr="00B74A60">
        <w:rPr>
          <w:rFonts w:eastAsia="Calibri"/>
          <w:lang w:val="en-NZ" w:eastAsia="en-US"/>
        </w:rPr>
        <w:t>regulatory activities by Medsafe are largely cost-recovere</w:t>
      </w:r>
      <w:r w:rsidR="004D7D73">
        <w:rPr>
          <w:rFonts w:eastAsia="Calibri"/>
          <w:lang w:val="en-NZ" w:eastAsia="en-US"/>
        </w:rPr>
        <w:t>d from industry (ie, just over 9</w:t>
      </w:r>
      <w:r w:rsidRPr="00B74A60">
        <w:rPr>
          <w:rFonts w:eastAsia="Calibri"/>
          <w:lang w:val="en-NZ" w:eastAsia="en-US"/>
        </w:rPr>
        <w:t>0% of cost</w:t>
      </w:r>
      <w:r w:rsidR="004D7D73">
        <w:rPr>
          <w:rFonts w:eastAsia="Calibri"/>
          <w:lang w:val="en-NZ" w:eastAsia="en-US"/>
        </w:rPr>
        <w:t>s are recovered</w:t>
      </w:r>
      <w:r w:rsidR="000D2E18">
        <w:rPr>
          <w:rFonts w:eastAsia="Calibri"/>
          <w:lang w:val="en-NZ" w:eastAsia="en-US"/>
        </w:rPr>
        <w:t>)</w:t>
      </w:r>
      <w:r w:rsidRPr="00B74A60">
        <w:rPr>
          <w:rFonts w:eastAsia="Calibri"/>
          <w:lang w:val="en-NZ" w:eastAsia="en-US"/>
        </w:rPr>
        <w:t>, although the split appears to reflect practice as it has evolved rather than a precise public/private/industry split</w:t>
      </w:r>
      <w:r w:rsidR="002D4EAA">
        <w:rPr>
          <w:rFonts w:eastAsia="Calibri"/>
          <w:lang w:val="en-NZ" w:eastAsia="en-US"/>
        </w:rPr>
        <w:t>, and activities by Medicines Control are fully cost-recovered</w:t>
      </w:r>
    </w:p>
    <w:p w:rsidR="00B74A60" w:rsidRDefault="004D7D73" w:rsidP="00E440A3">
      <w:pPr>
        <w:pStyle w:val="BodyText2"/>
        <w:rPr>
          <w:rFonts w:eastAsia="Calibri"/>
          <w:lang w:val="en-NZ" w:eastAsia="en-US"/>
        </w:rPr>
      </w:pPr>
      <w:proofErr w:type="gramStart"/>
      <w:r>
        <w:rPr>
          <w:rFonts w:eastAsia="Calibri"/>
          <w:lang w:val="en-NZ" w:eastAsia="en-US"/>
        </w:rPr>
        <w:t>there</w:t>
      </w:r>
      <w:proofErr w:type="gramEnd"/>
      <w:r>
        <w:rPr>
          <w:rFonts w:eastAsia="Calibri"/>
          <w:lang w:val="en-NZ" w:eastAsia="en-US"/>
        </w:rPr>
        <w:t xml:space="preserve"> is no industry levy</w:t>
      </w:r>
      <w:r w:rsidR="00B74A60" w:rsidRPr="00B74A60">
        <w:rPr>
          <w:rFonts w:eastAsia="Calibri"/>
          <w:lang w:val="en-NZ" w:eastAsia="en-US"/>
        </w:rPr>
        <w:t>.</w:t>
      </w:r>
    </w:p>
    <w:p w:rsidR="00E865C6" w:rsidRPr="00B74A60" w:rsidRDefault="00E865C6" w:rsidP="00E865C6">
      <w:pPr>
        <w:pStyle w:val="BodyText"/>
        <w:rPr>
          <w:rFonts w:eastAsia="Calibri"/>
        </w:rPr>
      </w:pPr>
      <w:r w:rsidRPr="00B74A60">
        <w:rPr>
          <w:rFonts w:eastAsia="Calibri"/>
        </w:rPr>
        <w:t>In practice, industry and the Crown are the only realistic funding alternatives.  It is not practicable, in the foreseeable future</w:t>
      </w:r>
      <w:r w:rsidR="00DD53D3">
        <w:rPr>
          <w:rFonts w:eastAsia="Calibri"/>
        </w:rPr>
        <w:t xml:space="preserve">, </w:t>
      </w:r>
      <w:r w:rsidRPr="00B74A60">
        <w:rPr>
          <w:rFonts w:eastAsia="Calibri"/>
        </w:rPr>
        <w:t>for reasons of administrative cost and complexity</w:t>
      </w:r>
      <w:proofErr w:type="gramStart"/>
      <w:r w:rsidR="00DD53D3">
        <w:rPr>
          <w:rFonts w:eastAsia="Calibri"/>
        </w:rPr>
        <w:t xml:space="preserve">, </w:t>
      </w:r>
      <w:r w:rsidRPr="00B74A60">
        <w:rPr>
          <w:rFonts w:eastAsia="Calibri"/>
        </w:rPr>
        <w:t xml:space="preserve"> to</w:t>
      </w:r>
      <w:proofErr w:type="gramEnd"/>
      <w:r w:rsidRPr="00B74A60">
        <w:rPr>
          <w:rFonts w:eastAsia="Calibri"/>
        </w:rPr>
        <w:t xml:space="preserve"> require consumers to </w:t>
      </w:r>
      <w:r w:rsidR="008928C5">
        <w:rPr>
          <w:rFonts w:eastAsia="Calibri"/>
        </w:rPr>
        <w:t xml:space="preserve">directly </w:t>
      </w:r>
      <w:r w:rsidRPr="00B74A60">
        <w:rPr>
          <w:rFonts w:eastAsia="Calibri"/>
        </w:rPr>
        <w:t>fund therapeutic produc</w:t>
      </w:r>
      <w:r w:rsidR="00DD53D3">
        <w:rPr>
          <w:rFonts w:eastAsia="Calibri"/>
        </w:rPr>
        <w:t>t regulation.</w:t>
      </w:r>
    </w:p>
    <w:p w:rsidR="00B74A60" w:rsidRPr="00B74A60" w:rsidRDefault="00B74A60" w:rsidP="00E440A3">
      <w:pPr>
        <w:pStyle w:val="BodyText"/>
        <w:rPr>
          <w:rFonts w:eastAsia="Calibri"/>
        </w:rPr>
      </w:pPr>
      <w:r w:rsidRPr="00B74A60">
        <w:rPr>
          <w:rFonts w:eastAsia="Calibri"/>
        </w:rPr>
        <w:t xml:space="preserve">Key points to be considered </w:t>
      </w:r>
      <w:r w:rsidR="00241390">
        <w:rPr>
          <w:rFonts w:eastAsia="Calibri"/>
        </w:rPr>
        <w:t xml:space="preserve">going forward </w:t>
      </w:r>
      <w:r w:rsidRPr="00B74A60">
        <w:rPr>
          <w:rFonts w:eastAsia="Calibri"/>
        </w:rPr>
        <w:t>include:</w:t>
      </w:r>
    </w:p>
    <w:p w:rsidR="00B74A60" w:rsidRPr="00B74A60" w:rsidRDefault="00B74A60" w:rsidP="00E440A3">
      <w:pPr>
        <w:pStyle w:val="BodyText2"/>
        <w:rPr>
          <w:rFonts w:eastAsia="Calibri"/>
          <w:lang w:val="en-NZ" w:eastAsia="en-US"/>
        </w:rPr>
      </w:pPr>
      <w:r w:rsidRPr="00B74A60">
        <w:rPr>
          <w:rFonts w:eastAsia="Calibri"/>
          <w:lang w:val="en-NZ" w:eastAsia="en-US"/>
        </w:rPr>
        <w:t>the regulator’s expected total costs, and breakdown of costs across various activ</w:t>
      </w:r>
      <w:r w:rsidR="00DD53D3">
        <w:rPr>
          <w:rFonts w:eastAsia="Calibri"/>
          <w:lang w:val="en-NZ" w:eastAsia="en-US"/>
        </w:rPr>
        <w:t>ity types, under the new regime</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the</w:t>
      </w:r>
      <w:proofErr w:type="gramEnd"/>
      <w:r w:rsidRPr="00B74A60">
        <w:rPr>
          <w:rFonts w:eastAsia="Calibri"/>
          <w:lang w:val="en-NZ" w:eastAsia="en-US"/>
        </w:rPr>
        <w:t xml:space="preserve"> Government’s stance on industry funding versus Crown funding for enforcement activity (and if Crown funding, the level it wishes to fund).</w:t>
      </w:r>
    </w:p>
    <w:p w:rsidR="00E865C6" w:rsidRDefault="00B74A60" w:rsidP="00E440A3">
      <w:pPr>
        <w:pStyle w:val="BodyText"/>
        <w:rPr>
          <w:rFonts w:eastAsia="Calibri"/>
        </w:rPr>
      </w:pPr>
      <w:r w:rsidRPr="00B74A60">
        <w:rPr>
          <w:rFonts w:eastAsia="Calibri"/>
        </w:rPr>
        <w:t>These matters will be influenced by decisions on the various policy settings for the new regime to be considered in further reporting in early 2016.</w:t>
      </w:r>
      <w:r w:rsidR="00EA013C">
        <w:rPr>
          <w:rFonts w:eastAsia="Calibri"/>
        </w:rPr>
        <w:t xml:space="preserve">  </w:t>
      </w:r>
    </w:p>
    <w:p w:rsidR="00241390" w:rsidRDefault="00B74A60" w:rsidP="00E440A3">
      <w:pPr>
        <w:pStyle w:val="BodyText"/>
        <w:rPr>
          <w:rFonts w:eastAsia="Calibri"/>
        </w:rPr>
      </w:pPr>
      <w:r w:rsidRPr="00B74A60">
        <w:rPr>
          <w:rFonts w:eastAsia="Calibri"/>
        </w:rPr>
        <w:t>In general, however, the new Act should provide for the necessary fee</w:t>
      </w:r>
      <w:r w:rsidR="00241390">
        <w:rPr>
          <w:rFonts w:eastAsia="Calibri"/>
        </w:rPr>
        <w:t>s</w:t>
      </w:r>
      <w:r w:rsidRPr="00B74A60">
        <w:rPr>
          <w:rFonts w:eastAsia="Calibri"/>
        </w:rPr>
        <w:t xml:space="preserve"> and charges to be set.  </w:t>
      </w:r>
      <w:r w:rsidR="00241390">
        <w:rPr>
          <w:rFonts w:eastAsia="Calibri"/>
        </w:rPr>
        <w:t>Options include:</w:t>
      </w:r>
    </w:p>
    <w:p w:rsidR="00B74A60" w:rsidRPr="00241390" w:rsidRDefault="00241390" w:rsidP="00FD5200">
      <w:pPr>
        <w:pStyle w:val="BodyText2"/>
        <w:rPr>
          <w:rFonts w:eastAsia="Calibri"/>
          <w:lang w:val="en-NZ" w:eastAsia="en-US"/>
        </w:rPr>
      </w:pPr>
      <w:r w:rsidRPr="00241390">
        <w:rPr>
          <w:rFonts w:eastAsia="Calibri"/>
        </w:rPr>
        <w:t xml:space="preserve">The </w:t>
      </w:r>
      <w:r w:rsidR="00B74A60" w:rsidRPr="00241390">
        <w:rPr>
          <w:rFonts w:eastAsia="Calibri"/>
        </w:rPr>
        <w:t xml:space="preserve">approach adopted for the Natural Health Products Bill, and the Food Act 2014, </w:t>
      </w:r>
      <w:r w:rsidRPr="00241390">
        <w:rPr>
          <w:rFonts w:eastAsia="Calibri"/>
        </w:rPr>
        <w:t xml:space="preserve">whereby </w:t>
      </w:r>
      <w:r w:rsidR="00B74A60" w:rsidRPr="00241390">
        <w:rPr>
          <w:rFonts w:eastAsia="Calibri"/>
          <w:u w:val="single"/>
          <w:lang w:val="en-NZ" w:eastAsia="en-US"/>
        </w:rPr>
        <w:t xml:space="preserve">the regulator </w:t>
      </w:r>
      <w:r w:rsidRPr="00241390">
        <w:rPr>
          <w:rFonts w:eastAsia="Calibri"/>
          <w:u w:val="single"/>
          <w:lang w:val="en-NZ" w:eastAsia="en-US"/>
        </w:rPr>
        <w:t>is empowered</w:t>
      </w:r>
      <w:r>
        <w:rPr>
          <w:rFonts w:eastAsia="Calibri"/>
          <w:lang w:val="en-NZ" w:eastAsia="en-US"/>
        </w:rPr>
        <w:t xml:space="preserve"> to s</w:t>
      </w:r>
      <w:r w:rsidR="00B74A60" w:rsidRPr="00241390">
        <w:rPr>
          <w:rFonts w:eastAsia="Calibri"/>
          <w:lang w:val="en-NZ" w:eastAsia="en-US"/>
        </w:rPr>
        <w:t>et fees and charges</w:t>
      </w:r>
      <w:r>
        <w:rPr>
          <w:rFonts w:eastAsia="Calibri"/>
          <w:lang w:val="en-NZ" w:eastAsia="en-US"/>
        </w:rPr>
        <w:t xml:space="preserve"> (</w:t>
      </w:r>
      <w:proofErr w:type="spellStart"/>
      <w:r>
        <w:rPr>
          <w:rFonts w:eastAsia="Calibri"/>
          <w:lang w:val="en-NZ" w:eastAsia="en-US"/>
        </w:rPr>
        <w:t>eg</w:t>
      </w:r>
      <w:proofErr w:type="spellEnd"/>
      <w:r>
        <w:rPr>
          <w:rFonts w:eastAsia="Calibri"/>
          <w:lang w:val="en-NZ" w:eastAsia="en-US"/>
        </w:rPr>
        <w:t>, by notice in the Gazette).</w:t>
      </w:r>
    </w:p>
    <w:p w:rsidR="00B74A60" w:rsidRPr="00241390" w:rsidRDefault="00DD53D3" w:rsidP="00FD5200">
      <w:pPr>
        <w:pStyle w:val="BodyText2"/>
        <w:rPr>
          <w:rFonts w:eastAsia="Calibri"/>
        </w:rPr>
      </w:pPr>
      <w:r>
        <w:rPr>
          <w:rFonts w:eastAsia="Calibri"/>
          <w:u w:val="single"/>
          <w:lang w:val="en-NZ" w:eastAsia="en-US"/>
        </w:rPr>
        <w:t xml:space="preserve">Fees </w:t>
      </w:r>
      <w:r w:rsidR="00241390" w:rsidRPr="00241390">
        <w:rPr>
          <w:rFonts w:eastAsia="Calibri"/>
          <w:u w:val="single"/>
          <w:lang w:val="en-NZ" w:eastAsia="en-US"/>
        </w:rPr>
        <w:t>set in Regulations</w:t>
      </w:r>
      <w:r w:rsidR="00241390" w:rsidRPr="00241390">
        <w:rPr>
          <w:rFonts w:eastAsia="Calibri"/>
          <w:lang w:val="en-NZ" w:eastAsia="en-US"/>
        </w:rPr>
        <w:t xml:space="preserve">.  </w:t>
      </w:r>
      <w:r w:rsidR="00241390">
        <w:rPr>
          <w:rFonts w:eastAsia="Calibri"/>
          <w:lang w:val="en-NZ" w:eastAsia="en-US"/>
        </w:rPr>
        <w:t>G</w:t>
      </w:r>
      <w:r w:rsidR="00B87492" w:rsidRPr="00241390">
        <w:rPr>
          <w:rFonts w:eastAsia="Calibri"/>
        </w:rPr>
        <w:t xml:space="preserve">iven the magnitude of some fees, </w:t>
      </w:r>
      <w:r w:rsidR="00EA013C" w:rsidRPr="00241390">
        <w:rPr>
          <w:rFonts w:eastAsia="Calibri"/>
        </w:rPr>
        <w:t>and that fees will be influenced by how efficient the regula</w:t>
      </w:r>
      <w:r w:rsidR="00D60C65">
        <w:rPr>
          <w:rFonts w:eastAsia="Calibri"/>
        </w:rPr>
        <w:t>tor</w:t>
      </w:r>
      <w:r w:rsidR="00EA013C" w:rsidRPr="00241390">
        <w:rPr>
          <w:rFonts w:eastAsia="Calibri"/>
        </w:rPr>
        <w:t xml:space="preserve"> is in managing costs within budget (for which the regulator is accountable to the Minister for its performance)</w:t>
      </w:r>
      <w:r w:rsidR="000D2E18">
        <w:rPr>
          <w:rFonts w:eastAsia="Calibri"/>
        </w:rPr>
        <w:t>,</w:t>
      </w:r>
      <w:r w:rsidR="003C17CC" w:rsidRPr="00241390">
        <w:rPr>
          <w:rFonts w:eastAsia="Calibri"/>
        </w:rPr>
        <w:t xml:space="preserve"> </w:t>
      </w:r>
      <w:r w:rsidR="00241390">
        <w:rPr>
          <w:rFonts w:eastAsia="Calibri"/>
        </w:rPr>
        <w:t>this approach should be preferred.</w:t>
      </w:r>
    </w:p>
    <w:p w:rsidR="003C17CC" w:rsidRDefault="003C17CC" w:rsidP="00B74A60">
      <w:pPr>
        <w:spacing w:after="0" w:line="240" w:lineRule="auto"/>
        <w:rPr>
          <w:rFonts w:eastAsia="Calibri" w:cs="Arial"/>
          <w:szCs w:val="22"/>
          <w:lang w:val="en-NZ" w:eastAsia="en-US"/>
        </w:rPr>
      </w:pPr>
    </w:p>
    <w:p w:rsidR="000D0456" w:rsidRDefault="000D0456" w:rsidP="00B74A60">
      <w:pPr>
        <w:spacing w:after="0" w:line="240" w:lineRule="auto"/>
        <w:rPr>
          <w:rFonts w:eastAsia="Calibri" w:cs="Arial"/>
          <w:szCs w:val="22"/>
          <w:lang w:val="en-NZ" w:eastAsia="en-US"/>
        </w:rPr>
      </w:pPr>
    </w:p>
    <w:p w:rsidR="000D0456" w:rsidRDefault="000D0456" w:rsidP="00B74A60">
      <w:pPr>
        <w:spacing w:after="0" w:line="240" w:lineRule="auto"/>
        <w:rPr>
          <w:rFonts w:eastAsia="Calibri" w:cs="Arial"/>
          <w:szCs w:val="22"/>
          <w:lang w:val="en-NZ" w:eastAsia="en-US"/>
        </w:rPr>
      </w:pPr>
    </w:p>
    <w:p w:rsidR="000D0456" w:rsidRDefault="000D0456" w:rsidP="00B74A60">
      <w:pPr>
        <w:spacing w:after="0" w:line="240" w:lineRule="auto"/>
        <w:rPr>
          <w:rFonts w:eastAsia="Calibri" w:cs="Arial"/>
          <w:szCs w:val="22"/>
          <w:lang w:val="en-NZ" w:eastAsia="en-US"/>
        </w:rPr>
      </w:pPr>
    </w:p>
    <w:p w:rsidR="000D0456" w:rsidRDefault="000D0456" w:rsidP="00B74A60">
      <w:pPr>
        <w:spacing w:after="0" w:line="240" w:lineRule="auto"/>
        <w:rPr>
          <w:rFonts w:eastAsia="Calibri" w:cs="Arial"/>
          <w:szCs w:val="22"/>
          <w:lang w:val="en-NZ" w:eastAsia="en-US"/>
        </w:rPr>
      </w:pPr>
    </w:p>
    <w:p w:rsidR="000D0456" w:rsidRDefault="000D0456" w:rsidP="00B74A60">
      <w:pPr>
        <w:spacing w:after="0" w:line="240" w:lineRule="auto"/>
        <w:rPr>
          <w:rFonts w:eastAsia="Calibri" w:cs="Arial"/>
          <w:szCs w:val="22"/>
          <w:lang w:val="en-NZ" w:eastAsia="en-US"/>
        </w:rPr>
      </w:pPr>
    </w:p>
    <w:p w:rsidR="000D0456" w:rsidRDefault="000D0456" w:rsidP="00B74A60">
      <w:pPr>
        <w:spacing w:after="0" w:line="240" w:lineRule="auto"/>
        <w:rPr>
          <w:rFonts w:eastAsia="Calibri" w:cs="Arial"/>
          <w:szCs w:val="22"/>
          <w:lang w:val="en-N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693"/>
        <w:gridCol w:w="4372"/>
      </w:tblGrid>
      <w:tr w:rsidR="00B74A60" w:rsidRPr="003A3E2B" w:rsidTr="00747CD2">
        <w:trPr>
          <w:tblHeader/>
        </w:trPr>
        <w:tc>
          <w:tcPr>
            <w:tcW w:w="9016" w:type="dxa"/>
            <w:gridSpan w:val="3"/>
            <w:shd w:val="clear" w:color="auto" w:fill="DEEAF6"/>
          </w:tcPr>
          <w:p w:rsidR="00B74A60" w:rsidRPr="003A3E2B" w:rsidRDefault="00B74A60" w:rsidP="003A3E2B">
            <w:pPr>
              <w:spacing w:after="0" w:line="240" w:lineRule="auto"/>
              <w:rPr>
                <w:rFonts w:eastAsia="Calibri" w:cs="Arial"/>
                <w:b/>
                <w:szCs w:val="22"/>
                <w:lang w:val="en-NZ" w:eastAsia="en-US"/>
              </w:rPr>
            </w:pPr>
            <w:r w:rsidRPr="003A3E2B">
              <w:rPr>
                <w:rFonts w:eastAsia="Calibri" w:cs="Arial"/>
                <w:b/>
                <w:szCs w:val="22"/>
                <w:lang w:val="en-NZ" w:eastAsia="en-US"/>
              </w:rPr>
              <w:t>Cost recovery: options and impacts</w:t>
            </w:r>
          </w:p>
          <w:p w:rsidR="00B74A60" w:rsidRPr="003A3E2B" w:rsidRDefault="00B74A60" w:rsidP="003A3E2B">
            <w:pPr>
              <w:spacing w:after="0" w:line="240" w:lineRule="auto"/>
              <w:rPr>
                <w:rFonts w:eastAsia="Calibri" w:cs="Arial"/>
                <w:szCs w:val="22"/>
                <w:lang w:val="en-NZ" w:eastAsia="en-US"/>
              </w:rPr>
            </w:pPr>
          </w:p>
        </w:tc>
      </w:tr>
      <w:tr w:rsidR="00E62B0D" w:rsidRPr="003A3E2B" w:rsidTr="00747CD2">
        <w:trPr>
          <w:tblHeader/>
        </w:trPr>
        <w:tc>
          <w:tcPr>
            <w:tcW w:w="1951" w:type="dxa"/>
            <w:shd w:val="clear" w:color="auto" w:fill="DEEAF6"/>
          </w:tcPr>
          <w:p w:rsidR="00E62B0D" w:rsidRPr="003A3E2B" w:rsidRDefault="00E62B0D" w:rsidP="003A3E2B">
            <w:pPr>
              <w:spacing w:after="0" w:line="240" w:lineRule="auto"/>
              <w:jc w:val="center"/>
              <w:rPr>
                <w:rFonts w:eastAsia="Calibri" w:cs="Arial"/>
                <w:i/>
                <w:szCs w:val="22"/>
                <w:lang w:val="en-NZ" w:eastAsia="en-US"/>
              </w:rPr>
            </w:pPr>
            <w:r w:rsidRPr="003A3E2B">
              <w:rPr>
                <w:rFonts w:eastAsia="Calibri" w:cs="Arial"/>
                <w:i/>
                <w:szCs w:val="22"/>
                <w:lang w:val="en-NZ" w:eastAsia="en-US"/>
              </w:rPr>
              <w:t>Options</w:t>
            </w:r>
          </w:p>
          <w:p w:rsidR="00E62B0D" w:rsidRPr="003A3E2B" w:rsidRDefault="00E62B0D" w:rsidP="003A3E2B">
            <w:pPr>
              <w:spacing w:after="0" w:line="240" w:lineRule="auto"/>
              <w:jc w:val="center"/>
              <w:rPr>
                <w:rFonts w:eastAsia="Calibri" w:cs="Arial"/>
                <w:i/>
                <w:szCs w:val="22"/>
                <w:lang w:val="en-NZ" w:eastAsia="en-US"/>
              </w:rPr>
            </w:pPr>
          </w:p>
        </w:tc>
        <w:tc>
          <w:tcPr>
            <w:tcW w:w="2693" w:type="dxa"/>
            <w:shd w:val="clear" w:color="auto" w:fill="DEEAF6"/>
          </w:tcPr>
          <w:p w:rsidR="00E62B0D" w:rsidRPr="003A3E2B" w:rsidRDefault="00E62B0D" w:rsidP="003A3E2B">
            <w:pPr>
              <w:spacing w:after="0" w:line="240" w:lineRule="auto"/>
              <w:jc w:val="center"/>
              <w:rPr>
                <w:rFonts w:eastAsia="Calibri" w:cs="Arial"/>
                <w:i/>
                <w:szCs w:val="22"/>
                <w:lang w:val="en-NZ" w:eastAsia="en-US"/>
              </w:rPr>
            </w:pPr>
            <w:r>
              <w:rPr>
                <w:rFonts w:eastAsia="Calibri" w:cs="Arial"/>
                <w:i/>
                <w:szCs w:val="22"/>
                <w:lang w:val="en-NZ" w:eastAsia="en-US"/>
              </w:rPr>
              <w:t>Description</w:t>
            </w:r>
          </w:p>
        </w:tc>
        <w:tc>
          <w:tcPr>
            <w:tcW w:w="4372" w:type="dxa"/>
            <w:shd w:val="clear" w:color="auto" w:fill="DEEAF6"/>
          </w:tcPr>
          <w:p w:rsidR="00E62B0D" w:rsidRPr="003A3E2B" w:rsidRDefault="00E62B0D" w:rsidP="003A3E2B">
            <w:pPr>
              <w:spacing w:after="0" w:line="240" w:lineRule="auto"/>
              <w:jc w:val="center"/>
              <w:rPr>
                <w:rFonts w:eastAsia="Calibri" w:cs="Arial"/>
                <w:i/>
                <w:szCs w:val="22"/>
                <w:lang w:val="en-NZ" w:eastAsia="en-US"/>
              </w:rPr>
            </w:pPr>
            <w:r>
              <w:rPr>
                <w:rFonts w:eastAsia="Calibri" w:cs="Arial"/>
                <w:i/>
                <w:szCs w:val="22"/>
                <w:lang w:val="en-NZ" w:eastAsia="en-US"/>
              </w:rPr>
              <w:t>Impacts</w:t>
            </w:r>
          </w:p>
        </w:tc>
      </w:tr>
      <w:tr w:rsidR="00E14AFB" w:rsidRPr="003A3E2B" w:rsidTr="00E42402">
        <w:tc>
          <w:tcPr>
            <w:tcW w:w="9016" w:type="dxa"/>
            <w:gridSpan w:val="3"/>
            <w:shd w:val="clear" w:color="auto" w:fill="auto"/>
          </w:tcPr>
          <w:p w:rsidR="00E14AFB" w:rsidRPr="003A3E2B" w:rsidRDefault="00E14AFB" w:rsidP="00E14AF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The development of options and any proposals for change </w:t>
            </w:r>
            <w:r w:rsidR="00B87492">
              <w:rPr>
                <w:rFonts w:eastAsia="Calibri" w:cs="Arial"/>
                <w:sz w:val="20"/>
                <w:szCs w:val="22"/>
                <w:lang w:val="en-NZ" w:eastAsia="en-US"/>
              </w:rPr>
              <w:t xml:space="preserve">will affect the financial implications and </w:t>
            </w:r>
            <w:r w:rsidRPr="003A3E2B">
              <w:rPr>
                <w:rFonts w:eastAsia="Calibri" w:cs="Arial"/>
                <w:sz w:val="20"/>
                <w:szCs w:val="22"/>
                <w:lang w:val="en-NZ" w:eastAsia="en-US"/>
              </w:rPr>
              <w:t>wi</w:t>
            </w:r>
            <w:r w:rsidR="007221AC">
              <w:rPr>
                <w:rFonts w:eastAsia="Calibri" w:cs="Arial"/>
                <w:sz w:val="20"/>
                <w:szCs w:val="22"/>
                <w:lang w:val="en-NZ" w:eastAsia="en-US"/>
              </w:rPr>
              <w:t xml:space="preserve">ll be part of advice </w:t>
            </w:r>
            <w:r w:rsidRPr="003A3E2B">
              <w:rPr>
                <w:rFonts w:eastAsia="Calibri" w:cs="Arial"/>
                <w:sz w:val="20"/>
                <w:szCs w:val="22"/>
                <w:lang w:val="en-NZ" w:eastAsia="en-US"/>
              </w:rPr>
              <w:t>in early 2016.  The options set out below illustrate alternative</w:t>
            </w:r>
            <w:r w:rsidR="00241390">
              <w:rPr>
                <w:rFonts w:eastAsia="Calibri" w:cs="Arial"/>
                <w:sz w:val="20"/>
                <w:szCs w:val="22"/>
                <w:lang w:val="en-NZ" w:eastAsia="en-US"/>
              </w:rPr>
              <w:t xml:space="preserve"> approaches to cost-recovery (ie, assuming the new Act permits fees and levies to be set by Regulations)</w:t>
            </w:r>
            <w:r w:rsidRPr="003A3E2B">
              <w:rPr>
                <w:rFonts w:eastAsia="Calibri" w:cs="Arial"/>
                <w:sz w:val="20"/>
                <w:szCs w:val="22"/>
                <w:lang w:val="en-NZ" w:eastAsia="en-US"/>
              </w:rPr>
              <w:t>.</w:t>
            </w:r>
          </w:p>
          <w:p w:rsidR="00E14AFB" w:rsidRPr="00E14AFB" w:rsidRDefault="00E14AFB" w:rsidP="00E14AFB">
            <w:pPr>
              <w:spacing w:after="0" w:line="240" w:lineRule="auto"/>
              <w:rPr>
                <w:rFonts w:eastAsia="Calibri" w:cs="Arial"/>
                <w:szCs w:val="22"/>
                <w:lang w:val="en-NZ" w:eastAsia="en-US"/>
              </w:rPr>
            </w:pPr>
          </w:p>
        </w:tc>
      </w:tr>
      <w:tr w:rsidR="00E62B0D" w:rsidRPr="003A3E2B" w:rsidTr="00471AA4">
        <w:tc>
          <w:tcPr>
            <w:tcW w:w="1951" w:type="dxa"/>
            <w:shd w:val="clear" w:color="auto" w:fill="auto"/>
          </w:tcPr>
          <w:p w:rsidR="00E62B0D" w:rsidRDefault="00E62B0D" w:rsidP="003A3E2B">
            <w:pPr>
              <w:spacing w:after="0" w:line="240" w:lineRule="auto"/>
              <w:rPr>
                <w:rFonts w:eastAsia="Calibri" w:cs="Arial"/>
                <w:sz w:val="20"/>
                <w:szCs w:val="22"/>
                <w:lang w:val="en-NZ" w:eastAsia="en-US"/>
              </w:rPr>
            </w:pPr>
            <w:r w:rsidRPr="00C02E5E">
              <w:rPr>
                <w:rFonts w:eastAsia="Calibri" w:cs="Arial"/>
                <w:sz w:val="20"/>
                <w:szCs w:val="22"/>
                <w:lang w:val="en-NZ" w:eastAsia="en-US"/>
              </w:rPr>
              <w:t>Status quo</w:t>
            </w:r>
            <w:r>
              <w:rPr>
                <w:rFonts w:eastAsia="Calibri" w:cs="Arial"/>
                <w:sz w:val="20"/>
                <w:szCs w:val="22"/>
                <w:lang w:val="en-NZ" w:eastAsia="en-US"/>
              </w:rPr>
              <w:t xml:space="preserve"> – </w:t>
            </w:r>
          </w:p>
          <w:p w:rsidR="00E62B0D" w:rsidRDefault="00E62B0D" w:rsidP="003A3E2B">
            <w:pPr>
              <w:spacing w:after="0" w:line="240" w:lineRule="auto"/>
              <w:rPr>
                <w:rFonts w:eastAsia="Calibri" w:cs="Arial"/>
                <w:sz w:val="20"/>
                <w:szCs w:val="22"/>
                <w:lang w:val="en-NZ" w:eastAsia="en-US"/>
              </w:rPr>
            </w:pPr>
          </w:p>
          <w:p w:rsidR="00E62B0D" w:rsidRPr="00C02E5E" w:rsidRDefault="00E62B0D" w:rsidP="003A3E2B">
            <w:pPr>
              <w:spacing w:after="0" w:line="240" w:lineRule="auto"/>
              <w:rPr>
                <w:rFonts w:eastAsia="Calibri" w:cs="Arial"/>
                <w:sz w:val="20"/>
                <w:szCs w:val="22"/>
                <w:lang w:val="en-NZ" w:eastAsia="en-US"/>
              </w:rPr>
            </w:pPr>
            <w:r>
              <w:rPr>
                <w:rFonts w:eastAsia="Calibri" w:cs="Arial"/>
                <w:sz w:val="20"/>
                <w:szCs w:val="22"/>
                <w:lang w:val="en-NZ" w:eastAsia="en-US"/>
              </w:rPr>
              <w:t>Mixed model (currently 90% cost-recovery from industry)</w:t>
            </w:r>
          </w:p>
          <w:p w:rsidR="00E62B0D" w:rsidRPr="00C02E5E" w:rsidRDefault="00E62B0D" w:rsidP="003A3E2B">
            <w:pPr>
              <w:spacing w:after="0" w:line="240" w:lineRule="auto"/>
              <w:rPr>
                <w:rFonts w:eastAsia="Calibri" w:cs="Arial"/>
                <w:sz w:val="20"/>
                <w:szCs w:val="22"/>
                <w:lang w:val="en-NZ" w:eastAsia="en-US"/>
              </w:rPr>
            </w:pPr>
          </w:p>
          <w:p w:rsidR="00E62B0D" w:rsidRPr="00C02E5E" w:rsidRDefault="00E62B0D" w:rsidP="003A3E2B">
            <w:pPr>
              <w:spacing w:after="0" w:line="240" w:lineRule="auto"/>
              <w:rPr>
                <w:rFonts w:eastAsia="Calibri" w:cs="Arial"/>
                <w:sz w:val="20"/>
                <w:szCs w:val="22"/>
                <w:lang w:val="en-NZ" w:eastAsia="en-US"/>
              </w:rPr>
            </w:pPr>
          </w:p>
        </w:tc>
        <w:tc>
          <w:tcPr>
            <w:tcW w:w="2693" w:type="dxa"/>
            <w:shd w:val="clear" w:color="auto" w:fill="auto"/>
          </w:tcPr>
          <w:p w:rsidR="00E62B0D" w:rsidRDefault="00E62B0D"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Under the status quo, the regulator would continue to recover the bulk of its costs from industry, and be funded by the Crown for the balance.  </w:t>
            </w:r>
          </w:p>
          <w:p w:rsidR="00E62B0D" w:rsidRDefault="00E62B0D" w:rsidP="00471AA4">
            <w:pPr>
              <w:spacing w:after="0" w:line="240" w:lineRule="auto"/>
              <w:rPr>
                <w:rFonts w:eastAsia="Calibri" w:cs="Arial"/>
                <w:sz w:val="20"/>
                <w:szCs w:val="22"/>
                <w:lang w:val="en-NZ" w:eastAsia="en-US"/>
              </w:rPr>
            </w:pPr>
          </w:p>
          <w:p w:rsidR="00E62B0D" w:rsidRDefault="00E62B0D"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There would be no industry levy.</w:t>
            </w:r>
          </w:p>
          <w:p w:rsidR="00E62B0D" w:rsidRDefault="00E62B0D" w:rsidP="00471AA4">
            <w:pPr>
              <w:spacing w:after="0" w:line="240" w:lineRule="auto"/>
              <w:rPr>
                <w:rFonts w:eastAsia="Calibri" w:cs="Arial"/>
                <w:sz w:val="20"/>
                <w:szCs w:val="22"/>
                <w:lang w:val="en-NZ" w:eastAsia="en-US"/>
              </w:rPr>
            </w:pPr>
          </w:p>
          <w:p w:rsidR="00E62B0D" w:rsidRDefault="00E62B0D" w:rsidP="00E62B0D">
            <w:pPr>
              <w:spacing w:after="0" w:line="240" w:lineRule="auto"/>
              <w:rPr>
                <w:rFonts w:eastAsia="Calibri" w:cs="Arial"/>
                <w:sz w:val="20"/>
                <w:szCs w:val="22"/>
                <w:lang w:val="en-NZ" w:eastAsia="en-US"/>
              </w:rPr>
            </w:pPr>
          </w:p>
        </w:tc>
        <w:tc>
          <w:tcPr>
            <w:tcW w:w="4372" w:type="dxa"/>
            <w:shd w:val="clear" w:color="auto" w:fill="auto"/>
          </w:tcPr>
          <w:p w:rsidR="00DB2870" w:rsidRDefault="00DB2870" w:rsidP="00B66942">
            <w:pPr>
              <w:numPr>
                <w:ilvl w:val="0"/>
                <w:numId w:val="48"/>
              </w:numPr>
              <w:spacing w:after="0" w:line="240" w:lineRule="auto"/>
              <w:ind w:left="360"/>
              <w:rPr>
                <w:rFonts w:eastAsia="Calibri"/>
                <w:sz w:val="20"/>
                <w:lang w:val="en-NZ" w:eastAsia="en-US"/>
              </w:rPr>
            </w:pPr>
            <w:r w:rsidRPr="00DB2870">
              <w:rPr>
                <w:rFonts w:eastAsia="Calibri" w:cs="Arial"/>
                <w:sz w:val="20"/>
                <w:lang w:val="en-NZ" w:eastAsia="en-US"/>
              </w:rPr>
              <w:t>C</w:t>
            </w:r>
            <w:r w:rsidRPr="00DB2870">
              <w:rPr>
                <w:rFonts w:eastAsia="Calibri"/>
                <w:sz w:val="20"/>
                <w:lang w:val="en-NZ" w:eastAsia="en-US"/>
              </w:rPr>
              <w:t xml:space="preserve">osts </w:t>
            </w:r>
            <w:r>
              <w:rPr>
                <w:rFonts w:eastAsia="Calibri"/>
                <w:sz w:val="20"/>
                <w:lang w:val="en-NZ" w:eastAsia="en-US"/>
              </w:rPr>
              <w:t>would continue to be r</w:t>
            </w:r>
            <w:r w:rsidRPr="00DB2870">
              <w:rPr>
                <w:rFonts w:eastAsia="Calibri"/>
                <w:sz w:val="20"/>
                <w:lang w:val="en-NZ" w:eastAsia="en-US"/>
              </w:rPr>
              <w:t>ecovered</w:t>
            </w:r>
            <w:r>
              <w:rPr>
                <w:rFonts w:eastAsia="Calibri"/>
                <w:sz w:val="20"/>
                <w:lang w:val="en-NZ" w:eastAsia="en-US"/>
              </w:rPr>
              <w:t xml:space="preserve"> on the basis </w:t>
            </w:r>
            <w:r w:rsidR="00434658">
              <w:rPr>
                <w:rFonts w:eastAsia="Calibri"/>
                <w:sz w:val="20"/>
                <w:lang w:val="en-NZ" w:eastAsia="en-US"/>
              </w:rPr>
              <w:t xml:space="preserve">of a </w:t>
            </w:r>
            <w:r>
              <w:rPr>
                <w:rFonts w:eastAsia="Calibri"/>
                <w:sz w:val="20"/>
                <w:lang w:val="en-NZ" w:eastAsia="en-US"/>
              </w:rPr>
              <w:t xml:space="preserve">90/10 </w:t>
            </w:r>
            <w:r w:rsidR="00434658">
              <w:rPr>
                <w:rFonts w:eastAsia="Calibri"/>
                <w:sz w:val="20"/>
                <w:lang w:val="en-NZ" w:eastAsia="en-US"/>
              </w:rPr>
              <w:t xml:space="preserve">split </w:t>
            </w:r>
            <w:r>
              <w:rPr>
                <w:rFonts w:eastAsia="Calibri"/>
                <w:sz w:val="20"/>
                <w:lang w:val="en-NZ" w:eastAsia="en-US"/>
              </w:rPr>
              <w:t>as between industry and the Crown.</w:t>
            </w:r>
          </w:p>
          <w:p w:rsidR="00DB2870" w:rsidRDefault="00DB2870" w:rsidP="00434658">
            <w:pPr>
              <w:spacing w:after="0" w:line="240" w:lineRule="auto"/>
              <w:rPr>
                <w:rFonts w:eastAsia="Calibri"/>
                <w:sz w:val="20"/>
                <w:lang w:val="en-NZ" w:eastAsia="en-US"/>
              </w:rPr>
            </w:pPr>
          </w:p>
          <w:p w:rsidR="00E62B0D" w:rsidRDefault="00DB2870" w:rsidP="00B66942">
            <w:pPr>
              <w:numPr>
                <w:ilvl w:val="0"/>
                <w:numId w:val="48"/>
              </w:numPr>
              <w:spacing w:after="0" w:line="240" w:lineRule="auto"/>
              <w:ind w:left="360"/>
              <w:rPr>
                <w:rFonts w:eastAsia="Calibri"/>
                <w:sz w:val="20"/>
                <w:lang w:val="en-NZ" w:eastAsia="en-US"/>
              </w:rPr>
            </w:pPr>
            <w:r>
              <w:rPr>
                <w:rFonts w:eastAsia="Calibri"/>
                <w:sz w:val="20"/>
                <w:lang w:val="en-NZ" w:eastAsia="en-US"/>
              </w:rPr>
              <w:t>This split would not reflect a p</w:t>
            </w:r>
            <w:r w:rsidRPr="00DB2870">
              <w:rPr>
                <w:rFonts w:eastAsia="Calibri"/>
                <w:sz w:val="20"/>
                <w:lang w:val="en-NZ" w:eastAsia="en-US"/>
              </w:rPr>
              <w:t>recise</w:t>
            </w:r>
            <w:r w:rsidR="00434658">
              <w:rPr>
                <w:rFonts w:eastAsia="Calibri"/>
                <w:sz w:val="20"/>
                <w:lang w:val="en-NZ" w:eastAsia="en-US"/>
              </w:rPr>
              <w:t>,</w:t>
            </w:r>
            <w:r>
              <w:rPr>
                <w:rFonts w:eastAsia="Calibri"/>
                <w:sz w:val="20"/>
                <w:lang w:val="en-NZ" w:eastAsia="en-US"/>
              </w:rPr>
              <w:t xml:space="preserve"> principled assessment of the appropriate share based on the types of regulatory </w:t>
            </w:r>
            <w:r w:rsidR="00434658">
              <w:rPr>
                <w:rFonts w:eastAsia="Calibri"/>
                <w:sz w:val="20"/>
                <w:lang w:val="en-NZ" w:eastAsia="en-US"/>
              </w:rPr>
              <w:t>goods involved (</w:t>
            </w:r>
            <w:r w:rsidRPr="00DB2870">
              <w:rPr>
                <w:rFonts w:eastAsia="Calibri"/>
                <w:sz w:val="20"/>
                <w:lang w:val="en-NZ" w:eastAsia="en-US"/>
              </w:rPr>
              <w:t>public/private/industry</w:t>
            </w:r>
            <w:r w:rsidR="00434658">
              <w:rPr>
                <w:rFonts w:eastAsia="Calibri"/>
                <w:sz w:val="20"/>
                <w:lang w:val="en-NZ" w:eastAsia="en-US"/>
              </w:rPr>
              <w:t>).</w:t>
            </w:r>
          </w:p>
          <w:p w:rsidR="00DB2870" w:rsidRDefault="00DB2870" w:rsidP="00DB2870">
            <w:pPr>
              <w:spacing w:after="0" w:line="240" w:lineRule="auto"/>
              <w:rPr>
                <w:rFonts w:eastAsia="Calibri"/>
                <w:sz w:val="20"/>
                <w:lang w:val="en-NZ" w:eastAsia="en-US"/>
              </w:rPr>
            </w:pPr>
          </w:p>
          <w:p w:rsidR="00DB2870" w:rsidRDefault="00DB2870" w:rsidP="00B66942">
            <w:pPr>
              <w:numPr>
                <w:ilvl w:val="0"/>
                <w:numId w:val="38"/>
              </w:numPr>
              <w:spacing w:after="0" w:line="240" w:lineRule="auto"/>
              <w:rPr>
                <w:rFonts w:eastAsia="Calibri" w:cs="Arial"/>
                <w:sz w:val="20"/>
                <w:szCs w:val="22"/>
                <w:lang w:val="en-NZ" w:eastAsia="en-US"/>
              </w:rPr>
            </w:pPr>
            <w:r>
              <w:rPr>
                <w:rFonts w:eastAsia="Calibri" w:cs="Arial"/>
                <w:sz w:val="20"/>
                <w:szCs w:val="22"/>
                <w:lang w:val="en-NZ" w:eastAsia="en-US"/>
              </w:rPr>
              <w:t xml:space="preserve">A version of the mixed model may be the most practicable in the medium term.  </w:t>
            </w:r>
          </w:p>
          <w:p w:rsidR="00DB2870" w:rsidRPr="00DB2870" w:rsidRDefault="00DB2870" w:rsidP="00DB2870">
            <w:pPr>
              <w:spacing w:after="0" w:line="240" w:lineRule="auto"/>
              <w:rPr>
                <w:rFonts w:eastAsia="Calibri" w:cs="Arial"/>
                <w:sz w:val="20"/>
                <w:lang w:val="en-NZ" w:eastAsia="en-US"/>
              </w:rPr>
            </w:pPr>
          </w:p>
        </w:tc>
      </w:tr>
      <w:tr w:rsidR="00E62B0D" w:rsidRPr="003A3E2B" w:rsidTr="00471AA4">
        <w:tc>
          <w:tcPr>
            <w:tcW w:w="1951" w:type="dxa"/>
            <w:shd w:val="clear" w:color="auto" w:fill="auto"/>
          </w:tcPr>
          <w:p w:rsidR="00E62B0D" w:rsidRDefault="00E62B0D" w:rsidP="003A3E2B">
            <w:pPr>
              <w:spacing w:after="0" w:line="240" w:lineRule="auto"/>
              <w:rPr>
                <w:rFonts w:eastAsia="Calibri" w:cs="Arial"/>
                <w:sz w:val="20"/>
                <w:szCs w:val="22"/>
                <w:lang w:val="en-NZ" w:eastAsia="en-US"/>
              </w:rPr>
            </w:pPr>
            <w:r w:rsidRPr="00C02E5E">
              <w:rPr>
                <w:rFonts w:eastAsia="Calibri" w:cs="Arial"/>
                <w:sz w:val="20"/>
                <w:szCs w:val="22"/>
                <w:lang w:val="en-NZ" w:eastAsia="en-US"/>
              </w:rPr>
              <w:t xml:space="preserve">Option 1 – </w:t>
            </w:r>
          </w:p>
          <w:p w:rsidR="00E62B0D" w:rsidRDefault="00E62B0D" w:rsidP="003A3E2B">
            <w:pPr>
              <w:spacing w:after="0" w:line="240" w:lineRule="auto"/>
              <w:rPr>
                <w:rFonts w:eastAsia="Calibri" w:cs="Arial"/>
                <w:sz w:val="20"/>
                <w:szCs w:val="22"/>
                <w:lang w:val="en-NZ" w:eastAsia="en-US"/>
              </w:rPr>
            </w:pPr>
          </w:p>
          <w:p w:rsidR="00E62B0D" w:rsidRPr="00C02E5E" w:rsidRDefault="00E62B0D" w:rsidP="003A3E2B">
            <w:pPr>
              <w:spacing w:after="0" w:line="240" w:lineRule="auto"/>
              <w:rPr>
                <w:rFonts w:eastAsia="Calibri" w:cs="Arial"/>
                <w:sz w:val="20"/>
                <w:szCs w:val="22"/>
                <w:lang w:val="en-NZ" w:eastAsia="en-US"/>
              </w:rPr>
            </w:pPr>
            <w:r w:rsidRPr="00C02E5E">
              <w:rPr>
                <w:rFonts w:eastAsia="Calibri" w:cs="Arial"/>
                <w:sz w:val="20"/>
                <w:szCs w:val="22"/>
                <w:lang w:val="en-NZ" w:eastAsia="en-US"/>
              </w:rPr>
              <w:t xml:space="preserve">Recover all costs from industry except </w:t>
            </w:r>
            <w:r>
              <w:rPr>
                <w:rFonts w:eastAsia="Calibri" w:cs="Arial"/>
                <w:sz w:val="20"/>
                <w:szCs w:val="22"/>
                <w:lang w:val="en-NZ" w:eastAsia="en-US"/>
              </w:rPr>
              <w:t>defined public good activities</w:t>
            </w:r>
          </w:p>
          <w:p w:rsidR="00E62B0D" w:rsidRPr="00C02E5E" w:rsidRDefault="00E62B0D" w:rsidP="003A3E2B">
            <w:pPr>
              <w:spacing w:after="0" w:line="240" w:lineRule="auto"/>
              <w:rPr>
                <w:rFonts w:eastAsia="Calibri" w:cs="Arial"/>
                <w:sz w:val="20"/>
                <w:szCs w:val="22"/>
                <w:lang w:val="en-NZ" w:eastAsia="en-US"/>
              </w:rPr>
            </w:pPr>
          </w:p>
        </w:tc>
        <w:tc>
          <w:tcPr>
            <w:tcW w:w="2693" w:type="dxa"/>
            <w:shd w:val="clear" w:color="auto" w:fill="auto"/>
          </w:tcPr>
          <w:p w:rsidR="00DB744A" w:rsidRDefault="00DB744A" w:rsidP="00DB744A">
            <w:pPr>
              <w:spacing w:after="0" w:line="240" w:lineRule="auto"/>
              <w:rPr>
                <w:rFonts w:eastAsia="Calibri" w:cs="Arial"/>
                <w:sz w:val="20"/>
                <w:szCs w:val="22"/>
                <w:lang w:val="en-NZ" w:eastAsia="en-US"/>
              </w:rPr>
            </w:pPr>
            <w:r>
              <w:rPr>
                <w:rFonts w:eastAsia="Calibri" w:cs="Arial"/>
                <w:sz w:val="20"/>
                <w:szCs w:val="22"/>
                <w:lang w:val="en-NZ" w:eastAsia="en-US"/>
              </w:rPr>
              <w:t>Fees for private goods; levy for club goods.</w:t>
            </w:r>
          </w:p>
          <w:p w:rsidR="00DB744A" w:rsidRDefault="00DB744A" w:rsidP="00471AA4">
            <w:pPr>
              <w:spacing w:after="0" w:line="240" w:lineRule="auto"/>
              <w:rPr>
                <w:rFonts w:eastAsia="Calibri" w:cs="Arial"/>
                <w:sz w:val="20"/>
                <w:szCs w:val="22"/>
                <w:lang w:val="en-NZ" w:eastAsia="en-US"/>
              </w:rPr>
            </w:pPr>
          </w:p>
          <w:p w:rsidR="00E62B0D" w:rsidRDefault="00E62B0D" w:rsidP="00471AA4">
            <w:pPr>
              <w:spacing w:after="0" w:line="240" w:lineRule="auto"/>
              <w:rPr>
                <w:rFonts w:eastAsia="Calibri" w:cs="Arial"/>
                <w:sz w:val="20"/>
                <w:szCs w:val="22"/>
                <w:lang w:val="en-NZ" w:eastAsia="en-US"/>
              </w:rPr>
            </w:pPr>
            <w:r>
              <w:rPr>
                <w:rFonts w:eastAsia="Calibri" w:cs="Arial"/>
                <w:sz w:val="20"/>
                <w:szCs w:val="22"/>
                <w:lang w:val="en-NZ" w:eastAsia="en-US"/>
              </w:rPr>
              <w:t xml:space="preserve">Public good activities might be defined as </w:t>
            </w:r>
            <w:r w:rsidR="00DB744A">
              <w:rPr>
                <w:rFonts w:eastAsia="Calibri" w:cs="Arial"/>
                <w:sz w:val="20"/>
                <w:szCs w:val="22"/>
                <w:lang w:val="en-NZ" w:eastAsia="en-US"/>
              </w:rPr>
              <w:t xml:space="preserve">certain kinds of </w:t>
            </w:r>
            <w:r w:rsidRPr="003A3E2B">
              <w:rPr>
                <w:rFonts w:eastAsia="Calibri" w:cs="Arial"/>
                <w:sz w:val="20"/>
                <w:szCs w:val="22"/>
                <w:lang w:val="en-NZ" w:eastAsia="en-US"/>
              </w:rPr>
              <w:t xml:space="preserve">policy-related </w:t>
            </w:r>
            <w:r w:rsidR="00DB744A">
              <w:rPr>
                <w:rFonts w:eastAsia="Calibri" w:cs="Arial"/>
                <w:sz w:val="20"/>
                <w:szCs w:val="22"/>
                <w:lang w:val="en-NZ" w:eastAsia="en-US"/>
              </w:rPr>
              <w:t>activities</w:t>
            </w:r>
            <w:r>
              <w:rPr>
                <w:rFonts w:eastAsia="Calibri" w:cs="Arial"/>
                <w:sz w:val="20"/>
                <w:szCs w:val="22"/>
                <w:lang w:val="en-NZ" w:eastAsia="en-US"/>
              </w:rPr>
              <w:t xml:space="preserve"> and/or enforcement activit</w:t>
            </w:r>
            <w:r w:rsidR="00DB744A">
              <w:rPr>
                <w:rFonts w:eastAsia="Calibri" w:cs="Arial"/>
                <w:sz w:val="20"/>
                <w:szCs w:val="22"/>
                <w:lang w:val="en-NZ" w:eastAsia="en-US"/>
              </w:rPr>
              <w:t>ies</w:t>
            </w:r>
            <w:r>
              <w:rPr>
                <w:rFonts w:eastAsia="Calibri" w:cs="Arial"/>
                <w:sz w:val="20"/>
                <w:szCs w:val="22"/>
                <w:lang w:val="en-NZ" w:eastAsia="en-US"/>
              </w:rPr>
              <w:t>.</w:t>
            </w:r>
          </w:p>
          <w:p w:rsidR="00E62B0D" w:rsidRDefault="00E62B0D" w:rsidP="00471AA4">
            <w:pPr>
              <w:spacing w:after="0" w:line="240" w:lineRule="auto"/>
              <w:rPr>
                <w:rFonts w:eastAsia="Calibri" w:cs="Arial"/>
                <w:sz w:val="20"/>
                <w:szCs w:val="22"/>
                <w:lang w:val="en-NZ" w:eastAsia="en-US"/>
              </w:rPr>
            </w:pPr>
          </w:p>
          <w:p w:rsidR="00E62B0D" w:rsidRDefault="00E62B0D" w:rsidP="00471AA4">
            <w:pPr>
              <w:spacing w:after="0" w:line="240" w:lineRule="auto"/>
              <w:rPr>
                <w:rFonts w:eastAsia="Calibri" w:cs="Arial"/>
                <w:sz w:val="20"/>
                <w:szCs w:val="22"/>
                <w:lang w:val="en-NZ" w:eastAsia="en-US"/>
              </w:rPr>
            </w:pPr>
            <w:r>
              <w:rPr>
                <w:rFonts w:eastAsia="Calibri" w:cs="Arial"/>
                <w:sz w:val="20"/>
                <w:szCs w:val="22"/>
                <w:lang w:val="en-NZ" w:eastAsia="en-US"/>
              </w:rPr>
              <w:t>Government would determine level of public good activity</w:t>
            </w:r>
            <w:r w:rsidR="00DB744A">
              <w:rPr>
                <w:rFonts w:eastAsia="Calibri" w:cs="Arial"/>
                <w:sz w:val="20"/>
                <w:szCs w:val="22"/>
                <w:lang w:val="en-NZ" w:eastAsia="en-US"/>
              </w:rPr>
              <w:t xml:space="preserve"> from time to time</w:t>
            </w:r>
            <w:r>
              <w:rPr>
                <w:rFonts w:eastAsia="Calibri" w:cs="Arial"/>
                <w:sz w:val="20"/>
                <w:szCs w:val="22"/>
                <w:lang w:val="en-NZ" w:eastAsia="en-US"/>
              </w:rPr>
              <w:t>.</w:t>
            </w:r>
          </w:p>
          <w:p w:rsidR="00E62B0D" w:rsidRDefault="00E62B0D" w:rsidP="00471AA4">
            <w:pPr>
              <w:spacing w:after="0" w:line="240" w:lineRule="auto"/>
              <w:rPr>
                <w:rFonts w:eastAsia="Calibri" w:cs="Arial"/>
                <w:sz w:val="20"/>
                <w:szCs w:val="22"/>
                <w:lang w:val="en-NZ" w:eastAsia="en-US"/>
              </w:rPr>
            </w:pPr>
          </w:p>
          <w:p w:rsidR="00DB744A" w:rsidRDefault="00DB744A" w:rsidP="00DB744A">
            <w:pPr>
              <w:spacing w:after="0" w:line="240" w:lineRule="auto"/>
              <w:rPr>
                <w:rFonts w:eastAsia="Calibri" w:cs="Arial"/>
                <w:sz w:val="20"/>
                <w:szCs w:val="22"/>
                <w:lang w:val="en-NZ" w:eastAsia="en-US"/>
              </w:rPr>
            </w:pPr>
            <w:r>
              <w:rPr>
                <w:rFonts w:eastAsia="Calibri" w:cs="Arial"/>
                <w:sz w:val="20"/>
                <w:szCs w:val="22"/>
                <w:lang w:val="en-NZ" w:eastAsia="en-US"/>
              </w:rPr>
              <w:t>Power to set in</w:t>
            </w:r>
            <w:r w:rsidRPr="003A3E2B">
              <w:rPr>
                <w:rFonts w:eastAsia="Calibri" w:cs="Arial"/>
                <w:sz w:val="20"/>
                <w:szCs w:val="22"/>
                <w:lang w:val="en-NZ" w:eastAsia="en-US"/>
              </w:rPr>
              <w:t xml:space="preserve">dustry fees </w:t>
            </w:r>
            <w:r>
              <w:rPr>
                <w:rFonts w:eastAsia="Calibri" w:cs="Arial"/>
                <w:sz w:val="20"/>
                <w:szCs w:val="22"/>
                <w:lang w:val="en-NZ" w:eastAsia="en-US"/>
              </w:rPr>
              <w:t>and levy in Regulations.</w:t>
            </w:r>
          </w:p>
          <w:p w:rsidR="00DB744A" w:rsidRDefault="00DB744A" w:rsidP="00471AA4">
            <w:pPr>
              <w:spacing w:after="0" w:line="240" w:lineRule="auto"/>
              <w:rPr>
                <w:rFonts w:eastAsia="Calibri" w:cs="Arial"/>
                <w:sz w:val="20"/>
                <w:szCs w:val="22"/>
                <w:lang w:val="en-NZ" w:eastAsia="en-US"/>
              </w:rPr>
            </w:pPr>
          </w:p>
        </w:tc>
        <w:tc>
          <w:tcPr>
            <w:tcW w:w="4372" w:type="dxa"/>
            <w:shd w:val="clear" w:color="auto" w:fill="auto"/>
          </w:tcPr>
          <w:p w:rsidR="00044FB7" w:rsidRDefault="00044FB7" w:rsidP="00B66942">
            <w:pPr>
              <w:numPr>
                <w:ilvl w:val="0"/>
                <w:numId w:val="38"/>
              </w:numPr>
              <w:spacing w:after="0" w:line="240" w:lineRule="auto"/>
              <w:rPr>
                <w:rFonts w:eastAsia="Calibri" w:cs="Arial"/>
                <w:sz w:val="20"/>
                <w:szCs w:val="22"/>
                <w:lang w:val="en-NZ" w:eastAsia="en-US"/>
              </w:rPr>
            </w:pPr>
            <w:r>
              <w:rPr>
                <w:rFonts w:eastAsia="Calibri" w:cs="Arial"/>
                <w:sz w:val="20"/>
                <w:szCs w:val="22"/>
                <w:lang w:val="en-NZ" w:eastAsia="en-US"/>
              </w:rPr>
              <w:t>It is not clear how the share of costs as between industry and the Crown would alter without further investigation.</w:t>
            </w:r>
          </w:p>
          <w:p w:rsidR="00044FB7" w:rsidRDefault="00044FB7" w:rsidP="00044FB7">
            <w:pPr>
              <w:spacing w:after="0" w:line="240" w:lineRule="auto"/>
              <w:ind w:left="360"/>
              <w:rPr>
                <w:rFonts w:eastAsia="Calibri" w:cs="Arial"/>
                <w:sz w:val="20"/>
                <w:szCs w:val="22"/>
                <w:lang w:val="en-NZ" w:eastAsia="en-US"/>
              </w:rPr>
            </w:pPr>
          </w:p>
          <w:p w:rsidR="00044FB7" w:rsidRDefault="00044FB7" w:rsidP="00B66942">
            <w:pPr>
              <w:numPr>
                <w:ilvl w:val="0"/>
                <w:numId w:val="38"/>
              </w:numPr>
              <w:spacing w:after="0" w:line="240" w:lineRule="auto"/>
              <w:rPr>
                <w:rFonts w:eastAsia="Calibri" w:cs="Arial"/>
                <w:sz w:val="20"/>
                <w:szCs w:val="22"/>
                <w:lang w:val="en-NZ" w:eastAsia="en-US"/>
              </w:rPr>
            </w:pPr>
            <w:r>
              <w:rPr>
                <w:rFonts w:eastAsia="Calibri" w:cs="Arial"/>
                <w:sz w:val="20"/>
                <w:szCs w:val="22"/>
                <w:lang w:val="en-NZ" w:eastAsia="en-US"/>
              </w:rPr>
              <w:t xml:space="preserve">The </w:t>
            </w:r>
            <w:r w:rsidR="00FC5E2B">
              <w:rPr>
                <w:rFonts w:eastAsia="Calibri" w:cs="Arial"/>
                <w:sz w:val="20"/>
                <w:szCs w:val="22"/>
                <w:lang w:val="en-NZ" w:eastAsia="en-US"/>
              </w:rPr>
              <w:t xml:space="preserve">share of </w:t>
            </w:r>
            <w:r>
              <w:rPr>
                <w:rFonts w:eastAsia="Calibri" w:cs="Arial"/>
                <w:sz w:val="20"/>
                <w:szCs w:val="22"/>
                <w:lang w:val="en-NZ" w:eastAsia="en-US"/>
              </w:rPr>
              <w:t>costs borne by the Crown</w:t>
            </w:r>
            <w:r w:rsidR="00592424">
              <w:rPr>
                <w:rFonts w:eastAsia="Calibri" w:cs="Arial"/>
                <w:sz w:val="20"/>
                <w:szCs w:val="22"/>
                <w:lang w:val="en-NZ" w:eastAsia="en-US"/>
              </w:rPr>
              <w:t xml:space="preserve"> would increase (decrease) if public good activities were assessed as representing more than (less than) 10% of the regulator’s costs</w:t>
            </w:r>
            <w:r>
              <w:rPr>
                <w:rFonts w:eastAsia="Calibri" w:cs="Arial"/>
                <w:sz w:val="20"/>
                <w:szCs w:val="22"/>
                <w:lang w:val="en-NZ" w:eastAsia="en-US"/>
              </w:rPr>
              <w:t>.</w:t>
            </w:r>
          </w:p>
          <w:p w:rsidR="00044FB7" w:rsidRDefault="00044FB7" w:rsidP="00044FB7">
            <w:pPr>
              <w:spacing w:after="0" w:line="240" w:lineRule="auto"/>
              <w:ind w:left="360"/>
              <w:rPr>
                <w:rFonts w:eastAsia="Calibri" w:cs="Arial"/>
                <w:sz w:val="20"/>
                <w:szCs w:val="22"/>
                <w:lang w:val="en-NZ" w:eastAsia="en-US"/>
              </w:rPr>
            </w:pPr>
          </w:p>
          <w:p w:rsidR="00E62B0D" w:rsidRDefault="00FC5E2B" w:rsidP="00B66942">
            <w:pPr>
              <w:numPr>
                <w:ilvl w:val="0"/>
                <w:numId w:val="38"/>
              </w:numPr>
              <w:spacing w:after="0" w:line="240" w:lineRule="auto"/>
              <w:rPr>
                <w:rFonts w:eastAsia="Calibri" w:cs="Arial"/>
                <w:sz w:val="20"/>
                <w:szCs w:val="22"/>
                <w:lang w:val="en-NZ" w:eastAsia="en-US"/>
              </w:rPr>
            </w:pPr>
            <w:r>
              <w:rPr>
                <w:rFonts w:eastAsia="Calibri" w:cs="Arial"/>
                <w:sz w:val="20"/>
                <w:szCs w:val="22"/>
                <w:lang w:val="en-NZ" w:eastAsia="en-US"/>
              </w:rPr>
              <w:t>Even with full investigation, however, th</w:t>
            </w:r>
            <w:r w:rsidR="00434658">
              <w:rPr>
                <w:rFonts w:eastAsia="Calibri" w:cs="Arial"/>
                <w:sz w:val="20"/>
                <w:szCs w:val="22"/>
                <w:lang w:val="en-NZ" w:eastAsia="en-US"/>
              </w:rPr>
              <w:t xml:space="preserve">e distinction between different types of goods for cost-recovery purposes can be difficult to draw.  </w:t>
            </w:r>
          </w:p>
          <w:p w:rsidR="00E62B0D" w:rsidRDefault="00E62B0D" w:rsidP="00434658">
            <w:pPr>
              <w:spacing w:after="0" w:line="240" w:lineRule="auto"/>
              <w:rPr>
                <w:rFonts w:eastAsia="Calibri" w:cs="Arial"/>
                <w:sz w:val="20"/>
                <w:szCs w:val="22"/>
                <w:lang w:val="en-NZ" w:eastAsia="en-US"/>
              </w:rPr>
            </w:pPr>
          </w:p>
          <w:p w:rsidR="00E62B0D" w:rsidRDefault="00FC5E2B" w:rsidP="00B66942">
            <w:pPr>
              <w:numPr>
                <w:ilvl w:val="0"/>
                <w:numId w:val="38"/>
              </w:numPr>
              <w:spacing w:after="0" w:line="240" w:lineRule="auto"/>
              <w:rPr>
                <w:rFonts w:eastAsia="Calibri" w:cs="Arial"/>
                <w:sz w:val="20"/>
                <w:szCs w:val="22"/>
                <w:lang w:val="en-NZ" w:eastAsia="en-US"/>
              </w:rPr>
            </w:pPr>
            <w:r>
              <w:rPr>
                <w:rFonts w:eastAsia="Calibri" w:cs="Arial"/>
                <w:sz w:val="20"/>
                <w:szCs w:val="22"/>
                <w:lang w:val="en-NZ" w:eastAsia="en-US"/>
              </w:rPr>
              <w:t>Strategic considerations may also be brought to bear. For example, a New Zealand approval might be extremely valuable to an applicant wishing to enter another more lucrative market (</w:t>
            </w:r>
            <w:proofErr w:type="spellStart"/>
            <w:r>
              <w:rPr>
                <w:rFonts w:eastAsia="Calibri" w:cs="Arial"/>
                <w:sz w:val="20"/>
                <w:szCs w:val="22"/>
                <w:lang w:val="en-NZ" w:eastAsia="en-US"/>
              </w:rPr>
              <w:t>eg</w:t>
            </w:r>
            <w:proofErr w:type="spellEnd"/>
            <w:r>
              <w:rPr>
                <w:rFonts w:eastAsia="Calibri" w:cs="Arial"/>
                <w:sz w:val="20"/>
                <w:szCs w:val="22"/>
                <w:lang w:val="en-NZ" w:eastAsia="en-US"/>
              </w:rPr>
              <w:t>, which uses unilateral recognition).</w:t>
            </w:r>
          </w:p>
          <w:p w:rsidR="0008116C" w:rsidRPr="00FC5E2B" w:rsidRDefault="0008116C" w:rsidP="0008116C">
            <w:pPr>
              <w:spacing w:after="0" w:line="240" w:lineRule="auto"/>
              <w:rPr>
                <w:rFonts w:eastAsia="Calibri" w:cs="Arial"/>
                <w:sz w:val="20"/>
                <w:szCs w:val="22"/>
                <w:lang w:val="en-NZ" w:eastAsia="en-US"/>
              </w:rPr>
            </w:pPr>
          </w:p>
        </w:tc>
      </w:tr>
      <w:tr w:rsidR="00E62B0D" w:rsidRPr="003A3E2B" w:rsidTr="00471AA4">
        <w:tc>
          <w:tcPr>
            <w:tcW w:w="1951" w:type="dxa"/>
            <w:shd w:val="clear" w:color="auto" w:fill="auto"/>
          </w:tcPr>
          <w:p w:rsidR="00E62B0D" w:rsidRDefault="00E62B0D" w:rsidP="003A3E2B">
            <w:pPr>
              <w:spacing w:after="0" w:line="240" w:lineRule="auto"/>
              <w:rPr>
                <w:rFonts w:eastAsia="Calibri" w:cs="Arial"/>
                <w:sz w:val="20"/>
                <w:szCs w:val="22"/>
                <w:lang w:val="en-NZ" w:eastAsia="en-US"/>
              </w:rPr>
            </w:pPr>
            <w:r w:rsidRPr="00C02E5E">
              <w:rPr>
                <w:rFonts w:eastAsia="Calibri" w:cs="Arial"/>
                <w:sz w:val="20"/>
                <w:szCs w:val="22"/>
                <w:lang w:val="en-NZ" w:eastAsia="en-US"/>
              </w:rPr>
              <w:t xml:space="preserve">Option </w:t>
            </w:r>
            <w:r>
              <w:rPr>
                <w:rFonts w:eastAsia="Calibri" w:cs="Arial"/>
                <w:sz w:val="20"/>
                <w:szCs w:val="22"/>
                <w:lang w:val="en-NZ" w:eastAsia="en-US"/>
              </w:rPr>
              <w:t>2</w:t>
            </w:r>
            <w:r w:rsidRPr="00C02E5E">
              <w:rPr>
                <w:rFonts w:eastAsia="Calibri" w:cs="Arial"/>
                <w:sz w:val="20"/>
                <w:szCs w:val="22"/>
                <w:lang w:val="en-NZ" w:eastAsia="en-US"/>
              </w:rPr>
              <w:t xml:space="preserve"> – </w:t>
            </w:r>
          </w:p>
          <w:p w:rsidR="00E62B0D" w:rsidRDefault="00E62B0D" w:rsidP="003A3E2B">
            <w:pPr>
              <w:spacing w:after="0" w:line="240" w:lineRule="auto"/>
              <w:rPr>
                <w:rFonts w:eastAsia="Calibri" w:cs="Arial"/>
                <w:sz w:val="20"/>
                <w:szCs w:val="22"/>
                <w:lang w:val="en-NZ" w:eastAsia="en-US"/>
              </w:rPr>
            </w:pPr>
          </w:p>
          <w:p w:rsidR="00E62B0D" w:rsidRPr="00C02E5E" w:rsidRDefault="00E62B0D" w:rsidP="003A3E2B">
            <w:pPr>
              <w:spacing w:after="0" w:line="240" w:lineRule="auto"/>
              <w:rPr>
                <w:rFonts w:eastAsia="Calibri" w:cs="Arial"/>
                <w:sz w:val="20"/>
                <w:szCs w:val="22"/>
                <w:lang w:val="en-NZ" w:eastAsia="en-US"/>
              </w:rPr>
            </w:pPr>
            <w:r w:rsidRPr="00C02E5E">
              <w:rPr>
                <w:rFonts w:eastAsia="Calibri" w:cs="Arial"/>
                <w:sz w:val="20"/>
                <w:szCs w:val="22"/>
                <w:lang w:val="en-NZ" w:eastAsia="en-US"/>
              </w:rPr>
              <w:t>Full cost-recovery from industry</w:t>
            </w:r>
          </w:p>
          <w:p w:rsidR="00E62B0D" w:rsidRPr="00C02E5E" w:rsidRDefault="00E62B0D" w:rsidP="003A3E2B">
            <w:pPr>
              <w:spacing w:after="0" w:line="240" w:lineRule="auto"/>
              <w:rPr>
                <w:rFonts w:eastAsia="Calibri" w:cs="Arial"/>
                <w:sz w:val="20"/>
                <w:szCs w:val="22"/>
                <w:lang w:val="en-NZ" w:eastAsia="en-US"/>
              </w:rPr>
            </w:pPr>
          </w:p>
          <w:p w:rsidR="00E62B0D" w:rsidRPr="00C02E5E" w:rsidRDefault="00E62B0D" w:rsidP="003A3E2B">
            <w:pPr>
              <w:spacing w:after="0" w:line="240" w:lineRule="auto"/>
              <w:rPr>
                <w:rFonts w:eastAsia="Calibri" w:cs="Arial"/>
                <w:sz w:val="20"/>
                <w:szCs w:val="22"/>
                <w:lang w:val="en-NZ" w:eastAsia="en-US"/>
              </w:rPr>
            </w:pPr>
          </w:p>
        </w:tc>
        <w:tc>
          <w:tcPr>
            <w:tcW w:w="2693" w:type="dxa"/>
            <w:shd w:val="clear" w:color="auto" w:fill="auto"/>
          </w:tcPr>
          <w:p w:rsidR="00E62B0D" w:rsidRDefault="00E62B0D"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Under this option, industry would meet the full costs of the regulator. </w:t>
            </w:r>
          </w:p>
          <w:p w:rsidR="00E62B0D" w:rsidRDefault="00E62B0D"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 </w:t>
            </w:r>
          </w:p>
          <w:p w:rsidR="00E62B0D" w:rsidRPr="003A3E2B" w:rsidRDefault="00E62B0D"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This would likely include cost-recovery through a combination of fees and levies.</w:t>
            </w:r>
          </w:p>
          <w:p w:rsidR="00E62B0D" w:rsidRDefault="00E62B0D" w:rsidP="00471AA4">
            <w:pPr>
              <w:spacing w:after="0" w:line="240" w:lineRule="auto"/>
              <w:rPr>
                <w:rFonts w:eastAsia="Calibri" w:cs="Arial"/>
                <w:sz w:val="20"/>
                <w:szCs w:val="22"/>
                <w:lang w:val="en-NZ" w:eastAsia="en-US"/>
              </w:rPr>
            </w:pPr>
          </w:p>
          <w:p w:rsidR="00E62B0D" w:rsidRDefault="00E62B0D"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This option reflects the judgement that under the regulatory regime all regulatory activities are either private goods or industry/club goods.</w:t>
            </w:r>
          </w:p>
          <w:p w:rsidR="00E62B0D" w:rsidRDefault="00E62B0D" w:rsidP="00471AA4">
            <w:pPr>
              <w:spacing w:after="0" w:line="240" w:lineRule="auto"/>
              <w:rPr>
                <w:rFonts w:eastAsia="Calibri" w:cs="Arial"/>
                <w:sz w:val="20"/>
                <w:szCs w:val="22"/>
                <w:lang w:val="en-NZ" w:eastAsia="en-US"/>
              </w:rPr>
            </w:pPr>
          </w:p>
          <w:p w:rsidR="00E62B0D" w:rsidRDefault="00E62B0D" w:rsidP="00471AA4">
            <w:pPr>
              <w:spacing w:after="0" w:line="240" w:lineRule="auto"/>
              <w:rPr>
                <w:rFonts w:eastAsia="Calibri" w:cs="Arial"/>
                <w:sz w:val="20"/>
                <w:szCs w:val="22"/>
                <w:lang w:val="en-NZ" w:eastAsia="en-US"/>
              </w:rPr>
            </w:pPr>
          </w:p>
        </w:tc>
        <w:tc>
          <w:tcPr>
            <w:tcW w:w="4372" w:type="dxa"/>
            <w:shd w:val="clear" w:color="auto" w:fill="auto"/>
          </w:tcPr>
          <w:p w:rsidR="00434658" w:rsidRDefault="00434658" w:rsidP="00B66942">
            <w:pPr>
              <w:numPr>
                <w:ilvl w:val="0"/>
                <w:numId w:val="37"/>
              </w:numPr>
              <w:spacing w:after="0" w:line="240" w:lineRule="auto"/>
              <w:ind w:left="360"/>
              <w:rPr>
                <w:rFonts w:eastAsia="Calibri" w:cs="Arial"/>
                <w:sz w:val="20"/>
                <w:szCs w:val="22"/>
                <w:lang w:val="en-NZ" w:eastAsia="en-US"/>
              </w:rPr>
            </w:pPr>
            <w:r>
              <w:rPr>
                <w:rFonts w:eastAsia="Calibri" w:cs="Arial"/>
                <w:sz w:val="20"/>
                <w:szCs w:val="22"/>
                <w:lang w:val="en-NZ" w:eastAsia="en-US"/>
              </w:rPr>
              <w:t>This would increase costs to industry and reduce costs to the Crown.</w:t>
            </w:r>
          </w:p>
          <w:p w:rsidR="00434658" w:rsidRDefault="00434658" w:rsidP="00434658">
            <w:pPr>
              <w:spacing w:after="0" w:line="240" w:lineRule="auto"/>
              <w:ind w:left="360"/>
              <w:rPr>
                <w:rFonts w:eastAsia="Calibri" w:cs="Arial"/>
                <w:sz w:val="20"/>
                <w:szCs w:val="22"/>
                <w:lang w:val="en-NZ" w:eastAsia="en-US"/>
              </w:rPr>
            </w:pPr>
          </w:p>
          <w:p w:rsidR="00E62B0D" w:rsidRDefault="00E62B0D" w:rsidP="00B66942">
            <w:pPr>
              <w:numPr>
                <w:ilvl w:val="0"/>
                <w:numId w:val="37"/>
              </w:numPr>
              <w:spacing w:after="0" w:line="240" w:lineRule="auto"/>
              <w:ind w:left="360"/>
              <w:rPr>
                <w:rFonts w:eastAsia="Calibri" w:cs="Arial"/>
                <w:sz w:val="20"/>
                <w:szCs w:val="22"/>
                <w:lang w:val="en-NZ" w:eastAsia="en-US"/>
              </w:rPr>
            </w:pPr>
            <w:r>
              <w:rPr>
                <w:rFonts w:eastAsia="Calibri" w:cs="Arial"/>
                <w:sz w:val="20"/>
                <w:szCs w:val="22"/>
                <w:lang w:val="en-NZ" w:eastAsia="en-US"/>
              </w:rPr>
              <w:t>There are issues related to new or low-volume, high-cost areas (</w:t>
            </w:r>
            <w:proofErr w:type="spellStart"/>
            <w:r>
              <w:rPr>
                <w:rFonts w:eastAsia="Calibri" w:cs="Arial"/>
                <w:sz w:val="20"/>
                <w:szCs w:val="22"/>
                <w:lang w:val="en-NZ" w:eastAsia="en-US"/>
              </w:rPr>
              <w:t>eg</w:t>
            </w:r>
            <w:proofErr w:type="spellEnd"/>
            <w:r>
              <w:rPr>
                <w:rFonts w:eastAsia="Calibri" w:cs="Arial"/>
                <w:sz w:val="20"/>
                <w:szCs w:val="22"/>
                <w:lang w:val="en-NZ" w:eastAsia="en-US"/>
              </w:rPr>
              <w:t xml:space="preserve">, cell and tissue therapy) where cost-recovery may simply be unaffordable for industry (particularly if development costs of the approval process also need to be recovered).  </w:t>
            </w:r>
          </w:p>
          <w:p w:rsidR="00E62B0D" w:rsidRDefault="00E62B0D" w:rsidP="00471AA4">
            <w:pPr>
              <w:spacing w:after="0" w:line="240" w:lineRule="auto"/>
              <w:rPr>
                <w:rFonts w:eastAsia="Calibri" w:cs="Arial"/>
                <w:sz w:val="20"/>
                <w:szCs w:val="22"/>
                <w:lang w:val="en-NZ" w:eastAsia="en-US"/>
              </w:rPr>
            </w:pPr>
          </w:p>
          <w:p w:rsidR="00E62B0D" w:rsidRPr="000D0456" w:rsidRDefault="00E62B0D" w:rsidP="00B66942">
            <w:pPr>
              <w:numPr>
                <w:ilvl w:val="0"/>
                <w:numId w:val="37"/>
              </w:numPr>
              <w:spacing w:after="0" w:line="240" w:lineRule="auto"/>
              <w:ind w:left="360"/>
              <w:rPr>
                <w:rFonts w:eastAsia="Calibri" w:cs="Arial"/>
                <w:sz w:val="20"/>
                <w:szCs w:val="22"/>
                <w:lang w:val="en-NZ" w:eastAsia="en-US"/>
              </w:rPr>
            </w:pPr>
            <w:r>
              <w:rPr>
                <w:rFonts w:eastAsia="Calibri" w:cs="Arial"/>
                <w:sz w:val="20"/>
                <w:szCs w:val="22"/>
                <w:lang w:val="en-NZ" w:eastAsia="en-US"/>
              </w:rPr>
              <w:t>Unapproved product in the market also raise</w:t>
            </w:r>
            <w:r w:rsidR="00C90024">
              <w:rPr>
                <w:rFonts w:eastAsia="Calibri" w:cs="Arial"/>
                <w:sz w:val="20"/>
                <w:szCs w:val="22"/>
                <w:lang w:val="en-NZ" w:eastAsia="en-US"/>
              </w:rPr>
              <w:t xml:space="preserve"> </w:t>
            </w:r>
            <w:r>
              <w:rPr>
                <w:rFonts w:eastAsia="Calibri" w:cs="Arial"/>
                <w:sz w:val="20"/>
                <w:szCs w:val="22"/>
                <w:lang w:val="en-NZ" w:eastAsia="en-US"/>
              </w:rPr>
              <w:t>issues where monitoring and enforcement by the regulator is important but where it may be difficult to sheet home the regulatory costs to an industry, supplier, or responsible person.</w:t>
            </w:r>
          </w:p>
        </w:tc>
      </w:tr>
    </w:tbl>
    <w:p w:rsidR="007221AC" w:rsidRDefault="007221AC" w:rsidP="000E054D">
      <w:pPr>
        <w:pStyle w:val="TableBullet"/>
        <w:numPr>
          <w:ilvl w:val="0"/>
          <w:numId w:val="0"/>
        </w:numPr>
        <w:spacing w:after="0" w:line="240" w:lineRule="auto"/>
        <w:rPr>
          <w:b/>
          <w:i/>
        </w:rPr>
      </w:pPr>
    </w:p>
    <w:p w:rsidR="000E054D" w:rsidRPr="00F71EFD" w:rsidRDefault="000E054D" w:rsidP="00F71EFD">
      <w:pPr>
        <w:pStyle w:val="Heading4"/>
        <w:rPr>
          <w:b/>
          <w:i/>
          <w:u w:val="none"/>
        </w:rPr>
      </w:pPr>
      <w:r w:rsidRPr="00F71EFD">
        <w:rPr>
          <w:b/>
          <w:i/>
          <w:u w:val="none"/>
        </w:rPr>
        <w:t xml:space="preserve">Pre-market </w:t>
      </w:r>
    </w:p>
    <w:p w:rsidR="00B74A60" w:rsidRDefault="00B74A60" w:rsidP="00B74A60">
      <w:pPr>
        <w:spacing w:after="0" w:line="240" w:lineRule="auto"/>
        <w:rPr>
          <w:rFonts w:eastAsia="Calibri" w:cs="Arial"/>
          <w:szCs w:val="22"/>
          <w:lang w:val="en-NZ" w:eastAsia="en-US"/>
        </w:rPr>
      </w:pPr>
    </w:p>
    <w:p w:rsidR="00B74A60" w:rsidRPr="00830E17" w:rsidRDefault="00B74A60" w:rsidP="00830E17">
      <w:pPr>
        <w:pStyle w:val="Heading5"/>
        <w:rPr>
          <w:rFonts w:eastAsia="Calibri"/>
          <w:b/>
          <w:i w:val="0"/>
          <w:lang w:val="en-NZ" w:eastAsia="en-US"/>
        </w:rPr>
      </w:pPr>
      <w:r w:rsidRPr="00830E17">
        <w:rPr>
          <w:rFonts w:eastAsia="Calibri"/>
          <w:b/>
          <w:i w:val="0"/>
          <w:lang w:val="en-NZ" w:eastAsia="en-US"/>
        </w:rPr>
        <w:t>Issue 8: Product approvals</w:t>
      </w:r>
    </w:p>
    <w:p w:rsidR="00B74A60" w:rsidRPr="00B74A60" w:rsidRDefault="00B74A60" w:rsidP="00B74A60">
      <w:pPr>
        <w:spacing w:after="0" w:line="240" w:lineRule="auto"/>
        <w:rPr>
          <w:rFonts w:eastAsia="Calibri" w:cs="Arial"/>
          <w:b/>
          <w:szCs w:val="22"/>
          <w:lang w:val="en-NZ" w:eastAsia="en-US"/>
        </w:rPr>
      </w:pPr>
    </w:p>
    <w:p w:rsidR="00B74A60" w:rsidRPr="00B74A60" w:rsidRDefault="00B74A60" w:rsidP="00E440A3">
      <w:pPr>
        <w:pStyle w:val="BodyText"/>
        <w:rPr>
          <w:rFonts w:eastAsia="Calibri"/>
        </w:rPr>
      </w:pPr>
      <w:r w:rsidRPr="00B74A60">
        <w:rPr>
          <w:rFonts w:eastAsia="Calibri"/>
        </w:rPr>
        <w:t>Product approval is a key regulatory control point.  It is the process for considering whether, and subject to what limits or conditions, therapeutic products may be marketed in New Zealand.</w:t>
      </w:r>
    </w:p>
    <w:p w:rsidR="00B74A60" w:rsidRPr="00B74A60" w:rsidRDefault="00015CB6" w:rsidP="00E440A3">
      <w:pPr>
        <w:pStyle w:val="BodyText"/>
        <w:rPr>
          <w:rFonts w:eastAsia="Calibri"/>
        </w:rPr>
      </w:pPr>
      <w:r>
        <w:rPr>
          <w:rFonts w:eastAsia="Calibri"/>
        </w:rPr>
        <w:t>Under the preferred approach</w:t>
      </w:r>
      <w:r w:rsidR="00B74A60" w:rsidRPr="00B74A60">
        <w:rPr>
          <w:rFonts w:eastAsia="Calibri"/>
        </w:rPr>
        <w:t>:</w:t>
      </w:r>
    </w:p>
    <w:p w:rsidR="00B74A60" w:rsidRPr="00B74A60" w:rsidRDefault="000D0456" w:rsidP="00E440A3">
      <w:pPr>
        <w:pStyle w:val="BodyText2"/>
        <w:rPr>
          <w:rFonts w:eastAsia="Calibri"/>
          <w:lang w:val="en-NZ" w:eastAsia="en-US"/>
        </w:rPr>
      </w:pPr>
      <w:r>
        <w:rPr>
          <w:rFonts w:eastAsia="Calibri"/>
          <w:lang w:val="en-NZ" w:eastAsia="en-US"/>
        </w:rPr>
        <w:t>A</w:t>
      </w:r>
      <w:r w:rsidR="00B74A60" w:rsidRPr="00B74A60">
        <w:rPr>
          <w:rFonts w:eastAsia="Calibri"/>
          <w:lang w:val="en-NZ" w:eastAsia="en-US"/>
        </w:rPr>
        <w:t>ll therapeutic products (as defined) will need to be approved by the regulator</w:t>
      </w:r>
      <w:r w:rsidR="008928C5">
        <w:rPr>
          <w:rFonts w:eastAsia="Calibri"/>
          <w:lang w:val="en-NZ" w:eastAsia="en-US"/>
        </w:rPr>
        <w:t xml:space="preserve"> in order to be marketed</w:t>
      </w:r>
      <w:r>
        <w:rPr>
          <w:rFonts w:eastAsia="Calibri"/>
          <w:lang w:val="en-NZ" w:eastAsia="en-US"/>
        </w:rPr>
        <w:t>.</w:t>
      </w:r>
    </w:p>
    <w:p w:rsidR="00B74A60" w:rsidRPr="00B74A60" w:rsidRDefault="000D0456" w:rsidP="00E440A3">
      <w:pPr>
        <w:pStyle w:val="BodyText2"/>
        <w:rPr>
          <w:rFonts w:eastAsia="Calibri"/>
          <w:lang w:val="en-NZ" w:eastAsia="en-US"/>
        </w:rPr>
      </w:pPr>
      <w:r>
        <w:rPr>
          <w:rFonts w:eastAsia="Calibri"/>
          <w:lang w:val="en-NZ" w:eastAsia="en-US"/>
        </w:rPr>
        <w:t>T</w:t>
      </w:r>
      <w:r w:rsidR="00B74A60" w:rsidRPr="00B74A60">
        <w:rPr>
          <w:rFonts w:eastAsia="Calibri"/>
          <w:lang w:val="en-NZ" w:eastAsia="en-US"/>
        </w:rPr>
        <w:t>he process for approval will be risk-appropri</w:t>
      </w:r>
      <w:r>
        <w:rPr>
          <w:rFonts w:eastAsia="Calibri"/>
          <w:lang w:val="en-NZ" w:eastAsia="en-US"/>
        </w:rPr>
        <w:t>ate to the products in question</w:t>
      </w:r>
      <w:proofErr w:type="gramStart"/>
      <w:r>
        <w:rPr>
          <w:rFonts w:eastAsia="Calibri"/>
          <w:lang w:val="en-NZ" w:eastAsia="en-US"/>
        </w:rPr>
        <w:t xml:space="preserve">, </w:t>
      </w:r>
      <w:r w:rsidR="00B74A60" w:rsidRPr="00B74A60">
        <w:rPr>
          <w:rFonts w:eastAsia="Calibri"/>
          <w:lang w:val="en-NZ" w:eastAsia="en-US"/>
        </w:rPr>
        <w:t xml:space="preserve"> meaning</w:t>
      </w:r>
      <w:proofErr w:type="gramEnd"/>
      <w:r w:rsidR="00B74A60" w:rsidRPr="00B74A60">
        <w:rPr>
          <w:rFonts w:eastAsia="Calibri"/>
          <w:lang w:val="en-NZ" w:eastAsia="en-US"/>
        </w:rPr>
        <w:t xml:space="preserve"> the higher the level of risk the greater will be the regulatory scruti</w:t>
      </w:r>
      <w:r>
        <w:rPr>
          <w:rFonts w:eastAsia="Calibri"/>
          <w:lang w:val="en-NZ" w:eastAsia="en-US"/>
        </w:rPr>
        <w:t>ny and the information required.</w:t>
      </w:r>
    </w:p>
    <w:p w:rsidR="00B74A60" w:rsidRPr="00B74A60" w:rsidRDefault="000D0456" w:rsidP="00E440A3">
      <w:pPr>
        <w:pStyle w:val="BodyText2"/>
        <w:rPr>
          <w:rFonts w:eastAsia="Calibri"/>
          <w:lang w:val="en-NZ" w:eastAsia="en-US"/>
        </w:rPr>
      </w:pPr>
      <w:r>
        <w:rPr>
          <w:rFonts w:eastAsia="Calibri"/>
          <w:lang w:val="en-NZ" w:eastAsia="en-US"/>
        </w:rPr>
        <w:t>T</w:t>
      </w:r>
      <w:r w:rsidR="00B74A60" w:rsidRPr="00B74A60">
        <w:rPr>
          <w:rFonts w:eastAsia="Calibri"/>
          <w:lang w:val="en-NZ" w:eastAsia="en-US"/>
        </w:rPr>
        <w:t xml:space="preserve">he regulator will require the necessary flexibility (supported by accountability) in order to operate approval processes flexibly (in response to emerging new and hybrid products) and in accordance with the cost-effective management of overall risk. </w:t>
      </w:r>
    </w:p>
    <w:p w:rsidR="00B74A60" w:rsidRPr="00B74A60" w:rsidRDefault="00B74A60" w:rsidP="00E440A3">
      <w:pPr>
        <w:pStyle w:val="BodyText"/>
        <w:rPr>
          <w:rFonts w:eastAsia="Calibri"/>
        </w:rPr>
      </w:pPr>
      <w:r w:rsidRPr="00B74A60">
        <w:rPr>
          <w:rFonts w:eastAsia="Calibri"/>
        </w:rPr>
        <w:t xml:space="preserve">The requirements will largely be determined by the type of product (medicine, medical device, cell and tissue therapy, combination </w:t>
      </w:r>
      <w:proofErr w:type="spellStart"/>
      <w:r w:rsidRPr="00B74A60">
        <w:rPr>
          <w:rFonts w:eastAsia="Calibri"/>
        </w:rPr>
        <w:t>etc</w:t>
      </w:r>
      <w:proofErr w:type="spellEnd"/>
      <w:r w:rsidRPr="00B74A60">
        <w:rPr>
          <w:rFonts w:eastAsia="Calibri"/>
        </w:rPr>
        <w:t>).  Within each category of product, the detailed technical requirements will be determined by the risks posed</w:t>
      </w:r>
      <w:r w:rsidR="008928C5">
        <w:rPr>
          <w:rFonts w:eastAsia="Calibri"/>
        </w:rPr>
        <w:t>, consistent with international norms</w:t>
      </w:r>
      <w:r w:rsidRPr="00B74A60">
        <w:rPr>
          <w:rFonts w:eastAsia="Calibri"/>
        </w:rPr>
        <w:t xml:space="preserve">.  </w:t>
      </w:r>
    </w:p>
    <w:p w:rsidR="00B74A60" w:rsidRPr="00B74A60" w:rsidRDefault="00B74A60" w:rsidP="00E440A3">
      <w:pPr>
        <w:pStyle w:val="BodyText"/>
        <w:rPr>
          <w:rFonts w:eastAsia="Calibri"/>
        </w:rPr>
      </w:pPr>
      <w:r w:rsidRPr="00B74A60">
        <w:rPr>
          <w:rFonts w:eastAsia="Calibri"/>
        </w:rPr>
        <w:t xml:space="preserve">In practice, the use of product categories can be managed in a way that gives best effect to a risk-appropriate approach.  </w:t>
      </w:r>
    </w:p>
    <w:p w:rsidR="00B74A60" w:rsidRPr="00B74A60" w:rsidRDefault="005F0F92" w:rsidP="00E440A3">
      <w:pPr>
        <w:pStyle w:val="BodyText"/>
        <w:rPr>
          <w:rFonts w:eastAsia="Calibri"/>
        </w:rPr>
      </w:pPr>
      <w:r>
        <w:rPr>
          <w:rFonts w:eastAsia="Calibri"/>
        </w:rPr>
        <w:t>T</w:t>
      </w:r>
      <w:r w:rsidR="00B74A60" w:rsidRPr="00B74A60">
        <w:rPr>
          <w:rFonts w:eastAsia="Calibri"/>
        </w:rPr>
        <w:t xml:space="preserve">he regulatory regime </w:t>
      </w:r>
      <w:r>
        <w:rPr>
          <w:rFonts w:eastAsia="Calibri"/>
        </w:rPr>
        <w:t xml:space="preserve">needs to provide clarity, at the same time as being </w:t>
      </w:r>
      <w:r w:rsidR="00B74A60" w:rsidRPr="00B74A60">
        <w:rPr>
          <w:rFonts w:eastAsia="Calibri"/>
        </w:rPr>
        <w:t>responsive and up-to-date</w:t>
      </w:r>
      <w:r>
        <w:rPr>
          <w:rFonts w:eastAsia="Calibri"/>
        </w:rPr>
        <w:t xml:space="preserve">.  It will therefore be important for </w:t>
      </w:r>
      <w:r w:rsidR="00B74A60" w:rsidRPr="00B74A60">
        <w:rPr>
          <w:rFonts w:eastAsia="Calibri"/>
        </w:rPr>
        <w:t xml:space="preserve">product categorisations and technical requirements to </w:t>
      </w:r>
      <w:r w:rsidR="00E6486B">
        <w:rPr>
          <w:rFonts w:eastAsia="Calibri"/>
        </w:rPr>
        <w:t xml:space="preserve">be expressed through an effective combination of </w:t>
      </w:r>
      <w:r>
        <w:rPr>
          <w:rFonts w:eastAsia="Calibri"/>
        </w:rPr>
        <w:t xml:space="preserve">primary, secondary and tertiary instruments. </w:t>
      </w:r>
    </w:p>
    <w:p w:rsidR="00B74A60" w:rsidRPr="00B74A60" w:rsidRDefault="00B74A60" w:rsidP="00E440A3">
      <w:pPr>
        <w:pStyle w:val="BodyText"/>
        <w:rPr>
          <w:rFonts w:eastAsia="Calibri"/>
        </w:rPr>
      </w:pPr>
      <w:r w:rsidRPr="00B74A60">
        <w:rPr>
          <w:rFonts w:eastAsia="Calibri"/>
        </w:rPr>
        <w:t>For a new Therapeutic Products Act, changes in the following areas should be considered:</w:t>
      </w:r>
    </w:p>
    <w:p w:rsidR="00B74A60" w:rsidRPr="00C60CCA" w:rsidRDefault="00B74A60" w:rsidP="00830E17">
      <w:pPr>
        <w:pStyle w:val="Heading6"/>
      </w:pPr>
      <w:r w:rsidRPr="00C60CCA">
        <w:t>Responsibilities of the regulator</w:t>
      </w:r>
    </w:p>
    <w:p w:rsidR="00B74A60" w:rsidRPr="00B74A60" w:rsidRDefault="00B74A60" w:rsidP="00B74A60">
      <w:pPr>
        <w:spacing w:after="0" w:line="240" w:lineRule="auto"/>
        <w:rPr>
          <w:rFonts w:eastAsia="Calibri" w:cs="Arial"/>
          <w:szCs w:val="22"/>
          <w:lang w:val="en-NZ" w:eastAsia="en-US"/>
        </w:rPr>
      </w:pPr>
    </w:p>
    <w:p w:rsidR="00B74A60" w:rsidRPr="00B74A60" w:rsidRDefault="00B74A60" w:rsidP="00E440A3">
      <w:pPr>
        <w:pStyle w:val="BodyText"/>
        <w:rPr>
          <w:rFonts w:eastAsia="Calibri"/>
        </w:rPr>
      </w:pPr>
      <w:r w:rsidRPr="00B74A60">
        <w:rPr>
          <w:rFonts w:eastAsia="Calibri"/>
        </w:rPr>
        <w:t>The regulator needs to have the necessary ability to:</w:t>
      </w:r>
    </w:p>
    <w:p w:rsidR="00B74A60" w:rsidRPr="00B74A60" w:rsidRDefault="00B74A60" w:rsidP="00E440A3">
      <w:pPr>
        <w:pStyle w:val="BodyText2"/>
        <w:rPr>
          <w:rFonts w:eastAsia="Calibri"/>
          <w:lang w:val="en-NZ" w:eastAsia="en-US"/>
        </w:rPr>
      </w:pPr>
      <w:r w:rsidRPr="00B74A60">
        <w:rPr>
          <w:rFonts w:eastAsia="Calibri"/>
          <w:lang w:val="en-NZ" w:eastAsia="en-US"/>
        </w:rPr>
        <w:t>determine the process for approval and the information requirements (including modifying technical standards</w:t>
      </w:r>
      <w:r w:rsidR="000D0456">
        <w:rPr>
          <w:rFonts w:eastAsia="Calibri"/>
          <w:lang w:val="en-NZ" w:eastAsia="en-US"/>
        </w:rPr>
        <w:t xml:space="preserve"> and requirements as necessary)</w:t>
      </w:r>
    </w:p>
    <w:p w:rsidR="00B74A60" w:rsidRPr="00B74A60" w:rsidRDefault="00B74A60" w:rsidP="00E440A3">
      <w:pPr>
        <w:pStyle w:val="BodyText2"/>
        <w:rPr>
          <w:rFonts w:eastAsia="Calibri"/>
          <w:lang w:val="en-NZ" w:eastAsia="en-US"/>
        </w:rPr>
      </w:pPr>
      <w:r w:rsidRPr="00B74A60">
        <w:rPr>
          <w:rFonts w:eastAsia="Calibri"/>
          <w:lang w:val="en-NZ" w:eastAsia="en-US"/>
        </w:rPr>
        <w:t>determine the basis of the approval</w:t>
      </w:r>
      <w:r w:rsidR="008673E3">
        <w:rPr>
          <w:rFonts w:eastAsia="Calibri"/>
          <w:lang w:val="en-NZ" w:eastAsia="en-US"/>
        </w:rPr>
        <w:t xml:space="preserve"> that is the most risk-appropriate and cost-effective in the circumstances of each case (</w:t>
      </w:r>
      <w:proofErr w:type="spellStart"/>
      <w:r w:rsidR="008673E3">
        <w:rPr>
          <w:rFonts w:eastAsia="Calibri"/>
          <w:lang w:val="en-NZ" w:eastAsia="en-US"/>
        </w:rPr>
        <w:t>eg</w:t>
      </w:r>
      <w:proofErr w:type="spellEnd"/>
      <w:r w:rsidR="008673E3">
        <w:rPr>
          <w:rFonts w:eastAsia="Calibri"/>
          <w:lang w:val="en-NZ" w:eastAsia="en-US"/>
        </w:rPr>
        <w:t>, full assessment, partial asse</w:t>
      </w:r>
      <w:r w:rsidR="000D0456">
        <w:rPr>
          <w:rFonts w:eastAsia="Calibri"/>
          <w:lang w:val="en-NZ" w:eastAsia="en-US"/>
        </w:rPr>
        <w:t>ssment, unilateral recognition)</w:t>
      </w:r>
    </w:p>
    <w:p w:rsidR="00B74A60" w:rsidRPr="00B74A60" w:rsidRDefault="00B74A60" w:rsidP="00E440A3">
      <w:pPr>
        <w:pStyle w:val="BodyText2"/>
        <w:rPr>
          <w:rFonts w:eastAsia="Calibri"/>
          <w:lang w:val="en-NZ" w:eastAsia="en-US"/>
        </w:rPr>
      </w:pPr>
      <w:r w:rsidRPr="00B74A60">
        <w:rPr>
          <w:rFonts w:eastAsia="Calibri"/>
          <w:lang w:val="en-NZ" w:eastAsia="en-US"/>
        </w:rPr>
        <w:t>determine the conditions which may apply to</w:t>
      </w:r>
      <w:r w:rsidR="0030387A">
        <w:rPr>
          <w:rFonts w:eastAsia="Calibri"/>
          <w:lang w:val="en-NZ" w:eastAsia="en-US"/>
        </w:rPr>
        <w:t>,</w:t>
      </w:r>
      <w:r w:rsidRPr="00B74A60">
        <w:rPr>
          <w:rFonts w:eastAsia="Calibri"/>
          <w:lang w:val="en-NZ" w:eastAsia="en-US"/>
        </w:rPr>
        <w:t xml:space="preserve"> and t</w:t>
      </w:r>
      <w:r w:rsidR="000D0456">
        <w:rPr>
          <w:rFonts w:eastAsia="Calibri"/>
          <w:lang w:val="en-NZ" w:eastAsia="en-US"/>
        </w:rPr>
        <w:t>he duration of</w:t>
      </w:r>
      <w:r w:rsidR="0030387A">
        <w:rPr>
          <w:rFonts w:eastAsia="Calibri"/>
          <w:lang w:val="en-NZ" w:eastAsia="en-US"/>
        </w:rPr>
        <w:t>,</w:t>
      </w:r>
      <w:r w:rsidR="000D0456">
        <w:rPr>
          <w:rFonts w:eastAsia="Calibri"/>
          <w:lang w:val="en-NZ" w:eastAsia="en-US"/>
        </w:rPr>
        <w:t xml:space="preserve"> the approval</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modify</w:t>
      </w:r>
      <w:proofErr w:type="gramEnd"/>
      <w:r w:rsidRPr="00B74A60">
        <w:rPr>
          <w:rFonts w:eastAsia="Calibri"/>
          <w:lang w:val="en-NZ" w:eastAsia="en-US"/>
        </w:rPr>
        <w:t>, suspend, or revoke an approval.</w:t>
      </w:r>
    </w:p>
    <w:p w:rsidR="00B74A60" w:rsidRPr="00B74A60" w:rsidRDefault="00B74A60" w:rsidP="00830E17">
      <w:pPr>
        <w:pStyle w:val="Heading6"/>
      </w:pPr>
      <w:r w:rsidRPr="00B74A60">
        <w:t>Responsible person</w:t>
      </w:r>
    </w:p>
    <w:p w:rsidR="00B74A60" w:rsidRPr="00B74A60" w:rsidRDefault="00B74A60" w:rsidP="00B74A60">
      <w:pPr>
        <w:spacing w:after="0" w:line="240" w:lineRule="auto"/>
        <w:rPr>
          <w:rFonts w:eastAsia="Calibri" w:cs="Arial"/>
          <w:szCs w:val="22"/>
          <w:lang w:val="en-NZ" w:eastAsia="en-US"/>
        </w:rPr>
      </w:pPr>
    </w:p>
    <w:p w:rsidR="00B74A60" w:rsidRPr="00B74A60" w:rsidRDefault="00B74A60" w:rsidP="00E440A3">
      <w:pPr>
        <w:pStyle w:val="BodyText"/>
        <w:rPr>
          <w:rFonts w:eastAsia="Calibri"/>
        </w:rPr>
      </w:pPr>
      <w:r w:rsidRPr="00B74A60">
        <w:rPr>
          <w:rFonts w:eastAsia="Calibri"/>
        </w:rPr>
        <w:t xml:space="preserve">There are problems under the current regime in pinpointing a person </w:t>
      </w:r>
      <w:r w:rsidR="008C3080">
        <w:rPr>
          <w:rFonts w:eastAsia="Calibri"/>
        </w:rPr>
        <w:t xml:space="preserve">or entity </w:t>
      </w:r>
      <w:r w:rsidRPr="00B74A60">
        <w:rPr>
          <w:rFonts w:eastAsia="Calibri"/>
        </w:rPr>
        <w:t xml:space="preserve">responsible when quality and safety issues need to be resolved quickly and effectively </w:t>
      </w:r>
      <w:r w:rsidR="00975260">
        <w:rPr>
          <w:rFonts w:eastAsia="Calibri"/>
        </w:rPr>
        <w:t xml:space="preserve">in relation to both product approvals and licences </w:t>
      </w:r>
      <w:r w:rsidRPr="00B74A60">
        <w:rPr>
          <w:rFonts w:eastAsia="Calibri"/>
        </w:rPr>
        <w:t>(including withdrawing a product from market). There are a range of accountabilities, but</w:t>
      </w:r>
      <w:r w:rsidR="00975260">
        <w:rPr>
          <w:rFonts w:eastAsia="Calibri"/>
        </w:rPr>
        <w:t xml:space="preserve">, in respect of products, </w:t>
      </w:r>
      <w:r w:rsidRPr="00B74A60">
        <w:rPr>
          <w:rFonts w:eastAsia="Calibri"/>
        </w:rPr>
        <w:t>no person has overall accountability and a duty to:</w:t>
      </w:r>
    </w:p>
    <w:p w:rsidR="00B74A60" w:rsidRPr="00E440A3" w:rsidRDefault="00B74A60" w:rsidP="00E440A3">
      <w:pPr>
        <w:pStyle w:val="BodyText2"/>
        <w:rPr>
          <w:rFonts w:eastAsia="Calibri"/>
          <w:szCs w:val="22"/>
          <w:lang w:val="en-NZ" w:eastAsia="en-US"/>
        </w:rPr>
      </w:pPr>
      <w:r w:rsidRPr="00E440A3">
        <w:rPr>
          <w:rFonts w:eastAsia="Calibri"/>
          <w:lang w:val="en-NZ" w:eastAsia="en-US"/>
        </w:rPr>
        <w:t xml:space="preserve">respond to queries and requests for information </w:t>
      </w:r>
      <w:r w:rsidR="00975260">
        <w:rPr>
          <w:rFonts w:eastAsia="Calibri"/>
          <w:lang w:val="en-NZ" w:eastAsia="en-US"/>
        </w:rPr>
        <w:t xml:space="preserve">in relation to the </w:t>
      </w:r>
      <w:r w:rsidRPr="00E440A3">
        <w:rPr>
          <w:rFonts w:eastAsia="Calibri"/>
          <w:lang w:val="en-NZ" w:eastAsia="en-US"/>
        </w:rPr>
        <w:t>approva</w:t>
      </w:r>
      <w:r w:rsidR="000D0456">
        <w:rPr>
          <w:rFonts w:eastAsia="Calibri"/>
          <w:lang w:val="en-NZ" w:eastAsia="en-US"/>
        </w:rPr>
        <w:t xml:space="preserve">l, monitoring, and use </w:t>
      </w:r>
      <w:r w:rsidR="00975260">
        <w:rPr>
          <w:rFonts w:eastAsia="Calibri"/>
          <w:lang w:val="en-NZ" w:eastAsia="en-US"/>
        </w:rPr>
        <w:t>of the product</w:t>
      </w:r>
    </w:p>
    <w:p w:rsidR="00B74A60" w:rsidRPr="00B74A60" w:rsidRDefault="00B74A60" w:rsidP="00E440A3">
      <w:pPr>
        <w:pStyle w:val="BodyText2"/>
        <w:rPr>
          <w:rFonts w:eastAsia="Calibri"/>
          <w:lang w:val="en-NZ" w:eastAsia="en-US"/>
        </w:rPr>
      </w:pPr>
      <w:r w:rsidRPr="00B74A60">
        <w:rPr>
          <w:rFonts w:eastAsia="Calibri"/>
          <w:lang w:val="en-NZ" w:eastAsia="en-US"/>
        </w:rPr>
        <w:t xml:space="preserve">maintain distribution standards (including record </w:t>
      </w:r>
      <w:r w:rsidR="000D0456">
        <w:rPr>
          <w:rFonts w:eastAsia="Calibri"/>
          <w:lang w:val="en-NZ" w:eastAsia="en-US"/>
        </w:rPr>
        <w:t>keeping and product monitoring)</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ensure</w:t>
      </w:r>
      <w:proofErr w:type="gramEnd"/>
      <w:r w:rsidRPr="00B74A60">
        <w:rPr>
          <w:rFonts w:eastAsia="Calibri"/>
          <w:lang w:val="en-NZ" w:eastAsia="en-US"/>
        </w:rPr>
        <w:t xml:space="preserve"> there is an effective system to take market action, including recall, and information being available about the distribution chain.</w:t>
      </w:r>
    </w:p>
    <w:p w:rsidR="00B74A60" w:rsidRPr="00B74A60" w:rsidRDefault="00B74A60" w:rsidP="00E440A3">
      <w:pPr>
        <w:pStyle w:val="BodyText"/>
        <w:rPr>
          <w:rFonts w:eastAsia="Calibri"/>
        </w:rPr>
      </w:pPr>
      <w:r w:rsidRPr="00B74A60">
        <w:rPr>
          <w:rFonts w:eastAsia="Calibri"/>
        </w:rPr>
        <w:t xml:space="preserve">An option is for legislation to define </w:t>
      </w:r>
      <w:r w:rsidR="008928C5">
        <w:rPr>
          <w:rFonts w:eastAsia="Calibri"/>
        </w:rPr>
        <w:t xml:space="preserve">the </w:t>
      </w:r>
      <w:r w:rsidRPr="00B74A60">
        <w:rPr>
          <w:rFonts w:eastAsia="Calibri"/>
        </w:rPr>
        <w:t xml:space="preserve">responsible person to make clear who is responsible for an individual product </w:t>
      </w:r>
      <w:r w:rsidR="005F0F92">
        <w:rPr>
          <w:rFonts w:eastAsia="Calibri"/>
        </w:rPr>
        <w:t xml:space="preserve">or licensed activity </w:t>
      </w:r>
      <w:r w:rsidRPr="00B74A60">
        <w:rPr>
          <w:rFonts w:eastAsia="Calibri"/>
        </w:rPr>
        <w:t xml:space="preserve">at </w:t>
      </w:r>
      <w:r w:rsidR="008673E3">
        <w:rPr>
          <w:rFonts w:eastAsia="Calibri"/>
        </w:rPr>
        <w:t xml:space="preserve">any point in </w:t>
      </w:r>
      <w:r w:rsidRPr="00B74A60">
        <w:rPr>
          <w:rFonts w:eastAsia="Calibri"/>
        </w:rPr>
        <w:t>time</w:t>
      </w:r>
      <w:r w:rsidR="008673E3">
        <w:rPr>
          <w:rFonts w:eastAsia="Calibri"/>
        </w:rPr>
        <w:t>.</w:t>
      </w:r>
      <w:r w:rsidRPr="00B74A60">
        <w:rPr>
          <w:rFonts w:eastAsia="Calibri"/>
        </w:rPr>
        <w:t xml:space="preserve">  </w:t>
      </w:r>
      <w:r w:rsidR="00975260">
        <w:rPr>
          <w:rFonts w:eastAsia="Calibri"/>
        </w:rPr>
        <w:t>The legislation would also need to define Approval Holder and Licensee.</w:t>
      </w:r>
      <w:r w:rsidRPr="00B74A60">
        <w:rPr>
          <w:rFonts w:eastAsia="Calibri"/>
        </w:rPr>
        <w:t xml:space="preserve"> </w:t>
      </w:r>
    </w:p>
    <w:p w:rsidR="00B74A60" w:rsidRPr="00B74A60" w:rsidRDefault="00B74A60" w:rsidP="002D4EAA">
      <w:pPr>
        <w:pStyle w:val="BodyText"/>
        <w:rPr>
          <w:rFonts w:eastAsia="Calibri"/>
        </w:rPr>
      </w:pPr>
      <w:r w:rsidRPr="00B74A60">
        <w:rPr>
          <w:rFonts w:eastAsia="Calibri"/>
        </w:rPr>
        <w:t xml:space="preserve">The </w:t>
      </w:r>
      <w:r w:rsidR="00975260">
        <w:rPr>
          <w:rFonts w:eastAsia="Calibri"/>
        </w:rPr>
        <w:t xml:space="preserve">Approval Holder or Licensee would </w:t>
      </w:r>
      <w:r w:rsidRPr="00B74A60">
        <w:rPr>
          <w:rFonts w:eastAsia="Calibri"/>
        </w:rPr>
        <w:t xml:space="preserve">need to </w:t>
      </w:r>
      <w:r w:rsidR="00975260">
        <w:rPr>
          <w:rFonts w:eastAsia="Calibri"/>
        </w:rPr>
        <w:t xml:space="preserve">ensure that the responsible person </w:t>
      </w:r>
      <w:r w:rsidRPr="00B74A60">
        <w:rPr>
          <w:rFonts w:eastAsia="Calibri"/>
        </w:rPr>
        <w:t>meet</w:t>
      </w:r>
      <w:r w:rsidR="00975260">
        <w:rPr>
          <w:rFonts w:eastAsia="Calibri"/>
        </w:rPr>
        <w:t>s</w:t>
      </w:r>
      <w:r w:rsidRPr="00B74A60">
        <w:rPr>
          <w:rFonts w:eastAsia="Calibri"/>
        </w:rPr>
        <w:t xml:space="preserve"> reasonable requirements</w:t>
      </w:r>
      <w:r w:rsidR="00975260">
        <w:rPr>
          <w:rFonts w:eastAsia="Calibri"/>
        </w:rPr>
        <w:t xml:space="preserve">.  </w:t>
      </w:r>
      <w:r w:rsidRPr="00B74A60">
        <w:rPr>
          <w:rFonts w:eastAsia="Calibri"/>
        </w:rPr>
        <w:t xml:space="preserve">This would include demonstrating the necessary technical knowledge, or quick access to it, and meeting character requirements. </w:t>
      </w:r>
    </w:p>
    <w:p w:rsidR="00B74A60" w:rsidRPr="00B74A60" w:rsidRDefault="00B74A60" w:rsidP="00830E17">
      <w:pPr>
        <w:pStyle w:val="Heading6"/>
      </w:pPr>
      <w:r w:rsidRPr="00B74A60">
        <w:t>Classification</w:t>
      </w:r>
    </w:p>
    <w:p w:rsidR="00B74A60" w:rsidRPr="00B74A60" w:rsidRDefault="00B74A60" w:rsidP="00B74A60">
      <w:pPr>
        <w:spacing w:after="0" w:line="240" w:lineRule="auto"/>
        <w:rPr>
          <w:rFonts w:eastAsia="Calibri" w:cs="Arial"/>
          <w:szCs w:val="22"/>
          <w:lang w:val="en-NZ" w:eastAsia="en-US"/>
        </w:rPr>
      </w:pPr>
    </w:p>
    <w:p w:rsidR="00B74A60" w:rsidRPr="00B74A60" w:rsidRDefault="00B74A60" w:rsidP="00E440A3">
      <w:pPr>
        <w:pStyle w:val="BodyText"/>
        <w:rPr>
          <w:rFonts w:eastAsia="Calibri"/>
        </w:rPr>
      </w:pPr>
      <w:r w:rsidRPr="00B74A60">
        <w:rPr>
          <w:rFonts w:eastAsia="Calibri"/>
        </w:rPr>
        <w:t xml:space="preserve">Classification is the process of specifying conditions on availability and particularly whether a product should only be available via a health practitioner. </w:t>
      </w:r>
    </w:p>
    <w:p w:rsidR="00B74A60" w:rsidRPr="00B74A60" w:rsidRDefault="00B74A60" w:rsidP="00E440A3">
      <w:pPr>
        <w:pStyle w:val="BodyText"/>
        <w:rPr>
          <w:rFonts w:eastAsia="Calibri"/>
        </w:rPr>
      </w:pPr>
      <w:r w:rsidRPr="00B74A60">
        <w:rPr>
          <w:rFonts w:eastAsia="Calibri"/>
        </w:rPr>
        <w:t>Classification under the current Act applies to medicines only which, on approval, are classified as prescription, restricted (pharmacist-only), pharmacy-only, or general sale (these categories are also defined in the Act).  It also involves an expert committee established under the Act.</w:t>
      </w:r>
    </w:p>
    <w:p w:rsidR="00B74A60" w:rsidRPr="00B74A60" w:rsidRDefault="00B74A60" w:rsidP="00E440A3">
      <w:pPr>
        <w:pStyle w:val="BodyText"/>
        <w:rPr>
          <w:rFonts w:eastAsia="Calibri"/>
        </w:rPr>
      </w:pPr>
      <w:r w:rsidRPr="00B74A60">
        <w:rPr>
          <w:rFonts w:eastAsia="Calibri"/>
        </w:rPr>
        <w:t xml:space="preserve">In the future, classification may need to apply to other types of therapeutic product and this development should be enabled legislatively.  </w:t>
      </w:r>
    </w:p>
    <w:p w:rsidR="0008116C" w:rsidRPr="00B74A60" w:rsidRDefault="0008116C" w:rsidP="00B74A60">
      <w:pPr>
        <w:spacing w:after="0" w:line="240" w:lineRule="auto"/>
        <w:rPr>
          <w:rFonts w:eastAsia="Calibri" w:cs="Arial"/>
          <w:szCs w:val="22"/>
          <w:lang w:val="en-N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77"/>
        <w:gridCol w:w="4230"/>
      </w:tblGrid>
      <w:tr w:rsidR="00B74A60" w:rsidRPr="003A3E2B" w:rsidTr="00747CD2">
        <w:trPr>
          <w:tblHeader/>
        </w:trPr>
        <w:tc>
          <w:tcPr>
            <w:tcW w:w="9016" w:type="dxa"/>
            <w:gridSpan w:val="3"/>
            <w:tcBorders>
              <w:top w:val="single" w:sz="4" w:space="0" w:color="auto"/>
              <w:left w:val="single" w:sz="4" w:space="0" w:color="auto"/>
              <w:bottom w:val="single" w:sz="4" w:space="0" w:color="auto"/>
              <w:right w:val="single" w:sz="4" w:space="0" w:color="auto"/>
            </w:tcBorders>
            <w:shd w:val="clear" w:color="auto" w:fill="DEEAF6"/>
          </w:tcPr>
          <w:p w:rsidR="00B74A60" w:rsidRPr="003A3E2B" w:rsidRDefault="00B74A60" w:rsidP="003A3E2B">
            <w:pPr>
              <w:spacing w:after="0" w:line="240" w:lineRule="auto"/>
              <w:rPr>
                <w:rFonts w:eastAsia="Calibri" w:cs="Arial"/>
                <w:b/>
                <w:szCs w:val="22"/>
                <w:lang w:val="en-NZ" w:eastAsia="en-US"/>
              </w:rPr>
            </w:pPr>
            <w:r w:rsidRPr="003A3E2B">
              <w:rPr>
                <w:rFonts w:eastAsia="Calibri" w:cs="Arial"/>
                <w:b/>
                <w:szCs w:val="22"/>
                <w:lang w:val="en-NZ" w:eastAsia="en-US"/>
              </w:rPr>
              <w:t>Product approvals: options and impacts</w:t>
            </w:r>
          </w:p>
          <w:p w:rsidR="00B74A60" w:rsidRPr="003A3E2B" w:rsidRDefault="00B74A60" w:rsidP="003A3E2B">
            <w:pPr>
              <w:spacing w:after="0" w:line="240" w:lineRule="auto"/>
              <w:rPr>
                <w:rFonts w:eastAsia="Calibri" w:cs="Arial"/>
                <w:szCs w:val="22"/>
                <w:lang w:val="en-NZ" w:eastAsia="en-US"/>
              </w:rPr>
            </w:pPr>
          </w:p>
        </w:tc>
      </w:tr>
      <w:tr w:rsidR="00103C9D" w:rsidRPr="003A3E2B" w:rsidTr="00747CD2">
        <w:trPr>
          <w:trHeight w:val="626"/>
        </w:trPr>
        <w:tc>
          <w:tcPr>
            <w:tcW w:w="1809" w:type="dxa"/>
            <w:tcBorders>
              <w:top w:val="single" w:sz="4" w:space="0" w:color="auto"/>
              <w:left w:val="single" w:sz="4" w:space="0" w:color="auto"/>
              <w:bottom w:val="single" w:sz="4" w:space="0" w:color="auto"/>
              <w:right w:val="single" w:sz="4" w:space="0" w:color="auto"/>
            </w:tcBorders>
            <w:shd w:val="clear" w:color="auto" w:fill="DEEAF6"/>
          </w:tcPr>
          <w:p w:rsidR="00103C9D" w:rsidRPr="003A3E2B" w:rsidRDefault="00103C9D" w:rsidP="003A3E2B">
            <w:pPr>
              <w:spacing w:after="0" w:line="240" w:lineRule="auto"/>
              <w:jc w:val="center"/>
              <w:rPr>
                <w:rFonts w:eastAsia="Calibri" w:cs="Arial"/>
                <w:i/>
                <w:szCs w:val="22"/>
                <w:lang w:val="en-NZ" w:eastAsia="en-US"/>
              </w:rPr>
            </w:pPr>
            <w:r w:rsidRPr="003A3E2B">
              <w:rPr>
                <w:rFonts w:eastAsia="Calibri" w:cs="Arial"/>
                <w:i/>
                <w:szCs w:val="22"/>
                <w:lang w:val="en-NZ" w:eastAsia="en-US"/>
              </w:rPr>
              <w:t>Options</w:t>
            </w:r>
          </w:p>
          <w:p w:rsidR="00103C9D" w:rsidRPr="003A3E2B" w:rsidRDefault="00103C9D" w:rsidP="003A3E2B">
            <w:pPr>
              <w:spacing w:after="0" w:line="240" w:lineRule="auto"/>
              <w:jc w:val="center"/>
              <w:rPr>
                <w:rFonts w:eastAsia="Calibri" w:cs="Arial"/>
                <w:i/>
                <w:szCs w:val="22"/>
                <w:lang w:val="en-NZ" w:eastAsia="en-US"/>
              </w:rPr>
            </w:pPr>
          </w:p>
        </w:tc>
        <w:tc>
          <w:tcPr>
            <w:tcW w:w="2977" w:type="dxa"/>
            <w:tcBorders>
              <w:top w:val="single" w:sz="4" w:space="0" w:color="auto"/>
              <w:left w:val="single" w:sz="4" w:space="0" w:color="auto"/>
              <w:bottom w:val="single" w:sz="4" w:space="0" w:color="auto"/>
              <w:right w:val="single" w:sz="4" w:space="0" w:color="auto"/>
            </w:tcBorders>
            <w:shd w:val="clear" w:color="auto" w:fill="DEEAF6"/>
          </w:tcPr>
          <w:p w:rsidR="00103C9D" w:rsidRPr="003A3E2B" w:rsidRDefault="00103C9D" w:rsidP="003A3E2B">
            <w:pPr>
              <w:spacing w:after="0" w:line="240" w:lineRule="auto"/>
              <w:jc w:val="center"/>
              <w:rPr>
                <w:rFonts w:eastAsia="Calibri" w:cs="Arial"/>
                <w:i/>
                <w:szCs w:val="22"/>
                <w:lang w:val="en-NZ" w:eastAsia="en-US"/>
              </w:rPr>
            </w:pPr>
            <w:r>
              <w:rPr>
                <w:rFonts w:eastAsia="Calibri" w:cs="Arial"/>
                <w:i/>
                <w:szCs w:val="22"/>
                <w:lang w:val="en-NZ" w:eastAsia="en-US"/>
              </w:rPr>
              <w:t>Description</w:t>
            </w:r>
          </w:p>
        </w:tc>
        <w:tc>
          <w:tcPr>
            <w:tcW w:w="4230" w:type="dxa"/>
            <w:tcBorders>
              <w:top w:val="single" w:sz="4" w:space="0" w:color="auto"/>
              <w:left w:val="single" w:sz="4" w:space="0" w:color="auto"/>
              <w:bottom w:val="single" w:sz="4" w:space="0" w:color="auto"/>
              <w:right w:val="single" w:sz="4" w:space="0" w:color="auto"/>
            </w:tcBorders>
            <w:shd w:val="clear" w:color="auto" w:fill="DEEAF6"/>
          </w:tcPr>
          <w:p w:rsidR="00103C9D" w:rsidRPr="003A3E2B" w:rsidRDefault="00103C9D" w:rsidP="003A3E2B">
            <w:pPr>
              <w:spacing w:after="0" w:line="240" w:lineRule="auto"/>
              <w:jc w:val="center"/>
              <w:rPr>
                <w:rFonts w:eastAsia="Calibri" w:cs="Arial"/>
                <w:i/>
                <w:szCs w:val="22"/>
                <w:lang w:val="en-NZ" w:eastAsia="en-US"/>
              </w:rPr>
            </w:pPr>
            <w:r>
              <w:rPr>
                <w:rFonts w:eastAsia="Calibri" w:cs="Arial"/>
                <w:i/>
                <w:szCs w:val="22"/>
                <w:lang w:val="en-NZ" w:eastAsia="en-US"/>
              </w:rPr>
              <w:t>Impacts</w:t>
            </w:r>
          </w:p>
        </w:tc>
      </w:tr>
      <w:tr w:rsidR="00103C9D" w:rsidRPr="003A3E2B" w:rsidTr="00471AA4">
        <w:tc>
          <w:tcPr>
            <w:tcW w:w="1809" w:type="dxa"/>
            <w:tcBorders>
              <w:top w:val="single" w:sz="4" w:space="0" w:color="auto"/>
            </w:tcBorders>
            <w:shd w:val="clear" w:color="auto" w:fill="auto"/>
          </w:tcPr>
          <w:p w:rsidR="00103C9D" w:rsidRPr="00B7241E" w:rsidRDefault="00103C9D" w:rsidP="00B7241E">
            <w:pPr>
              <w:spacing w:after="0" w:line="240" w:lineRule="auto"/>
              <w:rPr>
                <w:rFonts w:eastAsia="Calibri" w:cs="Arial"/>
                <w:sz w:val="20"/>
                <w:szCs w:val="22"/>
                <w:lang w:val="en-NZ" w:eastAsia="en-US"/>
              </w:rPr>
            </w:pPr>
            <w:r>
              <w:rPr>
                <w:rFonts w:eastAsia="Calibri" w:cs="Arial"/>
                <w:sz w:val="20"/>
                <w:szCs w:val="22"/>
                <w:lang w:val="en-NZ" w:eastAsia="en-US"/>
              </w:rPr>
              <w:t>Status quo</w:t>
            </w:r>
          </w:p>
          <w:p w:rsidR="00103C9D" w:rsidRDefault="00103C9D" w:rsidP="00B7241E">
            <w:pPr>
              <w:spacing w:after="0" w:line="240" w:lineRule="auto"/>
              <w:rPr>
                <w:rFonts w:eastAsia="Calibri" w:cs="Arial"/>
                <w:i/>
                <w:sz w:val="20"/>
                <w:szCs w:val="22"/>
                <w:lang w:val="en-NZ" w:eastAsia="en-US"/>
              </w:rPr>
            </w:pPr>
          </w:p>
        </w:tc>
        <w:tc>
          <w:tcPr>
            <w:tcW w:w="2977" w:type="dxa"/>
            <w:tcBorders>
              <w:top w:val="single" w:sz="4" w:space="0" w:color="auto"/>
            </w:tcBorders>
            <w:shd w:val="clear" w:color="auto" w:fill="auto"/>
          </w:tcPr>
          <w:p w:rsidR="00103C9D" w:rsidRDefault="00103C9D" w:rsidP="00471AA4">
            <w:pPr>
              <w:spacing w:after="0" w:line="240" w:lineRule="auto"/>
              <w:rPr>
                <w:rFonts w:eastAsia="Calibri" w:cs="Arial"/>
                <w:sz w:val="20"/>
                <w:szCs w:val="22"/>
                <w:lang w:val="en-NZ" w:eastAsia="en-US"/>
              </w:rPr>
            </w:pPr>
            <w:r>
              <w:rPr>
                <w:rFonts w:eastAsia="Calibri" w:cs="Arial"/>
                <w:sz w:val="20"/>
                <w:szCs w:val="22"/>
                <w:lang w:val="en-NZ" w:eastAsia="en-US"/>
              </w:rPr>
              <w:t>The approval process for therapeutic products would be set out in primary legislation.</w:t>
            </w:r>
          </w:p>
          <w:p w:rsidR="00103C9D" w:rsidRDefault="00103C9D" w:rsidP="00471AA4">
            <w:pPr>
              <w:spacing w:after="0" w:line="240" w:lineRule="auto"/>
              <w:rPr>
                <w:rFonts w:eastAsia="Calibri" w:cs="Arial"/>
                <w:sz w:val="20"/>
                <w:szCs w:val="22"/>
                <w:lang w:val="en-NZ" w:eastAsia="en-US"/>
              </w:rPr>
            </w:pPr>
          </w:p>
          <w:p w:rsidR="00103C9D" w:rsidRDefault="00103C9D" w:rsidP="00103C9D">
            <w:pPr>
              <w:spacing w:after="0" w:line="240" w:lineRule="auto"/>
              <w:rPr>
                <w:rFonts w:eastAsia="Calibri" w:cs="Arial"/>
                <w:sz w:val="20"/>
                <w:szCs w:val="22"/>
                <w:lang w:val="en-NZ" w:eastAsia="en-US"/>
              </w:rPr>
            </w:pPr>
          </w:p>
        </w:tc>
        <w:tc>
          <w:tcPr>
            <w:tcW w:w="4230" w:type="dxa"/>
            <w:tcBorders>
              <w:top w:val="single" w:sz="4" w:space="0" w:color="auto"/>
            </w:tcBorders>
            <w:shd w:val="clear" w:color="auto" w:fill="auto"/>
          </w:tcPr>
          <w:p w:rsidR="009D6404" w:rsidRDefault="00103C9D" w:rsidP="00B66942">
            <w:pPr>
              <w:numPr>
                <w:ilvl w:val="0"/>
                <w:numId w:val="35"/>
              </w:numPr>
              <w:spacing w:after="0" w:line="240" w:lineRule="auto"/>
              <w:rPr>
                <w:rFonts w:eastAsia="Calibri" w:cs="Arial"/>
                <w:sz w:val="20"/>
                <w:szCs w:val="22"/>
                <w:lang w:val="en-NZ" w:eastAsia="en-US"/>
              </w:rPr>
            </w:pPr>
            <w:r>
              <w:rPr>
                <w:rFonts w:eastAsia="Calibri" w:cs="Arial"/>
                <w:sz w:val="20"/>
                <w:szCs w:val="22"/>
                <w:lang w:val="en-NZ" w:eastAsia="en-US"/>
              </w:rPr>
              <w:t>The limitations of this approach are that it will not enable the regulator to take a risk-appropriate approach, and will quick</w:t>
            </w:r>
            <w:r w:rsidR="009D6404">
              <w:rPr>
                <w:rFonts w:eastAsia="Calibri" w:cs="Arial"/>
                <w:sz w:val="20"/>
                <w:szCs w:val="22"/>
                <w:lang w:val="en-NZ" w:eastAsia="en-US"/>
              </w:rPr>
              <w:t>l</w:t>
            </w:r>
            <w:r>
              <w:rPr>
                <w:rFonts w:eastAsia="Calibri" w:cs="Arial"/>
                <w:sz w:val="20"/>
                <w:szCs w:val="22"/>
                <w:lang w:val="en-NZ" w:eastAsia="en-US"/>
              </w:rPr>
              <w:t>y become rigid</w:t>
            </w:r>
            <w:r w:rsidR="008C5100">
              <w:rPr>
                <w:rFonts w:eastAsia="Calibri" w:cs="Arial"/>
                <w:sz w:val="20"/>
                <w:szCs w:val="22"/>
                <w:lang w:val="en-NZ" w:eastAsia="en-US"/>
              </w:rPr>
              <w:t xml:space="preserve"> and out of date</w:t>
            </w:r>
            <w:r>
              <w:rPr>
                <w:rFonts w:eastAsia="Calibri" w:cs="Arial"/>
                <w:sz w:val="20"/>
                <w:szCs w:val="22"/>
                <w:lang w:val="en-NZ" w:eastAsia="en-US"/>
              </w:rPr>
              <w:t>.</w:t>
            </w:r>
          </w:p>
          <w:p w:rsidR="009D6404" w:rsidRDefault="009D6404" w:rsidP="00471AA4">
            <w:pPr>
              <w:spacing w:after="0" w:line="240" w:lineRule="auto"/>
              <w:rPr>
                <w:rFonts w:eastAsia="Calibri" w:cs="Arial"/>
                <w:sz w:val="20"/>
                <w:szCs w:val="22"/>
                <w:lang w:val="en-NZ" w:eastAsia="en-US"/>
              </w:rPr>
            </w:pPr>
          </w:p>
          <w:p w:rsidR="00103C9D" w:rsidRDefault="002417EC" w:rsidP="00B66942">
            <w:pPr>
              <w:numPr>
                <w:ilvl w:val="0"/>
                <w:numId w:val="35"/>
              </w:numPr>
              <w:spacing w:after="0" w:line="240" w:lineRule="auto"/>
              <w:rPr>
                <w:rFonts w:eastAsia="Calibri" w:cs="Arial"/>
                <w:sz w:val="20"/>
                <w:szCs w:val="22"/>
                <w:lang w:val="en-NZ" w:eastAsia="en-US"/>
              </w:rPr>
            </w:pPr>
            <w:r>
              <w:rPr>
                <w:rFonts w:eastAsia="Calibri" w:cs="Arial"/>
                <w:sz w:val="20"/>
                <w:szCs w:val="22"/>
                <w:lang w:val="en-NZ" w:eastAsia="en-US"/>
              </w:rPr>
              <w:t xml:space="preserve">The key consequence </w:t>
            </w:r>
            <w:r w:rsidR="003D4416">
              <w:rPr>
                <w:rFonts w:eastAsia="Calibri" w:cs="Arial"/>
                <w:sz w:val="20"/>
                <w:szCs w:val="22"/>
                <w:lang w:val="en-NZ" w:eastAsia="en-US"/>
              </w:rPr>
              <w:t xml:space="preserve">is </w:t>
            </w:r>
            <w:r>
              <w:rPr>
                <w:rFonts w:eastAsia="Calibri" w:cs="Arial"/>
                <w:sz w:val="20"/>
                <w:szCs w:val="22"/>
                <w:lang w:val="en-NZ" w:eastAsia="en-US"/>
              </w:rPr>
              <w:t xml:space="preserve">limited effectiveness in managing costs and </w:t>
            </w:r>
            <w:r w:rsidR="009D6404">
              <w:rPr>
                <w:rFonts w:eastAsia="Calibri" w:cs="Arial"/>
                <w:sz w:val="20"/>
                <w:szCs w:val="22"/>
                <w:lang w:val="en-NZ" w:eastAsia="en-US"/>
              </w:rPr>
              <w:t>in promoting access.</w:t>
            </w:r>
          </w:p>
          <w:p w:rsidR="00711AD3" w:rsidRPr="005A73AE" w:rsidRDefault="00711AD3" w:rsidP="00711AD3">
            <w:pPr>
              <w:spacing w:after="0" w:line="240" w:lineRule="auto"/>
              <w:rPr>
                <w:rFonts w:eastAsia="Calibri" w:cs="Arial"/>
                <w:sz w:val="20"/>
                <w:szCs w:val="22"/>
                <w:lang w:val="en-NZ" w:eastAsia="en-US"/>
              </w:rPr>
            </w:pPr>
          </w:p>
        </w:tc>
      </w:tr>
      <w:tr w:rsidR="002417EC" w:rsidRPr="003A3E2B" w:rsidTr="00747CD2">
        <w:tc>
          <w:tcPr>
            <w:tcW w:w="1809" w:type="dxa"/>
            <w:shd w:val="clear" w:color="auto" w:fill="DEEAF6"/>
          </w:tcPr>
          <w:p w:rsidR="002417EC" w:rsidRPr="00471AA4" w:rsidRDefault="002417EC" w:rsidP="00471AA4">
            <w:pPr>
              <w:spacing w:after="0" w:line="240" w:lineRule="auto"/>
              <w:jc w:val="center"/>
              <w:rPr>
                <w:rFonts w:eastAsia="Calibri" w:cs="Arial"/>
                <w:i/>
                <w:szCs w:val="22"/>
                <w:lang w:val="en-NZ" w:eastAsia="en-US"/>
              </w:rPr>
            </w:pPr>
            <w:r w:rsidRPr="00471AA4">
              <w:rPr>
                <w:rFonts w:eastAsia="Calibri" w:cs="Arial"/>
                <w:i/>
                <w:szCs w:val="22"/>
                <w:lang w:val="en-NZ" w:eastAsia="en-US"/>
              </w:rPr>
              <w:t>Areas of possible change</w:t>
            </w:r>
          </w:p>
          <w:p w:rsidR="002417EC" w:rsidRPr="00471AA4" w:rsidRDefault="002417EC" w:rsidP="00471AA4">
            <w:pPr>
              <w:spacing w:after="0" w:line="240" w:lineRule="auto"/>
              <w:jc w:val="center"/>
              <w:rPr>
                <w:rFonts w:eastAsia="Calibri" w:cs="Arial"/>
                <w:szCs w:val="22"/>
                <w:lang w:val="en-NZ" w:eastAsia="en-US"/>
              </w:rPr>
            </w:pPr>
          </w:p>
        </w:tc>
        <w:tc>
          <w:tcPr>
            <w:tcW w:w="2977" w:type="dxa"/>
            <w:shd w:val="clear" w:color="auto" w:fill="DEEAF6"/>
          </w:tcPr>
          <w:p w:rsidR="002417EC" w:rsidRPr="00471AA4" w:rsidRDefault="002417EC" w:rsidP="00471AA4">
            <w:pPr>
              <w:spacing w:after="0" w:line="240" w:lineRule="auto"/>
              <w:jc w:val="center"/>
              <w:rPr>
                <w:rFonts w:eastAsia="Calibri" w:cs="Arial"/>
                <w:i/>
                <w:szCs w:val="22"/>
                <w:lang w:val="en-NZ" w:eastAsia="en-US"/>
              </w:rPr>
            </w:pPr>
            <w:r w:rsidRPr="00471AA4">
              <w:rPr>
                <w:rFonts w:eastAsia="Calibri" w:cs="Arial"/>
                <w:i/>
                <w:szCs w:val="22"/>
                <w:lang w:val="en-NZ" w:eastAsia="en-US"/>
              </w:rPr>
              <w:t xml:space="preserve">Alternative approaches (the second </w:t>
            </w:r>
            <w:r w:rsidR="00A101B8">
              <w:rPr>
                <w:rFonts w:eastAsia="Calibri" w:cs="Arial"/>
                <w:i/>
                <w:szCs w:val="22"/>
                <w:lang w:val="en-NZ" w:eastAsia="en-US"/>
              </w:rPr>
              <w:t xml:space="preserve">is </w:t>
            </w:r>
            <w:r w:rsidRPr="00471AA4">
              <w:rPr>
                <w:rFonts w:eastAsia="Calibri" w:cs="Arial"/>
                <w:i/>
                <w:szCs w:val="22"/>
                <w:lang w:val="en-NZ" w:eastAsia="en-US"/>
              </w:rPr>
              <w:t>preferred in each case)</w:t>
            </w:r>
          </w:p>
          <w:p w:rsidR="002417EC" w:rsidRPr="00471AA4" w:rsidRDefault="002417EC" w:rsidP="00471AA4">
            <w:pPr>
              <w:spacing w:after="0" w:line="240" w:lineRule="auto"/>
              <w:jc w:val="center"/>
              <w:rPr>
                <w:rFonts w:eastAsia="Calibri" w:cs="Arial"/>
                <w:i/>
                <w:szCs w:val="22"/>
                <w:lang w:val="en-NZ" w:eastAsia="en-US"/>
              </w:rPr>
            </w:pPr>
          </w:p>
        </w:tc>
        <w:tc>
          <w:tcPr>
            <w:tcW w:w="4230" w:type="dxa"/>
            <w:shd w:val="clear" w:color="auto" w:fill="DEEAF6"/>
          </w:tcPr>
          <w:p w:rsidR="002417EC" w:rsidRPr="00471AA4" w:rsidRDefault="00B7270F" w:rsidP="00471AA4">
            <w:pPr>
              <w:spacing w:after="0" w:line="240" w:lineRule="auto"/>
              <w:jc w:val="center"/>
              <w:rPr>
                <w:rFonts w:eastAsia="Calibri" w:cs="Arial"/>
                <w:i/>
                <w:szCs w:val="22"/>
                <w:lang w:val="en-NZ" w:eastAsia="en-US"/>
              </w:rPr>
            </w:pPr>
            <w:r w:rsidRPr="00471AA4">
              <w:rPr>
                <w:rFonts w:eastAsia="Calibri" w:cs="Arial"/>
                <w:i/>
                <w:szCs w:val="22"/>
                <w:lang w:val="en-NZ" w:eastAsia="en-US"/>
              </w:rPr>
              <w:t>Reason for preferred approach (most reasons relate in some way to the benefits of flexibility</w:t>
            </w:r>
            <w:r w:rsidR="001B377D" w:rsidRPr="00471AA4">
              <w:rPr>
                <w:rFonts w:eastAsia="Calibri" w:cs="Arial"/>
                <w:i/>
                <w:szCs w:val="22"/>
                <w:lang w:val="en-NZ" w:eastAsia="en-US"/>
              </w:rPr>
              <w:t xml:space="preserve"> in managing risk</w:t>
            </w:r>
            <w:r w:rsidRPr="00471AA4">
              <w:rPr>
                <w:rFonts w:eastAsia="Calibri" w:cs="Arial"/>
                <w:i/>
                <w:szCs w:val="22"/>
                <w:lang w:val="en-NZ" w:eastAsia="en-US"/>
              </w:rPr>
              <w:t>)</w:t>
            </w:r>
          </w:p>
          <w:p w:rsidR="00B7270F" w:rsidRPr="00471AA4" w:rsidRDefault="00B7270F" w:rsidP="00471AA4">
            <w:pPr>
              <w:spacing w:after="0" w:line="240" w:lineRule="auto"/>
              <w:jc w:val="center"/>
              <w:rPr>
                <w:rFonts w:eastAsia="Calibri" w:cs="Arial"/>
                <w:i/>
                <w:szCs w:val="22"/>
                <w:lang w:val="en-NZ" w:eastAsia="en-US"/>
              </w:rPr>
            </w:pPr>
          </w:p>
        </w:tc>
      </w:tr>
      <w:tr w:rsidR="00103C9D" w:rsidRPr="003A3E2B" w:rsidTr="00471AA4">
        <w:tc>
          <w:tcPr>
            <w:tcW w:w="1809" w:type="dxa"/>
            <w:shd w:val="clear" w:color="auto" w:fill="auto"/>
          </w:tcPr>
          <w:p w:rsidR="00103C9D" w:rsidRPr="003A3E2B" w:rsidRDefault="00103C9D"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Approval process</w:t>
            </w:r>
          </w:p>
          <w:p w:rsidR="00103C9D" w:rsidRPr="003A3E2B" w:rsidRDefault="00103C9D" w:rsidP="003A3E2B">
            <w:pPr>
              <w:spacing w:after="0" w:line="240" w:lineRule="auto"/>
              <w:rPr>
                <w:rFonts w:eastAsia="Calibri" w:cs="Arial"/>
                <w:sz w:val="20"/>
                <w:szCs w:val="22"/>
                <w:lang w:val="en-NZ" w:eastAsia="en-US"/>
              </w:rPr>
            </w:pPr>
          </w:p>
          <w:p w:rsidR="00103C9D" w:rsidRPr="003A3E2B" w:rsidRDefault="00103C9D" w:rsidP="00A143F5">
            <w:pPr>
              <w:spacing w:after="0" w:line="240" w:lineRule="auto"/>
              <w:rPr>
                <w:rFonts w:eastAsia="Calibri" w:cs="Arial"/>
                <w:sz w:val="20"/>
                <w:szCs w:val="22"/>
                <w:lang w:val="en-NZ" w:eastAsia="en-US"/>
              </w:rPr>
            </w:pPr>
          </w:p>
        </w:tc>
        <w:tc>
          <w:tcPr>
            <w:tcW w:w="2977" w:type="dxa"/>
            <w:shd w:val="clear" w:color="auto" w:fill="auto"/>
          </w:tcPr>
          <w:p w:rsidR="002417EC" w:rsidRDefault="00103C9D"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Process pre-defined</w:t>
            </w:r>
            <w:r>
              <w:rPr>
                <w:rFonts w:eastAsia="Calibri" w:cs="Arial"/>
                <w:sz w:val="20"/>
                <w:szCs w:val="22"/>
                <w:lang w:val="en-NZ" w:eastAsia="en-US"/>
              </w:rPr>
              <w:t>, or</w:t>
            </w:r>
            <w:r w:rsidRPr="003A3E2B">
              <w:rPr>
                <w:rFonts w:eastAsia="Calibri" w:cs="Arial"/>
                <w:sz w:val="20"/>
                <w:szCs w:val="22"/>
                <w:lang w:val="en-NZ" w:eastAsia="en-US"/>
              </w:rPr>
              <w:t xml:space="preserve"> </w:t>
            </w:r>
          </w:p>
          <w:p w:rsidR="00103C9D" w:rsidRPr="003A3E2B" w:rsidRDefault="00103C9D" w:rsidP="00471AA4">
            <w:pPr>
              <w:spacing w:after="0" w:line="240" w:lineRule="auto"/>
              <w:ind w:left="360" w:firstLine="60"/>
              <w:rPr>
                <w:rFonts w:eastAsia="Calibri" w:cs="Arial"/>
                <w:sz w:val="20"/>
                <w:szCs w:val="22"/>
                <w:lang w:val="en-NZ" w:eastAsia="en-US"/>
              </w:rPr>
            </w:pPr>
          </w:p>
          <w:p w:rsidR="00103C9D" w:rsidRDefault="00103C9D"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Regulatory flexibility to modify process if necessary</w:t>
            </w:r>
          </w:p>
          <w:p w:rsidR="00103C9D" w:rsidRDefault="00103C9D" w:rsidP="00103C9D">
            <w:pPr>
              <w:spacing w:after="0" w:line="240" w:lineRule="auto"/>
              <w:rPr>
                <w:rFonts w:eastAsia="Calibri" w:cs="Arial"/>
                <w:sz w:val="20"/>
                <w:szCs w:val="22"/>
                <w:lang w:val="en-NZ" w:eastAsia="en-US"/>
              </w:rPr>
            </w:pPr>
          </w:p>
        </w:tc>
        <w:tc>
          <w:tcPr>
            <w:tcW w:w="4230" w:type="dxa"/>
            <w:shd w:val="clear" w:color="auto" w:fill="auto"/>
          </w:tcPr>
          <w:p w:rsidR="00103C9D" w:rsidRPr="003A3E2B" w:rsidRDefault="00D83B18" w:rsidP="00B66942">
            <w:pPr>
              <w:numPr>
                <w:ilvl w:val="0"/>
                <w:numId w:val="34"/>
              </w:numPr>
              <w:spacing w:after="0" w:line="240" w:lineRule="auto"/>
              <w:rPr>
                <w:rFonts w:eastAsia="Calibri" w:cs="Arial"/>
                <w:sz w:val="20"/>
                <w:szCs w:val="22"/>
                <w:lang w:val="en-NZ" w:eastAsia="en-US"/>
              </w:rPr>
            </w:pPr>
            <w:r>
              <w:rPr>
                <w:rFonts w:eastAsia="Calibri" w:cs="Arial"/>
                <w:sz w:val="20"/>
                <w:szCs w:val="22"/>
                <w:lang w:val="en-NZ" w:eastAsia="en-US"/>
              </w:rPr>
              <w:t>Flexibility enables process</w:t>
            </w:r>
            <w:r w:rsidR="008928C5">
              <w:rPr>
                <w:rFonts w:eastAsia="Calibri" w:cs="Arial"/>
                <w:sz w:val="20"/>
                <w:szCs w:val="22"/>
                <w:lang w:val="en-NZ" w:eastAsia="en-US"/>
              </w:rPr>
              <w:t>es</w:t>
            </w:r>
            <w:r>
              <w:rPr>
                <w:rFonts w:eastAsia="Calibri" w:cs="Arial"/>
                <w:sz w:val="20"/>
                <w:szCs w:val="22"/>
                <w:lang w:val="en-NZ" w:eastAsia="en-US"/>
              </w:rPr>
              <w:t xml:space="preserve"> to be risk appropriate and cost appropriate.</w:t>
            </w:r>
          </w:p>
          <w:p w:rsidR="00103C9D" w:rsidRPr="003A3E2B" w:rsidRDefault="00103C9D" w:rsidP="003A3E2B">
            <w:pPr>
              <w:spacing w:after="0" w:line="240" w:lineRule="auto"/>
              <w:rPr>
                <w:rFonts w:eastAsia="Calibri" w:cs="Arial"/>
                <w:sz w:val="20"/>
                <w:szCs w:val="22"/>
                <w:lang w:val="en-NZ" w:eastAsia="en-US"/>
              </w:rPr>
            </w:pPr>
          </w:p>
        </w:tc>
      </w:tr>
      <w:tr w:rsidR="00103C9D" w:rsidRPr="003A3E2B" w:rsidTr="00471AA4">
        <w:tc>
          <w:tcPr>
            <w:tcW w:w="1809" w:type="dxa"/>
            <w:shd w:val="clear" w:color="auto" w:fill="auto"/>
          </w:tcPr>
          <w:p w:rsidR="00103C9D" w:rsidRPr="003A3E2B" w:rsidRDefault="00103C9D"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Product categories / risk sub-categories </w:t>
            </w:r>
          </w:p>
          <w:p w:rsidR="00103C9D" w:rsidRPr="003A3E2B" w:rsidRDefault="00103C9D" w:rsidP="00A143F5">
            <w:pPr>
              <w:spacing w:after="0" w:line="240" w:lineRule="auto"/>
              <w:rPr>
                <w:rFonts w:eastAsia="Calibri" w:cs="Arial"/>
                <w:sz w:val="20"/>
                <w:szCs w:val="22"/>
                <w:lang w:val="en-NZ" w:eastAsia="en-US"/>
              </w:rPr>
            </w:pPr>
          </w:p>
        </w:tc>
        <w:tc>
          <w:tcPr>
            <w:tcW w:w="2977" w:type="dxa"/>
            <w:shd w:val="clear" w:color="auto" w:fill="auto"/>
          </w:tcPr>
          <w:p w:rsidR="00103C9D" w:rsidRDefault="00103C9D"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Set out in p</w:t>
            </w:r>
            <w:r>
              <w:rPr>
                <w:rFonts w:eastAsia="Calibri" w:cs="Arial"/>
                <w:sz w:val="20"/>
                <w:szCs w:val="22"/>
                <w:lang w:val="en-NZ" w:eastAsia="en-US"/>
              </w:rPr>
              <w:t>rimary or secondary legislation, or</w:t>
            </w:r>
          </w:p>
          <w:p w:rsidR="002417EC" w:rsidRPr="003A3E2B" w:rsidRDefault="002417EC" w:rsidP="00471AA4">
            <w:pPr>
              <w:spacing w:after="0" w:line="240" w:lineRule="auto"/>
              <w:ind w:left="360"/>
              <w:rPr>
                <w:rFonts w:eastAsia="Calibri" w:cs="Arial"/>
                <w:sz w:val="20"/>
                <w:szCs w:val="22"/>
                <w:lang w:val="en-NZ" w:eastAsia="en-US"/>
              </w:rPr>
            </w:pPr>
          </w:p>
          <w:p w:rsidR="00103C9D" w:rsidRDefault="00103C9D"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Set out in </w:t>
            </w:r>
            <w:r w:rsidR="00D11619">
              <w:rPr>
                <w:rFonts w:eastAsia="Calibri" w:cs="Arial"/>
                <w:sz w:val="20"/>
                <w:szCs w:val="22"/>
                <w:lang w:val="en-NZ" w:eastAsia="en-US"/>
              </w:rPr>
              <w:t>a combination of</w:t>
            </w:r>
            <w:r>
              <w:rPr>
                <w:rFonts w:eastAsia="Calibri" w:cs="Arial"/>
                <w:sz w:val="20"/>
                <w:szCs w:val="22"/>
                <w:lang w:val="en-NZ" w:eastAsia="en-US"/>
              </w:rPr>
              <w:t xml:space="preserve"> primary, secondary, and </w:t>
            </w:r>
            <w:r w:rsidRPr="003A3E2B">
              <w:rPr>
                <w:rFonts w:eastAsia="Calibri" w:cs="Arial"/>
                <w:sz w:val="20"/>
                <w:szCs w:val="22"/>
                <w:lang w:val="en-NZ" w:eastAsia="en-US"/>
              </w:rPr>
              <w:t>tertiary instruments</w:t>
            </w:r>
          </w:p>
          <w:p w:rsidR="00103C9D" w:rsidRDefault="00103C9D" w:rsidP="00103C9D">
            <w:pPr>
              <w:spacing w:after="0" w:line="240" w:lineRule="auto"/>
              <w:rPr>
                <w:rFonts w:eastAsia="Calibri" w:cs="Arial"/>
                <w:sz w:val="20"/>
                <w:szCs w:val="22"/>
                <w:lang w:val="en-NZ" w:eastAsia="en-US"/>
              </w:rPr>
            </w:pPr>
          </w:p>
        </w:tc>
        <w:tc>
          <w:tcPr>
            <w:tcW w:w="4230" w:type="dxa"/>
            <w:shd w:val="clear" w:color="auto" w:fill="auto"/>
          </w:tcPr>
          <w:p w:rsidR="00103C9D" w:rsidRPr="003A3E2B" w:rsidRDefault="00B7270F" w:rsidP="00B66942">
            <w:pPr>
              <w:numPr>
                <w:ilvl w:val="0"/>
                <w:numId w:val="34"/>
              </w:numPr>
              <w:spacing w:after="0" w:line="240" w:lineRule="auto"/>
              <w:rPr>
                <w:rFonts w:eastAsia="Calibri" w:cs="Arial"/>
                <w:sz w:val="20"/>
                <w:szCs w:val="22"/>
                <w:lang w:val="en-NZ" w:eastAsia="en-US"/>
              </w:rPr>
            </w:pPr>
            <w:r>
              <w:rPr>
                <w:rFonts w:eastAsia="Calibri" w:cs="Arial"/>
                <w:sz w:val="20"/>
                <w:szCs w:val="22"/>
                <w:lang w:val="en-NZ" w:eastAsia="en-US"/>
              </w:rPr>
              <w:t>Flexibility enables</w:t>
            </w:r>
            <w:r w:rsidR="00A101B8">
              <w:rPr>
                <w:rFonts w:eastAsia="Calibri" w:cs="Arial"/>
                <w:sz w:val="20"/>
                <w:szCs w:val="22"/>
                <w:lang w:val="en-NZ" w:eastAsia="en-US"/>
              </w:rPr>
              <w:t xml:space="preserve"> categories to be kept up to date, or kept up to date more efficiently (legislation – when it can be changed - is costly to change), while ensuring appropriate accountability.</w:t>
            </w:r>
          </w:p>
          <w:p w:rsidR="00103C9D" w:rsidRPr="003A3E2B" w:rsidRDefault="00103C9D" w:rsidP="003A3E2B">
            <w:pPr>
              <w:spacing w:after="0" w:line="240" w:lineRule="auto"/>
              <w:rPr>
                <w:rFonts w:eastAsia="Calibri" w:cs="Arial"/>
                <w:sz w:val="20"/>
                <w:szCs w:val="22"/>
                <w:lang w:val="en-NZ" w:eastAsia="en-US"/>
              </w:rPr>
            </w:pPr>
          </w:p>
        </w:tc>
      </w:tr>
      <w:tr w:rsidR="00103C9D" w:rsidRPr="003A3E2B" w:rsidTr="00471AA4">
        <w:tc>
          <w:tcPr>
            <w:tcW w:w="1809" w:type="dxa"/>
            <w:shd w:val="clear" w:color="auto" w:fill="auto"/>
          </w:tcPr>
          <w:p w:rsidR="00103C9D" w:rsidRPr="003A3E2B" w:rsidRDefault="00103C9D"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Basis of approval</w:t>
            </w:r>
          </w:p>
          <w:p w:rsidR="00103C9D" w:rsidRPr="003A3E2B" w:rsidRDefault="00103C9D" w:rsidP="003A3E2B">
            <w:pPr>
              <w:spacing w:after="0" w:line="240" w:lineRule="auto"/>
              <w:rPr>
                <w:rFonts w:eastAsia="Calibri" w:cs="Arial"/>
                <w:sz w:val="20"/>
                <w:szCs w:val="22"/>
                <w:lang w:val="en-NZ" w:eastAsia="en-US"/>
              </w:rPr>
            </w:pPr>
          </w:p>
          <w:p w:rsidR="00103C9D" w:rsidRPr="003A3E2B" w:rsidRDefault="00103C9D" w:rsidP="00A143F5">
            <w:pPr>
              <w:spacing w:after="0" w:line="240" w:lineRule="auto"/>
              <w:rPr>
                <w:rFonts w:eastAsia="Calibri" w:cs="Arial"/>
                <w:sz w:val="20"/>
                <w:szCs w:val="22"/>
                <w:lang w:val="en-NZ" w:eastAsia="en-US"/>
              </w:rPr>
            </w:pPr>
          </w:p>
        </w:tc>
        <w:tc>
          <w:tcPr>
            <w:tcW w:w="2977" w:type="dxa"/>
            <w:shd w:val="clear" w:color="auto" w:fill="auto"/>
          </w:tcPr>
          <w:p w:rsidR="00103C9D" w:rsidRDefault="00103C9D"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Regulator must condu</w:t>
            </w:r>
            <w:r>
              <w:rPr>
                <w:rFonts w:eastAsia="Calibri" w:cs="Arial"/>
                <w:sz w:val="20"/>
                <w:szCs w:val="22"/>
                <w:lang w:val="en-NZ" w:eastAsia="en-US"/>
              </w:rPr>
              <w:t>ct its own technical assessment, or</w:t>
            </w:r>
          </w:p>
          <w:p w:rsidR="002417EC" w:rsidRPr="003A3E2B" w:rsidRDefault="002417EC" w:rsidP="00471AA4">
            <w:pPr>
              <w:spacing w:after="0" w:line="240" w:lineRule="auto"/>
              <w:ind w:left="360"/>
              <w:rPr>
                <w:rFonts w:eastAsia="Calibri" w:cs="Arial"/>
                <w:sz w:val="20"/>
                <w:szCs w:val="22"/>
                <w:lang w:val="en-NZ" w:eastAsia="en-US"/>
              </w:rPr>
            </w:pPr>
          </w:p>
          <w:p w:rsidR="00103C9D" w:rsidRDefault="00103C9D" w:rsidP="00471AA4">
            <w:pPr>
              <w:spacing w:after="0" w:line="240" w:lineRule="auto"/>
              <w:rPr>
                <w:rFonts w:eastAsia="Calibri" w:cs="Arial"/>
                <w:sz w:val="20"/>
                <w:szCs w:val="22"/>
                <w:lang w:val="en-NZ" w:eastAsia="en-US"/>
              </w:rPr>
            </w:pPr>
            <w:r>
              <w:rPr>
                <w:rFonts w:eastAsia="Calibri" w:cs="Arial"/>
                <w:sz w:val="20"/>
                <w:szCs w:val="22"/>
                <w:lang w:val="en-NZ" w:eastAsia="en-US"/>
              </w:rPr>
              <w:t>Mixed model – full assessment, partial assessment, unilateral recognition</w:t>
            </w:r>
          </w:p>
          <w:p w:rsidR="00103C9D" w:rsidRDefault="00103C9D" w:rsidP="00103C9D">
            <w:pPr>
              <w:spacing w:after="0" w:line="240" w:lineRule="auto"/>
              <w:rPr>
                <w:rFonts w:eastAsia="Calibri" w:cs="Arial"/>
                <w:sz w:val="20"/>
                <w:szCs w:val="22"/>
                <w:lang w:val="en-NZ" w:eastAsia="en-US"/>
              </w:rPr>
            </w:pPr>
          </w:p>
        </w:tc>
        <w:tc>
          <w:tcPr>
            <w:tcW w:w="4230" w:type="dxa"/>
            <w:shd w:val="clear" w:color="auto" w:fill="auto"/>
          </w:tcPr>
          <w:p w:rsidR="00103C9D" w:rsidRDefault="00B7270F" w:rsidP="00B66942">
            <w:pPr>
              <w:numPr>
                <w:ilvl w:val="0"/>
                <w:numId w:val="34"/>
              </w:numPr>
              <w:spacing w:after="0" w:line="240" w:lineRule="auto"/>
              <w:rPr>
                <w:rFonts w:eastAsia="Calibri" w:cs="Arial"/>
                <w:sz w:val="20"/>
                <w:szCs w:val="22"/>
                <w:lang w:val="en-NZ" w:eastAsia="en-US"/>
              </w:rPr>
            </w:pPr>
            <w:r>
              <w:rPr>
                <w:rFonts w:eastAsia="Calibri" w:cs="Arial"/>
                <w:sz w:val="20"/>
                <w:szCs w:val="22"/>
                <w:lang w:val="en-NZ" w:eastAsia="en-US"/>
              </w:rPr>
              <w:t>Flexibility enables</w:t>
            </w:r>
            <w:r w:rsidR="001B377D">
              <w:rPr>
                <w:rFonts w:eastAsia="Calibri" w:cs="Arial"/>
                <w:sz w:val="20"/>
                <w:szCs w:val="22"/>
                <w:lang w:val="en-NZ" w:eastAsia="en-US"/>
              </w:rPr>
              <w:t xml:space="preserve"> regulator to determine best approach based on all the circumstances</w:t>
            </w:r>
            <w:r w:rsidR="00D60C65">
              <w:rPr>
                <w:rFonts w:eastAsia="Calibri" w:cs="Arial"/>
                <w:sz w:val="20"/>
                <w:szCs w:val="22"/>
                <w:lang w:val="en-NZ" w:eastAsia="en-US"/>
              </w:rPr>
              <w:t xml:space="preserve"> (including capacity)</w:t>
            </w:r>
            <w:r w:rsidR="001B377D">
              <w:rPr>
                <w:rFonts w:eastAsia="Calibri" w:cs="Arial"/>
                <w:sz w:val="20"/>
                <w:szCs w:val="22"/>
                <w:lang w:val="en-NZ" w:eastAsia="en-US"/>
              </w:rPr>
              <w:t>.</w:t>
            </w:r>
          </w:p>
          <w:p w:rsidR="001B377D" w:rsidRDefault="001B377D" w:rsidP="00471AA4">
            <w:pPr>
              <w:spacing w:after="0" w:line="240" w:lineRule="auto"/>
              <w:ind w:left="360"/>
              <w:rPr>
                <w:rFonts w:eastAsia="Calibri" w:cs="Arial"/>
                <w:sz w:val="20"/>
                <w:szCs w:val="22"/>
                <w:lang w:val="en-NZ" w:eastAsia="en-US"/>
              </w:rPr>
            </w:pPr>
          </w:p>
          <w:p w:rsidR="001B377D" w:rsidRDefault="001B377D" w:rsidP="00B66942">
            <w:pPr>
              <w:numPr>
                <w:ilvl w:val="0"/>
                <w:numId w:val="34"/>
              </w:numPr>
              <w:spacing w:after="0" w:line="240" w:lineRule="auto"/>
              <w:rPr>
                <w:rFonts w:eastAsia="Calibri" w:cs="Arial"/>
                <w:sz w:val="20"/>
                <w:szCs w:val="22"/>
                <w:lang w:val="en-NZ" w:eastAsia="en-US"/>
              </w:rPr>
            </w:pPr>
            <w:r>
              <w:rPr>
                <w:rFonts w:eastAsia="Calibri" w:cs="Arial"/>
                <w:sz w:val="20"/>
                <w:szCs w:val="22"/>
                <w:lang w:val="en-NZ" w:eastAsia="en-US"/>
              </w:rPr>
              <w:t>Mixed model provides full spectrum of alternatives, with benefits for effective cost management.</w:t>
            </w:r>
          </w:p>
          <w:p w:rsidR="00103C9D" w:rsidRPr="003A3E2B" w:rsidRDefault="00103C9D" w:rsidP="003A3E2B">
            <w:pPr>
              <w:spacing w:after="0" w:line="240" w:lineRule="auto"/>
              <w:rPr>
                <w:rFonts w:eastAsia="Calibri" w:cs="Arial"/>
                <w:sz w:val="20"/>
                <w:szCs w:val="22"/>
                <w:lang w:val="en-NZ" w:eastAsia="en-US"/>
              </w:rPr>
            </w:pPr>
          </w:p>
        </w:tc>
      </w:tr>
      <w:tr w:rsidR="00103C9D" w:rsidRPr="003A3E2B" w:rsidTr="00471AA4">
        <w:tc>
          <w:tcPr>
            <w:tcW w:w="1809" w:type="dxa"/>
            <w:shd w:val="clear" w:color="auto" w:fill="auto"/>
          </w:tcPr>
          <w:p w:rsidR="00103C9D" w:rsidRPr="003A3E2B" w:rsidRDefault="00103C9D"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Approval conditions</w:t>
            </w:r>
          </w:p>
          <w:p w:rsidR="00103C9D" w:rsidRPr="003A3E2B" w:rsidRDefault="00103C9D" w:rsidP="003A3E2B">
            <w:pPr>
              <w:spacing w:after="0" w:line="240" w:lineRule="auto"/>
              <w:rPr>
                <w:rFonts w:eastAsia="Calibri" w:cs="Arial"/>
                <w:sz w:val="20"/>
                <w:szCs w:val="22"/>
                <w:lang w:val="en-NZ" w:eastAsia="en-US"/>
              </w:rPr>
            </w:pPr>
          </w:p>
          <w:p w:rsidR="00103C9D" w:rsidRPr="003A3E2B" w:rsidRDefault="00103C9D" w:rsidP="00A143F5">
            <w:pPr>
              <w:spacing w:after="0" w:line="240" w:lineRule="auto"/>
              <w:rPr>
                <w:rFonts w:eastAsia="Calibri" w:cs="Arial"/>
                <w:sz w:val="20"/>
                <w:szCs w:val="22"/>
                <w:lang w:val="en-NZ" w:eastAsia="en-US"/>
              </w:rPr>
            </w:pPr>
          </w:p>
        </w:tc>
        <w:tc>
          <w:tcPr>
            <w:tcW w:w="2977" w:type="dxa"/>
            <w:shd w:val="clear" w:color="auto" w:fill="auto"/>
          </w:tcPr>
          <w:p w:rsidR="00103C9D" w:rsidRDefault="00103C9D"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Conditions must conform with a pre-defined approach</w:t>
            </w:r>
            <w:r>
              <w:rPr>
                <w:rFonts w:eastAsia="Calibri" w:cs="Arial"/>
                <w:sz w:val="20"/>
                <w:szCs w:val="22"/>
                <w:lang w:val="en-NZ" w:eastAsia="en-US"/>
              </w:rPr>
              <w:t>, or</w:t>
            </w:r>
            <w:r w:rsidRPr="003A3E2B">
              <w:rPr>
                <w:rFonts w:eastAsia="Calibri" w:cs="Arial"/>
                <w:sz w:val="20"/>
                <w:szCs w:val="22"/>
                <w:lang w:val="en-NZ" w:eastAsia="en-US"/>
              </w:rPr>
              <w:t xml:space="preserve"> </w:t>
            </w:r>
          </w:p>
          <w:p w:rsidR="002417EC" w:rsidRPr="003A3E2B" w:rsidRDefault="002417EC" w:rsidP="00471AA4">
            <w:pPr>
              <w:spacing w:after="0" w:line="240" w:lineRule="auto"/>
              <w:ind w:left="360"/>
              <w:rPr>
                <w:rFonts w:eastAsia="Calibri" w:cs="Arial"/>
                <w:sz w:val="20"/>
                <w:szCs w:val="22"/>
                <w:lang w:val="en-NZ" w:eastAsia="en-US"/>
              </w:rPr>
            </w:pPr>
          </w:p>
          <w:p w:rsidR="00103C9D" w:rsidRDefault="00103C9D"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Conditions may be determined and imposed as the regulator sees fit</w:t>
            </w:r>
          </w:p>
          <w:p w:rsidR="00103C9D" w:rsidRDefault="00103C9D" w:rsidP="00103C9D">
            <w:pPr>
              <w:spacing w:after="0" w:line="240" w:lineRule="auto"/>
              <w:rPr>
                <w:rFonts w:eastAsia="Calibri" w:cs="Arial"/>
                <w:sz w:val="20"/>
                <w:szCs w:val="22"/>
                <w:lang w:val="en-NZ" w:eastAsia="en-US"/>
              </w:rPr>
            </w:pPr>
          </w:p>
        </w:tc>
        <w:tc>
          <w:tcPr>
            <w:tcW w:w="4230" w:type="dxa"/>
            <w:shd w:val="clear" w:color="auto" w:fill="auto"/>
          </w:tcPr>
          <w:p w:rsidR="00103C9D" w:rsidRDefault="00B7270F" w:rsidP="00B66942">
            <w:pPr>
              <w:numPr>
                <w:ilvl w:val="0"/>
                <w:numId w:val="34"/>
              </w:numPr>
              <w:spacing w:after="0" w:line="240" w:lineRule="auto"/>
              <w:rPr>
                <w:rFonts w:eastAsia="Calibri" w:cs="Arial"/>
                <w:sz w:val="20"/>
                <w:szCs w:val="22"/>
                <w:lang w:val="en-NZ" w:eastAsia="en-US"/>
              </w:rPr>
            </w:pPr>
            <w:r>
              <w:rPr>
                <w:rFonts w:eastAsia="Calibri" w:cs="Arial"/>
                <w:sz w:val="20"/>
                <w:szCs w:val="22"/>
                <w:lang w:val="en-NZ" w:eastAsia="en-US"/>
              </w:rPr>
              <w:t>Flexibility enables</w:t>
            </w:r>
            <w:r w:rsidR="00A101B8">
              <w:rPr>
                <w:rFonts w:eastAsia="Calibri" w:cs="Arial"/>
                <w:sz w:val="20"/>
                <w:szCs w:val="22"/>
                <w:lang w:val="en-NZ" w:eastAsia="en-US"/>
              </w:rPr>
              <w:t xml:space="preserve"> the regulator to align the conditions with the particular circumstances and risk assessment for a particular product or activity.</w:t>
            </w:r>
          </w:p>
          <w:p w:rsidR="00BD4574" w:rsidRDefault="00BD4574" w:rsidP="00BD4574">
            <w:pPr>
              <w:spacing w:after="0" w:line="240" w:lineRule="auto"/>
              <w:ind w:left="360"/>
              <w:rPr>
                <w:rFonts w:eastAsia="Calibri" w:cs="Arial"/>
                <w:sz w:val="20"/>
                <w:szCs w:val="22"/>
                <w:lang w:val="en-NZ" w:eastAsia="en-US"/>
              </w:rPr>
            </w:pPr>
          </w:p>
          <w:p w:rsidR="00BD4574" w:rsidRPr="003A3E2B" w:rsidRDefault="00BD4574" w:rsidP="00B66942">
            <w:pPr>
              <w:numPr>
                <w:ilvl w:val="0"/>
                <w:numId w:val="34"/>
              </w:numPr>
              <w:spacing w:after="0" w:line="240" w:lineRule="auto"/>
              <w:rPr>
                <w:rFonts w:eastAsia="Calibri" w:cs="Arial"/>
                <w:sz w:val="20"/>
                <w:szCs w:val="22"/>
                <w:lang w:val="en-NZ" w:eastAsia="en-US"/>
              </w:rPr>
            </w:pPr>
            <w:r>
              <w:rPr>
                <w:rFonts w:eastAsia="Calibri" w:cs="Arial"/>
                <w:sz w:val="20"/>
                <w:szCs w:val="22"/>
                <w:lang w:val="en-NZ" w:eastAsia="en-US"/>
              </w:rPr>
              <w:t xml:space="preserve">Less certainty for industry (in terms of type of conditions), but more certainty that risks will be managed proportionately (which is not without some benefit to industry). </w:t>
            </w:r>
          </w:p>
          <w:p w:rsidR="00103C9D" w:rsidRPr="003A3E2B" w:rsidRDefault="00103C9D" w:rsidP="003A3E2B">
            <w:pPr>
              <w:spacing w:after="0" w:line="240" w:lineRule="auto"/>
              <w:rPr>
                <w:rFonts w:eastAsia="Calibri" w:cs="Arial"/>
                <w:sz w:val="20"/>
                <w:szCs w:val="22"/>
                <w:lang w:val="en-NZ" w:eastAsia="en-US"/>
              </w:rPr>
            </w:pPr>
          </w:p>
        </w:tc>
      </w:tr>
      <w:tr w:rsidR="00103C9D" w:rsidRPr="003A3E2B" w:rsidTr="00471AA4">
        <w:tc>
          <w:tcPr>
            <w:tcW w:w="1809" w:type="dxa"/>
            <w:shd w:val="clear" w:color="auto" w:fill="auto"/>
          </w:tcPr>
          <w:p w:rsidR="00103C9D" w:rsidRPr="003A3E2B" w:rsidRDefault="00103C9D"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Change in approval</w:t>
            </w:r>
          </w:p>
          <w:p w:rsidR="00103C9D" w:rsidRPr="003A3E2B" w:rsidRDefault="00103C9D" w:rsidP="003A3E2B">
            <w:pPr>
              <w:spacing w:after="0" w:line="240" w:lineRule="auto"/>
              <w:rPr>
                <w:rFonts w:eastAsia="Calibri" w:cs="Arial"/>
                <w:sz w:val="20"/>
                <w:szCs w:val="22"/>
                <w:lang w:val="en-NZ" w:eastAsia="en-US"/>
              </w:rPr>
            </w:pPr>
          </w:p>
          <w:p w:rsidR="00103C9D" w:rsidRPr="003A3E2B" w:rsidRDefault="00103C9D" w:rsidP="003A3E2B">
            <w:pPr>
              <w:spacing w:after="0" w:line="240" w:lineRule="auto"/>
              <w:rPr>
                <w:rFonts w:eastAsia="Calibri" w:cs="Arial"/>
                <w:sz w:val="20"/>
                <w:szCs w:val="22"/>
                <w:lang w:val="en-NZ" w:eastAsia="en-US"/>
              </w:rPr>
            </w:pPr>
          </w:p>
          <w:p w:rsidR="00103C9D" w:rsidRPr="003A3E2B" w:rsidRDefault="00103C9D" w:rsidP="003A3E2B">
            <w:pPr>
              <w:spacing w:after="0" w:line="240" w:lineRule="auto"/>
              <w:rPr>
                <w:rFonts w:eastAsia="Calibri" w:cs="Arial"/>
                <w:sz w:val="20"/>
                <w:szCs w:val="22"/>
                <w:lang w:val="en-NZ" w:eastAsia="en-US"/>
              </w:rPr>
            </w:pPr>
          </w:p>
        </w:tc>
        <w:tc>
          <w:tcPr>
            <w:tcW w:w="2977" w:type="dxa"/>
            <w:shd w:val="clear" w:color="auto" w:fill="auto"/>
          </w:tcPr>
          <w:p w:rsidR="002417EC" w:rsidRDefault="00103C9D"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Approvals must conform with a pre-defined approach</w:t>
            </w:r>
            <w:r>
              <w:rPr>
                <w:rFonts w:eastAsia="Calibri" w:cs="Arial"/>
                <w:sz w:val="20"/>
                <w:szCs w:val="22"/>
                <w:lang w:val="en-NZ" w:eastAsia="en-US"/>
              </w:rPr>
              <w:t>,</w:t>
            </w:r>
            <w:r w:rsidRPr="003A3E2B">
              <w:rPr>
                <w:rFonts w:eastAsia="Calibri" w:cs="Arial"/>
                <w:sz w:val="20"/>
                <w:szCs w:val="22"/>
                <w:lang w:val="en-NZ" w:eastAsia="en-US"/>
              </w:rPr>
              <w:t xml:space="preserve"> </w:t>
            </w:r>
            <w:r>
              <w:rPr>
                <w:rFonts w:eastAsia="Calibri" w:cs="Arial"/>
                <w:sz w:val="20"/>
                <w:szCs w:val="22"/>
                <w:lang w:val="en-NZ" w:eastAsia="en-US"/>
              </w:rPr>
              <w:t>or</w:t>
            </w:r>
          </w:p>
          <w:p w:rsidR="00103C9D" w:rsidRPr="003A3E2B" w:rsidRDefault="00103C9D" w:rsidP="00471AA4">
            <w:pPr>
              <w:spacing w:after="0" w:line="240" w:lineRule="auto"/>
              <w:ind w:left="360"/>
              <w:rPr>
                <w:rFonts w:eastAsia="Calibri" w:cs="Arial"/>
                <w:sz w:val="20"/>
                <w:szCs w:val="22"/>
                <w:lang w:val="en-NZ" w:eastAsia="en-US"/>
              </w:rPr>
            </w:pPr>
          </w:p>
          <w:p w:rsidR="00103C9D" w:rsidRDefault="00103C9D" w:rsidP="00471AA4">
            <w:pPr>
              <w:spacing w:after="0" w:line="240" w:lineRule="auto"/>
              <w:rPr>
                <w:rFonts w:eastAsia="Calibri" w:cs="Arial"/>
                <w:sz w:val="20"/>
                <w:szCs w:val="22"/>
                <w:lang w:val="en-NZ" w:eastAsia="en-US"/>
              </w:rPr>
            </w:pPr>
            <w:r>
              <w:rPr>
                <w:rFonts w:eastAsia="Calibri" w:cs="Arial"/>
                <w:sz w:val="20"/>
                <w:szCs w:val="22"/>
                <w:lang w:val="en-NZ" w:eastAsia="en-US"/>
              </w:rPr>
              <w:t>A</w:t>
            </w:r>
            <w:r w:rsidRPr="003A3E2B">
              <w:rPr>
                <w:rFonts w:eastAsia="Calibri" w:cs="Arial"/>
                <w:sz w:val="20"/>
                <w:szCs w:val="22"/>
                <w:lang w:val="en-NZ" w:eastAsia="en-US"/>
              </w:rPr>
              <w:t>pproval may be modified, suspended or revoked as the regulator sees fit</w:t>
            </w:r>
          </w:p>
          <w:p w:rsidR="002417EC" w:rsidRPr="003A3E2B" w:rsidRDefault="002417EC" w:rsidP="00471AA4">
            <w:pPr>
              <w:spacing w:after="0" w:line="240" w:lineRule="auto"/>
              <w:rPr>
                <w:rFonts w:eastAsia="Calibri" w:cs="Arial"/>
                <w:sz w:val="20"/>
                <w:szCs w:val="22"/>
                <w:lang w:val="en-NZ" w:eastAsia="en-US"/>
              </w:rPr>
            </w:pPr>
          </w:p>
        </w:tc>
        <w:tc>
          <w:tcPr>
            <w:tcW w:w="4230" w:type="dxa"/>
            <w:shd w:val="clear" w:color="auto" w:fill="auto"/>
          </w:tcPr>
          <w:p w:rsidR="00103C9D" w:rsidRDefault="00B7270F" w:rsidP="00B66942">
            <w:pPr>
              <w:numPr>
                <w:ilvl w:val="0"/>
                <w:numId w:val="34"/>
              </w:numPr>
              <w:spacing w:after="0" w:line="240" w:lineRule="auto"/>
              <w:rPr>
                <w:rFonts w:eastAsia="Calibri" w:cs="Arial"/>
                <w:sz w:val="20"/>
                <w:szCs w:val="22"/>
                <w:lang w:val="en-NZ" w:eastAsia="en-US"/>
              </w:rPr>
            </w:pPr>
            <w:r>
              <w:rPr>
                <w:rFonts w:eastAsia="Calibri" w:cs="Arial"/>
                <w:sz w:val="20"/>
                <w:szCs w:val="22"/>
                <w:lang w:val="en-NZ" w:eastAsia="en-US"/>
              </w:rPr>
              <w:t>Flexibility enables</w:t>
            </w:r>
            <w:r w:rsidR="001B377D">
              <w:rPr>
                <w:rFonts w:eastAsia="Calibri" w:cs="Arial"/>
                <w:sz w:val="20"/>
                <w:szCs w:val="22"/>
                <w:lang w:val="en-NZ" w:eastAsia="en-US"/>
              </w:rPr>
              <w:t xml:space="preserve"> the regulator to modify approach to better address or contain risks.</w:t>
            </w:r>
          </w:p>
          <w:p w:rsidR="00103C9D" w:rsidRDefault="00103C9D" w:rsidP="003A3E2B">
            <w:pPr>
              <w:spacing w:after="0" w:line="240" w:lineRule="auto"/>
              <w:rPr>
                <w:rFonts w:eastAsia="Calibri" w:cs="Arial"/>
                <w:sz w:val="20"/>
                <w:szCs w:val="22"/>
                <w:lang w:val="en-NZ" w:eastAsia="en-US"/>
              </w:rPr>
            </w:pPr>
          </w:p>
          <w:p w:rsidR="001B377D" w:rsidRDefault="001B377D" w:rsidP="00B66942">
            <w:pPr>
              <w:numPr>
                <w:ilvl w:val="0"/>
                <w:numId w:val="34"/>
              </w:numPr>
              <w:spacing w:after="0" w:line="240" w:lineRule="auto"/>
              <w:rPr>
                <w:rFonts w:eastAsia="Calibri" w:cs="Arial"/>
                <w:sz w:val="20"/>
                <w:szCs w:val="22"/>
                <w:lang w:val="en-NZ" w:eastAsia="en-US"/>
              </w:rPr>
            </w:pPr>
            <w:r>
              <w:rPr>
                <w:rFonts w:eastAsia="Calibri" w:cs="Arial"/>
                <w:sz w:val="20"/>
                <w:szCs w:val="22"/>
                <w:lang w:val="en-NZ" w:eastAsia="en-US"/>
              </w:rPr>
              <w:t>Greater uncertainty for supplier, but changes would only be occasioned when risks justify change.</w:t>
            </w:r>
          </w:p>
          <w:p w:rsidR="001B377D" w:rsidRPr="003A3E2B" w:rsidRDefault="001B377D" w:rsidP="00471AA4">
            <w:pPr>
              <w:spacing w:after="0" w:line="240" w:lineRule="auto"/>
              <w:rPr>
                <w:rFonts w:eastAsia="Calibri" w:cs="Arial"/>
                <w:sz w:val="20"/>
                <w:szCs w:val="22"/>
                <w:lang w:val="en-NZ" w:eastAsia="en-US"/>
              </w:rPr>
            </w:pPr>
            <w:r>
              <w:rPr>
                <w:rFonts w:eastAsia="Calibri" w:cs="Arial"/>
                <w:sz w:val="20"/>
                <w:szCs w:val="22"/>
                <w:lang w:val="en-NZ" w:eastAsia="en-US"/>
              </w:rPr>
              <w:t xml:space="preserve"> </w:t>
            </w:r>
          </w:p>
        </w:tc>
      </w:tr>
      <w:tr w:rsidR="00103C9D" w:rsidRPr="003A3E2B" w:rsidTr="00471AA4">
        <w:tc>
          <w:tcPr>
            <w:tcW w:w="1809" w:type="dxa"/>
            <w:shd w:val="clear" w:color="auto" w:fill="auto"/>
          </w:tcPr>
          <w:p w:rsidR="00103C9D" w:rsidRPr="003A3E2B" w:rsidRDefault="00103C9D"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Responsible person</w:t>
            </w:r>
          </w:p>
          <w:p w:rsidR="00103C9D" w:rsidRPr="003A3E2B" w:rsidRDefault="00103C9D" w:rsidP="003A3E2B">
            <w:pPr>
              <w:spacing w:after="0" w:line="240" w:lineRule="auto"/>
              <w:rPr>
                <w:rFonts w:eastAsia="Calibri" w:cs="Arial"/>
                <w:sz w:val="20"/>
                <w:szCs w:val="22"/>
                <w:lang w:val="en-NZ" w:eastAsia="en-US"/>
              </w:rPr>
            </w:pPr>
          </w:p>
          <w:p w:rsidR="00103C9D" w:rsidRPr="003A3E2B" w:rsidRDefault="00103C9D" w:rsidP="00A143F5">
            <w:pPr>
              <w:spacing w:after="0" w:line="240" w:lineRule="auto"/>
              <w:rPr>
                <w:rFonts w:eastAsia="Calibri" w:cs="Arial"/>
                <w:sz w:val="20"/>
                <w:szCs w:val="22"/>
                <w:lang w:val="en-NZ" w:eastAsia="en-US"/>
              </w:rPr>
            </w:pPr>
          </w:p>
        </w:tc>
        <w:tc>
          <w:tcPr>
            <w:tcW w:w="2977" w:type="dxa"/>
            <w:shd w:val="clear" w:color="auto" w:fill="auto"/>
          </w:tcPr>
          <w:p w:rsidR="00103C9D" w:rsidRDefault="00103C9D"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Status quo (mixed accountabilities)</w:t>
            </w:r>
            <w:r>
              <w:rPr>
                <w:rFonts w:eastAsia="Calibri" w:cs="Arial"/>
                <w:sz w:val="20"/>
                <w:szCs w:val="22"/>
                <w:lang w:val="en-NZ" w:eastAsia="en-US"/>
              </w:rPr>
              <w:t>, or</w:t>
            </w:r>
          </w:p>
          <w:p w:rsidR="002417EC" w:rsidRPr="003A3E2B" w:rsidRDefault="002417EC" w:rsidP="00471AA4">
            <w:pPr>
              <w:spacing w:after="0" w:line="240" w:lineRule="auto"/>
              <w:ind w:left="360"/>
              <w:rPr>
                <w:rFonts w:eastAsia="Calibri" w:cs="Arial"/>
                <w:sz w:val="20"/>
                <w:szCs w:val="22"/>
                <w:lang w:val="en-NZ" w:eastAsia="en-US"/>
              </w:rPr>
            </w:pPr>
          </w:p>
          <w:p w:rsidR="00103C9D" w:rsidRDefault="00103C9D" w:rsidP="00103C9D">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Responsible person </w:t>
            </w:r>
          </w:p>
          <w:p w:rsidR="001B377D" w:rsidRDefault="001B377D" w:rsidP="00103C9D">
            <w:pPr>
              <w:spacing w:after="0" w:line="240" w:lineRule="auto"/>
              <w:rPr>
                <w:rFonts w:eastAsia="Calibri" w:cs="Arial"/>
                <w:sz w:val="20"/>
                <w:szCs w:val="22"/>
                <w:lang w:val="en-NZ" w:eastAsia="en-US"/>
              </w:rPr>
            </w:pPr>
          </w:p>
        </w:tc>
        <w:tc>
          <w:tcPr>
            <w:tcW w:w="4230" w:type="dxa"/>
            <w:shd w:val="clear" w:color="auto" w:fill="auto"/>
          </w:tcPr>
          <w:p w:rsidR="00103C9D" w:rsidRDefault="00306A2E" w:rsidP="00B66942">
            <w:pPr>
              <w:numPr>
                <w:ilvl w:val="0"/>
                <w:numId w:val="34"/>
              </w:numPr>
              <w:spacing w:after="0" w:line="240" w:lineRule="auto"/>
              <w:rPr>
                <w:rFonts w:eastAsia="Calibri" w:cs="Arial"/>
                <w:sz w:val="20"/>
                <w:szCs w:val="22"/>
                <w:lang w:val="en-NZ" w:eastAsia="en-US"/>
              </w:rPr>
            </w:pPr>
            <w:r>
              <w:rPr>
                <w:rFonts w:eastAsia="Calibri" w:cs="Arial"/>
                <w:sz w:val="20"/>
                <w:szCs w:val="22"/>
                <w:lang w:val="en-NZ" w:eastAsia="en-US"/>
              </w:rPr>
              <w:t xml:space="preserve">More effective risk management is possible when a responsible person is designated as a condition of </w:t>
            </w:r>
            <w:r w:rsidR="00975260">
              <w:rPr>
                <w:rFonts w:eastAsia="Calibri" w:cs="Arial"/>
                <w:sz w:val="20"/>
                <w:szCs w:val="22"/>
                <w:lang w:val="en-NZ" w:eastAsia="en-US"/>
              </w:rPr>
              <w:t xml:space="preserve">an </w:t>
            </w:r>
            <w:r>
              <w:rPr>
                <w:rFonts w:eastAsia="Calibri" w:cs="Arial"/>
                <w:sz w:val="20"/>
                <w:szCs w:val="22"/>
                <w:lang w:val="en-NZ" w:eastAsia="en-US"/>
              </w:rPr>
              <w:t>app</w:t>
            </w:r>
            <w:r w:rsidR="001B377D">
              <w:rPr>
                <w:rFonts w:eastAsia="Calibri" w:cs="Arial"/>
                <w:sz w:val="20"/>
                <w:szCs w:val="22"/>
                <w:lang w:val="en-NZ" w:eastAsia="en-US"/>
              </w:rPr>
              <w:t>roval</w:t>
            </w:r>
            <w:r w:rsidR="00975260">
              <w:rPr>
                <w:rFonts w:eastAsia="Calibri" w:cs="Arial"/>
                <w:sz w:val="20"/>
                <w:szCs w:val="22"/>
                <w:lang w:val="en-NZ" w:eastAsia="en-US"/>
              </w:rPr>
              <w:t xml:space="preserve"> or licence</w:t>
            </w:r>
            <w:r w:rsidR="001B377D">
              <w:rPr>
                <w:rFonts w:eastAsia="Calibri" w:cs="Arial"/>
                <w:sz w:val="20"/>
                <w:szCs w:val="22"/>
                <w:lang w:val="en-NZ" w:eastAsia="en-US"/>
              </w:rPr>
              <w:t>.</w:t>
            </w:r>
          </w:p>
          <w:p w:rsidR="00103C9D" w:rsidRDefault="00103C9D" w:rsidP="003A3E2B">
            <w:pPr>
              <w:spacing w:after="0" w:line="240" w:lineRule="auto"/>
              <w:rPr>
                <w:rFonts w:eastAsia="Calibri" w:cs="Arial"/>
                <w:sz w:val="20"/>
                <w:szCs w:val="22"/>
                <w:lang w:val="en-NZ" w:eastAsia="en-US"/>
              </w:rPr>
            </w:pPr>
          </w:p>
          <w:p w:rsidR="00BD4574" w:rsidRDefault="00BD4574" w:rsidP="00B66942">
            <w:pPr>
              <w:numPr>
                <w:ilvl w:val="0"/>
                <w:numId w:val="34"/>
              </w:numPr>
              <w:spacing w:after="0" w:line="240" w:lineRule="auto"/>
              <w:rPr>
                <w:rFonts w:eastAsia="Calibri" w:cs="Arial"/>
                <w:sz w:val="20"/>
                <w:szCs w:val="22"/>
                <w:lang w:val="en-NZ" w:eastAsia="en-US"/>
              </w:rPr>
            </w:pPr>
            <w:r>
              <w:rPr>
                <w:rFonts w:eastAsia="Calibri" w:cs="Arial"/>
                <w:sz w:val="20"/>
                <w:szCs w:val="22"/>
                <w:lang w:val="en-NZ" w:eastAsia="en-US"/>
              </w:rPr>
              <w:t xml:space="preserve">Increases compliance costs potentially, but </w:t>
            </w:r>
            <w:r w:rsidR="00975260">
              <w:rPr>
                <w:rFonts w:eastAsia="Calibri" w:cs="Arial"/>
                <w:sz w:val="20"/>
                <w:szCs w:val="22"/>
                <w:lang w:val="en-NZ" w:eastAsia="en-US"/>
              </w:rPr>
              <w:t xml:space="preserve">more </w:t>
            </w:r>
            <w:r>
              <w:rPr>
                <w:rFonts w:eastAsia="Calibri" w:cs="Arial"/>
                <w:sz w:val="20"/>
                <w:szCs w:val="22"/>
                <w:lang w:val="en-NZ" w:eastAsia="en-US"/>
              </w:rPr>
              <w:t xml:space="preserve">costs </w:t>
            </w:r>
            <w:r w:rsidR="00975260">
              <w:rPr>
                <w:rFonts w:eastAsia="Calibri" w:cs="Arial"/>
                <w:sz w:val="20"/>
                <w:szCs w:val="22"/>
                <w:lang w:val="en-NZ" w:eastAsia="en-US"/>
              </w:rPr>
              <w:t xml:space="preserve">are </w:t>
            </w:r>
            <w:r>
              <w:rPr>
                <w:rFonts w:eastAsia="Calibri" w:cs="Arial"/>
                <w:sz w:val="20"/>
                <w:szCs w:val="22"/>
                <w:lang w:val="en-NZ" w:eastAsia="en-US"/>
              </w:rPr>
              <w:t>proportionate.</w:t>
            </w:r>
          </w:p>
          <w:p w:rsidR="00BD4574" w:rsidRDefault="00BD4574" w:rsidP="00BD4574">
            <w:pPr>
              <w:spacing w:after="0" w:line="240" w:lineRule="auto"/>
              <w:rPr>
                <w:rFonts w:eastAsia="Calibri" w:cs="Arial"/>
                <w:sz w:val="20"/>
                <w:szCs w:val="22"/>
                <w:lang w:val="en-NZ" w:eastAsia="en-US"/>
              </w:rPr>
            </w:pPr>
          </w:p>
          <w:p w:rsidR="00BD4574" w:rsidRDefault="00BD4574" w:rsidP="00B66942">
            <w:pPr>
              <w:numPr>
                <w:ilvl w:val="0"/>
                <w:numId w:val="34"/>
              </w:numPr>
              <w:spacing w:after="0" w:line="240" w:lineRule="auto"/>
              <w:rPr>
                <w:rFonts w:eastAsia="Calibri" w:cs="Arial"/>
                <w:sz w:val="20"/>
                <w:szCs w:val="22"/>
                <w:lang w:val="en-NZ" w:eastAsia="en-US"/>
              </w:rPr>
            </w:pPr>
            <w:r>
              <w:rPr>
                <w:rFonts w:eastAsia="Calibri" w:cs="Arial"/>
                <w:sz w:val="20"/>
                <w:szCs w:val="22"/>
                <w:lang w:val="en-NZ" w:eastAsia="en-US"/>
              </w:rPr>
              <w:t>Reduction in riskier products brought to market.</w:t>
            </w:r>
          </w:p>
          <w:p w:rsidR="00BD4574" w:rsidRPr="003A3E2B" w:rsidRDefault="00BD4574" w:rsidP="003A3E2B">
            <w:pPr>
              <w:spacing w:after="0" w:line="240" w:lineRule="auto"/>
              <w:rPr>
                <w:rFonts w:eastAsia="Calibri" w:cs="Arial"/>
                <w:sz w:val="20"/>
                <w:szCs w:val="22"/>
                <w:lang w:val="en-NZ" w:eastAsia="en-US"/>
              </w:rPr>
            </w:pPr>
          </w:p>
        </w:tc>
      </w:tr>
      <w:tr w:rsidR="002417EC" w:rsidRPr="003A3E2B" w:rsidTr="00471AA4">
        <w:tc>
          <w:tcPr>
            <w:tcW w:w="1809" w:type="dxa"/>
            <w:shd w:val="clear" w:color="auto" w:fill="auto"/>
          </w:tcPr>
          <w:p w:rsidR="002417EC" w:rsidRPr="003A3E2B" w:rsidRDefault="002417EC" w:rsidP="00A143F5">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Classification </w:t>
            </w:r>
            <w:r>
              <w:rPr>
                <w:rFonts w:eastAsia="Calibri" w:cs="Arial"/>
                <w:sz w:val="20"/>
                <w:szCs w:val="22"/>
                <w:lang w:val="en-NZ" w:eastAsia="en-US"/>
              </w:rPr>
              <w:t>categories</w:t>
            </w:r>
          </w:p>
        </w:tc>
        <w:tc>
          <w:tcPr>
            <w:tcW w:w="2977" w:type="dxa"/>
            <w:shd w:val="clear" w:color="auto" w:fill="auto"/>
          </w:tcPr>
          <w:p w:rsidR="002417EC" w:rsidRDefault="002417EC"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Status quo (categories defined in Act)</w:t>
            </w:r>
            <w:r>
              <w:rPr>
                <w:rFonts w:eastAsia="Calibri" w:cs="Arial"/>
                <w:sz w:val="20"/>
                <w:szCs w:val="22"/>
                <w:lang w:val="en-NZ" w:eastAsia="en-US"/>
              </w:rPr>
              <w:t>, or</w:t>
            </w:r>
          </w:p>
          <w:p w:rsidR="002417EC" w:rsidRDefault="002417EC" w:rsidP="00471AA4">
            <w:pPr>
              <w:spacing w:after="0" w:line="240" w:lineRule="auto"/>
              <w:ind w:left="360"/>
              <w:rPr>
                <w:rFonts w:eastAsia="Calibri" w:cs="Arial"/>
                <w:sz w:val="20"/>
                <w:szCs w:val="22"/>
                <w:lang w:val="en-NZ" w:eastAsia="en-US"/>
              </w:rPr>
            </w:pPr>
          </w:p>
          <w:p w:rsidR="002417EC" w:rsidRDefault="002417EC" w:rsidP="002417EC">
            <w:pPr>
              <w:spacing w:after="0" w:line="240" w:lineRule="auto"/>
              <w:rPr>
                <w:rFonts w:eastAsia="Calibri" w:cs="Arial"/>
                <w:sz w:val="20"/>
                <w:szCs w:val="22"/>
                <w:lang w:val="en-NZ" w:eastAsia="en-US"/>
              </w:rPr>
            </w:pPr>
            <w:r>
              <w:rPr>
                <w:rFonts w:eastAsia="Calibri" w:cs="Arial"/>
                <w:sz w:val="20"/>
                <w:szCs w:val="22"/>
                <w:lang w:val="en-NZ" w:eastAsia="en-US"/>
              </w:rPr>
              <w:t>C</w:t>
            </w:r>
            <w:r w:rsidRPr="003A3E2B">
              <w:rPr>
                <w:rFonts w:eastAsia="Calibri" w:cs="Arial"/>
                <w:sz w:val="20"/>
                <w:szCs w:val="22"/>
                <w:lang w:val="en-NZ" w:eastAsia="en-US"/>
              </w:rPr>
              <w:t xml:space="preserve">ategories defined </w:t>
            </w:r>
            <w:r>
              <w:rPr>
                <w:rFonts w:eastAsia="Calibri" w:cs="Arial"/>
                <w:sz w:val="20"/>
                <w:szCs w:val="22"/>
                <w:lang w:val="en-NZ" w:eastAsia="en-US"/>
              </w:rPr>
              <w:t>through use of primary, secondary and tertiary instruments</w:t>
            </w:r>
            <w:r w:rsidRPr="003A3E2B">
              <w:rPr>
                <w:rFonts w:eastAsia="Calibri" w:cs="Arial"/>
                <w:sz w:val="20"/>
                <w:szCs w:val="22"/>
                <w:lang w:val="en-NZ" w:eastAsia="en-US"/>
              </w:rPr>
              <w:t xml:space="preserve"> </w:t>
            </w:r>
          </w:p>
        </w:tc>
        <w:tc>
          <w:tcPr>
            <w:tcW w:w="4230" w:type="dxa"/>
            <w:shd w:val="clear" w:color="auto" w:fill="auto"/>
          </w:tcPr>
          <w:p w:rsidR="00306A2E" w:rsidRDefault="00306A2E" w:rsidP="00B66942">
            <w:pPr>
              <w:numPr>
                <w:ilvl w:val="0"/>
                <w:numId w:val="36"/>
              </w:numPr>
              <w:spacing w:after="0" w:line="240" w:lineRule="auto"/>
              <w:ind w:left="360"/>
              <w:rPr>
                <w:rFonts w:eastAsia="Calibri" w:cs="Arial"/>
                <w:sz w:val="20"/>
                <w:szCs w:val="22"/>
                <w:lang w:val="en-NZ" w:eastAsia="en-US"/>
              </w:rPr>
            </w:pPr>
            <w:r w:rsidRPr="00471AA4">
              <w:rPr>
                <w:rFonts w:eastAsia="Calibri" w:cs="Arial"/>
                <w:sz w:val="20"/>
                <w:szCs w:val="22"/>
                <w:lang w:val="en-NZ" w:eastAsia="en-US"/>
              </w:rPr>
              <w:t>Sole reliance on primary legislation risks rigidity as products evolve.</w:t>
            </w:r>
            <w:r>
              <w:rPr>
                <w:rFonts w:eastAsia="Calibri" w:cs="Arial"/>
                <w:sz w:val="20"/>
                <w:szCs w:val="22"/>
                <w:lang w:val="en-NZ" w:eastAsia="en-US"/>
              </w:rPr>
              <w:t xml:space="preserve"> </w:t>
            </w:r>
          </w:p>
          <w:p w:rsidR="00306A2E" w:rsidRDefault="00306A2E" w:rsidP="00471AA4">
            <w:pPr>
              <w:spacing w:after="0" w:line="240" w:lineRule="auto"/>
              <w:ind w:left="360"/>
              <w:rPr>
                <w:rFonts w:eastAsia="Calibri" w:cs="Arial"/>
                <w:sz w:val="20"/>
                <w:szCs w:val="22"/>
                <w:lang w:val="en-NZ" w:eastAsia="en-US"/>
              </w:rPr>
            </w:pPr>
          </w:p>
          <w:p w:rsidR="00306A2E" w:rsidRDefault="00306A2E" w:rsidP="00B66942">
            <w:pPr>
              <w:numPr>
                <w:ilvl w:val="0"/>
                <w:numId w:val="36"/>
              </w:numPr>
              <w:spacing w:after="0" w:line="240" w:lineRule="auto"/>
              <w:ind w:left="360"/>
              <w:rPr>
                <w:rFonts w:eastAsia="Calibri" w:cs="Arial"/>
                <w:sz w:val="20"/>
                <w:szCs w:val="22"/>
                <w:lang w:val="en-NZ" w:eastAsia="en-US"/>
              </w:rPr>
            </w:pPr>
            <w:r w:rsidRPr="00471AA4">
              <w:rPr>
                <w:rFonts w:eastAsia="Calibri" w:cs="Arial"/>
                <w:sz w:val="20"/>
                <w:szCs w:val="22"/>
                <w:lang w:val="en-NZ" w:eastAsia="en-US"/>
              </w:rPr>
              <w:t>Use of spectrum of instruments provides more flexibility to keep up to date at lower cost.</w:t>
            </w:r>
          </w:p>
          <w:p w:rsidR="002417EC" w:rsidRPr="003A3E2B" w:rsidRDefault="002417EC" w:rsidP="00471AA4">
            <w:pPr>
              <w:spacing w:after="0" w:line="240" w:lineRule="auto"/>
              <w:rPr>
                <w:rFonts w:eastAsia="Calibri" w:cs="Arial"/>
                <w:sz w:val="20"/>
                <w:szCs w:val="22"/>
                <w:lang w:val="en-NZ" w:eastAsia="en-US"/>
              </w:rPr>
            </w:pPr>
          </w:p>
        </w:tc>
      </w:tr>
    </w:tbl>
    <w:p w:rsidR="00B74A60" w:rsidRPr="00B74A60" w:rsidRDefault="00B74A60" w:rsidP="00B74A60">
      <w:pPr>
        <w:spacing w:after="0" w:line="240" w:lineRule="auto"/>
        <w:rPr>
          <w:rFonts w:eastAsia="Calibri" w:cs="Arial"/>
          <w:szCs w:val="22"/>
          <w:lang w:val="en-NZ" w:eastAsia="en-US"/>
        </w:rPr>
      </w:pPr>
    </w:p>
    <w:p w:rsidR="00B74A60" w:rsidRPr="00830E17" w:rsidRDefault="00B74A60" w:rsidP="00830E17">
      <w:pPr>
        <w:pStyle w:val="Heading5"/>
        <w:rPr>
          <w:rFonts w:eastAsia="Calibri"/>
          <w:b/>
          <w:i w:val="0"/>
          <w:lang w:val="en-NZ" w:eastAsia="en-US"/>
        </w:rPr>
      </w:pPr>
      <w:r w:rsidRPr="00830E17">
        <w:rPr>
          <w:rFonts w:eastAsia="Calibri"/>
          <w:b/>
          <w:i w:val="0"/>
          <w:lang w:val="en-NZ" w:eastAsia="en-US"/>
        </w:rPr>
        <w:t>Issue 9: Controlled activities</w:t>
      </w:r>
    </w:p>
    <w:p w:rsidR="00B74A60" w:rsidRPr="00B74A60" w:rsidRDefault="00B74A60" w:rsidP="00B74A60">
      <w:pPr>
        <w:spacing w:after="0" w:line="240" w:lineRule="auto"/>
        <w:rPr>
          <w:rFonts w:eastAsia="Calibri" w:cs="Arial"/>
          <w:szCs w:val="22"/>
          <w:lang w:val="en-NZ" w:eastAsia="en-US"/>
        </w:rPr>
      </w:pPr>
    </w:p>
    <w:p w:rsidR="00B74A60" w:rsidRPr="00B74A60" w:rsidRDefault="00B74A60" w:rsidP="00E440A3">
      <w:pPr>
        <w:pStyle w:val="BodyText"/>
        <w:rPr>
          <w:rFonts w:eastAsia="Calibri"/>
        </w:rPr>
      </w:pPr>
      <w:r w:rsidRPr="00B74A60">
        <w:rPr>
          <w:rFonts w:eastAsia="Calibri"/>
        </w:rPr>
        <w:t xml:space="preserve">In addition to the control of therapeutic products through the approval process discussed above, activities relating to therapeutic products are currently also subject to regulatory control </w:t>
      </w:r>
      <w:r w:rsidR="00E24019">
        <w:rPr>
          <w:rFonts w:eastAsia="Calibri"/>
        </w:rPr>
        <w:t xml:space="preserve">in order to </w:t>
      </w:r>
      <w:r w:rsidRPr="00B74A60">
        <w:rPr>
          <w:rFonts w:eastAsia="Calibri"/>
        </w:rPr>
        <w:t xml:space="preserve">manage </w:t>
      </w:r>
      <w:r w:rsidR="00E24019">
        <w:rPr>
          <w:rFonts w:eastAsia="Calibri"/>
        </w:rPr>
        <w:t xml:space="preserve">their </w:t>
      </w:r>
      <w:r w:rsidRPr="00B74A60">
        <w:rPr>
          <w:rFonts w:eastAsia="Calibri"/>
        </w:rPr>
        <w:t>risks.</w:t>
      </w:r>
    </w:p>
    <w:p w:rsidR="00B74A60" w:rsidRPr="00B74A60" w:rsidRDefault="00B74A60" w:rsidP="00E440A3">
      <w:pPr>
        <w:pStyle w:val="BodyText"/>
        <w:rPr>
          <w:rFonts w:eastAsia="Calibri"/>
        </w:rPr>
      </w:pPr>
      <w:r w:rsidRPr="00B74A60">
        <w:rPr>
          <w:rFonts w:eastAsia="Calibri"/>
        </w:rPr>
        <w:t xml:space="preserve">Control is by means of licensing </w:t>
      </w:r>
      <w:r w:rsidR="00E24019">
        <w:rPr>
          <w:rFonts w:eastAsia="Calibri"/>
        </w:rPr>
        <w:t xml:space="preserve">(subject to conditions) </w:t>
      </w:r>
      <w:r w:rsidRPr="00B74A60">
        <w:rPr>
          <w:rFonts w:eastAsia="Calibri"/>
        </w:rPr>
        <w:t>and general rules.  In brief:</w:t>
      </w:r>
    </w:p>
    <w:p w:rsidR="00B74A60" w:rsidRPr="00B74A60" w:rsidRDefault="00B74A60" w:rsidP="00E440A3">
      <w:pPr>
        <w:pStyle w:val="BodyText2"/>
        <w:rPr>
          <w:rFonts w:eastAsia="Calibri"/>
          <w:lang w:val="en-NZ" w:eastAsia="en-US"/>
        </w:rPr>
      </w:pPr>
      <w:r w:rsidRPr="00B74A60">
        <w:rPr>
          <w:rFonts w:eastAsia="Calibri"/>
          <w:lang w:val="en-NZ" w:eastAsia="en-US"/>
        </w:rPr>
        <w:t>Section 17 of the Act requires manufacturers, wholesalers, packers of medicine, and operators of pharmacies to be licensed.  Part 3 of the Act sets out a range of requirements governing the application process and the granting of licences (</w:t>
      </w:r>
      <w:proofErr w:type="spellStart"/>
      <w:r w:rsidRPr="00B74A60">
        <w:rPr>
          <w:rFonts w:eastAsia="Calibri"/>
          <w:lang w:val="en-NZ" w:eastAsia="en-US"/>
        </w:rPr>
        <w:t>eg</w:t>
      </w:r>
      <w:proofErr w:type="spellEnd"/>
      <w:r w:rsidRPr="00B74A60">
        <w:rPr>
          <w:rFonts w:eastAsia="Calibri"/>
          <w:lang w:val="en-NZ" w:eastAsia="en-US"/>
        </w:rPr>
        <w:t>, the need to be a fit and proper person, or an entity of good repute).  The regulator may set and vary conditions on a licence, and suspend or revoke a licence.</w:t>
      </w:r>
    </w:p>
    <w:p w:rsidR="00B74A60" w:rsidRPr="00B74A60" w:rsidRDefault="00B74A60" w:rsidP="00E440A3">
      <w:pPr>
        <w:pStyle w:val="BodyText2"/>
        <w:rPr>
          <w:rFonts w:eastAsia="Calibri"/>
          <w:lang w:val="en-NZ" w:eastAsia="en-US"/>
        </w:rPr>
      </w:pPr>
      <w:r w:rsidRPr="00B74A60">
        <w:rPr>
          <w:rFonts w:eastAsia="Calibri"/>
          <w:lang w:val="en-NZ" w:eastAsia="en-US"/>
        </w:rPr>
        <w:t xml:space="preserve">Other activities are not licensed but controlled by general rules. For example, anyone selling medicines is bound by the regulations on storage.  </w:t>
      </w:r>
    </w:p>
    <w:p w:rsidR="00B74A60" w:rsidRPr="00B74A60" w:rsidRDefault="00B74A60" w:rsidP="00E440A3">
      <w:pPr>
        <w:pStyle w:val="BodyText"/>
        <w:rPr>
          <w:rFonts w:eastAsia="Calibri"/>
        </w:rPr>
      </w:pPr>
      <w:r w:rsidRPr="00B74A60">
        <w:rPr>
          <w:rFonts w:eastAsia="Calibri"/>
        </w:rPr>
        <w:t>The control of therapeutic product related activities by licensing and general rules:</w:t>
      </w:r>
    </w:p>
    <w:p w:rsidR="00B74A60" w:rsidRPr="00B74A60" w:rsidRDefault="000D0456" w:rsidP="00E440A3">
      <w:pPr>
        <w:pStyle w:val="BodyText2"/>
        <w:rPr>
          <w:rFonts w:eastAsia="Calibri"/>
          <w:lang w:val="en-NZ" w:eastAsia="en-US"/>
        </w:rPr>
      </w:pPr>
      <w:r>
        <w:rPr>
          <w:rFonts w:eastAsia="Calibri"/>
          <w:lang w:val="en-NZ" w:eastAsia="en-US"/>
        </w:rPr>
        <w:t>is the norm internationally</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appears</w:t>
      </w:r>
      <w:proofErr w:type="gramEnd"/>
      <w:r w:rsidRPr="00B74A60">
        <w:rPr>
          <w:rFonts w:eastAsia="Calibri"/>
          <w:lang w:val="en-NZ" w:eastAsia="en-US"/>
        </w:rPr>
        <w:t xml:space="preserve"> to be working effectively for the most part in New Zealand at present.</w:t>
      </w:r>
    </w:p>
    <w:p w:rsidR="00B74A60" w:rsidRPr="00F35AF7" w:rsidRDefault="00B74A60" w:rsidP="00E440A3">
      <w:pPr>
        <w:pStyle w:val="BodyText"/>
        <w:rPr>
          <w:rFonts w:eastAsia="Calibri"/>
        </w:rPr>
      </w:pPr>
      <w:r w:rsidRPr="00F35AF7">
        <w:rPr>
          <w:rFonts w:eastAsia="Calibri"/>
        </w:rPr>
        <w:t>On this basis, whether under the present Act or a new Act, the use of licensing and general rules for regulating such activities should continue.</w:t>
      </w:r>
      <w:r w:rsidR="00F35AF7" w:rsidRPr="00F35AF7">
        <w:rPr>
          <w:rFonts w:eastAsia="Calibri"/>
        </w:rPr>
        <w:t xml:space="preserve">  </w:t>
      </w:r>
      <w:r w:rsidRPr="00F35AF7">
        <w:rPr>
          <w:rFonts w:eastAsia="Calibri"/>
        </w:rPr>
        <w:t>There are, however, some areas where the merits of a change in approach should be considered:</w:t>
      </w:r>
    </w:p>
    <w:p w:rsidR="00B74A60" w:rsidRPr="00B74A60" w:rsidRDefault="00B74A60" w:rsidP="00E440A3">
      <w:pPr>
        <w:pStyle w:val="BodyText2"/>
        <w:rPr>
          <w:rFonts w:eastAsia="Calibri"/>
          <w:lang w:val="en-NZ" w:eastAsia="en-US"/>
        </w:rPr>
      </w:pPr>
      <w:r w:rsidRPr="000D0456">
        <w:rPr>
          <w:rFonts w:eastAsia="Calibri"/>
          <w:u w:val="single"/>
          <w:lang w:val="en-NZ" w:eastAsia="en-US"/>
        </w:rPr>
        <w:t>Entry powers to ensure compliance</w:t>
      </w:r>
      <w:r w:rsidRPr="00B74A60">
        <w:rPr>
          <w:rFonts w:eastAsia="Calibri"/>
          <w:lang w:val="en-NZ" w:eastAsia="en-US"/>
        </w:rPr>
        <w:t xml:space="preserve">.  Currently the regulator does not have </w:t>
      </w:r>
      <w:r w:rsidR="00FB3E2F">
        <w:rPr>
          <w:rFonts w:eastAsia="Calibri"/>
          <w:lang w:val="en-NZ" w:eastAsia="en-US"/>
        </w:rPr>
        <w:t xml:space="preserve">the right kinds of </w:t>
      </w:r>
      <w:r w:rsidRPr="00B74A60">
        <w:rPr>
          <w:rFonts w:eastAsia="Calibri"/>
          <w:lang w:val="en-NZ" w:eastAsia="en-US"/>
        </w:rPr>
        <w:t>powers of entry and inspection to assure compliance with a licence.  It appears that this is an oversight which might be remedied in order to strengthen the effectiveness of monitoring and enforcement and the incentives for general compliance.</w:t>
      </w:r>
    </w:p>
    <w:p w:rsidR="00B74A60" w:rsidRPr="00B74A60" w:rsidRDefault="00BD3AFC" w:rsidP="00E440A3">
      <w:pPr>
        <w:pStyle w:val="BodyText2"/>
        <w:rPr>
          <w:rFonts w:eastAsia="Calibri"/>
          <w:lang w:val="en-NZ" w:eastAsia="en-US"/>
        </w:rPr>
      </w:pPr>
      <w:r>
        <w:rPr>
          <w:rFonts w:eastAsia="Calibri"/>
          <w:u w:val="single"/>
          <w:lang w:val="en-NZ" w:eastAsia="en-US"/>
        </w:rPr>
        <w:t>Licenc</w:t>
      </w:r>
      <w:r w:rsidR="00B74A60" w:rsidRPr="000D0456">
        <w:rPr>
          <w:rFonts w:eastAsia="Calibri"/>
          <w:u w:val="single"/>
          <w:lang w:val="en-NZ" w:eastAsia="en-US"/>
        </w:rPr>
        <w:t>e period</w:t>
      </w:r>
      <w:r>
        <w:rPr>
          <w:rFonts w:eastAsia="Calibri"/>
          <w:lang w:val="en-NZ" w:eastAsia="en-US"/>
        </w:rPr>
        <w:t>. Currently licenc</w:t>
      </w:r>
      <w:r w:rsidR="00B74A60" w:rsidRPr="00B74A60">
        <w:rPr>
          <w:rFonts w:eastAsia="Calibri"/>
          <w:lang w:val="en-NZ" w:eastAsia="en-US"/>
        </w:rPr>
        <w:t xml:space="preserve">es must be issued for one year. </w:t>
      </w:r>
      <w:r>
        <w:rPr>
          <w:rFonts w:eastAsia="Calibri"/>
          <w:lang w:val="en-NZ" w:eastAsia="en-US"/>
        </w:rPr>
        <w:t xml:space="preserve"> </w:t>
      </w:r>
      <w:r w:rsidR="00B74A60" w:rsidRPr="00B74A60">
        <w:rPr>
          <w:rFonts w:eastAsia="Calibri"/>
          <w:lang w:val="en-NZ" w:eastAsia="en-US"/>
        </w:rPr>
        <w:t>A longer period (</w:t>
      </w:r>
      <w:proofErr w:type="spellStart"/>
      <w:r w:rsidR="00B74A60" w:rsidRPr="00B74A60">
        <w:rPr>
          <w:rFonts w:eastAsia="Calibri"/>
          <w:lang w:val="en-NZ" w:eastAsia="en-US"/>
        </w:rPr>
        <w:t>eg</w:t>
      </w:r>
      <w:proofErr w:type="spellEnd"/>
      <w:r w:rsidR="00B74A60" w:rsidRPr="00B74A60">
        <w:rPr>
          <w:rFonts w:eastAsia="Calibri"/>
          <w:lang w:val="en-NZ" w:eastAsia="en-US"/>
        </w:rPr>
        <w:t xml:space="preserve">, three years), or allowing the regulator to specify a period (including a period shorter than one year), might be more compatible with minimising compliance costs for industry, and with targeting regulatory effort on licence-holders with a history of non-compliance. </w:t>
      </w:r>
      <w:r>
        <w:rPr>
          <w:rFonts w:eastAsia="Calibri"/>
          <w:lang w:val="en-NZ" w:eastAsia="en-US"/>
        </w:rPr>
        <w:t xml:space="preserve"> </w:t>
      </w:r>
      <w:r w:rsidR="008C5100">
        <w:rPr>
          <w:rFonts w:eastAsia="Calibri"/>
          <w:lang w:val="en-NZ" w:eastAsia="en-US"/>
        </w:rPr>
        <w:t>It is also practical for times when there is a change in business ownership.</w:t>
      </w:r>
    </w:p>
    <w:p w:rsidR="00B74A60" w:rsidRPr="00B74A60" w:rsidRDefault="00B74A60" w:rsidP="00E440A3">
      <w:pPr>
        <w:pStyle w:val="BodyText2"/>
        <w:rPr>
          <w:rFonts w:eastAsia="Calibri"/>
          <w:lang w:val="en-NZ" w:eastAsia="en-US"/>
        </w:rPr>
      </w:pPr>
      <w:r w:rsidRPr="000D0456">
        <w:rPr>
          <w:rFonts w:eastAsia="Calibri"/>
          <w:u w:val="single"/>
          <w:lang w:val="en-NZ" w:eastAsia="en-US"/>
        </w:rPr>
        <w:t>Powers to determine activities to be licensed, and general rules</w:t>
      </w:r>
      <w:r w:rsidRPr="00B74A60">
        <w:rPr>
          <w:rFonts w:eastAsia="Calibri"/>
          <w:lang w:val="en-NZ" w:eastAsia="en-US"/>
        </w:rPr>
        <w:t xml:space="preserve">.  </w:t>
      </w:r>
    </w:p>
    <w:p w:rsidR="00B74A60" w:rsidRPr="00B74A60" w:rsidRDefault="00B74A60" w:rsidP="00B74A60">
      <w:pPr>
        <w:spacing w:after="0" w:line="240" w:lineRule="auto"/>
        <w:rPr>
          <w:rFonts w:eastAsia="Calibri" w:cs="Arial"/>
          <w:szCs w:val="22"/>
          <w:lang w:val="en-N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835"/>
        <w:gridCol w:w="4230"/>
      </w:tblGrid>
      <w:tr w:rsidR="00B74A60" w:rsidRPr="003A3E2B" w:rsidTr="00747CD2">
        <w:trPr>
          <w:tblHeader/>
        </w:trPr>
        <w:tc>
          <w:tcPr>
            <w:tcW w:w="9016" w:type="dxa"/>
            <w:gridSpan w:val="3"/>
            <w:shd w:val="clear" w:color="auto" w:fill="DEEAF6"/>
          </w:tcPr>
          <w:p w:rsidR="00B74A60" w:rsidRPr="003A3E2B" w:rsidRDefault="00B74A60" w:rsidP="003A3E2B">
            <w:pPr>
              <w:spacing w:after="0" w:line="240" w:lineRule="auto"/>
              <w:rPr>
                <w:rFonts w:eastAsia="Calibri" w:cs="Arial"/>
                <w:b/>
                <w:szCs w:val="22"/>
                <w:lang w:val="en-NZ" w:eastAsia="en-US"/>
              </w:rPr>
            </w:pPr>
            <w:r w:rsidRPr="003A3E2B">
              <w:rPr>
                <w:rFonts w:eastAsia="Calibri" w:cs="Arial"/>
                <w:b/>
                <w:szCs w:val="22"/>
                <w:lang w:val="en-NZ" w:eastAsia="en-US"/>
              </w:rPr>
              <w:t>Controlled activities: options and impacts</w:t>
            </w:r>
          </w:p>
          <w:p w:rsidR="00B74A60" w:rsidRPr="003A3E2B" w:rsidRDefault="00B74A60" w:rsidP="003A3E2B">
            <w:pPr>
              <w:spacing w:after="0" w:line="240" w:lineRule="auto"/>
              <w:rPr>
                <w:rFonts w:eastAsia="Calibri" w:cs="Arial"/>
                <w:szCs w:val="22"/>
                <w:lang w:val="en-NZ" w:eastAsia="en-US"/>
              </w:rPr>
            </w:pPr>
          </w:p>
        </w:tc>
      </w:tr>
      <w:tr w:rsidR="00A62279" w:rsidRPr="003A3E2B" w:rsidTr="00747CD2">
        <w:tc>
          <w:tcPr>
            <w:tcW w:w="1951" w:type="dxa"/>
            <w:shd w:val="clear" w:color="auto" w:fill="DEEAF6"/>
          </w:tcPr>
          <w:p w:rsidR="00A62279" w:rsidRPr="003A3E2B" w:rsidRDefault="00A62279" w:rsidP="003A3E2B">
            <w:pPr>
              <w:spacing w:after="0" w:line="240" w:lineRule="auto"/>
              <w:jc w:val="center"/>
              <w:rPr>
                <w:rFonts w:eastAsia="Calibri" w:cs="Arial"/>
                <w:i/>
                <w:szCs w:val="22"/>
                <w:lang w:val="en-NZ" w:eastAsia="en-US"/>
              </w:rPr>
            </w:pPr>
            <w:r w:rsidRPr="003A3E2B">
              <w:rPr>
                <w:rFonts w:eastAsia="Calibri" w:cs="Arial"/>
                <w:i/>
                <w:szCs w:val="22"/>
                <w:lang w:val="en-NZ" w:eastAsia="en-US"/>
              </w:rPr>
              <w:t>Option</w:t>
            </w:r>
          </w:p>
          <w:p w:rsidR="00A62279" w:rsidRPr="003A3E2B" w:rsidRDefault="00A62279" w:rsidP="003A3E2B">
            <w:pPr>
              <w:spacing w:after="0" w:line="240" w:lineRule="auto"/>
              <w:jc w:val="center"/>
              <w:rPr>
                <w:rFonts w:eastAsia="Calibri" w:cs="Arial"/>
                <w:i/>
                <w:szCs w:val="22"/>
                <w:lang w:val="en-NZ" w:eastAsia="en-US"/>
              </w:rPr>
            </w:pPr>
          </w:p>
        </w:tc>
        <w:tc>
          <w:tcPr>
            <w:tcW w:w="2835" w:type="dxa"/>
            <w:shd w:val="clear" w:color="auto" w:fill="DEEAF6"/>
          </w:tcPr>
          <w:p w:rsidR="00A62279" w:rsidRPr="003A3E2B" w:rsidRDefault="00A62279" w:rsidP="003A3E2B">
            <w:pPr>
              <w:spacing w:after="0" w:line="240" w:lineRule="auto"/>
              <w:jc w:val="center"/>
              <w:rPr>
                <w:rFonts w:eastAsia="Calibri" w:cs="Arial"/>
                <w:i/>
                <w:szCs w:val="22"/>
                <w:lang w:val="en-NZ" w:eastAsia="en-US"/>
              </w:rPr>
            </w:pPr>
            <w:r>
              <w:rPr>
                <w:rFonts w:eastAsia="Calibri" w:cs="Arial"/>
                <w:i/>
                <w:szCs w:val="22"/>
                <w:lang w:val="en-NZ" w:eastAsia="en-US"/>
              </w:rPr>
              <w:t>Description</w:t>
            </w:r>
          </w:p>
        </w:tc>
        <w:tc>
          <w:tcPr>
            <w:tcW w:w="4230" w:type="dxa"/>
            <w:shd w:val="clear" w:color="auto" w:fill="DEEAF6"/>
          </w:tcPr>
          <w:p w:rsidR="00A62279" w:rsidRPr="003A3E2B" w:rsidRDefault="00A62279" w:rsidP="003A3E2B">
            <w:pPr>
              <w:spacing w:after="0" w:line="240" w:lineRule="auto"/>
              <w:jc w:val="center"/>
              <w:rPr>
                <w:rFonts w:eastAsia="Calibri" w:cs="Arial"/>
                <w:i/>
                <w:szCs w:val="22"/>
                <w:lang w:val="en-NZ" w:eastAsia="en-US"/>
              </w:rPr>
            </w:pPr>
            <w:r>
              <w:rPr>
                <w:rFonts w:eastAsia="Calibri" w:cs="Arial"/>
                <w:i/>
                <w:szCs w:val="22"/>
                <w:lang w:val="en-NZ" w:eastAsia="en-US"/>
              </w:rPr>
              <w:t>Impacts</w:t>
            </w:r>
          </w:p>
        </w:tc>
      </w:tr>
      <w:tr w:rsidR="00A62279" w:rsidRPr="003A3E2B" w:rsidTr="00471AA4">
        <w:tc>
          <w:tcPr>
            <w:tcW w:w="1951" w:type="dxa"/>
            <w:shd w:val="clear" w:color="auto" w:fill="auto"/>
          </w:tcPr>
          <w:p w:rsidR="00A62279" w:rsidRPr="003A3E2B" w:rsidRDefault="00A62279"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Status quo </w:t>
            </w:r>
          </w:p>
          <w:p w:rsidR="00A62279" w:rsidRPr="003A3E2B" w:rsidRDefault="00A62279" w:rsidP="003A3E2B">
            <w:pPr>
              <w:spacing w:after="0" w:line="240" w:lineRule="auto"/>
              <w:rPr>
                <w:rFonts w:eastAsia="Calibri" w:cs="Arial"/>
                <w:sz w:val="20"/>
                <w:szCs w:val="22"/>
                <w:lang w:val="en-NZ" w:eastAsia="en-US"/>
              </w:rPr>
            </w:pPr>
          </w:p>
          <w:p w:rsidR="00A62279" w:rsidRPr="003A3E2B" w:rsidRDefault="00A62279" w:rsidP="003A3E2B">
            <w:pPr>
              <w:spacing w:after="0" w:line="240" w:lineRule="auto"/>
              <w:rPr>
                <w:rFonts w:eastAsia="Calibri" w:cs="Arial"/>
                <w:sz w:val="20"/>
                <w:szCs w:val="22"/>
                <w:lang w:val="en-NZ" w:eastAsia="en-US"/>
              </w:rPr>
            </w:pPr>
          </w:p>
        </w:tc>
        <w:tc>
          <w:tcPr>
            <w:tcW w:w="2835" w:type="dxa"/>
            <w:shd w:val="clear" w:color="auto" w:fill="auto"/>
          </w:tcPr>
          <w:p w:rsidR="00A62279" w:rsidRDefault="00A62279" w:rsidP="00471AA4">
            <w:pPr>
              <w:spacing w:after="0" w:line="240" w:lineRule="auto"/>
              <w:rPr>
                <w:rFonts w:eastAsia="Calibri" w:cs="Arial"/>
                <w:sz w:val="20"/>
                <w:szCs w:val="22"/>
                <w:lang w:val="en-NZ" w:eastAsia="en-US"/>
              </w:rPr>
            </w:pPr>
            <w:r>
              <w:rPr>
                <w:rFonts w:eastAsia="Calibri" w:cs="Arial"/>
                <w:sz w:val="20"/>
                <w:szCs w:val="22"/>
                <w:lang w:val="en-NZ" w:eastAsia="en-US"/>
              </w:rPr>
              <w:t>A</w:t>
            </w:r>
            <w:r w:rsidRPr="003A3E2B">
              <w:rPr>
                <w:rFonts w:eastAsia="Calibri" w:cs="Arial"/>
                <w:sz w:val="20"/>
                <w:szCs w:val="22"/>
                <w:lang w:val="en-NZ" w:eastAsia="en-US"/>
              </w:rPr>
              <w:t xml:space="preserve"> range of activities related to therapeutic products would continue to be license</w:t>
            </w:r>
            <w:r>
              <w:rPr>
                <w:rFonts w:eastAsia="Calibri" w:cs="Arial"/>
                <w:sz w:val="20"/>
                <w:szCs w:val="22"/>
                <w:lang w:val="en-NZ" w:eastAsia="en-US"/>
              </w:rPr>
              <w:t>d and subject to general rules.</w:t>
            </w:r>
          </w:p>
          <w:p w:rsidR="00A62279" w:rsidRDefault="00A62279" w:rsidP="00471AA4">
            <w:pPr>
              <w:spacing w:after="0" w:line="240" w:lineRule="auto"/>
              <w:rPr>
                <w:rFonts w:eastAsia="Calibri" w:cs="Arial"/>
                <w:sz w:val="20"/>
                <w:szCs w:val="22"/>
                <w:lang w:val="en-NZ" w:eastAsia="en-US"/>
              </w:rPr>
            </w:pPr>
          </w:p>
          <w:p w:rsidR="00A62279" w:rsidRDefault="00A62279" w:rsidP="00471AA4">
            <w:pPr>
              <w:spacing w:after="0" w:line="240" w:lineRule="auto"/>
              <w:rPr>
                <w:rFonts w:eastAsia="Calibri" w:cs="Arial"/>
                <w:sz w:val="20"/>
                <w:szCs w:val="22"/>
                <w:lang w:val="en-NZ" w:eastAsia="en-US"/>
              </w:rPr>
            </w:pPr>
          </w:p>
          <w:p w:rsidR="00A62279" w:rsidRDefault="00A62279" w:rsidP="00D93577">
            <w:pPr>
              <w:spacing w:after="0" w:line="240" w:lineRule="auto"/>
              <w:rPr>
                <w:rFonts w:eastAsia="Calibri" w:cs="Arial"/>
                <w:sz w:val="20"/>
                <w:szCs w:val="22"/>
                <w:lang w:val="en-NZ" w:eastAsia="en-US"/>
              </w:rPr>
            </w:pPr>
          </w:p>
        </w:tc>
        <w:tc>
          <w:tcPr>
            <w:tcW w:w="4230" w:type="dxa"/>
            <w:shd w:val="clear" w:color="auto" w:fill="auto"/>
          </w:tcPr>
          <w:p w:rsidR="00E86A9E" w:rsidRDefault="00E86A9E" w:rsidP="00B66942">
            <w:pPr>
              <w:numPr>
                <w:ilvl w:val="0"/>
                <w:numId w:val="35"/>
              </w:numPr>
              <w:spacing w:after="0" w:line="240" w:lineRule="auto"/>
              <w:rPr>
                <w:rFonts w:eastAsia="Calibri" w:cs="Arial"/>
                <w:sz w:val="20"/>
                <w:szCs w:val="22"/>
                <w:lang w:val="en-NZ" w:eastAsia="en-US"/>
              </w:rPr>
            </w:pPr>
            <w:r>
              <w:rPr>
                <w:rFonts w:eastAsia="Calibri" w:cs="Arial"/>
                <w:sz w:val="20"/>
                <w:szCs w:val="22"/>
                <w:lang w:val="en-NZ" w:eastAsia="en-US"/>
              </w:rPr>
              <w:t>The limitations of th</w:t>
            </w:r>
            <w:r w:rsidR="00280C80">
              <w:rPr>
                <w:rFonts w:eastAsia="Calibri" w:cs="Arial"/>
                <w:sz w:val="20"/>
                <w:szCs w:val="22"/>
                <w:lang w:val="en-NZ" w:eastAsia="en-US"/>
              </w:rPr>
              <w:t xml:space="preserve">e status quo are the lack of powers and flexibility in a few areas.  This detracts from the ability of the </w:t>
            </w:r>
            <w:r>
              <w:rPr>
                <w:rFonts w:eastAsia="Calibri" w:cs="Arial"/>
                <w:sz w:val="20"/>
                <w:szCs w:val="22"/>
                <w:lang w:val="en-NZ" w:eastAsia="en-US"/>
              </w:rPr>
              <w:t>regulator to take a risk-appr</w:t>
            </w:r>
            <w:r w:rsidR="00F44AC9">
              <w:rPr>
                <w:rFonts w:eastAsia="Calibri" w:cs="Arial"/>
                <w:sz w:val="20"/>
                <w:szCs w:val="22"/>
                <w:lang w:val="en-NZ" w:eastAsia="en-US"/>
              </w:rPr>
              <w:t>opriate approach</w:t>
            </w:r>
            <w:r w:rsidR="00280C80">
              <w:rPr>
                <w:rFonts w:eastAsia="Calibri" w:cs="Arial"/>
                <w:sz w:val="20"/>
                <w:szCs w:val="22"/>
                <w:lang w:val="en-NZ" w:eastAsia="en-US"/>
              </w:rPr>
              <w:t>.</w:t>
            </w:r>
          </w:p>
          <w:p w:rsidR="00E86A9E" w:rsidRDefault="00E86A9E" w:rsidP="00E86A9E">
            <w:pPr>
              <w:spacing w:after="0" w:line="240" w:lineRule="auto"/>
              <w:rPr>
                <w:rFonts w:eastAsia="Calibri" w:cs="Arial"/>
                <w:sz w:val="20"/>
                <w:szCs w:val="22"/>
                <w:lang w:val="en-NZ" w:eastAsia="en-US"/>
              </w:rPr>
            </w:pPr>
          </w:p>
          <w:p w:rsidR="00E86A9E" w:rsidRDefault="00E86A9E" w:rsidP="00B66942">
            <w:pPr>
              <w:numPr>
                <w:ilvl w:val="0"/>
                <w:numId w:val="35"/>
              </w:numPr>
              <w:spacing w:after="0" w:line="240" w:lineRule="auto"/>
              <w:rPr>
                <w:rFonts w:eastAsia="Calibri" w:cs="Arial"/>
                <w:sz w:val="20"/>
                <w:szCs w:val="22"/>
                <w:lang w:val="en-NZ" w:eastAsia="en-US"/>
              </w:rPr>
            </w:pPr>
            <w:r>
              <w:rPr>
                <w:rFonts w:eastAsia="Calibri" w:cs="Arial"/>
                <w:sz w:val="20"/>
                <w:szCs w:val="22"/>
                <w:lang w:val="en-NZ" w:eastAsia="en-US"/>
              </w:rPr>
              <w:t xml:space="preserve">The key consequence </w:t>
            </w:r>
            <w:r w:rsidR="0030387A">
              <w:rPr>
                <w:rFonts w:eastAsia="Calibri" w:cs="Arial"/>
                <w:sz w:val="20"/>
                <w:szCs w:val="22"/>
                <w:lang w:val="en-NZ" w:eastAsia="en-US"/>
              </w:rPr>
              <w:t xml:space="preserve">is </w:t>
            </w:r>
            <w:r>
              <w:rPr>
                <w:rFonts w:eastAsia="Calibri" w:cs="Arial"/>
                <w:sz w:val="20"/>
                <w:szCs w:val="22"/>
                <w:lang w:val="en-NZ" w:eastAsia="en-US"/>
              </w:rPr>
              <w:t xml:space="preserve">limited effectiveness in managing risk and </w:t>
            </w:r>
            <w:r w:rsidR="00F44AC9">
              <w:rPr>
                <w:rFonts w:eastAsia="Calibri" w:cs="Arial"/>
                <w:sz w:val="20"/>
                <w:szCs w:val="22"/>
                <w:lang w:val="en-NZ" w:eastAsia="en-US"/>
              </w:rPr>
              <w:t>in</w:t>
            </w:r>
            <w:r>
              <w:rPr>
                <w:rFonts w:eastAsia="Calibri" w:cs="Arial"/>
                <w:sz w:val="20"/>
                <w:szCs w:val="22"/>
                <w:lang w:val="en-NZ" w:eastAsia="en-US"/>
              </w:rPr>
              <w:t xml:space="preserve"> promoting </w:t>
            </w:r>
            <w:r w:rsidR="00F44AC9">
              <w:rPr>
                <w:rFonts w:eastAsia="Calibri" w:cs="Arial"/>
                <w:sz w:val="20"/>
                <w:szCs w:val="22"/>
                <w:lang w:val="en-NZ" w:eastAsia="en-US"/>
              </w:rPr>
              <w:t xml:space="preserve">and ensuring </w:t>
            </w:r>
            <w:r>
              <w:rPr>
                <w:rFonts w:eastAsia="Calibri" w:cs="Arial"/>
                <w:sz w:val="20"/>
                <w:szCs w:val="22"/>
                <w:lang w:val="en-NZ" w:eastAsia="en-US"/>
              </w:rPr>
              <w:t>compliance.</w:t>
            </w:r>
          </w:p>
          <w:p w:rsidR="00A62279" w:rsidRPr="003A3E2B" w:rsidRDefault="00A62279" w:rsidP="00471AA4">
            <w:pPr>
              <w:spacing w:after="0" w:line="240" w:lineRule="auto"/>
              <w:rPr>
                <w:rFonts w:eastAsia="Calibri" w:cs="Arial"/>
                <w:sz w:val="20"/>
                <w:szCs w:val="22"/>
                <w:lang w:val="en-NZ" w:eastAsia="en-US"/>
              </w:rPr>
            </w:pPr>
          </w:p>
        </w:tc>
      </w:tr>
      <w:tr w:rsidR="00A62279" w:rsidRPr="003A3E2B" w:rsidTr="00747CD2">
        <w:tc>
          <w:tcPr>
            <w:tcW w:w="1951" w:type="dxa"/>
            <w:shd w:val="clear" w:color="auto" w:fill="DEEAF6"/>
          </w:tcPr>
          <w:p w:rsidR="00A62279" w:rsidRPr="00471AA4" w:rsidRDefault="00A62279" w:rsidP="00AE134A">
            <w:pPr>
              <w:spacing w:after="0" w:line="240" w:lineRule="auto"/>
              <w:rPr>
                <w:rFonts w:eastAsia="Calibri" w:cs="Arial"/>
                <w:i/>
                <w:szCs w:val="22"/>
                <w:lang w:val="en-NZ" w:eastAsia="en-US"/>
              </w:rPr>
            </w:pPr>
            <w:r w:rsidRPr="00471AA4">
              <w:rPr>
                <w:rFonts w:eastAsia="Calibri" w:cs="Arial"/>
                <w:i/>
                <w:szCs w:val="22"/>
                <w:lang w:val="en-NZ" w:eastAsia="en-US"/>
              </w:rPr>
              <w:t>Areas of possible change</w:t>
            </w:r>
          </w:p>
          <w:p w:rsidR="00A62279" w:rsidRPr="00471AA4" w:rsidRDefault="00A62279" w:rsidP="003A3E2B">
            <w:pPr>
              <w:spacing w:after="0" w:line="240" w:lineRule="auto"/>
              <w:rPr>
                <w:rFonts w:eastAsia="Calibri" w:cs="Arial"/>
                <w:szCs w:val="22"/>
                <w:lang w:val="en-NZ" w:eastAsia="en-US"/>
              </w:rPr>
            </w:pPr>
          </w:p>
        </w:tc>
        <w:tc>
          <w:tcPr>
            <w:tcW w:w="2835" w:type="dxa"/>
            <w:shd w:val="clear" w:color="auto" w:fill="DEEAF6"/>
          </w:tcPr>
          <w:p w:rsidR="00A62279" w:rsidRPr="00471AA4" w:rsidRDefault="00A62279" w:rsidP="00AE134A">
            <w:pPr>
              <w:spacing w:after="0" w:line="240" w:lineRule="auto"/>
              <w:jc w:val="center"/>
              <w:rPr>
                <w:rFonts w:eastAsia="Calibri" w:cs="Arial"/>
                <w:i/>
                <w:szCs w:val="22"/>
                <w:lang w:val="en-NZ" w:eastAsia="en-US"/>
              </w:rPr>
            </w:pPr>
            <w:r w:rsidRPr="00471AA4">
              <w:rPr>
                <w:rFonts w:eastAsia="Calibri" w:cs="Arial"/>
                <w:i/>
                <w:szCs w:val="22"/>
                <w:lang w:val="en-NZ" w:eastAsia="en-US"/>
              </w:rPr>
              <w:t>Alternative approaches (the second preferred in each case)</w:t>
            </w:r>
          </w:p>
          <w:p w:rsidR="00A62279" w:rsidRPr="00471AA4" w:rsidRDefault="00A62279" w:rsidP="00471AA4">
            <w:pPr>
              <w:spacing w:after="0" w:line="240" w:lineRule="auto"/>
              <w:rPr>
                <w:rFonts w:eastAsia="Calibri" w:cs="Arial"/>
                <w:i/>
                <w:szCs w:val="22"/>
                <w:lang w:val="en-NZ" w:eastAsia="en-US"/>
              </w:rPr>
            </w:pPr>
          </w:p>
        </w:tc>
        <w:tc>
          <w:tcPr>
            <w:tcW w:w="4230" w:type="dxa"/>
            <w:shd w:val="clear" w:color="auto" w:fill="DEEAF6"/>
          </w:tcPr>
          <w:p w:rsidR="00387AD4" w:rsidRPr="00B07E68" w:rsidRDefault="00387AD4" w:rsidP="00387AD4">
            <w:pPr>
              <w:spacing w:after="0" w:line="240" w:lineRule="auto"/>
              <w:jc w:val="center"/>
              <w:rPr>
                <w:rFonts w:eastAsia="Calibri" w:cs="Arial"/>
                <w:i/>
                <w:szCs w:val="22"/>
                <w:lang w:val="en-NZ" w:eastAsia="en-US"/>
              </w:rPr>
            </w:pPr>
            <w:r w:rsidRPr="00B07E68">
              <w:rPr>
                <w:rFonts w:eastAsia="Calibri" w:cs="Arial"/>
                <w:i/>
                <w:szCs w:val="22"/>
                <w:lang w:val="en-NZ" w:eastAsia="en-US"/>
              </w:rPr>
              <w:t xml:space="preserve">Reason for preferred approach (most reasons relate in some way to the benefits of </w:t>
            </w:r>
            <w:r w:rsidR="00E86A9E">
              <w:rPr>
                <w:rFonts w:eastAsia="Calibri" w:cs="Arial"/>
                <w:i/>
                <w:szCs w:val="22"/>
                <w:lang w:val="en-NZ" w:eastAsia="en-US"/>
              </w:rPr>
              <w:t xml:space="preserve">additional powers and </w:t>
            </w:r>
            <w:r w:rsidRPr="00B07E68">
              <w:rPr>
                <w:rFonts w:eastAsia="Calibri" w:cs="Arial"/>
                <w:i/>
                <w:szCs w:val="22"/>
                <w:lang w:val="en-NZ" w:eastAsia="en-US"/>
              </w:rPr>
              <w:t>flexibility in managing risk)</w:t>
            </w:r>
          </w:p>
          <w:p w:rsidR="00A62279" w:rsidRPr="00AE134A" w:rsidRDefault="00A62279" w:rsidP="00471AA4">
            <w:pPr>
              <w:spacing w:after="0" w:line="240" w:lineRule="auto"/>
              <w:rPr>
                <w:rFonts w:eastAsia="Calibri" w:cs="Arial"/>
                <w:i/>
                <w:sz w:val="20"/>
                <w:szCs w:val="22"/>
                <w:lang w:val="en-NZ" w:eastAsia="en-US"/>
              </w:rPr>
            </w:pPr>
          </w:p>
        </w:tc>
      </w:tr>
      <w:tr w:rsidR="00A62279" w:rsidRPr="003A3E2B" w:rsidTr="00471AA4">
        <w:tc>
          <w:tcPr>
            <w:tcW w:w="1951" w:type="dxa"/>
            <w:shd w:val="clear" w:color="auto" w:fill="auto"/>
          </w:tcPr>
          <w:p w:rsidR="00A62279" w:rsidRPr="003A3E2B" w:rsidRDefault="00A62279"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Entry powers for licence compliance </w:t>
            </w:r>
          </w:p>
          <w:p w:rsidR="00A62279" w:rsidRPr="003A3E2B" w:rsidRDefault="00A62279" w:rsidP="003A3E2B">
            <w:pPr>
              <w:spacing w:after="0" w:line="240" w:lineRule="auto"/>
              <w:rPr>
                <w:rFonts w:eastAsia="Calibri" w:cs="Arial"/>
                <w:sz w:val="20"/>
                <w:szCs w:val="22"/>
                <w:lang w:val="en-NZ" w:eastAsia="en-US"/>
              </w:rPr>
            </w:pPr>
          </w:p>
        </w:tc>
        <w:tc>
          <w:tcPr>
            <w:tcW w:w="2835" w:type="dxa"/>
            <w:shd w:val="clear" w:color="auto" w:fill="auto"/>
          </w:tcPr>
          <w:p w:rsidR="00A62279" w:rsidRDefault="00BD3AFC" w:rsidP="00471AA4">
            <w:pPr>
              <w:spacing w:after="0" w:line="240" w:lineRule="auto"/>
              <w:rPr>
                <w:rFonts w:eastAsia="Calibri" w:cs="Arial"/>
                <w:sz w:val="20"/>
                <w:szCs w:val="22"/>
                <w:lang w:val="en-NZ" w:eastAsia="en-US"/>
              </w:rPr>
            </w:pPr>
            <w:r>
              <w:rPr>
                <w:rFonts w:eastAsia="Calibri" w:cs="Arial"/>
                <w:sz w:val="20"/>
                <w:szCs w:val="22"/>
                <w:lang w:val="en-NZ" w:eastAsia="en-US"/>
              </w:rPr>
              <w:t xml:space="preserve">Incomplete </w:t>
            </w:r>
            <w:r w:rsidR="00A62279" w:rsidRPr="003A3E2B">
              <w:rPr>
                <w:rFonts w:eastAsia="Calibri" w:cs="Arial"/>
                <w:sz w:val="20"/>
                <w:szCs w:val="22"/>
                <w:lang w:val="en-NZ" w:eastAsia="en-US"/>
              </w:rPr>
              <w:t>entry powers (status quo)</w:t>
            </w:r>
            <w:r w:rsidR="00A62279">
              <w:rPr>
                <w:rFonts w:eastAsia="Calibri" w:cs="Arial"/>
                <w:sz w:val="20"/>
                <w:szCs w:val="22"/>
                <w:lang w:val="en-NZ" w:eastAsia="en-US"/>
              </w:rPr>
              <w:t>, or</w:t>
            </w:r>
          </w:p>
          <w:p w:rsidR="00A62279" w:rsidRPr="003A3E2B" w:rsidRDefault="00A62279" w:rsidP="00471AA4">
            <w:pPr>
              <w:spacing w:after="0" w:line="240" w:lineRule="auto"/>
              <w:rPr>
                <w:rFonts w:eastAsia="Calibri" w:cs="Arial"/>
                <w:sz w:val="20"/>
                <w:szCs w:val="22"/>
                <w:lang w:val="en-NZ" w:eastAsia="en-US"/>
              </w:rPr>
            </w:pPr>
          </w:p>
          <w:p w:rsidR="00A62279" w:rsidRDefault="00BD3AFC" w:rsidP="00471AA4">
            <w:pPr>
              <w:spacing w:after="0" w:line="240" w:lineRule="auto"/>
              <w:rPr>
                <w:rFonts w:eastAsia="Calibri" w:cs="Arial"/>
                <w:sz w:val="20"/>
                <w:szCs w:val="22"/>
                <w:lang w:val="en-NZ" w:eastAsia="en-US"/>
              </w:rPr>
            </w:pPr>
            <w:r>
              <w:rPr>
                <w:rFonts w:eastAsia="Calibri" w:cs="Arial"/>
                <w:sz w:val="20"/>
                <w:szCs w:val="22"/>
                <w:lang w:val="en-NZ" w:eastAsia="en-US"/>
              </w:rPr>
              <w:t>Fuller e</w:t>
            </w:r>
            <w:r w:rsidR="00A62279" w:rsidRPr="003A3E2B">
              <w:rPr>
                <w:rFonts w:eastAsia="Calibri" w:cs="Arial"/>
                <w:sz w:val="20"/>
                <w:szCs w:val="22"/>
                <w:lang w:val="en-NZ" w:eastAsia="en-US"/>
              </w:rPr>
              <w:t>ntry powers</w:t>
            </w:r>
          </w:p>
          <w:p w:rsidR="00A62279" w:rsidRDefault="00A62279" w:rsidP="00D93577">
            <w:pPr>
              <w:spacing w:after="0" w:line="240" w:lineRule="auto"/>
              <w:rPr>
                <w:rFonts w:eastAsia="Calibri" w:cs="Arial"/>
                <w:sz w:val="20"/>
                <w:szCs w:val="22"/>
                <w:lang w:val="en-NZ" w:eastAsia="en-US"/>
              </w:rPr>
            </w:pPr>
          </w:p>
        </w:tc>
        <w:tc>
          <w:tcPr>
            <w:tcW w:w="4230" w:type="dxa"/>
            <w:shd w:val="clear" w:color="auto" w:fill="auto"/>
          </w:tcPr>
          <w:p w:rsidR="00A62279" w:rsidRPr="003A3E2B" w:rsidRDefault="00F44AC9" w:rsidP="00471AA4">
            <w:pPr>
              <w:spacing w:after="0" w:line="240" w:lineRule="auto"/>
              <w:rPr>
                <w:rFonts w:eastAsia="Calibri" w:cs="Arial"/>
                <w:sz w:val="20"/>
                <w:szCs w:val="22"/>
                <w:lang w:val="en-NZ" w:eastAsia="en-US"/>
              </w:rPr>
            </w:pPr>
            <w:r>
              <w:rPr>
                <w:rFonts w:eastAsia="Calibri" w:cs="Arial"/>
                <w:sz w:val="20"/>
                <w:szCs w:val="22"/>
                <w:lang w:val="en-NZ" w:eastAsia="en-US"/>
              </w:rPr>
              <w:t xml:space="preserve">Providing the regulator with </w:t>
            </w:r>
            <w:r w:rsidR="00BD3AFC">
              <w:rPr>
                <w:rFonts w:eastAsia="Calibri" w:cs="Arial"/>
                <w:sz w:val="20"/>
                <w:szCs w:val="22"/>
                <w:lang w:val="en-NZ" w:eastAsia="en-US"/>
              </w:rPr>
              <w:t xml:space="preserve">a fuller range of </w:t>
            </w:r>
            <w:r>
              <w:rPr>
                <w:rFonts w:eastAsia="Calibri" w:cs="Arial"/>
                <w:sz w:val="20"/>
                <w:szCs w:val="22"/>
                <w:lang w:val="en-NZ" w:eastAsia="en-US"/>
              </w:rPr>
              <w:t xml:space="preserve">entry powers would </w:t>
            </w:r>
            <w:r w:rsidR="00BD3AFC">
              <w:rPr>
                <w:rFonts w:eastAsia="Calibri" w:cs="Arial"/>
                <w:sz w:val="20"/>
                <w:szCs w:val="22"/>
                <w:lang w:val="en-NZ" w:eastAsia="en-US"/>
              </w:rPr>
              <w:t xml:space="preserve">better </w:t>
            </w:r>
            <w:r>
              <w:rPr>
                <w:rFonts w:eastAsia="Calibri" w:cs="Arial"/>
                <w:sz w:val="20"/>
                <w:szCs w:val="22"/>
                <w:lang w:val="en-NZ" w:eastAsia="en-US"/>
              </w:rPr>
              <w:t>enable the regulator</w:t>
            </w:r>
            <w:r w:rsidR="00474F50">
              <w:rPr>
                <w:rFonts w:eastAsia="Calibri" w:cs="Arial"/>
                <w:sz w:val="20"/>
                <w:szCs w:val="22"/>
                <w:lang w:val="en-NZ" w:eastAsia="en-US"/>
              </w:rPr>
              <w:t xml:space="preserve"> to obtain the necessary information to verify the extent of compliance</w:t>
            </w:r>
            <w:r>
              <w:rPr>
                <w:rFonts w:eastAsia="Calibri" w:cs="Arial"/>
                <w:sz w:val="20"/>
                <w:szCs w:val="22"/>
                <w:lang w:val="en-NZ" w:eastAsia="en-US"/>
              </w:rPr>
              <w:t>.</w:t>
            </w:r>
          </w:p>
          <w:p w:rsidR="00A62279" w:rsidRPr="003A3E2B" w:rsidRDefault="00A62279" w:rsidP="00F44AC9">
            <w:pPr>
              <w:spacing w:after="0" w:line="240" w:lineRule="auto"/>
              <w:rPr>
                <w:rFonts w:eastAsia="Calibri" w:cs="Arial"/>
                <w:sz w:val="20"/>
                <w:szCs w:val="22"/>
                <w:lang w:val="en-NZ" w:eastAsia="en-US"/>
              </w:rPr>
            </w:pPr>
          </w:p>
        </w:tc>
      </w:tr>
      <w:tr w:rsidR="00A62279" w:rsidRPr="003A3E2B" w:rsidTr="00471AA4">
        <w:tc>
          <w:tcPr>
            <w:tcW w:w="1951" w:type="dxa"/>
            <w:shd w:val="clear" w:color="auto" w:fill="auto"/>
          </w:tcPr>
          <w:p w:rsidR="00A62279" w:rsidRPr="003A3E2B" w:rsidRDefault="00A62279"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Licence period</w:t>
            </w:r>
          </w:p>
          <w:p w:rsidR="00A62279" w:rsidRPr="003A3E2B" w:rsidRDefault="00A62279" w:rsidP="003A3E2B">
            <w:pPr>
              <w:spacing w:after="0" w:line="240" w:lineRule="auto"/>
              <w:rPr>
                <w:rFonts w:eastAsia="Calibri" w:cs="Arial"/>
                <w:sz w:val="20"/>
                <w:szCs w:val="22"/>
                <w:lang w:val="en-NZ" w:eastAsia="en-US"/>
              </w:rPr>
            </w:pPr>
          </w:p>
          <w:p w:rsidR="00A62279" w:rsidRPr="003A3E2B" w:rsidRDefault="00A62279" w:rsidP="003A3E2B">
            <w:pPr>
              <w:spacing w:after="0" w:line="240" w:lineRule="auto"/>
              <w:rPr>
                <w:rFonts w:eastAsia="Calibri" w:cs="Arial"/>
                <w:sz w:val="20"/>
                <w:szCs w:val="22"/>
                <w:lang w:val="en-NZ" w:eastAsia="en-US"/>
              </w:rPr>
            </w:pPr>
          </w:p>
        </w:tc>
        <w:tc>
          <w:tcPr>
            <w:tcW w:w="2835" w:type="dxa"/>
            <w:shd w:val="clear" w:color="auto" w:fill="auto"/>
          </w:tcPr>
          <w:p w:rsidR="00A62279" w:rsidRDefault="00A62279" w:rsidP="00471AA4">
            <w:pPr>
              <w:spacing w:after="0" w:line="240" w:lineRule="auto"/>
              <w:rPr>
                <w:rFonts w:eastAsia="Calibri" w:cs="Arial"/>
                <w:sz w:val="20"/>
                <w:szCs w:val="22"/>
                <w:lang w:val="en-NZ" w:eastAsia="en-US"/>
              </w:rPr>
            </w:pPr>
            <w:r>
              <w:rPr>
                <w:rFonts w:eastAsia="Calibri" w:cs="Arial"/>
                <w:sz w:val="20"/>
                <w:szCs w:val="22"/>
                <w:lang w:val="en-NZ" w:eastAsia="en-US"/>
              </w:rPr>
              <w:t>O</w:t>
            </w:r>
            <w:r w:rsidRPr="003A3E2B">
              <w:rPr>
                <w:rFonts w:eastAsia="Calibri" w:cs="Arial"/>
                <w:sz w:val="20"/>
                <w:szCs w:val="22"/>
                <w:lang w:val="en-NZ" w:eastAsia="en-US"/>
              </w:rPr>
              <w:t>ne year (status quo)</w:t>
            </w:r>
            <w:r>
              <w:rPr>
                <w:rFonts w:eastAsia="Calibri" w:cs="Arial"/>
                <w:sz w:val="20"/>
                <w:szCs w:val="22"/>
                <w:lang w:val="en-NZ" w:eastAsia="en-US"/>
              </w:rPr>
              <w:t>, or</w:t>
            </w:r>
          </w:p>
          <w:p w:rsidR="00A62279" w:rsidRPr="003A3E2B" w:rsidRDefault="00A62279" w:rsidP="00471AA4">
            <w:pPr>
              <w:spacing w:after="0" w:line="240" w:lineRule="auto"/>
              <w:rPr>
                <w:rFonts w:eastAsia="Calibri" w:cs="Arial"/>
                <w:sz w:val="20"/>
                <w:szCs w:val="22"/>
                <w:lang w:val="en-NZ" w:eastAsia="en-US"/>
              </w:rPr>
            </w:pPr>
          </w:p>
          <w:p w:rsidR="00A62279" w:rsidRDefault="00A62279" w:rsidP="00471AA4">
            <w:pPr>
              <w:spacing w:after="0" w:line="240" w:lineRule="auto"/>
              <w:rPr>
                <w:rFonts w:eastAsia="Calibri" w:cs="Arial"/>
                <w:sz w:val="20"/>
                <w:szCs w:val="22"/>
                <w:lang w:val="en-NZ" w:eastAsia="en-US"/>
              </w:rPr>
            </w:pPr>
            <w:r>
              <w:rPr>
                <w:rFonts w:eastAsia="Calibri" w:cs="Arial"/>
                <w:sz w:val="20"/>
                <w:szCs w:val="22"/>
                <w:lang w:val="en-NZ" w:eastAsia="en-US"/>
              </w:rPr>
              <w:t>T</w:t>
            </w:r>
            <w:r w:rsidRPr="003A3E2B">
              <w:rPr>
                <w:rFonts w:eastAsia="Calibri" w:cs="Arial"/>
                <w:sz w:val="20"/>
                <w:szCs w:val="22"/>
                <w:lang w:val="en-NZ" w:eastAsia="en-US"/>
              </w:rPr>
              <w:t>hree years (or other period specified by the regulator)</w:t>
            </w:r>
          </w:p>
          <w:p w:rsidR="00A62279" w:rsidRDefault="00A62279" w:rsidP="00D93577">
            <w:pPr>
              <w:spacing w:after="0" w:line="240" w:lineRule="auto"/>
              <w:rPr>
                <w:rFonts w:eastAsia="Calibri" w:cs="Arial"/>
                <w:sz w:val="20"/>
                <w:szCs w:val="22"/>
                <w:lang w:val="en-NZ" w:eastAsia="en-US"/>
              </w:rPr>
            </w:pPr>
          </w:p>
        </w:tc>
        <w:tc>
          <w:tcPr>
            <w:tcW w:w="4230" w:type="dxa"/>
            <w:shd w:val="clear" w:color="auto" w:fill="auto"/>
          </w:tcPr>
          <w:p w:rsidR="00A62279" w:rsidRPr="003A3E2B" w:rsidRDefault="00F44AC9" w:rsidP="00471AA4">
            <w:pPr>
              <w:spacing w:after="0" w:line="240" w:lineRule="auto"/>
              <w:rPr>
                <w:rFonts w:eastAsia="Calibri" w:cs="Arial"/>
                <w:sz w:val="20"/>
                <w:szCs w:val="22"/>
                <w:lang w:val="en-NZ" w:eastAsia="en-US"/>
              </w:rPr>
            </w:pPr>
            <w:r>
              <w:rPr>
                <w:rFonts w:eastAsia="Calibri" w:cs="Arial"/>
                <w:sz w:val="20"/>
                <w:szCs w:val="22"/>
                <w:lang w:val="en-NZ" w:eastAsia="en-US"/>
              </w:rPr>
              <w:t xml:space="preserve">Providing the regulator with the flexibility to </w:t>
            </w:r>
            <w:r w:rsidR="00474F50">
              <w:rPr>
                <w:rFonts w:eastAsia="Calibri" w:cs="Arial"/>
                <w:sz w:val="20"/>
                <w:szCs w:val="22"/>
                <w:lang w:val="en-NZ" w:eastAsia="en-US"/>
              </w:rPr>
              <w:t xml:space="preserve">determine the appropriate licence period </w:t>
            </w:r>
            <w:r w:rsidR="0030387A">
              <w:rPr>
                <w:rFonts w:eastAsia="Calibri" w:cs="Arial"/>
                <w:sz w:val="20"/>
                <w:szCs w:val="22"/>
                <w:lang w:val="en-NZ" w:eastAsia="en-US"/>
              </w:rPr>
              <w:t xml:space="preserve">allows </w:t>
            </w:r>
            <w:r w:rsidR="00474F50">
              <w:rPr>
                <w:rFonts w:eastAsia="Calibri" w:cs="Arial"/>
                <w:sz w:val="20"/>
                <w:szCs w:val="22"/>
                <w:lang w:val="en-NZ" w:eastAsia="en-US"/>
              </w:rPr>
              <w:t>a more risk appropriate approach</w:t>
            </w:r>
            <w:r w:rsidR="0030387A">
              <w:rPr>
                <w:rFonts w:eastAsia="Calibri" w:cs="Arial"/>
                <w:sz w:val="20"/>
                <w:szCs w:val="22"/>
                <w:lang w:val="en-NZ" w:eastAsia="en-US"/>
              </w:rPr>
              <w:t>, and may lower compliance costs in some cases</w:t>
            </w:r>
            <w:r w:rsidR="00474F50">
              <w:rPr>
                <w:rFonts w:eastAsia="Calibri" w:cs="Arial"/>
                <w:sz w:val="20"/>
                <w:szCs w:val="22"/>
                <w:lang w:val="en-NZ" w:eastAsia="en-US"/>
              </w:rPr>
              <w:t>.</w:t>
            </w:r>
          </w:p>
          <w:p w:rsidR="00A62279" w:rsidRPr="003A3E2B" w:rsidRDefault="00A62279" w:rsidP="003A3E2B">
            <w:pPr>
              <w:spacing w:after="0" w:line="240" w:lineRule="auto"/>
              <w:rPr>
                <w:rFonts w:eastAsia="Calibri" w:cs="Arial"/>
                <w:sz w:val="20"/>
                <w:szCs w:val="22"/>
                <w:lang w:val="en-NZ" w:eastAsia="en-US"/>
              </w:rPr>
            </w:pPr>
          </w:p>
        </w:tc>
      </w:tr>
      <w:tr w:rsidR="00A62279" w:rsidRPr="003A3E2B" w:rsidTr="00471AA4">
        <w:tc>
          <w:tcPr>
            <w:tcW w:w="1951" w:type="dxa"/>
            <w:shd w:val="clear" w:color="auto" w:fill="auto"/>
          </w:tcPr>
          <w:p w:rsidR="00A62279" w:rsidRPr="003A3E2B" w:rsidRDefault="00A62279"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Powers to determine activities to be licensed </w:t>
            </w:r>
          </w:p>
          <w:p w:rsidR="00A62279" w:rsidRPr="003A3E2B" w:rsidRDefault="00A62279" w:rsidP="003A3E2B">
            <w:pPr>
              <w:spacing w:after="0" w:line="240" w:lineRule="auto"/>
              <w:rPr>
                <w:rFonts w:eastAsia="Calibri" w:cs="Arial"/>
                <w:sz w:val="20"/>
                <w:szCs w:val="22"/>
                <w:lang w:val="en-NZ" w:eastAsia="en-US"/>
              </w:rPr>
            </w:pPr>
          </w:p>
          <w:p w:rsidR="00A62279" w:rsidRPr="003A3E2B" w:rsidRDefault="00A62279" w:rsidP="00826260">
            <w:pPr>
              <w:spacing w:after="0" w:line="240" w:lineRule="auto"/>
              <w:rPr>
                <w:rFonts w:eastAsia="Calibri" w:cs="Arial"/>
                <w:sz w:val="20"/>
                <w:szCs w:val="22"/>
                <w:lang w:val="en-NZ" w:eastAsia="en-US"/>
              </w:rPr>
            </w:pPr>
          </w:p>
        </w:tc>
        <w:tc>
          <w:tcPr>
            <w:tcW w:w="2835" w:type="dxa"/>
            <w:shd w:val="clear" w:color="auto" w:fill="auto"/>
          </w:tcPr>
          <w:p w:rsidR="00A62279" w:rsidRDefault="00A62279" w:rsidP="00471AA4">
            <w:pPr>
              <w:spacing w:after="0" w:line="240" w:lineRule="auto"/>
              <w:rPr>
                <w:rFonts w:eastAsia="Calibri" w:cs="Arial"/>
                <w:sz w:val="20"/>
                <w:szCs w:val="22"/>
                <w:lang w:val="en-NZ" w:eastAsia="en-US"/>
              </w:rPr>
            </w:pPr>
            <w:r>
              <w:rPr>
                <w:rFonts w:eastAsia="Calibri" w:cs="Arial"/>
                <w:sz w:val="20"/>
                <w:szCs w:val="22"/>
                <w:lang w:val="en-NZ" w:eastAsia="en-US"/>
              </w:rPr>
              <w:t>S</w:t>
            </w:r>
            <w:r w:rsidRPr="003A3E2B">
              <w:rPr>
                <w:rFonts w:eastAsia="Calibri" w:cs="Arial"/>
                <w:sz w:val="20"/>
                <w:szCs w:val="22"/>
                <w:lang w:val="en-NZ" w:eastAsia="en-US"/>
              </w:rPr>
              <w:t>et out in primary Act (status quo)</w:t>
            </w:r>
            <w:r>
              <w:rPr>
                <w:rFonts w:eastAsia="Calibri" w:cs="Arial"/>
                <w:sz w:val="20"/>
                <w:szCs w:val="22"/>
                <w:lang w:val="en-NZ" w:eastAsia="en-US"/>
              </w:rPr>
              <w:t>, or</w:t>
            </w:r>
          </w:p>
          <w:p w:rsidR="00A62279" w:rsidRPr="003A3E2B" w:rsidRDefault="00A62279" w:rsidP="00471AA4">
            <w:pPr>
              <w:spacing w:after="0" w:line="240" w:lineRule="auto"/>
              <w:rPr>
                <w:rFonts w:eastAsia="Calibri" w:cs="Arial"/>
                <w:sz w:val="20"/>
                <w:szCs w:val="22"/>
                <w:lang w:val="en-NZ" w:eastAsia="en-US"/>
              </w:rPr>
            </w:pPr>
          </w:p>
          <w:p w:rsidR="00A62279" w:rsidRDefault="00A62279" w:rsidP="00471AA4">
            <w:pPr>
              <w:spacing w:after="0" w:line="240" w:lineRule="auto"/>
              <w:rPr>
                <w:rFonts w:eastAsia="Calibri" w:cs="Arial"/>
                <w:sz w:val="20"/>
                <w:szCs w:val="22"/>
                <w:lang w:val="en-NZ" w:eastAsia="en-US"/>
              </w:rPr>
            </w:pPr>
            <w:r>
              <w:rPr>
                <w:rFonts w:eastAsia="Calibri" w:cs="Arial"/>
                <w:sz w:val="20"/>
                <w:szCs w:val="22"/>
                <w:lang w:val="en-NZ" w:eastAsia="en-US"/>
              </w:rPr>
              <w:t>S</w:t>
            </w:r>
            <w:r w:rsidRPr="003A3E2B">
              <w:rPr>
                <w:rFonts w:eastAsia="Calibri" w:cs="Arial"/>
                <w:sz w:val="20"/>
                <w:szCs w:val="22"/>
                <w:lang w:val="en-NZ" w:eastAsia="en-US"/>
              </w:rPr>
              <w:t>et out in Regulations</w:t>
            </w:r>
          </w:p>
          <w:p w:rsidR="00A62279" w:rsidRDefault="00A62279" w:rsidP="00D93577">
            <w:pPr>
              <w:spacing w:after="0" w:line="240" w:lineRule="auto"/>
              <w:rPr>
                <w:rFonts w:eastAsia="Calibri" w:cs="Arial"/>
                <w:sz w:val="20"/>
                <w:szCs w:val="22"/>
                <w:lang w:val="en-NZ" w:eastAsia="en-US"/>
              </w:rPr>
            </w:pPr>
          </w:p>
        </w:tc>
        <w:tc>
          <w:tcPr>
            <w:tcW w:w="4230" w:type="dxa"/>
            <w:shd w:val="clear" w:color="auto" w:fill="auto"/>
          </w:tcPr>
          <w:p w:rsidR="00F44AC9" w:rsidRDefault="00F44AC9" w:rsidP="00F44AC9">
            <w:pPr>
              <w:spacing w:after="0" w:line="240" w:lineRule="auto"/>
              <w:rPr>
                <w:rFonts w:eastAsia="Calibri" w:cs="Arial"/>
                <w:sz w:val="20"/>
                <w:szCs w:val="22"/>
                <w:lang w:val="en-NZ" w:eastAsia="en-US"/>
              </w:rPr>
            </w:pPr>
            <w:r>
              <w:rPr>
                <w:rFonts w:eastAsia="Calibri" w:cs="Arial"/>
                <w:sz w:val="20"/>
                <w:szCs w:val="22"/>
                <w:lang w:val="en-NZ" w:eastAsia="en-US"/>
              </w:rPr>
              <w:t xml:space="preserve">Enabling the activities to be licensed to be set by Regulation provides a cost-effective means for the regulator to manage risk. </w:t>
            </w:r>
          </w:p>
          <w:p w:rsidR="00A62279" w:rsidRDefault="00A62279" w:rsidP="00471AA4">
            <w:pPr>
              <w:spacing w:after="0" w:line="240" w:lineRule="auto"/>
              <w:rPr>
                <w:rFonts w:eastAsia="Calibri" w:cs="Arial"/>
                <w:sz w:val="20"/>
                <w:szCs w:val="22"/>
                <w:lang w:val="en-NZ" w:eastAsia="en-US"/>
              </w:rPr>
            </w:pPr>
          </w:p>
          <w:p w:rsidR="00A62279" w:rsidRPr="00AE134A" w:rsidRDefault="00A62279" w:rsidP="00471AA4">
            <w:pPr>
              <w:spacing w:after="0" w:line="240" w:lineRule="auto"/>
              <w:rPr>
                <w:rFonts w:eastAsia="Calibri" w:cs="Arial"/>
                <w:sz w:val="20"/>
                <w:szCs w:val="22"/>
                <w:lang w:val="en-NZ" w:eastAsia="en-US"/>
              </w:rPr>
            </w:pPr>
          </w:p>
        </w:tc>
      </w:tr>
      <w:tr w:rsidR="00A62279" w:rsidRPr="003A3E2B" w:rsidTr="00471AA4">
        <w:tc>
          <w:tcPr>
            <w:tcW w:w="1951" w:type="dxa"/>
            <w:shd w:val="clear" w:color="auto" w:fill="auto"/>
          </w:tcPr>
          <w:p w:rsidR="00A62279" w:rsidRPr="003A3E2B" w:rsidRDefault="00A62279"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Powers to determine general rules</w:t>
            </w:r>
          </w:p>
          <w:p w:rsidR="00A62279" w:rsidRPr="003A3E2B" w:rsidRDefault="00A62279" w:rsidP="003A3E2B">
            <w:pPr>
              <w:spacing w:after="0" w:line="240" w:lineRule="auto"/>
              <w:rPr>
                <w:rFonts w:eastAsia="Calibri" w:cs="Arial"/>
                <w:sz w:val="20"/>
                <w:szCs w:val="22"/>
                <w:lang w:val="en-NZ" w:eastAsia="en-US"/>
              </w:rPr>
            </w:pPr>
          </w:p>
        </w:tc>
        <w:tc>
          <w:tcPr>
            <w:tcW w:w="2835" w:type="dxa"/>
            <w:shd w:val="clear" w:color="auto" w:fill="auto"/>
          </w:tcPr>
          <w:p w:rsidR="00A62279" w:rsidRDefault="00A62279" w:rsidP="00471AA4">
            <w:pPr>
              <w:spacing w:after="0" w:line="240" w:lineRule="auto"/>
              <w:rPr>
                <w:rFonts w:eastAsia="Calibri" w:cs="Arial"/>
                <w:sz w:val="20"/>
                <w:szCs w:val="22"/>
                <w:lang w:val="en-NZ" w:eastAsia="en-US"/>
              </w:rPr>
            </w:pPr>
            <w:r>
              <w:rPr>
                <w:rFonts w:eastAsia="Calibri" w:cs="Arial"/>
                <w:sz w:val="20"/>
                <w:szCs w:val="22"/>
                <w:lang w:val="en-NZ" w:eastAsia="en-US"/>
              </w:rPr>
              <w:t>S</w:t>
            </w:r>
            <w:r w:rsidRPr="003A3E2B">
              <w:rPr>
                <w:rFonts w:eastAsia="Calibri" w:cs="Arial"/>
                <w:sz w:val="20"/>
                <w:szCs w:val="22"/>
                <w:lang w:val="en-NZ" w:eastAsia="en-US"/>
              </w:rPr>
              <w:t>et out in primary Act (status quo)</w:t>
            </w:r>
            <w:r>
              <w:rPr>
                <w:rFonts w:eastAsia="Calibri" w:cs="Arial"/>
                <w:sz w:val="20"/>
                <w:szCs w:val="22"/>
                <w:lang w:val="en-NZ" w:eastAsia="en-US"/>
              </w:rPr>
              <w:t>, or</w:t>
            </w:r>
          </w:p>
          <w:p w:rsidR="00A62279" w:rsidRPr="003A3E2B" w:rsidRDefault="00A62279" w:rsidP="00471AA4">
            <w:pPr>
              <w:spacing w:after="0" w:line="240" w:lineRule="auto"/>
              <w:rPr>
                <w:rFonts w:eastAsia="Calibri" w:cs="Arial"/>
                <w:sz w:val="20"/>
                <w:szCs w:val="22"/>
                <w:lang w:val="en-NZ" w:eastAsia="en-US"/>
              </w:rPr>
            </w:pPr>
          </w:p>
          <w:p w:rsidR="00A62279" w:rsidRDefault="00A62279" w:rsidP="00471AA4">
            <w:pPr>
              <w:spacing w:after="0" w:line="240" w:lineRule="auto"/>
              <w:rPr>
                <w:rFonts w:eastAsia="Calibri" w:cs="Arial"/>
                <w:sz w:val="20"/>
                <w:szCs w:val="22"/>
                <w:lang w:val="en-NZ" w:eastAsia="en-US"/>
              </w:rPr>
            </w:pPr>
            <w:r>
              <w:rPr>
                <w:rFonts w:eastAsia="Calibri" w:cs="Arial"/>
                <w:sz w:val="20"/>
                <w:szCs w:val="22"/>
                <w:lang w:val="en-NZ" w:eastAsia="en-US"/>
              </w:rPr>
              <w:t>S</w:t>
            </w:r>
            <w:r w:rsidRPr="003A3E2B">
              <w:rPr>
                <w:rFonts w:eastAsia="Calibri" w:cs="Arial"/>
                <w:sz w:val="20"/>
                <w:szCs w:val="22"/>
                <w:lang w:val="en-NZ" w:eastAsia="en-US"/>
              </w:rPr>
              <w:t>et</w:t>
            </w:r>
            <w:r>
              <w:rPr>
                <w:rFonts w:eastAsia="Calibri" w:cs="Arial"/>
                <w:sz w:val="20"/>
                <w:szCs w:val="22"/>
                <w:lang w:val="en-NZ" w:eastAsia="en-US"/>
              </w:rPr>
              <w:t xml:space="preserve"> by Regulation</w:t>
            </w:r>
          </w:p>
          <w:p w:rsidR="00A62279" w:rsidRDefault="00A62279" w:rsidP="00D93577">
            <w:pPr>
              <w:spacing w:after="0" w:line="240" w:lineRule="auto"/>
              <w:rPr>
                <w:rFonts w:eastAsia="Calibri" w:cs="Arial"/>
                <w:sz w:val="20"/>
                <w:szCs w:val="22"/>
                <w:lang w:val="en-NZ" w:eastAsia="en-US"/>
              </w:rPr>
            </w:pPr>
          </w:p>
        </w:tc>
        <w:tc>
          <w:tcPr>
            <w:tcW w:w="4230" w:type="dxa"/>
            <w:shd w:val="clear" w:color="auto" w:fill="auto"/>
          </w:tcPr>
          <w:p w:rsidR="00A62279" w:rsidRDefault="00F44AC9" w:rsidP="00471AA4">
            <w:pPr>
              <w:spacing w:after="0" w:line="240" w:lineRule="auto"/>
              <w:rPr>
                <w:rFonts w:eastAsia="Calibri" w:cs="Arial"/>
                <w:sz w:val="20"/>
                <w:szCs w:val="22"/>
                <w:lang w:val="en-NZ" w:eastAsia="en-US"/>
              </w:rPr>
            </w:pPr>
            <w:r>
              <w:rPr>
                <w:rFonts w:eastAsia="Calibri" w:cs="Arial"/>
                <w:sz w:val="20"/>
                <w:szCs w:val="22"/>
                <w:lang w:val="en-NZ" w:eastAsia="en-US"/>
              </w:rPr>
              <w:t xml:space="preserve">Similarly, enabling general rules to be set by Regulation provides a cost-effective means for the regulator to manage risk. </w:t>
            </w:r>
          </w:p>
          <w:p w:rsidR="00A62279" w:rsidRPr="003A3E2B" w:rsidRDefault="00A62279" w:rsidP="00471AA4">
            <w:pPr>
              <w:spacing w:after="0" w:line="240" w:lineRule="auto"/>
              <w:rPr>
                <w:rFonts w:eastAsia="Calibri" w:cs="Arial"/>
                <w:sz w:val="20"/>
                <w:szCs w:val="22"/>
                <w:lang w:val="en-NZ" w:eastAsia="en-US"/>
              </w:rPr>
            </w:pPr>
          </w:p>
        </w:tc>
      </w:tr>
    </w:tbl>
    <w:p w:rsidR="00B74A60" w:rsidRPr="00B74A60" w:rsidRDefault="00B74A60" w:rsidP="00B74A60">
      <w:pPr>
        <w:spacing w:after="0" w:line="240" w:lineRule="auto"/>
        <w:rPr>
          <w:rFonts w:eastAsia="Calibri" w:cs="Arial"/>
          <w:szCs w:val="22"/>
          <w:lang w:val="en-NZ" w:eastAsia="en-US"/>
        </w:rPr>
      </w:pPr>
    </w:p>
    <w:p w:rsidR="005E3656" w:rsidRDefault="005E3656" w:rsidP="008B70FA">
      <w:pPr>
        <w:spacing w:after="0" w:line="240" w:lineRule="auto"/>
        <w:rPr>
          <w:rFonts w:eastAsia="Calibri" w:cs="Arial"/>
          <w:b/>
          <w:szCs w:val="22"/>
        </w:rPr>
      </w:pPr>
    </w:p>
    <w:p w:rsidR="008B70FA" w:rsidRPr="00830E17" w:rsidRDefault="008B70FA" w:rsidP="00830E17">
      <w:pPr>
        <w:pStyle w:val="Heading5"/>
        <w:rPr>
          <w:rFonts w:eastAsia="Calibri"/>
          <w:b/>
          <w:i w:val="0"/>
        </w:rPr>
      </w:pPr>
      <w:r w:rsidRPr="00830E17">
        <w:rPr>
          <w:rFonts w:eastAsia="Calibri"/>
          <w:b/>
          <w:i w:val="0"/>
        </w:rPr>
        <w:t>Issue 10: Pharmacy licensing and control</w:t>
      </w:r>
    </w:p>
    <w:p w:rsidR="008B70FA" w:rsidRPr="00721E59" w:rsidRDefault="008B70FA" w:rsidP="008B70FA">
      <w:pPr>
        <w:spacing w:after="0" w:line="240" w:lineRule="auto"/>
        <w:rPr>
          <w:rFonts w:eastAsia="Calibri" w:cs="Arial"/>
          <w:szCs w:val="22"/>
        </w:rPr>
      </w:pPr>
    </w:p>
    <w:p w:rsidR="00916833" w:rsidRDefault="00916833" w:rsidP="00916833">
      <w:pPr>
        <w:pStyle w:val="BodyText"/>
        <w:rPr>
          <w:rFonts w:eastAsia="Calibri" w:cs="Arial"/>
          <w:szCs w:val="22"/>
          <w:u w:val="single"/>
        </w:rPr>
      </w:pPr>
      <w:r>
        <w:rPr>
          <w:rFonts w:eastAsia="Calibri"/>
        </w:rPr>
        <w:t xml:space="preserve">The licensing and control of pharmacies </w:t>
      </w:r>
      <w:r w:rsidRPr="00B74A60">
        <w:rPr>
          <w:rFonts w:eastAsia="Calibri"/>
        </w:rPr>
        <w:t>will be addressed in advice to be included in the Cabinet paper in early 2016.</w:t>
      </w:r>
      <w:r>
        <w:rPr>
          <w:rFonts w:eastAsia="Calibri"/>
        </w:rPr>
        <w:t xml:space="preserve">  The following discussion illustrates the key issues.</w:t>
      </w:r>
    </w:p>
    <w:p w:rsidR="008B70FA" w:rsidRPr="00721E59" w:rsidRDefault="008B70FA" w:rsidP="00830E17">
      <w:pPr>
        <w:pStyle w:val="Heading6"/>
      </w:pPr>
      <w:r w:rsidRPr="00721E59">
        <w:t>Objectives</w:t>
      </w:r>
    </w:p>
    <w:p w:rsidR="008B70FA" w:rsidRPr="00721E59" w:rsidRDefault="008B70FA" w:rsidP="008B70FA">
      <w:pPr>
        <w:spacing w:after="0" w:line="240" w:lineRule="auto"/>
        <w:rPr>
          <w:rFonts w:eastAsia="Calibri" w:cs="Arial"/>
          <w:szCs w:val="22"/>
        </w:rPr>
      </w:pPr>
    </w:p>
    <w:p w:rsidR="008B70FA" w:rsidRPr="00F35AF7" w:rsidRDefault="008B70FA" w:rsidP="00E440A3">
      <w:pPr>
        <w:pStyle w:val="BodyText"/>
        <w:rPr>
          <w:rFonts w:eastAsia="Calibri"/>
        </w:rPr>
      </w:pPr>
      <w:r w:rsidRPr="00F35AF7">
        <w:rPr>
          <w:rFonts w:eastAsia="Calibri"/>
        </w:rPr>
        <w:t>Licensing of pharmacies is intended to ensure the safe supply and effective use of therapeutic products</w:t>
      </w:r>
      <w:r w:rsidR="000C0B7D" w:rsidRPr="00F35AF7">
        <w:rPr>
          <w:rFonts w:eastAsia="Calibri"/>
        </w:rPr>
        <w:t>.</w:t>
      </w:r>
    </w:p>
    <w:p w:rsidR="008B70FA" w:rsidRPr="00F35AF7" w:rsidRDefault="008B70FA" w:rsidP="00E440A3">
      <w:pPr>
        <w:pStyle w:val="BodyText"/>
        <w:rPr>
          <w:rFonts w:eastAsia="Calibri"/>
        </w:rPr>
      </w:pPr>
      <w:r w:rsidRPr="00F35AF7">
        <w:rPr>
          <w:rFonts w:eastAsia="Calibri"/>
        </w:rPr>
        <w:t xml:space="preserve">It is a mutual goal of the pharmacy profession and the Government to move toward better, and more integrated consumer-centred care.  These elements are an important part of innovation in the sector.  </w:t>
      </w:r>
    </w:p>
    <w:p w:rsidR="008B70FA" w:rsidRPr="00721E59" w:rsidRDefault="008B70FA" w:rsidP="00B66942">
      <w:pPr>
        <w:pStyle w:val="Bullet-list"/>
        <w:numPr>
          <w:ilvl w:val="0"/>
          <w:numId w:val="27"/>
        </w:numPr>
        <w:spacing w:after="0" w:line="240" w:lineRule="auto"/>
        <w:ind w:left="357" w:hanging="357"/>
        <w:rPr>
          <w:rFonts w:eastAsia="Calibri" w:cs="Arial"/>
          <w:szCs w:val="22"/>
        </w:rPr>
      </w:pPr>
      <w:r w:rsidRPr="00F35AF7">
        <w:rPr>
          <w:rFonts w:eastAsia="Calibri" w:cs="Arial"/>
          <w:szCs w:val="22"/>
          <w:lang w:val="en-NZ"/>
        </w:rPr>
        <w:t>Thus</w:t>
      </w:r>
      <w:r w:rsidRPr="00721E59">
        <w:rPr>
          <w:rFonts w:eastAsia="Calibri" w:cs="Arial"/>
          <w:szCs w:val="22"/>
        </w:rPr>
        <w:t>, key objectives are:</w:t>
      </w:r>
    </w:p>
    <w:p w:rsidR="008B70FA" w:rsidRPr="00721E59" w:rsidRDefault="008B70FA" w:rsidP="00984593">
      <w:pPr>
        <w:spacing w:after="0" w:line="240" w:lineRule="auto"/>
        <w:rPr>
          <w:rFonts w:eastAsia="Calibri" w:cs="Arial"/>
          <w:szCs w:val="22"/>
        </w:rPr>
      </w:pPr>
    </w:p>
    <w:p w:rsidR="008B70FA" w:rsidRPr="00721E59" w:rsidRDefault="008B70FA" w:rsidP="00E440A3">
      <w:pPr>
        <w:pStyle w:val="BodyText2"/>
        <w:rPr>
          <w:rFonts w:eastAsia="Calibri"/>
        </w:rPr>
      </w:pPr>
      <w:r w:rsidRPr="00721E59">
        <w:rPr>
          <w:rFonts w:eastAsia="Calibri"/>
        </w:rPr>
        <w:t>to ensure the safe supply and effective use o</w:t>
      </w:r>
      <w:r w:rsidR="000D0456">
        <w:rPr>
          <w:rFonts w:eastAsia="Calibri"/>
        </w:rPr>
        <w:t>f therapeutic products</w:t>
      </w:r>
    </w:p>
    <w:p w:rsidR="008B70FA" w:rsidRDefault="008B70FA" w:rsidP="00E440A3">
      <w:pPr>
        <w:pStyle w:val="BodyText2"/>
        <w:rPr>
          <w:rFonts w:eastAsia="Calibri"/>
        </w:rPr>
      </w:pPr>
      <w:r w:rsidRPr="00721E59">
        <w:rPr>
          <w:rFonts w:eastAsia="Calibri"/>
        </w:rPr>
        <w:t>to ensure the regulatory environment enables innovation in pharmacy services, and enhances the contribution of pharmacis</w:t>
      </w:r>
      <w:r w:rsidR="000D0456">
        <w:rPr>
          <w:rFonts w:eastAsia="Calibri"/>
        </w:rPr>
        <w:t>t skills in a range of settings</w:t>
      </w:r>
    </w:p>
    <w:p w:rsidR="00984593" w:rsidRPr="00721E59" w:rsidRDefault="00984593" w:rsidP="00E440A3">
      <w:pPr>
        <w:pStyle w:val="BodyText2"/>
        <w:rPr>
          <w:rFonts w:eastAsia="Calibri"/>
        </w:rPr>
      </w:pPr>
      <w:proofErr w:type="gramStart"/>
      <w:r>
        <w:rPr>
          <w:rFonts w:eastAsia="Calibri"/>
        </w:rPr>
        <w:t>to</w:t>
      </w:r>
      <w:proofErr w:type="gramEnd"/>
      <w:r>
        <w:rPr>
          <w:rFonts w:eastAsia="Calibri"/>
        </w:rPr>
        <w:t xml:space="preserve"> enhance the accessibility of pharmacy services within an environment that enables the development of innovative services provision.</w:t>
      </w:r>
    </w:p>
    <w:p w:rsidR="008B70FA" w:rsidRPr="00721E59" w:rsidRDefault="008B70FA" w:rsidP="00E440A3">
      <w:pPr>
        <w:pStyle w:val="BodyText"/>
        <w:rPr>
          <w:rFonts w:eastAsia="Calibri"/>
        </w:rPr>
      </w:pPr>
      <w:r w:rsidRPr="00F35AF7">
        <w:rPr>
          <w:rFonts w:eastAsia="Calibri"/>
          <w:lang w:val="en-NZ"/>
        </w:rPr>
        <w:t>The</w:t>
      </w:r>
      <w:r w:rsidRPr="00721E59">
        <w:rPr>
          <w:rFonts w:eastAsia="Calibri"/>
        </w:rPr>
        <w:t xml:space="preserve"> primary method of ensuring </w:t>
      </w:r>
      <w:r w:rsidR="00984593">
        <w:rPr>
          <w:rFonts w:eastAsia="Calibri"/>
        </w:rPr>
        <w:t xml:space="preserve">safety and efficacy in the use of therapeutic products </w:t>
      </w:r>
      <w:r w:rsidRPr="00721E59">
        <w:rPr>
          <w:rFonts w:eastAsia="Calibri"/>
        </w:rPr>
        <w:t xml:space="preserve">in the new regime will be through licensing requirements, including </w:t>
      </w:r>
      <w:r w:rsidR="00984593">
        <w:rPr>
          <w:rFonts w:eastAsia="Calibri"/>
        </w:rPr>
        <w:t xml:space="preserve">continuing with the “supervision and control” </w:t>
      </w:r>
      <w:r w:rsidRPr="00721E59">
        <w:rPr>
          <w:rFonts w:eastAsia="Calibri"/>
        </w:rPr>
        <w:t>requirement</w:t>
      </w:r>
      <w:r w:rsidR="00984593">
        <w:rPr>
          <w:rFonts w:eastAsia="Calibri"/>
        </w:rPr>
        <w:t>s placed on qualified pharmacists</w:t>
      </w:r>
      <w:r w:rsidRPr="00721E59">
        <w:rPr>
          <w:rFonts w:eastAsia="Calibri"/>
        </w:rPr>
        <w:t xml:space="preserve">.  Additional </w:t>
      </w:r>
      <w:r w:rsidR="00984593">
        <w:rPr>
          <w:rFonts w:eastAsia="Calibri"/>
        </w:rPr>
        <w:t xml:space="preserve">requirements </w:t>
      </w:r>
      <w:r w:rsidRPr="00721E59">
        <w:rPr>
          <w:rFonts w:eastAsia="Calibri"/>
        </w:rPr>
        <w:t xml:space="preserve">relating to safe pharmacy practice should also be able to be </w:t>
      </w:r>
      <w:r w:rsidR="00984593">
        <w:rPr>
          <w:rFonts w:eastAsia="Calibri"/>
        </w:rPr>
        <w:t>set by the Regulator as part of licence conditions</w:t>
      </w:r>
      <w:r w:rsidRPr="00721E59">
        <w:rPr>
          <w:rFonts w:eastAsia="Calibri"/>
        </w:rPr>
        <w:t>.</w:t>
      </w:r>
    </w:p>
    <w:p w:rsidR="008B70FA" w:rsidRPr="00721E59" w:rsidRDefault="008B70FA" w:rsidP="00830E17">
      <w:pPr>
        <w:pStyle w:val="Heading6"/>
      </w:pPr>
      <w:r w:rsidRPr="00721E59">
        <w:t>Current requirements</w:t>
      </w:r>
    </w:p>
    <w:p w:rsidR="008B70FA" w:rsidRPr="00721E59" w:rsidRDefault="008B70FA" w:rsidP="008B70FA">
      <w:pPr>
        <w:spacing w:after="0" w:line="240" w:lineRule="auto"/>
        <w:rPr>
          <w:rFonts w:eastAsia="Calibri" w:cs="Arial"/>
          <w:szCs w:val="22"/>
          <w:u w:val="single"/>
        </w:rPr>
      </w:pPr>
    </w:p>
    <w:p w:rsidR="008B70FA" w:rsidRPr="00F35AF7" w:rsidRDefault="008B70FA" w:rsidP="00E440A3">
      <w:pPr>
        <w:pStyle w:val="BodyText"/>
        <w:rPr>
          <w:rFonts w:eastAsia="Calibri"/>
        </w:rPr>
      </w:pPr>
      <w:r w:rsidRPr="00F35AF7">
        <w:rPr>
          <w:rFonts w:eastAsia="Calibri"/>
        </w:rPr>
        <w:t xml:space="preserve">Prescription, restricted and pharmacy-only medicines must be under the supervision and control of a pharmacist.  Practising pharmacists must be suitably qualified, registered with the Pharmacy Council, and subject to the Health Practitioners Competence and Assurance Act 2003. </w:t>
      </w:r>
    </w:p>
    <w:p w:rsidR="008B70FA" w:rsidRPr="00721E59" w:rsidRDefault="008B70FA" w:rsidP="00E440A3">
      <w:pPr>
        <w:pStyle w:val="BodyText"/>
        <w:rPr>
          <w:rFonts w:eastAsia="Calibri"/>
        </w:rPr>
      </w:pPr>
      <w:r w:rsidRPr="00F35AF7">
        <w:rPr>
          <w:rFonts w:eastAsia="Calibri"/>
          <w:lang w:val="en-NZ"/>
        </w:rPr>
        <w:t>In addition</w:t>
      </w:r>
      <w:r w:rsidRPr="00721E59">
        <w:rPr>
          <w:rFonts w:eastAsia="Calibri"/>
        </w:rPr>
        <w:t>, the Medicines Act 1981 imposes further requirements in the form of ownership restrictions:</w:t>
      </w:r>
    </w:p>
    <w:p w:rsidR="008B70FA" w:rsidRPr="00721E59" w:rsidRDefault="008B70FA" w:rsidP="00E440A3">
      <w:pPr>
        <w:pStyle w:val="BodyText2"/>
        <w:rPr>
          <w:rFonts w:eastAsia="Calibri"/>
        </w:rPr>
      </w:pPr>
      <w:r w:rsidRPr="00721E59">
        <w:rPr>
          <w:rFonts w:eastAsia="Calibri"/>
        </w:rPr>
        <w:t>A pharmacy must be majority-owned and operated by a pharmacist with few exceptions (</w:t>
      </w:r>
      <w:proofErr w:type="spellStart"/>
      <w:r w:rsidRPr="00721E59">
        <w:rPr>
          <w:rFonts w:eastAsia="Calibri"/>
        </w:rPr>
        <w:t>eg</w:t>
      </w:r>
      <w:proofErr w:type="spellEnd"/>
      <w:r w:rsidRPr="00721E59">
        <w:rPr>
          <w:rFonts w:eastAsia="Calibri"/>
        </w:rPr>
        <w:t xml:space="preserve">, a hospital pharmacy).  </w:t>
      </w:r>
    </w:p>
    <w:p w:rsidR="008B70FA" w:rsidRPr="00721E59" w:rsidRDefault="008B70FA" w:rsidP="00E440A3">
      <w:pPr>
        <w:pStyle w:val="BodyText2"/>
        <w:rPr>
          <w:rFonts w:eastAsia="Calibri"/>
        </w:rPr>
      </w:pPr>
      <w:r w:rsidRPr="00721E59">
        <w:rPr>
          <w:rFonts w:eastAsia="Calibri"/>
        </w:rPr>
        <w:t xml:space="preserve">A pharmacist may own a majority stake in </w:t>
      </w:r>
      <w:r w:rsidR="00984593">
        <w:rPr>
          <w:rFonts w:eastAsia="Calibri"/>
        </w:rPr>
        <w:t xml:space="preserve">not more than </w:t>
      </w:r>
      <w:r w:rsidRPr="00721E59">
        <w:rPr>
          <w:rFonts w:eastAsia="Calibri"/>
        </w:rPr>
        <w:t>five pharmacies</w:t>
      </w:r>
      <w:r w:rsidR="00984593">
        <w:rPr>
          <w:rFonts w:eastAsia="Calibri"/>
        </w:rPr>
        <w:t xml:space="preserve"> (there is no limit on the number of minority stakes)</w:t>
      </w:r>
      <w:r w:rsidRPr="00721E59">
        <w:rPr>
          <w:rFonts w:eastAsia="Calibri"/>
        </w:rPr>
        <w:t xml:space="preserve">.  </w:t>
      </w:r>
    </w:p>
    <w:p w:rsidR="008B70FA" w:rsidRPr="008C5100" w:rsidRDefault="008B70FA" w:rsidP="008B70FA">
      <w:pPr>
        <w:pStyle w:val="BodyText2"/>
        <w:spacing w:after="0"/>
        <w:rPr>
          <w:rFonts w:eastAsia="Calibri"/>
          <w:szCs w:val="22"/>
        </w:rPr>
      </w:pPr>
      <w:r w:rsidRPr="00E440A3">
        <w:rPr>
          <w:rFonts w:eastAsia="Calibri"/>
        </w:rPr>
        <w:t>There are also restrictions on other health professionals (authorised prescribers, delegated prescribers) holding an interest in a pharmacy.</w:t>
      </w:r>
    </w:p>
    <w:p w:rsidR="008C5100" w:rsidRPr="00E440A3" w:rsidRDefault="008C5100" w:rsidP="008C5100">
      <w:pPr>
        <w:pStyle w:val="BodyText2"/>
        <w:numPr>
          <w:ilvl w:val="0"/>
          <w:numId w:val="0"/>
        </w:numPr>
        <w:spacing w:after="0"/>
        <w:ind w:left="1134"/>
        <w:rPr>
          <w:rFonts w:eastAsia="Calibri"/>
          <w:szCs w:val="22"/>
        </w:rPr>
      </w:pPr>
    </w:p>
    <w:p w:rsidR="008B70FA" w:rsidRPr="00721E59" w:rsidRDefault="008B70FA" w:rsidP="00E440A3">
      <w:pPr>
        <w:pStyle w:val="BodyText"/>
        <w:rPr>
          <w:rFonts w:eastAsia="Calibri"/>
        </w:rPr>
      </w:pPr>
      <w:r w:rsidRPr="00721E59">
        <w:rPr>
          <w:rFonts w:eastAsia="Calibri"/>
        </w:rPr>
        <w:t>The issue is whether the ownership restrictions are necessary in order to ensure that objectives of the regime are met.</w:t>
      </w:r>
    </w:p>
    <w:p w:rsidR="008B70FA" w:rsidRPr="00721E59" w:rsidRDefault="008B70FA" w:rsidP="00830E17">
      <w:pPr>
        <w:pStyle w:val="Heading6"/>
      </w:pPr>
      <w:r w:rsidRPr="00721E59">
        <w:t>Whether ownership restrictions necessary</w:t>
      </w:r>
    </w:p>
    <w:p w:rsidR="008B70FA" w:rsidRPr="00721E59" w:rsidRDefault="008B70FA" w:rsidP="008B70FA">
      <w:pPr>
        <w:spacing w:after="0" w:line="240" w:lineRule="auto"/>
        <w:rPr>
          <w:rFonts w:eastAsia="Calibri" w:cs="Arial"/>
          <w:szCs w:val="22"/>
          <w:u w:val="single"/>
        </w:rPr>
      </w:pPr>
    </w:p>
    <w:p w:rsidR="008B70FA" w:rsidRPr="00721E59" w:rsidRDefault="008B70FA" w:rsidP="00E440A3">
      <w:pPr>
        <w:pStyle w:val="BodyText"/>
        <w:rPr>
          <w:rFonts w:eastAsia="Calibri"/>
        </w:rPr>
      </w:pPr>
      <w:r w:rsidRPr="00721E59">
        <w:rPr>
          <w:rFonts w:eastAsia="Calibri"/>
        </w:rPr>
        <w:t xml:space="preserve">The genesis of these ownership restrictions dates back to 1954 when they were more restrictive still (pharmacies were required to be 75% owned by pharmacists; and no pharmacist was permitted to own more than one pharmacy). </w:t>
      </w:r>
    </w:p>
    <w:p w:rsidR="008B70FA" w:rsidRPr="00721E59" w:rsidRDefault="008B70FA" w:rsidP="00E440A3">
      <w:pPr>
        <w:pStyle w:val="BodyText"/>
        <w:rPr>
          <w:rFonts w:eastAsia="Calibri"/>
        </w:rPr>
      </w:pPr>
      <w:r w:rsidRPr="00721E59">
        <w:rPr>
          <w:rFonts w:eastAsia="Calibri"/>
        </w:rPr>
        <w:t>The ownership restrictions a</w:t>
      </w:r>
      <w:r w:rsidR="006D1409">
        <w:rPr>
          <w:rFonts w:eastAsia="Calibri"/>
        </w:rPr>
        <w:t>ppear to be un</w:t>
      </w:r>
      <w:r w:rsidRPr="00721E59">
        <w:rPr>
          <w:rFonts w:eastAsia="Calibri"/>
        </w:rPr>
        <w:t xml:space="preserve">necessary for ensuring safe supply and effective use.  </w:t>
      </w:r>
      <w:r w:rsidR="0002778F">
        <w:rPr>
          <w:rFonts w:eastAsia="Calibri"/>
        </w:rPr>
        <w:t>There i</w:t>
      </w:r>
      <w:r w:rsidR="00984593">
        <w:rPr>
          <w:rFonts w:eastAsia="Calibri"/>
        </w:rPr>
        <w:t xml:space="preserve">s no direct link between </w:t>
      </w:r>
      <w:r w:rsidR="0002778F">
        <w:rPr>
          <w:rFonts w:eastAsia="Calibri"/>
        </w:rPr>
        <w:t xml:space="preserve">majority </w:t>
      </w:r>
      <w:r w:rsidR="00350A74">
        <w:rPr>
          <w:rFonts w:eastAsia="Calibri"/>
        </w:rPr>
        <w:t>(</w:t>
      </w:r>
      <w:proofErr w:type="gramStart"/>
      <w:r w:rsidR="00350A74">
        <w:rPr>
          <w:rFonts w:eastAsia="Calibri"/>
        </w:rPr>
        <w:t>or</w:t>
      </w:r>
      <w:proofErr w:type="gramEnd"/>
      <w:r w:rsidR="00350A74">
        <w:rPr>
          <w:rFonts w:eastAsia="Calibri"/>
        </w:rPr>
        <w:t xml:space="preserve"> level of) </w:t>
      </w:r>
      <w:r w:rsidR="0002778F">
        <w:rPr>
          <w:rFonts w:eastAsia="Calibri"/>
        </w:rPr>
        <w:t>ownership</w:t>
      </w:r>
      <w:r w:rsidR="00350A74">
        <w:rPr>
          <w:rFonts w:eastAsia="Calibri"/>
        </w:rPr>
        <w:t xml:space="preserve"> </w:t>
      </w:r>
      <w:r w:rsidR="0002778F">
        <w:rPr>
          <w:rFonts w:eastAsia="Calibri"/>
        </w:rPr>
        <w:t>of a pharmacy by a pharmacist and patient safety.</w:t>
      </w:r>
      <w:r w:rsidRPr="00721E59">
        <w:rPr>
          <w:rFonts w:eastAsia="Calibri"/>
        </w:rPr>
        <w:t xml:space="preserve"> This goal </w:t>
      </w:r>
      <w:r w:rsidR="006D1409">
        <w:rPr>
          <w:rFonts w:eastAsia="Calibri"/>
        </w:rPr>
        <w:t xml:space="preserve">may be better met </w:t>
      </w:r>
      <w:r w:rsidRPr="00721E59">
        <w:rPr>
          <w:rFonts w:eastAsia="Calibri"/>
        </w:rPr>
        <w:t>by the requirement</w:t>
      </w:r>
      <w:r w:rsidR="006D1409">
        <w:rPr>
          <w:rFonts w:eastAsia="Calibri"/>
        </w:rPr>
        <w:t>s</w:t>
      </w:r>
      <w:r w:rsidRPr="00721E59">
        <w:rPr>
          <w:rFonts w:eastAsia="Calibri"/>
        </w:rPr>
        <w:t xml:space="preserve"> that registered pharmacists oversee the control, compounding and dispensing of therapeutic products.</w:t>
      </w:r>
    </w:p>
    <w:p w:rsidR="008B70FA" w:rsidRPr="00721E59" w:rsidRDefault="008B70FA" w:rsidP="00E440A3">
      <w:pPr>
        <w:pStyle w:val="BodyText"/>
        <w:rPr>
          <w:rFonts w:eastAsia="Calibri"/>
        </w:rPr>
      </w:pPr>
      <w:r w:rsidRPr="00721E59">
        <w:rPr>
          <w:rFonts w:eastAsia="Calibri"/>
        </w:rPr>
        <w:t xml:space="preserve">The ownership restrictions </w:t>
      </w:r>
      <w:r w:rsidR="006D1409">
        <w:rPr>
          <w:rFonts w:eastAsia="Calibri"/>
        </w:rPr>
        <w:t xml:space="preserve">appear more likely </w:t>
      </w:r>
      <w:r w:rsidRPr="00721E59">
        <w:rPr>
          <w:rFonts w:eastAsia="Calibri"/>
        </w:rPr>
        <w:t>to hinder rather than promote the objective of innovation as they reduce the scope for competition</w:t>
      </w:r>
      <w:r w:rsidR="00BB03B1">
        <w:rPr>
          <w:rFonts w:eastAsia="Calibri"/>
        </w:rPr>
        <w:t xml:space="preserve"> and may inhibit pharmacy investment</w:t>
      </w:r>
      <w:r w:rsidRPr="00721E59">
        <w:rPr>
          <w:rFonts w:eastAsia="Calibri"/>
        </w:rPr>
        <w:t xml:space="preserve">.  Moreover, the restrictions encourage attempts to enter into various arrangements to work-around the formal requirements (which can be </w:t>
      </w:r>
      <w:r w:rsidR="00A22BCA">
        <w:rPr>
          <w:rFonts w:eastAsia="Calibri"/>
        </w:rPr>
        <w:t>difficult</w:t>
      </w:r>
      <w:r w:rsidRPr="00721E59">
        <w:rPr>
          <w:rFonts w:eastAsia="Calibri"/>
        </w:rPr>
        <w:t xml:space="preserve"> to monitor and control).</w:t>
      </w:r>
    </w:p>
    <w:p w:rsidR="008B70FA" w:rsidRPr="00721E59" w:rsidRDefault="008B70FA" w:rsidP="00830E17">
      <w:pPr>
        <w:pStyle w:val="Heading6"/>
      </w:pPr>
      <w:r w:rsidRPr="00721E59">
        <w:t>Consultation</w:t>
      </w:r>
    </w:p>
    <w:p w:rsidR="008B70FA" w:rsidRPr="00721E59" w:rsidRDefault="008B70FA" w:rsidP="008B70FA">
      <w:pPr>
        <w:spacing w:after="0" w:line="240" w:lineRule="auto"/>
        <w:rPr>
          <w:rFonts w:eastAsia="Calibri" w:cs="Arial"/>
          <w:szCs w:val="22"/>
        </w:rPr>
      </w:pPr>
    </w:p>
    <w:p w:rsidR="008B70FA" w:rsidRPr="00721E59" w:rsidRDefault="008B70FA" w:rsidP="00E440A3">
      <w:pPr>
        <w:pStyle w:val="BodyText"/>
        <w:rPr>
          <w:rFonts w:eastAsia="Calibri"/>
        </w:rPr>
      </w:pPr>
      <w:r w:rsidRPr="00721E59">
        <w:rPr>
          <w:rFonts w:eastAsia="Calibri"/>
        </w:rPr>
        <w:t>The Ministry of Health has discussed changes to the pharmacy licensing regime with the Pharmacy Steering Group, which includes broad representation from the pharmacy profession.</w:t>
      </w:r>
    </w:p>
    <w:p w:rsidR="008B70FA" w:rsidRPr="00721E59" w:rsidRDefault="008B70FA" w:rsidP="00E440A3">
      <w:pPr>
        <w:pStyle w:val="BodyText"/>
        <w:rPr>
          <w:rFonts w:eastAsia="Calibri"/>
        </w:rPr>
      </w:pPr>
      <w:r w:rsidRPr="00721E59">
        <w:rPr>
          <w:rFonts w:eastAsia="Calibri"/>
        </w:rPr>
        <w:t xml:space="preserve">The Ministry of Health is also presently consulting with pharmacy stakeholders on a draft Pharmacy Action Plan 2015-2020 which sets out a future direction for pharmacy services as part of a person-centred and fully integrated health and disability system (closing 25 November). The consultation includes a question about pharmacy ownership </w:t>
      </w:r>
      <w:r w:rsidR="00BB03B1">
        <w:rPr>
          <w:rFonts w:eastAsia="Calibri"/>
        </w:rPr>
        <w:t xml:space="preserve">legislation requirements to guide </w:t>
      </w:r>
      <w:r w:rsidRPr="00721E59">
        <w:rPr>
          <w:rFonts w:eastAsia="Calibri"/>
        </w:rPr>
        <w:t xml:space="preserve">the future direction. </w:t>
      </w:r>
    </w:p>
    <w:p w:rsidR="00B74A60" w:rsidRPr="00830E17" w:rsidRDefault="00B74A60" w:rsidP="00830E17">
      <w:pPr>
        <w:pStyle w:val="Heading5"/>
        <w:rPr>
          <w:rFonts w:eastAsia="Calibri"/>
          <w:b/>
          <w:i w:val="0"/>
          <w:lang w:val="en-NZ" w:eastAsia="en-US"/>
        </w:rPr>
      </w:pPr>
      <w:r w:rsidRPr="00830E17">
        <w:rPr>
          <w:rFonts w:eastAsia="Calibri"/>
          <w:b/>
          <w:i w:val="0"/>
          <w:lang w:val="en-NZ" w:eastAsia="en-US"/>
        </w:rPr>
        <w:t>Issue 11: Exemptions</w:t>
      </w:r>
    </w:p>
    <w:p w:rsidR="00B74A60" w:rsidRPr="00B74A60" w:rsidRDefault="00B74A60" w:rsidP="00B74A60">
      <w:pPr>
        <w:spacing w:after="0" w:line="240" w:lineRule="auto"/>
        <w:rPr>
          <w:rFonts w:eastAsia="Calibri" w:cs="Arial"/>
          <w:szCs w:val="22"/>
          <w:lang w:val="en-NZ" w:eastAsia="en-US"/>
        </w:rPr>
      </w:pPr>
    </w:p>
    <w:p w:rsidR="00B74A60" w:rsidRPr="005C3898" w:rsidRDefault="00B74A60" w:rsidP="00E440A3">
      <w:pPr>
        <w:pStyle w:val="BodyText"/>
        <w:rPr>
          <w:rFonts w:eastAsia="Calibri"/>
        </w:rPr>
      </w:pPr>
      <w:r w:rsidRPr="005C3898">
        <w:rPr>
          <w:rFonts w:eastAsia="Calibri"/>
        </w:rPr>
        <w:t>The current Act sets up an approach where products need to be approved before they can be marketed in New Zealand and certain activities are licensed which authorises them to be carried out.</w:t>
      </w:r>
    </w:p>
    <w:p w:rsidR="00B74A60" w:rsidRPr="005C3898" w:rsidRDefault="00B74A60" w:rsidP="00E440A3">
      <w:pPr>
        <w:pStyle w:val="BodyText"/>
        <w:rPr>
          <w:rFonts w:eastAsia="Calibri"/>
        </w:rPr>
      </w:pPr>
      <w:r w:rsidRPr="005C3898">
        <w:rPr>
          <w:rFonts w:eastAsia="Calibri"/>
        </w:rPr>
        <w:t xml:space="preserve">The Act then provides for a range of exemptions where, for example, unapproved medicines may be prescribed and supplied because of particular circumstances.  </w:t>
      </w:r>
    </w:p>
    <w:p w:rsidR="00B74A60" w:rsidRPr="00B74A60" w:rsidRDefault="00B74A60" w:rsidP="00E440A3">
      <w:pPr>
        <w:pStyle w:val="BodyText"/>
        <w:rPr>
          <w:rFonts w:eastAsia="Calibri"/>
        </w:rPr>
      </w:pPr>
      <w:r w:rsidRPr="005C3898">
        <w:rPr>
          <w:rFonts w:eastAsia="Calibri"/>
        </w:rPr>
        <w:t>Issues</w:t>
      </w:r>
      <w:r w:rsidRPr="00B74A60">
        <w:rPr>
          <w:rFonts w:eastAsia="Calibri"/>
        </w:rPr>
        <w:t xml:space="preserve"> with current exemptions provisions include:</w:t>
      </w:r>
    </w:p>
    <w:p w:rsidR="00B74A60" w:rsidRPr="00B74A60" w:rsidRDefault="00B74A60" w:rsidP="00E440A3">
      <w:pPr>
        <w:pStyle w:val="BodyText2"/>
        <w:rPr>
          <w:rFonts w:eastAsia="Calibri"/>
          <w:lang w:val="en-NZ" w:eastAsia="en-US"/>
        </w:rPr>
      </w:pPr>
      <w:r w:rsidRPr="00B74A60">
        <w:rPr>
          <w:rFonts w:eastAsia="Calibri"/>
          <w:lang w:val="en-NZ" w:eastAsia="en-US"/>
        </w:rPr>
        <w:t>a perceived excessive use of exemptions (</w:t>
      </w:r>
      <w:proofErr w:type="spellStart"/>
      <w:r w:rsidRPr="00B74A60">
        <w:rPr>
          <w:rFonts w:eastAsia="Calibri"/>
          <w:lang w:val="en-NZ" w:eastAsia="en-US"/>
        </w:rPr>
        <w:t>eg</w:t>
      </w:r>
      <w:proofErr w:type="spellEnd"/>
      <w:r w:rsidRPr="00B74A60">
        <w:rPr>
          <w:rFonts w:eastAsia="Calibri"/>
          <w:lang w:val="en-NZ" w:eastAsia="en-US"/>
        </w:rPr>
        <w:t>, the volume of product supplied through the s29 exemption is higher than anticipated when the exemp</w:t>
      </w:r>
      <w:r w:rsidR="000D0456">
        <w:rPr>
          <w:rFonts w:eastAsia="Calibri"/>
          <w:lang w:val="en-NZ" w:eastAsia="en-US"/>
        </w:rPr>
        <w:t>tion was originally introduced)</w:t>
      </w:r>
    </w:p>
    <w:p w:rsidR="000D0456" w:rsidRDefault="00B74A60" w:rsidP="00E440A3">
      <w:pPr>
        <w:pStyle w:val="BodyText2"/>
        <w:rPr>
          <w:rFonts w:eastAsia="Calibri"/>
          <w:lang w:val="en-NZ" w:eastAsia="en-US"/>
        </w:rPr>
      </w:pPr>
      <w:r w:rsidRPr="00B74A60">
        <w:rPr>
          <w:rFonts w:eastAsia="Calibri"/>
          <w:lang w:val="en-NZ" w:eastAsia="en-US"/>
        </w:rPr>
        <w:t>not all situations where exemptions are justified are covered under the Act (</w:t>
      </w:r>
      <w:proofErr w:type="spellStart"/>
      <w:r w:rsidRPr="00B74A60">
        <w:rPr>
          <w:rFonts w:eastAsia="Calibri"/>
          <w:lang w:val="en-NZ" w:eastAsia="en-US"/>
        </w:rPr>
        <w:t>eg</w:t>
      </w:r>
      <w:proofErr w:type="spellEnd"/>
      <w:r w:rsidRPr="00B74A60">
        <w:rPr>
          <w:rFonts w:eastAsia="Calibri"/>
          <w:lang w:val="en-NZ" w:eastAsia="en-US"/>
        </w:rPr>
        <w:t>, keeping stocks of unapproved medicines for future emergency use by</w:t>
      </w:r>
      <w:r w:rsidR="000D0456">
        <w:rPr>
          <w:rFonts w:eastAsia="Calibri"/>
          <w:lang w:val="en-NZ" w:eastAsia="en-US"/>
        </w:rPr>
        <w:t xml:space="preserve"> unnamed patients)</w:t>
      </w:r>
    </w:p>
    <w:p w:rsidR="00B74A60" w:rsidRPr="00B74A60" w:rsidRDefault="00B74A60" w:rsidP="00E440A3">
      <w:pPr>
        <w:pStyle w:val="BodyText2"/>
        <w:rPr>
          <w:rFonts w:eastAsia="Calibri"/>
          <w:lang w:val="en-NZ" w:eastAsia="en-US"/>
        </w:rPr>
      </w:pPr>
      <w:r w:rsidRPr="00B74A60">
        <w:rPr>
          <w:rFonts w:eastAsia="Calibri"/>
          <w:lang w:val="en-NZ" w:eastAsia="en-US"/>
        </w:rPr>
        <w:t xml:space="preserve">quality standards for </w:t>
      </w:r>
      <w:r w:rsidR="00725CF9">
        <w:rPr>
          <w:rFonts w:eastAsia="Calibri"/>
          <w:lang w:val="en-NZ" w:eastAsia="en-US"/>
        </w:rPr>
        <w:t xml:space="preserve">large-scale </w:t>
      </w:r>
      <w:r w:rsidRPr="00B74A60">
        <w:rPr>
          <w:rFonts w:eastAsia="Calibri"/>
          <w:lang w:val="en-NZ" w:eastAsia="en-US"/>
        </w:rPr>
        <w:t>local compounding of product</w:t>
      </w:r>
      <w:r w:rsidR="003858A6">
        <w:rPr>
          <w:rFonts w:eastAsia="Calibri"/>
          <w:lang w:val="en-NZ" w:eastAsia="en-US"/>
        </w:rPr>
        <w:t>s</w:t>
      </w:r>
      <w:r w:rsidRPr="00B74A60">
        <w:rPr>
          <w:rFonts w:eastAsia="Calibri"/>
          <w:lang w:val="en-NZ" w:eastAsia="en-US"/>
        </w:rPr>
        <w:t xml:space="preserve"> by pharmacists (</w:t>
      </w:r>
      <w:r w:rsidR="000D0456">
        <w:rPr>
          <w:rFonts w:eastAsia="Calibri"/>
          <w:lang w:val="en-NZ" w:eastAsia="en-US"/>
        </w:rPr>
        <w:t xml:space="preserve">the </w:t>
      </w:r>
      <w:r w:rsidRPr="00B74A60">
        <w:rPr>
          <w:rFonts w:eastAsia="Calibri"/>
          <w:lang w:val="en-NZ" w:eastAsia="en-US"/>
        </w:rPr>
        <w:t xml:space="preserve">question is whether this activity should be subject to licensing as for local manufacturing of approved products); </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supply</w:t>
      </w:r>
      <w:proofErr w:type="gramEnd"/>
      <w:r w:rsidRPr="00B74A60">
        <w:rPr>
          <w:rFonts w:eastAsia="Calibri"/>
          <w:lang w:val="en-NZ" w:eastAsia="en-US"/>
        </w:rPr>
        <w:t xml:space="preserve"> chain quality assurance for unapproved medicines (ie, assurance that the medicine is what it claims to be, and has been manufactured to standard).  </w:t>
      </w:r>
    </w:p>
    <w:p w:rsidR="00B74A60" w:rsidRPr="005C3898" w:rsidRDefault="00B74A60" w:rsidP="00E440A3">
      <w:pPr>
        <w:pStyle w:val="BodyText"/>
        <w:rPr>
          <w:rFonts w:eastAsia="Calibri"/>
        </w:rPr>
      </w:pPr>
      <w:r w:rsidRPr="005C3898">
        <w:rPr>
          <w:rFonts w:eastAsia="Calibri"/>
        </w:rPr>
        <w:t>The approach taken to exemptions is affected by views about the overall role and reach of regulation.</w:t>
      </w:r>
    </w:p>
    <w:p w:rsidR="00B74A60" w:rsidRPr="005C3898" w:rsidRDefault="00B74A60" w:rsidP="00E440A3">
      <w:pPr>
        <w:pStyle w:val="BodyText"/>
        <w:rPr>
          <w:rFonts w:eastAsia="Calibri"/>
        </w:rPr>
      </w:pPr>
      <w:r w:rsidRPr="005C3898">
        <w:rPr>
          <w:rFonts w:eastAsia="Calibri"/>
        </w:rPr>
        <w:t>For example, if the objective is to ensure as many products are approved as possible, and as few unapproved products are used as possible (</w:t>
      </w:r>
      <w:proofErr w:type="spellStart"/>
      <w:r w:rsidRPr="005C3898">
        <w:rPr>
          <w:rFonts w:eastAsia="Calibri"/>
        </w:rPr>
        <w:t>eg</w:t>
      </w:r>
      <w:proofErr w:type="spellEnd"/>
      <w:r w:rsidRPr="005C3898">
        <w:rPr>
          <w:rFonts w:eastAsia="Calibri"/>
        </w:rPr>
        <w:t>, because the regulator does not have the resources to monitor them) then exemptions should be tightly controlled.</w:t>
      </w:r>
    </w:p>
    <w:p w:rsidR="00B74A60" w:rsidRPr="005C3898" w:rsidRDefault="00B74A60" w:rsidP="00E440A3">
      <w:pPr>
        <w:pStyle w:val="BodyText"/>
        <w:rPr>
          <w:rFonts w:eastAsia="Calibri"/>
        </w:rPr>
      </w:pPr>
      <w:r w:rsidRPr="005C3898">
        <w:rPr>
          <w:rFonts w:eastAsia="Calibri"/>
        </w:rPr>
        <w:t xml:space="preserve">If, however, the view is that there is often sufficient information available for unapproved products to be judged safe and effective by accountable health professionals, exemptions might simply represent another valid and helpful pathway to product use.  </w:t>
      </w:r>
    </w:p>
    <w:p w:rsidR="00B74A60" w:rsidRPr="00B74A60" w:rsidRDefault="00B74A60" w:rsidP="00E440A3">
      <w:pPr>
        <w:pStyle w:val="BodyText"/>
        <w:rPr>
          <w:rFonts w:eastAsia="Calibri"/>
        </w:rPr>
      </w:pPr>
      <w:r w:rsidRPr="005C3898">
        <w:rPr>
          <w:rFonts w:eastAsia="Calibri"/>
        </w:rPr>
        <w:t xml:space="preserve">The </w:t>
      </w:r>
      <w:r w:rsidR="00735456">
        <w:rPr>
          <w:rFonts w:eastAsia="Calibri"/>
        </w:rPr>
        <w:t>challenge is to</w:t>
      </w:r>
      <w:r w:rsidRPr="00B74A60">
        <w:rPr>
          <w:rFonts w:eastAsia="Calibri"/>
        </w:rPr>
        <w:t xml:space="preserve">: </w:t>
      </w:r>
    </w:p>
    <w:p w:rsidR="00B74A60" w:rsidRDefault="00B74A60" w:rsidP="00E440A3">
      <w:pPr>
        <w:pStyle w:val="BodyText2"/>
        <w:rPr>
          <w:rFonts w:eastAsia="Calibri"/>
          <w:lang w:val="en-NZ" w:eastAsia="en-US"/>
        </w:rPr>
      </w:pPr>
      <w:r w:rsidRPr="00B74A60">
        <w:rPr>
          <w:rFonts w:eastAsia="Calibri"/>
          <w:lang w:val="en-NZ" w:eastAsia="en-US"/>
        </w:rPr>
        <w:t xml:space="preserve">facilitate access to worthwhile </w:t>
      </w:r>
      <w:r w:rsidR="00735456">
        <w:rPr>
          <w:rFonts w:eastAsia="Calibri"/>
          <w:lang w:val="en-NZ" w:eastAsia="en-US"/>
        </w:rPr>
        <w:t xml:space="preserve">(and sometimes essential) </w:t>
      </w:r>
      <w:r w:rsidRPr="00B74A60">
        <w:rPr>
          <w:rFonts w:eastAsia="Calibri"/>
          <w:lang w:val="en-NZ" w:eastAsia="en-US"/>
        </w:rPr>
        <w:t>products that will never be submitted for approval in New Zealand given the small size of this mark</w:t>
      </w:r>
      <w:r w:rsidR="000D0456">
        <w:rPr>
          <w:rFonts w:eastAsia="Calibri"/>
          <w:lang w:val="en-NZ" w:eastAsia="en-US"/>
        </w:rPr>
        <w:t>et</w:t>
      </w:r>
    </w:p>
    <w:p w:rsidR="00735456" w:rsidRPr="00B74A60" w:rsidRDefault="00735456" w:rsidP="00735456">
      <w:pPr>
        <w:pStyle w:val="BodyText2"/>
        <w:rPr>
          <w:rFonts w:eastAsia="Calibri"/>
          <w:lang w:val="en-NZ" w:eastAsia="en-US"/>
        </w:rPr>
      </w:pPr>
      <w:proofErr w:type="gramStart"/>
      <w:r>
        <w:rPr>
          <w:rFonts w:eastAsia="Calibri"/>
          <w:lang w:val="en-NZ" w:eastAsia="en-US"/>
        </w:rPr>
        <w:t>protect</w:t>
      </w:r>
      <w:proofErr w:type="gramEnd"/>
      <w:r>
        <w:rPr>
          <w:rFonts w:eastAsia="Calibri"/>
          <w:lang w:val="en-NZ" w:eastAsia="en-US"/>
        </w:rPr>
        <w:t xml:space="preserve"> the integrity </w:t>
      </w:r>
      <w:r w:rsidRPr="00B74A60">
        <w:rPr>
          <w:rFonts w:eastAsia="Calibri"/>
          <w:lang w:val="en-NZ" w:eastAsia="en-US"/>
        </w:rPr>
        <w:t xml:space="preserve">of the approval process (ie, </w:t>
      </w:r>
      <w:r w:rsidR="00DA0095">
        <w:rPr>
          <w:rFonts w:eastAsia="Calibri"/>
          <w:lang w:val="en-NZ" w:eastAsia="en-US"/>
        </w:rPr>
        <w:t xml:space="preserve">contain the use of unapproved products, and </w:t>
      </w:r>
      <w:r>
        <w:rPr>
          <w:rFonts w:eastAsia="Calibri"/>
          <w:lang w:val="en-NZ" w:eastAsia="en-US"/>
        </w:rPr>
        <w:t>encourage sponsors to submit  products for approval).</w:t>
      </w:r>
      <w:r w:rsidRPr="00B74A60">
        <w:rPr>
          <w:rFonts w:eastAsia="Calibri"/>
          <w:lang w:val="en-NZ" w:eastAsia="en-US"/>
        </w:rPr>
        <w:t xml:space="preserve"> </w:t>
      </w:r>
    </w:p>
    <w:p w:rsidR="00B74A60" w:rsidRPr="005C3898" w:rsidRDefault="00B74A60" w:rsidP="00E440A3">
      <w:pPr>
        <w:pStyle w:val="BodyText"/>
        <w:rPr>
          <w:rFonts w:eastAsia="Calibri"/>
        </w:rPr>
      </w:pPr>
      <w:r w:rsidRPr="005C3898">
        <w:rPr>
          <w:rFonts w:eastAsia="Calibri"/>
        </w:rPr>
        <w:t xml:space="preserve">The pressure to use unapproved products, however, may be reduced if the costs </w:t>
      </w:r>
      <w:r w:rsidR="005F1BEC">
        <w:rPr>
          <w:rFonts w:eastAsia="Calibri"/>
        </w:rPr>
        <w:t xml:space="preserve">(direct fees and compliance costs) </w:t>
      </w:r>
      <w:r w:rsidRPr="005C3898">
        <w:rPr>
          <w:rFonts w:eastAsia="Calibri"/>
        </w:rPr>
        <w:t>of obtaining an approval are reduced as a result of the regulator having more options available in the approval process (see Product approvals section above).</w:t>
      </w:r>
    </w:p>
    <w:p w:rsidR="00B74A60" w:rsidRPr="00B74A60" w:rsidRDefault="00B74A60" w:rsidP="00E440A3">
      <w:pPr>
        <w:pStyle w:val="BodyText"/>
        <w:rPr>
          <w:rFonts w:eastAsia="Calibri"/>
        </w:rPr>
      </w:pPr>
      <w:r w:rsidRPr="005C3898">
        <w:rPr>
          <w:rFonts w:eastAsia="Calibri"/>
        </w:rPr>
        <w:t>Further</w:t>
      </w:r>
      <w:r w:rsidRPr="00B74A60">
        <w:rPr>
          <w:rFonts w:eastAsia="Calibri"/>
        </w:rPr>
        <w:t>, it may be possible for intermediate approaches to be developed where, under certain circumstances, the regulator may specify the basis on which product</w:t>
      </w:r>
      <w:r w:rsidR="005F1BEC">
        <w:rPr>
          <w:rFonts w:eastAsia="Calibri"/>
        </w:rPr>
        <w:t>s may be used (but not marketed</w:t>
      </w:r>
      <w:r w:rsidRPr="00B74A60">
        <w:rPr>
          <w:rFonts w:eastAsia="Calibri"/>
        </w:rPr>
        <w:t>) without an approval.</w:t>
      </w:r>
    </w:p>
    <w:p w:rsidR="00B74A60" w:rsidRPr="00B74A60" w:rsidRDefault="00B74A60" w:rsidP="00B74A60">
      <w:pPr>
        <w:spacing w:after="0" w:line="240" w:lineRule="auto"/>
        <w:rPr>
          <w:rFonts w:eastAsia="Calibri" w:cs="Arial"/>
          <w:szCs w:val="22"/>
          <w:lang w:val="en-N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3072"/>
        <w:gridCol w:w="4372"/>
      </w:tblGrid>
      <w:tr w:rsidR="00B74A60" w:rsidRPr="003A3E2B" w:rsidTr="00747CD2">
        <w:trPr>
          <w:tblHeader/>
        </w:trPr>
        <w:tc>
          <w:tcPr>
            <w:tcW w:w="9016" w:type="dxa"/>
            <w:gridSpan w:val="3"/>
            <w:shd w:val="clear" w:color="auto" w:fill="DEEAF6"/>
          </w:tcPr>
          <w:p w:rsidR="00B74A60" w:rsidRPr="003A3E2B" w:rsidRDefault="00B74A60" w:rsidP="003A3E2B">
            <w:pPr>
              <w:spacing w:after="0" w:line="240" w:lineRule="auto"/>
              <w:rPr>
                <w:rFonts w:eastAsia="Calibri" w:cs="Arial"/>
                <w:b/>
                <w:szCs w:val="22"/>
                <w:lang w:val="en-NZ" w:eastAsia="en-US"/>
              </w:rPr>
            </w:pPr>
            <w:r w:rsidRPr="003A3E2B">
              <w:rPr>
                <w:rFonts w:eastAsia="Calibri" w:cs="Arial"/>
                <w:b/>
                <w:szCs w:val="22"/>
                <w:lang w:val="en-NZ" w:eastAsia="en-US"/>
              </w:rPr>
              <w:t>Exemptions: options and impacts</w:t>
            </w:r>
          </w:p>
          <w:p w:rsidR="00B74A60" w:rsidRPr="003A3E2B" w:rsidRDefault="00B74A60" w:rsidP="003A3E2B">
            <w:pPr>
              <w:spacing w:after="0" w:line="240" w:lineRule="auto"/>
              <w:rPr>
                <w:rFonts w:eastAsia="Calibri" w:cs="Arial"/>
                <w:szCs w:val="22"/>
                <w:lang w:val="en-NZ" w:eastAsia="en-US"/>
              </w:rPr>
            </w:pPr>
          </w:p>
        </w:tc>
      </w:tr>
      <w:tr w:rsidR="00B14682" w:rsidRPr="003A3E2B" w:rsidTr="00747CD2">
        <w:trPr>
          <w:tblHeader/>
        </w:trPr>
        <w:tc>
          <w:tcPr>
            <w:tcW w:w="1572" w:type="dxa"/>
            <w:shd w:val="clear" w:color="auto" w:fill="DEEAF6"/>
          </w:tcPr>
          <w:p w:rsidR="00B14682" w:rsidRPr="003A3E2B" w:rsidRDefault="00B14682" w:rsidP="003A3E2B">
            <w:pPr>
              <w:spacing w:after="0" w:line="240" w:lineRule="auto"/>
              <w:jc w:val="center"/>
              <w:rPr>
                <w:rFonts w:eastAsia="Calibri" w:cs="Arial"/>
                <w:i/>
                <w:szCs w:val="22"/>
                <w:lang w:val="en-NZ" w:eastAsia="en-US"/>
              </w:rPr>
            </w:pPr>
            <w:r w:rsidRPr="003A3E2B">
              <w:rPr>
                <w:rFonts w:eastAsia="Calibri" w:cs="Arial"/>
                <w:i/>
                <w:szCs w:val="22"/>
                <w:lang w:val="en-NZ" w:eastAsia="en-US"/>
              </w:rPr>
              <w:t>Options</w:t>
            </w:r>
          </w:p>
          <w:p w:rsidR="00B14682" w:rsidRPr="003A3E2B" w:rsidRDefault="00B14682" w:rsidP="003A3E2B">
            <w:pPr>
              <w:spacing w:after="0" w:line="240" w:lineRule="auto"/>
              <w:jc w:val="center"/>
              <w:rPr>
                <w:rFonts w:eastAsia="Calibri" w:cs="Arial"/>
                <w:i/>
                <w:szCs w:val="22"/>
                <w:lang w:val="en-NZ" w:eastAsia="en-US"/>
              </w:rPr>
            </w:pPr>
          </w:p>
        </w:tc>
        <w:tc>
          <w:tcPr>
            <w:tcW w:w="3072" w:type="dxa"/>
            <w:shd w:val="clear" w:color="auto" w:fill="DEEAF6"/>
          </w:tcPr>
          <w:p w:rsidR="00B14682" w:rsidRPr="003A3E2B" w:rsidRDefault="00B14682" w:rsidP="003A3E2B">
            <w:pPr>
              <w:spacing w:after="0" w:line="240" w:lineRule="auto"/>
              <w:jc w:val="center"/>
              <w:rPr>
                <w:rFonts w:eastAsia="Calibri" w:cs="Arial"/>
                <w:i/>
                <w:szCs w:val="22"/>
                <w:lang w:val="en-NZ" w:eastAsia="en-US"/>
              </w:rPr>
            </w:pPr>
            <w:r>
              <w:rPr>
                <w:rFonts w:eastAsia="Calibri" w:cs="Arial"/>
                <w:i/>
                <w:szCs w:val="22"/>
                <w:lang w:val="en-NZ" w:eastAsia="en-US"/>
              </w:rPr>
              <w:t>Description</w:t>
            </w:r>
          </w:p>
        </w:tc>
        <w:tc>
          <w:tcPr>
            <w:tcW w:w="4372" w:type="dxa"/>
            <w:shd w:val="clear" w:color="auto" w:fill="DEEAF6"/>
          </w:tcPr>
          <w:p w:rsidR="00B14682" w:rsidRPr="003A3E2B" w:rsidRDefault="00B14682" w:rsidP="003A3E2B">
            <w:pPr>
              <w:spacing w:after="0" w:line="240" w:lineRule="auto"/>
              <w:jc w:val="center"/>
              <w:rPr>
                <w:rFonts w:eastAsia="Calibri" w:cs="Arial"/>
                <w:i/>
                <w:szCs w:val="22"/>
                <w:lang w:val="en-NZ" w:eastAsia="en-US"/>
              </w:rPr>
            </w:pPr>
            <w:r w:rsidRPr="003A3E2B">
              <w:rPr>
                <w:rFonts w:eastAsia="Calibri" w:cs="Arial"/>
                <w:i/>
                <w:szCs w:val="22"/>
                <w:lang w:val="en-NZ" w:eastAsia="en-US"/>
              </w:rPr>
              <w:t>Impacts</w:t>
            </w:r>
          </w:p>
        </w:tc>
      </w:tr>
      <w:tr w:rsidR="00B14682" w:rsidRPr="003A3E2B" w:rsidTr="00471AA4">
        <w:tc>
          <w:tcPr>
            <w:tcW w:w="1572" w:type="dxa"/>
            <w:shd w:val="clear" w:color="auto" w:fill="auto"/>
          </w:tcPr>
          <w:p w:rsidR="00B14682" w:rsidRPr="003A3E2B" w:rsidRDefault="00B14682"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Status quo </w:t>
            </w:r>
          </w:p>
          <w:p w:rsidR="00B14682" w:rsidRPr="003A3E2B" w:rsidRDefault="00B14682" w:rsidP="003A3E2B">
            <w:pPr>
              <w:spacing w:after="0" w:line="240" w:lineRule="auto"/>
              <w:rPr>
                <w:rFonts w:eastAsia="Calibri" w:cs="Arial"/>
                <w:sz w:val="20"/>
                <w:szCs w:val="22"/>
                <w:lang w:val="en-NZ" w:eastAsia="en-US"/>
              </w:rPr>
            </w:pPr>
          </w:p>
          <w:p w:rsidR="00B14682" w:rsidRPr="003A3E2B" w:rsidRDefault="00B14682" w:rsidP="003A3E2B">
            <w:pPr>
              <w:spacing w:after="0" w:line="240" w:lineRule="auto"/>
              <w:rPr>
                <w:rFonts w:eastAsia="Calibri" w:cs="Arial"/>
                <w:sz w:val="20"/>
                <w:szCs w:val="22"/>
                <w:lang w:val="en-NZ" w:eastAsia="en-US"/>
              </w:rPr>
            </w:pPr>
          </w:p>
        </w:tc>
        <w:tc>
          <w:tcPr>
            <w:tcW w:w="3072" w:type="dxa"/>
            <w:shd w:val="clear" w:color="auto" w:fill="auto"/>
          </w:tcPr>
          <w:p w:rsidR="00B14682" w:rsidRPr="003A3E2B" w:rsidRDefault="00B14682"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Prescribing and use of unapproved products in </w:t>
            </w:r>
            <w:r w:rsidR="005F1BEC">
              <w:rPr>
                <w:rFonts w:eastAsia="Calibri" w:cs="Arial"/>
                <w:sz w:val="20"/>
                <w:szCs w:val="22"/>
                <w:lang w:val="en-NZ" w:eastAsia="en-US"/>
              </w:rPr>
              <w:t>a range of</w:t>
            </w:r>
            <w:r w:rsidRPr="003A3E2B">
              <w:rPr>
                <w:rFonts w:eastAsia="Calibri" w:cs="Arial"/>
                <w:sz w:val="20"/>
                <w:szCs w:val="22"/>
                <w:lang w:val="en-NZ" w:eastAsia="en-US"/>
              </w:rPr>
              <w:t xml:space="preserve"> circumstances.</w:t>
            </w:r>
          </w:p>
          <w:p w:rsidR="00B14682" w:rsidRDefault="00B14682" w:rsidP="00471AA4">
            <w:pPr>
              <w:spacing w:after="0" w:line="240" w:lineRule="auto"/>
              <w:ind w:left="360"/>
              <w:rPr>
                <w:rFonts w:eastAsia="Calibri" w:cs="Arial"/>
                <w:sz w:val="20"/>
                <w:szCs w:val="22"/>
                <w:lang w:val="en-NZ" w:eastAsia="en-US"/>
              </w:rPr>
            </w:pPr>
          </w:p>
          <w:p w:rsidR="00B14682" w:rsidRDefault="00B14682" w:rsidP="00B14682">
            <w:pPr>
              <w:spacing w:after="0" w:line="240" w:lineRule="auto"/>
              <w:ind w:left="360"/>
              <w:rPr>
                <w:rFonts w:eastAsia="Calibri" w:cs="Arial"/>
                <w:sz w:val="20"/>
                <w:szCs w:val="22"/>
                <w:lang w:val="en-NZ" w:eastAsia="en-US"/>
              </w:rPr>
            </w:pPr>
          </w:p>
        </w:tc>
        <w:tc>
          <w:tcPr>
            <w:tcW w:w="4372" w:type="dxa"/>
            <w:shd w:val="clear" w:color="auto" w:fill="auto"/>
          </w:tcPr>
          <w:p w:rsidR="00B14682" w:rsidRDefault="00B14682" w:rsidP="00B66942">
            <w:pPr>
              <w:numPr>
                <w:ilvl w:val="0"/>
                <w:numId w:val="22"/>
              </w:numPr>
              <w:spacing w:after="0" w:line="240" w:lineRule="auto"/>
              <w:rPr>
                <w:rFonts w:eastAsia="Calibri" w:cs="Arial"/>
                <w:sz w:val="20"/>
                <w:szCs w:val="22"/>
                <w:lang w:val="en-NZ" w:eastAsia="en-US"/>
              </w:rPr>
            </w:pPr>
            <w:r w:rsidRPr="003A3E2B">
              <w:rPr>
                <w:rFonts w:eastAsia="Calibri" w:cs="Arial"/>
                <w:sz w:val="20"/>
                <w:szCs w:val="22"/>
                <w:lang w:val="en-NZ" w:eastAsia="en-US"/>
              </w:rPr>
              <w:t>Current problems continue</w:t>
            </w:r>
            <w:r w:rsidR="00B91274">
              <w:rPr>
                <w:rFonts w:eastAsia="Calibri" w:cs="Arial"/>
                <w:sz w:val="20"/>
                <w:szCs w:val="22"/>
                <w:lang w:val="en-NZ" w:eastAsia="en-US"/>
              </w:rPr>
              <w:t xml:space="preserve"> without any amendment</w:t>
            </w:r>
            <w:r w:rsidRPr="003A3E2B">
              <w:rPr>
                <w:rFonts w:eastAsia="Calibri" w:cs="Arial"/>
                <w:sz w:val="20"/>
                <w:szCs w:val="22"/>
                <w:lang w:val="en-NZ" w:eastAsia="en-US"/>
              </w:rPr>
              <w:t>.</w:t>
            </w:r>
          </w:p>
          <w:p w:rsidR="00B14682" w:rsidRDefault="00B14682" w:rsidP="00471AA4">
            <w:pPr>
              <w:spacing w:after="0" w:line="240" w:lineRule="auto"/>
              <w:ind w:left="360"/>
              <w:rPr>
                <w:rFonts w:eastAsia="Calibri" w:cs="Arial"/>
                <w:sz w:val="20"/>
                <w:szCs w:val="22"/>
                <w:lang w:val="en-NZ" w:eastAsia="en-US"/>
              </w:rPr>
            </w:pPr>
          </w:p>
          <w:p w:rsidR="00B91274" w:rsidRDefault="00B91274" w:rsidP="00B66942">
            <w:pPr>
              <w:numPr>
                <w:ilvl w:val="0"/>
                <w:numId w:val="22"/>
              </w:numPr>
              <w:spacing w:after="0" w:line="240" w:lineRule="auto"/>
              <w:rPr>
                <w:rFonts w:eastAsia="Calibri" w:cs="Arial"/>
                <w:sz w:val="20"/>
                <w:szCs w:val="22"/>
                <w:lang w:val="en-NZ" w:eastAsia="en-US"/>
              </w:rPr>
            </w:pPr>
            <w:r>
              <w:rPr>
                <w:rFonts w:eastAsia="Calibri" w:cs="Arial"/>
                <w:sz w:val="20"/>
                <w:szCs w:val="22"/>
                <w:lang w:val="en-NZ" w:eastAsia="en-US"/>
              </w:rPr>
              <w:t>For example, desirable exceptions not legally provided for (with consequential adverse effects for health and safety outcomes):</w:t>
            </w:r>
          </w:p>
          <w:p w:rsidR="00B91274" w:rsidRDefault="00B91274" w:rsidP="00471AA4">
            <w:pPr>
              <w:spacing w:after="0" w:line="240" w:lineRule="auto"/>
              <w:ind w:left="360"/>
              <w:rPr>
                <w:rFonts w:eastAsia="Calibri" w:cs="Arial"/>
                <w:sz w:val="20"/>
                <w:szCs w:val="22"/>
                <w:lang w:val="en-NZ" w:eastAsia="en-US"/>
              </w:rPr>
            </w:pPr>
            <w:r>
              <w:rPr>
                <w:rFonts w:eastAsia="Calibri" w:cs="Arial"/>
                <w:sz w:val="20"/>
                <w:szCs w:val="22"/>
                <w:lang w:val="en-NZ" w:eastAsia="en-US"/>
              </w:rPr>
              <w:t xml:space="preserve"> </w:t>
            </w:r>
          </w:p>
          <w:p w:rsidR="00B91274" w:rsidRPr="00B91274" w:rsidRDefault="00B91274" w:rsidP="00B66942">
            <w:pPr>
              <w:pStyle w:val="BodyText"/>
              <w:numPr>
                <w:ilvl w:val="0"/>
                <w:numId w:val="41"/>
              </w:numPr>
              <w:rPr>
                <w:rFonts w:eastAsia="Calibri"/>
                <w:sz w:val="20"/>
              </w:rPr>
            </w:pPr>
            <w:r>
              <w:rPr>
                <w:rFonts w:eastAsia="Calibri"/>
                <w:sz w:val="20"/>
              </w:rPr>
              <w:t>e</w:t>
            </w:r>
            <w:r w:rsidRPr="00B91274">
              <w:rPr>
                <w:rFonts w:eastAsia="Calibri"/>
                <w:sz w:val="20"/>
              </w:rPr>
              <w:t>mergency use;</w:t>
            </w:r>
          </w:p>
          <w:p w:rsidR="00B91274" w:rsidRPr="00B91274" w:rsidRDefault="00B91274" w:rsidP="00B66942">
            <w:pPr>
              <w:pStyle w:val="BodyText"/>
              <w:numPr>
                <w:ilvl w:val="0"/>
                <w:numId w:val="41"/>
              </w:numPr>
              <w:rPr>
                <w:rFonts w:eastAsia="Calibri"/>
              </w:rPr>
            </w:pPr>
            <w:proofErr w:type="gramStart"/>
            <w:r>
              <w:rPr>
                <w:rFonts w:eastAsia="Calibri"/>
                <w:sz w:val="20"/>
              </w:rPr>
              <w:t>u</w:t>
            </w:r>
            <w:r w:rsidRPr="00B91274">
              <w:rPr>
                <w:rFonts w:eastAsia="Calibri"/>
                <w:sz w:val="20"/>
              </w:rPr>
              <w:t>se</w:t>
            </w:r>
            <w:proofErr w:type="gramEnd"/>
            <w:r w:rsidRPr="00B91274">
              <w:rPr>
                <w:rFonts w:eastAsia="Calibri"/>
                <w:sz w:val="20"/>
              </w:rPr>
              <w:t xml:space="preserve"> by veterinarians</w:t>
            </w:r>
            <w:r w:rsidRPr="00B91274">
              <w:rPr>
                <w:rFonts w:eastAsia="Calibri"/>
              </w:rPr>
              <w:t>.</w:t>
            </w:r>
          </w:p>
          <w:p w:rsidR="00B14682" w:rsidRPr="007B1F7E" w:rsidRDefault="00B91274" w:rsidP="00B66942">
            <w:pPr>
              <w:numPr>
                <w:ilvl w:val="0"/>
                <w:numId w:val="42"/>
              </w:numPr>
              <w:spacing w:after="0" w:line="240" w:lineRule="auto"/>
              <w:rPr>
                <w:rFonts w:eastAsia="Calibri" w:cs="Arial"/>
                <w:sz w:val="20"/>
                <w:lang w:val="en-NZ" w:eastAsia="en-US"/>
              </w:rPr>
            </w:pPr>
            <w:r w:rsidRPr="00B91274">
              <w:rPr>
                <w:rFonts w:eastAsia="Calibri" w:cs="Arial"/>
                <w:sz w:val="20"/>
                <w:lang w:val="en-NZ" w:eastAsia="en-US"/>
              </w:rPr>
              <w:t xml:space="preserve">Further, </w:t>
            </w:r>
            <w:r>
              <w:rPr>
                <w:rFonts w:eastAsia="Calibri" w:cs="Arial"/>
                <w:sz w:val="20"/>
                <w:lang w:val="en-NZ" w:eastAsia="en-US"/>
              </w:rPr>
              <w:t xml:space="preserve">some undesirable use of the exemption provisions will continue, potentially </w:t>
            </w:r>
            <w:r w:rsidRPr="00B91274">
              <w:rPr>
                <w:rFonts w:eastAsia="Calibri"/>
                <w:sz w:val="20"/>
                <w:lang w:val="en-NZ" w:eastAsia="en-US"/>
              </w:rPr>
              <w:t xml:space="preserve">undermining the approval process </w:t>
            </w:r>
            <w:r>
              <w:rPr>
                <w:rFonts w:eastAsia="Calibri"/>
                <w:sz w:val="20"/>
                <w:lang w:val="en-NZ" w:eastAsia="en-US"/>
              </w:rPr>
              <w:t xml:space="preserve">itself </w:t>
            </w:r>
            <w:r w:rsidRPr="00B91274">
              <w:rPr>
                <w:rFonts w:eastAsia="Calibri"/>
                <w:sz w:val="20"/>
                <w:lang w:val="en-NZ" w:eastAsia="en-US"/>
              </w:rPr>
              <w:t xml:space="preserve">(ie, products that would otherwise be submitted for </w:t>
            </w:r>
            <w:r>
              <w:rPr>
                <w:rFonts w:eastAsia="Calibri"/>
                <w:sz w:val="20"/>
                <w:lang w:val="en-NZ" w:eastAsia="en-US"/>
              </w:rPr>
              <w:t xml:space="preserve">approval will not be submitted), with adverse implications for the overall effectiveness of the regime </w:t>
            </w:r>
            <w:r w:rsidR="009252C0">
              <w:rPr>
                <w:rFonts w:eastAsia="Calibri"/>
                <w:sz w:val="20"/>
                <w:lang w:val="en-NZ" w:eastAsia="en-US"/>
              </w:rPr>
              <w:t>(</w:t>
            </w:r>
            <w:r>
              <w:rPr>
                <w:rFonts w:eastAsia="Calibri"/>
                <w:sz w:val="20"/>
                <w:lang w:val="en-NZ" w:eastAsia="en-US"/>
              </w:rPr>
              <w:t>access to safe products</w:t>
            </w:r>
            <w:r w:rsidR="009252C0">
              <w:rPr>
                <w:rFonts w:eastAsia="Calibri"/>
                <w:sz w:val="20"/>
                <w:lang w:val="en-NZ" w:eastAsia="en-US"/>
              </w:rPr>
              <w:t>)</w:t>
            </w:r>
            <w:r>
              <w:rPr>
                <w:rFonts w:eastAsia="Calibri"/>
                <w:sz w:val="20"/>
                <w:lang w:val="en-NZ" w:eastAsia="en-US"/>
              </w:rPr>
              <w:t>.</w:t>
            </w:r>
          </w:p>
          <w:p w:rsidR="007B1F7E" w:rsidRPr="00B91274" w:rsidRDefault="007B1F7E" w:rsidP="007B1F7E">
            <w:pPr>
              <w:spacing w:after="0" w:line="240" w:lineRule="auto"/>
              <w:ind w:left="360"/>
              <w:rPr>
                <w:rFonts w:eastAsia="Calibri" w:cs="Arial"/>
                <w:sz w:val="20"/>
                <w:lang w:val="en-NZ" w:eastAsia="en-US"/>
              </w:rPr>
            </w:pPr>
          </w:p>
        </w:tc>
      </w:tr>
      <w:tr w:rsidR="00B14682" w:rsidRPr="003A3E2B" w:rsidTr="00471AA4">
        <w:tc>
          <w:tcPr>
            <w:tcW w:w="1572" w:type="dxa"/>
            <w:shd w:val="clear" w:color="auto" w:fill="auto"/>
          </w:tcPr>
          <w:p w:rsidR="00103C9D" w:rsidRDefault="00B14682"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Option 1 – </w:t>
            </w:r>
          </w:p>
          <w:p w:rsidR="00103C9D" w:rsidRDefault="00103C9D" w:rsidP="003A3E2B">
            <w:pPr>
              <w:spacing w:after="0" w:line="240" w:lineRule="auto"/>
              <w:rPr>
                <w:rFonts w:eastAsia="Calibri" w:cs="Arial"/>
                <w:sz w:val="20"/>
                <w:szCs w:val="22"/>
                <w:lang w:val="en-NZ" w:eastAsia="en-US"/>
              </w:rPr>
            </w:pPr>
          </w:p>
          <w:p w:rsidR="00B14682" w:rsidRPr="003A3E2B" w:rsidRDefault="00103C9D" w:rsidP="003A3E2B">
            <w:pPr>
              <w:spacing w:after="0" w:line="240" w:lineRule="auto"/>
              <w:rPr>
                <w:rFonts w:eastAsia="Calibri" w:cs="Arial"/>
                <w:sz w:val="20"/>
                <w:szCs w:val="22"/>
                <w:lang w:val="en-NZ" w:eastAsia="en-US"/>
              </w:rPr>
            </w:pPr>
            <w:r>
              <w:rPr>
                <w:rFonts w:eastAsia="Calibri" w:cs="Arial"/>
                <w:sz w:val="20"/>
                <w:szCs w:val="22"/>
                <w:lang w:val="en-NZ" w:eastAsia="en-US"/>
              </w:rPr>
              <w:t>E</w:t>
            </w:r>
            <w:r w:rsidR="00B14682" w:rsidRPr="003A3E2B">
              <w:rPr>
                <w:rFonts w:eastAsia="Calibri" w:cs="Arial"/>
                <w:sz w:val="20"/>
                <w:szCs w:val="22"/>
                <w:lang w:val="en-NZ" w:eastAsia="en-US"/>
              </w:rPr>
              <w:t xml:space="preserve">nhanced status quo via updated categories (preferred) </w:t>
            </w:r>
          </w:p>
          <w:p w:rsidR="00B14682" w:rsidRPr="003A3E2B" w:rsidRDefault="00B14682" w:rsidP="003A3E2B">
            <w:pPr>
              <w:spacing w:after="0" w:line="240" w:lineRule="auto"/>
              <w:rPr>
                <w:rFonts w:eastAsia="Calibri" w:cs="Arial"/>
                <w:sz w:val="20"/>
                <w:szCs w:val="22"/>
                <w:lang w:val="en-NZ" w:eastAsia="en-US"/>
              </w:rPr>
            </w:pPr>
          </w:p>
          <w:p w:rsidR="00B14682" w:rsidRPr="003A3E2B" w:rsidRDefault="00B14682"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ab/>
            </w:r>
          </w:p>
          <w:p w:rsidR="00B14682" w:rsidRPr="003A3E2B" w:rsidRDefault="00B14682" w:rsidP="003A3E2B">
            <w:pPr>
              <w:spacing w:after="0" w:line="240" w:lineRule="auto"/>
              <w:rPr>
                <w:rFonts w:eastAsia="Calibri" w:cs="Arial"/>
                <w:sz w:val="20"/>
                <w:szCs w:val="22"/>
                <w:lang w:val="en-NZ" w:eastAsia="en-US"/>
              </w:rPr>
            </w:pPr>
          </w:p>
          <w:p w:rsidR="00B14682" w:rsidRPr="003A3E2B" w:rsidRDefault="00B14682" w:rsidP="003A3E2B">
            <w:pPr>
              <w:spacing w:after="0" w:line="240" w:lineRule="auto"/>
              <w:rPr>
                <w:rFonts w:eastAsia="Calibri" w:cs="Arial"/>
                <w:sz w:val="20"/>
                <w:szCs w:val="22"/>
                <w:lang w:val="en-NZ" w:eastAsia="en-US"/>
              </w:rPr>
            </w:pPr>
          </w:p>
        </w:tc>
        <w:tc>
          <w:tcPr>
            <w:tcW w:w="3072" w:type="dxa"/>
            <w:shd w:val="clear" w:color="auto" w:fill="auto"/>
          </w:tcPr>
          <w:p w:rsidR="00B14682" w:rsidRPr="003A3E2B" w:rsidRDefault="00B14682"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Retain exemption provisions but strengthen.</w:t>
            </w:r>
          </w:p>
          <w:p w:rsidR="00B14682" w:rsidRDefault="00B14682" w:rsidP="00471AA4">
            <w:pPr>
              <w:spacing w:after="0" w:line="240" w:lineRule="auto"/>
              <w:contextualSpacing/>
              <w:rPr>
                <w:rFonts w:eastAsia="Calibri" w:cs="Arial"/>
                <w:sz w:val="20"/>
                <w:szCs w:val="22"/>
                <w:lang w:val="en-NZ" w:eastAsia="en-US"/>
              </w:rPr>
            </w:pPr>
          </w:p>
          <w:p w:rsidR="00B14682" w:rsidRPr="003A3E2B" w:rsidRDefault="00B14682" w:rsidP="00471AA4">
            <w:pPr>
              <w:spacing w:after="0" w:line="240" w:lineRule="auto"/>
              <w:contextualSpacing/>
              <w:rPr>
                <w:rFonts w:eastAsia="Calibri" w:cs="Arial"/>
                <w:sz w:val="20"/>
                <w:szCs w:val="22"/>
                <w:lang w:val="en-NZ" w:eastAsia="en-US"/>
              </w:rPr>
            </w:pPr>
            <w:r w:rsidRPr="003A3E2B">
              <w:rPr>
                <w:rFonts w:eastAsia="Calibri" w:cs="Arial"/>
                <w:sz w:val="20"/>
                <w:szCs w:val="22"/>
                <w:lang w:val="en-NZ" w:eastAsia="en-US"/>
              </w:rPr>
              <w:t>For example:</w:t>
            </w:r>
          </w:p>
          <w:p w:rsidR="00B14682" w:rsidRPr="003A3E2B" w:rsidRDefault="00B14682" w:rsidP="00B66942">
            <w:pPr>
              <w:numPr>
                <w:ilvl w:val="0"/>
                <w:numId w:val="23"/>
              </w:numPr>
              <w:spacing w:after="0" w:line="240" w:lineRule="auto"/>
              <w:contextualSpacing/>
              <w:rPr>
                <w:rFonts w:eastAsia="Calibri" w:cs="Arial"/>
                <w:sz w:val="20"/>
                <w:szCs w:val="22"/>
                <w:lang w:val="en-NZ" w:eastAsia="en-US"/>
              </w:rPr>
            </w:pPr>
            <w:r w:rsidRPr="003A3E2B">
              <w:rPr>
                <w:rFonts w:eastAsia="Calibri" w:cs="Arial"/>
                <w:sz w:val="20"/>
                <w:szCs w:val="22"/>
                <w:lang w:val="en-NZ" w:eastAsia="en-US"/>
              </w:rPr>
              <w:t>Emergency use exemption.</w:t>
            </w:r>
          </w:p>
          <w:p w:rsidR="00B14682" w:rsidRPr="003A3E2B" w:rsidRDefault="00B14682" w:rsidP="00B66942">
            <w:pPr>
              <w:numPr>
                <w:ilvl w:val="0"/>
                <w:numId w:val="23"/>
              </w:numPr>
              <w:spacing w:after="0" w:line="240" w:lineRule="auto"/>
              <w:contextualSpacing/>
              <w:rPr>
                <w:rFonts w:eastAsia="Calibri" w:cs="Arial"/>
                <w:sz w:val="20"/>
                <w:szCs w:val="22"/>
                <w:lang w:val="en-NZ" w:eastAsia="en-US"/>
              </w:rPr>
            </w:pPr>
            <w:r w:rsidRPr="003A3E2B">
              <w:rPr>
                <w:rFonts w:eastAsia="Calibri" w:cs="Arial"/>
                <w:sz w:val="20"/>
                <w:szCs w:val="22"/>
                <w:lang w:val="en-NZ" w:eastAsia="en-US"/>
              </w:rPr>
              <w:t>Specification of products not needing to be approved</w:t>
            </w:r>
            <w:r w:rsidR="00B91274">
              <w:rPr>
                <w:rFonts w:eastAsia="Calibri" w:cs="Arial"/>
                <w:sz w:val="20"/>
                <w:szCs w:val="22"/>
                <w:lang w:val="en-NZ" w:eastAsia="en-US"/>
              </w:rPr>
              <w:t>.</w:t>
            </w:r>
          </w:p>
          <w:p w:rsidR="00B14682" w:rsidRPr="003A3E2B" w:rsidRDefault="00725CF9" w:rsidP="00B66942">
            <w:pPr>
              <w:numPr>
                <w:ilvl w:val="0"/>
                <w:numId w:val="23"/>
              </w:numPr>
              <w:spacing w:after="0" w:line="240" w:lineRule="auto"/>
              <w:contextualSpacing/>
              <w:rPr>
                <w:rFonts w:eastAsia="Calibri" w:cs="Arial"/>
                <w:sz w:val="20"/>
                <w:szCs w:val="22"/>
                <w:lang w:val="en-NZ" w:eastAsia="en-US"/>
              </w:rPr>
            </w:pPr>
            <w:r>
              <w:rPr>
                <w:rFonts w:eastAsia="Calibri" w:cs="Arial"/>
                <w:sz w:val="20"/>
                <w:szCs w:val="22"/>
                <w:lang w:val="en-NZ" w:eastAsia="en-US"/>
              </w:rPr>
              <w:t>Continue to p</w:t>
            </w:r>
            <w:r w:rsidR="00B14682" w:rsidRPr="003A3E2B">
              <w:rPr>
                <w:rFonts w:eastAsia="Calibri" w:cs="Arial"/>
                <w:sz w:val="20"/>
                <w:szCs w:val="22"/>
                <w:lang w:val="en-NZ" w:eastAsia="en-US"/>
              </w:rPr>
              <w:t xml:space="preserve">ermit </w:t>
            </w:r>
            <w:r>
              <w:rPr>
                <w:rFonts w:eastAsia="Calibri" w:cs="Arial"/>
                <w:sz w:val="20"/>
                <w:szCs w:val="22"/>
                <w:lang w:val="en-NZ" w:eastAsia="en-US"/>
              </w:rPr>
              <w:t xml:space="preserve">small- scale </w:t>
            </w:r>
            <w:r w:rsidR="00B14682" w:rsidRPr="003A3E2B">
              <w:rPr>
                <w:rFonts w:eastAsia="Calibri" w:cs="Arial"/>
                <w:sz w:val="20"/>
                <w:szCs w:val="22"/>
                <w:lang w:val="en-NZ" w:eastAsia="en-US"/>
              </w:rPr>
              <w:t>compounding</w:t>
            </w:r>
            <w:r>
              <w:rPr>
                <w:rFonts w:eastAsia="Calibri" w:cs="Arial"/>
                <w:sz w:val="20"/>
                <w:szCs w:val="22"/>
                <w:lang w:val="en-NZ" w:eastAsia="en-US"/>
              </w:rPr>
              <w:t xml:space="preserve"> by pharmacies, but require large-scale compounding to be </w:t>
            </w:r>
            <w:r w:rsidR="003858A6">
              <w:rPr>
                <w:rFonts w:eastAsia="Calibri" w:cs="Arial"/>
                <w:sz w:val="20"/>
                <w:szCs w:val="22"/>
                <w:lang w:val="en-NZ" w:eastAsia="en-US"/>
              </w:rPr>
              <w:t xml:space="preserve">separately </w:t>
            </w:r>
            <w:r>
              <w:rPr>
                <w:rFonts w:eastAsia="Calibri" w:cs="Arial"/>
                <w:sz w:val="20"/>
                <w:szCs w:val="22"/>
                <w:lang w:val="en-NZ" w:eastAsia="en-US"/>
              </w:rPr>
              <w:t>licensed</w:t>
            </w:r>
            <w:r w:rsidR="00B14682" w:rsidRPr="003A3E2B">
              <w:rPr>
                <w:rFonts w:eastAsia="Calibri" w:cs="Arial"/>
                <w:sz w:val="20"/>
                <w:szCs w:val="22"/>
                <w:lang w:val="en-NZ" w:eastAsia="en-US"/>
              </w:rPr>
              <w:t>.</w:t>
            </w:r>
          </w:p>
          <w:p w:rsidR="00B14682" w:rsidRDefault="00B14682" w:rsidP="00B66942">
            <w:pPr>
              <w:numPr>
                <w:ilvl w:val="0"/>
                <w:numId w:val="23"/>
              </w:numPr>
              <w:spacing w:after="0" w:line="240" w:lineRule="auto"/>
              <w:contextualSpacing/>
              <w:rPr>
                <w:rFonts w:eastAsia="Calibri" w:cs="Arial"/>
                <w:sz w:val="20"/>
                <w:szCs w:val="22"/>
                <w:lang w:val="en-NZ" w:eastAsia="en-US"/>
              </w:rPr>
            </w:pPr>
            <w:r w:rsidRPr="003A3E2B">
              <w:rPr>
                <w:rFonts w:eastAsia="Calibri" w:cs="Arial"/>
                <w:sz w:val="20"/>
                <w:szCs w:val="22"/>
                <w:lang w:val="en-NZ" w:eastAsia="en-US"/>
              </w:rPr>
              <w:t>Require unapproved product to have appropriate supply chain certification</w:t>
            </w:r>
            <w:r w:rsidR="00B91274">
              <w:rPr>
                <w:rFonts w:eastAsia="Calibri" w:cs="Arial"/>
                <w:sz w:val="20"/>
                <w:szCs w:val="22"/>
                <w:lang w:val="en-NZ" w:eastAsia="en-US"/>
              </w:rPr>
              <w:t xml:space="preserve">, with </w:t>
            </w:r>
            <w:r w:rsidR="00C128A7">
              <w:rPr>
                <w:rFonts w:eastAsia="Calibri" w:cs="Arial"/>
                <w:sz w:val="20"/>
                <w:szCs w:val="22"/>
                <w:lang w:val="en-NZ" w:eastAsia="en-US"/>
              </w:rPr>
              <w:t>a</w:t>
            </w:r>
            <w:r w:rsidR="00B91274">
              <w:rPr>
                <w:rFonts w:eastAsia="Calibri" w:cs="Arial"/>
                <w:sz w:val="20"/>
                <w:szCs w:val="22"/>
                <w:lang w:val="en-NZ" w:eastAsia="en-US"/>
              </w:rPr>
              <w:t>ttached</w:t>
            </w:r>
            <w:r w:rsidR="00C128A7">
              <w:rPr>
                <w:rFonts w:eastAsia="Calibri" w:cs="Arial"/>
                <w:sz w:val="20"/>
                <w:szCs w:val="22"/>
                <w:lang w:val="en-NZ" w:eastAsia="en-US"/>
              </w:rPr>
              <w:t xml:space="preserve"> </w:t>
            </w:r>
            <w:r>
              <w:rPr>
                <w:rFonts w:eastAsia="Calibri" w:cs="Arial"/>
                <w:sz w:val="20"/>
                <w:szCs w:val="22"/>
                <w:lang w:val="en-NZ" w:eastAsia="en-US"/>
              </w:rPr>
              <w:t>responsibilities</w:t>
            </w:r>
            <w:r w:rsidRPr="003A3E2B">
              <w:rPr>
                <w:rFonts w:eastAsia="Calibri" w:cs="Arial"/>
                <w:sz w:val="20"/>
                <w:szCs w:val="22"/>
                <w:lang w:val="en-NZ" w:eastAsia="en-US"/>
              </w:rPr>
              <w:t>.</w:t>
            </w:r>
          </w:p>
          <w:p w:rsidR="00B14682" w:rsidRDefault="00B14682" w:rsidP="00B66942">
            <w:pPr>
              <w:numPr>
                <w:ilvl w:val="0"/>
                <w:numId w:val="23"/>
              </w:numPr>
              <w:spacing w:after="0" w:line="240" w:lineRule="auto"/>
              <w:contextualSpacing/>
              <w:rPr>
                <w:rFonts w:eastAsia="Calibri" w:cs="Arial"/>
                <w:sz w:val="20"/>
                <w:szCs w:val="22"/>
                <w:lang w:val="en-NZ" w:eastAsia="en-US"/>
              </w:rPr>
            </w:pPr>
            <w:r>
              <w:rPr>
                <w:rFonts w:eastAsia="Calibri" w:cs="Arial"/>
                <w:sz w:val="20"/>
                <w:szCs w:val="22"/>
                <w:lang w:val="en-NZ" w:eastAsia="en-US"/>
              </w:rPr>
              <w:t>Other prescribers included (</w:t>
            </w:r>
            <w:proofErr w:type="spellStart"/>
            <w:r>
              <w:rPr>
                <w:rFonts w:eastAsia="Calibri" w:cs="Arial"/>
                <w:sz w:val="20"/>
                <w:szCs w:val="22"/>
                <w:lang w:val="en-NZ" w:eastAsia="en-US"/>
              </w:rPr>
              <w:t>eg</w:t>
            </w:r>
            <w:proofErr w:type="spellEnd"/>
            <w:r>
              <w:rPr>
                <w:rFonts w:eastAsia="Calibri" w:cs="Arial"/>
                <w:sz w:val="20"/>
                <w:szCs w:val="22"/>
                <w:lang w:val="en-NZ" w:eastAsia="en-US"/>
              </w:rPr>
              <w:t>, veterinarians).</w:t>
            </w:r>
          </w:p>
          <w:p w:rsidR="00753D33" w:rsidRPr="0008116C" w:rsidRDefault="00753D33" w:rsidP="00753D33">
            <w:pPr>
              <w:spacing w:after="0" w:line="240" w:lineRule="auto"/>
              <w:ind w:left="360"/>
              <w:contextualSpacing/>
              <w:rPr>
                <w:rFonts w:eastAsia="Calibri" w:cs="Arial"/>
                <w:sz w:val="20"/>
                <w:szCs w:val="22"/>
                <w:lang w:val="en-NZ" w:eastAsia="en-US"/>
              </w:rPr>
            </w:pPr>
          </w:p>
        </w:tc>
        <w:tc>
          <w:tcPr>
            <w:tcW w:w="4372" w:type="dxa"/>
            <w:shd w:val="clear" w:color="auto" w:fill="auto"/>
          </w:tcPr>
          <w:p w:rsidR="00DE2083" w:rsidRDefault="00DE2083" w:rsidP="00B66942">
            <w:pPr>
              <w:numPr>
                <w:ilvl w:val="0"/>
                <w:numId w:val="42"/>
              </w:numPr>
              <w:spacing w:after="0" w:line="240" w:lineRule="auto"/>
              <w:rPr>
                <w:rFonts w:eastAsia="Calibri" w:cs="Arial"/>
                <w:sz w:val="20"/>
                <w:szCs w:val="22"/>
                <w:lang w:val="en-NZ" w:eastAsia="en-US"/>
              </w:rPr>
            </w:pPr>
            <w:r>
              <w:rPr>
                <w:rFonts w:eastAsia="Calibri" w:cs="Arial"/>
                <w:sz w:val="20"/>
                <w:szCs w:val="22"/>
                <w:lang w:val="en-NZ" w:eastAsia="en-US"/>
              </w:rPr>
              <w:t>Would involve targeted changes to address known issues as identified in the status quo with consequential beneficial effects on health and safety outcomes.</w:t>
            </w:r>
          </w:p>
          <w:p w:rsidR="00DE2083" w:rsidRDefault="00DE2083" w:rsidP="00DE2083">
            <w:pPr>
              <w:spacing w:after="0" w:line="240" w:lineRule="auto"/>
              <w:ind w:left="360"/>
              <w:rPr>
                <w:rFonts w:eastAsia="Calibri" w:cs="Arial"/>
                <w:sz w:val="20"/>
                <w:szCs w:val="22"/>
                <w:lang w:val="en-NZ" w:eastAsia="en-US"/>
              </w:rPr>
            </w:pPr>
          </w:p>
          <w:p w:rsidR="00DE2083" w:rsidRDefault="00DE2083" w:rsidP="00B66942">
            <w:pPr>
              <w:numPr>
                <w:ilvl w:val="0"/>
                <w:numId w:val="42"/>
              </w:numPr>
              <w:spacing w:after="0" w:line="240" w:lineRule="auto"/>
              <w:rPr>
                <w:rFonts w:eastAsia="Calibri" w:cs="Arial"/>
                <w:sz w:val="20"/>
                <w:szCs w:val="22"/>
                <w:lang w:val="en-NZ" w:eastAsia="en-US"/>
              </w:rPr>
            </w:pPr>
            <w:r>
              <w:rPr>
                <w:rFonts w:eastAsia="Calibri" w:cs="Arial"/>
                <w:sz w:val="20"/>
                <w:szCs w:val="22"/>
                <w:lang w:val="en-NZ" w:eastAsia="en-US"/>
              </w:rPr>
              <w:t xml:space="preserve">Makes for a more complicated </w:t>
            </w:r>
            <w:proofErr w:type="gramStart"/>
            <w:r w:rsidR="003D08DD">
              <w:rPr>
                <w:rFonts w:eastAsia="Calibri" w:cs="Arial"/>
                <w:sz w:val="20"/>
                <w:szCs w:val="22"/>
                <w:lang w:val="en-NZ" w:eastAsia="en-US"/>
              </w:rPr>
              <w:t xml:space="preserve">scheme </w:t>
            </w:r>
            <w:r>
              <w:rPr>
                <w:rFonts w:eastAsia="Calibri" w:cs="Arial"/>
                <w:sz w:val="20"/>
                <w:szCs w:val="22"/>
                <w:lang w:val="en-NZ" w:eastAsia="en-US"/>
              </w:rPr>
              <w:t xml:space="preserve"> (</w:t>
            </w:r>
            <w:proofErr w:type="gramEnd"/>
            <w:r>
              <w:rPr>
                <w:rFonts w:eastAsia="Calibri" w:cs="Arial"/>
                <w:sz w:val="20"/>
                <w:szCs w:val="22"/>
                <w:lang w:val="en-NZ" w:eastAsia="en-US"/>
              </w:rPr>
              <w:t>defining and delimiting the circumstances with sufficient precision).</w:t>
            </w:r>
          </w:p>
          <w:p w:rsidR="00DE2083" w:rsidRDefault="00DE2083" w:rsidP="00DE2083">
            <w:pPr>
              <w:spacing w:after="0" w:line="240" w:lineRule="auto"/>
              <w:ind w:left="360"/>
              <w:rPr>
                <w:rFonts w:eastAsia="Calibri" w:cs="Arial"/>
                <w:sz w:val="20"/>
                <w:szCs w:val="22"/>
                <w:lang w:val="en-NZ" w:eastAsia="en-US"/>
              </w:rPr>
            </w:pPr>
          </w:p>
          <w:p w:rsidR="00B14682" w:rsidRDefault="00DE2083" w:rsidP="00B66942">
            <w:pPr>
              <w:numPr>
                <w:ilvl w:val="0"/>
                <w:numId w:val="42"/>
              </w:numPr>
              <w:spacing w:after="0" w:line="240" w:lineRule="auto"/>
              <w:rPr>
                <w:rFonts w:eastAsia="Calibri" w:cs="Arial"/>
                <w:sz w:val="20"/>
                <w:szCs w:val="22"/>
                <w:lang w:val="en-NZ" w:eastAsia="en-US"/>
              </w:rPr>
            </w:pPr>
            <w:r>
              <w:rPr>
                <w:rFonts w:eastAsia="Calibri" w:cs="Arial"/>
                <w:sz w:val="20"/>
                <w:szCs w:val="22"/>
                <w:lang w:val="en-NZ" w:eastAsia="en-US"/>
              </w:rPr>
              <w:t>Would move New Zealand approach on to a basis more consistent with international practice.</w:t>
            </w:r>
          </w:p>
          <w:p w:rsidR="00B14682" w:rsidRDefault="00B14682" w:rsidP="003A3E2B">
            <w:pPr>
              <w:spacing w:after="0" w:line="240" w:lineRule="auto"/>
              <w:ind w:left="360"/>
              <w:rPr>
                <w:rFonts w:eastAsia="Calibri" w:cs="Arial"/>
                <w:sz w:val="20"/>
                <w:szCs w:val="22"/>
                <w:lang w:val="en-NZ" w:eastAsia="en-US"/>
              </w:rPr>
            </w:pPr>
          </w:p>
          <w:p w:rsidR="00DE2083" w:rsidRDefault="00DE2083" w:rsidP="003A3E2B">
            <w:pPr>
              <w:spacing w:after="0" w:line="240" w:lineRule="auto"/>
              <w:ind w:left="360"/>
              <w:rPr>
                <w:rFonts w:eastAsia="Calibri" w:cs="Arial"/>
                <w:sz w:val="20"/>
                <w:szCs w:val="22"/>
                <w:lang w:val="en-NZ" w:eastAsia="en-US"/>
              </w:rPr>
            </w:pPr>
          </w:p>
          <w:p w:rsidR="00B14682" w:rsidRPr="003A3E2B" w:rsidRDefault="00B14682" w:rsidP="003A3E2B">
            <w:pPr>
              <w:spacing w:after="0" w:line="240" w:lineRule="auto"/>
              <w:ind w:left="360"/>
              <w:rPr>
                <w:rFonts w:eastAsia="Calibri" w:cs="Arial"/>
                <w:sz w:val="20"/>
                <w:szCs w:val="22"/>
                <w:lang w:val="en-NZ" w:eastAsia="en-US"/>
              </w:rPr>
            </w:pPr>
          </w:p>
        </w:tc>
      </w:tr>
      <w:tr w:rsidR="00B14682" w:rsidRPr="003A3E2B" w:rsidTr="00471AA4">
        <w:tc>
          <w:tcPr>
            <w:tcW w:w="1572" w:type="dxa"/>
            <w:shd w:val="clear" w:color="auto" w:fill="auto"/>
          </w:tcPr>
          <w:p w:rsidR="00103C9D" w:rsidRDefault="00B14682"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Option 2 – </w:t>
            </w:r>
          </w:p>
          <w:p w:rsidR="00103C9D" w:rsidRDefault="00103C9D" w:rsidP="00471AA4">
            <w:pPr>
              <w:spacing w:after="0" w:line="240" w:lineRule="auto"/>
              <w:rPr>
                <w:rFonts w:eastAsia="Calibri" w:cs="Arial"/>
                <w:sz w:val="20"/>
                <w:szCs w:val="22"/>
                <w:lang w:val="en-NZ" w:eastAsia="en-US"/>
              </w:rPr>
            </w:pPr>
          </w:p>
          <w:p w:rsidR="00B14682" w:rsidRPr="003A3E2B" w:rsidRDefault="00103C9D" w:rsidP="00471AA4">
            <w:pPr>
              <w:spacing w:after="0" w:line="240" w:lineRule="auto"/>
              <w:rPr>
                <w:rFonts w:eastAsia="Calibri" w:cs="Arial"/>
                <w:sz w:val="20"/>
                <w:szCs w:val="22"/>
                <w:lang w:val="en-NZ" w:eastAsia="en-US"/>
              </w:rPr>
            </w:pPr>
            <w:r>
              <w:rPr>
                <w:rFonts w:eastAsia="Calibri" w:cs="Arial"/>
                <w:sz w:val="20"/>
                <w:szCs w:val="22"/>
                <w:lang w:val="en-NZ" w:eastAsia="en-US"/>
              </w:rPr>
              <w:t>C</w:t>
            </w:r>
            <w:r w:rsidR="00B14682" w:rsidRPr="003A3E2B">
              <w:rPr>
                <w:rFonts w:eastAsia="Calibri" w:cs="Arial"/>
                <w:sz w:val="20"/>
                <w:szCs w:val="22"/>
                <w:lang w:val="en-NZ" w:eastAsia="en-US"/>
              </w:rPr>
              <w:t xml:space="preserve">omprehensive exemption </w:t>
            </w:r>
          </w:p>
        </w:tc>
        <w:tc>
          <w:tcPr>
            <w:tcW w:w="3072" w:type="dxa"/>
            <w:shd w:val="clear" w:color="auto" w:fill="auto"/>
          </w:tcPr>
          <w:p w:rsidR="00B14682" w:rsidRDefault="00B14682"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An exemption for health professionals acting within scope and accountable for their actions.</w:t>
            </w:r>
          </w:p>
          <w:p w:rsidR="00B14682" w:rsidRPr="003A3E2B" w:rsidRDefault="00B14682" w:rsidP="00471AA4">
            <w:pPr>
              <w:spacing w:after="0" w:line="240" w:lineRule="auto"/>
              <w:rPr>
                <w:rFonts w:eastAsia="Calibri" w:cs="Arial"/>
                <w:sz w:val="20"/>
                <w:szCs w:val="22"/>
                <w:lang w:val="en-NZ" w:eastAsia="en-US"/>
              </w:rPr>
            </w:pPr>
          </w:p>
          <w:p w:rsidR="00B14682" w:rsidRPr="003A3E2B" w:rsidRDefault="00B14682"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Would be used where they judge an unapproved product to be the most appropriate all things considered.</w:t>
            </w:r>
          </w:p>
          <w:p w:rsidR="00B14682" w:rsidRDefault="00B14682" w:rsidP="00471AA4">
            <w:pPr>
              <w:spacing w:after="0" w:line="240" w:lineRule="auto"/>
              <w:rPr>
                <w:rFonts w:eastAsia="Calibri" w:cs="Arial"/>
                <w:sz w:val="20"/>
                <w:szCs w:val="22"/>
                <w:lang w:val="en-NZ" w:eastAsia="en-US"/>
              </w:rPr>
            </w:pPr>
          </w:p>
          <w:p w:rsidR="00B14682" w:rsidRDefault="00B14682" w:rsidP="00471AA4">
            <w:pPr>
              <w:spacing w:after="0" w:line="240" w:lineRule="auto"/>
              <w:rPr>
                <w:rFonts w:eastAsia="Calibri" w:cs="Arial"/>
                <w:sz w:val="20"/>
                <w:szCs w:val="22"/>
                <w:lang w:val="en-NZ" w:eastAsia="en-US"/>
              </w:rPr>
            </w:pPr>
          </w:p>
          <w:p w:rsidR="00B14682" w:rsidRDefault="00B14682" w:rsidP="00471AA4">
            <w:pPr>
              <w:spacing w:after="0" w:line="240" w:lineRule="auto"/>
              <w:ind w:left="360"/>
              <w:rPr>
                <w:rFonts w:eastAsia="Calibri" w:cs="Arial"/>
                <w:sz w:val="20"/>
                <w:szCs w:val="22"/>
                <w:lang w:val="en-NZ" w:eastAsia="en-US"/>
              </w:rPr>
            </w:pPr>
          </w:p>
          <w:p w:rsidR="00B14682" w:rsidRDefault="00B14682" w:rsidP="00B14682">
            <w:pPr>
              <w:spacing w:after="0" w:line="240" w:lineRule="auto"/>
              <w:ind w:left="360"/>
              <w:rPr>
                <w:rFonts w:eastAsia="Calibri" w:cs="Arial"/>
                <w:sz w:val="20"/>
                <w:szCs w:val="22"/>
                <w:lang w:val="en-NZ" w:eastAsia="en-US"/>
              </w:rPr>
            </w:pPr>
          </w:p>
        </w:tc>
        <w:tc>
          <w:tcPr>
            <w:tcW w:w="4372" w:type="dxa"/>
            <w:shd w:val="clear" w:color="auto" w:fill="auto"/>
          </w:tcPr>
          <w:p w:rsidR="00B14682" w:rsidRDefault="00DE2083" w:rsidP="00B66942">
            <w:pPr>
              <w:numPr>
                <w:ilvl w:val="0"/>
                <w:numId w:val="42"/>
              </w:numPr>
              <w:spacing w:after="0" w:line="240" w:lineRule="auto"/>
              <w:rPr>
                <w:rFonts w:eastAsia="Calibri" w:cs="Arial"/>
                <w:sz w:val="20"/>
                <w:szCs w:val="22"/>
                <w:lang w:val="en-NZ" w:eastAsia="en-US"/>
              </w:rPr>
            </w:pPr>
            <w:r>
              <w:rPr>
                <w:rFonts w:eastAsia="Calibri" w:cs="Arial"/>
                <w:sz w:val="20"/>
                <w:szCs w:val="22"/>
                <w:lang w:val="en-NZ" w:eastAsia="en-US"/>
              </w:rPr>
              <w:t>In principle, an effective low-cost regulatory approach.</w:t>
            </w:r>
          </w:p>
          <w:p w:rsidR="00B14682" w:rsidRDefault="00B14682" w:rsidP="00471AA4">
            <w:pPr>
              <w:spacing w:after="0" w:line="240" w:lineRule="auto"/>
              <w:ind w:left="360"/>
              <w:rPr>
                <w:rFonts w:eastAsia="Calibri" w:cs="Arial"/>
                <w:sz w:val="20"/>
                <w:szCs w:val="22"/>
                <w:lang w:val="en-NZ" w:eastAsia="en-US"/>
              </w:rPr>
            </w:pPr>
          </w:p>
          <w:p w:rsidR="00B14682" w:rsidRDefault="00DE2083" w:rsidP="00B66942">
            <w:pPr>
              <w:numPr>
                <w:ilvl w:val="0"/>
                <w:numId w:val="42"/>
              </w:numPr>
              <w:spacing w:after="0" w:line="240" w:lineRule="auto"/>
              <w:rPr>
                <w:rFonts w:eastAsia="Calibri" w:cs="Arial"/>
                <w:sz w:val="20"/>
                <w:szCs w:val="22"/>
                <w:lang w:val="en-NZ" w:eastAsia="en-US"/>
              </w:rPr>
            </w:pPr>
            <w:r>
              <w:rPr>
                <w:rFonts w:eastAsia="Calibri" w:cs="Arial"/>
                <w:sz w:val="20"/>
                <w:szCs w:val="22"/>
                <w:lang w:val="en-NZ" w:eastAsia="en-US"/>
              </w:rPr>
              <w:t>Very d</w:t>
            </w:r>
            <w:r w:rsidRPr="003A3E2B">
              <w:rPr>
                <w:rFonts w:eastAsia="Calibri" w:cs="Arial"/>
                <w:sz w:val="20"/>
                <w:szCs w:val="22"/>
                <w:lang w:val="en-NZ" w:eastAsia="en-US"/>
              </w:rPr>
              <w:t>ifferent from international practice</w:t>
            </w:r>
            <w:r>
              <w:rPr>
                <w:rFonts w:eastAsia="Calibri" w:cs="Arial"/>
                <w:sz w:val="20"/>
                <w:szCs w:val="22"/>
                <w:lang w:val="en-NZ" w:eastAsia="en-US"/>
              </w:rPr>
              <w:t>.</w:t>
            </w:r>
          </w:p>
          <w:p w:rsidR="00DE2083" w:rsidRDefault="00DE2083" w:rsidP="00DE2083">
            <w:pPr>
              <w:spacing w:after="0" w:line="240" w:lineRule="auto"/>
              <w:rPr>
                <w:rFonts w:eastAsia="Calibri" w:cs="Arial"/>
                <w:sz w:val="20"/>
                <w:szCs w:val="22"/>
                <w:lang w:val="en-NZ" w:eastAsia="en-US"/>
              </w:rPr>
            </w:pPr>
          </w:p>
          <w:p w:rsidR="007B1F7E" w:rsidRDefault="00DE2083" w:rsidP="00B66942">
            <w:pPr>
              <w:numPr>
                <w:ilvl w:val="0"/>
                <w:numId w:val="42"/>
              </w:numPr>
              <w:spacing w:after="0" w:line="240" w:lineRule="auto"/>
              <w:rPr>
                <w:rFonts w:eastAsia="Calibri" w:cs="Arial"/>
                <w:sz w:val="20"/>
                <w:szCs w:val="22"/>
                <w:lang w:val="en-NZ" w:eastAsia="en-US"/>
              </w:rPr>
            </w:pPr>
            <w:r>
              <w:rPr>
                <w:rFonts w:eastAsia="Calibri" w:cs="Arial"/>
                <w:sz w:val="20"/>
                <w:szCs w:val="22"/>
                <w:lang w:val="en-NZ" w:eastAsia="en-US"/>
              </w:rPr>
              <w:t>May place excessive burden for evaluating technical risk issues</w:t>
            </w:r>
            <w:r w:rsidR="00F94925">
              <w:rPr>
                <w:rFonts w:eastAsia="Calibri" w:cs="Arial"/>
                <w:sz w:val="20"/>
                <w:szCs w:val="22"/>
                <w:lang w:val="en-NZ" w:eastAsia="en-US"/>
              </w:rPr>
              <w:t>, and staying up-to-date on therapeutic good developments</w:t>
            </w:r>
            <w:proofErr w:type="gramStart"/>
            <w:r w:rsidR="00F94925">
              <w:rPr>
                <w:rFonts w:eastAsia="Calibri" w:cs="Arial"/>
                <w:sz w:val="20"/>
                <w:szCs w:val="22"/>
                <w:lang w:val="en-NZ" w:eastAsia="en-US"/>
              </w:rPr>
              <w:t xml:space="preserve">, </w:t>
            </w:r>
            <w:r>
              <w:rPr>
                <w:rFonts w:eastAsia="Calibri" w:cs="Arial"/>
                <w:sz w:val="20"/>
                <w:szCs w:val="22"/>
                <w:lang w:val="en-NZ" w:eastAsia="en-US"/>
              </w:rPr>
              <w:t xml:space="preserve"> on</w:t>
            </w:r>
            <w:proofErr w:type="gramEnd"/>
            <w:r>
              <w:rPr>
                <w:rFonts w:eastAsia="Calibri" w:cs="Arial"/>
                <w:sz w:val="20"/>
                <w:szCs w:val="22"/>
                <w:lang w:val="en-NZ" w:eastAsia="en-US"/>
              </w:rPr>
              <w:t xml:space="preserve"> health </w:t>
            </w:r>
            <w:r w:rsidR="00C128A7">
              <w:rPr>
                <w:rFonts w:eastAsia="Calibri" w:cs="Arial"/>
                <w:sz w:val="20"/>
                <w:szCs w:val="22"/>
                <w:lang w:val="en-NZ" w:eastAsia="en-US"/>
              </w:rPr>
              <w:t>p</w:t>
            </w:r>
            <w:r>
              <w:rPr>
                <w:rFonts w:eastAsia="Calibri" w:cs="Arial"/>
                <w:sz w:val="20"/>
                <w:szCs w:val="22"/>
                <w:lang w:val="en-NZ" w:eastAsia="en-US"/>
              </w:rPr>
              <w:t>rofessionals.</w:t>
            </w:r>
          </w:p>
          <w:p w:rsidR="00F94925" w:rsidRDefault="00F94925" w:rsidP="00F94925">
            <w:pPr>
              <w:spacing w:after="0" w:line="240" w:lineRule="auto"/>
              <w:rPr>
                <w:rFonts w:eastAsia="Calibri" w:cs="Arial"/>
                <w:sz w:val="20"/>
                <w:szCs w:val="22"/>
                <w:lang w:val="en-NZ" w:eastAsia="en-US"/>
              </w:rPr>
            </w:pPr>
          </w:p>
          <w:p w:rsidR="00F94925" w:rsidRDefault="00F94925" w:rsidP="00F94925">
            <w:pPr>
              <w:spacing w:after="0" w:line="240" w:lineRule="auto"/>
              <w:rPr>
                <w:rFonts w:eastAsia="Calibri" w:cs="Arial"/>
                <w:sz w:val="20"/>
                <w:szCs w:val="22"/>
                <w:lang w:val="en-NZ" w:eastAsia="en-US"/>
              </w:rPr>
            </w:pPr>
          </w:p>
          <w:p w:rsidR="0008116C" w:rsidRPr="009252C0" w:rsidRDefault="0008116C" w:rsidP="0008116C">
            <w:pPr>
              <w:spacing w:after="0" w:line="240" w:lineRule="auto"/>
              <w:rPr>
                <w:rFonts w:eastAsia="Calibri" w:cs="Arial"/>
                <w:sz w:val="20"/>
                <w:szCs w:val="22"/>
                <w:lang w:val="en-NZ" w:eastAsia="en-US"/>
              </w:rPr>
            </w:pPr>
          </w:p>
        </w:tc>
      </w:tr>
    </w:tbl>
    <w:p w:rsidR="00B74A60" w:rsidRDefault="00B74A60" w:rsidP="00B74A60">
      <w:pPr>
        <w:spacing w:after="0" w:line="240" w:lineRule="auto"/>
        <w:rPr>
          <w:rFonts w:eastAsia="Calibri" w:cs="Arial"/>
          <w:szCs w:val="22"/>
          <w:lang w:val="en-NZ" w:eastAsia="en-US"/>
        </w:rPr>
      </w:pPr>
    </w:p>
    <w:p w:rsidR="00F94925" w:rsidRPr="00B74A60" w:rsidRDefault="00F94925" w:rsidP="00B74A60">
      <w:pPr>
        <w:spacing w:after="0" w:line="240" w:lineRule="auto"/>
        <w:rPr>
          <w:rFonts w:eastAsia="Calibri" w:cs="Arial"/>
          <w:szCs w:val="22"/>
          <w:lang w:val="en-NZ" w:eastAsia="en-US"/>
        </w:rPr>
      </w:pPr>
    </w:p>
    <w:p w:rsidR="000E054D" w:rsidRPr="00F71EFD" w:rsidRDefault="000E054D" w:rsidP="00F71EFD">
      <w:pPr>
        <w:pStyle w:val="Heading4"/>
        <w:spacing w:after="240"/>
        <w:rPr>
          <w:rFonts w:eastAsia="Calibri"/>
          <w:b/>
          <w:i/>
          <w:u w:val="none"/>
        </w:rPr>
      </w:pPr>
      <w:r w:rsidRPr="00F71EFD">
        <w:rPr>
          <w:rFonts w:eastAsia="Calibri"/>
          <w:b/>
          <w:i/>
          <w:u w:val="none"/>
        </w:rPr>
        <w:t>Post-market</w:t>
      </w:r>
    </w:p>
    <w:p w:rsidR="00B74A60" w:rsidRPr="00830E17" w:rsidRDefault="00B74A60" w:rsidP="00830E17">
      <w:pPr>
        <w:pStyle w:val="Heading5"/>
        <w:spacing w:after="240"/>
        <w:rPr>
          <w:rFonts w:eastAsia="Calibri"/>
          <w:b/>
          <w:i w:val="0"/>
          <w:lang w:val="en-NZ" w:eastAsia="en-US"/>
        </w:rPr>
      </w:pPr>
      <w:r w:rsidRPr="00830E17">
        <w:rPr>
          <w:rFonts w:eastAsia="Calibri"/>
          <w:b/>
          <w:i w:val="0"/>
          <w:lang w:val="en-NZ" w:eastAsia="en-US"/>
        </w:rPr>
        <w:t xml:space="preserve">Issue 12: Monitoring </w:t>
      </w:r>
      <w:r w:rsidR="003D08DD" w:rsidRPr="00830E17">
        <w:rPr>
          <w:rFonts w:eastAsia="Calibri"/>
          <w:b/>
          <w:i w:val="0"/>
          <w:lang w:val="en-NZ" w:eastAsia="en-US"/>
        </w:rPr>
        <w:t>(by the Regulator)</w:t>
      </w:r>
    </w:p>
    <w:p w:rsidR="00B74A60" w:rsidRPr="005C3898" w:rsidRDefault="00B74A60" w:rsidP="00E440A3">
      <w:pPr>
        <w:pStyle w:val="BodyText"/>
        <w:rPr>
          <w:rFonts w:eastAsia="Calibri"/>
        </w:rPr>
      </w:pPr>
      <w:r w:rsidRPr="005C3898">
        <w:rPr>
          <w:rFonts w:eastAsia="Calibri"/>
        </w:rPr>
        <w:t>Monitoring needs to cover all products and activities where compliance is required, or where there is the potential for risk in terms of safety, quality and efficacy.</w:t>
      </w:r>
    </w:p>
    <w:p w:rsidR="00B74A60" w:rsidRPr="00B74A60" w:rsidRDefault="00B74A60" w:rsidP="00E440A3">
      <w:pPr>
        <w:pStyle w:val="BodyText"/>
        <w:rPr>
          <w:rFonts w:eastAsia="Calibri"/>
          <w:lang w:val="en-NZ"/>
        </w:rPr>
      </w:pPr>
      <w:r w:rsidRPr="005C3898">
        <w:rPr>
          <w:rFonts w:eastAsia="Calibri"/>
        </w:rPr>
        <w:t>Information is critical to effective monitoring.  The regulator needs to have access to all the necessary information in order to analyse developments and to inform judgments about the nature</w:t>
      </w:r>
      <w:r w:rsidRPr="00B74A60">
        <w:rPr>
          <w:rFonts w:eastAsia="Calibri"/>
          <w:lang w:val="en-NZ"/>
        </w:rPr>
        <w:t xml:space="preserve"> and level of risks. </w:t>
      </w:r>
    </w:p>
    <w:p w:rsidR="00B74A60" w:rsidRDefault="00B74A60" w:rsidP="00E440A3">
      <w:pPr>
        <w:pStyle w:val="BodyText"/>
        <w:rPr>
          <w:rFonts w:eastAsia="Calibri"/>
        </w:rPr>
      </w:pPr>
      <w:r w:rsidRPr="005C3898">
        <w:rPr>
          <w:rFonts w:eastAsia="Calibri"/>
        </w:rPr>
        <w:t>Current</w:t>
      </w:r>
      <w:r w:rsidRPr="00B74A60">
        <w:rPr>
          <w:rFonts w:eastAsia="Calibri"/>
        </w:rPr>
        <w:t xml:space="preserve"> monitoring issues include, for example, whether the regulator:</w:t>
      </w:r>
    </w:p>
    <w:p w:rsidR="00F94925" w:rsidRPr="00B74A60" w:rsidRDefault="00F94925" w:rsidP="00F94925">
      <w:pPr>
        <w:pStyle w:val="BodyText"/>
        <w:numPr>
          <w:ilvl w:val="0"/>
          <w:numId w:val="0"/>
        </w:numPr>
        <w:ind w:left="567"/>
        <w:rPr>
          <w:rFonts w:eastAsia="Calibri"/>
        </w:rPr>
      </w:pPr>
    </w:p>
    <w:p w:rsidR="00B74A60" w:rsidRPr="00B74A60" w:rsidRDefault="00B74A60" w:rsidP="00E440A3">
      <w:pPr>
        <w:pStyle w:val="BodyText2"/>
        <w:rPr>
          <w:rFonts w:eastAsia="Calibri"/>
          <w:lang w:val="en-NZ" w:eastAsia="en-US"/>
        </w:rPr>
      </w:pPr>
      <w:r w:rsidRPr="00B74A60">
        <w:rPr>
          <w:rFonts w:eastAsia="Calibri"/>
          <w:lang w:val="en-NZ" w:eastAsia="en-US"/>
        </w:rPr>
        <w:t xml:space="preserve">has a clear mandate </w:t>
      </w:r>
      <w:r w:rsidR="003D08DD">
        <w:rPr>
          <w:rFonts w:eastAsia="Calibri"/>
          <w:lang w:val="en-NZ" w:eastAsia="en-US"/>
        </w:rPr>
        <w:t xml:space="preserve">and necessary information </w:t>
      </w:r>
      <w:r w:rsidRPr="00B74A60">
        <w:rPr>
          <w:rFonts w:eastAsia="Calibri"/>
          <w:lang w:val="en-NZ" w:eastAsia="en-US"/>
        </w:rPr>
        <w:t>to monitor unapproved products (</w:t>
      </w:r>
      <w:proofErr w:type="spellStart"/>
      <w:r w:rsidRPr="00B74A60">
        <w:rPr>
          <w:rFonts w:eastAsia="Calibri"/>
          <w:lang w:val="en-NZ" w:eastAsia="en-US"/>
        </w:rPr>
        <w:t>eg</w:t>
      </w:r>
      <w:proofErr w:type="spellEnd"/>
      <w:r w:rsidRPr="00B74A60">
        <w:rPr>
          <w:rFonts w:eastAsia="Calibri"/>
          <w:lang w:val="en-NZ" w:eastAsia="en-US"/>
        </w:rPr>
        <w:t>, those that may have been suppl</w:t>
      </w:r>
      <w:r w:rsidR="000D0456">
        <w:rPr>
          <w:rFonts w:eastAsia="Calibri"/>
          <w:lang w:val="en-NZ" w:eastAsia="en-US"/>
        </w:rPr>
        <w:t>ied under exemption provisions)</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the</w:t>
      </w:r>
      <w:proofErr w:type="gramEnd"/>
      <w:r w:rsidRPr="00B74A60">
        <w:rPr>
          <w:rFonts w:eastAsia="Calibri"/>
          <w:lang w:val="en-NZ" w:eastAsia="en-US"/>
        </w:rPr>
        <w:t xml:space="preserve"> necessary powers to obtain all the information it requires.</w:t>
      </w:r>
    </w:p>
    <w:p w:rsidR="00B74A60" w:rsidRPr="00B74A60" w:rsidRDefault="00B74A60" w:rsidP="00E440A3">
      <w:pPr>
        <w:pStyle w:val="BodyText"/>
        <w:rPr>
          <w:rFonts w:eastAsia="Calibri"/>
        </w:rPr>
      </w:pPr>
      <w:r w:rsidRPr="005C3898">
        <w:rPr>
          <w:rFonts w:eastAsia="Calibri"/>
        </w:rPr>
        <w:t>To</w:t>
      </w:r>
      <w:r w:rsidRPr="00B74A60">
        <w:rPr>
          <w:rFonts w:eastAsia="Calibri"/>
        </w:rPr>
        <w:t xml:space="preserve"> the extent that it is agreed that a more comprehensive approach to monitoring is preferred, it would be necessary to ensure in the primary legislation that the regulator:</w:t>
      </w:r>
    </w:p>
    <w:p w:rsidR="00B74A60" w:rsidRPr="00E440A3" w:rsidRDefault="00B74A60" w:rsidP="00E440A3">
      <w:pPr>
        <w:pStyle w:val="BodyText2"/>
        <w:rPr>
          <w:rFonts w:eastAsia="Calibri"/>
          <w:szCs w:val="22"/>
          <w:lang w:val="en-NZ" w:eastAsia="en-US"/>
        </w:rPr>
      </w:pPr>
      <w:r w:rsidRPr="00E440A3">
        <w:rPr>
          <w:rFonts w:eastAsia="Calibri"/>
          <w:lang w:val="en-NZ" w:eastAsia="en-US"/>
        </w:rPr>
        <w:t>has a wide monitoring mandate (</w:t>
      </w:r>
      <w:proofErr w:type="spellStart"/>
      <w:r w:rsidRPr="00E440A3">
        <w:rPr>
          <w:rFonts w:eastAsia="Calibri"/>
          <w:lang w:val="en-NZ" w:eastAsia="en-US"/>
        </w:rPr>
        <w:t>eg</w:t>
      </w:r>
      <w:proofErr w:type="spellEnd"/>
      <w:r w:rsidRPr="00E440A3">
        <w:rPr>
          <w:rFonts w:eastAsia="Calibri"/>
          <w:lang w:val="en-NZ" w:eastAsia="en-US"/>
        </w:rPr>
        <w:t>, inc</w:t>
      </w:r>
      <w:r w:rsidR="000D0456">
        <w:rPr>
          <w:rFonts w:eastAsia="Calibri"/>
          <w:lang w:val="en-NZ" w:eastAsia="en-US"/>
        </w:rPr>
        <w:t>luding unapproved products)</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the</w:t>
      </w:r>
      <w:proofErr w:type="gramEnd"/>
      <w:r w:rsidRPr="00B74A60">
        <w:rPr>
          <w:rFonts w:eastAsia="Calibri"/>
          <w:lang w:val="en-NZ" w:eastAsia="en-US"/>
        </w:rPr>
        <w:t xml:space="preserve"> necessary powers to obtain information reasonable for monitoring purposes.</w:t>
      </w:r>
    </w:p>
    <w:p w:rsidR="00B74A60" w:rsidRPr="00DD003F" w:rsidRDefault="002E4A77" w:rsidP="00B74A60">
      <w:pPr>
        <w:pStyle w:val="BodyText"/>
        <w:spacing w:after="0"/>
        <w:rPr>
          <w:rFonts w:eastAsia="Calibri" w:cs="Arial"/>
          <w:szCs w:val="22"/>
          <w:lang w:val="en-NZ"/>
        </w:rPr>
      </w:pPr>
      <w:r w:rsidRPr="00E440A3">
        <w:rPr>
          <w:rFonts w:eastAsia="Calibri"/>
        </w:rPr>
        <w:t>This would enable the regulator to set its p</w:t>
      </w:r>
      <w:r w:rsidR="00B74A60" w:rsidRPr="00E440A3">
        <w:rPr>
          <w:rFonts w:eastAsia="Calibri"/>
        </w:rPr>
        <w:t xml:space="preserve">riorities </w:t>
      </w:r>
      <w:r w:rsidRPr="00E440A3">
        <w:rPr>
          <w:rFonts w:eastAsia="Calibri"/>
        </w:rPr>
        <w:t xml:space="preserve">and pursue </w:t>
      </w:r>
      <w:r w:rsidR="00B74A60" w:rsidRPr="00E440A3">
        <w:rPr>
          <w:rFonts w:eastAsia="Calibri"/>
        </w:rPr>
        <w:t>different</w:t>
      </w:r>
      <w:r w:rsidRPr="00E440A3">
        <w:rPr>
          <w:rFonts w:eastAsia="Calibri"/>
        </w:rPr>
        <w:t xml:space="preserve"> strategies at different times depending on judgments about risk and optimal resource use.</w:t>
      </w:r>
      <w:r w:rsidR="003D08DD">
        <w:rPr>
          <w:rFonts w:eastAsia="Calibri"/>
        </w:rPr>
        <w:t xml:space="preserve"> Post-market monitoring is particularly important when greater use is made of unilateral recognition and partial recognition processes pre-market.</w:t>
      </w:r>
    </w:p>
    <w:p w:rsidR="00DD003F" w:rsidRDefault="00DD003F" w:rsidP="00DD003F">
      <w:pPr>
        <w:pStyle w:val="BodyText"/>
        <w:numPr>
          <w:ilvl w:val="0"/>
          <w:numId w:val="0"/>
        </w:numPr>
        <w:spacing w:after="0"/>
        <w:ind w:left="567"/>
        <w:rPr>
          <w:rFonts w:eastAsia="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977"/>
        <w:gridCol w:w="4513"/>
      </w:tblGrid>
      <w:tr w:rsidR="00B74A60" w:rsidRPr="003A3E2B" w:rsidTr="00747CD2">
        <w:trPr>
          <w:tblHeader/>
        </w:trPr>
        <w:tc>
          <w:tcPr>
            <w:tcW w:w="9016" w:type="dxa"/>
            <w:gridSpan w:val="3"/>
            <w:shd w:val="clear" w:color="auto" w:fill="DEEAF6"/>
          </w:tcPr>
          <w:p w:rsidR="00B74A60" w:rsidRPr="003A3E2B" w:rsidRDefault="00B74A60" w:rsidP="003A3E2B">
            <w:pPr>
              <w:spacing w:after="0" w:line="240" w:lineRule="auto"/>
              <w:rPr>
                <w:rFonts w:eastAsia="Calibri" w:cs="Arial"/>
                <w:b/>
                <w:szCs w:val="22"/>
                <w:lang w:val="en-NZ" w:eastAsia="en-US"/>
              </w:rPr>
            </w:pPr>
            <w:r w:rsidRPr="003A3E2B">
              <w:rPr>
                <w:rFonts w:eastAsia="Calibri" w:cs="Arial"/>
                <w:b/>
                <w:szCs w:val="22"/>
                <w:lang w:val="en-NZ" w:eastAsia="en-US"/>
              </w:rPr>
              <w:t>Monitoring: options and impacts</w:t>
            </w:r>
          </w:p>
          <w:p w:rsidR="00B74A60" w:rsidRPr="003A3E2B" w:rsidRDefault="00B74A60" w:rsidP="003A3E2B">
            <w:pPr>
              <w:spacing w:after="0" w:line="240" w:lineRule="auto"/>
              <w:rPr>
                <w:rFonts w:eastAsia="Calibri" w:cs="Arial"/>
                <w:szCs w:val="22"/>
                <w:lang w:val="en-NZ" w:eastAsia="en-US"/>
              </w:rPr>
            </w:pPr>
          </w:p>
        </w:tc>
      </w:tr>
      <w:tr w:rsidR="00B14682" w:rsidRPr="003A3E2B" w:rsidTr="00747CD2">
        <w:trPr>
          <w:tblHeader/>
        </w:trPr>
        <w:tc>
          <w:tcPr>
            <w:tcW w:w="1526" w:type="dxa"/>
            <w:shd w:val="clear" w:color="auto" w:fill="DEEAF6"/>
          </w:tcPr>
          <w:p w:rsidR="00B14682" w:rsidRPr="003A3E2B" w:rsidRDefault="00B14682" w:rsidP="003A3E2B">
            <w:pPr>
              <w:spacing w:after="0" w:line="240" w:lineRule="auto"/>
              <w:jc w:val="center"/>
              <w:rPr>
                <w:rFonts w:eastAsia="Calibri" w:cs="Arial"/>
                <w:i/>
                <w:szCs w:val="22"/>
                <w:lang w:val="en-NZ" w:eastAsia="en-US"/>
              </w:rPr>
            </w:pPr>
            <w:r w:rsidRPr="003A3E2B">
              <w:rPr>
                <w:rFonts w:eastAsia="Calibri" w:cs="Arial"/>
                <w:i/>
                <w:szCs w:val="22"/>
                <w:lang w:val="en-NZ" w:eastAsia="en-US"/>
              </w:rPr>
              <w:t>Options</w:t>
            </w:r>
          </w:p>
          <w:p w:rsidR="00B14682" w:rsidRPr="003A3E2B" w:rsidRDefault="00B14682" w:rsidP="003A3E2B">
            <w:pPr>
              <w:spacing w:after="0" w:line="240" w:lineRule="auto"/>
              <w:jc w:val="center"/>
              <w:rPr>
                <w:rFonts w:eastAsia="Calibri" w:cs="Arial"/>
                <w:i/>
                <w:szCs w:val="22"/>
                <w:lang w:val="en-NZ" w:eastAsia="en-US"/>
              </w:rPr>
            </w:pPr>
          </w:p>
        </w:tc>
        <w:tc>
          <w:tcPr>
            <w:tcW w:w="2977" w:type="dxa"/>
            <w:shd w:val="clear" w:color="auto" w:fill="DEEAF6"/>
          </w:tcPr>
          <w:p w:rsidR="00B14682" w:rsidRPr="003A3E2B" w:rsidRDefault="009B0C27" w:rsidP="003A3E2B">
            <w:pPr>
              <w:spacing w:after="0" w:line="240" w:lineRule="auto"/>
              <w:jc w:val="center"/>
              <w:rPr>
                <w:rFonts w:eastAsia="Calibri" w:cs="Arial"/>
                <w:i/>
                <w:szCs w:val="22"/>
                <w:lang w:val="en-NZ" w:eastAsia="en-US"/>
              </w:rPr>
            </w:pPr>
            <w:r>
              <w:rPr>
                <w:rFonts w:eastAsia="Calibri" w:cs="Arial"/>
                <w:i/>
                <w:szCs w:val="22"/>
                <w:lang w:val="en-NZ" w:eastAsia="en-US"/>
              </w:rPr>
              <w:t>Description</w:t>
            </w:r>
          </w:p>
        </w:tc>
        <w:tc>
          <w:tcPr>
            <w:tcW w:w="4513" w:type="dxa"/>
            <w:shd w:val="clear" w:color="auto" w:fill="DEEAF6"/>
          </w:tcPr>
          <w:p w:rsidR="00B14682" w:rsidRPr="003A3E2B" w:rsidRDefault="009B0C27" w:rsidP="003A3E2B">
            <w:pPr>
              <w:spacing w:after="0" w:line="240" w:lineRule="auto"/>
              <w:jc w:val="center"/>
              <w:rPr>
                <w:rFonts w:eastAsia="Calibri" w:cs="Arial"/>
                <w:i/>
                <w:szCs w:val="22"/>
                <w:lang w:val="en-NZ" w:eastAsia="en-US"/>
              </w:rPr>
            </w:pPr>
            <w:r w:rsidRPr="003A3E2B">
              <w:rPr>
                <w:rFonts w:eastAsia="Calibri" w:cs="Arial"/>
                <w:i/>
                <w:szCs w:val="22"/>
                <w:lang w:val="en-NZ" w:eastAsia="en-US"/>
              </w:rPr>
              <w:t>Impacts</w:t>
            </w:r>
          </w:p>
        </w:tc>
      </w:tr>
      <w:tr w:rsidR="00B14682" w:rsidRPr="003A3E2B" w:rsidTr="00471AA4">
        <w:tc>
          <w:tcPr>
            <w:tcW w:w="1526" w:type="dxa"/>
            <w:shd w:val="clear" w:color="auto" w:fill="auto"/>
          </w:tcPr>
          <w:p w:rsidR="00B14682" w:rsidRPr="003A3E2B" w:rsidRDefault="00B14682"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Status quo</w:t>
            </w:r>
          </w:p>
          <w:p w:rsidR="00B14682" w:rsidRPr="003A3E2B" w:rsidRDefault="00B14682" w:rsidP="003A3E2B">
            <w:pPr>
              <w:spacing w:after="0" w:line="240" w:lineRule="auto"/>
              <w:rPr>
                <w:rFonts w:eastAsia="Calibri" w:cs="Arial"/>
                <w:sz w:val="20"/>
                <w:szCs w:val="22"/>
                <w:lang w:val="en-NZ" w:eastAsia="en-US"/>
              </w:rPr>
            </w:pPr>
          </w:p>
          <w:p w:rsidR="00B14682" w:rsidRPr="003A3E2B" w:rsidRDefault="00B14682" w:rsidP="003A3E2B">
            <w:pPr>
              <w:spacing w:after="0" w:line="240" w:lineRule="auto"/>
              <w:rPr>
                <w:rFonts w:eastAsia="Calibri" w:cs="Arial"/>
                <w:sz w:val="20"/>
                <w:szCs w:val="22"/>
                <w:lang w:val="en-NZ" w:eastAsia="en-US"/>
              </w:rPr>
            </w:pPr>
          </w:p>
        </w:tc>
        <w:tc>
          <w:tcPr>
            <w:tcW w:w="2977" w:type="dxa"/>
            <w:shd w:val="clear" w:color="auto" w:fill="auto"/>
          </w:tcPr>
          <w:p w:rsidR="00B14682" w:rsidRPr="003A3E2B" w:rsidRDefault="00B14682"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Monitoring will continue with focus on approved products.</w:t>
            </w:r>
          </w:p>
          <w:p w:rsidR="00B14682" w:rsidRDefault="00B14682" w:rsidP="00471AA4">
            <w:pPr>
              <w:spacing w:after="0" w:line="240" w:lineRule="auto"/>
              <w:ind w:left="360"/>
              <w:rPr>
                <w:rFonts w:eastAsia="Calibri" w:cs="Arial"/>
                <w:sz w:val="20"/>
                <w:szCs w:val="22"/>
                <w:lang w:val="en-NZ" w:eastAsia="en-US"/>
              </w:rPr>
            </w:pPr>
          </w:p>
          <w:p w:rsidR="00B14682" w:rsidRDefault="00B14682" w:rsidP="00B14682">
            <w:pPr>
              <w:spacing w:after="0" w:line="240" w:lineRule="auto"/>
              <w:ind w:left="360"/>
              <w:rPr>
                <w:rFonts w:eastAsia="Calibri" w:cs="Arial"/>
                <w:sz w:val="20"/>
                <w:szCs w:val="22"/>
                <w:lang w:val="en-NZ" w:eastAsia="en-US"/>
              </w:rPr>
            </w:pPr>
          </w:p>
        </w:tc>
        <w:tc>
          <w:tcPr>
            <w:tcW w:w="4513" w:type="dxa"/>
            <w:shd w:val="clear" w:color="auto" w:fill="auto"/>
          </w:tcPr>
          <w:p w:rsidR="009B0C27" w:rsidRDefault="009B0C27" w:rsidP="00B66942">
            <w:pPr>
              <w:numPr>
                <w:ilvl w:val="0"/>
                <w:numId w:val="21"/>
              </w:numPr>
              <w:spacing w:after="0" w:line="240" w:lineRule="auto"/>
              <w:rPr>
                <w:rFonts w:eastAsia="Calibri" w:cs="Arial"/>
                <w:sz w:val="20"/>
                <w:szCs w:val="22"/>
                <w:lang w:val="en-NZ" w:eastAsia="en-US"/>
              </w:rPr>
            </w:pPr>
            <w:r w:rsidRPr="003A3E2B">
              <w:rPr>
                <w:rFonts w:eastAsia="Calibri" w:cs="Arial"/>
                <w:sz w:val="20"/>
                <w:szCs w:val="22"/>
                <w:lang w:val="en-NZ" w:eastAsia="en-US"/>
              </w:rPr>
              <w:t>Uncertainty about the powers of the regulator to address unapproved product issues.</w:t>
            </w:r>
          </w:p>
          <w:p w:rsidR="00234D64" w:rsidRPr="003A3E2B" w:rsidRDefault="00234D64" w:rsidP="00471AA4">
            <w:pPr>
              <w:spacing w:after="0" w:line="240" w:lineRule="auto"/>
              <w:ind w:left="360"/>
              <w:rPr>
                <w:rFonts w:eastAsia="Calibri" w:cs="Arial"/>
                <w:sz w:val="20"/>
                <w:szCs w:val="22"/>
                <w:lang w:val="en-NZ" w:eastAsia="en-US"/>
              </w:rPr>
            </w:pPr>
          </w:p>
          <w:p w:rsidR="009B0C27" w:rsidRDefault="009B0C27" w:rsidP="00B66942">
            <w:pPr>
              <w:numPr>
                <w:ilvl w:val="0"/>
                <w:numId w:val="21"/>
              </w:numPr>
              <w:spacing w:after="0" w:line="240" w:lineRule="auto"/>
              <w:rPr>
                <w:rFonts w:eastAsia="Calibri" w:cs="Arial"/>
                <w:sz w:val="20"/>
                <w:szCs w:val="22"/>
                <w:lang w:val="en-NZ" w:eastAsia="en-US"/>
              </w:rPr>
            </w:pPr>
            <w:r w:rsidRPr="003A3E2B">
              <w:rPr>
                <w:rFonts w:eastAsia="Calibri" w:cs="Arial"/>
                <w:sz w:val="20"/>
                <w:szCs w:val="22"/>
                <w:lang w:val="en-NZ" w:eastAsia="en-US"/>
              </w:rPr>
              <w:t>Regulator not able to obtain all the information it needs to manage risk.</w:t>
            </w:r>
          </w:p>
          <w:p w:rsidR="00B14682" w:rsidRPr="003A3E2B" w:rsidRDefault="00B14682" w:rsidP="003A3E2B">
            <w:pPr>
              <w:spacing w:after="0" w:line="240" w:lineRule="auto"/>
              <w:rPr>
                <w:rFonts w:eastAsia="Calibri" w:cs="Arial"/>
                <w:sz w:val="20"/>
                <w:szCs w:val="22"/>
                <w:lang w:val="en-NZ" w:eastAsia="en-US"/>
              </w:rPr>
            </w:pPr>
          </w:p>
        </w:tc>
      </w:tr>
      <w:tr w:rsidR="00B14682" w:rsidRPr="003A3E2B" w:rsidTr="00471AA4">
        <w:tc>
          <w:tcPr>
            <w:tcW w:w="1526" w:type="dxa"/>
            <w:shd w:val="clear" w:color="auto" w:fill="auto"/>
          </w:tcPr>
          <w:p w:rsidR="009B0C27" w:rsidRDefault="00B14682"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Option 1 – </w:t>
            </w:r>
          </w:p>
          <w:p w:rsidR="009B0C27" w:rsidRDefault="009B0C27" w:rsidP="003A3E2B">
            <w:pPr>
              <w:spacing w:after="0" w:line="240" w:lineRule="auto"/>
              <w:rPr>
                <w:rFonts w:eastAsia="Calibri" w:cs="Arial"/>
                <w:sz w:val="20"/>
                <w:szCs w:val="22"/>
                <w:lang w:val="en-NZ" w:eastAsia="en-US"/>
              </w:rPr>
            </w:pPr>
          </w:p>
          <w:p w:rsidR="009B0C27" w:rsidRDefault="00B14682"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Enhanced </w:t>
            </w:r>
          </w:p>
          <w:p w:rsidR="00B14682" w:rsidRPr="003A3E2B" w:rsidRDefault="00B14682"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status quo (preferred)</w:t>
            </w:r>
          </w:p>
          <w:p w:rsidR="00B14682" w:rsidRPr="003A3E2B" w:rsidRDefault="00B14682" w:rsidP="003A3E2B">
            <w:pPr>
              <w:spacing w:after="0" w:line="240" w:lineRule="auto"/>
              <w:rPr>
                <w:rFonts w:eastAsia="Calibri" w:cs="Arial"/>
                <w:sz w:val="20"/>
                <w:szCs w:val="22"/>
                <w:lang w:val="en-NZ" w:eastAsia="en-US"/>
              </w:rPr>
            </w:pPr>
          </w:p>
          <w:p w:rsidR="00B14682" w:rsidRPr="003A3E2B" w:rsidRDefault="00B14682" w:rsidP="003A3E2B">
            <w:pPr>
              <w:spacing w:after="0" w:line="240" w:lineRule="auto"/>
              <w:rPr>
                <w:rFonts w:eastAsia="Calibri" w:cs="Arial"/>
                <w:sz w:val="20"/>
                <w:szCs w:val="22"/>
                <w:lang w:val="en-NZ" w:eastAsia="en-US"/>
              </w:rPr>
            </w:pPr>
          </w:p>
          <w:p w:rsidR="00B14682" w:rsidRPr="003A3E2B" w:rsidRDefault="00B14682" w:rsidP="003A3E2B">
            <w:pPr>
              <w:spacing w:after="0" w:line="240" w:lineRule="auto"/>
              <w:rPr>
                <w:rFonts w:eastAsia="Calibri" w:cs="Arial"/>
                <w:sz w:val="20"/>
                <w:szCs w:val="22"/>
                <w:lang w:val="en-NZ" w:eastAsia="en-US"/>
              </w:rPr>
            </w:pPr>
          </w:p>
        </w:tc>
        <w:tc>
          <w:tcPr>
            <w:tcW w:w="2977" w:type="dxa"/>
            <w:shd w:val="clear" w:color="auto" w:fill="auto"/>
          </w:tcPr>
          <w:p w:rsidR="00B14682" w:rsidRDefault="00B14682"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The regulator engages in more comprehensive monitoring.</w:t>
            </w:r>
          </w:p>
          <w:p w:rsidR="009B0C27" w:rsidRPr="003A3E2B" w:rsidRDefault="009B0C27" w:rsidP="00471AA4">
            <w:pPr>
              <w:spacing w:after="0" w:line="240" w:lineRule="auto"/>
              <w:rPr>
                <w:rFonts w:eastAsia="Calibri" w:cs="Arial"/>
                <w:sz w:val="20"/>
                <w:szCs w:val="22"/>
                <w:lang w:val="en-NZ" w:eastAsia="en-US"/>
              </w:rPr>
            </w:pPr>
          </w:p>
          <w:p w:rsidR="00B14682" w:rsidRPr="003A3E2B" w:rsidRDefault="00B14682"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A clearer mandate.</w:t>
            </w:r>
          </w:p>
          <w:p w:rsidR="009B0C27" w:rsidRDefault="009B0C27" w:rsidP="00471AA4">
            <w:pPr>
              <w:spacing w:after="0" w:line="240" w:lineRule="auto"/>
              <w:rPr>
                <w:rFonts w:eastAsia="Calibri" w:cs="Arial"/>
                <w:sz w:val="20"/>
                <w:szCs w:val="22"/>
                <w:lang w:val="en-NZ" w:eastAsia="en-US"/>
              </w:rPr>
            </w:pPr>
          </w:p>
          <w:p w:rsidR="00B14682" w:rsidRPr="003A3E2B" w:rsidRDefault="00B14682"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Enhanced information gathering powers.</w:t>
            </w:r>
          </w:p>
          <w:p w:rsidR="00B14682" w:rsidRDefault="00B14682" w:rsidP="003A3E2B">
            <w:pPr>
              <w:spacing w:after="0" w:line="240" w:lineRule="auto"/>
              <w:rPr>
                <w:rFonts w:eastAsia="Calibri" w:cs="Arial"/>
                <w:sz w:val="20"/>
                <w:szCs w:val="22"/>
                <w:lang w:val="en-NZ" w:eastAsia="en-US"/>
              </w:rPr>
            </w:pPr>
          </w:p>
        </w:tc>
        <w:tc>
          <w:tcPr>
            <w:tcW w:w="4513" w:type="dxa"/>
            <w:shd w:val="clear" w:color="auto" w:fill="auto"/>
          </w:tcPr>
          <w:p w:rsidR="00B14682" w:rsidRDefault="00495157" w:rsidP="00B66942">
            <w:pPr>
              <w:numPr>
                <w:ilvl w:val="0"/>
                <w:numId w:val="39"/>
              </w:numPr>
              <w:spacing w:after="0" w:line="240" w:lineRule="auto"/>
              <w:ind w:left="360"/>
              <w:rPr>
                <w:rFonts w:eastAsia="Calibri" w:cs="Arial"/>
                <w:sz w:val="20"/>
                <w:szCs w:val="22"/>
                <w:lang w:val="en-NZ" w:eastAsia="en-US"/>
              </w:rPr>
            </w:pPr>
            <w:r>
              <w:rPr>
                <w:rFonts w:eastAsia="Calibri" w:cs="Arial"/>
                <w:sz w:val="20"/>
                <w:szCs w:val="22"/>
                <w:lang w:val="en-NZ" w:eastAsia="en-US"/>
              </w:rPr>
              <w:t>Enhanced risk management by regulator.</w:t>
            </w:r>
          </w:p>
          <w:p w:rsidR="00495157" w:rsidRDefault="00495157" w:rsidP="00471AA4">
            <w:pPr>
              <w:spacing w:after="0" w:line="240" w:lineRule="auto"/>
              <w:rPr>
                <w:rFonts w:eastAsia="Calibri" w:cs="Arial"/>
                <w:sz w:val="20"/>
                <w:szCs w:val="22"/>
                <w:lang w:val="en-NZ" w:eastAsia="en-US"/>
              </w:rPr>
            </w:pPr>
          </w:p>
          <w:p w:rsidR="00495157" w:rsidRDefault="00495157" w:rsidP="00B66942">
            <w:pPr>
              <w:numPr>
                <w:ilvl w:val="0"/>
                <w:numId w:val="39"/>
              </w:numPr>
              <w:spacing w:after="0" w:line="240" w:lineRule="auto"/>
              <w:ind w:left="360"/>
              <w:rPr>
                <w:rFonts w:eastAsia="Calibri" w:cs="Arial"/>
                <w:sz w:val="20"/>
                <w:szCs w:val="22"/>
                <w:lang w:val="en-NZ" w:eastAsia="en-US"/>
              </w:rPr>
            </w:pPr>
            <w:r>
              <w:rPr>
                <w:rFonts w:eastAsia="Calibri" w:cs="Arial"/>
                <w:sz w:val="20"/>
                <w:szCs w:val="22"/>
                <w:lang w:val="en-NZ" w:eastAsia="en-US"/>
              </w:rPr>
              <w:t>Some additional compliance costs for industries subject to information requests.</w:t>
            </w:r>
          </w:p>
          <w:p w:rsidR="00495157" w:rsidRDefault="00495157" w:rsidP="00471AA4">
            <w:pPr>
              <w:spacing w:after="0" w:line="240" w:lineRule="auto"/>
              <w:rPr>
                <w:rFonts w:eastAsia="Calibri" w:cs="Arial"/>
                <w:sz w:val="20"/>
                <w:szCs w:val="22"/>
                <w:lang w:val="en-NZ" w:eastAsia="en-US"/>
              </w:rPr>
            </w:pPr>
          </w:p>
          <w:p w:rsidR="00495157" w:rsidRDefault="00495157" w:rsidP="00B66942">
            <w:pPr>
              <w:numPr>
                <w:ilvl w:val="0"/>
                <w:numId w:val="39"/>
              </w:numPr>
              <w:spacing w:after="0" w:line="240" w:lineRule="auto"/>
              <w:ind w:left="360"/>
              <w:rPr>
                <w:rFonts w:eastAsia="Calibri" w:cs="Arial"/>
                <w:sz w:val="20"/>
                <w:szCs w:val="22"/>
                <w:lang w:val="en-NZ" w:eastAsia="en-US"/>
              </w:rPr>
            </w:pPr>
            <w:r>
              <w:rPr>
                <w:rFonts w:eastAsia="Calibri" w:cs="Arial"/>
                <w:sz w:val="20"/>
                <w:szCs w:val="22"/>
                <w:lang w:val="en-NZ" w:eastAsia="en-US"/>
              </w:rPr>
              <w:t>Increased voluntary compliance.</w:t>
            </w:r>
          </w:p>
          <w:p w:rsidR="00495157" w:rsidRDefault="00495157" w:rsidP="00471AA4">
            <w:pPr>
              <w:spacing w:after="0" w:line="240" w:lineRule="auto"/>
              <w:rPr>
                <w:rFonts w:eastAsia="Calibri" w:cs="Arial"/>
                <w:sz w:val="20"/>
                <w:szCs w:val="22"/>
                <w:lang w:val="en-NZ" w:eastAsia="en-US"/>
              </w:rPr>
            </w:pPr>
          </w:p>
          <w:p w:rsidR="00495157" w:rsidRDefault="00495157" w:rsidP="00B66942">
            <w:pPr>
              <w:numPr>
                <w:ilvl w:val="0"/>
                <w:numId w:val="39"/>
              </w:numPr>
              <w:spacing w:after="0" w:line="240" w:lineRule="auto"/>
              <w:ind w:left="360"/>
              <w:rPr>
                <w:rFonts w:eastAsia="Calibri" w:cs="Arial"/>
                <w:sz w:val="20"/>
                <w:szCs w:val="22"/>
                <w:lang w:val="en-NZ" w:eastAsia="en-US"/>
              </w:rPr>
            </w:pPr>
            <w:r>
              <w:rPr>
                <w:rFonts w:eastAsia="Calibri" w:cs="Arial"/>
                <w:sz w:val="20"/>
                <w:szCs w:val="22"/>
                <w:lang w:val="en-NZ" w:eastAsia="en-US"/>
              </w:rPr>
              <w:t xml:space="preserve">Possible increase in costs to Crown </w:t>
            </w:r>
            <w:r w:rsidR="003D08DD">
              <w:rPr>
                <w:rFonts w:eastAsia="Calibri" w:cs="Arial"/>
                <w:sz w:val="20"/>
                <w:szCs w:val="22"/>
                <w:lang w:val="en-NZ" w:eastAsia="en-US"/>
              </w:rPr>
              <w:t xml:space="preserve">if </w:t>
            </w:r>
            <w:r>
              <w:rPr>
                <w:rFonts w:eastAsia="Calibri" w:cs="Arial"/>
                <w:sz w:val="20"/>
                <w:szCs w:val="22"/>
                <w:lang w:val="en-NZ" w:eastAsia="en-US"/>
              </w:rPr>
              <w:t>monitoring separately funded as public good.</w:t>
            </w:r>
          </w:p>
          <w:p w:rsidR="00B14682" w:rsidRPr="003A3E2B" w:rsidRDefault="00B14682" w:rsidP="003A3E2B">
            <w:pPr>
              <w:spacing w:after="0" w:line="240" w:lineRule="auto"/>
              <w:rPr>
                <w:rFonts w:eastAsia="Calibri" w:cs="Arial"/>
                <w:sz w:val="20"/>
                <w:szCs w:val="22"/>
                <w:lang w:val="en-NZ" w:eastAsia="en-US"/>
              </w:rPr>
            </w:pPr>
          </w:p>
        </w:tc>
      </w:tr>
      <w:tr w:rsidR="00B14682" w:rsidRPr="003A3E2B" w:rsidTr="00471AA4">
        <w:tc>
          <w:tcPr>
            <w:tcW w:w="1526" w:type="dxa"/>
            <w:shd w:val="clear" w:color="auto" w:fill="auto"/>
          </w:tcPr>
          <w:p w:rsidR="009B0C27" w:rsidRDefault="00B14682"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Option 1a – </w:t>
            </w:r>
          </w:p>
          <w:p w:rsidR="009B0C27" w:rsidRDefault="009B0C27" w:rsidP="003A3E2B">
            <w:pPr>
              <w:spacing w:after="0" w:line="240" w:lineRule="auto"/>
              <w:rPr>
                <w:rFonts w:eastAsia="Calibri" w:cs="Arial"/>
                <w:sz w:val="20"/>
                <w:szCs w:val="22"/>
                <w:lang w:val="en-NZ" w:eastAsia="en-US"/>
              </w:rPr>
            </w:pPr>
          </w:p>
          <w:p w:rsidR="00B14682" w:rsidRPr="003A3E2B" w:rsidRDefault="00B14682"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Focus on s</w:t>
            </w:r>
            <w:r w:rsidR="000872DF">
              <w:rPr>
                <w:rFonts w:eastAsia="Calibri" w:cs="Arial"/>
                <w:sz w:val="20"/>
                <w:szCs w:val="22"/>
                <w:lang w:val="en-NZ" w:eastAsia="en-US"/>
              </w:rPr>
              <w:t xml:space="preserve">elected </w:t>
            </w:r>
            <w:r w:rsidRPr="003A3E2B">
              <w:rPr>
                <w:rFonts w:eastAsia="Calibri" w:cs="Arial"/>
                <w:sz w:val="20"/>
                <w:szCs w:val="22"/>
                <w:lang w:val="en-NZ" w:eastAsia="en-US"/>
              </w:rPr>
              <w:t xml:space="preserve"> areas only</w:t>
            </w:r>
          </w:p>
          <w:p w:rsidR="00B14682" w:rsidRPr="003A3E2B" w:rsidRDefault="00B14682" w:rsidP="003A3E2B">
            <w:pPr>
              <w:spacing w:after="0" w:line="240" w:lineRule="auto"/>
              <w:rPr>
                <w:rFonts w:eastAsia="Calibri" w:cs="Arial"/>
                <w:sz w:val="20"/>
                <w:szCs w:val="22"/>
                <w:lang w:val="en-NZ" w:eastAsia="en-US"/>
              </w:rPr>
            </w:pPr>
          </w:p>
          <w:p w:rsidR="00B14682" w:rsidRPr="003A3E2B" w:rsidRDefault="00B14682" w:rsidP="003A3E2B">
            <w:pPr>
              <w:spacing w:after="0" w:line="240" w:lineRule="auto"/>
              <w:rPr>
                <w:rFonts w:eastAsia="Calibri" w:cs="Arial"/>
                <w:sz w:val="20"/>
                <w:szCs w:val="22"/>
                <w:lang w:val="en-NZ" w:eastAsia="en-US"/>
              </w:rPr>
            </w:pPr>
          </w:p>
        </w:tc>
        <w:tc>
          <w:tcPr>
            <w:tcW w:w="2977" w:type="dxa"/>
            <w:shd w:val="clear" w:color="auto" w:fill="auto"/>
          </w:tcPr>
          <w:p w:rsidR="00B14682" w:rsidRPr="003A3E2B" w:rsidRDefault="00B14682"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As for option 1 above – plus:</w:t>
            </w:r>
          </w:p>
          <w:p w:rsidR="009B0C27" w:rsidRDefault="009B0C27" w:rsidP="00471AA4">
            <w:pPr>
              <w:spacing w:after="0" w:line="240" w:lineRule="auto"/>
              <w:rPr>
                <w:rFonts w:eastAsia="Calibri" w:cs="Arial"/>
                <w:sz w:val="20"/>
                <w:szCs w:val="22"/>
                <w:lang w:val="en-NZ" w:eastAsia="en-US"/>
              </w:rPr>
            </w:pPr>
          </w:p>
          <w:p w:rsidR="00B14682" w:rsidRPr="003A3E2B" w:rsidRDefault="00B14682"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Regulator highly selective in the areas monitored.</w:t>
            </w:r>
          </w:p>
          <w:p w:rsidR="009B0C27" w:rsidRDefault="009B0C27" w:rsidP="00471AA4">
            <w:pPr>
              <w:spacing w:after="0" w:line="240" w:lineRule="auto"/>
              <w:rPr>
                <w:rFonts w:eastAsia="Calibri" w:cs="Arial"/>
                <w:sz w:val="20"/>
                <w:szCs w:val="22"/>
                <w:lang w:val="en-NZ" w:eastAsia="en-US"/>
              </w:rPr>
            </w:pPr>
          </w:p>
          <w:p w:rsidR="00B14682" w:rsidRPr="003A3E2B" w:rsidRDefault="00B14682"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Prioritising attention and resources to particular areas only (</w:t>
            </w:r>
            <w:proofErr w:type="spellStart"/>
            <w:r w:rsidRPr="003A3E2B">
              <w:rPr>
                <w:rFonts w:eastAsia="Calibri" w:cs="Arial"/>
                <w:sz w:val="20"/>
                <w:szCs w:val="22"/>
                <w:lang w:val="en-NZ" w:eastAsia="en-US"/>
              </w:rPr>
              <w:t>eg</w:t>
            </w:r>
            <w:proofErr w:type="spellEnd"/>
            <w:r w:rsidRPr="003A3E2B">
              <w:rPr>
                <w:rFonts w:eastAsia="Calibri" w:cs="Arial"/>
                <w:sz w:val="20"/>
                <w:szCs w:val="22"/>
                <w:lang w:val="en-NZ" w:eastAsia="en-US"/>
              </w:rPr>
              <w:t>, areas judged to be higher risk).</w:t>
            </w:r>
          </w:p>
          <w:p w:rsidR="00B14682" w:rsidRDefault="00B14682" w:rsidP="003A3E2B">
            <w:pPr>
              <w:spacing w:after="0" w:line="240" w:lineRule="auto"/>
              <w:rPr>
                <w:rFonts w:eastAsia="Calibri" w:cs="Arial"/>
                <w:sz w:val="20"/>
                <w:szCs w:val="22"/>
                <w:lang w:val="en-NZ" w:eastAsia="en-US"/>
              </w:rPr>
            </w:pPr>
          </w:p>
        </w:tc>
        <w:tc>
          <w:tcPr>
            <w:tcW w:w="4513" w:type="dxa"/>
            <w:shd w:val="clear" w:color="auto" w:fill="auto"/>
          </w:tcPr>
          <w:p w:rsidR="00B14682" w:rsidRDefault="00495157" w:rsidP="003D08DD">
            <w:pPr>
              <w:spacing w:after="0" w:line="240" w:lineRule="auto"/>
              <w:rPr>
                <w:rFonts w:eastAsia="Calibri" w:cs="Arial"/>
                <w:sz w:val="20"/>
                <w:szCs w:val="22"/>
                <w:lang w:val="en-NZ" w:eastAsia="en-US"/>
              </w:rPr>
            </w:pPr>
            <w:r>
              <w:rPr>
                <w:rFonts w:eastAsia="Calibri" w:cs="Arial"/>
                <w:sz w:val="20"/>
                <w:szCs w:val="22"/>
                <w:lang w:val="en-NZ" w:eastAsia="en-US"/>
              </w:rPr>
              <w:t>Impacts as for option 1 above – plus:</w:t>
            </w:r>
          </w:p>
          <w:p w:rsidR="00B14682" w:rsidRDefault="00B14682" w:rsidP="00471AA4">
            <w:pPr>
              <w:spacing w:after="0" w:line="240" w:lineRule="auto"/>
              <w:rPr>
                <w:rFonts w:eastAsia="Calibri" w:cs="Arial"/>
                <w:sz w:val="20"/>
                <w:szCs w:val="22"/>
                <w:lang w:val="en-NZ" w:eastAsia="en-US"/>
              </w:rPr>
            </w:pPr>
          </w:p>
          <w:p w:rsidR="00B14682" w:rsidRDefault="00495157" w:rsidP="00B66942">
            <w:pPr>
              <w:numPr>
                <w:ilvl w:val="0"/>
                <w:numId w:val="40"/>
              </w:numPr>
              <w:spacing w:after="0" w:line="240" w:lineRule="auto"/>
              <w:ind w:left="360"/>
              <w:rPr>
                <w:rFonts w:eastAsia="Calibri" w:cs="Arial"/>
                <w:sz w:val="20"/>
                <w:szCs w:val="22"/>
                <w:lang w:val="en-NZ" w:eastAsia="en-US"/>
              </w:rPr>
            </w:pPr>
            <w:r>
              <w:rPr>
                <w:rFonts w:eastAsia="Calibri" w:cs="Arial"/>
                <w:sz w:val="20"/>
                <w:szCs w:val="22"/>
                <w:lang w:val="en-NZ" w:eastAsia="en-US"/>
              </w:rPr>
              <w:t>Potential for more effective risk management in areas more intensively monitored.</w:t>
            </w:r>
          </w:p>
          <w:p w:rsidR="00495157" w:rsidRDefault="00495157" w:rsidP="00471AA4">
            <w:pPr>
              <w:spacing w:after="0" w:line="240" w:lineRule="auto"/>
              <w:rPr>
                <w:rFonts w:eastAsia="Calibri" w:cs="Arial"/>
                <w:sz w:val="20"/>
                <w:szCs w:val="22"/>
                <w:lang w:val="en-NZ" w:eastAsia="en-US"/>
              </w:rPr>
            </w:pPr>
          </w:p>
          <w:p w:rsidR="00495157" w:rsidRPr="003A3E2B" w:rsidRDefault="00495157" w:rsidP="00B66942">
            <w:pPr>
              <w:numPr>
                <w:ilvl w:val="0"/>
                <w:numId w:val="40"/>
              </w:numPr>
              <w:spacing w:after="0" w:line="240" w:lineRule="auto"/>
              <w:ind w:left="360"/>
              <w:rPr>
                <w:rFonts w:eastAsia="Calibri" w:cs="Arial"/>
                <w:sz w:val="20"/>
                <w:szCs w:val="22"/>
                <w:lang w:val="en-NZ" w:eastAsia="en-US"/>
              </w:rPr>
            </w:pPr>
            <w:r>
              <w:rPr>
                <w:rFonts w:eastAsia="Calibri" w:cs="Arial"/>
                <w:sz w:val="20"/>
                <w:szCs w:val="22"/>
                <w:lang w:val="en-NZ" w:eastAsia="en-US"/>
              </w:rPr>
              <w:t>Potential for adverse events in areas not monitored even though judged to be low risk.</w:t>
            </w:r>
          </w:p>
        </w:tc>
      </w:tr>
      <w:tr w:rsidR="00B14682" w:rsidRPr="003A3E2B" w:rsidTr="00471AA4">
        <w:tc>
          <w:tcPr>
            <w:tcW w:w="1526" w:type="dxa"/>
            <w:shd w:val="clear" w:color="auto" w:fill="auto"/>
          </w:tcPr>
          <w:p w:rsidR="009B0C27" w:rsidRDefault="00B14682"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Option 1b – </w:t>
            </w:r>
          </w:p>
          <w:p w:rsidR="009B0C27" w:rsidRDefault="009B0C27" w:rsidP="003A3E2B">
            <w:pPr>
              <w:spacing w:after="0" w:line="240" w:lineRule="auto"/>
              <w:rPr>
                <w:rFonts w:eastAsia="Calibri" w:cs="Arial"/>
                <w:sz w:val="20"/>
                <w:szCs w:val="22"/>
                <w:lang w:val="en-NZ" w:eastAsia="en-US"/>
              </w:rPr>
            </w:pPr>
          </w:p>
          <w:p w:rsidR="00B14682" w:rsidRPr="003A3E2B" w:rsidRDefault="00B14682"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Reduced focus on monitoring in favour of public health rapid response</w:t>
            </w:r>
          </w:p>
          <w:p w:rsidR="00B14682" w:rsidRPr="003A3E2B" w:rsidRDefault="00B14682" w:rsidP="003A3E2B">
            <w:pPr>
              <w:spacing w:after="0" w:line="240" w:lineRule="auto"/>
              <w:rPr>
                <w:rFonts w:eastAsia="Calibri" w:cs="Arial"/>
                <w:sz w:val="20"/>
                <w:szCs w:val="22"/>
                <w:lang w:val="en-NZ" w:eastAsia="en-US"/>
              </w:rPr>
            </w:pPr>
          </w:p>
        </w:tc>
        <w:tc>
          <w:tcPr>
            <w:tcW w:w="2977" w:type="dxa"/>
            <w:shd w:val="clear" w:color="auto" w:fill="auto"/>
          </w:tcPr>
          <w:p w:rsidR="00B14682" w:rsidRPr="003A3E2B" w:rsidRDefault="00B14682"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As for option 1 above – plus:</w:t>
            </w:r>
          </w:p>
          <w:p w:rsidR="009B0C27" w:rsidRDefault="009B0C27" w:rsidP="00471AA4">
            <w:pPr>
              <w:spacing w:after="0" w:line="240" w:lineRule="auto"/>
              <w:rPr>
                <w:rFonts w:eastAsia="Calibri" w:cs="Arial"/>
                <w:sz w:val="20"/>
                <w:szCs w:val="22"/>
                <w:lang w:val="en-NZ" w:eastAsia="en-US"/>
              </w:rPr>
            </w:pPr>
          </w:p>
          <w:p w:rsidR="00B14682" w:rsidRPr="003A3E2B" w:rsidRDefault="00B14682"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Regulator less proactive in monitoring, focusing on pre-market regulatory activities.</w:t>
            </w:r>
          </w:p>
          <w:p w:rsidR="009B0C27" w:rsidRDefault="009B0C27" w:rsidP="00471AA4">
            <w:pPr>
              <w:spacing w:after="0" w:line="240" w:lineRule="auto"/>
              <w:rPr>
                <w:rFonts w:eastAsia="Calibri" w:cs="Arial"/>
                <w:sz w:val="20"/>
                <w:szCs w:val="22"/>
                <w:lang w:val="en-NZ" w:eastAsia="en-US"/>
              </w:rPr>
            </w:pPr>
          </w:p>
          <w:p w:rsidR="00B14682" w:rsidRPr="003A3E2B" w:rsidRDefault="00B14682"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Objective to minimise post-market problems, and </w:t>
            </w:r>
            <w:r w:rsidR="00EA16BA">
              <w:rPr>
                <w:rFonts w:eastAsia="Calibri" w:cs="Arial"/>
                <w:sz w:val="20"/>
                <w:szCs w:val="22"/>
                <w:lang w:val="en-NZ" w:eastAsia="en-US"/>
              </w:rPr>
              <w:t xml:space="preserve">develop </w:t>
            </w:r>
            <w:r w:rsidRPr="003A3E2B">
              <w:rPr>
                <w:rFonts w:eastAsia="Calibri" w:cs="Arial"/>
                <w:sz w:val="20"/>
                <w:szCs w:val="22"/>
                <w:lang w:val="en-NZ" w:eastAsia="en-US"/>
              </w:rPr>
              <w:t>a capability enabl</w:t>
            </w:r>
            <w:r w:rsidR="00EA16BA">
              <w:rPr>
                <w:rFonts w:eastAsia="Calibri" w:cs="Arial"/>
                <w:sz w:val="20"/>
                <w:szCs w:val="22"/>
                <w:lang w:val="en-NZ" w:eastAsia="en-US"/>
              </w:rPr>
              <w:t xml:space="preserve">ing a </w:t>
            </w:r>
            <w:r w:rsidRPr="003A3E2B">
              <w:rPr>
                <w:rFonts w:eastAsia="Calibri" w:cs="Arial"/>
                <w:sz w:val="20"/>
                <w:szCs w:val="22"/>
                <w:lang w:val="en-NZ" w:eastAsia="en-US"/>
              </w:rPr>
              <w:t>robust response to any post-market issues that emerge.</w:t>
            </w:r>
          </w:p>
          <w:p w:rsidR="00B14682" w:rsidRDefault="00B14682" w:rsidP="003A3E2B">
            <w:pPr>
              <w:spacing w:after="0" w:line="240" w:lineRule="auto"/>
              <w:rPr>
                <w:rFonts w:eastAsia="Calibri" w:cs="Arial"/>
                <w:sz w:val="20"/>
                <w:szCs w:val="22"/>
                <w:lang w:val="en-NZ" w:eastAsia="en-US"/>
              </w:rPr>
            </w:pPr>
          </w:p>
        </w:tc>
        <w:tc>
          <w:tcPr>
            <w:tcW w:w="4513" w:type="dxa"/>
            <w:shd w:val="clear" w:color="auto" w:fill="auto"/>
          </w:tcPr>
          <w:p w:rsidR="00B14682" w:rsidRDefault="00C62765" w:rsidP="00B66942">
            <w:pPr>
              <w:numPr>
                <w:ilvl w:val="0"/>
                <w:numId w:val="47"/>
              </w:numPr>
              <w:spacing w:after="0" w:line="240" w:lineRule="auto"/>
              <w:rPr>
                <w:rFonts w:eastAsia="Calibri" w:cs="Arial"/>
                <w:sz w:val="20"/>
                <w:szCs w:val="22"/>
                <w:lang w:val="en-NZ" w:eastAsia="en-US"/>
              </w:rPr>
            </w:pPr>
            <w:r>
              <w:rPr>
                <w:rFonts w:eastAsia="Calibri" w:cs="Arial"/>
                <w:sz w:val="20"/>
                <w:szCs w:val="22"/>
                <w:lang w:val="en-NZ" w:eastAsia="en-US"/>
              </w:rPr>
              <w:t>Reduced compliance costs for industry in responding to regulator requests (</w:t>
            </w:r>
            <w:proofErr w:type="spellStart"/>
            <w:r>
              <w:rPr>
                <w:rFonts w:eastAsia="Calibri" w:cs="Arial"/>
                <w:sz w:val="20"/>
                <w:szCs w:val="22"/>
                <w:lang w:val="en-NZ" w:eastAsia="en-US"/>
              </w:rPr>
              <w:t>eg</w:t>
            </w:r>
            <w:proofErr w:type="spellEnd"/>
            <w:r>
              <w:rPr>
                <w:rFonts w:eastAsia="Calibri" w:cs="Arial"/>
                <w:sz w:val="20"/>
                <w:szCs w:val="22"/>
                <w:lang w:val="en-NZ" w:eastAsia="en-US"/>
              </w:rPr>
              <w:t>, for information).</w:t>
            </w:r>
          </w:p>
          <w:p w:rsidR="00C62765" w:rsidRDefault="00C62765" w:rsidP="003A3E2B">
            <w:pPr>
              <w:spacing w:after="0" w:line="240" w:lineRule="auto"/>
              <w:rPr>
                <w:rFonts w:eastAsia="Calibri" w:cs="Arial"/>
                <w:sz w:val="20"/>
                <w:szCs w:val="22"/>
                <w:lang w:val="en-NZ" w:eastAsia="en-US"/>
              </w:rPr>
            </w:pPr>
          </w:p>
          <w:p w:rsidR="00C62765" w:rsidRDefault="000872DF" w:rsidP="00B66942">
            <w:pPr>
              <w:numPr>
                <w:ilvl w:val="0"/>
                <w:numId w:val="47"/>
              </w:numPr>
              <w:spacing w:after="0" w:line="240" w:lineRule="auto"/>
              <w:rPr>
                <w:rFonts w:eastAsia="Calibri" w:cs="Arial"/>
                <w:sz w:val="20"/>
                <w:szCs w:val="22"/>
                <w:lang w:val="en-NZ" w:eastAsia="en-US"/>
              </w:rPr>
            </w:pPr>
            <w:r>
              <w:rPr>
                <w:rFonts w:eastAsia="Calibri" w:cs="Arial"/>
                <w:sz w:val="20"/>
                <w:szCs w:val="22"/>
                <w:lang w:val="en-NZ" w:eastAsia="en-US"/>
              </w:rPr>
              <w:t>Increased costs where adverse events arise as a result of lack of monitoring and the costs of responding are greater than the costs that would have been incurred in monitoring (and detecting the problem earlier in the piece).</w:t>
            </w:r>
          </w:p>
          <w:p w:rsidR="003D08DD" w:rsidRDefault="003D08DD" w:rsidP="003D08DD">
            <w:pPr>
              <w:spacing w:after="0" w:line="240" w:lineRule="auto"/>
              <w:ind w:left="360"/>
              <w:rPr>
                <w:rFonts w:eastAsia="Calibri" w:cs="Arial"/>
                <w:sz w:val="20"/>
                <w:szCs w:val="22"/>
                <w:lang w:val="en-NZ" w:eastAsia="en-US"/>
              </w:rPr>
            </w:pPr>
          </w:p>
          <w:p w:rsidR="003D08DD" w:rsidRDefault="003D08DD" w:rsidP="00B66942">
            <w:pPr>
              <w:numPr>
                <w:ilvl w:val="0"/>
                <w:numId w:val="47"/>
              </w:numPr>
              <w:spacing w:after="0" w:line="240" w:lineRule="auto"/>
              <w:rPr>
                <w:rFonts w:eastAsia="Calibri" w:cs="Arial"/>
                <w:sz w:val="20"/>
                <w:szCs w:val="22"/>
                <w:lang w:val="en-NZ" w:eastAsia="en-US"/>
              </w:rPr>
            </w:pPr>
            <w:r>
              <w:rPr>
                <w:rFonts w:eastAsia="Calibri" w:cs="Arial"/>
                <w:sz w:val="20"/>
                <w:szCs w:val="22"/>
                <w:lang w:val="en-NZ" w:eastAsia="en-US"/>
              </w:rPr>
              <w:t>(Note, however, it is not possible to know everything about a product at the stage of approval.  Information is often gained only when products are used in real patient populations (this is a particular issue for medical devices).</w:t>
            </w:r>
          </w:p>
          <w:p w:rsidR="000872DF" w:rsidRDefault="000872DF" w:rsidP="000872DF">
            <w:pPr>
              <w:spacing w:after="0" w:line="240" w:lineRule="auto"/>
              <w:ind w:left="360"/>
              <w:rPr>
                <w:rFonts w:eastAsia="Calibri" w:cs="Arial"/>
                <w:sz w:val="20"/>
                <w:szCs w:val="22"/>
                <w:lang w:val="en-NZ" w:eastAsia="en-US"/>
              </w:rPr>
            </w:pPr>
          </w:p>
          <w:p w:rsidR="000872DF" w:rsidRDefault="000872DF" w:rsidP="00B66942">
            <w:pPr>
              <w:numPr>
                <w:ilvl w:val="0"/>
                <w:numId w:val="47"/>
              </w:numPr>
              <w:spacing w:after="0" w:line="240" w:lineRule="auto"/>
              <w:rPr>
                <w:rFonts w:eastAsia="Calibri" w:cs="Arial"/>
                <w:sz w:val="20"/>
                <w:szCs w:val="22"/>
                <w:lang w:val="en-NZ" w:eastAsia="en-US"/>
              </w:rPr>
            </w:pPr>
            <w:r>
              <w:rPr>
                <w:rFonts w:eastAsia="Calibri" w:cs="Arial"/>
                <w:sz w:val="20"/>
                <w:szCs w:val="22"/>
                <w:lang w:val="en-NZ" w:eastAsia="en-US"/>
              </w:rPr>
              <w:t>This option and Option 1b may impact negatively on the goal of “a trusted and respected” regulator.</w:t>
            </w:r>
          </w:p>
          <w:p w:rsidR="000872DF" w:rsidRPr="003A3E2B" w:rsidRDefault="000872DF" w:rsidP="000872DF">
            <w:pPr>
              <w:spacing w:after="0" w:line="240" w:lineRule="auto"/>
              <w:rPr>
                <w:rFonts w:eastAsia="Calibri" w:cs="Arial"/>
                <w:sz w:val="20"/>
                <w:szCs w:val="22"/>
                <w:lang w:val="en-NZ" w:eastAsia="en-US"/>
              </w:rPr>
            </w:pPr>
          </w:p>
        </w:tc>
      </w:tr>
    </w:tbl>
    <w:p w:rsidR="00B74A60" w:rsidRPr="00B74A60" w:rsidRDefault="00B74A60" w:rsidP="00B74A60">
      <w:pPr>
        <w:spacing w:after="0" w:line="240" w:lineRule="auto"/>
        <w:rPr>
          <w:rFonts w:eastAsia="Calibri" w:cs="Arial"/>
          <w:sz w:val="20"/>
          <w:lang w:val="en-NZ" w:eastAsia="en-US"/>
        </w:rPr>
      </w:pPr>
    </w:p>
    <w:p w:rsidR="00B74A60" w:rsidRPr="00B74A60" w:rsidRDefault="00B74A60" w:rsidP="00B74A60">
      <w:pPr>
        <w:spacing w:after="0" w:line="240" w:lineRule="auto"/>
        <w:rPr>
          <w:rFonts w:eastAsia="Calibri" w:cs="Arial"/>
          <w:szCs w:val="22"/>
          <w:lang w:val="en-NZ" w:eastAsia="en-US"/>
        </w:rPr>
      </w:pPr>
    </w:p>
    <w:p w:rsidR="00B74A60" w:rsidRPr="00830E17" w:rsidRDefault="00B74A60" w:rsidP="00830E17">
      <w:pPr>
        <w:pStyle w:val="Heading5"/>
        <w:spacing w:after="240"/>
        <w:rPr>
          <w:rFonts w:eastAsia="Calibri"/>
          <w:b/>
          <w:i w:val="0"/>
          <w:lang w:val="en-NZ" w:eastAsia="en-US"/>
        </w:rPr>
      </w:pPr>
      <w:r w:rsidRPr="00830E17">
        <w:rPr>
          <w:rFonts w:eastAsia="Calibri"/>
          <w:b/>
          <w:i w:val="0"/>
          <w:lang w:val="en-NZ" w:eastAsia="en-US"/>
        </w:rPr>
        <w:t>Issue 13: Enforcement</w:t>
      </w:r>
    </w:p>
    <w:p w:rsidR="00B74A60" w:rsidRPr="005C3898" w:rsidRDefault="00B74A60" w:rsidP="00E440A3">
      <w:pPr>
        <w:pStyle w:val="BodyText"/>
        <w:rPr>
          <w:rFonts w:eastAsia="Calibri"/>
        </w:rPr>
      </w:pPr>
      <w:r w:rsidRPr="005C3898">
        <w:rPr>
          <w:rFonts w:eastAsia="Calibri"/>
        </w:rPr>
        <w:t>This involves a range of regulatory actions in response to the information received and analysed during the monitoring process.</w:t>
      </w:r>
    </w:p>
    <w:p w:rsidR="00B74A60" w:rsidRPr="00B74A60" w:rsidRDefault="00B74A60" w:rsidP="00E440A3">
      <w:pPr>
        <w:pStyle w:val="BodyText"/>
        <w:rPr>
          <w:rFonts w:eastAsia="Calibri"/>
          <w:lang w:val="en-NZ"/>
        </w:rPr>
      </w:pPr>
      <w:r w:rsidRPr="005C3898">
        <w:rPr>
          <w:rFonts w:eastAsia="Calibri"/>
        </w:rPr>
        <w:t>The need for action can arise for different reasons, including negligent non-compliance, or as a result of risks that were latent and could not have been reasonably foreseen or pre-empted</w:t>
      </w:r>
      <w:r w:rsidRPr="00B74A60">
        <w:rPr>
          <w:rFonts w:eastAsia="Calibri"/>
          <w:lang w:val="en-NZ"/>
        </w:rPr>
        <w:t>.</w:t>
      </w:r>
    </w:p>
    <w:p w:rsidR="00B74A60" w:rsidRPr="005C3898" w:rsidRDefault="00B74A60" w:rsidP="00E440A3">
      <w:pPr>
        <w:pStyle w:val="BodyText"/>
        <w:rPr>
          <w:rFonts w:eastAsia="Calibri"/>
        </w:rPr>
      </w:pPr>
      <w:r w:rsidRPr="00B74A60">
        <w:rPr>
          <w:rFonts w:eastAsia="Calibri"/>
          <w:lang w:val="en-NZ"/>
        </w:rPr>
        <w:t xml:space="preserve">It </w:t>
      </w:r>
      <w:r w:rsidRPr="005C3898">
        <w:rPr>
          <w:rFonts w:eastAsia="Calibri"/>
        </w:rPr>
        <w:t>is important for the regulator to have a spectrum of actions available depending on the nature and seriousness of the issue in question.</w:t>
      </w:r>
    </w:p>
    <w:p w:rsidR="00B74A60" w:rsidRPr="005C3898" w:rsidRDefault="00B74A60" w:rsidP="00E440A3">
      <w:pPr>
        <w:pStyle w:val="BodyText"/>
        <w:rPr>
          <w:rFonts w:eastAsia="Calibri"/>
        </w:rPr>
      </w:pPr>
      <w:r w:rsidRPr="005C3898">
        <w:rPr>
          <w:rFonts w:eastAsia="Calibri"/>
        </w:rPr>
        <w:t>In general, the objectives are for the regulator to:</w:t>
      </w:r>
    </w:p>
    <w:p w:rsidR="00B74A60" w:rsidRPr="00B74A60" w:rsidRDefault="00B74A60" w:rsidP="00E440A3">
      <w:pPr>
        <w:pStyle w:val="BodyText2"/>
        <w:rPr>
          <w:rFonts w:eastAsia="Calibri"/>
          <w:lang w:val="en-NZ" w:eastAsia="en-US"/>
        </w:rPr>
      </w:pPr>
      <w:r w:rsidRPr="00B74A60">
        <w:rPr>
          <w:rFonts w:eastAsia="Calibri"/>
          <w:lang w:val="en-NZ" w:eastAsia="en-US"/>
        </w:rPr>
        <w:t>create an envi</w:t>
      </w:r>
      <w:r w:rsidR="000F6B64">
        <w:rPr>
          <w:rFonts w:eastAsia="Calibri"/>
          <w:lang w:val="en-NZ" w:eastAsia="en-US"/>
        </w:rPr>
        <w:t>ronment of voluntary compliance</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take</w:t>
      </w:r>
      <w:proofErr w:type="gramEnd"/>
      <w:r w:rsidRPr="00B74A60">
        <w:rPr>
          <w:rFonts w:eastAsia="Calibri"/>
          <w:lang w:val="en-NZ" w:eastAsia="en-US"/>
        </w:rPr>
        <w:t xml:space="preserve"> appropriate action as necessary (the consequences of which support voluntary compliance in future).</w:t>
      </w:r>
    </w:p>
    <w:p w:rsidR="00B74A60" w:rsidRPr="00B74A60" w:rsidRDefault="00B74A60" w:rsidP="00E440A3">
      <w:pPr>
        <w:pStyle w:val="BodyText"/>
        <w:rPr>
          <w:rFonts w:eastAsia="Calibri"/>
        </w:rPr>
      </w:pPr>
      <w:r w:rsidRPr="005C3898">
        <w:rPr>
          <w:rFonts w:eastAsia="Calibri"/>
        </w:rPr>
        <w:t>Sustainable</w:t>
      </w:r>
      <w:r w:rsidRPr="00B74A60">
        <w:rPr>
          <w:rFonts w:eastAsia="Calibri"/>
        </w:rPr>
        <w:t>, long-term voluntary compliance, however, requires industry to appreciate, as a result of the regulator’s monitoring and enforcement activities:</w:t>
      </w:r>
    </w:p>
    <w:p w:rsidR="00B74A60" w:rsidRPr="00B74A60" w:rsidRDefault="00B74A60" w:rsidP="00E440A3">
      <w:pPr>
        <w:pStyle w:val="BodyText2"/>
        <w:rPr>
          <w:rFonts w:eastAsia="Calibri"/>
          <w:lang w:val="en-NZ" w:eastAsia="en-US"/>
        </w:rPr>
      </w:pPr>
      <w:r w:rsidRPr="00B74A60">
        <w:rPr>
          <w:rFonts w:eastAsia="Calibri"/>
          <w:lang w:val="en-NZ" w:eastAsia="en-US"/>
        </w:rPr>
        <w:t>that non-compliance will be detected and acted upon (even in relation t</w:t>
      </w:r>
      <w:r w:rsidR="000F6B64">
        <w:rPr>
          <w:rFonts w:eastAsia="Calibri"/>
          <w:lang w:val="en-NZ" w:eastAsia="en-US"/>
        </w:rPr>
        <w:t>o small issues on occasion)</w:t>
      </w:r>
    </w:p>
    <w:p w:rsidR="00B74A60" w:rsidRPr="00B74A60" w:rsidRDefault="00B74A60" w:rsidP="00E440A3">
      <w:pPr>
        <w:pStyle w:val="BodyText2"/>
        <w:rPr>
          <w:rFonts w:eastAsia="Calibri"/>
          <w:lang w:val="en-NZ" w:eastAsia="en-US"/>
        </w:rPr>
      </w:pPr>
      <w:proofErr w:type="gramStart"/>
      <w:r w:rsidRPr="00B74A60">
        <w:rPr>
          <w:rFonts w:eastAsia="Calibri"/>
          <w:lang w:val="en-NZ" w:eastAsia="en-US"/>
        </w:rPr>
        <w:t>that</w:t>
      </w:r>
      <w:proofErr w:type="gramEnd"/>
      <w:r w:rsidRPr="00B74A60">
        <w:rPr>
          <w:rFonts w:eastAsia="Calibri"/>
          <w:lang w:val="en-NZ" w:eastAsia="en-US"/>
        </w:rPr>
        <w:t xml:space="preserve"> compliance and strong safety management is the most cost-effective strategy overall. </w:t>
      </w:r>
    </w:p>
    <w:p w:rsidR="00B74A60" w:rsidRPr="00B74A60" w:rsidRDefault="00B74A60" w:rsidP="00E440A3">
      <w:pPr>
        <w:pStyle w:val="BodyText"/>
        <w:rPr>
          <w:rFonts w:eastAsia="Calibri"/>
        </w:rPr>
      </w:pPr>
      <w:r w:rsidRPr="005C3898">
        <w:rPr>
          <w:rFonts w:eastAsia="Calibri"/>
        </w:rPr>
        <w:t>Examples</w:t>
      </w:r>
      <w:r w:rsidRPr="00B74A60">
        <w:rPr>
          <w:rFonts w:eastAsia="Calibri"/>
        </w:rPr>
        <w:t xml:space="preserve"> of regulatory action along the spectrum of increasing seriousness include:</w:t>
      </w:r>
    </w:p>
    <w:p w:rsidR="00B74A60" w:rsidRPr="00B74A60" w:rsidRDefault="000F6B64" w:rsidP="000F6B64">
      <w:pPr>
        <w:pStyle w:val="BodyText2"/>
        <w:spacing w:after="0"/>
        <w:rPr>
          <w:rFonts w:eastAsia="Calibri"/>
          <w:lang w:val="en-NZ" w:eastAsia="en-US"/>
        </w:rPr>
      </w:pPr>
      <w:r>
        <w:rPr>
          <w:rFonts w:eastAsia="Calibri"/>
          <w:lang w:val="en-NZ" w:eastAsia="en-US"/>
        </w:rPr>
        <w:t>r</w:t>
      </w:r>
      <w:r w:rsidR="00B74A60" w:rsidRPr="00B74A60">
        <w:rPr>
          <w:rFonts w:eastAsia="Calibri"/>
          <w:lang w:val="en-NZ" w:eastAsia="en-US"/>
        </w:rPr>
        <w:t>equests for additional information</w:t>
      </w:r>
    </w:p>
    <w:p w:rsidR="00B74A60" w:rsidRPr="00B74A60" w:rsidRDefault="00B74A60" w:rsidP="000F6B64">
      <w:pPr>
        <w:pStyle w:val="BodyText2"/>
        <w:spacing w:after="0"/>
        <w:rPr>
          <w:rFonts w:eastAsia="Calibri"/>
          <w:lang w:val="en-NZ" w:eastAsia="en-US"/>
        </w:rPr>
      </w:pPr>
      <w:r w:rsidRPr="00B74A60">
        <w:rPr>
          <w:rFonts w:eastAsia="Calibri"/>
          <w:lang w:val="en-NZ" w:eastAsia="en-US"/>
        </w:rPr>
        <w:t>“</w:t>
      </w:r>
      <w:r w:rsidR="000F6B64">
        <w:rPr>
          <w:rFonts w:eastAsia="Calibri"/>
          <w:lang w:val="en-NZ" w:eastAsia="en-US"/>
        </w:rPr>
        <w:t>p</w:t>
      </w:r>
      <w:r w:rsidRPr="00B74A60">
        <w:rPr>
          <w:rFonts w:eastAsia="Calibri"/>
          <w:lang w:val="en-NZ" w:eastAsia="en-US"/>
        </w:rPr>
        <w:t>lease explain” letters</w:t>
      </w:r>
    </w:p>
    <w:p w:rsidR="00B74A60" w:rsidRPr="00B74A60" w:rsidRDefault="000F6B64" w:rsidP="000F6B64">
      <w:pPr>
        <w:pStyle w:val="BodyText2"/>
        <w:spacing w:after="0"/>
        <w:rPr>
          <w:rFonts w:eastAsia="Calibri"/>
          <w:lang w:val="en-NZ" w:eastAsia="en-US"/>
        </w:rPr>
      </w:pPr>
      <w:r>
        <w:rPr>
          <w:rFonts w:eastAsia="Calibri"/>
          <w:lang w:val="en-NZ" w:eastAsia="en-US"/>
        </w:rPr>
        <w:t>a</w:t>
      </w:r>
      <w:r w:rsidR="00B74A60" w:rsidRPr="00B74A60">
        <w:rPr>
          <w:rFonts w:eastAsia="Calibri"/>
          <w:lang w:val="en-NZ" w:eastAsia="en-US"/>
        </w:rPr>
        <w:t>dvisories</w:t>
      </w:r>
    </w:p>
    <w:p w:rsidR="00B74A60" w:rsidRPr="00B74A60" w:rsidRDefault="000F6B64" w:rsidP="000F6B64">
      <w:pPr>
        <w:pStyle w:val="BodyText2"/>
        <w:spacing w:after="0"/>
        <w:rPr>
          <w:rFonts w:eastAsia="Calibri"/>
          <w:lang w:val="en-NZ" w:eastAsia="en-US"/>
        </w:rPr>
      </w:pPr>
      <w:r>
        <w:rPr>
          <w:rFonts w:eastAsia="Calibri"/>
          <w:lang w:val="en-NZ" w:eastAsia="en-US"/>
        </w:rPr>
        <w:t>w</w:t>
      </w:r>
      <w:r w:rsidR="00B74A60" w:rsidRPr="00B74A60">
        <w:rPr>
          <w:rFonts w:eastAsia="Calibri"/>
          <w:lang w:val="en-NZ" w:eastAsia="en-US"/>
        </w:rPr>
        <w:t>arnings</w:t>
      </w:r>
    </w:p>
    <w:p w:rsidR="00B74A60" w:rsidRDefault="000F6B64" w:rsidP="000F6B64">
      <w:pPr>
        <w:pStyle w:val="BodyText2"/>
        <w:spacing w:after="0"/>
        <w:rPr>
          <w:rFonts w:eastAsia="Calibri"/>
          <w:lang w:val="en-NZ" w:eastAsia="en-US"/>
        </w:rPr>
      </w:pPr>
      <w:r>
        <w:rPr>
          <w:rFonts w:eastAsia="Calibri"/>
          <w:lang w:val="en-NZ" w:eastAsia="en-US"/>
        </w:rPr>
        <w:t>p</w:t>
      </w:r>
      <w:r w:rsidR="00B74A60" w:rsidRPr="00B74A60">
        <w:rPr>
          <w:rFonts w:eastAsia="Calibri"/>
          <w:lang w:val="en-NZ" w:eastAsia="en-US"/>
        </w:rPr>
        <w:t>roduct recalls / withdrawals / bans</w:t>
      </w:r>
    </w:p>
    <w:p w:rsidR="00BD3018" w:rsidRPr="00B74A60" w:rsidRDefault="000F6B64" w:rsidP="000F6B64">
      <w:pPr>
        <w:pStyle w:val="BodyText2"/>
        <w:spacing w:after="0"/>
        <w:rPr>
          <w:rFonts w:eastAsia="Calibri"/>
          <w:lang w:val="en-NZ" w:eastAsia="en-US"/>
        </w:rPr>
      </w:pPr>
      <w:r>
        <w:rPr>
          <w:rFonts w:eastAsia="Calibri"/>
          <w:lang w:val="en-NZ" w:eastAsia="en-US"/>
        </w:rPr>
        <w:t>i</w:t>
      </w:r>
      <w:r w:rsidR="00BD3018">
        <w:rPr>
          <w:rFonts w:eastAsia="Calibri"/>
          <w:lang w:val="en-NZ" w:eastAsia="en-US"/>
        </w:rPr>
        <w:t>mposition of extra conditions on licences (usually to limit activities)</w:t>
      </w:r>
    </w:p>
    <w:p w:rsidR="00B74A60" w:rsidRPr="00B74A60" w:rsidRDefault="000F6B64" w:rsidP="000F6B64">
      <w:pPr>
        <w:pStyle w:val="BodyText2"/>
        <w:spacing w:after="0"/>
        <w:rPr>
          <w:rFonts w:eastAsia="Calibri"/>
          <w:lang w:val="en-NZ" w:eastAsia="en-US"/>
        </w:rPr>
      </w:pPr>
      <w:r>
        <w:rPr>
          <w:rFonts w:eastAsia="Calibri"/>
          <w:lang w:val="en-NZ" w:eastAsia="en-US"/>
        </w:rPr>
        <w:t>f</w:t>
      </w:r>
      <w:r w:rsidR="00B74A60" w:rsidRPr="00B74A60">
        <w:rPr>
          <w:rFonts w:eastAsia="Calibri"/>
          <w:lang w:val="en-NZ" w:eastAsia="en-US"/>
        </w:rPr>
        <w:t xml:space="preserve">ines </w:t>
      </w:r>
    </w:p>
    <w:p w:rsidR="00B74A60" w:rsidRDefault="000F6B64" w:rsidP="000F6B64">
      <w:pPr>
        <w:pStyle w:val="BodyText2"/>
        <w:spacing w:after="0"/>
        <w:rPr>
          <w:rFonts w:eastAsia="Calibri"/>
          <w:lang w:val="en-NZ" w:eastAsia="en-US"/>
        </w:rPr>
      </w:pPr>
      <w:proofErr w:type="gramStart"/>
      <w:r>
        <w:rPr>
          <w:rFonts w:eastAsia="Calibri"/>
          <w:lang w:val="en-NZ" w:eastAsia="en-US"/>
        </w:rPr>
        <w:t>p</w:t>
      </w:r>
      <w:r w:rsidR="00B74A60" w:rsidRPr="00B74A60">
        <w:rPr>
          <w:rFonts w:eastAsia="Calibri"/>
          <w:lang w:val="en-NZ" w:eastAsia="en-US"/>
        </w:rPr>
        <w:t>rosecutions</w:t>
      </w:r>
      <w:proofErr w:type="gramEnd"/>
      <w:r>
        <w:rPr>
          <w:rFonts w:eastAsia="Calibri"/>
          <w:lang w:val="en-NZ" w:eastAsia="en-US"/>
        </w:rPr>
        <w:t>.</w:t>
      </w:r>
    </w:p>
    <w:p w:rsidR="000F6B64" w:rsidRPr="00B74A60" w:rsidRDefault="000F6B64" w:rsidP="000F6B64">
      <w:pPr>
        <w:pStyle w:val="BodyText2"/>
        <w:numPr>
          <w:ilvl w:val="0"/>
          <w:numId w:val="0"/>
        </w:numPr>
        <w:spacing w:after="0"/>
        <w:ind w:left="1134"/>
        <w:rPr>
          <w:rFonts w:eastAsia="Calibri"/>
          <w:lang w:val="en-NZ" w:eastAsia="en-US"/>
        </w:rPr>
      </w:pPr>
    </w:p>
    <w:p w:rsidR="00F85869" w:rsidRPr="00B74A60" w:rsidRDefault="00D61A70" w:rsidP="00E440A3">
      <w:pPr>
        <w:pStyle w:val="BodyText"/>
        <w:rPr>
          <w:rFonts w:eastAsia="Calibri"/>
        </w:rPr>
      </w:pPr>
      <w:r w:rsidRPr="005C3898">
        <w:rPr>
          <w:rFonts w:eastAsia="Calibri"/>
        </w:rPr>
        <w:t>Offences</w:t>
      </w:r>
      <w:r>
        <w:rPr>
          <w:rFonts w:eastAsia="Calibri"/>
        </w:rPr>
        <w:t xml:space="preserve"> and penal</w:t>
      </w:r>
      <w:r w:rsidR="00F85869">
        <w:rPr>
          <w:rFonts w:eastAsia="Calibri"/>
        </w:rPr>
        <w:t>ty provisions</w:t>
      </w:r>
      <w:r>
        <w:rPr>
          <w:rFonts w:eastAsia="Calibri"/>
        </w:rPr>
        <w:t xml:space="preserve"> are a vital backstop for effective enforcement</w:t>
      </w:r>
      <w:r w:rsidR="00F85869">
        <w:rPr>
          <w:rFonts w:eastAsia="Calibri"/>
        </w:rPr>
        <w:t>.</w:t>
      </w:r>
      <w:r>
        <w:rPr>
          <w:rFonts w:eastAsia="Calibri"/>
        </w:rPr>
        <w:t xml:space="preserve">  Current provisions need to be updated and aligned with other comparable legislation.</w:t>
      </w:r>
      <w:r w:rsidR="00BB08DD">
        <w:rPr>
          <w:rFonts w:eastAsia="Calibri"/>
        </w:rPr>
        <w:t xml:space="preserve"> Consultation with </w:t>
      </w:r>
      <w:r w:rsidR="00805A9D">
        <w:rPr>
          <w:rFonts w:eastAsia="Calibri"/>
        </w:rPr>
        <w:t xml:space="preserve">the Ministry of </w:t>
      </w:r>
      <w:r w:rsidR="00BB08DD">
        <w:rPr>
          <w:rFonts w:eastAsia="Calibri"/>
        </w:rPr>
        <w:t xml:space="preserve">Justice on these matters will inform further reporting in </w:t>
      </w:r>
      <w:r w:rsidR="003E6C09">
        <w:rPr>
          <w:rFonts w:eastAsia="Calibri"/>
        </w:rPr>
        <w:t xml:space="preserve">early </w:t>
      </w:r>
      <w:r w:rsidR="00BB08DD">
        <w:rPr>
          <w:rFonts w:eastAsia="Calibri"/>
        </w:rPr>
        <w:t>2016.</w:t>
      </w:r>
    </w:p>
    <w:p w:rsidR="00B74A60" w:rsidRPr="00B74A60" w:rsidRDefault="00B74A60" w:rsidP="00B74A60">
      <w:pPr>
        <w:spacing w:after="0" w:line="240" w:lineRule="auto"/>
        <w:rPr>
          <w:rFonts w:eastAsia="Calibri" w:cs="Arial"/>
          <w:szCs w:val="22"/>
          <w:lang w:val="en-NZ"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118"/>
        <w:gridCol w:w="4372"/>
      </w:tblGrid>
      <w:tr w:rsidR="00B74A60" w:rsidRPr="003A3E2B" w:rsidTr="00747CD2">
        <w:trPr>
          <w:tblHeader/>
        </w:trPr>
        <w:tc>
          <w:tcPr>
            <w:tcW w:w="9016" w:type="dxa"/>
            <w:gridSpan w:val="3"/>
            <w:shd w:val="clear" w:color="auto" w:fill="DEEAF6"/>
          </w:tcPr>
          <w:p w:rsidR="00B74A60" w:rsidRPr="003A3E2B" w:rsidRDefault="00B74A60" w:rsidP="003A3E2B">
            <w:pPr>
              <w:spacing w:after="0" w:line="240" w:lineRule="auto"/>
              <w:rPr>
                <w:rFonts w:eastAsia="Calibri" w:cs="Arial"/>
                <w:b/>
                <w:szCs w:val="22"/>
                <w:lang w:val="en-NZ" w:eastAsia="en-US"/>
              </w:rPr>
            </w:pPr>
            <w:r w:rsidRPr="003A3E2B">
              <w:rPr>
                <w:rFonts w:eastAsia="Calibri" w:cs="Arial"/>
                <w:b/>
                <w:szCs w:val="22"/>
                <w:lang w:val="en-NZ" w:eastAsia="en-US"/>
              </w:rPr>
              <w:t>Enforcement: options and impacts</w:t>
            </w:r>
          </w:p>
          <w:p w:rsidR="00B74A60" w:rsidRPr="003A3E2B" w:rsidRDefault="00B74A60" w:rsidP="003A3E2B">
            <w:pPr>
              <w:spacing w:after="0" w:line="240" w:lineRule="auto"/>
              <w:rPr>
                <w:rFonts w:eastAsia="Calibri" w:cs="Arial"/>
                <w:szCs w:val="22"/>
                <w:lang w:val="en-NZ" w:eastAsia="en-US"/>
              </w:rPr>
            </w:pPr>
          </w:p>
        </w:tc>
      </w:tr>
      <w:tr w:rsidR="00234D64" w:rsidRPr="003A3E2B" w:rsidTr="00747CD2">
        <w:trPr>
          <w:tblHeader/>
        </w:trPr>
        <w:tc>
          <w:tcPr>
            <w:tcW w:w="1526" w:type="dxa"/>
            <w:shd w:val="clear" w:color="auto" w:fill="DEEAF6"/>
          </w:tcPr>
          <w:p w:rsidR="00234D64" w:rsidRPr="003A3E2B" w:rsidRDefault="00234D64" w:rsidP="003A3E2B">
            <w:pPr>
              <w:spacing w:after="0" w:line="240" w:lineRule="auto"/>
              <w:jc w:val="center"/>
              <w:rPr>
                <w:rFonts w:eastAsia="Calibri" w:cs="Arial"/>
                <w:i/>
                <w:szCs w:val="22"/>
                <w:lang w:val="en-NZ" w:eastAsia="en-US"/>
              </w:rPr>
            </w:pPr>
            <w:r w:rsidRPr="003A3E2B">
              <w:rPr>
                <w:rFonts w:eastAsia="Calibri" w:cs="Arial"/>
                <w:i/>
                <w:szCs w:val="22"/>
                <w:lang w:val="en-NZ" w:eastAsia="en-US"/>
              </w:rPr>
              <w:t>Options</w:t>
            </w:r>
          </w:p>
          <w:p w:rsidR="00234D64" w:rsidRPr="003A3E2B" w:rsidRDefault="00234D64" w:rsidP="003A3E2B">
            <w:pPr>
              <w:spacing w:after="0" w:line="240" w:lineRule="auto"/>
              <w:jc w:val="center"/>
              <w:rPr>
                <w:rFonts w:eastAsia="Calibri" w:cs="Arial"/>
                <w:i/>
                <w:szCs w:val="22"/>
                <w:lang w:val="en-NZ" w:eastAsia="en-US"/>
              </w:rPr>
            </w:pPr>
          </w:p>
        </w:tc>
        <w:tc>
          <w:tcPr>
            <w:tcW w:w="3118" w:type="dxa"/>
            <w:shd w:val="clear" w:color="auto" w:fill="DEEAF6"/>
          </w:tcPr>
          <w:p w:rsidR="00234D64" w:rsidRPr="003A3E2B" w:rsidRDefault="00234D64" w:rsidP="003A3E2B">
            <w:pPr>
              <w:spacing w:after="0" w:line="240" w:lineRule="auto"/>
              <w:jc w:val="center"/>
              <w:rPr>
                <w:rFonts w:eastAsia="Calibri" w:cs="Arial"/>
                <w:i/>
                <w:szCs w:val="22"/>
                <w:lang w:val="en-NZ" w:eastAsia="en-US"/>
              </w:rPr>
            </w:pPr>
            <w:r>
              <w:rPr>
                <w:rFonts w:eastAsia="Calibri" w:cs="Arial"/>
                <w:i/>
                <w:szCs w:val="22"/>
                <w:lang w:val="en-NZ" w:eastAsia="en-US"/>
              </w:rPr>
              <w:t>Description</w:t>
            </w:r>
          </w:p>
        </w:tc>
        <w:tc>
          <w:tcPr>
            <w:tcW w:w="4372" w:type="dxa"/>
            <w:shd w:val="clear" w:color="auto" w:fill="DEEAF6"/>
          </w:tcPr>
          <w:p w:rsidR="00234D64" w:rsidRPr="003A3E2B" w:rsidRDefault="00234D64" w:rsidP="003A3E2B">
            <w:pPr>
              <w:spacing w:after="0" w:line="240" w:lineRule="auto"/>
              <w:jc w:val="center"/>
              <w:rPr>
                <w:rFonts w:eastAsia="Calibri" w:cs="Arial"/>
                <w:i/>
                <w:szCs w:val="22"/>
                <w:lang w:val="en-NZ" w:eastAsia="en-US"/>
              </w:rPr>
            </w:pPr>
            <w:r w:rsidRPr="003A3E2B">
              <w:rPr>
                <w:rFonts w:eastAsia="Calibri" w:cs="Arial"/>
                <w:i/>
                <w:szCs w:val="22"/>
                <w:lang w:val="en-NZ" w:eastAsia="en-US"/>
              </w:rPr>
              <w:t>Impacts</w:t>
            </w:r>
          </w:p>
        </w:tc>
      </w:tr>
      <w:tr w:rsidR="00234D64" w:rsidRPr="003A3E2B" w:rsidTr="00471AA4">
        <w:tc>
          <w:tcPr>
            <w:tcW w:w="1526" w:type="dxa"/>
            <w:shd w:val="clear" w:color="auto" w:fill="auto"/>
          </w:tcPr>
          <w:p w:rsidR="00234D64" w:rsidRPr="003A3E2B" w:rsidRDefault="00234D64"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Status quo</w:t>
            </w:r>
          </w:p>
          <w:p w:rsidR="00234D64" w:rsidRPr="003A3E2B" w:rsidRDefault="00234D64" w:rsidP="003A3E2B">
            <w:pPr>
              <w:spacing w:after="0" w:line="240" w:lineRule="auto"/>
              <w:rPr>
                <w:rFonts w:eastAsia="Calibri" w:cs="Arial"/>
                <w:sz w:val="20"/>
                <w:szCs w:val="22"/>
                <w:lang w:val="en-NZ" w:eastAsia="en-US"/>
              </w:rPr>
            </w:pPr>
          </w:p>
          <w:p w:rsidR="00234D64" w:rsidRPr="003A3E2B" w:rsidRDefault="00234D64" w:rsidP="003A3E2B">
            <w:pPr>
              <w:spacing w:after="0" w:line="240" w:lineRule="auto"/>
              <w:rPr>
                <w:rFonts w:eastAsia="Calibri" w:cs="Arial"/>
                <w:sz w:val="20"/>
                <w:szCs w:val="22"/>
                <w:lang w:val="en-NZ" w:eastAsia="en-US"/>
              </w:rPr>
            </w:pPr>
          </w:p>
          <w:p w:rsidR="00234D64" w:rsidRPr="003A3E2B" w:rsidRDefault="00234D64" w:rsidP="003A3E2B">
            <w:pPr>
              <w:spacing w:after="0" w:line="240" w:lineRule="auto"/>
              <w:rPr>
                <w:rFonts w:eastAsia="Calibri" w:cs="Arial"/>
                <w:sz w:val="20"/>
                <w:szCs w:val="22"/>
                <w:lang w:val="en-NZ" w:eastAsia="en-US"/>
              </w:rPr>
            </w:pPr>
          </w:p>
          <w:p w:rsidR="00234D64" w:rsidRPr="003A3E2B" w:rsidRDefault="00234D64" w:rsidP="003A3E2B">
            <w:pPr>
              <w:spacing w:after="0" w:line="240" w:lineRule="auto"/>
              <w:rPr>
                <w:rFonts w:eastAsia="Calibri" w:cs="Arial"/>
                <w:sz w:val="20"/>
                <w:szCs w:val="22"/>
                <w:lang w:val="en-NZ" w:eastAsia="en-US"/>
              </w:rPr>
            </w:pPr>
          </w:p>
        </w:tc>
        <w:tc>
          <w:tcPr>
            <w:tcW w:w="3118" w:type="dxa"/>
            <w:shd w:val="clear" w:color="auto" w:fill="auto"/>
          </w:tcPr>
          <w:p w:rsidR="00234D64" w:rsidRDefault="00562E34" w:rsidP="00471AA4">
            <w:pPr>
              <w:spacing w:after="0" w:line="240" w:lineRule="auto"/>
              <w:rPr>
                <w:rFonts w:eastAsia="Calibri" w:cs="Arial"/>
                <w:sz w:val="20"/>
                <w:szCs w:val="22"/>
                <w:lang w:val="en-NZ" w:eastAsia="en-US"/>
              </w:rPr>
            </w:pPr>
            <w:r>
              <w:rPr>
                <w:rFonts w:eastAsia="Calibri" w:cs="Arial"/>
                <w:sz w:val="20"/>
                <w:szCs w:val="22"/>
                <w:lang w:val="en-NZ" w:eastAsia="en-US"/>
              </w:rPr>
              <w:t>No change to existing enforcement powers.</w:t>
            </w:r>
            <w:r w:rsidR="00234D64" w:rsidRPr="003A3E2B">
              <w:rPr>
                <w:rFonts w:eastAsia="Calibri" w:cs="Arial"/>
                <w:sz w:val="20"/>
                <w:szCs w:val="22"/>
                <w:lang w:val="en-NZ" w:eastAsia="en-US"/>
              </w:rPr>
              <w:t xml:space="preserve"> </w:t>
            </w:r>
          </w:p>
          <w:p w:rsidR="00234D64" w:rsidRDefault="00234D64" w:rsidP="00471AA4">
            <w:pPr>
              <w:spacing w:after="0" w:line="240" w:lineRule="auto"/>
              <w:rPr>
                <w:rFonts w:eastAsia="Calibri" w:cs="Arial"/>
                <w:sz w:val="20"/>
                <w:szCs w:val="22"/>
                <w:lang w:val="en-NZ" w:eastAsia="en-US"/>
              </w:rPr>
            </w:pPr>
          </w:p>
        </w:tc>
        <w:tc>
          <w:tcPr>
            <w:tcW w:w="4372" w:type="dxa"/>
            <w:shd w:val="clear" w:color="auto" w:fill="auto"/>
          </w:tcPr>
          <w:p w:rsidR="00552073" w:rsidRDefault="00552073" w:rsidP="00B66942">
            <w:pPr>
              <w:numPr>
                <w:ilvl w:val="0"/>
                <w:numId w:val="33"/>
              </w:numPr>
              <w:spacing w:after="0" w:line="240" w:lineRule="auto"/>
              <w:rPr>
                <w:rFonts w:eastAsia="Calibri" w:cs="Arial"/>
                <w:sz w:val="20"/>
                <w:szCs w:val="22"/>
                <w:lang w:val="en-NZ" w:eastAsia="en-US"/>
              </w:rPr>
            </w:pPr>
            <w:r>
              <w:rPr>
                <w:rFonts w:eastAsia="Calibri" w:cs="Arial"/>
                <w:sz w:val="20"/>
                <w:szCs w:val="22"/>
                <w:lang w:val="en-NZ" w:eastAsia="en-US"/>
              </w:rPr>
              <w:t>Enforcement will continue to be a challenge</w:t>
            </w:r>
            <w:r w:rsidR="00562E34">
              <w:rPr>
                <w:rFonts w:eastAsia="Calibri" w:cs="Arial"/>
                <w:sz w:val="20"/>
                <w:szCs w:val="22"/>
                <w:lang w:val="en-NZ" w:eastAsia="en-US"/>
              </w:rPr>
              <w:t xml:space="preserve"> (risks more difficult to manage)</w:t>
            </w:r>
            <w:r>
              <w:rPr>
                <w:rFonts w:eastAsia="Calibri" w:cs="Arial"/>
                <w:sz w:val="20"/>
                <w:szCs w:val="22"/>
                <w:lang w:val="en-NZ" w:eastAsia="en-US"/>
              </w:rPr>
              <w:t>.</w:t>
            </w:r>
          </w:p>
          <w:p w:rsidR="00562E34" w:rsidRDefault="00562E34" w:rsidP="00562E34">
            <w:pPr>
              <w:spacing w:after="0" w:line="240" w:lineRule="auto"/>
              <w:ind w:left="360"/>
              <w:rPr>
                <w:rFonts w:eastAsia="Calibri" w:cs="Arial"/>
                <w:sz w:val="20"/>
                <w:szCs w:val="22"/>
                <w:lang w:val="en-NZ" w:eastAsia="en-US"/>
              </w:rPr>
            </w:pPr>
          </w:p>
          <w:p w:rsidR="00562E34" w:rsidRPr="003A3E2B" w:rsidRDefault="00540102" w:rsidP="00B66942">
            <w:pPr>
              <w:numPr>
                <w:ilvl w:val="0"/>
                <w:numId w:val="33"/>
              </w:numPr>
              <w:spacing w:after="0" w:line="240" w:lineRule="auto"/>
              <w:rPr>
                <w:rFonts w:eastAsia="Calibri" w:cs="Arial"/>
                <w:sz w:val="20"/>
                <w:szCs w:val="22"/>
                <w:lang w:val="en-NZ" w:eastAsia="en-US"/>
              </w:rPr>
            </w:pPr>
            <w:r>
              <w:rPr>
                <w:rFonts w:eastAsia="Calibri" w:cs="Arial"/>
                <w:sz w:val="20"/>
                <w:szCs w:val="22"/>
                <w:lang w:val="en-NZ" w:eastAsia="en-US"/>
              </w:rPr>
              <w:t xml:space="preserve">Uncertainty </w:t>
            </w:r>
            <w:r w:rsidR="00562E34" w:rsidRPr="003A3E2B">
              <w:rPr>
                <w:rFonts w:eastAsia="Calibri" w:cs="Arial"/>
                <w:sz w:val="20"/>
                <w:szCs w:val="22"/>
                <w:lang w:val="en-NZ" w:eastAsia="en-US"/>
              </w:rPr>
              <w:t>about the powers of the regulator to address unapproved product issues.</w:t>
            </w:r>
          </w:p>
          <w:p w:rsidR="00552073" w:rsidRDefault="00552073" w:rsidP="00562E34">
            <w:pPr>
              <w:spacing w:after="0" w:line="240" w:lineRule="auto"/>
              <w:ind w:left="360"/>
              <w:rPr>
                <w:rFonts w:eastAsia="Calibri" w:cs="Arial"/>
                <w:sz w:val="20"/>
                <w:szCs w:val="22"/>
                <w:lang w:val="en-NZ" w:eastAsia="en-US"/>
              </w:rPr>
            </w:pPr>
          </w:p>
          <w:p w:rsidR="00234D64" w:rsidRDefault="00234D64" w:rsidP="00B66942">
            <w:pPr>
              <w:numPr>
                <w:ilvl w:val="0"/>
                <w:numId w:val="33"/>
              </w:numPr>
              <w:spacing w:after="0" w:line="240" w:lineRule="auto"/>
              <w:rPr>
                <w:rFonts w:eastAsia="Calibri" w:cs="Arial"/>
                <w:sz w:val="20"/>
                <w:szCs w:val="22"/>
                <w:lang w:val="en-NZ" w:eastAsia="en-US"/>
              </w:rPr>
            </w:pPr>
            <w:r w:rsidRPr="003A3E2B">
              <w:rPr>
                <w:rFonts w:eastAsia="Calibri" w:cs="Arial"/>
                <w:sz w:val="20"/>
                <w:szCs w:val="22"/>
                <w:lang w:val="en-NZ" w:eastAsia="en-US"/>
              </w:rPr>
              <w:t>Regulator not able to take all the actions it needs to in order to manage risk (</w:t>
            </w:r>
            <w:proofErr w:type="spellStart"/>
            <w:r w:rsidRPr="003A3E2B">
              <w:rPr>
                <w:rFonts w:eastAsia="Calibri" w:cs="Arial"/>
                <w:sz w:val="20"/>
                <w:szCs w:val="22"/>
                <w:lang w:val="en-NZ" w:eastAsia="en-US"/>
              </w:rPr>
              <w:t>eg</w:t>
            </w:r>
            <w:proofErr w:type="spellEnd"/>
            <w:r w:rsidRPr="003A3E2B">
              <w:rPr>
                <w:rFonts w:eastAsia="Calibri" w:cs="Arial"/>
                <w:sz w:val="20"/>
                <w:szCs w:val="22"/>
                <w:lang w:val="en-NZ" w:eastAsia="en-US"/>
              </w:rPr>
              <w:t>, in relation to recalls, bans).</w:t>
            </w:r>
          </w:p>
          <w:p w:rsidR="00234D64" w:rsidRPr="003A3E2B" w:rsidRDefault="00234D64" w:rsidP="003A3E2B">
            <w:pPr>
              <w:spacing w:after="0" w:line="240" w:lineRule="auto"/>
              <w:rPr>
                <w:rFonts w:eastAsia="Calibri" w:cs="Arial"/>
                <w:sz w:val="20"/>
                <w:szCs w:val="22"/>
                <w:lang w:val="en-NZ" w:eastAsia="en-US"/>
              </w:rPr>
            </w:pPr>
          </w:p>
        </w:tc>
      </w:tr>
      <w:tr w:rsidR="00234D64" w:rsidRPr="003A3E2B" w:rsidTr="00471AA4">
        <w:tc>
          <w:tcPr>
            <w:tcW w:w="1526" w:type="dxa"/>
            <w:shd w:val="clear" w:color="auto" w:fill="auto"/>
          </w:tcPr>
          <w:p w:rsidR="00234D64" w:rsidRDefault="00234D64"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Option 1 – </w:t>
            </w:r>
          </w:p>
          <w:p w:rsidR="00234D64" w:rsidRDefault="00234D64" w:rsidP="003A3E2B">
            <w:pPr>
              <w:spacing w:after="0" w:line="240" w:lineRule="auto"/>
              <w:rPr>
                <w:rFonts w:eastAsia="Calibri" w:cs="Arial"/>
                <w:sz w:val="20"/>
                <w:szCs w:val="22"/>
                <w:lang w:val="en-NZ" w:eastAsia="en-US"/>
              </w:rPr>
            </w:pPr>
          </w:p>
          <w:p w:rsidR="00234D64" w:rsidRPr="003A3E2B" w:rsidRDefault="00234D64"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Enhanced status quo (preferred)</w:t>
            </w:r>
          </w:p>
          <w:p w:rsidR="00234D64" w:rsidRPr="003A3E2B" w:rsidRDefault="00234D64" w:rsidP="003A3E2B">
            <w:pPr>
              <w:spacing w:after="0" w:line="240" w:lineRule="auto"/>
              <w:rPr>
                <w:rFonts w:eastAsia="Calibri" w:cs="Arial"/>
                <w:sz w:val="20"/>
                <w:szCs w:val="22"/>
                <w:lang w:val="en-NZ" w:eastAsia="en-US"/>
              </w:rPr>
            </w:pPr>
          </w:p>
          <w:p w:rsidR="00234D64" w:rsidRPr="003A3E2B" w:rsidRDefault="00234D64" w:rsidP="003A3E2B">
            <w:pPr>
              <w:spacing w:after="0" w:line="240" w:lineRule="auto"/>
              <w:rPr>
                <w:rFonts w:eastAsia="Calibri" w:cs="Arial"/>
                <w:sz w:val="20"/>
                <w:szCs w:val="22"/>
                <w:lang w:val="en-NZ" w:eastAsia="en-US"/>
              </w:rPr>
            </w:pPr>
          </w:p>
        </w:tc>
        <w:tc>
          <w:tcPr>
            <w:tcW w:w="3118" w:type="dxa"/>
            <w:shd w:val="clear" w:color="auto" w:fill="auto"/>
          </w:tcPr>
          <w:p w:rsidR="00234D64" w:rsidRPr="003A3E2B" w:rsidRDefault="00234D64"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Enhanced </w:t>
            </w:r>
            <w:r w:rsidR="00805A9D">
              <w:rPr>
                <w:rFonts w:eastAsia="Calibri" w:cs="Arial"/>
                <w:sz w:val="20"/>
                <w:szCs w:val="22"/>
                <w:lang w:val="en-NZ" w:eastAsia="en-US"/>
              </w:rPr>
              <w:t xml:space="preserve">and calibrated </w:t>
            </w:r>
            <w:r w:rsidR="00753D33">
              <w:rPr>
                <w:rFonts w:eastAsia="Calibri" w:cs="Arial"/>
                <w:sz w:val="20"/>
                <w:szCs w:val="22"/>
                <w:lang w:val="en-NZ" w:eastAsia="en-US"/>
              </w:rPr>
              <w:t xml:space="preserve">powers </w:t>
            </w:r>
            <w:r w:rsidRPr="003A3E2B">
              <w:rPr>
                <w:rFonts w:eastAsia="Calibri" w:cs="Arial"/>
                <w:sz w:val="20"/>
                <w:szCs w:val="22"/>
                <w:lang w:val="en-NZ" w:eastAsia="en-US"/>
              </w:rPr>
              <w:t>for regulator to take enforcement action.</w:t>
            </w:r>
          </w:p>
          <w:p w:rsidR="00234D64" w:rsidRDefault="00234D64" w:rsidP="00471AA4">
            <w:pPr>
              <w:spacing w:after="0" w:line="240" w:lineRule="auto"/>
              <w:rPr>
                <w:rFonts w:eastAsia="Calibri" w:cs="Arial"/>
                <w:sz w:val="20"/>
                <w:szCs w:val="22"/>
                <w:lang w:val="en-NZ" w:eastAsia="en-US"/>
              </w:rPr>
            </w:pPr>
          </w:p>
          <w:p w:rsidR="00234D64" w:rsidRDefault="00234D64"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Strategic use of the full spectrum of regulatory actions available.</w:t>
            </w:r>
          </w:p>
          <w:p w:rsidR="00234D64" w:rsidRPr="003A3E2B" w:rsidRDefault="00234D64" w:rsidP="00471AA4">
            <w:pPr>
              <w:spacing w:after="0" w:line="240" w:lineRule="auto"/>
              <w:rPr>
                <w:rFonts w:eastAsia="Calibri" w:cs="Arial"/>
                <w:sz w:val="20"/>
                <w:szCs w:val="22"/>
                <w:lang w:val="en-NZ" w:eastAsia="en-US"/>
              </w:rPr>
            </w:pPr>
          </w:p>
          <w:p w:rsidR="00234D64" w:rsidRDefault="00234D64"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Strengthened offence and penalty provisions.</w:t>
            </w:r>
          </w:p>
          <w:p w:rsidR="00234D64" w:rsidRPr="003A3E2B" w:rsidRDefault="00234D64" w:rsidP="00471AA4">
            <w:pPr>
              <w:spacing w:after="0" w:line="240" w:lineRule="auto"/>
              <w:rPr>
                <w:rFonts w:eastAsia="Calibri" w:cs="Arial"/>
                <w:sz w:val="20"/>
                <w:szCs w:val="22"/>
                <w:lang w:val="en-NZ" w:eastAsia="en-US"/>
              </w:rPr>
            </w:pPr>
          </w:p>
          <w:p w:rsidR="00234D64" w:rsidRDefault="00234D64" w:rsidP="00471AA4">
            <w:pPr>
              <w:spacing w:after="0" w:line="240" w:lineRule="auto"/>
              <w:rPr>
                <w:rFonts w:eastAsia="Calibri" w:cs="Arial"/>
                <w:sz w:val="20"/>
                <w:szCs w:val="22"/>
                <w:lang w:val="en-NZ" w:eastAsia="en-US"/>
              </w:rPr>
            </w:pPr>
          </w:p>
        </w:tc>
        <w:tc>
          <w:tcPr>
            <w:tcW w:w="4372" w:type="dxa"/>
            <w:shd w:val="clear" w:color="auto" w:fill="auto"/>
          </w:tcPr>
          <w:p w:rsidR="00234D64" w:rsidRDefault="00234D64" w:rsidP="00B66942">
            <w:pPr>
              <w:numPr>
                <w:ilvl w:val="0"/>
                <w:numId w:val="33"/>
              </w:numPr>
              <w:spacing w:after="0" w:line="240" w:lineRule="auto"/>
              <w:rPr>
                <w:rFonts w:eastAsia="Calibri" w:cs="Arial"/>
                <w:sz w:val="20"/>
                <w:szCs w:val="22"/>
                <w:lang w:val="en-NZ" w:eastAsia="en-US"/>
              </w:rPr>
            </w:pPr>
            <w:r w:rsidRPr="003A3E2B">
              <w:rPr>
                <w:rFonts w:eastAsia="Calibri" w:cs="Arial"/>
                <w:sz w:val="20"/>
                <w:szCs w:val="22"/>
                <w:lang w:val="en-NZ" w:eastAsia="en-US"/>
              </w:rPr>
              <w:t>Increased voluntary com</w:t>
            </w:r>
            <w:r w:rsidR="008F3B22">
              <w:rPr>
                <w:rFonts w:eastAsia="Calibri" w:cs="Arial"/>
                <w:sz w:val="20"/>
                <w:szCs w:val="22"/>
                <w:lang w:val="en-NZ" w:eastAsia="en-US"/>
              </w:rPr>
              <w:t>pliance as a result of strengthened regulator powers and enhanced offence and penalty provisions.</w:t>
            </w:r>
          </w:p>
          <w:p w:rsidR="00805A9D" w:rsidRDefault="00805A9D" w:rsidP="00805A9D">
            <w:pPr>
              <w:spacing w:after="0" w:line="240" w:lineRule="auto"/>
              <w:ind w:left="360"/>
              <w:rPr>
                <w:rFonts w:eastAsia="Calibri" w:cs="Arial"/>
                <w:sz w:val="20"/>
                <w:szCs w:val="22"/>
                <w:lang w:val="en-NZ" w:eastAsia="en-US"/>
              </w:rPr>
            </w:pPr>
          </w:p>
          <w:p w:rsidR="00805A9D" w:rsidRDefault="00805A9D" w:rsidP="00B66942">
            <w:pPr>
              <w:numPr>
                <w:ilvl w:val="0"/>
                <w:numId w:val="33"/>
              </w:numPr>
              <w:spacing w:after="0" w:line="240" w:lineRule="auto"/>
              <w:rPr>
                <w:rFonts w:eastAsia="Calibri" w:cs="Arial"/>
                <w:sz w:val="20"/>
                <w:szCs w:val="22"/>
                <w:lang w:val="en-NZ" w:eastAsia="en-US"/>
              </w:rPr>
            </w:pPr>
            <w:r>
              <w:rPr>
                <w:rFonts w:eastAsia="Calibri" w:cs="Arial"/>
                <w:sz w:val="20"/>
                <w:szCs w:val="22"/>
                <w:lang w:val="en-NZ" w:eastAsia="en-US"/>
              </w:rPr>
              <w:t>Greater ability to take appropriate action commensurate with the offence (ie, low, medium, high).</w:t>
            </w:r>
          </w:p>
          <w:p w:rsidR="00552073" w:rsidRDefault="00552073" w:rsidP="00552073">
            <w:pPr>
              <w:spacing w:after="0" w:line="240" w:lineRule="auto"/>
              <w:ind w:left="360"/>
              <w:rPr>
                <w:rFonts w:eastAsia="Calibri" w:cs="Arial"/>
                <w:sz w:val="20"/>
                <w:szCs w:val="22"/>
                <w:lang w:val="en-NZ" w:eastAsia="en-US"/>
              </w:rPr>
            </w:pPr>
          </w:p>
          <w:p w:rsidR="008F3B22" w:rsidRDefault="00552073" w:rsidP="00B66942">
            <w:pPr>
              <w:numPr>
                <w:ilvl w:val="0"/>
                <w:numId w:val="33"/>
              </w:numPr>
              <w:spacing w:after="0" w:line="240" w:lineRule="auto"/>
              <w:rPr>
                <w:rFonts w:eastAsia="Calibri" w:cs="Arial"/>
                <w:sz w:val="20"/>
                <w:szCs w:val="22"/>
                <w:lang w:val="en-NZ" w:eastAsia="en-US"/>
              </w:rPr>
            </w:pPr>
            <w:r>
              <w:rPr>
                <w:rFonts w:eastAsia="Calibri" w:cs="Arial"/>
                <w:sz w:val="20"/>
                <w:szCs w:val="22"/>
                <w:lang w:val="en-NZ" w:eastAsia="en-US"/>
              </w:rPr>
              <w:t>Enhanced effectiveness in treating non-compliance issues (</w:t>
            </w:r>
            <w:proofErr w:type="spellStart"/>
            <w:r>
              <w:rPr>
                <w:rFonts w:eastAsia="Calibri" w:cs="Arial"/>
                <w:sz w:val="20"/>
                <w:szCs w:val="22"/>
                <w:lang w:val="en-NZ" w:eastAsia="en-US"/>
              </w:rPr>
              <w:t>eg</w:t>
            </w:r>
            <w:proofErr w:type="spellEnd"/>
            <w:r>
              <w:rPr>
                <w:rFonts w:eastAsia="Calibri" w:cs="Arial"/>
                <w:sz w:val="20"/>
                <w:szCs w:val="22"/>
                <w:lang w:val="en-NZ" w:eastAsia="en-US"/>
              </w:rPr>
              <w:t>, the regulator is able to ban unsafe products), with associated benefits for safety and health.</w:t>
            </w:r>
          </w:p>
          <w:p w:rsidR="00234D64" w:rsidRDefault="00234D64" w:rsidP="00471AA4">
            <w:pPr>
              <w:spacing w:after="0" w:line="240" w:lineRule="auto"/>
              <w:ind w:left="360"/>
              <w:rPr>
                <w:rFonts w:eastAsia="Calibri" w:cs="Arial"/>
                <w:sz w:val="20"/>
                <w:szCs w:val="22"/>
                <w:lang w:val="en-NZ" w:eastAsia="en-US"/>
              </w:rPr>
            </w:pPr>
          </w:p>
          <w:p w:rsidR="00234D64" w:rsidRDefault="00552073" w:rsidP="00B66942">
            <w:pPr>
              <w:numPr>
                <w:ilvl w:val="0"/>
                <w:numId w:val="33"/>
              </w:numPr>
              <w:spacing w:after="0" w:line="240" w:lineRule="auto"/>
              <w:rPr>
                <w:rFonts w:eastAsia="Calibri" w:cs="Arial"/>
                <w:sz w:val="20"/>
                <w:szCs w:val="22"/>
                <w:lang w:val="en-NZ" w:eastAsia="en-US"/>
              </w:rPr>
            </w:pPr>
            <w:r>
              <w:rPr>
                <w:rFonts w:eastAsia="Calibri" w:cs="Arial"/>
                <w:sz w:val="20"/>
                <w:szCs w:val="22"/>
                <w:lang w:val="en-NZ" w:eastAsia="en-US"/>
              </w:rPr>
              <w:t>Reputational benefits for the regulator, which also leads to lower costs over time (</w:t>
            </w:r>
            <w:proofErr w:type="spellStart"/>
            <w:r>
              <w:rPr>
                <w:rFonts w:eastAsia="Calibri" w:cs="Arial"/>
                <w:sz w:val="20"/>
                <w:szCs w:val="22"/>
                <w:lang w:val="en-NZ" w:eastAsia="en-US"/>
              </w:rPr>
              <w:t>eg</w:t>
            </w:r>
            <w:proofErr w:type="spellEnd"/>
            <w:r>
              <w:rPr>
                <w:rFonts w:eastAsia="Calibri" w:cs="Arial"/>
                <w:sz w:val="20"/>
                <w:szCs w:val="22"/>
                <w:lang w:val="en-NZ" w:eastAsia="en-US"/>
              </w:rPr>
              <w:t xml:space="preserve">, because industry is more responsive). </w:t>
            </w:r>
          </w:p>
          <w:p w:rsidR="00234D64" w:rsidRPr="003A3E2B" w:rsidRDefault="00234D64" w:rsidP="003A3E2B">
            <w:pPr>
              <w:spacing w:after="0" w:line="240" w:lineRule="auto"/>
              <w:rPr>
                <w:rFonts w:eastAsia="Calibri" w:cs="Arial"/>
                <w:sz w:val="20"/>
                <w:szCs w:val="22"/>
                <w:lang w:val="en-NZ" w:eastAsia="en-US"/>
              </w:rPr>
            </w:pPr>
          </w:p>
        </w:tc>
      </w:tr>
      <w:tr w:rsidR="00234D64" w:rsidRPr="003A3E2B" w:rsidTr="00471AA4">
        <w:tc>
          <w:tcPr>
            <w:tcW w:w="1526" w:type="dxa"/>
            <w:shd w:val="clear" w:color="auto" w:fill="auto"/>
          </w:tcPr>
          <w:p w:rsidR="00234D64" w:rsidRDefault="00234D64"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Option 1a – </w:t>
            </w:r>
          </w:p>
          <w:p w:rsidR="00234D64" w:rsidRDefault="00234D64" w:rsidP="003A3E2B">
            <w:pPr>
              <w:spacing w:after="0" w:line="240" w:lineRule="auto"/>
              <w:rPr>
                <w:rFonts w:eastAsia="Calibri" w:cs="Arial"/>
                <w:sz w:val="20"/>
                <w:szCs w:val="22"/>
                <w:lang w:val="en-NZ" w:eastAsia="en-US"/>
              </w:rPr>
            </w:pPr>
          </w:p>
          <w:p w:rsidR="00234D64" w:rsidRPr="003A3E2B" w:rsidRDefault="00234D64"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Focus on specified areas only</w:t>
            </w:r>
          </w:p>
          <w:p w:rsidR="00234D64" w:rsidRPr="003A3E2B" w:rsidRDefault="00234D64" w:rsidP="003A3E2B">
            <w:pPr>
              <w:spacing w:after="0" w:line="240" w:lineRule="auto"/>
              <w:rPr>
                <w:rFonts w:eastAsia="Calibri" w:cs="Arial"/>
                <w:sz w:val="20"/>
                <w:szCs w:val="22"/>
                <w:lang w:val="en-NZ" w:eastAsia="en-US"/>
              </w:rPr>
            </w:pPr>
          </w:p>
          <w:p w:rsidR="00234D64" w:rsidRPr="003A3E2B" w:rsidRDefault="00234D64" w:rsidP="003A3E2B">
            <w:pPr>
              <w:spacing w:after="0" w:line="240" w:lineRule="auto"/>
              <w:rPr>
                <w:rFonts w:eastAsia="Calibri" w:cs="Arial"/>
                <w:sz w:val="20"/>
                <w:szCs w:val="22"/>
                <w:lang w:val="en-NZ" w:eastAsia="en-US"/>
              </w:rPr>
            </w:pPr>
          </w:p>
          <w:p w:rsidR="00234D64" w:rsidRPr="003A3E2B" w:rsidRDefault="00234D64" w:rsidP="003A3E2B">
            <w:pPr>
              <w:spacing w:after="0" w:line="240" w:lineRule="auto"/>
              <w:rPr>
                <w:rFonts w:eastAsia="Calibri" w:cs="Arial"/>
                <w:sz w:val="20"/>
                <w:szCs w:val="22"/>
                <w:lang w:val="en-NZ" w:eastAsia="en-US"/>
              </w:rPr>
            </w:pPr>
          </w:p>
        </w:tc>
        <w:tc>
          <w:tcPr>
            <w:tcW w:w="3118" w:type="dxa"/>
            <w:shd w:val="clear" w:color="auto" w:fill="auto"/>
          </w:tcPr>
          <w:p w:rsidR="00234D64" w:rsidRPr="003A3E2B" w:rsidRDefault="00234D64"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As for option 1 above (enhanced powers and penalties) – plus:</w:t>
            </w:r>
          </w:p>
          <w:p w:rsidR="00234D64" w:rsidRDefault="00234D64" w:rsidP="00471AA4">
            <w:pPr>
              <w:spacing w:after="0" w:line="240" w:lineRule="auto"/>
              <w:rPr>
                <w:rFonts w:eastAsia="Calibri" w:cs="Arial"/>
                <w:sz w:val="20"/>
                <w:szCs w:val="22"/>
                <w:lang w:val="en-NZ" w:eastAsia="en-US"/>
              </w:rPr>
            </w:pPr>
          </w:p>
          <w:p w:rsidR="00234D64" w:rsidRPr="003A3E2B" w:rsidRDefault="00234D64"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Regulator highly selective in the areas </w:t>
            </w:r>
            <w:r w:rsidR="00F318FC">
              <w:rPr>
                <w:rFonts w:eastAsia="Calibri" w:cs="Arial"/>
                <w:sz w:val="20"/>
                <w:szCs w:val="22"/>
                <w:lang w:val="en-NZ" w:eastAsia="en-US"/>
              </w:rPr>
              <w:t>enforced</w:t>
            </w:r>
            <w:r w:rsidRPr="003A3E2B">
              <w:rPr>
                <w:rFonts w:eastAsia="Calibri" w:cs="Arial"/>
                <w:sz w:val="20"/>
                <w:szCs w:val="22"/>
                <w:lang w:val="en-NZ" w:eastAsia="en-US"/>
              </w:rPr>
              <w:t>.</w:t>
            </w:r>
          </w:p>
          <w:p w:rsidR="00234D64" w:rsidRDefault="00234D64" w:rsidP="00471AA4">
            <w:pPr>
              <w:spacing w:after="0" w:line="240" w:lineRule="auto"/>
              <w:rPr>
                <w:rFonts w:eastAsia="Calibri" w:cs="Arial"/>
                <w:sz w:val="20"/>
                <w:szCs w:val="22"/>
                <w:lang w:val="en-NZ" w:eastAsia="en-US"/>
              </w:rPr>
            </w:pPr>
          </w:p>
          <w:p w:rsidR="00234D64" w:rsidRDefault="00234D64"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Prioritising attention and resources to particular enforcement areas only (</w:t>
            </w:r>
            <w:proofErr w:type="spellStart"/>
            <w:r w:rsidRPr="003A3E2B">
              <w:rPr>
                <w:rFonts w:eastAsia="Calibri" w:cs="Arial"/>
                <w:sz w:val="20"/>
                <w:szCs w:val="22"/>
                <w:lang w:val="en-NZ" w:eastAsia="en-US"/>
              </w:rPr>
              <w:t>eg</w:t>
            </w:r>
            <w:proofErr w:type="spellEnd"/>
            <w:r w:rsidRPr="003A3E2B">
              <w:rPr>
                <w:rFonts w:eastAsia="Calibri" w:cs="Arial"/>
                <w:sz w:val="20"/>
                <w:szCs w:val="22"/>
                <w:lang w:val="en-NZ" w:eastAsia="en-US"/>
              </w:rPr>
              <w:t>, areas judged to be higher risk).</w:t>
            </w:r>
          </w:p>
          <w:p w:rsidR="00234D64" w:rsidRDefault="00234D64" w:rsidP="00234D64">
            <w:pPr>
              <w:spacing w:after="0" w:line="240" w:lineRule="auto"/>
              <w:rPr>
                <w:rFonts w:eastAsia="Calibri" w:cs="Arial"/>
                <w:sz w:val="20"/>
                <w:szCs w:val="22"/>
                <w:lang w:val="en-NZ" w:eastAsia="en-US"/>
              </w:rPr>
            </w:pPr>
          </w:p>
        </w:tc>
        <w:tc>
          <w:tcPr>
            <w:tcW w:w="4372" w:type="dxa"/>
            <w:shd w:val="clear" w:color="auto" w:fill="auto"/>
          </w:tcPr>
          <w:p w:rsidR="00C128A7" w:rsidRDefault="007656A7" w:rsidP="00471AA4">
            <w:pPr>
              <w:spacing w:after="0" w:line="240" w:lineRule="auto"/>
              <w:rPr>
                <w:rFonts w:eastAsia="Calibri" w:cs="Arial"/>
                <w:sz w:val="20"/>
                <w:szCs w:val="22"/>
                <w:lang w:val="en-NZ" w:eastAsia="en-US"/>
              </w:rPr>
            </w:pPr>
            <w:r>
              <w:rPr>
                <w:rFonts w:eastAsia="Calibri" w:cs="Arial"/>
                <w:sz w:val="20"/>
                <w:szCs w:val="22"/>
                <w:lang w:val="en-NZ" w:eastAsia="en-US"/>
              </w:rPr>
              <w:t xml:space="preserve">This </w:t>
            </w:r>
            <w:r w:rsidR="00C128A7">
              <w:rPr>
                <w:rFonts w:eastAsia="Calibri" w:cs="Arial"/>
                <w:sz w:val="20"/>
                <w:szCs w:val="22"/>
                <w:lang w:val="en-NZ" w:eastAsia="en-US"/>
              </w:rPr>
              <w:t>is a sub-option relating to how the regulator might operationalise its approach</w:t>
            </w:r>
            <w:r w:rsidR="00D25CBF">
              <w:rPr>
                <w:rFonts w:eastAsia="Calibri" w:cs="Arial"/>
                <w:sz w:val="20"/>
                <w:szCs w:val="22"/>
                <w:lang w:val="en-NZ" w:eastAsia="en-US"/>
              </w:rPr>
              <w:t xml:space="preserve"> (the regulator has the same powers as under Option 1)</w:t>
            </w:r>
            <w:r w:rsidR="00C128A7">
              <w:rPr>
                <w:rFonts w:eastAsia="Calibri" w:cs="Arial"/>
                <w:sz w:val="20"/>
                <w:szCs w:val="22"/>
                <w:lang w:val="en-NZ" w:eastAsia="en-US"/>
              </w:rPr>
              <w:t>.</w:t>
            </w:r>
          </w:p>
          <w:p w:rsidR="00C128A7" w:rsidRDefault="00C128A7" w:rsidP="00471AA4">
            <w:pPr>
              <w:spacing w:after="0" w:line="240" w:lineRule="auto"/>
              <w:rPr>
                <w:rFonts w:eastAsia="Calibri" w:cs="Arial"/>
                <w:sz w:val="20"/>
                <w:szCs w:val="22"/>
                <w:lang w:val="en-NZ" w:eastAsia="en-US"/>
              </w:rPr>
            </w:pPr>
          </w:p>
          <w:p w:rsidR="00234D64" w:rsidRPr="003A3E2B" w:rsidRDefault="00C128A7" w:rsidP="00471AA4">
            <w:pPr>
              <w:spacing w:after="0" w:line="240" w:lineRule="auto"/>
              <w:rPr>
                <w:rFonts w:eastAsia="Calibri" w:cs="Arial"/>
                <w:sz w:val="20"/>
                <w:szCs w:val="22"/>
                <w:lang w:val="en-NZ" w:eastAsia="en-US"/>
              </w:rPr>
            </w:pPr>
            <w:r>
              <w:rPr>
                <w:rFonts w:eastAsia="Calibri" w:cs="Arial"/>
                <w:sz w:val="20"/>
                <w:szCs w:val="22"/>
                <w:lang w:val="en-NZ" w:eastAsia="en-US"/>
              </w:rPr>
              <w:t>It would be up to the regulator to decide the most cost-effective approach overall</w:t>
            </w:r>
            <w:r w:rsidR="00D25CBF">
              <w:rPr>
                <w:rFonts w:eastAsia="Calibri" w:cs="Arial"/>
                <w:sz w:val="20"/>
                <w:szCs w:val="22"/>
                <w:lang w:val="en-NZ" w:eastAsia="en-US"/>
              </w:rPr>
              <w:t>, and to modify that approach as necessary in the light of experience</w:t>
            </w:r>
            <w:r>
              <w:rPr>
                <w:rFonts w:eastAsia="Calibri" w:cs="Arial"/>
                <w:sz w:val="20"/>
                <w:szCs w:val="22"/>
                <w:lang w:val="en-NZ" w:eastAsia="en-US"/>
              </w:rPr>
              <w:t>.</w:t>
            </w:r>
          </w:p>
          <w:p w:rsidR="00234D64" w:rsidRPr="003A3E2B" w:rsidRDefault="00234D64" w:rsidP="003A3E2B">
            <w:pPr>
              <w:spacing w:after="0" w:line="240" w:lineRule="auto"/>
              <w:rPr>
                <w:rFonts w:eastAsia="Calibri" w:cs="Arial"/>
                <w:sz w:val="20"/>
                <w:szCs w:val="22"/>
                <w:lang w:val="en-NZ" w:eastAsia="en-US"/>
              </w:rPr>
            </w:pPr>
          </w:p>
        </w:tc>
      </w:tr>
      <w:tr w:rsidR="00234D64" w:rsidRPr="003A3E2B" w:rsidTr="00471AA4">
        <w:tc>
          <w:tcPr>
            <w:tcW w:w="1526" w:type="dxa"/>
            <w:shd w:val="clear" w:color="auto" w:fill="auto"/>
          </w:tcPr>
          <w:p w:rsidR="00234D64" w:rsidRDefault="00234D64"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 xml:space="preserve">Option 1b – </w:t>
            </w:r>
          </w:p>
          <w:p w:rsidR="00234D64" w:rsidRDefault="00234D64" w:rsidP="003A3E2B">
            <w:pPr>
              <w:spacing w:after="0" w:line="240" w:lineRule="auto"/>
              <w:rPr>
                <w:rFonts w:eastAsia="Calibri" w:cs="Arial"/>
                <w:sz w:val="20"/>
                <w:szCs w:val="22"/>
                <w:lang w:val="en-NZ" w:eastAsia="en-US"/>
              </w:rPr>
            </w:pPr>
          </w:p>
          <w:p w:rsidR="00234D64" w:rsidRPr="003A3E2B" w:rsidRDefault="00234D64" w:rsidP="003A3E2B">
            <w:pPr>
              <w:spacing w:after="0" w:line="240" w:lineRule="auto"/>
              <w:rPr>
                <w:rFonts w:eastAsia="Calibri" w:cs="Arial"/>
                <w:sz w:val="20"/>
                <w:szCs w:val="22"/>
                <w:lang w:val="en-NZ" w:eastAsia="en-US"/>
              </w:rPr>
            </w:pPr>
            <w:r w:rsidRPr="003A3E2B">
              <w:rPr>
                <w:rFonts w:eastAsia="Calibri" w:cs="Arial"/>
                <w:sz w:val="20"/>
                <w:szCs w:val="22"/>
                <w:lang w:val="en-NZ" w:eastAsia="en-US"/>
              </w:rPr>
              <w:t>Reduced focus on enforcement</w:t>
            </w:r>
          </w:p>
        </w:tc>
        <w:tc>
          <w:tcPr>
            <w:tcW w:w="3118" w:type="dxa"/>
            <w:shd w:val="clear" w:color="auto" w:fill="auto"/>
          </w:tcPr>
          <w:p w:rsidR="00234D64" w:rsidRPr="003A3E2B" w:rsidRDefault="00234D64"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As for option 1 above (enhanced powers and penalties) – plus:</w:t>
            </w:r>
          </w:p>
          <w:p w:rsidR="00234D64" w:rsidRDefault="00234D64" w:rsidP="00471AA4">
            <w:pPr>
              <w:spacing w:after="0" w:line="240" w:lineRule="auto"/>
              <w:rPr>
                <w:rFonts w:eastAsia="Calibri" w:cs="Arial"/>
                <w:sz w:val="20"/>
                <w:szCs w:val="22"/>
                <w:lang w:val="en-NZ" w:eastAsia="en-US"/>
              </w:rPr>
            </w:pPr>
          </w:p>
          <w:p w:rsidR="00234D64" w:rsidRPr="003A3E2B" w:rsidRDefault="00234D64"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Regulator less proactive in enforcement, focusing on pre-market regulatory activities.</w:t>
            </w:r>
          </w:p>
          <w:p w:rsidR="00234D64" w:rsidRDefault="00234D64" w:rsidP="00471AA4">
            <w:pPr>
              <w:spacing w:after="0" w:line="240" w:lineRule="auto"/>
              <w:rPr>
                <w:rFonts w:eastAsia="Calibri" w:cs="Arial"/>
                <w:sz w:val="20"/>
                <w:szCs w:val="22"/>
                <w:lang w:val="en-NZ" w:eastAsia="en-US"/>
              </w:rPr>
            </w:pPr>
          </w:p>
          <w:p w:rsidR="00234D64" w:rsidRDefault="00234D64" w:rsidP="00471AA4">
            <w:pPr>
              <w:spacing w:after="0" w:line="240" w:lineRule="auto"/>
              <w:rPr>
                <w:rFonts w:eastAsia="Calibri" w:cs="Arial"/>
                <w:sz w:val="20"/>
                <w:szCs w:val="22"/>
                <w:lang w:val="en-NZ" w:eastAsia="en-US"/>
              </w:rPr>
            </w:pPr>
            <w:r w:rsidRPr="003A3E2B">
              <w:rPr>
                <w:rFonts w:eastAsia="Calibri" w:cs="Arial"/>
                <w:sz w:val="20"/>
                <w:szCs w:val="22"/>
                <w:lang w:val="en-NZ" w:eastAsia="en-US"/>
              </w:rPr>
              <w:t>Objective to minimise post-market problems, and to a capability that would enable a rapid/robust response to any post-market issues that emerge.</w:t>
            </w:r>
          </w:p>
          <w:p w:rsidR="00234D64" w:rsidRDefault="00234D64" w:rsidP="00234D64">
            <w:pPr>
              <w:spacing w:after="0" w:line="240" w:lineRule="auto"/>
              <w:rPr>
                <w:rFonts w:eastAsia="Calibri" w:cs="Arial"/>
                <w:sz w:val="20"/>
                <w:szCs w:val="22"/>
                <w:lang w:val="en-NZ" w:eastAsia="en-US"/>
              </w:rPr>
            </w:pPr>
          </w:p>
        </w:tc>
        <w:tc>
          <w:tcPr>
            <w:tcW w:w="4372" w:type="dxa"/>
            <w:shd w:val="clear" w:color="auto" w:fill="auto"/>
          </w:tcPr>
          <w:p w:rsidR="00234D64" w:rsidRDefault="00C128A7" w:rsidP="003A3E2B">
            <w:pPr>
              <w:spacing w:after="0" w:line="240" w:lineRule="auto"/>
              <w:rPr>
                <w:rFonts w:eastAsia="Calibri" w:cs="Arial"/>
                <w:sz w:val="20"/>
                <w:szCs w:val="22"/>
                <w:lang w:val="en-NZ" w:eastAsia="en-US"/>
              </w:rPr>
            </w:pPr>
            <w:r>
              <w:rPr>
                <w:rFonts w:eastAsia="Calibri" w:cs="Arial"/>
                <w:sz w:val="20"/>
                <w:szCs w:val="22"/>
                <w:lang w:val="en-NZ" w:eastAsia="en-US"/>
              </w:rPr>
              <w:t>This is also is a sub-option relating to how the regulator might operationalise its approach</w:t>
            </w:r>
            <w:r w:rsidR="00D25CBF">
              <w:rPr>
                <w:rFonts w:eastAsia="Calibri" w:cs="Arial"/>
                <w:sz w:val="20"/>
                <w:szCs w:val="22"/>
                <w:lang w:val="en-NZ" w:eastAsia="en-US"/>
              </w:rPr>
              <w:t xml:space="preserve"> (the regulator has the same powers as under Option 1).</w:t>
            </w:r>
          </w:p>
          <w:p w:rsidR="00D25CBF" w:rsidRDefault="00D25CBF" w:rsidP="003A3E2B">
            <w:pPr>
              <w:spacing w:after="0" w:line="240" w:lineRule="auto"/>
              <w:rPr>
                <w:rFonts w:eastAsia="Calibri" w:cs="Arial"/>
                <w:sz w:val="20"/>
                <w:szCs w:val="22"/>
                <w:lang w:val="en-NZ" w:eastAsia="en-US"/>
              </w:rPr>
            </w:pPr>
          </w:p>
          <w:p w:rsidR="00D25CBF" w:rsidRPr="003A3E2B" w:rsidRDefault="00D25CBF" w:rsidP="00D25CBF">
            <w:pPr>
              <w:spacing w:after="0" w:line="240" w:lineRule="auto"/>
              <w:rPr>
                <w:rFonts w:eastAsia="Calibri" w:cs="Arial"/>
                <w:sz w:val="20"/>
                <w:szCs w:val="22"/>
                <w:lang w:val="en-NZ" w:eastAsia="en-US"/>
              </w:rPr>
            </w:pPr>
            <w:r>
              <w:rPr>
                <w:rFonts w:eastAsia="Calibri" w:cs="Arial"/>
                <w:sz w:val="20"/>
                <w:szCs w:val="22"/>
                <w:lang w:val="en-NZ" w:eastAsia="en-US"/>
              </w:rPr>
              <w:t>Similarly, it would be up to the regulator to decide the most cost-effective approach overall, and to modify that approach as necessary in the light of experience.</w:t>
            </w:r>
          </w:p>
          <w:p w:rsidR="00D25CBF" w:rsidRPr="003A3E2B" w:rsidRDefault="00D25CBF" w:rsidP="00D25CBF">
            <w:pPr>
              <w:spacing w:after="0" w:line="240" w:lineRule="auto"/>
              <w:rPr>
                <w:rFonts w:eastAsia="Calibri" w:cs="Arial"/>
                <w:sz w:val="20"/>
                <w:szCs w:val="22"/>
                <w:lang w:val="en-NZ" w:eastAsia="en-US"/>
              </w:rPr>
            </w:pPr>
          </w:p>
        </w:tc>
      </w:tr>
    </w:tbl>
    <w:p w:rsidR="006C73FD" w:rsidRDefault="000E054D" w:rsidP="00AC1201">
      <w:pPr>
        <w:pStyle w:val="Heading3"/>
        <w:spacing w:after="240"/>
      </w:pPr>
      <w:r>
        <w:t>Part B: Expected i</w:t>
      </w:r>
      <w:r w:rsidR="006C73FD">
        <w:t xml:space="preserve">mpacts for </w:t>
      </w:r>
      <w:r>
        <w:t>p</w:t>
      </w:r>
      <w:r w:rsidR="006C73FD">
        <w:t xml:space="preserve">referred </w:t>
      </w:r>
      <w:r>
        <w:t>a</w:t>
      </w:r>
      <w:r w:rsidR="00015CB6">
        <w:t>pproach</w:t>
      </w:r>
    </w:p>
    <w:p w:rsidR="006C73FD" w:rsidRPr="00901987" w:rsidRDefault="006C73FD" w:rsidP="006C73FD">
      <w:pPr>
        <w:spacing w:after="0" w:line="240" w:lineRule="auto"/>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945"/>
        <w:gridCol w:w="5375"/>
      </w:tblGrid>
      <w:tr w:rsidR="006C73FD" w:rsidRPr="00A85FB6" w:rsidTr="00A85FB6">
        <w:trPr>
          <w:tblHeader/>
        </w:trPr>
        <w:tc>
          <w:tcPr>
            <w:tcW w:w="1696" w:type="dxa"/>
            <w:shd w:val="clear" w:color="auto" w:fill="DEEAF6"/>
          </w:tcPr>
          <w:p w:rsidR="006C73FD" w:rsidRPr="00A85FB6" w:rsidRDefault="006C73FD" w:rsidP="00A85FB6">
            <w:pPr>
              <w:spacing w:after="0" w:line="240" w:lineRule="auto"/>
              <w:jc w:val="both"/>
              <w:rPr>
                <w:rFonts w:cs="Arial"/>
                <w:b/>
                <w:sz w:val="24"/>
                <w:szCs w:val="24"/>
              </w:rPr>
            </w:pPr>
            <w:r w:rsidRPr="00A85FB6">
              <w:rPr>
                <w:rFonts w:cs="Arial"/>
                <w:b/>
                <w:sz w:val="24"/>
                <w:szCs w:val="24"/>
              </w:rPr>
              <w:t>Area</w:t>
            </w:r>
          </w:p>
          <w:p w:rsidR="006C73FD" w:rsidRPr="00A85FB6" w:rsidRDefault="006C73FD" w:rsidP="00A85FB6">
            <w:pPr>
              <w:spacing w:after="0" w:line="240" w:lineRule="auto"/>
              <w:jc w:val="both"/>
              <w:rPr>
                <w:rFonts w:cs="Arial"/>
                <w:b/>
                <w:sz w:val="24"/>
                <w:szCs w:val="24"/>
              </w:rPr>
            </w:pPr>
          </w:p>
        </w:tc>
        <w:tc>
          <w:tcPr>
            <w:tcW w:w="1945" w:type="dxa"/>
            <w:shd w:val="clear" w:color="auto" w:fill="DEEAF6"/>
          </w:tcPr>
          <w:p w:rsidR="006C73FD" w:rsidRPr="00A85FB6" w:rsidRDefault="006C73FD" w:rsidP="00A85FB6">
            <w:pPr>
              <w:spacing w:after="0" w:line="240" w:lineRule="auto"/>
              <w:jc w:val="both"/>
              <w:rPr>
                <w:rFonts w:cs="Arial"/>
                <w:b/>
                <w:sz w:val="24"/>
                <w:szCs w:val="24"/>
              </w:rPr>
            </w:pPr>
            <w:r w:rsidRPr="00A85FB6">
              <w:rPr>
                <w:rFonts w:cs="Arial"/>
                <w:b/>
                <w:sz w:val="24"/>
                <w:szCs w:val="24"/>
              </w:rPr>
              <w:t>Change</w:t>
            </w:r>
          </w:p>
        </w:tc>
        <w:tc>
          <w:tcPr>
            <w:tcW w:w="5375" w:type="dxa"/>
            <w:shd w:val="clear" w:color="auto" w:fill="DEEAF6"/>
          </w:tcPr>
          <w:p w:rsidR="006C73FD" w:rsidRPr="00A85FB6" w:rsidRDefault="006C73FD" w:rsidP="00A85FB6">
            <w:pPr>
              <w:spacing w:after="0" w:line="240" w:lineRule="auto"/>
              <w:jc w:val="both"/>
              <w:rPr>
                <w:rFonts w:cs="Arial"/>
                <w:b/>
                <w:sz w:val="24"/>
                <w:szCs w:val="24"/>
              </w:rPr>
            </w:pPr>
            <w:r w:rsidRPr="00A85FB6">
              <w:rPr>
                <w:rFonts w:cs="Arial"/>
                <w:b/>
                <w:sz w:val="24"/>
                <w:szCs w:val="24"/>
              </w:rPr>
              <w:t>Impacts</w:t>
            </w:r>
            <w:r w:rsidR="003C2219">
              <w:rPr>
                <w:rFonts w:cs="Arial"/>
                <w:b/>
                <w:sz w:val="24"/>
                <w:szCs w:val="24"/>
              </w:rPr>
              <w:t xml:space="preserve"> / incidence / risks</w:t>
            </w:r>
          </w:p>
        </w:tc>
      </w:tr>
      <w:tr w:rsidR="006C73FD" w:rsidTr="00A85FB6">
        <w:tc>
          <w:tcPr>
            <w:tcW w:w="1696" w:type="dxa"/>
            <w:shd w:val="clear" w:color="auto" w:fill="auto"/>
          </w:tcPr>
          <w:p w:rsidR="006C73FD" w:rsidRPr="00A85FB6" w:rsidRDefault="006C73FD" w:rsidP="00A85FB6">
            <w:pPr>
              <w:spacing w:after="0" w:line="240" w:lineRule="auto"/>
              <w:rPr>
                <w:rFonts w:cs="Arial"/>
                <w:sz w:val="20"/>
              </w:rPr>
            </w:pPr>
            <w:r w:rsidRPr="00A85FB6">
              <w:rPr>
                <w:rFonts w:cs="Arial"/>
                <w:sz w:val="20"/>
              </w:rPr>
              <w:t>Legislation and regulations</w:t>
            </w:r>
          </w:p>
        </w:tc>
        <w:tc>
          <w:tcPr>
            <w:tcW w:w="1945" w:type="dxa"/>
            <w:shd w:val="clear" w:color="auto" w:fill="auto"/>
          </w:tcPr>
          <w:p w:rsidR="006C73FD" w:rsidRPr="00A85FB6" w:rsidRDefault="007C3FE9" w:rsidP="00A85FB6">
            <w:pPr>
              <w:spacing w:after="0" w:line="240" w:lineRule="auto"/>
              <w:rPr>
                <w:rFonts w:cs="Arial"/>
                <w:sz w:val="20"/>
              </w:rPr>
            </w:pPr>
            <w:r w:rsidRPr="00A85FB6">
              <w:rPr>
                <w:rFonts w:cs="Arial"/>
                <w:sz w:val="20"/>
              </w:rPr>
              <w:t>R</w:t>
            </w:r>
            <w:r w:rsidR="006C73FD" w:rsidRPr="00A85FB6">
              <w:rPr>
                <w:rFonts w:cs="Arial"/>
                <w:sz w:val="20"/>
              </w:rPr>
              <w:t xml:space="preserve">eplace the Medicines Act and Regulations with new legislation.  </w:t>
            </w:r>
          </w:p>
        </w:tc>
        <w:tc>
          <w:tcPr>
            <w:tcW w:w="5375" w:type="dxa"/>
            <w:shd w:val="clear" w:color="auto" w:fill="auto"/>
          </w:tcPr>
          <w:p w:rsidR="006C73FD" w:rsidRPr="00A85FB6" w:rsidRDefault="006C73FD" w:rsidP="0047742F">
            <w:pPr>
              <w:pStyle w:val="ListParagraph"/>
              <w:numPr>
                <w:ilvl w:val="0"/>
                <w:numId w:val="7"/>
              </w:numPr>
              <w:spacing w:after="0" w:line="240" w:lineRule="auto"/>
              <w:rPr>
                <w:rFonts w:cs="Arial"/>
                <w:sz w:val="20"/>
              </w:rPr>
            </w:pPr>
            <w:r w:rsidRPr="00A85FB6">
              <w:rPr>
                <w:rFonts w:cs="Arial"/>
                <w:sz w:val="20"/>
              </w:rPr>
              <w:t xml:space="preserve">Administrative cost for government in developing and implementing new legislation.  </w:t>
            </w:r>
          </w:p>
          <w:p w:rsidR="006C73FD" w:rsidRPr="00A85FB6" w:rsidRDefault="006C73FD" w:rsidP="0047742F">
            <w:pPr>
              <w:pStyle w:val="ListParagraph"/>
              <w:numPr>
                <w:ilvl w:val="0"/>
                <w:numId w:val="7"/>
              </w:numPr>
              <w:spacing w:after="0" w:line="240" w:lineRule="auto"/>
              <w:rPr>
                <w:rFonts w:cs="Arial"/>
                <w:sz w:val="20"/>
              </w:rPr>
            </w:pPr>
            <w:r w:rsidRPr="00A85FB6">
              <w:rPr>
                <w:rFonts w:cs="Arial"/>
                <w:sz w:val="20"/>
              </w:rPr>
              <w:t>Potential efficiencies over time (</w:t>
            </w:r>
            <w:proofErr w:type="spellStart"/>
            <w:r w:rsidRPr="00A85FB6">
              <w:rPr>
                <w:rFonts w:cs="Arial"/>
                <w:sz w:val="20"/>
              </w:rPr>
              <w:t>eg</w:t>
            </w:r>
            <w:proofErr w:type="spellEnd"/>
            <w:r w:rsidRPr="00A85FB6">
              <w:rPr>
                <w:rFonts w:cs="Arial"/>
                <w:sz w:val="20"/>
              </w:rPr>
              <w:t xml:space="preserve">, with leaner. more streamlined primary statute, reduced need to change legislation).   </w:t>
            </w:r>
          </w:p>
          <w:p w:rsidR="006C73FD" w:rsidRPr="00A85FB6" w:rsidRDefault="006C73FD" w:rsidP="0047742F">
            <w:pPr>
              <w:pStyle w:val="ListParagraph"/>
              <w:numPr>
                <w:ilvl w:val="0"/>
                <w:numId w:val="7"/>
              </w:numPr>
              <w:spacing w:after="0" w:line="240" w:lineRule="auto"/>
              <w:rPr>
                <w:rFonts w:cs="Arial"/>
                <w:sz w:val="20"/>
              </w:rPr>
            </w:pPr>
            <w:r w:rsidRPr="00A85FB6">
              <w:rPr>
                <w:rFonts w:cs="Arial"/>
                <w:sz w:val="20"/>
              </w:rPr>
              <w:t>Minor costs for industry (</w:t>
            </w:r>
            <w:proofErr w:type="spellStart"/>
            <w:r w:rsidRPr="00A85FB6">
              <w:rPr>
                <w:rFonts w:cs="Arial"/>
                <w:sz w:val="20"/>
              </w:rPr>
              <w:t>eg</w:t>
            </w:r>
            <w:proofErr w:type="spellEnd"/>
            <w:r w:rsidRPr="00A85FB6">
              <w:rPr>
                <w:rFonts w:cs="Arial"/>
                <w:sz w:val="20"/>
              </w:rPr>
              <w:t>, consultation).</w:t>
            </w:r>
          </w:p>
          <w:p w:rsidR="00E42980" w:rsidRPr="00C34B30" w:rsidRDefault="006C73FD" w:rsidP="0047742F">
            <w:pPr>
              <w:pStyle w:val="ListParagraph"/>
              <w:numPr>
                <w:ilvl w:val="0"/>
                <w:numId w:val="7"/>
              </w:numPr>
              <w:spacing w:after="0" w:line="240" w:lineRule="auto"/>
              <w:rPr>
                <w:rFonts w:cs="Arial"/>
                <w:sz w:val="20"/>
              </w:rPr>
            </w:pPr>
            <w:r w:rsidRPr="00A85FB6">
              <w:rPr>
                <w:rFonts w:cs="Arial"/>
                <w:sz w:val="20"/>
              </w:rPr>
              <w:t xml:space="preserve">Costs largely managed within existing baseline budgets. </w:t>
            </w:r>
          </w:p>
        </w:tc>
      </w:tr>
      <w:tr w:rsidR="006C73FD" w:rsidTr="00A85FB6">
        <w:tc>
          <w:tcPr>
            <w:tcW w:w="1696" w:type="dxa"/>
            <w:shd w:val="clear" w:color="auto" w:fill="auto"/>
          </w:tcPr>
          <w:p w:rsidR="006C73FD" w:rsidRPr="00A85FB6" w:rsidRDefault="00A01064" w:rsidP="00A01064">
            <w:pPr>
              <w:spacing w:after="0" w:line="240" w:lineRule="auto"/>
              <w:rPr>
                <w:rFonts w:cs="Arial"/>
                <w:sz w:val="20"/>
              </w:rPr>
            </w:pPr>
            <w:r>
              <w:rPr>
                <w:rFonts w:cs="Arial"/>
                <w:sz w:val="20"/>
              </w:rPr>
              <w:t>Purpose</w:t>
            </w:r>
            <w:r w:rsidR="006C73FD" w:rsidRPr="00A85FB6">
              <w:rPr>
                <w:rFonts w:cs="Arial"/>
                <w:sz w:val="20"/>
              </w:rPr>
              <w:t xml:space="preserve"> </w:t>
            </w:r>
          </w:p>
        </w:tc>
        <w:tc>
          <w:tcPr>
            <w:tcW w:w="1945" w:type="dxa"/>
            <w:shd w:val="clear" w:color="auto" w:fill="auto"/>
          </w:tcPr>
          <w:p w:rsidR="006C73FD" w:rsidRPr="00A85FB6" w:rsidRDefault="007C3FE9" w:rsidP="00A85FB6">
            <w:pPr>
              <w:spacing w:after="0" w:line="240" w:lineRule="auto"/>
              <w:rPr>
                <w:rFonts w:cs="Arial"/>
                <w:sz w:val="20"/>
              </w:rPr>
            </w:pPr>
            <w:r w:rsidRPr="00A85FB6">
              <w:rPr>
                <w:rFonts w:cs="Arial"/>
                <w:sz w:val="20"/>
              </w:rPr>
              <w:t xml:space="preserve">Develop </w:t>
            </w:r>
            <w:r w:rsidR="006C73FD" w:rsidRPr="00A85FB6">
              <w:rPr>
                <w:rFonts w:cs="Arial"/>
                <w:sz w:val="20"/>
              </w:rPr>
              <w:t>a purpose statement and principles to guide decisions by the regulator</w:t>
            </w:r>
            <w:r w:rsidRPr="00A85FB6">
              <w:rPr>
                <w:rFonts w:cs="Arial"/>
                <w:sz w:val="20"/>
              </w:rPr>
              <w:t xml:space="preserve"> (none at present)</w:t>
            </w:r>
            <w:r w:rsidR="006C73FD" w:rsidRPr="00A85FB6">
              <w:rPr>
                <w:rFonts w:cs="Arial"/>
                <w:sz w:val="20"/>
              </w:rPr>
              <w:t>.</w:t>
            </w:r>
          </w:p>
        </w:tc>
        <w:tc>
          <w:tcPr>
            <w:tcW w:w="5375" w:type="dxa"/>
            <w:shd w:val="clear" w:color="auto" w:fill="auto"/>
          </w:tcPr>
          <w:p w:rsidR="006C73FD" w:rsidRPr="00A85FB6" w:rsidRDefault="006C73FD" w:rsidP="0047742F">
            <w:pPr>
              <w:pStyle w:val="ListParagraph"/>
              <w:numPr>
                <w:ilvl w:val="0"/>
                <w:numId w:val="8"/>
              </w:numPr>
              <w:spacing w:after="0" w:line="240" w:lineRule="auto"/>
              <w:rPr>
                <w:rFonts w:cs="Arial"/>
                <w:sz w:val="20"/>
              </w:rPr>
            </w:pPr>
            <w:r w:rsidRPr="00A85FB6">
              <w:rPr>
                <w:rFonts w:cs="Arial"/>
                <w:sz w:val="20"/>
              </w:rPr>
              <w:t>Life-cycle approach to therapeutic product</w:t>
            </w:r>
            <w:r w:rsidR="007C3FE9" w:rsidRPr="00A85FB6">
              <w:rPr>
                <w:rFonts w:cs="Arial"/>
                <w:sz w:val="20"/>
              </w:rPr>
              <w:t>s and related activities.</w:t>
            </w:r>
          </w:p>
          <w:p w:rsidR="006C73FD" w:rsidRPr="00A85FB6" w:rsidRDefault="006C73FD" w:rsidP="0047742F">
            <w:pPr>
              <w:pStyle w:val="ListParagraph"/>
              <w:numPr>
                <w:ilvl w:val="0"/>
                <w:numId w:val="8"/>
              </w:numPr>
              <w:spacing w:after="0" w:line="240" w:lineRule="auto"/>
              <w:rPr>
                <w:rFonts w:cs="Arial"/>
                <w:sz w:val="20"/>
              </w:rPr>
            </w:pPr>
            <w:r w:rsidRPr="00A85FB6">
              <w:rPr>
                <w:rFonts w:cs="Arial"/>
                <w:sz w:val="20"/>
              </w:rPr>
              <w:t>More risk-appropriate approach.</w:t>
            </w:r>
          </w:p>
          <w:p w:rsidR="006C73FD" w:rsidRPr="00A85FB6" w:rsidRDefault="006C73FD" w:rsidP="0047742F">
            <w:pPr>
              <w:pStyle w:val="ListParagraph"/>
              <w:numPr>
                <w:ilvl w:val="0"/>
                <w:numId w:val="8"/>
              </w:numPr>
              <w:spacing w:after="0" w:line="240" w:lineRule="auto"/>
              <w:rPr>
                <w:rFonts w:cs="Arial"/>
                <w:sz w:val="20"/>
              </w:rPr>
            </w:pPr>
            <w:r w:rsidRPr="00A85FB6">
              <w:rPr>
                <w:rFonts w:cs="Arial"/>
                <w:sz w:val="20"/>
              </w:rPr>
              <w:t xml:space="preserve">Regulatory scrutiny risk-proportionate. </w:t>
            </w:r>
          </w:p>
          <w:p w:rsidR="006C73FD" w:rsidRDefault="006C73FD" w:rsidP="0047742F">
            <w:pPr>
              <w:pStyle w:val="ListParagraph"/>
              <w:numPr>
                <w:ilvl w:val="0"/>
                <w:numId w:val="8"/>
              </w:numPr>
              <w:spacing w:after="0" w:line="240" w:lineRule="auto"/>
              <w:rPr>
                <w:rFonts w:cs="Arial"/>
                <w:sz w:val="20"/>
              </w:rPr>
            </w:pPr>
            <w:r w:rsidRPr="00A85FB6">
              <w:rPr>
                <w:rFonts w:cs="Arial"/>
                <w:sz w:val="20"/>
              </w:rPr>
              <w:t>More effective risk management (</w:t>
            </w:r>
            <w:r w:rsidR="007C3FE9" w:rsidRPr="00A85FB6">
              <w:rPr>
                <w:rFonts w:cs="Arial"/>
                <w:sz w:val="20"/>
              </w:rPr>
              <w:t>r</w:t>
            </w:r>
            <w:r w:rsidRPr="00A85FB6">
              <w:rPr>
                <w:rFonts w:cs="Arial"/>
                <w:sz w:val="20"/>
              </w:rPr>
              <w:t>egulator optimise</w:t>
            </w:r>
            <w:r w:rsidR="0093238B">
              <w:rPr>
                <w:rFonts w:cs="Arial"/>
                <w:sz w:val="20"/>
              </w:rPr>
              <w:t xml:space="preserve">s </w:t>
            </w:r>
            <w:r w:rsidRPr="00A85FB6">
              <w:rPr>
                <w:rFonts w:cs="Arial"/>
                <w:sz w:val="20"/>
              </w:rPr>
              <w:t>resources across the spectrum of its responsibilities).</w:t>
            </w:r>
          </w:p>
          <w:p w:rsidR="00E42980" w:rsidRPr="00A85FB6" w:rsidRDefault="00E42980" w:rsidP="00E42980">
            <w:pPr>
              <w:pStyle w:val="ListParagraph"/>
              <w:spacing w:after="0" w:line="240" w:lineRule="auto"/>
              <w:ind w:left="360"/>
              <w:rPr>
                <w:rFonts w:cs="Arial"/>
                <w:sz w:val="20"/>
              </w:rPr>
            </w:pPr>
          </w:p>
        </w:tc>
      </w:tr>
      <w:tr w:rsidR="006C73FD" w:rsidTr="00A85FB6">
        <w:tc>
          <w:tcPr>
            <w:tcW w:w="1696" w:type="dxa"/>
            <w:shd w:val="clear" w:color="auto" w:fill="auto"/>
          </w:tcPr>
          <w:p w:rsidR="006C73FD" w:rsidRPr="00A85FB6" w:rsidRDefault="006C73FD" w:rsidP="00A85FB6">
            <w:pPr>
              <w:spacing w:after="0" w:line="240" w:lineRule="auto"/>
              <w:rPr>
                <w:rFonts w:cs="Arial"/>
                <w:sz w:val="20"/>
              </w:rPr>
            </w:pPr>
            <w:r w:rsidRPr="00A85FB6">
              <w:rPr>
                <w:rFonts w:cs="Arial"/>
                <w:sz w:val="20"/>
              </w:rPr>
              <w:t>Scope</w:t>
            </w:r>
          </w:p>
          <w:p w:rsidR="006C73FD" w:rsidRPr="00A85FB6" w:rsidRDefault="006C73FD" w:rsidP="00A85FB6">
            <w:pPr>
              <w:spacing w:after="0" w:line="240" w:lineRule="auto"/>
              <w:rPr>
                <w:rFonts w:cs="Arial"/>
                <w:sz w:val="20"/>
              </w:rPr>
            </w:pPr>
          </w:p>
          <w:p w:rsidR="006C73FD" w:rsidRPr="00A85FB6" w:rsidRDefault="006C73FD" w:rsidP="00A85FB6">
            <w:pPr>
              <w:spacing w:after="0" w:line="240" w:lineRule="auto"/>
              <w:rPr>
                <w:rFonts w:cs="Arial"/>
                <w:sz w:val="20"/>
              </w:rPr>
            </w:pPr>
            <w:r w:rsidRPr="00A85FB6">
              <w:rPr>
                <w:rFonts w:cs="Arial"/>
                <w:i/>
                <w:sz w:val="20"/>
              </w:rPr>
              <w:t>Medical devices</w:t>
            </w:r>
            <w:r w:rsidRPr="00A85FB6">
              <w:rPr>
                <w:rFonts w:cs="Arial"/>
                <w:sz w:val="20"/>
              </w:rPr>
              <w:t xml:space="preserve"> </w:t>
            </w:r>
          </w:p>
          <w:p w:rsidR="006C73FD" w:rsidRDefault="006C73FD" w:rsidP="00A85FB6">
            <w:pPr>
              <w:spacing w:after="0" w:line="240" w:lineRule="auto"/>
              <w:rPr>
                <w:rFonts w:cs="Arial"/>
                <w:sz w:val="20"/>
              </w:rPr>
            </w:pPr>
          </w:p>
          <w:p w:rsidR="00A97501" w:rsidRDefault="00A97501" w:rsidP="00A85FB6">
            <w:pPr>
              <w:spacing w:after="0" w:line="240" w:lineRule="auto"/>
              <w:rPr>
                <w:rFonts w:cs="Arial"/>
                <w:sz w:val="20"/>
              </w:rPr>
            </w:pPr>
          </w:p>
          <w:p w:rsidR="00A97501" w:rsidRDefault="00A97501" w:rsidP="00A85FB6">
            <w:pPr>
              <w:spacing w:after="0" w:line="240" w:lineRule="auto"/>
              <w:rPr>
                <w:rFonts w:cs="Arial"/>
                <w:i/>
                <w:sz w:val="20"/>
              </w:rPr>
            </w:pPr>
          </w:p>
          <w:p w:rsidR="00A97501" w:rsidRDefault="00A97501" w:rsidP="00A85FB6">
            <w:pPr>
              <w:spacing w:after="0" w:line="240" w:lineRule="auto"/>
              <w:rPr>
                <w:rFonts w:cs="Arial"/>
                <w:i/>
                <w:sz w:val="20"/>
              </w:rPr>
            </w:pPr>
          </w:p>
          <w:p w:rsidR="00A97501" w:rsidRDefault="00A97501" w:rsidP="00A85FB6">
            <w:pPr>
              <w:spacing w:after="0" w:line="240" w:lineRule="auto"/>
              <w:rPr>
                <w:rFonts w:cs="Arial"/>
                <w:i/>
                <w:sz w:val="20"/>
              </w:rPr>
            </w:pPr>
          </w:p>
          <w:p w:rsidR="00E42980" w:rsidRDefault="00E42980" w:rsidP="00A85FB6">
            <w:pPr>
              <w:spacing w:after="0" w:line="240" w:lineRule="auto"/>
              <w:rPr>
                <w:rFonts w:cs="Arial"/>
                <w:i/>
                <w:sz w:val="20"/>
              </w:rPr>
            </w:pPr>
          </w:p>
          <w:p w:rsidR="00A97501" w:rsidRDefault="00A97501" w:rsidP="00A85FB6">
            <w:pPr>
              <w:spacing w:after="0" w:line="240" w:lineRule="auto"/>
              <w:rPr>
                <w:rFonts w:cs="Arial"/>
                <w:i/>
                <w:sz w:val="20"/>
              </w:rPr>
            </w:pPr>
          </w:p>
          <w:p w:rsidR="00E42980" w:rsidRDefault="00E42980" w:rsidP="00A85FB6">
            <w:pPr>
              <w:spacing w:after="0" w:line="240" w:lineRule="auto"/>
              <w:rPr>
                <w:rFonts w:cs="Arial"/>
                <w:i/>
                <w:sz w:val="20"/>
              </w:rPr>
            </w:pPr>
          </w:p>
          <w:p w:rsidR="006453D9" w:rsidRDefault="006453D9" w:rsidP="00A85FB6">
            <w:pPr>
              <w:spacing w:after="0" w:line="240" w:lineRule="auto"/>
              <w:rPr>
                <w:rFonts w:cs="Arial"/>
                <w:i/>
                <w:sz w:val="20"/>
              </w:rPr>
            </w:pPr>
          </w:p>
          <w:p w:rsidR="006453D9" w:rsidRDefault="006453D9" w:rsidP="00A85FB6">
            <w:pPr>
              <w:spacing w:after="0" w:line="240" w:lineRule="auto"/>
              <w:rPr>
                <w:rFonts w:cs="Arial"/>
                <w:i/>
                <w:sz w:val="20"/>
              </w:rPr>
            </w:pPr>
          </w:p>
          <w:p w:rsidR="00A97501" w:rsidRDefault="00A97501" w:rsidP="00A85FB6">
            <w:pPr>
              <w:spacing w:after="0" w:line="240" w:lineRule="auto"/>
              <w:rPr>
                <w:rFonts w:cs="Arial"/>
                <w:i/>
                <w:sz w:val="20"/>
              </w:rPr>
            </w:pPr>
            <w:r w:rsidRPr="00A85FB6">
              <w:rPr>
                <w:rFonts w:cs="Arial"/>
                <w:i/>
                <w:sz w:val="20"/>
              </w:rPr>
              <w:t>Cell and tissue therapies (CTT)</w:t>
            </w:r>
          </w:p>
          <w:p w:rsidR="00A97501" w:rsidRDefault="00A97501" w:rsidP="00A85FB6">
            <w:pPr>
              <w:spacing w:after="0" w:line="240" w:lineRule="auto"/>
              <w:rPr>
                <w:rFonts w:cs="Arial"/>
                <w:i/>
                <w:sz w:val="20"/>
              </w:rPr>
            </w:pPr>
          </w:p>
          <w:p w:rsidR="00A97501" w:rsidRDefault="00A97501" w:rsidP="00A85FB6">
            <w:pPr>
              <w:spacing w:after="0" w:line="240" w:lineRule="auto"/>
              <w:rPr>
                <w:rFonts w:cs="Arial"/>
                <w:i/>
                <w:sz w:val="20"/>
              </w:rPr>
            </w:pPr>
          </w:p>
          <w:p w:rsidR="00E42980" w:rsidRDefault="00E42980" w:rsidP="00A85FB6">
            <w:pPr>
              <w:spacing w:after="0" w:line="240" w:lineRule="auto"/>
              <w:rPr>
                <w:rFonts w:cs="Arial"/>
                <w:i/>
                <w:sz w:val="20"/>
              </w:rPr>
            </w:pPr>
          </w:p>
          <w:p w:rsidR="00E42980" w:rsidRDefault="00E42980" w:rsidP="00A85FB6">
            <w:pPr>
              <w:spacing w:after="0" w:line="240" w:lineRule="auto"/>
              <w:rPr>
                <w:rFonts w:cs="Arial"/>
                <w:i/>
                <w:sz w:val="20"/>
              </w:rPr>
            </w:pPr>
          </w:p>
          <w:p w:rsidR="00A97501" w:rsidRPr="00A85FB6" w:rsidRDefault="00A97501" w:rsidP="00A85FB6">
            <w:pPr>
              <w:spacing w:after="0" w:line="240" w:lineRule="auto"/>
              <w:rPr>
                <w:rFonts w:cs="Arial"/>
                <w:sz w:val="20"/>
              </w:rPr>
            </w:pPr>
            <w:r w:rsidRPr="00A85FB6">
              <w:rPr>
                <w:rFonts w:cs="Arial"/>
                <w:i/>
                <w:sz w:val="20"/>
              </w:rPr>
              <w:t>All hybrids, all other products defined as   therapeutic products</w:t>
            </w:r>
          </w:p>
        </w:tc>
        <w:tc>
          <w:tcPr>
            <w:tcW w:w="1945" w:type="dxa"/>
            <w:shd w:val="clear" w:color="auto" w:fill="auto"/>
          </w:tcPr>
          <w:p w:rsidR="00A97501" w:rsidRDefault="00A97501" w:rsidP="00A85FB6">
            <w:pPr>
              <w:spacing w:after="0" w:line="240" w:lineRule="auto"/>
              <w:rPr>
                <w:rFonts w:cs="Arial"/>
                <w:sz w:val="20"/>
              </w:rPr>
            </w:pPr>
          </w:p>
          <w:p w:rsidR="00A97501" w:rsidRDefault="00A97501" w:rsidP="00A85FB6">
            <w:pPr>
              <w:spacing w:after="0" w:line="240" w:lineRule="auto"/>
              <w:rPr>
                <w:rFonts w:cs="Arial"/>
                <w:sz w:val="20"/>
              </w:rPr>
            </w:pPr>
          </w:p>
          <w:p w:rsidR="006C73FD" w:rsidRDefault="007C3FE9" w:rsidP="00A85FB6">
            <w:pPr>
              <w:spacing w:after="0" w:line="240" w:lineRule="auto"/>
              <w:rPr>
                <w:rFonts w:cs="Arial"/>
                <w:sz w:val="20"/>
              </w:rPr>
            </w:pPr>
            <w:r w:rsidRPr="00A85FB6">
              <w:rPr>
                <w:rFonts w:cs="Arial"/>
                <w:sz w:val="20"/>
              </w:rPr>
              <w:t>B</w:t>
            </w:r>
            <w:r w:rsidR="006C73FD" w:rsidRPr="00A85FB6">
              <w:rPr>
                <w:rFonts w:cs="Arial"/>
                <w:sz w:val="20"/>
              </w:rPr>
              <w:t xml:space="preserve">ring all </w:t>
            </w:r>
            <w:r w:rsidRPr="00A85FB6">
              <w:rPr>
                <w:rFonts w:cs="Arial"/>
                <w:sz w:val="20"/>
              </w:rPr>
              <w:t xml:space="preserve">medical </w:t>
            </w:r>
            <w:r w:rsidR="006C73FD" w:rsidRPr="00A85FB6">
              <w:rPr>
                <w:rFonts w:cs="Arial"/>
                <w:sz w:val="20"/>
              </w:rPr>
              <w:t xml:space="preserve">devices within regime.  </w:t>
            </w:r>
          </w:p>
          <w:p w:rsidR="00A97501" w:rsidRDefault="00A97501" w:rsidP="00A85FB6">
            <w:pPr>
              <w:spacing w:after="0" w:line="240" w:lineRule="auto"/>
              <w:rPr>
                <w:rFonts w:cs="Arial"/>
                <w:sz w:val="20"/>
              </w:rPr>
            </w:pPr>
          </w:p>
          <w:p w:rsidR="00A97501" w:rsidRDefault="00A97501" w:rsidP="00A85FB6">
            <w:pPr>
              <w:spacing w:after="0" w:line="240" w:lineRule="auto"/>
              <w:rPr>
                <w:rFonts w:cs="Arial"/>
                <w:sz w:val="20"/>
              </w:rPr>
            </w:pPr>
          </w:p>
          <w:p w:rsidR="00A97501" w:rsidRDefault="00A97501" w:rsidP="00A85FB6">
            <w:pPr>
              <w:spacing w:after="0" w:line="240" w:lineRule="auto"/>
              <w:rPr>
                <w:rFonts w:cs="Arial"/>
                <w:sz w:val="20"/>
              </w:rPr>
            </w:pPr>
          </w:p>
          <w:p w:rsidR="00E42980" w:rsidRDefault="00E42980" w:rsidP="00A85FB6">
            <w:pPr>
              <w:spacing w:after="0" w:line="240" w:lineRule="auto"/>
              <w:rPr>
                <w:rFonts w:cs="Arial"/>
                <w:sz w:val="20"/>
              </w:rPr>
            </w:pPr>
          </w:p>
          <w:p w:rsidR="00A97501" w:rsidRDefault="00A97501" w:rsidP="00A85FB6">
            <w:pPr>
              <w:spacing w:after="0" w:line="240" w:lineRule="auto"/>
              <w:rPr>
                <w:rFonts w:cs="Arial"/>
                <w:sz w:val="20"/>
              </w:rPr>
            </w:pPr>
          </w:p>
          <w:p w:rsidR="00861403" w:rsidRDefault="00861403" w:rsidP="00A85FB6">
            <w:pPr>
              <w:spacing w:after="0" w:line="240" w:lineRule="auto"/>
              <w:rPr>
                <w:rFonts w:cs="Arial"/>
                <w:sz w:val="20"/>
              </w:rPr>
            </w:pPr>
          </w:p>
          <w:p w:rsidR="006453D9" w:rsidRDefault="006453D9" w:rsidP="00A85FB6">
            <w:pPr>
              <w:spacing w:after="0" w:line="240" w:lineRule="auto"/>
              <w:rPr>
                <w:rFonts w:cs="Arial"/>
                <w:sz w:val="20"/>
              </w:rPr>
            </w:pPr>
          </w:p>
          <w:p w:rsidR="006453D9" w:rsidRDefault="006453D9" w:rsidP="00A85FB6">
            <w:pPr>
              <w:spacing w:after="0" w:line="240" w:lineRule="auto"/>
              <w:rPr>
                <w:rFonts w:cs="Arial"/>
                <w:sz w:val="20"/>
              </w:rPr>
            </w:pPr>
          </w:p>
          <w:p w:rsidR="00A97501" w:rsidRDefault="00A97501" w:rsidP="00A85FB6">
            <w:pPr>
              <w:spacing w:after="0" w:line="240" w:lineRule="auto"/>
              <w:rPr>
                <w:rFonts w:cs="Arial"/>
                <w:sz w:val="20"/>
              </w:rPr>
            </w:pPr>
            <w:r w:rsidRPr="00A85FB6">
              <w:rPr>
                <w:rFonts w:cs="Arial"/>
                <w:sz w:val="20"/>
              </w:rPr>
              <w:t>Bring all CTT within regime for first time.</w:t>
            </w:r>
          </w:p>
          <w:p w:rsidR="00A97501" w:rsidRDefault="00A97501" w:rsidP="00A85FB6">
            <w:pPr>
              <w:spacing w:after="0" w:line="240" w:lineRule="auto"/>
              <w:rPr>
                <w:rFonts w:cs="Arial"/>
                <w:sz w:val="20"/>
              </w:rPr>
            </w:pPr>
          </w:p>
          <w:p w:rsidR="00E42980" w:rsidRDefault="00E42980" w:rsidP="00A85FB6">
            <w:pPr>
              <w:spacing w:after="0" w:line="240" w:lineRule="auto"/>
              <w:rPr>
                <w:rFonts w:cs="Arial"/>
                <w:sz w:val="20"/>
              </w:rPr>
            </w:pPr>
          </w:p>
          <w:p w:rsidR="00E42980" w:rsidRDefault="00E42980" w:rsidP="00A85FB6">
            <w:pPr>
              <w:spacing w:after="0" w:line="240" w:lineRule="auto"/>
              <w:rPr>
                <w:rFonts w:cs="Arial"/>
                <w:sz w:val="20"/>
              </w:rPr>
            </w:pPr>
          </w:p>
          <w:p w:rsidR="00A97501" w:rsidRPr="00A85FB6" w:rsidRDefault="00861403" w:rsidP="00861403">
            <w:pPr>
              <w:spacing w:after="0" w:line="240" w:lineRule="auto"/>
              <w:rPr>
                <w:rFonts w:cs="Arial"/>
                <w:sz w:val="20"/>
              </w:rPr>
            </w:pPr>
            <w:r>
              <w:rPr>
                <w:rFonts w:cs="Arial"/>
                <w:sz w:val="20"/>
              </w:rPr>
              <w:t xml:space="preserve">Clarifies how such </w:t>
            </w:r>
            <w:r w:rsidR="00A97501" w:rsidRPr="00A85FB6">
              <w:rPr>
                <w:rFonts w:cs="Arial"/>
                <w:sz w:val="20"/>
              </w:rPr>
              <w:t>products wi</w:t>
            </w:r>
            <w:r>
              <w:rPr>
                <w:rFonts w:cs="Arial"/>
                <w:sz w:val="20"/>
              </w:rPr>
              <w:t>ll be regulated</w:t>
            </w:r>
            <w:r w:rsidR="00A97501" w:rsidRPr="00A85FB6">
              <w:rPr>
                <w:rFonts w:cs="Arial"/>
                <w:sz w:val="20"/>
              </w:rPr>
              <w:t>.</w:t>
            </w:r>
          </w:p>
        </w:tc>
        <w:tc>
          <w:tcPr>
            <w:tcW w:w="5375" w:type="dxa"/>
            <w:shd w:val="clear" w:color="auto" w:fill="auto"/>
          </w:tcPr>
          <w:p w:rsidR="00A97501" w:rsidRDefault="00A97501" w:rsidP="00A97501">
            <w:pPr>
              <w:pStyle w:val="ListParagraph"/>
              <w:spacing w:after="0" w:line="240" w:lineRule="auto"/>
              <w:ind w:left="360"/>
              <w:rPr>
                <w:rFonts w:cs="Arial"/>
                <w:sz w:val="20"/>
              </w:rPr>
            </w:pPr>
          </w:p>
          <w:p w:rsidR="00A97501" w:rsidRDefault="00A97501" w:rsidP="00A97501">
            <w:pPr>
              <w:pStyle w:val="ListParagraph"/>
              <w:spacing w:after="0" w:line="240" w:lineRule="auto"/>
              <w:ind w:left="360"/>
              <w:rPr>
                <w:rFonts w:cs="Arial"/>
                <w:sz w:val="20"/>
              </w:rPr>
            </w:pPr>
          </w:p>
          <w:p w:rsidR="00244662" w:rsidRDefault="006C73FD" w:rsidP="0047742F">
            <w:pPr>
              <w:pStyle w:val="ListParagraph"/>
              <w:numPr>
                <w:ilvl w:val="0"/>
                <w:numId w:val="9"/>
              </w:numPr>
              <w:spacing w:after="0" w:line="240" w:lineRule="auto"/>
              <w:rPr>
                <w:rFonts w:cs="Arial"/>
                <w:sz w:val="20"/>
              </w:rPr>
            </w:pPr>
            <w:r w:rsidRPr="00A85FB6">
              <w:rPr>
                <w:rFonts w:cs="Arial"/>
                <w:sz w:val="20"/>
              </w:rPr>
              <w:t>Impact wil</w:t>
            </w:r>
            <w:r w:rsidR="00244662">
              <w:rPr>
                <w:rFonts w:cs="Arial"/>
                <w:sz w:val="20"/>
              </w:rPr>
              <w:t>l depend on regulatory approach.</w:t>
            </w:r>
          </w:p>
          <w:p w:rsidR="006C73FD" w:rsidRPr="00A85FB6" w:rsidRDefault="007C3FE9" w:rsidP="0047742F">
            <w:pPr>
              <w:pStyle w:val="ListParagraph"/>
              <w:numPr>
                <w:ilvl w:val="0"/>
                <w:numId w:val="9"/>
              </w:numPr>
              <w:spacing w:after="0" w:line="240" w:lineRule="auto"/>
              <w:rPr>
                <w:rFonts w:cs="Arial"/>
                <w:sz w:val="20"/>
              </w:rPr>
            </w:pPr>
            <w:r w:rsidRPr="00A85FB6">
              <w:rPr>
                <w:rFonts w:cs="Arial"/>
                <w:sz w:val="20"/>
              </w:rPr>
              <w:t xml:space="preserve">Development </w:t>
            </w:r>
            <w:r w:rsidR="007656A7">
              <w:rPr>
                <w:rFonts w:cs="Arial"/>
                <w:sz w:val="20"/>
              </w:rPr>
              <w:t xml:space="preserve">and ongoing operational </w:t>
            </w:r>
            <w:r w:rsidRPr="00A85FB6">
              <w:rPr>
                <w:rFonts w:cs="Arial"/>
                <w:sz w:val="20"/>
              </w:rPr>
              <w:t>costs for regulator</w:t>
            </w:r>
            <w:r w:rsidR="006C73FD" w:rsidRPr="00A85FB6">
              <w:rPr>
                <w:rFonts w:cs="Arial"/>
                <w:sz w:val="20"/>
              </w:rPr>
              <w:t>.</w:t>
            </w:r>
          </w:p>
          <w:p w:rsidR="006C73FD" w:rsidRPr="00A85FB6" w:rsidRDefault="006C73FD" w:rsidP="0047742F">
            <w:pPr>
              <w:pStyle w:val="ListParagraph"/>
              <w:numPr>
                <w:ilvl w:val="0"/>
                <w:numId w:val="9"/>
              </w:numPr>
              <w:spacing w:after="0" w:line="240" w:lineRule="auto"/>
              <w:rPr>
                <w:rFonts w:cs="Arial"/>
                <w:sz w:val="20"/>
              </w:rPr>
            </w:pPr>
            <w:r w:rsidRPr="00A85FB6">
              <w:rPr>
                <w:rFonts w:cs="Arial"/>
                <w:sz w:val="20"/>
              </w:rPr>
              <w:t>More information required on numbers and types and risk profiles.</w:t>
            </w:r>
          </w:p>
          <w:p w:rsidR="006C73FD" w:rsidRPr="00A85FB6" w:rsidRDefault="006C73FD" w:rsidP="0047742F">
            <w:pPr>
              <w:pStyle w:val="ListParagraph"/>
              <w:numPr>
                <w:ilvl w:val="0"/>
                <w:numId w:val="9"/>
              </w:numPr>
              <w:spacing w:after="0" w:line="240" w:lineRule="auto"/>
              <w:rPr>
                <w:rFonts w:cs="Arial"/>
                <w:sz w:val="20"/>
                <w:u w:val="single"/>
              </w:rPr>
            </w:pPr>
            <w:r w:rsidRPr="00A85FB6">
              <w:rPr>
                <w:rFonts w:cs="Arial"/>
                <w:sz w:val="20"/>
              </w:rPr>
              <w:t xml:space="preserve">Significant transition possible.   </w:t>
            </w:r>
          </w:p>
          <w:p w:rsidR="006C73FD" w:rsidRDefault="006C73FD" w:rsidP="0047742F">
            <w:pPr>
              <w:pStyle w:val="ListParagraph"/>
              <w:numPr>
                <w:ilvl w:val="0"/>
                <w:numId w:val="9"/>
              </w:numPr>
              <w:spacing w:after="0" w:line="240" w:lineRule="auto"/>
              <w:rPr>
                <w:rFonts w:cs="Arial"/>
                <w:sz w:val="20"/>
              </w:rPr>
            </w:pPr>
            <w:r w:rsidRPr="00A85FB6">
              <w:rPr>
                <w:rFonts w:cs="Arial"/>
                <w:sz w:val="20"/>
              </w:rPr>
              <w:t xml:space="preserve">Likely large number of products affected / low </w:t>
            </w:r>
            <w:r w:rsidR="00573411">
              <w:rPr>
                <w:rFonts w:cs="Arial"/>
                <w:sz w:val="20"/>
              </w:rPr>
              <w:t xml:space="preserve">to high </w:t>
            </w:r>
            <w:r w:rsidRPr="00A85FB6">
              <w:rPr>
                <w:rFonts w:cs="Arial"/>
                <w:sz w:val="20"/>
              </w:rPr>
              <w:t>compliance costs per product</w:t>
            </w:r>
            <w:r w:rsidR="00573411">
              <w:rPr>
                <w:rFonts w:cs="Arial"/>
                <w:sz w:val="20"/>
              </w:rPr>
              <w:t xml:space="preserve"> (depending on risk / complexity – the majority of products by value are at the low end).</w:t>
            </w:r>
          </w:p>
          <w:p w:rsidR="00E42980" w:rsidRDefault="00E42980" w:rsidP="00E42980">
            <w:pPr>
              <w:pStyle w:val="ListParagraph"/>
              <w:spacing w:after="0" w:line="240" w:lineRule="auto"/>
              <w:ind w:left="360"/>
              <w:rPr>
                <w:rFonts w:cs="Arial"/>
                <w:sz w:val="20"/>
              </w:rPr>
            </w:pPr>
          </w:p>
          <w:p w:rsidR="00A97501" w:rsidRPr="00A85FB6" w:rsidRDefault="00A97501" w:rsidP="0047742F">
            <w:pPr>
              <w:pStyle w:val="ListParagraph"/>
              <w:numPr>
                <w:ilvl w:val="0"/>
                <w:numId w:val="9"/>
              </w:numPr>
              <w:spacing w:after="0" w:line="240" w:lineRule="auto"/>
              <w:rPr>
                <w:rFonts w:cs="Arial"/>
                <w:sz w:val="20"/>
              </w:rPr>
            </w:pPr>
            <w:r w:rsidRPr="00A85FB6">
              <w:rPr>
                <w:rFonts w:cs="Arial"/>
                <w:sz w:val="20"/>
              </w:rPr>
              <w:t>As above with respect to approach, costs, information required, and transition.</w:t>
            </w:r>
          </w:p>
          <w:p w:rsidR="00A97501" w:rsidRDefault="00A97501" w:rsidP="0047742F">
            <w:pPr>
              <w:pStyle w:val="ListParagraph"/>
              <w:numPr>
                <w:ilvl w:val="0"/>
                <w:numId w:val="9"/>
              </w:numPr>
              <w:spacing w:after="0" w:line="240" w:lineRule="auto"/>
              <w:rPr>
                <w:rFonts w:cs="Arial"/>
                <w:sz w:val="20"/>
              </w:rPr>
            </w:pPr>
            <w:r w:rsidRPr="00A85FB6">
              <w:rPr>
                <w:rFonts w:cs="Arial"/>
                <w:sz w:val="20"/>
              </w:rPr>
              <w:t>Likely very small number of products affected / low to high compliance costs per product.</w:t>
            </w:r>
          </w:p>
          <w:p w:rsidR="00E42980" w:rsidRDefault="00E42980" w:rsidP="00E42980">
            <w:pPr>
              <w:pStyle w:val="ListParagraph"/>
              <w:spacing w:after="0" w:line="240" w:lineRule="auto"/>
              <w:ind w:left="0"/>
              <w:rPr>
                <w:rFonts w:cs="Arial"/>
                <w:sz w:val="20"/>
              </w:rPr>
            </w:pPr>
          </w:p>
          <w:p w:rsidR="00E42980" w:rsidRDefault="00E42980" w:rsidP="00E42980">
            <w:pPr>
              <w:pStyle w:val="ListParagraph"/>
              <w:spacing w:after="0" w:line="240" w:lineRule="auto"/>
              <w:ind w:left="0"/>
              <w:rPr>
                <w:rFonts w:cs="Arial"/>
                <w:sz w:val="20"/>
              </w:rPr>
            </w:pPr>
          </w:p>
          <w:p w:rsidR="00E42980" w:rsidRDefault="00E42980" w:rsidP="0047742F">
            <w:pPr>
              <w:pStyle w:val="ListParagraph"/>
              <w:numPr>
                <w:ilvl w:val="0"/>
                <w:numId w:val="9"/>
              </w:numPr>
              <w:spacing w:after="0" w:line="240" w:lineRule="auto"/>
              <w:rPr>
                <w:rFonts w:cs="Arial"/>
                <w:sz w:val="20"/>
              </w:rPr>
            </w:pPr>
            <w:r w:rsidRPr="00A85FB6">
              <w:rPr>
                <w:rFonts w:cs="Arial"/>
                <w:sz w:val="20"/>
              </w:rPr>
              <w:t>Similar to CTT above.</w:t>
            </w:r>
          </w:p>
          <w:p w:rsidR="00244662" w:rsidRPr="00A85FB6" w:rsidRDefault="00244662" w:rsidP="0047742F">
            <w:pPr>
              <w:pStyle w:val="ListParagraph"/>
              <w:numPr>
                <w:ilvl w:val="0"/>
                <w:numId w:val="9"/>
              </w:numPr>
              <w:spacing w:after="0" w:line="240" w:lineRule="auto"/>
              <w:rPr>
                <w:rFonts w:cs="Arial"/>
                <w:sz w:val="20"/>
              </w:rPr>
            </w:pPr>
            <w:r>
              <w:rPr>
                <w:rFonts w:cs="Arial"/>
                <w:sz w:val="20"/>
              </w:rPr>
              <w:t>Few products now, but growing.</w:t>
            </w:r>
          </w:p>
          <w:p w:rsidR="00E42980" w:rsidRPr="00A85FB6" w:rsidRDefault="00E42980" w:rsidP="0047742F">
            <w:pPr>
              <w:pStyle w:val="ListParagraph"/>
              <w:numPr>
                <w:ilvl w:val="0"/>
                <w:numId w:val="9"/>
              </w:numPr>
              <w:spacing w:after="0" w:line="240" w:lineRule="auto"/>
              <w:rPr>
                <w:rFonts w:cs="Arial"/>
                <w:sz w:val="20"/>
              </w:rPr>
            </w:pPr>
            <w:r w:rsidRPr="00A85FB6">
              <w:rPr>
                <w:rFonts w:cs="Arial"/>
                <w:sz w:val="20"/>
              </w:rPr>
              <w:t>More customisation of regulatory approach possible.</w:t>
            </w:r>
          </w:p>
        </w:tc>
      </w:tr>
      <w:tr w:rsidR="006C73FD" w:rsidTr="00A85FB6">
        <w:tc>
          <w:tcPr>
            <w:tcW w:w="1696" w:type="dxa"/>
            <w:shd w:val="clear" w:color="auto" w:fill="auto"/>
          </w:tcPr>
          <w:p w:rsidR="006C73FD" w:rsidRPr="00A85FB6" w:rsidRDefault="006C73FD" w:rsidP="00A85FB6">
            <w:pPr>
              <w:spacing w:after="0" w:line="240" w:lineRule="auto"/>
              <w:rPr>
                <w:rFonts w:cs="Arial"/>
                <w:sz w:val="20"/>
              </w:rPr>
            </w:pPr>
            <w:r w:rsidRPr="00A85FB6">
              <w:rPr>
                <w:rFonts w:cs="Arial"/>
                <w:sz w:val="20"/>
              </w:rPr>
              <w:t>Powers</w:t>
            </w:r>
          </w:p>
        </w:tc>
        <w:tc>
          <w:tcPr>
            <w:tcW w:w="1945" w:type="dxa"/>
            <w:shd w:val="clear" w:color="auto" w:fill="auto"/>
          </w:tcPr>
          <w:p w:rsidR="006C73FD" w:rsidRPr="00A85FB6" w:rsidRDefault="007C3FE9" w:rsidP="00A85FB6">
            <w:pPr>
              <w:spacing w:after="0" w:line="240" w:lineRule="auto"/>
              <w:rPr>
                <w:rFonts w:cs="Arial"/>
                <w:sz w:val="20"/>
              </w:rPr>
            </w:pPr>
            <w:r w:rsidRPr="00A85FB6">
              <w:rPr>
                <w:rFonts w:cs="Arial"/>
                <w:sz w:val="20"/>
              </w:rPr>
              <w:t>D</w:t>
            </w:r>
            <w:r w:rsidR="006C73FD" w:rsidRPr="00A85FB6">
              <w:rPr>
                <w:rFonts w:cs="Arial"/>
                <w:sz w:val="20"/>
              </w:rPr>
              <w:t xml:space="preserve">ecisions on all product approvals and activity control </w:t>
            </w:r>
            <w:r w:rsidRPr="00A85FB6">
              <w:rPr>
                <w:rFonts w:cs="Arial"/>
                <w:sz w:val="20"/>
              </w:rPr>
              <w:t xml:space="preserve">to be </w:t>
            </w:r>
            <w:r w:rsidR="006C73FD" w:rsidRPr="00A85FB6">
              <w:rPr>
                <w:rFonts w:cs="Arial"/>
                <w:sz w:val="20"/>
              </w:rPr>
              <w:t>taken by regulator</w:t>
            </w:r>
            <w:r w:rsidR="00244662">
              <w:rPr>
                <w:rFonts w:cs="Arial"/>
                <w:sz w:val="20"/>
              </w:rPr>
              <w:t>, and ability to set regulatory requirements</w:t>
            </w:r>
            <w:r w:rsidR="006C73FD" w:rsidRPr="00A85FB6">
              <w:rPr>
                <w:rFonts w:cs="Arial"/>
                <w:sz w:val="20"/>
              </w:rPr>
              <w:t>.</w:t>
            </w:r>
          </w:p>
        </w:tc>
        <w:tc>
          <w:tcPr>
            <w:tcW w:w="5375" w:type="dxa"/>
            <w:shd w:val="clear" w:color="auto" w:fill="auto"/>
          </w:tcPr>
          <w:p w:rsidR="007C3FE9" w:rsidRPr="00A85FB6" w:rsidRDefault="007C3FE9" w:rsidP="0047742F">
            <w:pPr>
              <w:pStyle w:val="ListParagraph"/>
              <w:numPr>
                <w:ilvl w:val="0"/>
                <w:numId w:val="10"/>
              </w:numPr>
              <w:spacing w:after="0" w:line="240" w:lineRule="auto"/>
              <w:rPr>
                <w:rFonts w:cs="Arial"/>
                <w:sz w:val="20"/>
              </w:rPr>
            </w:pPr>
            <w:r w:rsidRPr="00A85FB6">
              <w:rPr>
                <w:rFonts w:cs="Arial"/>
                <w:sz w:val="20"/>
              </w:rPr>
              <w:t>Significant devolution of all powers for product and licensing decisions from Minister to regulator.</w:t>
            </w:r>
          </w:p>
          <w:p w:rsidR="006C73FD" w:rsidRPr="00A85FB6" w:rsidRDefault="006C73FD" w:rsidP="0047742F">
            <w:pPr>
              <w:pStyle w:val="ListParagraph"/>
              <w:numPr>
                <w:ilvl w:val="0"/>
                <w:numId w:val="10"/>
              </w:numPr>
              <w:spacing w:after="0" w:line="240" w:lineRule="auto"/>
              <w:rPr>
                <w:rFonts w:cs="Arial"/>
                <w:sz w:val="20"/>
              </w:rPr>
            </w:pPr>
            <w:r w:rsidRPr="00A85FB6">
              <w:rPr>
                <w:rFonts w:cs="Arial"/>
                <w:sz w:val="20"/>
              </w:rPr>
              <w:t>Minister retains powers in relation to major policy issues, some committee appointments, and issues where major ethical or public interest issues involved.</w:t>
            </w:r>
          </w:p>
          <w:p w:rsidR="006C73FD" w:rsidRPr="00A85FB6" w:rsidRDefault="006C73FD" w:rsidP="0047742F">
            <w:pPr>
              <w:pStyle w:val="ListParagraph"/>
              <w:numPr>
                <w:ilvl w:val="0"/>
                <w:numId w:val="10"/>
              </w:numPr>
              <w:spacing w:after="0" w:line="240" w:lineRule="auto"/>
              <w:rPr>
                <w:rFonts w:cs="Arial"/>
                <w:sz w:val="20"/>
              </w:rPr>
            </w:pPr>
            <w:r w:rsidRPr="00A85FB6">
              <w:rPr>
                <w:rFonts w:cs="Arial"/>
                <w:sz w:val="20"/>
              </w:rPr>
              <w:t>Minister oversees regulator’s overall performance.</w:t>
            </w:r>
          </w:p>
          <w:p w:rsidR="006C73FD" w:rsidRPr="00A85FB6" w:rsidRDefault="006C73FD" w:rsidP="0047742F">
            <w:pPr>
              <w:pStyle w:val="ListParagraph"/>
              <w:numPr>
                <w:ilvl w:val="0"/>
                <w:numId w:val="10"/>
              </w:numPr>
              <w:spacing w:after="0" w:line="240" w:lineRule="auto"/>
              <w:rPr>
                <w:rFonts w:cs="Arial"/>
                <w:sz w:val="20"/>
              </w:rPr>
            </w:pPr>
            <w:r w:rsidRPr="00A85FB6">
              <w:rPr>
                <w:rFonts w:cs="Arial"/>
                <w:sz w:val="20"/>
              </w:rPr>
              <w:t xml:space="preserve">Regulator given flexibility to manage risk, subject to robust accountability (including appeal).  </w:t>
            </w:r>
          </w:p>
          <w:p w:rsidR="006C73FD" w:rsidRPr="00A85FB6" w:rsidRDefault="006C73FD" w:rsidP="0047742F">
            <w:pPr>
              <w:pStyle w:val="ListParagraph"/>
              <w:numPr>
                <w:ilvl w:val="0"/>
                <w:numId w:val="10"/>
              </w:numPr>
              <w:spacing w:after="0" w:line="240" w:lineRule="auto"/>
              <w:rPr>
                <w:rFonts w:cs="Arial"/>
                <w:sz w:val="20"/>
              </w:rPr>
            </w:pPr>
            <w:r w:rsidRPr="00A85FB6">
              <w:rPr>
                <w:rFonts w:cs="Arial"/>
                <w:sz w:val="20"/>
              </w:rPr>
              <w:t xml:space="preserve">More timely and less costly decision making. </w:t>
            </w:r>
          </w:p>
          <w:p w:rsidR="006C73FD" w:rsidRPr="00A85FB6" w:rsidRDefault="006C73FD" w:rsidP="0047742F">
            <w:pPr>
              <w:pStyle w:val="ListParagraph"/>
              <w:numPr>
                <w:ilvl w:val="0"/>
                <w:numId w:val="10"/>
              </w:numPr>
              <w:spacing w:after="0" w:line="240" w:lineRule="auto"/>
              <w:rPr>
                <w:rFonts w:cs="Arial"/>
                <w:sz w:val="20"/>
              </w:rPr>
            </w:pPr>
            <w:r w:rsidRPr="00A85FB6">
              <w:rPr>
                <w:rFonts w:cs="Arial"/>
                <w:sz w:val="20"/>
              </w:rPr>
              <w:t xml:space="preserve">Greater conformity with public sector legislative and regulatory design standards / requirements. </w:t>
            </w:r>
          </w:p>
          <w:p w:rsidR="006C73FD" w:rsidRDefault="006C73FD" w:rsidP="0047742F">
            <w:pPr>
              <w:pStyle w:val="ListParagraph"/>
              <w:numPr>
                <w:ilvl w:val="0"/>
                <w:numId w:val="10"/>
              </w:numPr>
              <w:spacing w:after="0" w:line="240" w:lineRule="auto"/>
              <w:rPr>
                <w:rFonts w:cs="Arial"/>
                <w:sz w:val="20"/>
              </w:rPr>
            </w:pPr>
            <w:r w:rsidRPr="00A85FB6">
              <w:rPr>
                <w:rFonts w:cs="Arial"/>
                <w:sz w:val="20"/>
              </w:rPr>
              <w:t xml:space="preserve">Reduced risk of perceived lack of </w:t>
            </w:r>
            <w:r w:rsidR="00591272">
              <w:rPr>
                <w:rFonts w:cs="Arial"/>
                <w:sz w:val="20"/>
              </w:rPr>
              <w:t xml:space="preserve">political </w:t>
            </w:r>
            <w:r w:rsidRPr="00A85FB6">
              <w:rPr>
                <w:rFonts w:cs="Arial"/>
                <w:sz w:val="20"/>
              </w:rPr>
              <w:t>independence in decision making.</w:t>
            </w:r>
          </w:p>
          <w:p w:rsidR="00E42980" w:rsidRPr="00A85FB6" w:rsidRDefault="00E42980" w:rsidP="00E42980">
            <w:pPr>
              <w:pStyle w:val="ListParagraph"/>
              <w:spacing w:after="0" w:line="240" w:lineRule="auto"/>
              <w:ind w:left="360"/>
              <w:rPr>
                <w:rFonts w:cs="Arial"/>
                <w:sz w:val="20"/>
              </w:rPr>
            </w:pPr>
          </w:p>
        </w:tc>
      </w:tr>
      <w:tr w:rsidR="006C73FD" w:rsidTr="00A85FB6">
        <w:tc>
          <w:tcPr>
            <w:tcW w:w="1696" w:type="dxa"/>
            <w:shd w:val="clear" w:color="auto" w:fill="auto"/>
          </w:tcPr>
          <w:p w:rsidR="006C73FD" w:rsidRPr="00A85FB6" w:rsidRDefault="006C73FD" w:rsidP="00A85FB6">
            <w:pPr>
              <w:spacing w:after="0" w:line="240" w:lineRule="auto"/>
              <w:rPr>
                <w:rFonts w:cs="Arial"/>
                <w:sz w:val="20"/>
              </w:rPr>
            </w:pPr>
            <w:r w:rsidRPr="00A85FB6">
              <w:rPr>
                <w:rFonts w:cs="Arial"/>
                <w:sz w:val="20"/>
              </w:rPr>
              <w:t>Institutional form</w:t>
            </w:r>
          </w:p>
        </w:tc>
        <w:tc>
          <w:tcPr>
            <w:tcW w:w="1945" w:type="dxa"/>
            <w:shd w:val="clear" w:color="auto" w:fill="auto"/>
          </w:tcPr>
          <w:p w:rsidR="006C73FD" w:rsidRPr="00A85FB6" w:rsidRDefault="006C73FD" w:rsidP="00A85FB6">
            <w:pPr>
              <w:spacing w:after="0" w:line="240" w:lineRule="auto"/>
              <w:rPr>
                <w:rFonts w:cs="Arial"/>
                <w:sz w:val="20"/>
              </w:rPr>
            </w:pPr>
            <w:r w:rsidRPr="00A85FB6">
              <w:rPr>
                <w:rFonts w:cs="Arial"/>
                <w:sz w:val="20"/>
              </w:rPr>
              <w:t xml:space="preserve">It is not yet clear what if any changes to the institutional form of the regulator </w:t>
            </w:r>
            <w:r w:rsidR="00A01064">
              <w:rPr>
                <w:rFonts w:cs="Arial"/>
                <w:sz w:val="20"/>
              </w:rPr>
              <w:t>are preferred</w:t>
            </w:r>
            <w:r w:rsidRPr="00A85FB6">
              <w:rPr>
                <w:rFonts w:cs="Arial"/>
                <w:sz w:val="20"/>
              </w:rPr>
              <w:t>.</w:t>
            </w:r>
          </w:p>
          <w:p w:rsidR="006C73FD" w:rsidRPr="00A85FB6" w:rsidRDefault="006C73FD" w:rsidP="00A85FB6">
            <w:pPr>
              <w:spacing w:after="0" w:line="240" w:lineRule="auto"/>
              <w:rPr>
                <w:rFonts w:cs="Arial"/>
                <w:sz w:val="20"/>
              </w:rPr>
            </w:pPr>
          </w:p>
        </w:tc>
        <w:tc>
          <w:tcPr>
            <w:tcW w:w="5375" w:type="dxa"/>
            <w:shd w:val="clear" w:color="auto" w:fill="auto"/>
          </w:tcPr>
          <w:p w:rsidR="006C73FD" w:rsidRDefault="006C73FD" w:rsidP="00B66942">
            <w:pPr>
              <w:pStyle w:val="ListParagraph"/>
              <w:numPr>
                <w:ilvl w:val="0"/>
                <w:numId w:val="49"/>
              </w:numPr>
              <w:spacing w:after="0" w:line="240" w:lineRule="auto"/>
              <w:ind w:left="360"/>
              <w:rPr>
                <w:rFonts w:cs="Arial"/>
                <w:sz w:val="20"/>
              </w:rPr>
            </w:pPr>
            <w:r w:rsidRPr="00A85FB6">
              <w:rPr>
                <w:rFonts w:cs="Arial"/>
                <w:sz w:val="20"/>
              </w:rPr>
              <w:t>The main alternatives are business unit within Ministry (status quo), departmental agency, or Crown entity.</w:t>
            </w:r>
          </w:p>
          <w:p w:rsidR="00E42980" w:rsidRDefault="00E42980" w:rsidP="00591272">
            <w:pPr>
              <w:pStyle w:val="ListParagraph"/>
              <w:spacing w:after="0" w:line="240" w:lineRule="auto"/>
              <w:ind w:left="0"/>
              <w:rPr>
                <w:rFonts w:cs="Arial"/>
                <w:sz w:val="20"/>
              </w:rPr>
            </w:pPr>
          </w:p>
          <w:p w:rsidR="00591272" w:rsidRPr="00A85FB6" w:rsidRDefault="00591272" w:rsidP="00B66942">
            <w:pPr>
              <w:pStyle w:val="ListParagraph"/>
              <w:numPr>
                <w:ilvl w:val="0"/>
                <w:numId w:val="49"/>
              </w:numPr>
              <w:spacing w:after="0" w:line="240" w:lineRule="auto"/>
              <w:ind w:left="360"/>
              <w:rPr>
                <w:rFonts w:cs="Arial"/>
                <w:sz w:val="20"/>
              </w:rPr>
            </w:pPr>
            <w:r>
              <w:rPr>
                <w:rFonts w:cs="Arial"/>
                <w:sz w:val="20"/>
              </w:rPr>
              <w:t>This will be subject to further reporting in early 2016.</w:t>
            </w:r>
          </w:p>
        </w:tc>
      </w:tr>
      <w:tr w:rsidR="006C73FD" w:rsidTr="00A85FB6">
        <w:tc>
          <w:tcPr>
            <w:tcW w:w="1696" w:type="dxa"/>
            <w:shd w:val="clear" w:color="auto" w:fill="auto"/>
          </w:tcPr>
          <w:p w:rsidR="006C73FD" w:rsidRPr="00A85FB6" w:rsidRDefault="006C73FD" w:rsidP="00A85FB6">
            <w:pPr>
              <w:spacing w:after="0" w:line="240" w:lineRule="auto"/>
              <w:rPr>
                <w:rFonts w:cs="Arial"/>
                <w:sz w:val="20"/>
              </w:rPr>
            </w:pPr>
            <w:r w:rsidRPr="00A85FB6">
              <w:rPr>
                <w:rFonts w:cs="Arial"/>
                <w:sz w:val="20"/>
              </w:rPr>
              <w:t>Accountability</w:t>
            </w:r>
          </w:p>
        </w:tc>
        <w:tc>
          <w:tcPr>
            <w:tcW w:w="1945" w:type="dxa"/>
            <w:shd w:val="clear" w:color="auto" w:fill="auto"/>
          </w:tcPr>
          <w:p w:rsidR="006C73FD" w:rsidRPr="00A85FB6" w:rsidRDefault="006C73FD" w:rsidP="00A85FB6">
            <w:pPr>
              <w:spacing w:after="0" w:line="240" w:lineRule="auto"/>
              <w:rPr>
                <w:rFonts w:cs="Arial"/>
                <w:sz w:val="20"/>
              </w:rPr>
            </w:pPr>
            <w:r w:rsidRPr="00A85FB6">
              <w:rPr>
                <w:rFonts w:cs="Arial"/>
                <w:sz w:val="20"/>
              </w:rPr>
              <w:t xml:space="preserve">Updated organisational accountability for regulator. </w:t>
            </w:r>
          </w:p>
          <w:p w:rsidR="006C73FD" w:rsidRPr="00A85FB6" w:rsidRDefault="006C73FD" w:rsidP="00A85FB6">
            <w:pPr>
              <w:spacing w:after="0" w:line="240" w:lineRule="auto"/>
              <w:rPr>
                <w:rFonts w:cs="Arial"/>
                <w:sz w:val="20"/>
              </w:rPr>
            </w:pPr>
          </w:p>
          <w:p w:rsidR="006C73FD" w:rsidRPr="00A85FB6" w:rsidRDefault="006C73FD" w:rsidP="00A85FB6">
            <w:pPr>
              <w:spacing w:after="0" w:line="240" w:lineRule="auto"/>
              <w:rPr>
                <w:rFonts w:cs="Arial"/>
                <w:sz w:val="20"/>
              </w:rPr>
            </w:pPr>
          </w:p>
          <w:p w:rsidR="006C73FD" w:rsidRPr="00A85FB6" w:rsidRDefault="006C73FD" w:rsidP="00A85FB6">
            <w:pPr>
              <w:spacing w:after="0" w:line="240" w:lineRule="auto"/>
              <w:rPr>
                <w:rFonts w:cs="Arial"/>
                <w:sz w:val="20"/>
              </w:rPr>
            </w:pPr>
            <w:r w:rsidRPr="00A85FB6">
              <w:rPr>
                <w:rFonts w:cs="Arial"/>
                <w:sz w:val="20"/>
              </w:rPr>
              <w:t xml:space="preserve">Updated review/appeal committees structure. </w:t>
            </w:r>
          </w:p>
          <w:p w:rsidR="006C73FD" w:rsidRPr="00A85FB6" w:rsidRDefault="006C73FD" w:rsidP="00A85FB6">
            <w:pPr>
              <w:spacing w:after="0" w:line="240" w:lineRule="auto"/>
              <w:rPr>
                <w:rFonts w:cs="Arial"/>
                <w:sz w:val="20"/>
                <w:u w:val="single"/>
              </w:rPr>
            </w:pPr>
          </w:p>
        </w:tc>
        <w:tc>
          <w:tcPr>
            <w:tcW w:w="5375" w:type="dxa"/>
            <w:shd w:val="clear" w:color="auto" w:fill="auto"/>
          </w:tcPr>
          <w:p w:rsidR="006C73FD" w:rsidRPr="00A85FB6" w:rsidRDefault="006C73FD" w:rsidP="00B66942">
            <w:pPr>
              <w:numPr>
                <w:ilvl w:val="0"/>
                <w:numId w:val="16"/>
              </w:numPr>
              <w:spacing w:after="0" w:line="240" w:lineRule="auto"/>
              <w:rPr>
                <w:rFonts w:cs="Arial"/>
                <w:sz w:val="20"/>
              </w:rPr>
            </w:pPr>
            <w:r w:rsidRPr="00A85FB6">
              <w:rPr>
                <w:rFonts w:cs="Arial"/>
                <w:sz w:val="20"/>
              </w:rPr>
              <w:t xml:space="preserve">Additional financial and performance reporting </w:t>
            </w:r>
            <w:r w:rsidR="00776461">
              <w:rPr>
                <w:rFonts w:cs="Arial"/>
                <w:sz w:val="20"/>
              </w:rPr>
              <w:t xml:space="preserve">might be </w:t>
            </w:r>
            <w:r w:rsidRPr="00A85FB6">
              <w:rPr>
                <w:rFonts w:cs="Arial"/>
                <w:sz w:val="20"/>
              </w:rPr>
              <w:t>expected.</w:t>
            </w:r>
          </w:p>
          <w:p w:rsidR="006C73FD" w:rsidRPr="00A85FB6" w:rsidRDefault="006C73FD" w:rsidP="00B66942">
            <w:pPr>
              <w:numPr>
                <w:ilvl w:val="0"/>
                <w:numId w:val="16"/>
              </w:numPr>
              <w:spacing w:after="0" w:line="240" w:lineRule="auto"/>
              <w:rPr>
                <w:rFonts w:cs="Arial"/>
                <w:sz w:val="20"/>
              </w:rPr>
            </w:pPr>
            <w:r w:rsidRPr="00A85FB6">
              <w:rPr>
                <w:rFonts w:cs="Arial"/>
                <w:sz w:val="20"/>
              </w:rPr>
              <w:t>This would be aligned with the regulator’s expanded role.</w:t>
            </w:r>
          </w:p>
          <w:p w:rsidR="006C73FD" w:rsidRPr="00A85FB6" w:rsidRDefault="006C73FD" w:rsidP="00A85FB6">
            <w:pPr>
              <w:spacing w:after="0" w:line="240" w:lineRule="auto"/>
              <w:rPr>
                <w:rFonts w:cs="Arial"/>
                <w:sz w:val="20"/>
                <w:u w:val="single"/>
              </w:rPr>
            </w:pPr>
          </w:p>
          <w:p w:rsidR="006C73FD" w:rsidRPr="00A85FB6" w:rsidRDefault="006C73FD" w:rsidP="00A85FB6">
            <w:pPr>
              <w:spacing w:after="0" w:line="240" w:lineRule="auto"/>
              <w:rPr>
                <w:rFonts w:cs="Arial"/>
                <w:sz w:val="20"/>
              </w:rPr>
            </w:pPr>
          </w:p>
          <w:p w:rsidR="006C73FD" w:rsidRPr="00A85FB6" w:rsidRDefault="006C73FD" w:rsidP="00B66942">
            <w:pPr>
              <w:numPr>
                <w:ilvl w:val="0"/>
                <w:numId w:val="16"/>
              </w:numPr>
              <w:spacing w:after="0" w:line="240" w:lineRule="auto"/>
              <w:rPr>
                <w:rFonts w:cs="Arial"/>
                <w:sz w:val="20"/>
              </w:rPr>
            </w:pPr>
            <w:r w:rsidRPr="00A85FB6">
              <w:rPr>
                <w:rFonts w:cs="Arial"/>
                <w:sz w:val="20"/>
              </w:rPr>
              <w:t xml:space="preserve">The costs of change </w:t>
            </w:r>
            <w:r w:rsidR="00861403">
              <w:rPr>
                <w:rFonts w:cs="Arial"/>
                <w:sz w:val="20"/>
              </w:rPr>
              <w:t xml:space="preserve">in accountability structures </w:t>
            </w:r>
            <w:r w:rsidR="008C3080">
              <w:rPr>
                <w:rFonts w:cs="Arial"/>
                <w:sz w:val="20"/>
              </w:rPr>
              <w:t>are</w:t>
            </w:r>
            <w:r w:rsidRPr="00A85FB6">
              <w:rPr>
                <w:rFonts w:cs="Arial"/>
                <w:sz w:val="20"/>
              </w:rPr>
              <w:t xml:space="preserve"> expected to be small and managed within baseline budgets.</w:t>
            </w:r>
          </w:p>
          <w:p w:rsidR="006C73FD" w:rsidRPr="00A85FB6" w:rsidRDefault="006C73FD" w:rsidP="00B66942">
            <w:pPr>
              <w:numPr>
                <w:ilvl w:val="0"/>
                <w:numId w:val="16"/>
              </w:numPr>
              <w:spacing w:after="0" w:line="240" w:lineRule="auto"/>
              <w:rPr>
                <w:rFonts w:cs="Arial"/>
                <w:sz w:val="20"/>
              </w:rPr>
            </w:pPr>
            <w:r w:rsidRPr="00A85FB6">
              <w:rPr>
                <w:rFonts w:cs="Arial"/>
                <w:sz w:val="20"/>
              </w:rPr>
              <w:t xml:space="preserve">New committee structure necessary in response to the devolution of powers. </w:t>
            </w:r>
          </w:p>
          <w:p w:rsidR="00080C3D" w:rsidRPr="00A85FB6" w:rsidRDefault="006C73FD" w:rsidP="00B66942">
            <w:pPr>
              <w:numPr>
                <w:ilvl w:val="0"/>
                <w:numId w:val="15"/>
              </w:numPr>
              <w:spacing w:after="0" w:line="240" w:lineRule="auto"/>
              <w:rPr>
                <w:rFonts w:cs="Arial"/>
                <w:sz w:val="20"/>
              </w:rPr>
            </w:pPr>
            <w:r w:rsidRPr="00A85FB6">
              <w:rPr>
                <w:rFonts w:cs="Arial"/>
                <w:sz w:val="20"/>
              </w:rPr>
              <w:t xml:space="preserve">Review and quality control would continue to be robust. </w:t>
            </w:r>
          </w:p>
          <w:p w:rsidR="006C73FD" w:rsidRPr="00A85FB6" w:rsidRDefault="006C73FD" w:rsidP="00B66942">
            <w:pPr>
              <w:numPr>
                <w:ilvl w:val="0"/>
                <w:numId w:val="15"/>
              </w:numPr>
              <w:spacing w:after="0" w:line="240" w:lineRule="auto"/>
              <w:rPr>
                <w:rFonts w:cs="Arial"/>
                <w:sz w:val="20"/>
              </w:rPr>
            </w:pPr>
            <w:r w:rsidRPr="00A85FB6">
              <w:rPr>
                <w:rFonts w:cs="Arial"/>
                <w:sz w:val="20"/>
              </w:rPr>
              <w:t>Appeal processes would not change in substance.</w:t>
            </w:r>
          </w:p>
          <w:p w:rsidR="001E2164" w:rsidRDefault="006C73FD" w:rsidP="00B66942">
            <w:pPr>
              <w:numPr>
                <w:ilvl w:val="0"/>
                <w:numId w:val="15"/>
              </w:numPr>
              <w:spacing w:after="0" w:line="240" w:lineRule="auto"/>
              <w:rPr>
                <w:rFonts w:cs="Arial"/>
                <w:sz w:val="20"/>
              </w:rPr>
            </w:pPr>
            <w:r w:rsidRPr="00A85FB6">
              <w:rPr>
                <w:rFonts w:cs="Arial"/>
                <w:sz w:val="20"/>
              </w:rPr>
              <w:t xml:space="preserve">No increase in appeals (or change in appeal outcomes) expected. </w:t>
            </w:r>
          </w:p>
          <w:p w:rsidR="00E42980" w:rsidRPr="00A85FB6" w:rsidRDefault="00E42980" w:rsidP="00E42980">
            <w:pPr>
              <w:spacing w:after="0" w:line="240" w:lineRule="auto"/>
              <w:ind w:left="360"/>
              <w:rPr>
                <w:rFonts w:cs="Arial"/>
                <w:sz w:val="20"/>
              </w:rPr>
            </w:pPr>
          </w:p>
        </w:tc>
      </w:tr>
      <w:tr w:rsidR="006C73FD" w:rsidTr="00A85FB6">
        <w:tc>
          <w:tcPr>
            <w:tcW w:w="1696" w:type="dxa"/>
            <w:shd w:val="clear" w:color="auto" w:fill="auto"/>
          </w:tcPr>
          <w:p w:rsidR="006C73FD" w:rsidRPr="00A85FB6" w:rsidRDefault="006C73FD" w:rsidP="00A85FB6">
            <w:pPr>
              <w:spacing w:after="0" w:line="240" w:lineRule="auto"/>
              <w:rPr>
                <w:rFonts w:cs="Arial"/>
                <w:sz w:val="20"/>
              </w:rPr>
            </w:pPr>
            <w:r w:rsidRPr="00A85FB6">
              <w:rPr>
                <w:rFonts w:cs="Arial"/>
                <w:sz w:val="20"/>
              </w:rPr>
              <w:t>Cost recovery</w:t>
            </w:r>
          </w:p>
        </w:tc>
        <w:tc>
          <w:tcPr>
            <w:tcW w:w="1945" w:type="dxa"/>
            <w:shd w:val="clear" w:color="auto" w:fill="auto"/>
          </w:tcPr>
          <w:p w:rsidR="00ED3AC6" w:rsidRPr="00A85FB6" w:rsidRDefault="001E2164" w:rsidP="00A85FB6">
            <w:pPr>
              <w:spacing w:after="0" w:line="240" w:lineRule="auto"/>
              <w:rPr>
                <w:rFonts w:cs="Arial"/>
                <w:sz w:val="20"/>
              </w:rPr>
            </w:pPr>
            <w:r w:rsidRPr="00A85FB6">
              <w:rPr>
                <w:rFonts w:cs="Arial"/>
                <w:sz w:val="20"/>
              </w:rPr>
              <w:t>P</w:t>
            </w:r>
            <w:r w:rsidR="006C73FD" w:rsidRPr="00A85FB6">
              <w:rPr>
                <w:rFonts w:cs="Arial"/>
                <w:sz w:val="20"/>
              </w:rPr>
              <w:t>ro</w:t>
            </w:r>
            <w:r w:rsidR="00ED3AC6" w:rsidRPr="00A85FB6">
              <w:rPr>
                <w:rFonts w:cs="Arial"/>
                <w:sz w:val="20"/>
              </w:rPr>
              <w:t>vision for approval/licensing fees and an industry levy (levy would be new).</w:t>
            </w:r>
          </w:p>
          <w:p w:rsidR="00ED3AC6" w:rsidRPr="00A85FB6" w:rsidRDefault="00ED3AC6" w:rsidP="00A85FB6">
            <w:pPr>
              <w:spacing w:after="0" w:line="240" w:lineRule="auto"/>
              <w:rPr>
                <w:rFonts w:cs="Arial"/>
                <w:sz w:val="20"/>
              </w:rPr>
            </w:pPr>
          </w:p>
          <w:p w:rsidR="004C4D0F" w:rsidRPr="00A85FB6" w:rsidRDefault="004C4D0F" w:rsidP="00A85FB6">
            <w:pPr>
              <w:spacing w:after="0" w:line="240" w:lineRule="auto"/>
              <w:rPr>
                <w:rFonts w:cs="Arial"/>
                <w:sz w:val="20"/>
              </w:rPr>
            </w:pPr>
          </w:p>
          <w:p w:rsidR="006453D9" w:rsidRDefault="006453D9" w:rsidP="00A85FB6">
            <w:pPr>
              <w:spacing w:after="0" w:line="240" w:lineRule="auto"/>
              <w:rPr>
                <w:rFonts w:cs="Arial"/>
                <w:sz w:val="20"/>
              </w:rPr>
            </w:pPr>
          </w:p>
          <w:p w:rsidR="006C73FD" w:rsidRDefault="00ED3AC6" w:rsidP="00A85FB6">
            <w:pPr>
              <w:spacing w:after="0" w:line="240" w:lineRule="auto"/>
              <w:rPr>
                <w:rFonts w:cs="Arial"/>
                <w:sz w:val="20"/>
              </w:rPr>
            </w:pPr>
            <w:r w:rsidRPr="00A85FB6">
              <w:rPr>
                <w:rFonts w:cs="Arial"/>
                <w:sz w:val="20"/>
              </w:rPr>
              <w:t>Potential for Crown funding to be set on public good grounds.</w:t>
            </w:r>
          </w:p>
          <w:p w:rsidR="00E42980" w:rsidRPr="00A85FB6" w:rsidRDefault="00E42980" w:rsidP="00A85FB6">
            <w:pPr>
              <w:spacing w:after="0" w:line="240" w:lineRule="auto"/>
              <w:rPr>
                <w:rFonts w:cs="Arial"/>
                <w:sz w:val="20"/>
              </w:rPr>
            </w:pPr>
          </w:p>
        </w:tc>
        <w:tc>
          <w:tcPr>
            <w:tcW w:w="5375" w:type="dxa"/>
            <w:shd w:val="clear" w:color="auto" w:fill="auto"/>
          </w:tcPr>
          <w:p w:rsidR="00ED3AC6" w:rsidRPr="00A85FB6" w:rsidRDefault="00ED3AC6" w:rsidP="00B66942">
            <w:pPr>
              <w:numPr>
                <w:ilvl w:val="0"/>
                <w:numId w:val="18"/>
              </w:numPr>
              <w:spacing w:after="0" w:line="240" w:lineRule="auto"/>
              <w:rPr>
                <w:rFonts w:cs="Arial"/>
                <w:sz w:val="20"/>
              </w:rPr>
            </w:pPr>
            <w:r w:rsidRPr="00A85FB6">
              <w:rPr>
                <w:rFonts w:cs="Arial"/>
                <w:sz w:val="20"/>
              </w:rPr>
              <w:t>Private goods should be subject to fees.</w:t>
            </w:r>
          </w:p>
          <w:p w:rsidR="00ED3AC6" w:rsidRPr="00A85FB6" w:rsidRDefault="00861403" w:rsidP="00B66942">
            <w:pPr>
              <w:numPr>
                <w:ilvl w:val="0"/>
                <w:numId w:val="18"/>
              </w:numPr>
              <w:spacing w:after="0" w:line="240" w:lineRule="auto"/>
              <w:rPr>
                <w:rFonts w:cs="Arial"/>
                <w:sz w:val="20"/>
              </w:rPr>
            </w:pPr>
            <w:r>
              <w:rPr>
                <w:rFonts w:cs="Arial"/>
                <w:sz w:val="20"/>
              </w:rPr>
              <w:t>Industry/c</w:t>
            </w:r>
            <w:r w:rsidR="00ED3AC6" w:rsidRPr="00A85FB6">
              <w:rPr>
                <w:rFonts w:cs="Arial"/>
                <w:sz w:val="20"/>
              </w:rPr>
              <w:t xml:space="preserve">lub goods </w:t>
            </w:r>
            <w:r>
              <w:rPr>
                <w:rFonts w:cs="Arial"/>
                <w:sz w:val="20"/>
              </w:rPr>
              <w:t>(</w:t>
            </w:r>
            <w:proofErr w:type="spellStart"/>
            <w:r>
              <w:rPr>
                <w:rFonts w:cs="Arial"/>
                <w:sz w:val="20"/>
              </w:rPr>
              <w:t>eg</w:t>
            </w:r>
            <w:proofErr w:type="spellEnd"/>
            <w:r>
              <w:rPr>
                <w:rFonts w:cs="Arial"/>
                <w:sz w:val="20"/>
              </w:rPr>
              <w:t xml:space="preserve">, standards, industry-wide requirements) </w:t>
            </w:r>
            <w:r w:rsidR="00ED3AC6" w:rsidRPr="00A85FB6">
              <w:rPr>
                <w:rFonts w:cs="Arial"/>
                <w:sz w:val="20"/>
              </w:rPr>
              <w:t>could be subject to levy.</w:t>
            </w:r>
          </w:p>
          <w:p w:rsidR="004C4D0F" w:rsidRPr="00A85FB6" w:rsidRDefault="004C4D0F" w:rsidP="00B66942">
            <w:pPr>
              <w:numPr>
                <w:ilvl w:val="0"/>
                <w:numId w:val="18"/>
              </w:numPr>
              <w:spacing w:after="0" w:line="240" w:lineRule="auto"/>
              <w:rPr>
                <w:rFonts w:cs="Arial"/>
                <w:sz w:val="20"/>
              </w:rPr>
            </w:pPr>
            <w:r w:rsidRPr="00A85FB6">
              <w:rPr>
                <w:rFonts w:cs="Arial"/>
                <w:sz w:val="20"/>
              </w:rPr>
              <w:t>Balance between the two will affect Incidence of costs within industry (</w:t>
            </w:r>
            <w:proofErr w:type="spellStart"/>
            <w:r w:rsidRPr="00A85FB6">
              <w:rPr>
                <w:rFonts w:cs="Arial"/>
                <w:sz w:val="20"/>
              </w:rPr>
              <w:t>eg</w:t>
            </w:r>
            <w:proofErr w:type="spellEnd"/>
            <w:r w:rsidRPr="00A85FB6">
              <w:rPr>
                <w:rFonts w:cs="Arial"/>
                <w:sz w:val="20"/>
              </w:rPr>
              <w:t xml:space="preserve">, levy will increase share of costs borne by companies with few new products being approved). </w:t>
            </w:r>
          </w:p>
          <w:p w:rsidR="004C4D0F" w:rsidRPr="00A85FB6" w:rsidRDefault="004C4D0F" w:rsidP="00A85FB6">
            <w:pPr>
              <w:spacing w:after="0" w:line="240" w:lineRule="auto"/>
              <w:ind w:left="360"/>
              <w:rPr>
                <w:rFonts w:cs="Arial"/>
                <w:sz w:val="20"/>
              </w:rPr>
            </w:pPr>
          </w:p>
          <w:p w:rsidR="006C73FD" w:rsidRPr="00A85FB6" w:rsidRDefault="006C73FD" w:rsidP="00B66942">
            <w:pPr>
              <w:numPr>
                <w:ilvl w:val="0"/>
                <w:numId w:val="18"/>
              </w:numPr>
              <w:spacing w:after="0" w:line="240" w:lineRule="auto"/>
              <w:rPr>
                <w:rFonts w:cs="Arial"/>
                <w:sz w:val="20"/>
              </w:rPr>
            </w:pPr>
            <w:r w:rsidRPr="00A85FB6">
              <w:rPr>
                <w:rFonts w:cs="Arial"/>
                <w:sz w:val="20"/>
              </w:rPr>
              <w:t>Government may choose to fund</w:t>
            </w:r>
            <w:r w:rsidR="004C4D0F" w:rsidRPr="00A85FB6">
              <w:rPr>
                <w:rFonts w:cs="Arial"/>
                <w:sz w:val="20"/>
              </w:rPr>
              <w:t xml:space="preserve"> public good activity (</w:t>
            </w:r>
            <w:proofErr w:type="spellStart"/>
            <w:r w:rsidR="004C4D0F" w:rsidRPr="00A85FB6">
              <w:rPr>
                <w:rFonts w:cs="Arial"/>
                <w:sz w:val="20"/>
              </w:rPr>
              <w:t>eg</w:t>
            </w:r>
            <w:proofErr w:type="spellEnd"/>
            <w:r w:rsidR="004C4D0F" w:rsidRPr="00A85FB6">
              <w:rPr>
                <w:rFonts w:cs="Arial"/>
                <w:sz w:val="20"/>
              </w:rPr>
              <w:t xml:space="preserve">, </w:t>
            </w:r>
            <w:r w:rsidRPr="00A85FB6">
              <w:rPr>
                <w:rFonts w:cs="Arial"/>
                <w:sz w:val="20"/>
              </w:rPr>
              <w:t>enforcement).</w:t>
            </w:r>
          </w:p>
          <w:p w:rsidR="004C4D0F" w:rsidRPr="00A85FB6" w:rsidRDefault="004C4D0F" w:rsidP="00B66942">
            <w:pPr>
              <w:numPr>
                <w:ilvl w:val="0"/>
                <w:numId w:val="18"/>
              </w:numPr>
              <w:spacing w:after="0" w:line="240" w:lineRule="auto"/>
              <w:rPr>
                <w:rFonts w:cs="Arial"/>
                <w:sz w:val="20"/>
              </w:rPr>
            </w:pPr>
            <w:r w:rsidRPr="00A85FB6">
              <w:rPr>
                <w:rFonts w:cs="Arial"/>
                <w:sz w:val="20"/>
              </w:rPr>
              <w:t>Costs to industry / Crown will be affected accordingly.</w:t>
            </w:r>
          </w:p>
        </w:tc>
      </w:tr>
      <w:tr w:rsidR="006C73FD" w:rsidTr="00A85FB6">
        <w:tc>
          <w:tcPr>
            <w:tcW w:w="1696" w:type="dxa"/>
            <w:shd w:val="clear" w:color="auto" w:fill="auto"/>
          </w:tcPr>
          <w:p w:rsidR="006C73FD" w:rsidRPr="00A85FB6" w:rsidRDefault="006C73FD" w:rsidP="00A85FB6">
            <w:pPr>
              <w:spacing w:after="0" w:line="240" w:lineRule="auto"/>
              <w:rPr>
                <w:rFonts w:cs="Arial"/>
                <w:sz w:val="20"/>
              </w:rPr>
            </w:pPr>
            <w:r w:rsidRPr="00A85FB6">
              <w:rPr>
                <w:rFonts w:cs="Arial"/>
                <w:sz w:val="20"/>
              </w:rPr>
              <w:t xml:space="preserve">Product Approval </w:t>
            </w:r>
          </w:p>
        </w:tc>
        <w:tc>
          <w:tcPr>
            <w:tcW w:w="1945" w:type="dxa"/>
            <w:shd w:val="clear" w:color="auto" w:fill="auto"/>
          </w:tcPr>
          <w:p w:rsidR="006C73FD" w:rsidRPr="00A85FB6" w:rsidRDefault="001E2164" w:rsidP="00A85FB6">
            <w:pPr>
              <w:spacing w:after="0" w:line="240" w:lineRule="auto"/>
              <w:rPr>
                <w:rFonts w:cs="Arial"/>
                <w:sz w:val="20"/>
              </w:rPr>
            </w:pPr>
            <w:r w:rsidRPr="00A85FB6">
              <w:rPr>
                <w:rFonts w:cs="Arial"/>
                <w:sz w:val="20"/>
              </w:rPr>
              <w:t>R</w:t>
            </w:r>
            <w:r w:rsidR="006C73FD" w:rsidRPr="00A85FB6">
              <w:rPr>
                <w:rFonts w:cs="Arial"/>
                <w:sz w:val="20"/>
              </w:rPr>
              <w:t xml:space="preserve">egulator </w:t>
            </w:r>
            <w:r w:rsidRPr="00A85FB6">
              <w:rPr>
                <w:rFonts w:cs="Arial"/>
                <w:sz w:val="20"/>
              </w:rPr>
              <w:t xml:space="preserve">has more </w:t>
            </w:r>
            <w:r w:rsidR="006C73FD" w:rsidRPr="00A85FB6">
              <w:rPr>
                <w:rFonts w:cs="Arial"/>
                <w:sz w:val="20"/>
              </w:rPr>
              <w:t>ability to choose the right process and conditions.</w:t>
            </w:r>
          </w:p>
          <w:p w:rsidR="006C73FD" w:rsidRPr="00A85FB6" w:rsidRDefault="006C73FD" w:rsidP="00A85FB6">
            <w:pPr>
              <w:spacing w:after="0" w:line="240" w:lineRule="auto"/>
              <w:rPr>
                <w:rFonts w:cs="Arial"/>
                <w:sz w:val="20"/>
                <w:u w:val="single"/>
              </w:rPr>
            </w:pPr>
          </w:p>
          <w:p w:rsidR="006453D9" w:rsidRDefault="006453D9" w:rsidP="00A85FB6">
            <w:pPr>
              <w:spacing w:after="0" w:line="240" w:lineRule="auto"/>
              <w:rPr>
                <w:rFonts w:cs="Arial"/>
                <w:sz w:val="20"/>
              </w:rPr>
            </w:pPr>
          </w:p>
          <w:p w:rsidR="006C73FD" w:rsidRPr="00A85FB6" w:rsidRDefault="001E2164" w:rsidP="00A85FB6">
            <w:pPr>
              <w:spacing w:after="0" w:line="240" w:lineRule="auto"/>
              <w:rPr>
                <w:rFonts w:cs="Arial"/>
                <w:sz w:val="20"/>
              </w:rPr>
            </w:pPr>
            <w:r w:rsidRPr="00A85FB6">
              <w:rPr>
                <w:rFonts w:cs="Arial"/>
                <w:sz w:val="20"/>
              </w:rPr>
              <w:t xml:space="preserve">Role </w:t>
            </w:r>
            <w:r w:rsidR="006C73FD" w:rsidRPr="00A85FB6">
              <w:rPr>
                <w:rFonts w:cs="Arial"/>
                <w:sz w:val="20"/>
              </w:rPr>
              <w:t>establish</w:t>
            </w:r>
            <w:r w:rsidRPr="00A85FB6">
              <w:rPr>
                <w:rFonts w:cs="Arial"/>
                <w:sz w:val="20"/>
              </w:rPr>
              <w:t>ed</w:t>
            </w:r>
            <w:r w:rsidR="006C73FD" w:rsidRPr="00A85FB6">
              <w:rPr>
                <w:rFonts w:cs="Arial"/>
                <w:sz w:val="20"/>
              </w:rPr>
              <w:t xml:space="preserve"> for a “responsible person”.</w:t>
            </w:r>
          </w:p>
          <w:p w:rsidR="006C73FD" w:rsidRPr="00A85FB6" w:rsidRDefault="006C73FD" w:rsidP="00A85FB6">
            <w:pPr>
              <w:spacing w:after="0" w:line="240" w:lineRule="auto"/>
              <w:rPr>
                <w:rFonts w:cs="Arial"/>
                <w:sz w:val="20"/>
              </w:rPr>
            </w:pPr>
          </w:p>
          <w:p w:rsidR="001E2164" w:rsidRPr="00A85FB6" w:rsidRDefault="001E2164" w:rsidP="00A85FB6">
            <w:pPr>
              <w:spacing w:after="0" w:line="240" w:lineRule="auto"/>
              <w:rPr>
                <w:rFonts w:cs="Arial"/>
                <w:sz w:val="20"/>
              </w:rPr>
            </w:pPr>
          </w:p>
          <w:p w:rsidR="006C73FD" w:rsidRPr="00A85FB6" w:rsidRDefault="006C73FD" w:rsidP="00A85FB6">
            <w:pPr>
              <w:spacing w:after="0" w:line="240" w:lineRule="auto"/>
              <w:rPr>
                <w:rFonts w:cs="Arial"/>
                <w:sz w:val="20"/>
                <w:u w:val="single"/>
              </w:rPr>
            </w:pPr>
            <w:r w:rsidRPr="00A85FB6">
              <w:rPr>
                <w:rFonts w:cs="Arial"/>
                <w:sz w:val="20"/>
              </w:rPr>
              <w:t>Other changes (</w:t>
            </w:r>
            <w:proofErr w:type="spellStart"/>
            <w:r w:rsidRPr="00A85FB6">
              <w:rPr>
                <w:rFonts w:cs="Arial"/>
                <w:sz w:val="20"/>
              </w:rPr>
              <w:t>eg</w:t>
            </w:r>
            <w:proofErr w:type="spellEnd"/>
            <w:r w:rsidRPr="00A85FB6">
              <w:rPr>
                <w:rFonts w:cs="Arial"/>
                <w:sz w:val="20"/>
              </w:rPr>
              <w:t>, information for consumers).</w:t>
            </w:r>
          </w:p>
        </w:tc>
        <w:tc>
          <w:tcPr>
            <w:tcW w:w="5375" w:type="dxa"/>
            <w:shd w:val="clear" w:color="auto" w:fill="auto"/>
          </w:tcPr>
          <w:p w:rsidR="006C73FD" w:rsidRPr="00A85FB6" w:rsidRDefault="005A73AE" w:rsidP="00B66942">
            <w:pPr>
              <w:numPr>
                <w:ilvl w:val="0"/>
                <w:numId w:val="17"/>
              </w:numPr>
              <w:spacing w:after="0" w:line="240" w:lineRule="auto"/>
              <w:rPr>
                <w:rFonts w:cs="Arial"/>
                <w:sz w:val="20"/>
              </w:rPr>
            </w:pPr>
            <w:r>
              <w:rPr>
                <w:rFonts w:cs="Arial"/>
                <w:sz w:val="20"/>
              </w:rPr>
              <w:t xml:space="preserve">Graduated </w:t>
            </w:r>
            <w:r w:rsidR="006C73FD" w:rsidRPr="00A85FB6">
              <w:rPr>
                <w:rFonts w:cs="Arial"/>
                <w:sz w:val="20"/>
              </w:rPr>
              <w:t>compliance costs</w:t>
            </w:r>
            <w:r>
              <w:rPr>
                <w:rFonts w:cs="Arial"/>
                <w:sz w:val="20"/>
              </w:rPr>
              <w:t xml:space="preserve"> (depending on risk and cost of process)</w:t>
            </w:r>
            <w:r w:rsidR="001E2164" w:rsidRPr="00A85FB6">
              <w:rPr>
                <w:rFonts w:cs="Arial"/>
                <w:sz w:val="20"/>
              </w:rPr>
              <w:t>.</w:t>
            </w:r>
          </w:p>
          <w:p w:rsidR="006C73FD" w:rsidRPr="00A85FB6" w:rsidRDefault="001E2164" w:rsidP="00B66942">
            <w:pPr>
              <w:numPr>
                <w:ilvl w:val="0"/>
                <w:numId w:val="17"/>
              </w:numPr>
              <w:spacing w:after="0" w:line="240" w:lineRule="auto"/>
              <w:rPr>
                <w:rFonts w:cs="Arial"/>
                <w:sz w:val="20"/>
              </w:rPr>
            </w:pPr>
            <w:r w:rsidRPr="00A85FB6">
              <w:rPr>
                <w:rFonts w:cs="Arial"/>
                <w:sz w:val="20"/>
              </w:rPr>
              <w:t>M</w:t>
            </w:r>
            <w:r w:rsidR="006C73FD" w:rsidRPr="00A85FB6">
              <w:rPr>
                <w:rFonts w:cs="Arial"/>
                <w:sz w:val="20"/>
              </w:rPr>
              <w:t>ore timely decisions</w:t>
            </w:r>
            <w:r w:rsidRPr="00A85FB6">
              <w:rPr>
                <w:rFonts w:cs="Arial"/>
                <w:sz w:val="20"/>
              </w:rPr>
              <w:t>.</w:t>
            </w:r>
          </w:p>
          <w:p w:rsidR="006C73FD" w:rsidRPr="00A85FB6" w:rsidRDefault="001E2164" w:rsidP="00B66942">
            <w:pPr>
              <w:numPr>
                <w:ilvl w:val="0"/>
                <w:numId w:val="17"/>
              </w:numPr>
              <w:spacing w:after="0" w:line="240" w:lineRule="auto"/>
              <w:rPr>
                <w:rFonts w:cs="Arial"/>
                <w:sz w:val="20"/>
              </w:rPr>
            </w:pPr>
            <w:r w:rsidRPr="00A85FB6">
              <w:rPr>
                <w:rFonts w:cs="Arial"/>
                <w:sz w:val="20"/>
              </w:rPr>
              <w:t>B</w:t>
            </w:r>
            <w:r w:rsidR="006C73FD" w:rsidRPr="00A85FB6">
              <w:rPr>
                <w:rFonts w:cs="Arial"/>
                <w:sz w:val="20"/>
              </w:rPr>
              <w:t>etter risk management.</w:t>
            </w:r>
          </w:p>
          <w:p w:rsidR="006C73FD" w:rsidRPr="00A85FB6" w:rsidRDefault="006C73FD" w:rsidP="00A85FB6">
            <w:pPr>
              <w:spacing w:after="0" w:line="240" w:lineRule="auto"/>
              <w:rPr>
                <w:rFonts w:cs="Arial"/>
                <w:sz w:val="20"/>
              </w:rPr>
            </w:pPr>
          </w:p>
          <w:p w:rsidR="006C73FD" w:rsidRPr="00A85FB6" w:rsidRDefault="006C73FD" w:rsidP="00A85FB6">
            <w:pPr>
              <w:spacing w:after="0" w:line="240" w:lineRule="auto"/>
              <w:rPr>
                <w:rFonts w:cs="Arial"/>
                <w:sz w:val="20"/>
                <w:u w:val="single"/>
              </w:rPr>
            </w:pPr>
          </w:p>
          <w:p w:rsidR="006C73FD" w:rsidRPr="00A85FB6" w:rsidRDefault="006C73FD" w:rsidP="00A85FB6">
            <w:pPr>
              <w:spacing w:after="0" w:line="240" w:lineRule="auto"/>
              <w:rPr>
                <w:rFonts w:cs="Arial"/>
                <w:sz w:val="20"/>
                <w:u w:val="single"/>
              </w:rPr>
            </w:pPr>
          </w:p>
          <w:p w:rsidR="006C73FD" w:rsidRPr="00A85FB6" w:rsidRDefault="001E2164" w:rsidP="00B66942">
            <w:pPr>
              <w:numPr>
                <w:ilvl w:val="0"/>
                <w:numId w:val="17"/>
              </w:numPr>
              <w:spacing w:after="0" w:line="240" w:lineRule="auto"/>
              <w:rPr>
                <w:rFonts w:cs="Arial"/>
                <w:sz w:val="20"/>
              </w:rPr>
            </w:pPr>
            <w:r w:rsidRPr="00A85FB6">
              <w:rPr>
                <w:rFonts w:cs="Arial"/>
                <w:sz w:val="20"/>
              </w:rPr>
              <w:t>I</w:t>
            </w:r>
            <w:r w:rsidR="006C73FD" w:rsidRPr="00A85FB6">
              <w:rPr>
                <w:rFonts w:cs="Arial"/>
                <w:sz w:val="20"/>
              </w:rPr>
              <w:t>ncreased compliance costs</w:t>
            </w:r>
            <w:r w:rsidRPr="00A85FB6">
              <w:rPr>
                <w:rFonts w:cs="Arial"/>
                <w:sz w:val="20"/>
              </w:rPr>
              <w:t>.</w:t>
            </w:r>
          </w:p>
          <w:p w:rsidR="006C73FD" w:rsidRPr="00A85FB6" w:rsidRDefault="001E2164" w:rsidP="00B66942">
            <w:pPr>
              <w:numPr>
                <w:ilvl w:val="0"/>
                <w:numId w:val="17"/>
              </w:numPr>
              <w:spacing w:after="0" w:line="240" w:lineRule="auto"/>
              <w:rPr>
                <w:rFonts w:cs="Arial"/>
                <w:sz w:val="20"/>
              </w:rPr>
            </w:pPr>
            <w:r w:rsidRPr="00A85FB6">
              <w:rPr>
                <w:rFonts w:cs="Arial"/>
                <w:sz w:val="20"/>
              </w:rPr>
              <w:t>P</w:t>
            </w:r>
            <w:r w:rsidR="006C73FD" w:rsidRPr="00A85FB6">
              <w:rPr>
                <w:rFonts w:cs="Arial"/>
                <w:sz w:val="20"/>
              </w:rPr>
              <w:t xml:space="preserve">ossible reduction in </w:t>
            </w:r>
            <w:r w:rsidRPr="00A85FB6">
              <w:rPr>
                <w:rFonts w:cs="Arial"/>
                <w:sz w:val="20"/>
              </w:rPr>
              <w:t xml:space="preserve">(riskier) </w:t>
            </w:r>
            <w:r w:rsidR="006C73FD" w:rsidRPr="00A85FB6">
              <w:rPr>
                <w:rFonts w:cs="Arial"/>
                <w:sz w:val="20"/>
              </w:rPr>
              <w:t>products submitted for approval</w:t>
            </w:r>
            <w:r w:rsidR="00861403">
              <w:rPr>
                <w:rFonts w:cs="Arial"/>
                <w:sz w:val="20"/>
              </w:rPr>
              <w:t>, and subject to post-market activities</w:t>
            </w:r>
            <w:r w:rsidRPr="00A85FB6">
              <w:rPr>
                <w:rFonts w:cs="Arial"/>
                <w:sz w:val="20"/>
              </w:rPr>
              <w:t>.</w:t>
            </w:r>
          </w:p>
          <w:p w:rsidR="006C73FD" w:rsidRPr="00A85FB6" w:rsidRDefault="001E2164" w:rsidP="00B66942">
            <w:pPr>
              <w:numPr>
                <w:ilvl w:val="0"/>
                <w:numId w:val="17"/>
              </w:numPr>
              <w:spacing w:after="0" w:line="240" w:lineRule="auto"/>
              <w:rPr>
                <w:rFonts w:cs="Arial"/>
                <w:sz w:val="20"/>
              </w:rPr>
            </w:pPr>
            <w:r w:rsidRPr="00A85FB6">
              <w:rPr>
                <w:rFonts w:cs="Arial"/>
                <w:sz w:val="20"/>
              </w:rPr>
              <w:t>B</w:t>
            </w:r>
            <w:r w:rsidR="006C73FD" w:rsidRPr="00A85FB6">
              <w:rPr>
                <w:rFonts w:cs="Arial"/>
                <w:sz w:val="20"/>
              </w:rPr>
              <w:t>etter risk management.</w:t>
            </w:r>
          </w:p>
          <w:p w:rsidR="006C73FD" w:rsidRPr="00A85FB6" w:rsidRDefault="006C73FD" w:rsidP="00A85FB6">
            <w:pPr>
              <w:spacing w:after="0" w:line="240" w:lineRule="auto"/>
              <w:rPr>
                <w:rFonts w:cs="Arial"/>
                <w:sz w:val="20"/>
              </w:rPr>
            </w:pPr>
          </w:p>
          <w:p w:rsidR="001E2164" w:rsidRPr="00A85FB6" w:rsidRDefault="006C73FD" w:rsidP="00B66942">
            <w:pPr>
              <w:numPr>
                <w:ilvl w:val="0"/>
                <w:numId w:val="17"/>
              </w:numPr>
              <w:spacing w:after="0" w:line="240" w:lineRule="auto"/>
              <w:rPr>
                <w:rFonts w:cs="Arial"/>
                <w:sz w:val="20"/>
              </w:rPr>
            </w:pPr>
            <w:r w:rsidRPr="00A85FB6">
              <w:rPr>
                <w:rFonts w:cs="Arial"/>
                <w:sz w:val="20"/>
              </w:rPr>
              <w:t xml:space="preserve">Minor impact.  </w:t>
            </w:r>
          </w:p>
          <w:p w:rsidR="001E2164" w:rsidRPr="00A85FB6" w:rsidRDefault="006C73FD" w:rsidP="00B66942">
            <w:pPr>
              <w:numPr>
                <w:ilvl w:val="0"/>
                <w:numId w:val="17"/>
              </w:numPr>
              <w:spacing w:after="0" w:line="240" w:lineRule="auto"/>
              <w:rPr>
                <w:rFonts w:cs="Arial"/>
                <w:sz w:val="20"/>
              </w:rPr>
            </w:pPr>
            <w:r w:rsidRPr="00A85FB6">
              <w:rPr>
                <w:rFonts w:cs="Arial"/>
                <w:sz w:val="20"/>
              </w:rPr>
              <w:t xml:space="preserve">Large number of products affected.  </w:t>
            </w:r>
          </w:p>
          <w:p w:rsidR="006C73FD" w:rsidRDefault="006C73FD" w:rsidP="00B66942">
            <w:pPr>
              <w:numPr>
                <w:ilvl w:val="0"/>
                <w:numId w:val="17"/>
              </w:numPr>
              <w:spacing w:after="0" w:line="240" w:lineRule="auto"/>
              <w:rPr>
                <w:rFonts w:cs="Arial"/>
                <w:sz w:val="20"/>
              </w:rPr>
            </w:pPr>
            <w:r w:rsidRPr="00A85FB6">
              <w:rPr>
                <w:rFonts w:cs="Arial"/>
                <w:sz w:val="20"/>
              </w:rPr>
              <w:t xml:space="preserve">Low compliance costs.  </w:t>
            </w:r>
          </w:p>
          <w:p w:rsidR="00E42980" w:rsidRPr="00A85FB6" w:rsidRDefault="00E42980" w:rsidP="00E42980">
            <w:pPr>
              <w:spacing w:after="0" w:line="240" w:lineRule="auto"/>
              <w:ind w:left="360"/>
              <w:rPr>
                <w:rFonts w:cs="Arial"/>
                <w:sz w:val="20"/>
              </w:rPr>
            </w:pPr>
          </w:p>
        </w:tc>
      </w:tr>
      <w:tr w:rsidR="006C73FD" w:rsidTr="00A85FB6">
        <w:tc>
          <w:tcPr>
            <w:tcW w:w="1696" w:type="dxa"/>
            <w:shd w:val="clear" w:color="auto" w:fill="auto"/>
          </w:tcPr>
          <w:p w:rsidR="006C73FD" w:rsidRPr="00A85FB6" w:rsidRDefault="006C73FD" w:rsidP="00A85FB6">
            <w:pPr>
              <w:spacing w:after="0" w:line="240" w:lineRule="auto"/>
              <w:rPr>
                <w:rFonts w:cs="Arial"/>
                <w:sz w:val="20"/>
              </w:rPr>
            </w:pPr>
            <w:r w:rsidRPr="00A85FB6">
              <w:rPr>
                <w:rFonts w:cs="Arial"/>
                <w:sz w:val="20"/>
              </w:rPr>
              <w:t>Controlled activities</w:t>
            </w:r>
          </w:p>
        </w:tc>
        <w:tc>
          <w:tcPr>
            <w:tcW w:w="1945" w:type="dxa"/>
            <w:shd w:val="clear" w:color="auto" w:fill="auto"/>
          </w:tcPr>
          <w:p w:rsidR="006C73FD" w:rsidRDefault="006C73FD" w:rsidP="00A85FB6">
            <w:pPr>
              <w:spacing w:after="0" w:line="240" w:lineRule="auto"/>
              <w:rPr>
                <w:rFonts w:cs="Arial"/>
                <w:sz w:val="20"/>
              </w:rPr>
            </w:pPr>
            <w:r w:rsidRPr="00A85FB6">
              <w:rPr>
                <w:rFonts w:cs="Arial"/>
                <w:sz w:val="20"/>
              </w:rPr>
              <w:t>More flexibility for regulator to impose conditions when licensing.</w:t>
            </w:r>
          </w:p>
          <w:p w:rsidR="00E42980" w:rsidRPr="00A85FB6" w:rsidRDefault="00E42980" w:rsidP="00A85FB6">
            <w:pPr>
              <w:spacing w:after="0" w:line="240" w:lineRule="auto"/>
              <w:rPr>
                <w:rFonts w:cs="Arial"/>
                <w:sz w:val="20"/>
              </w:rPr>
            </w:pPr>
          </w:p>
        </w:tc>
        <w:tc>
          <w:tcPr>
            <w:tcW w:w="5375" w:type="dxa"/>
            <w:shd w:val="clear" w:color="auto" w:fill="auto"/>
          </w:tcPr>
          <w:p w:rsidR="006C73FD" w:rsidRPr="00A85FB6" w:rsidRDefault="006C73FD" w:rsidP="00B66942">
            <w:pPr>
              <w:numPr>
                <w:ilvl w:val="0"/>
                <w:numId w:val="14"/>
              </w:numPr>
              <w:spacing w:after="0" w:line="240" w:lineRule="auto"/>
              <w:rPr>
                <w:rFonts w:cs="Arial"/>
                <w:sz w:val="20"/>
              </w:rPr>
            </w:pPr>
            <w:r w:rsidRPr="00A85FB6">
              <w:rPr>
                <w:rFonts w:cs="Arial"/>
                <w:sz w:val="20"/>
              </w:rPr>
              <w:t>Compliance costs may be higher or lower depending</w:t>
            </w:r>
            <w:r w:rsidR="00244662">
              <w:rPr>
                <w:rFonts w:cs="Arial"/>
                <w:sz w:val="20"/>
              </w:rPr>
              <w:t xml:space="preserve"> on conditions, length of licenc</w:t>
            </w:r>
            <w:r w:rsidRPr="00A85FB6">
              <w:rPr>
                <w:rFonts w:cs="Arial"/>
                <w:sz w:val="20"/>
              </w:rPr>
              <w:t xml:space="preserve">e </w:t>
            </w:r>
            <w:proofErr w:type="spellStart"/>
            <w:r w:rsidRPr="00A85FB6">
              <w:rPr>
                <w:rFonts w:cs="Arial"/>
                <w:sz w:val="20"/>
              </w:rPr>
              <w:t>etc</w:t>
            </w:r>
            <w:proofErr w:type="spellEnd"/>
            <w:r w:rsidRPr="00A85FB6">
              <w:rPr>
                <w:rFonts w:cs="Arial"/>
                <w:sz w:val="20"/>
              </w:rPr>
              <w:t xml:space="preserve">). </w:t>
            </w:r>
          </w:p>
          <w:p w:rsidR="006C73FD" w:rsidRPr="00A85FB6" w:rsidRDefault="006C73FD" w:rsidP="00B66942">
            <w:pPr>
              <w:numPr>
                <w:ilvl w:val="0"/>
                <w:numId w:val="14"/>
              </w:numPr>
              <w:spacing w:after="0" w:line="240" w:lineRule="auto"/>
              <w:rPr>
                <w:rFonts w:cs="Arial"/>
                <w:sz w:val="20"/>
              </w:rPr>
            </w:pPr>
            <w:r w:rsidRPr="00A85FB6">
              <w:rPr>
                <w:rFonts w:cs="Arial"/>
                <w:sz w:val="20"/>
              </w:rPr>
              <w:t>In general, minor impacts</w:t>
            </w:r>
            <w:r w:rsidR="00776461">
              <w:rPr>
                <w:rFonts w:cs="Arial"/>
                <w:sz w:val="20"/>
              </w:rPr>
              <w:t xml:space="preserve"> for industry as a whole</w:t>
            </w:r>
            <w:r w:rsidRPr="00A85FB6">
              <w:rPr>
                <w:rFonts w:cs="Arial"/>
                <w:sz w:val="20"/>
              </w:rPr>
              <w:t>.</w:t>
            </w:r>
          </w:p>
          <w:p w:rsidR="006C73FD" w:rsidRPr="00A85FB6" w:rsidRDefault="006C73FD" w:rsidP="00A85FB6">
            <w:pPr>
              <w:spacing w:after="0" w:line="240" w:lineRule="auto"/>
              <w:ind w:left="360"/>
              <w:rPr>
                <w:rFonts w:cs="Arial"/>
                <w:sz w:val="20"/>
              </w:rPr>
            </w:pPr>
          </w:p>
        </w:tc>
      </w:tr>
      <w:tr w:rsidR="006C73FD" w:rsidTr="00A85FB6">
        <w:tc>
          <w:tcPr>
            <w:tcW w:w="1696" w:type="dxa"/>
            <w:shd w:val="clear" w:color="auto" w:fill="auto"/>
          </w:tcPr>
          <w:p w:rsidR="006C73FD" w:rsidRDefault="006C73FD" w:rsidP="004B2AD5">
            <w:pPr>
              <w:spacing w:after="0" w:line="240" w:lineRule="auto"/>
              <w:rPr>
                <w:rFonts w:cs="Arial"/>
                <w:sz w:val="20"/>
              </w:rPr>
            </w:pPr>
            <w:r w:rsidRPr="00A85FB6">
              <w:rPr>
                <w:rFonts w:cs="Arial"/>
                <w:sz w:val="20"/>
              </w:rPr>
              <w:t xml:space="preserve">Pharmacy </w:t>
            </w:r>
            <w:proofErr w:type="spellStart"/>
            <w:r w:rsidRPr="00A85FB6">
              <w:rPr>
                <w:rFonts w:cs="Arial"/>
                <w:sz w:val="20"/>
              </w:rPr>
              <w:t>licen</w:t>
            </w:r>
            <w:proofErr w:type="spellEnd"/>
            <w:r w:rsidR="00752EB3">
              <w:rPr>
                <w:rFonts w:cs="Arial"/>
                <w:sz w:val="20"/>
              </w:rPr>
              <w:t>-</w:t>
            </w:r>
            <w:r w:rsidRPr="00A85FB6">
              <w:rPr>
                <w:rFonts w:cs="Arial"/>
                <w:sz w:val="20"/>
              </w:rPr>
              <w:t>sing and control</w:t>
            </w:r>
            <w:r w:rsidR="004B2AD5">
              <w:rPr>
                <w:rFonts w:cs="Arial"/>
                <w:sz w:val="20"/>
              </w:rPr>
              <w:t xml:space="preserve"> (including ownership restrictions)</w:t>
            </w:r>
          </w:p>
          <w:p w:rsidR="00591272" w:rsidRPr="00A85FB6" w:rsidRDefault="00591272" w:rsidP="004B2AD5">
            <w:pPr>
              <w:spacing w:after="0" w:line="240" w:lineRule="auto"/>
              <w:rPr>
                <w:rFonts w:cs="Arial"/>
                <w:sz w:val="20"/>
              </w:rPr>
            </w:pPr>
          </w:p>
        </w:tc>
        <w:tc>
          <w:tcPr>
            <w:tcW w:w="1945" w:type="dxa"/>
            <w:shd w:val="clear" w:color="auto" w:fill="auto"/>
          </w:tcPr>
          <w:p w:rsidR="006C73FD" w:rsidRPr="00A85FB6" w:rsidRDefault="00591272" w:rsidP="00A85FB6">
            <w:pPr>
              <w:spacing w:after="0" w:line="240" w:lineRule="auto"/>
              <w:rPr>
                <w:rFonts w:cs="Arial"/>
                <w:sz w:val="20"/>
                <w:u w:val="single"/>
              </w:rPr>
            </w:pPr>
            <w:r>
              <w:rPr>
                <w:rFonts w:cs="Arial"/>
                <w:sz w:val="20"/>
              </w:rPr>
              <w:t>This will be subject to further reporting in early 2016.</w:t>
            </w:r>
            <w:r w:rsidR="006C73FD" w:rsidRPr="00A85FB6">
              <w:rPr>
                <w:rFonts w:cs="Arial"/>
                <w:sz w:val="20"/>
              </w:rPr>
              <w:t xml:space="preserve"> </w:t>
            </w:r>
          </w:p>
        </w:tc>
        <w:tc>
          <w:tcPr>
            <w:tcW w:w="5375" w:type="dxa"/>
            <w:shd w:val="clear" w:color="auto" w:fill="auto"/>
          </w:tcPr>
          <w:p w:rsidR="00E42980" w:rsidRDefault="00591272" w:rsidP="00B66942">
            <w:pPr>
              <w:pStyle w:val="ListParagraph"/>
              <w:numPr>
                <w:ilvl w:val="0"/>
                <w:numId w:val="50"/>
              </w:numPr>
              <w:spacing w:after="0" w:line="240" w:lineRule="auto"/>
              <w:ind w:left="360"/>
              <w:rPr>
                <w:rFonts w:cs="Arial"/>
                <w:sz w:val="20"/>
              </w:rPr>
            </w:pPr>
            <w:r>
              <w:rPr>
                <w:rFonts w:cs="Arial"/>
                <w:sz w:val="20"/>
              </w:rPr>
              <w:t>The key issues is whether ownership restrictions are necessary.</w:t>
            </w:r>
          </w:p>
          <w:p w:rsidR="00591272" w:rsidRDefault="00591272" w:rsidP="00735456">
            <w:pPr>
              <w:pStyle w:val="ListParagraph"/>
              <w:spacing w:after="0" w:line="240" w:lineRule="auto"/>
              <w:ind w:left="0"/>
              <w:rPr>
                <w:rFonts w:cs="Arial"/>
                <w:sz w:val="20"/>
              </w:rPr>
            </w:pPr>
          </w:p>
          <w:p w:rsidR="00591272" w:rsidRDefault="00591272" w:rsidP="00B66942">
            <w:pPr>
              <w:pStyle w:val="ListParagraph"/>
              <w:numPr>
                <w:ilvl w:val="0"/>
                <w:numId w:val="50"/>
              </w:numPr>
              <w:spacing w:after="0" w:line="240" w:lineRule="auto"/>
              <w:ind w:left="360"/>
              <w:rPr>
                <w:rFonts w:cs="Arial"/>
                <w:sz w:val="20"/>
              </w:rPr>
            </w:pPr>
            <w:r>
              <w:rPr>
                <w:rFonts w:cs="Arial"/>
                <w:sz w:val="20"/>
              </w:rPr>
              <w:t>Under all options to be considered</w:t>
            </w:r>
            <w:r w:rsidR="00735456">
              <w:rPr>
                <w:rFonts w:cs="Arial"/>
                <w:sz w:val="20"/>
              </w:rPr>
              <w:t>,</w:t>
            </w:r>
            <w:r>
              <w:rPr>
                <w:rFonts w:cs="Arial"/>
                <w:sz w:val="20"/>
              </w:rPr>
              <w:t xml:space="preserve"> pharmacists would </w:t>
            </w:r>
            <w:r w:rsidR="00735456">
              <w:rPr>
                <w:rFonts w:cs="Arial"/>
                <w:sz w:val="20"/>
              </w:rPr>
              <w:t xml:space="preserve">retain the responsibility for the </w:t>
            </w:r>
            <w:r>
              <w:rPr>
                <w:rFonts w:cs="Arial"/>
                <w:sz w:val="20"/>
              </w:rPr>
              <w:t>supervis</w:t>
            </w:r>
            <w:r w:rsidR="00735456">
              <w:rPr>
                <w:rFonts w:cs="Arial"/>
                <w:sz w:val="20"/>
              </w:rPr>
              <w:t xml:space="preserve">ion and </w:t>
            </w:r>
            <w:r>
              <w:rPr>
                <w:rFonts w:cs="Arial"/>
                <w:sz w:val="20"/>
              </w:rPr>
              <w:t>control</w:t>
            </w:r>
            <w:r w:rsidR="00735456">
              <w:rPr>
                <w:rFonts w:cs="Arial"/>
                <w:sz w:val="20"/>
              </w:rPr>
              <w:t xml:space="preserve"> of medicines.</w:t>
            </w:r>
          </w:p>
          <w:p w:rsidR="00735456" w:rsidRDefault="00735456" w:rsidP="00735456">
            <w:pPr>
              <w:pStyle w:val="ListParagraph"/>
              <w:spacing w:after="0" w:line="240" w:lineRule="auto"/>
              <w:ind w:left="0"/>
              <w:rPr>
                <w:rFonts w:cs="Arial"/>
                <w:sz w:val="20"/>
              </w:rPr>
            </w:pPr>
          </w:p>
          <w:p w:rsidR="00735456" w:rsidRDefault="00735456" w:rsidP="00B66942">
            <w:pPr>
              <w:pStyle w:val="ListParagraph"/>
              <w:numPr>
                <w:ilvl w:val="0"/>
                <w:numId w:val="50"/>
              </w:numPr>
              <w:spacing w:after="0" w:line="240" w:lineRule="auto"/>
              <w:ind w:left="360"/>
              <w:rPr>
                <w:rFonts w:cs="Arial"/>
                <w:sz w:val="20"/>
              </w:rPr>
            </w:pPr>
            <w:r>
              <w:rPr>
                <w:rFonts w:cs="Arial"/>
                <w:sz w:val="20"/>
              </w:rPr>
              <w:t>Further reporting will be informed by consultation on the draft Pharmacy Action Plan 2015-2020.</w:t>
            </w:r>
          </w:p>
          <w:p w:rsidR="00735456" w:rsidRPr="00A85FB6" w:rsidRDefault="00735456" w:rsidP="00735456">
            <w:pPr>
              <w:pStyle w:val="ListParagraph"/>
              <w:spacing w:after="0" w:line="240" w:lineRule="auto"/>
              <w:ind w:left="360"/>
              <w:rPr>
                <w:rFonts w:cs="Arial"/>
                <w:sz w:val="20"/>
              </w:rPr>
            </w:pPr>
          </w:p>
        </w:tc>
      </w:tr>
      <w:tr w:rsidR="006C73FD" w:rsidTr="00A85FB6">
        <w:tc>
          <w:tcPr>
            <w:tcW w:w="1696" w:type="dxa"/>
            <w:shd w:val="clear" w:color="auto" w:fill="auto"/>
          </w:tcPr>
          <w:p w:rsidR="006C73FD" w:rsidRPr="00A85FB6" w:rsidRDefault="006C73FD" w:rsidP="00A85FB6">
            <w:pPr>
              <w:spacing w:after="0" w:line="240" w:lineRule="auto"/>
              <w:rPr>
                <w:rFonts w:cs="Arial"/>
                <w:sz w:val="20"/>
              </w:rPr>
            </w:pPr>
            <w:r w:rsidRPr="00A85FB6">
              <w:rPr>
                <w:rFonts w:cs="Arial"/>
                <w:sz w:val="20"/>
              </w:rPr>
              <w:t>Exemptions</w:t>
            </w:r>
          </w:p>
        </w:tc>
        <w:tc>
          <w:tcPr>
            <w:tcW w:w="1945" w:type="dxa"/>
            <w:shd w:val="clear" w:color="auto" w:fill="auto"/>
          </w:tcPr>
          <w:p w:rsidR="006C73FD" w:rsidRPr="00A85FB6" w:rsidRDefault="006C73FD" w:rsidP="00A85FB6">
            <w:pPr>
              <w:spacing w:after="0" w:line="240" w:lineRule="auto"/>
              <w:rPr>
                <w:rFonts w:cs="Arial"/>
                <w:sz w:val="20"/>
              </w:rPr>
            </w:pPr>
            <w:r w:rsidRPr="00A85FB6">
              <w:rPr>
                <w:rFonts w:cs="Arial"/>
                <w:sz w:val="20"/>
              </w:rPr>
              <w:t xml:space="preserve">Some refinements to exemption provisions. </w:t>
            </w:r>
          </w:p>
        </w:tc>
        <w:tc>
          <w:tcPr>
            <w:tcW w:w="5375" w:type="dxa"/>
            <w:shd w:val="clear" w:color="auto" w:fill="auto"/>
          </w:tcPr>
          <w:p w:rsidR="006C73FD" w:rsidRPr="00A85FB6" w:rsidRDefault="006C73FD" w:rsidP="00B66942">
            <w:pPr>
              <w:numPr>
                <w:ilvl w:val="0"/>
                <w:numId w:val="13"/>
              </w:numPr>
              <w:spacing w:after="0" w:line="240" w:lineRule="auto"/>
              <w:rPr>
                <w:rFonts w:cs="Arial"/>
                <w:sz w:val="20"/>
              </w:rPr>
            </w:pPr>
            <w:r w:rsidRPr="00A85FB6">
              <w:rPr>
                <w:rFonts w:cs="Arial"/>
                <w:sz w:val="20"/>
              </w:rPr>
              <w:t>Clarification of basis on which exemptions (</w:t>
            </w:r>
            <w:proofErr w:type="spellStart"/>
            <w:r w:rsidRPr="00A85FB6">
              <w:rPr>
                <w:rFonts w:cs="Arial"/>
                <w:sz w:val="20"/>
              </w:rPr>
              <w:t>ie</w:t>
            </w:r>
            <w:proofErr w:type="spellEnd"/>
            <w:r w:rsidRPr="00A85FB6">
              <w:rPr>
                <w:rFonts w:cs="Arial"/>
                <w:sz w:val="20"/>
              </w:rPr>
              <w:t xml:space="preserve">, supply and use of unapproved products) are permitted.  </w:t>
            </w:r>
          </w:p>
          <w:p w:rsidR="006C73FD" w:rsidRPr="00A85FB6" w:rsidRDefault="00244662" w:rsidP="00B66942">
            <w:pPr>
              <w:numPr>
                <w:ilvl w:val="0"/>
                <w:numId w:val="13"/>
              </w:numPr>
              <w:spacing w:after="0" w:line="240" w:lineRule="auto"/>
              <w:rPr>
                <w:rFonts w:cs="Arial"/>
                <w:sz w:val="20"/>
              </w:rPr>
            </w:pPr>
            <w:r>
              <w:rPr>
                <w:rFonts w:cs="Arial"/>
                <w:sz w:val="20"/>
              </w:rPr>
              <w:t>I</w:t>
            </w:r>
            <w:r w:rsidR="006C73FD" w:rsidRPr="00A85FB6">
              <w:rPr>
                <w:rFonts w:cs="Arial"/>
                <w:sz w:val="20"/>
              </w:rPr>
              <w:t xml:space="preserve">mpact </w:t>
            </w:r>
            <w:r>
              <w:rPr>
                <w:rFonts w:cs="Arial"/>
                <w:sz w:val="20"/>
              </w:rPr>
              <w:t>will be assessed during further sector engagement. Aim is minimal compliance impact and increased safety.</w:t>
            </w:r>
            <w:r w:rsidR="006C73FD" w:rsidRPr="00A85FB6">
              <w:rPr>
                <w:rFonts w:cs="Arial"/>
                <w:sz w:val="20"/>
              </w:rPr>
              <w:t xml:space="preserve"> </w:t>
            </w:r>
          </w:p>
          <w:p w:rsidR="00E42980" w:rsidRPr="003E6C09" w:rsidRDefault="006C73FD" w:rsidP="00B66942">
            <w:pPr>
              <w:numPr>
                <w:ilvl w:val="0"/>
                <w:numId w:val="13"/>
              </w:numPr>
              <w:spacing w:after="0" w:line="240" w:lineRule="auto"/>
              <w:rPr>
                <w:rFonts w:cs="Arial"/>
                <w:sz w:val="20"/>
              </w:rPr>
            </w:pPr>
            <w:r w:rsidRPr="00A85FB6">
              <w:rPr>
                <w:rFonts w:cs="Arial"/>
                <w:sz w:val="20"/>
              </w:rPr>
              <w:t>May be a reduced need for exemptions in light of other changes (</w:t>
            </w:r>
            <w:proofErr w:type="spellStart"/>
            <w:r w:rsidRPr="00A85FB6">
              <w:rPr>
                <w:rFonts w:cs="Arial"/>
                <w:sz w:val="20"/>
              </w:rPr>
              <w:t>eg</w:t>
            </w:r>
            <w:proofErr w:type="spellEnd"/>
            <w:r w:rsidRPr="00A85FB6">
              <w:rPr>
                <w:rFonts w:cs="Arial"/>
                <w:sz w:val="20"/>
              </w:rPr>
              <w:t>, more flexible approval process).</w:t>
            </w:r>
          </w:p>
        </w:tc>
      </w:tr>
      <w:tr w:rsidR="006C73FD" w:rsidTr="00A85FB6">
        <w:tc>
          <w:tcPr>
            <w:tcW w:w="1696" w:type="dxa"/>
            <w:shd w:val="clear" w:color="auto" w:fill="auto"/>
          </w:tcPr>
          <w:p w:rsidR="006C73FD" w:rsidRPr="00A85FB6" w:rsidRDefault="006C73FD" w:rsidP="00A85FB6">
            <w:pPr>
              <w:spacing w:after="0" w:line="240" w:lineRule="auto"/>
              <w:rPr>
                <w:rFonts w:cs="Arial"/>
                <w:sz w:val="20"/>
              </w:rPr>
            </w:pPr>
            <w:r w:rsidRPr="00A85FB6">
              <w:rPr>
                <w:rFonts w:cs="Arial"/>
                <w:sz w:val="20"/>
              </w:rPr>
              <w:t>Monitoring and enforcement</w:t>
            </w:r>
          </w:p>
        </w:tc>
        <w:tc>
          <w:tcPr>
            <w:tcW w:w="1945" w:type="dxa"/>
            <w:shd w:val="clear" w:color="auto" w:fill="auto"/>
          </w:tcPr>
          <w:p w:rsidR="006C73FD" w:rsidRPr="00A85FB6" w:rsidRDefault="006C73FD" w:rsidP="00A85FB6">
            <w:pPr>
              <w:spacing w:after="0" w:line="240" w:lineRule="auto"/>
              <w:rPr>
                <w:rFonts w:cs="Arial"/>
                <w:sz w:val="20"/>
              </w:rPr>
            </w:pPr>
            <w:r w:rsidRPr="00A85FB6">
              <w:rPr>
                <w:rFonts w:cs="Arial"/>
                <w:sz w:val="20"/>
              </w:rPr>
              <w:t>Monitoring: additional powers to obtain information.</w:t>
            </w:r>
          </w:p>
          <w:p w:rsidR="006C73FD" w:rsidRPr="00A85FB6" w:rsidRDefault="006C73FD" w:rsidP="00A85FB6">
            <w:pPr>
              <w:spacing w:after="0" w:line="240" w:lineRule="auto"/>
              <w:rPr>
                <w:rFonts w:cs="Arial"/>
                <w:sz w:val="20"/>
              </w:rPr>
            </w:pPr>
          </w:p>
          <w:p w:rsidR="006C73FD" w:rsidRPr="00A85FB6" w:rsidRDefault="006C73FD" w:rsidP="00A85FB6">
            <w:pPr>
              <w:spacing w:after="0" w:line="240" w:lineRule="auto"/>
              <w:rPr>
                <w:rFonts w:cs="Arial"/>
                <w:sz w:val="20"/>
              </w:rPr>
            </w:pPr>
          </w:p>
          <w:p w:rsidR="006C73FD" w:rsidRPr="00A85FB6" w:rsidRDefault="006C73FD" w:rsidP="00A85FB6">
            <w:pPr>
              <w:spacing w:after="0" w:line="240" w:lineRule="auto"/>
              <w:rPr>
                <w:rFonts w:cs="Arial"/>
                <w:sz w:val="20"/>
              </w:rPr>
            </w:pPr>
          </w:p>
          <w:p w:rsidR="006C73FD" w:rsidRPr="00A85FB6" w:rsidRDefault="006C73FD" w:rsidP="00A85FB6">
            <w:pPr>
              <w:spacing w:after="0" w:line="240" w:lineRule="auto"/>
              <w:rPr>
                <w:rFonts w:cs="Arial"/>
                <w:sz w:val="20"/>
              </w:rPr>
            </w:pPr>
          </w:p>
          <w:p w:rsidR="006C73FD" w:rsidRPr="00A85FB6" w:rsidRDefault="006C73FD" w:rsidP="00A85FB6">
            <w:pPr>
              <w:spacing w:after="0" w:line="240" w:lineRule="auto"/>
              <w:rPr>
                <w:rFonts w:cs="Arial"/>
                <w:sz w:val="20"/>
              </w:rPr>
            </w:pPr>
            <w:r w:rsidRPr="00A85FB6">
              <w:rPr>
                <w:rFonts w:cs="Arial"/>
                <w:sz w:val="20"/>
              </w:rPr>
              <w:t xml:space="preserve">Enforcement:  wider range of actions regulator can take, and strengthened offences and penalty provisions. </w:t>
            </w:r>
          </w:p>
          <w:p w:rsidR="006C73FD" w:rsidRPr="00A85FB6" w:rsidRDefault="006C73FD" w:rsidP="00A85FB6">
            <w:pPr>
              <w:spacing w:after="0" w:line="240" w:lineRule="auto"/>
              <w:rPr>
                <w:rFonts w:cs="Arial"/>
                <w:sz w:val="20"/>
                <w:u w:val="single"/>
              </w:rPr>
            </w:pPr>
          </w:p>
        </w:tc>
        <w:tc>
          <w:tcPr>
            <w:tcW w:w="5375" w:type="dxa"/>
            <w:shd w:val="clear" w:color="auto" w:fill="auto"/>
          </w:tcPr>
          <w:p w:rsidR="006C73FD" w:rsidRPr="00A85FB6" w:rsidRDefault="006C73FD" w:rsidP="00B66942">
            <w:pPr>
              <w:numPr>
                <w:ilvl w:val="0"/>
                <w:numId w:val="11"/>
              </w:numPr>
              <w:spacing w:after="0" w:line="240" w:lineRule="auto"/>
              <w:ind w:left="360"/>
              <w:rPr>
                <w:rFonts w:cs="Arial"/>
                <w:sz w:val="20"/>
              </w:rPr>
            </w:pPr>
            <w:r w:rsidRPr="00A85FB6">
              <w:rPr>
                <w:rFonts w:cs="Arial"/>
                <w:sz w:val="20"/>
              </w:rPr>
              <w:t xml:space="preserve">Greater voluntary compliance (with the powers rarely needing to be used). </w:t>
            </w:r>
          </w:p>
          <w:p w:rsidR="006C73FD" w:rsidRPr="00A85FB6" w:rsidRDefault="006C73FD" w:rsidP="00B66942">
            <w:pPr>
              <w:numPr>
                <w:ilvl w:val="0"/>
                <w:numId w:val="11"/>
              </w:numPr>
              <w:spacing w:after="0" w:line="240" w:lineRule="auto"/>
              <w:ind w:left="360"/>
              <w:rPr>
                <w:rFonts w:cs="Arial"/>
                <w:sz w:val="20"/>
              </w:rPr>
            </w:pPr>
            <w:r w:rsidRPr="00A85FB6">
              <w:rPr>
                <w:rFonts w:cs="Arial"/>
                <w:sz w:val="20"/>
              </w:rPr>
              <w:t xml:space="preserve">When they are used, such information (or absence of information) will assist compliance and enforcement action with positive effects for safety management. </w:t>
            </w:r>
          </w:p>
          <w:p w:rsidR="006C73FD" w:rsidRPr="00A85FB6" w:rsidRDefault="006C73FD" w:rsidP="00B66942">
            <w:pPr>
              <w:numPr>
                <w:ilvl w:val="0"/>
                <w:numId w:val="11"/>
              </w:numPr>
              <w:spacing w:after="0" w:line="240" w:lineRule="auto"/>
              <w:ind w:left="360"/>
              <w:rPr>
                <w:rFonts w:cs="Arial"/>
                <w:sz w:val="20"/>
              </w:rPr>
            </w:pPr>
            <w:r w:rsidRPr="00A85FB6">
              <w:rPr>
                <w:rFonts w:cs="Arial"/>
                <w:sz w:val="20"/>
              </w:rPr>
              <w:t>Overall, some small increase in compliance costs for industry.</w:t>
            </w:r>
          </w:p>
          <w:p w:rsidR="006C73FD" w:rsidRPr="00A85FB6" w:rsidRDefault="006C73FD" w:rsidP="00A85FB6">
            <w:pPr>
              <w:spacing w:after="0" w:line="240" w:lineRule="auto"/>
              <w:rPr>
                <w:rFonts w:cs="Arial"/>
                <w:sz w:val="20"/>
              </w:rPr>
            </w:pPr>
          </w:p>
          <w:p w:rsidR="006C73FD" w:rsidRPr="00A85FB6" w:rsidRDefault="006C73FD" w:rsidP="00B66942">
            <w:pPr>
              <w:numPr>
                <w:ilvl w:val="0"/>
                <w:numId w:val="12"/>
              </w:numPr>
              <w:spacing w:after="0" w:line="240" w:lineRule="auto"/>
              <w:rPr>
                <w:rFonts w:cs="Arial"/>
                <w:sz w:val="20"/>
              </w:rPr>
            </w:pPr>
            <w:r w:rsidRPr="00A85FB6">
              <w:rPr>
                <w:rFonts w:cs="Arial"/>
                <w:sz w:val="20"/>
              </w:rPr>
              <w:t xml:space="preserve">As with monitoring, the key impact is likely to be greater voluntary compliance (with the more serious sanctions rarely needing to be used). </w:t>
            </w:r>
          </w:p>
          <w:p w:rsidR="006C73FD" w:rsidRDefault="006C73FD" w:rsidP="00B66942">
            <w:pPr>
              <w:numPr>
                <w:ilvl w:val="0"/>
                <w:numId w:val="12"/>
              </w:numPr>
              <w:spacing w:after="0" w:line="240" w:lineRule="auto"/>
              <w:rPr>
                <w:rFonts w:cs="Arial"/>
                <w:sz w:val="20"/>
              </w:rPr>
            </w:pPr>
            <w:r w:rsidRPr="00A85FB6">
              <w:rPr>
                <w:rFonts w:cs="Arial"/>
                <w:sz w:val="20"/>
              </w:rPr>
              <w:t>When they are used, the demonstration effect will assist in promoting general industry compliance with positive effects for safety management.</w:t>
            </w:r>
          </w:p>
          <w:p w:rsidR="005A73AE" w:rsidRPr="00A85FB6" w:rsidRDefault="005A73AE" w:rsidP="00B66942">
            <w:pPr>
              <w:numPr>
                <w:ilvl w:val="0"/>
                <w:numId w:val="12"/>
              </w:numPr>
              <w:spacing w:after="0" w:line="240" w:lineRule="auto"/>
              <w:rPr>
                <w:rFonts w:cs="Arial"/>
                <w:sz w:val="20"/>
              </w:rPr>
            </w:pPr>
            <w:r>
              <w:rPr>
                <w:rFonts w:cs="Arial"/>
                <w:sz w:val="20"/>
              </w:rPr>
              <w:t>Calibrated responses based on the seriousness of offending.</w:t>
            </w:r>
          </w:p>
          <w:p w:rsidR="006C73FD" w:rsidRPr="00A85FB6" w:rsidRDefault="006C73FD" w:rsidP="00B66942">
            <w:pPr>
              <w:numPr>
                <w:ilvl w:val="0"/>
                <w:numId w:val="12"/>
              </w:numPr>
              <w:spacing w:after="0" w:line="240" w:lineRule="auto"/>
              <w:rPr>
                <w:rFonts w:cs="Arial"/>
                <w:sz w:val="20"/>
              </w:rPr>
            </w:pPr>
            <w:r w:rsidRPr="00A85FB6">
              <w:rPr>
                <w:rFonts w:cs="Arial"/>
                <w:sz w:val="20"/>
              </w:rPr>
              <w:t>Greater consistency with information and enforcement provisions in comparable legislation.</w:t>
            </w:r>
          </w:p>
        </w:tc>
      </w:tr>
    </w:tbl>
    <w:p w:rsidR="005E3656" w:rsidRDefault="005E3656" w:rsidP="006C73FD"/>
    <w:p w:rsidR="006C73FD" w:rsidRPr="000B573C" w:rsidRDefault="000E054D" w:rsidP="00AC1201">
      <w:pPr>
        <w:pStyle w:val="Heading3"/>
        <w:spacing w:after="240"/>
      </w:pPr>
      <w:r>
        <w:t>Part C:</w:t>
      </w:r>
      <w:r w:rsidR="006C73FD" w:rsidRPr="000B573C">
        <w:t xml:space="preserve"> </w:t>
      </w:r>
      <w:r>
        <w:t>Overall i</w:t>
      </w:r>
      <w:r w:rsidR="006C73FD" w:rsidRPr="000B573C">
        <w:t>mpacts o</w:t>
      </w:r>
      <w:r>
        <w:t>n c</w:t>
      </w:r>
      <w:r w:rsidR="006C73FD" w:rsidRPr="000B573C">
        <w:t xml:space="preserve">osts and </w:t>
      </w:r>
      <w:r>
        <w:t>o</w:t>
      </w:r>
      <w:r w:rsidR="006C73FD" w:rsidRPr="000B573C">
        <w:t>utcomes</w:t>
      </w:r>
    </w:p>
    <w:p w:rsidR="006C73FD" w:rsidRDefault="006C73FD" w:rsidP="00E440A3">
      <w:pPr>
        <w:pStyle w:val="BodyText"/>
      </w:pPr>
      <w:r w:rsidRPr="005C3898">
        <w:rPr>
          <w:rFonts w:eastAsia="Calibri"/>
          <w:szCs w:val="22"/>
        </w:rPr>
        <w:t>The</w:t>
      </w:r>
      <w:r>
        <w:t xml:space="preserve"> effects of the preferred options, as discussed in the preceding table, are now summarised in terms of their overall implications for costs and outcomes.</w:t>
      </w:r>
    </w:p>
    <w:p w:rsidR="006C73FD" w:rsidRPr="000566C3" w:rsidRDefault="006C73FD" w:rsidP="00E440A3">
      <w:pPr>
        <w:pStyle w:val="BodyText"/>
      </w:pPr>
      <w:r w:rsidRPr="005C3898">
        <w:rPr>
          <w:rFonts w:eastAsia="Calibri"/>
          <w:szCs w:val="22"/>
        </w:rPr>
        <w:t>The</w:t>
      </w:r>
      <w:r>
        <w:t xml:space="preserve"> critical outcomes are: the availability of products, their quality and prices, levels of product risk and risk management, and health outcomes.  </w:t>
      </w:r>
      <w:r w:rsidRPr="000566C3">
        <w:t xml:space="preserve">The critical costs are the </w:t>
      </w:r>
      <w:r>
        <w:t>compliance costs for industry and the fiscal costs for the Crown.</w:t>
      </w:r>
    </w:p>
    <w:p w:rsidR="006C73FD" w:rsidRPr="000B573C" w:rsidRDefault="006C73FD" w:rsidP="00AC1201">
      <w:pPr>
        <w:pStyle w:val="Heading4"/>
      </w:pPr>
      <w:r w:rsidRPr="000B573C">
        <w:t>Compliance costs on industry</w:t>
      </w:r>
    </w:p>
    <w:p w:rsidR="00093B8A" w:rsidRDefault="00093B8A" w:rsidP="00093B8A">
      <w:pPr>
        <w:spacing w:after="0" w:line="240" w:lineRule="auto"/>
        <w:rPr>
          <w:rFonts w:cs="Arial"/>
        </w:rPr>
      </w:pPr>
    </w:p>
    <w:p w:rsidR="000421DF" w:rsidRDefault="000421DF" w:rsidP="000421DF">
      <w:pPr>
        <w:pStyle w:val="BodyText"/>
      </w:pPr>
      <w:r w:rsidRPr="005C3898">
        <w:rPr>
          <w:rFonts w:eastAsia="Calibri"/>
          <w:szCs w:val="22"/>
        </w:rPr>
        <w:t>The</w:t>
      </w:r>
      <w:r>
        <w:t xml:space="preserve"> compliance costs on industry are predicted to increase slightly </w:t>
      </w:r>
      <w:proofErr w:type="gramStart"/>
      <w:r w:rsidR="004041AC">
        <w:t>to</w:t>
      </w:r>
      <w:proofErr w:type="gramEnd"/>
      <w:r w:rsidR="004041AC">
        <w:t xml:space="preserve"> moderately overall depending on a range of factors</w:t>
      </w:r>
      <w:r>
        <w:t>.  The main influences are:</w:t>
      </w:r>
    </w:p>
    <w:p w:rsidR="000421DF" w:rsidRPr="000421DF" w:rsidRDefault="000421DF" w:rsidP="000421DF">
      <w:pPr>
        <w:pStyle w:val="BodyText2"/>
      </w:pPr>
      <w:r w:rsidRPr="000421DF">
        <w:t>First, a wider range of products will be subject to regulation.  Newly or more extensively covered areas will be medical devices (a category with a large number and wide range of products), cell and tissue therapies (a small number of complex products), and hybrid products (a small but increasing number of complex products).  For the majority of medical devices, which are not complex and are low risk, the compliance costs are expected to be very low or modest (</w:t>
      </w:r>
      <w:proofErr w:type="spellStart"/>
      <w:r w:rsidRPr="000421DF">
        <w:t>eg</w:t>
      </w:r>
      <w:proofErr w:type="spellEnd"/>
      <w:r w:rsidRPr="000421DF">
        <w:t>, self-certification as meeting technical and performance standards may be sufficient).</w:t>
      </w:r>
      <w:r w:rsidR="003E6C09">
        <w:t xml:space="preserve"> Note also that there may be benefits for industry from having its products regulated and approved (</w:t>
      </w:r>
      <w:proofErr w:type="spellStart"/>
      <w:r w:rsidR="003E6C09">
        <w:t>eg</w:t>
      </w:r>
      <w:proofErr w:type="spellEnd"/>
      <w:r w:rsidR="003E6C09">
        <w:t>, for PHARMAC purposes; for marketing in other countries).</w:t>
      </w:r>
    </w:p>
    <w:p w:rsidR="004041AC" w:rsidRDefault="000421DF" w:rsidP="0027386C">
      <w:pPr>
        <w:pStyle w:val="BodyText2"/>
      </w:pPr>
      <w:r w:rsidRPr="000421DF">
        <w:t xml:space="preserve">Secondly, for all products including medicines – the category most comprehensively regulated currently – there will be a range of new requirements or powers to which they will be subject.  These include: various conditions that may be placed on an approval, placing duties and obligations on a responsible person for each product, powers to require industry to provide information, and strengthened offence and penalty provisions.  </w:t>
      </w:r>
      <w:r w:rsidR="003E6C09">
        <w:t xml:space="preserve">The implications of some of these changed requirements </w:t>
      </w:r>
      <w:r w:rsidR="00AA7D86">
        <w:t xml:space="preserve">– </w:t>
      </w:r>
      <w:proofErr w:type="spellStart"/>
      <w:r w:rsidR="00AA7D86">
        <w:t>eg</w:t>
      </w:r>
      <w:proofErr w:type="spellEnd"/>
      <w:r w:rsidR="00AA7D86">
        <w:t xml:space="preserve">, </w:t>
      </w:r>
      <w:r w:rsidR="003E6C09">
        <w:t xml:space="preserve">the ability of the regulator to </w:t>
      </w:r>
      <w:r w:rsidR="00AA7D86">
        <w:t xml:space="preserve">licence </w:t>
      </w:r>
      <w:r w:rsidR="003E6C09">
        <w:t xml:space="preserve">for longer </w:t>
      </w:r>
      <w:r w:rsidR="00AA7D86">
        <w:t>periods – are likely to reduce compliance costs.</w:t>
      </w:r>
    </w:p>
    <w:p w:rsidR="000421DF" w:rsidRPr="000421DF" w:rsidRDefault="000421DF" w:rsidP="0027386C">
      <w:pPr>
        <w:pStyle w:val="BodyText2"/>
      </w:pPr>
      <w:r w:rsidRPr="000421DF">
        <w:t>Thirdly, more flexible approval processes are expected to provide some overall benefit in terms of medicines, where the costs of approval can be high (</w:t>
      </w:r>
      <w:proofErr w:type="spellStart"/>
      <w:r w:rsidRPr="000421DF">
        <w:t>ie</w:t>
      </w:r>
      <w:proofErr w:type="spellEnd"/>
      <w:r w:rsidRPr="000421DF">
        <w:t>, in the vicinity of $100,000 for full assessments).  Medsafe is, however, already very efficient and timely in its decisions and the costs of approval in New Zealand are very competitive by international standards</w:t>
      </w:r>
      <w:r w:rsidR="004041AC">
        <w:t xml:space="preserve"> (</w:t>
      </w:r>
      <w:proofErr w:type="spellStart"/>
      <w:r w:rsidR="004041AC">
        <w:t>ie</w:t>
      </w:r>
      <w:proofErr w:type="spellEnd"/>
      <w:r w:rsidR="004041AC">
        <w:t>, the comparable cost in the US is USD260</w:t>
      </w:r>
      <w:proofErr w:type="gramStart"/>
      <w:r w:rsidR="004041AC">
        <w:t>,000</w:t>
      </w:r>
      <w:proofErr w:type="gramEnd"/>
      <w:r w:rsidR="004041AC">
        <w:t>, and in Australia AUD220,000)</w:t>
      </w:r>
      <w:r w:rsidRPr="000421DF">
        <w:t>.  There is also a stepped fee schedule for applications depending on the complexity and amount of work required, with reductions for the truncated pathways where previous work or data is relied upon or some requirements have been waived.  For products that it will be appropriate to accept through unilateral recognition, there should be reduced compliance costs, but it is not expected that there will be many of these.</w:t>
      </w:r>
    </w:p>
    <w:p w:rsidR="006C73FD" w:rsidRPr="000B573C" w:rsidRDefault="006C73FD" w:rsidP="00AC1201">
      <w:pPr>
        <w:pStyle w:val="Heading4"/>
      </w:pPr>
      <w:r w:rsidRPr="000B573C">
        <w:t>Product availability and pricing</w:t>
      </w:r>
    </w:p>
    <w:p w:rsidR="00093B8A" w:rsidRDefault="00093B8A" w:rsidP="00093B8A">
      <w:pPr>
        <w:spacing w:after="0" w:line="240" w:lineRule="auto"/>
        <w:rPr>
          <w:rFonts w:cs="Arial"/>
        </w:rPr>
      </w:pPr>
    </w:p>
    <w:p w:rsidR="006C73FD" w:rsidRDefault="006C73FD" w:rsidP="00E440A3">
      <w:pPr>
        <w:pStyle w:val="BodyText"/>
      </w:pPr>
      <w:r w:rsidRPr="005C3898">
        <w:rPr>
          <w:rFonts w:eastAsia="Calibri"/>
          <w:szCs w:val="22"/>
        </w:rPr>
        <w:t>The</w:t>
      </w:r>
      <w:r>
        <w:t xml:space="preserve"> overall effect of the new regime on product availability and pricing is expected to be slightly favourable:  </w:t>
      </w:r>
    </w:p>
    <w:p w:rsidR="006C73FD" w:rsidRDefault="006C73FD" w:rsidP="00E440A3">
      <w:pPr>
        <w:pStyle w:val="BodyText2"/>
      </w:pPr>
      <w:r w:rsidRPr="00D725F0">
        <w:t xml:space="preserve">First, the supply of innovative products will be assisted by the more flexible (and lower cost) methods of approval that may be employed. More efficient processes by the regulator </w:t>
      </w:r>
      <w:r>
        <w:t xml:space="preserve">over time </w:t>
      </w:r>
      <w:r w:rsidRPr="00D725F0">
        <w:t>should also assist all products.  Further, the extra compliance costs per product may in many cases (</w:t>
      </w:r>
      <w:proofErr w:type="spellStart"/>
      <w:r w:rsidRPr="00D725F0">
        <w:t>eg</w:t>
      </w:r>
      <w:proofErr w:type="spellEnd"/>
      <w:r w:rsidRPr="00D725F0">
        <w:t>, medical devices) be so low (</w:t>
      </w:r>
      <w:proofErr w:type="spellStart"/>
      <w:r w:rsidRPr="00D725F0">
        <w:t>eg</w:t>
      </w:r>
      <w:proofErr w:type="spellEnd"/>
      <w:r w:rsidRPr="00D725F0">
        <w:t xml:space="preserve">, </w:t>
      </w:r>
      <w:r w:rsidR="005A73AE">
        <w:t>self-certification</w:t>
      </w:r>
      <w:r w:rsidRPr="00D725F0">
        <w:t xml:space="preserve">) as to have </w:t>
      </w:r>
      <w:r w:rsidR="005A73AE">
        <w:t xml:space="preserve">little </w:t>
      </w:r>
      <w:r w:rsidRPr="00D725F0">
        <w:t xml:space="preserve">bearing on the product’s pricing. </w:t>
      </w:r>
    </w:p>
    <w:p w:rsidR="00093B8A" w:rsidRDefault="006C73FD" w:rsidP="00E440A3">
      <w:pPr>
        <w:pStyle w:val="BodyText2"/>
      </w:pPr>
      <w:r w:rsidRPr="00D725F0">
        <w:t>Second, where there are higher compliance costs, these will not all be able to be passed on to consumers, and the incidence of cost between industry and consu</w:t>
      </w:r>
      <w:r w:rsidR="00093B8A">
        <w:t>mers will vary across products.</w:t>
      </w:r>
    </w:p>
    <w:p w:rsidR="00B02BD0" w:rsidRPr="00B02BD0" w:rsidRDefault="006C73FD" w:rsidP="0027386C">
      <w:pPr>
        <w:pStyle w:val="BodyText2"/>
        <w:spacing w:after="0"/>
        <w:rPr>
          <w:szCs w:val="22"/>
          <w:u w:val="single"/>
        </w:rPr>
      </w:pPr>
      <w:r w:rsidRPr="00D725F0">
        <w:t xml:space="preserve">Third, </w:t>
      </w:r>
      <w:r w:rsidR="00B02BD0">
        <w:t xml:space="preserve">depending on advice in early 2016 on </w:t>
      </w:r>
      <w:r>
        <w:t>pharmacy ownership restrictions</w:t>
      </w:r>
      <w:r w:rsidR="00B02BD0">
        <w:t xml:space="preserve">, there is the potential for </w:t>
      </w:r>
      <w:r>
        <w:t>positive effect</w:t>
      </w:r>
      <w:r w:rsidR="00B02BD0">
        <w:t>s</w:t>
      </w:r>
      <w:r>
        <w:t xml:space="preserve"> on pricing</w:t>
      </w:r>
      <w:r w:rsidR="00B02BD0">
        <w:t xml:space="preserve"> given that pharmacists and pharmacies represent such a critical interface.  For example, if it were decided to remove such restrictions, this could lead to m</w:t>
      </w:r>
      <w:r>
        <w:t xml:space="preserve">ore active product management, </w:t>
      </w:r>
      <w:r w:rsidR="00B02BD0">
        <w:t xml:space="preserve">and </w:t>
      </w:r>
      <w:r>
        <w:t xml:space="preserve">bulk buying, and </w:t>
      </w:r>
      <w:r w:rsidR="00B02BD0">
        <w:t xml:space="preserve">greater </w:t>
      </w:r>
      <w:r>
        <w:t>innovation in the delivery of services to consumers (</w:t>
      </w:r>
      <w:proofErr w:type="spellStart"/>
      <w:r>
        <w:t>eg</w:t>
      </w:r>
      <w:proofErr w:type="spellEnd"/>
      <w:r>
        <w:t xml:space="preserve">, opening hours, more integration with other medical services).  </w:t>
      </w:r>
    </w:p>
    <w:p w:rsidR="00E41050" w:rsidRDefault="00E41050" w:rsidP="00B02BD0">
      <w:pPr>
        <w:pStyle w:val="BodyText2"/>
        <w:numPr>
          <w:ilvl w:val="0"/>
          <w:numId w:val="0"/>
        </w:numPr>
        <w:spacing w:after="0"/>
        <w:rPr>
          <w:szCs w:val="22"/>
          <w:u w:val="single"/>
        </w:rPr>
      </w:pPr>
    </w:p>
    <w:p w:rsidR="006C73FD" w:rsidRPr="00B02BD0" w:rsidRDefault="006C73FD" w:rsidP="00AC1201">
      <w:pPr>
        <w:pStyle w:val="Heading4"/>
      </w:pPr>
      <w:r w:rsidRPr="00B02BD0">
        <w:t>Management of risk</w:t>
      </w:r>
    </w:p>
    <w:p w:rsidR="00093B8A" w:rsidRDefault="00093B8A" w:rsidP="00093B8A">
      <w:pPr>
        <w:spacing w:after="0" w:line="240" w:lineRule="auto"/>
        <w:rPr>
          <w:rFonts w:cs="Arial"/>
        </w:rPr>
      </w:pPr>
    </w:p>
    <w:p w:rsidR="006C73FD" w:rsidRDefault="006C73FD" w:rsidP="00E440A3">
      <w:pPr>
        <w:pStyle w:val="BodyText"/>
      </w:pPr>
      <w:r w:rsidRPr="005C3898">
        <w:rPr>
          <w:rFonts w:eastAsia="Calibri"/>
          <w:szCs w:val="22"/>
        </w:rPr>
        <w:t>The</w:t>
      </w:r>
      <w:r>
        <w:t xml:space="preserve"> overall effect of the preferred options on the levels of therapeutic product risk and management of risk is expected to be favourable:</w:t>
      </w:r>
    </w:p>
    <w:p w:rsidR="006C73FD" w:rsidRDefault="006C73FD" w:rsidP="00E440A3">
      <w:pPr>
        <w:pStyle w:val="BodyText2"/>
      </w:pPr>
      <w:r w:rsidRPr="00C071B6">
        <w:t xml:space="preserve">First, </w:t>
      </w:r>
      <w:r>
        <w:t xml:space="preserve">it is expected that fewer </w:t>
      </w:r>
      <w:r w:rsidR="00805A9D">
        <w:t xml:space="preserve">unacceptably </w:t>
      </w:r>
      <w:r>
        <w:t>risk</w:t>
      </w:r>
      <w:r w:rsidR="00805A9D">
        <w:t xml:space="preserve">y </w:t>
      </w:r>
      <w:r>
        <w:t>products will be able to be marketed (</w:t>
      </w:r>
      <w:proofErr w:type="spellStart"/>
      <w:r>
        <w:t>eg</w:t>
      </w:r>
      <w:proofErr w:type="spellEnd"/>
      <w:r>
        <w:t>, as a result of the wider product coverage, the better targeting of risk).</w:t>
      </w:r>
      <w:r w:rsidR="00805A9D">
        <w:t xml:space="preserve"> High-risk is not a problem of itself where the benefits are significant and satisfactory controls and monitoring are in place.</w:t>
      </w:r>
    </w:p>
    <w:p w:rsidR="006C73FD" w:rsidRDefault="006C73FD" w:rsidP="00E440A3">
      <w:pPr>
        <w:pStyle w:val="BodyText2"/>
      </w:pPr>
      <w:r w:rsidRPr="00C071B6">
        <w:t xml:space="preserve">Secondly, </w:t>
      </w:r>
      <w:r>
        <w:t xml:space="preserve">more active monitoring and greater information powers for the regulator will result in increased risk </w:t>
      </w:r>
      <w:r w:rsidRPr="00C071B6">
        <w:t>detection</w:t>
      </w:r>
      <w:r>
        <w:t>.  An increase in voluntary compliance is also expected (</w:t>
      </w:r>
      <w:proofErr w:type="spellStart"/>
      <w:r>
        <w:t>eg</w:t>
      </w:r>
      <w:proofErr w:type="spellEnd"/>
      <w:r>
        <w:t xml:space="preserve">, in response to strengthened offence and penalty provisions) which should reduce risk and lead to more timely detection where risk is encountered (also assisted by the role of the responsible person). </w:t>
      </w:r>
    </w:p>
    <w:p w:rsidR="006C73FD" w:rsidRPr="00C071B6" w:rsidRDefault="006C73FD" w:rsidP="00E440A3">
      <w:pPr>
        <w:pStyle w:val="BodyText2"/>
        <w:rPr>
          <w:u w:val="single"/>
        </w:rPr>
      </w:pPr>
      <w:r w:rsidRPr="00C071B6">
        <w:t xml:space="preserve">Finally, the regulator will have an enhanced ability to take more timely and appropriate actions </w:t>
      </w:r>
      <w:r>
        <w:t xml:space="preserve">(potentially recall or banning of products) </w:t>
      </w:r>
      <w:r w:rsidRPr="00C071B6">
        <w:t xml:space="preserve">across a wider range of products where </w:t>
      </w:r>
      <w:r>
        <w:t>regulatory action</w:t>
      </w:r>
      <w:r w:rsidRPr="00C071B6">
        <w:t xml:space="preserve"> is required.</w:t>
      </w:r>
    </w:p>
    <w:p w:rsidR="006C73FD" w:rsidRPr="000B573C" w:rsidRDefault="006C73FD" w:rsidP="00AC1201">
      <w:pPr>
        <w:pStyle w:val="Heading4"/>
      </w:pPr>
      <w:r w:rsidRPr="000B573C">
        <w:t xml:space="preserve">Fiscal costs </w:t>
      </w:r>
      <w:r>
        <w:t xml:space="preserve">to the </w:t>
      </w:r>
      <w:r w:rsidRPr="000B573C">
        <w:t>Crown</w:t>
      </w:r>
    </w:p>
    <w:p w:rsidR="00093B8A" w:rsidRDefault="00093B8A" w:rsidP="00093B8A">
      <w:pPr>
        <w:spacing w:after="0" w:line="240" w:lineRule="auto"/>
        <w:rPr>
          <w:rFonts w:cs="Arial"/>
        </w:rPr>
      </w:pPr>
    </w:p>
    <w:p w:rsidR="00CF75BB" w:rsidRDefault="006C73FD" w:rsidP="00E440A3">
      <w:pPr>
        <w:pStyle w:val="BodyText"/>
      </w:pPr>
      <w:r w:rsidRPr="005C3898">
        <w:rPr>
          <w:rFonts w:eastAsia="Calibri"/>
          <w:szCs w:val="22"/>
        </w:rPr>
        <w:t>The</w:t>
      </w:r>
      <w:r>
        <w:t xml:space="preserve"> fiscal effects on the Crown are predicted to be slightly favourable overall in the long term:</w:t>
      </w:r>
    </w:p>
    <w:p w:rsidR="006C73FD" w:rsidRDefault="006C73FD" w:rsidP="00E440A3">
      <w:pPr>
        <w:pStyle w:val="BodyText2"/>
      </w:pPr>
      <w:r w:rsidRPr="00C071B6">
        <w:t>First, there will be costs in developing and implementing the new Act, but there should be reduced costs over time in operating under the new regime (more efficient processes for Ministers and officials as a result of the devolution of powers; and a reduced need to amend the Act or change Regulations given that less detail would be in primary legislation and greater use made of tertiary instruments</w:t>
      </w:r>
      <w:r>
        <w:t>)</w:t>
      </w:r>
      <w:r w:rsidRPr="00C071B6">
        <w:t>.</w:t>
      </w:r>
    </w:p>
    <w:p w:rsidR="006C73FD" w:rsidRDefault="006C73FD" w:rsidP="00E440A3">
      <w:pPr>
        <w:pStyle w:val="BodyText2"/>
      </w:pPr>
      <w:r w:rsidRPr="00C071B6">
        <w:t xml:space="preserve">Secondly, the new regime envisages a </w:t>
      </w:r>
      <w:r w:rsidR="008576E2">
        <w:t xml:space="preserve">potentially </w:t>
      </w:r>
      <w:r w:rsidRPr="00C071B6">
        <w:t xml:space="preserve">larger regulator (to regulate products not currently regulated) </w:t>
      </w:r>
      <w:r w:rsidR="008576E2">
        <w:t>and a regulator that is e</w:t>
      </w:r>
      <w:r w:rsidRPr="00C071B6">
        <w:t xml:space="preserve">nabled to manage its resources more </w:t>
      </w:r>
      <w:r>
        <w:t xml:space="preserve">flexibly and </w:t>
      </w:r>
      <w:r w:rsidRPr="00C071B6">
        <w:t xml:space="preserve">efficiently in </w:t>
      </w:r>
      <w:r>
        <w:t xml:space="preserve">order to </w:t>
      </w:r>
      <w:r w:rsidRPr="00C071B6">
        <w:t>take a risk-appropriate approach</w:t>
      </w:r>
      <w:r>
        <w:t xml:space="preserve">. </w:t>
      </w:r>
    </w:p>
    <w:p w:rsidR="006C73FD" w:rsidRPr="00C071B6" w:rsidRDefault="006C73FD" w:rsidP="00E440A3">
      <w:pPr>
        <w:pStyle w:val="BodyText2"/>
      </w:pPr>
      <w:r w:rsidRPr="00C071B6">
        <w:t xml:space="preserve">Finally, </w:t>
      </w:r>
      <w:r>
        <w:t xml:space="preserve">and most importantly, </w:t>
      </w:r>
      <w:r w:rsidRPr="00C071B6">
        <w:t xml:space="preserve">the success of the new regime in </w:t>
      </w:r>
      <w:r>
        <w:t xml:space="preserve">preventing, </w:t>
      </w:r>
      <w:r w:rsidRPr="00C071B6">
        <w:t xml:space="preserve">detecting and responding to risk should lead to </w:t>
      </w:r>
      <w:r w:rsidR="008576E2">
        <w:t xml:space="preserve">safer and better quality products, and </w:t>
      </w:r>
      <w:r w:rsidRPr="00C071B6">
        <w:t>fewer and less serious adverse events.  This will have positive flow-on effects in reducing costs and cost pressures on the health system as a whole, with some favourable fiscal effect on the Crown</w:t>
      </w:r>
      <w:r w:rsidR="009C1C44">
        <w:t>, and positive implications for the wider economy (output and productivity from better health outcomes).</w:t>
      </w:r>
      <w:r w:rsidRPr="00C071B6">
        <w:t xml:space="preserve"> This effect need only be small to</w:t>
      </w:r>
      <w:r>
        <w:t xml:space="preserve"> outweigh or</w:t>
      </w:r>
      <w:r w:rsidRPr="00C071B6">
        <w:t xml:space="preserve"> dominate the other less favourable fiscal effects </w:t>
      </w:r>
      <w:r>
        <w:t>identified</w:t>
      </w:r>
      <w:r w:rsidRPr="00C071B6">
        <w:t>.</w:t>
      </w:r>
    </w:p>
    <w:p w:rsidR="006C73FD" w:rsidRPr="00D725F0" w:rsidRDefault="006C73FD" w:rsidP="00AC1201">
      <w:pPr>
        <w:pStyle w:val="Heading4"/>
        <w:rPr>
          <w:szCs w:val="22"/>
        </w:rPr>
      </w:pPr>
      <w:r w:rsidRPr="00D725F0">
        <w:t>Summary table</w:t>
      </w:r>
    </w:p>
    <w:p w:rsidR="00AA7D86" w:rsidRDefault="00AA7D86" w:rsidP="00093B8A">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394"/>
        <w:gridCol w:w="1933"/>
      </w:tblGrid>
      <w:tr w:rsidR="006C73FD" w:rsidRPr="00A85FB6" w:rsidTr="00A85FB6">
        <w:trPr>
          <w:tblHeader/>
        </w:trPr>
        <w:tc>
          <w:tcPr>
            <w:tcW w:w="2689" w:type="dxa"/>
            <w:shd w:val="clear" w:color="auto" w:fill="DEEAF6"/>
          </w:tcPr>
          <w:p w:rsidR="006C73FD" w:rsidRPr="00A85FB6" w:rsidRDefault="006C73FD" w:rsidP="00A85FB6">
            <w:pPr>
              <w:spacing w:after="0" w:line="240" w:lineRule="auto"/>
              <w:jc w:val="both"/>
              <w:rPr>
                <w:rFonts w:cs="Arial"/>
                <w:b/>
                <w:sz w:val="20"/>
              </w:rPr>
            </w:pPr>
            <w:r w:rsidRPr="00A85FB6">
              <w:rPr>
                <w:rFonts w:cs="Arial"/>
                <w:b/>
                <w:sz w:val="20"/>
              </w:rPr>
              <w:t>Critical Areas of Impact</w:t>
            </w:r>
          </w:p>
          <w:p w:rsidR="006C73FD" w:rsidRPr="00A85FB6" w:rsidRDefault="006C73FD" w:rsidP="00A85FB6">
            <w:pPr>
              <w:spacing w:after="0" w:line="240" w:lineRule="auto"/>
              <w:jc w:val="both"/>
              <w:rPr>
                <w:rFonts w:cs="Arial"/>
                <w:b/>
                <w:sz w:val="20"/>
              </w:rPr>
            </w:pPr>
          </w:p>
        </w:tc>
        <w:tc>
          <w:tcPr>
            <w:tcW w:w="4394" w:type="dxa"/>
            <w:shd w:val="clear" w:color="auto" w:fill="DEEAF6"/>
          </w:tcPr>
          <w:p w:rsidR="006C73FD" w:rsidRPr="00A85FB6" w:rsidRDefault="006C73FD" w:rsidP="00A85FB6">
            <w:pPr>
              <w:spacing w:after="0" w:line="240" w:lineRule="auto"/>
              <w:jc w:val="center"/>
              <w:rPr>
                <w:rFonts w:cs="Arial"/>
                <w:b/>
                <w:sz w:val="20"/>
              </w:rPr>
            </w:pPr>
            <w:r w:rsidRPr="00A85FB6">
              <w:rPr>
                <w:rFonts w:cs="Arial"/>
                <w:b/>
                <w:sz w:val="20"/>
              </w:rPr>
              <w:t>Cause of impact</w:t>
            </w:r>
          </w:p>
          <w:p w:rsidR="006C73FD" w:rsidRPr="00A85FB6" w:rsidRDefault="006C73FD" w:rsidP="00A85FB6">
            <w:pPr>
              <w:spacing w:after="0" w:line="240" w:lineRule="auto"/>
              <w:jc w:val="both"/>
              <w:rPr>
                <w:rFonts w:cs="Arial"/>
                <w:b/>
                <w:sz w:val="20"/>
              </w:rPr>
            </w:pPr>
            <w:r w:rsidRPr="00A85FB6">
              <w:rPr>
                <w:rFonts w:cs="Arial"/>
                <w:b/>
                <w:sz w:val="20"/>
              </w:rPr>
              <w:t>(arising from preferred options for change)</w:t>
            </w:r>
          </w:p>
        </w:tc>
        <w:tc>
          <w:tcPr>
            <w:tcW w:w="1933" w:type="dxa"/>
            <w:shd w:val="clear" w:color="auto" w:fill="DEEAF6"/>
          </w:tcPr>
          <w:p w:rsidR="006C73FD" w:rsidRPr="00A85FB6" w:rsidRDefault="006C73FD" w:rsidP="00A85FB6">
            <w:pPr>
              <w:spacing w:after="0" w:line="240" w:lineRule="auto"/>
              <w:jc w:val="center"/>
              <w:rPr>
                <w:rFonts w:cs="Arial"/>
                <w:b/>
                <w:sz w:val="20"/>
              </w:rPr>
            </w:pPr>
            <w:r w:rsidRPr="00A85FB6">
              <w:rPr>
                <w:rFonts w:cs="Arial"/>
                <w:b/>
                <w:sz w:val="20"/>
              </w:rPr>
              <w:t>Impact</w:t>
            </w:r>
          </w:p>
          <w:p w:rsidR="006C73FD" w:rsidRPr="00A85FB6" w:rsidRDefault="006C73FD" w:rsidP="00A85FB6">
            <w:pPr>
              <w:spacing w:after="0" w:line="240" w:lineRule="auto"/>
              <w:jc w:val="both"/>
              <w:rPr>
                <w:rFonts w:cs="Arial"/>
                <w:b/>
                <w:sz w:val="20"/>
              </w:rPr>
            </w:pPr>
            <w:r w:rsidRPr="00A85FB6">
              <w:rPr>
                <w:rFonts w:cs="Arial"/>
                <w:b/>
                <w:sz w:val="20"/>
              </w:rPr>
              <w:t xml:space="preserve">  (see key below)</w:t>
            </w:r>
          </w:p>
        </w:tc>
      </w:tr>
      <w:tr w:rsidR="006C73FD" w:rsidRPr="00A85FB6" w:rsidTr="00A85FB6">
        <w:tc>
          <w:tcPr>
            <w:tcW w:w="2689" w:type="dxa"/>
            <w:shd w:val="clear" w:color="auto" w:fill="auto"/>
          </w:tcPr>
          <w:p w:rsidR="006C73FD" w:rsidRPr="00A85FB6" w:rsidRDefault="006C73FD" w:rsidP="00A85FB6">
            <w:pPr>
              <w:spacing w:after="0" w:line="240" w:lineRule="auto"/>
              <w:rPr>
                <w:rFonts w:cs="Arial"/>
                <w:sz w:val="20"/>
              </w:rPr>
            </w:pPr>
            <w:r w:rsidRPr="00A85FB6">
              <w:rPr>
                <w:rFonts w:cs="Arial"/>
                <w:sz w:val="20"/>
              </w:rPr>
              <w:t>Compliance costs on industry</w:t>
            </w:r>
          </w:p>
          <w:p w:rsidR="006C73FD" w:rsidRPr="00A85FB6" w:rsidRDefault="006C73FD" w:rsidP="00A85FB6">
            <w:pPr>
              <w:spacing w:after="0" w:line="240" w:lineRule="auto"/>
              <w:jc w:val="both"/>
              <w:rPr>
                <w:rFonts w:cs="Arial"/>
                <w:sz w:val="20"/>
              </w:rPr>
            </w:pPr>
          </w:p>
        </w:tc>
        <w:tc>
          <w:tcPr>
            <w:tcW w:w="4394" w:type="dxa"/>
            <w:shd w:val="clear" w:color="auto" w:fill="auto"/>
          </w:tcPr>
          <w:p w:rsidR="006C73FD" w:rsidRPr="00A85FB6" w:rsidRDefault="006C73FD" w:rsidP="00A85FB6">
            <w:pPr>
              <w:spacing w:after="0" w:line="240" w:lineRule="auto"/>
              <w:jc w:val="both"/>
              <w:rPr>
                <w:rFonts w:cs="Arial"/>
                <w:sz w:val="20"/>
              </w:rPr>
            </w:pPr>
            <w:r w:rsidRPr="00A85FB6">
              <w:rPr>
                <w:rFonts w:cs="Arial"/>
                <w:sz w:val="20"/>
              </w:rPr>
              <w:t>More products subject to regulation</w:t>
            </w:r>
          </w:p>
          <w:p w:rsidR="006C73FD" w:rsidRPr="00A85FB6" w:rsidRDefault="006C73FD" w:rsidP="00A85FB6">
            <w:pPr>
              <w:spacing w:after="0" w:line="240" w:lineRule="auto"/>
              <w:jc w:val="both"/>
              <w:rPr>
                <w:rFonts w:cs="Arial"/>
                <w:sz w:val="20"/>
              </w:rPr>
            </w:pPr>
          </w:p>
          <w:p w:rsidR="006C73FD" w:rsidRPr="00A85FB6" w:rsidRDefault="006C73FD" w:rsidP="00A85FB6">
            <w:pPr>
              <w:spacing w:after="0" w:line="240" w:lineRule="auto"/>
              <w:jc w:val="both"/>
              <w:rPr>
                <w:rFonts w:cs="Arial"/>
                <w:sz w:val="20"/>
              </w:rPr>
            </w:pPr>
            <w:r w:rsidRPr="00A85FB6">
              <w:rPr>
                <w:rFonts w:cs="Arial"/>
                <w:sz w:val="20"/>
              </w:rPr>
              <w:t>More flexible</w:t>
            </w:r>
            <w:r w:rsidR="00080C3D" w:rsidRPr="00A85FB6">
              <w:rPr>
                <w:rFonts w:cs="Arial"/>
                <w:sz w:val="20"/>
              </w:rPr>
              <w:t>, timely</w:t>
            </w:r>
            <w:r w:rsidRPr="00A85FB6">
              <w:rPr>
                <w:rFonts w:cs="Arial"/>
                <w:sz w:val="20"/>
              </w:rPr>
              <w:t xml:space="preserve"> approval processes</w:t>
            </w:r>
          </w:p>
          <w:p w:rsidR="006C73FD" w:rsidRPr="00A85FB6" w:rsidRDefault="006C73FD" w:rsidP="00A85FB6">
            <w:pPr>
              <w:spacing w:after="0" w:line="240" w:lineRule="auto"/>
              <w:jc w:val="both"/>
              <w:rPr>
                <w:rFonts w:cs="Arial"/>
                <w:sz w:val="20"/>
              </w:rPr>
            </w:pPr>
            <w:r w:rsidRPr="00A85FB6">
              <w:rPr>
                <w:rFonts w:cs="Arial"/>
                <w:sz w:val="20"/>
              </w:rPr>
              <w:t>More conditions on approval</w:t>
            </w:r>
          </w:p>
          <w:p w:rsidR="006C73FD" w:rsidRPr="00A85FB6" w:rsidRDefault="006C73FD" w:rsidP="00A85FB6">
            <w:pPr>
              <w:spacing w:after="0" w:line="240" w:lineRule="auto"/>
              <w:jc w:val="both"/>
              <w:rPr>
                <w:rFonts w:cs="Arial"/>
                <w:sz w:val="20"/>
              </w:rPr>
            </w:pPr>
            <w:r w:rsidRPr="00A85FB6">
              <w:rPr>
                <w:rFonts w:cs="Arial"/>
                <w:sz w:val="20"/>
              </w:rPr>
              <w:t>Introduction of “Responsible person”</w:t>
            </w:r>
          </w:p>
          <w:p w:rsidR="006C73FD" w:rsidRPr="00A85FB6" w:rsidRDefault="006C73FD" w:rsidP="00A85FB6">
            <w:pPr>
              <w:spacing w:after="0" w:line="240" w:lineRule="auto"/>
              <w:jc w:val="both"/>
              <w:rPr>
                <w:rFonts w:cs="Arial"/>
                <w:sz w:val="20"/>
              </w:rPr>
            </w:pPr>
          </w:p>
          <w:p w:rsidR="006C73FD" w:rsidRPr="00A85FB6" w:rsidRDefault="006C73FD" w:rsidP="00A85FB6">
            <w:pPr>
              <w:spacing w:after="0" w:line="240" w:lineRule="auto"/>
              <w:jc w:val="both"/>
              <w:rPr>
                <w:rFonts w:cs="Arial"/>
                <w:sz w:val="20"/>
              </w:rPr>
            </w:pPr>
            <w:r w:rsidRPr="00A85FB6">
              <w:rPr>
                <w:rFonts w:cs="Arial"/>
                <w:sz w:val="20"/>
              </w:rPr>
              <w:t>More information required</w:t>
            </w:r>
          </w:p>
          <w:p w:rsidR="006C73FD" w:rsidRPr="00A85FB6" w:rsidRDefault="006C73FD" w:rsidP="00A85FB6">
            <w:pPr>
              <w:spacing w:after="0" w:line="240" w:lineRule="auto"/>
              <w:jc w:val="both"/>
              <w:rPr>
                <w:rFonts w:cs="Arial"/>
                <w:sz w:val="20"/>
              </w:rPr>
            </w:pPr>
            <w:r w:rsidRPr="00A85FB6">
              <w:rPr>
                <w:rFonts w:cs="Arial"/>
                <w:sz w:val="20"/>
              </w:rPr>
              <w:t>Strengthened sanctions and penalties</w:t>
            </w:r>
          </w:p>
          <w:p w:rsidR="006C73FD" w:rsidRPr="00A85FB6" w:rsidRDefault="006C73FD" w:rsidP="00A85FB6">
            <w:pPr>
              <w:spacing w:after="0" w:line="240" w:lineRule="auto"/>
              <w:jc w:val="both"/>
              <w:rPr>
                <w:rFonts w:cs="Arial"/>
                <w:sz w:val="20"/>
              </w:rPr>
            </w:pPr>
            <w:r w:rsidRPr="00A85FB6">
              <w:rPr>
                <w:rFonts w:cs="Arial"/>
                <w:sz w:val="20"/>
              </w:rPr>
              <w:t xml:space="preserve"> </w:t>
            </w:r>
          </w:p>
          <w:p w:rsidR="006C73FD" w:rsidRPr="00A85FB6" w:rsidRDefault="006C73FD" w:rsidP="00A85FB6">
            <w:pPr>
              <w:spacing w:after="0" w:line="240" w:lineRule="auto"/>
              <w:jc w:val="both"/>
              <w:rPr>
                <w:rFonts w:cs="Arial"/>
                <w:sz w:val="20"/>
              </w:rPr>
            </w:pPr>
            <w:r w:rsidRPr="00A85FB6">
              <w:rPr>
                <w:rFonts w:cs="Arial"/>
                <w:b/>
              </w:rPr>
              <w:t xml:space="preserve">     </w:t>
            </w:r>
            <w:r w:rsidRPr="00A85FB6">
              <w:rPr>
                <w:rFonts w:cs="Arial"/>
                <w:b/>
                <w:sz w:val="20"/>
              </w:rPr>
              <w:t>Overall impact</w:t>
            </w:r>
          </w:p>
          <w:p w:rsidR="006C73FD" w:rsidRPr="00A85FB6" w:rsidRDefault="006C73FD" w:rsidP="00A85FB6">
            <w:pPr>
              <w:spacing w:after="0" w:line="240" w:lineRule="auto"/>
              <w:jc w:val="both"/>
              <w:rPr>
                <w:rFonts w:cs="Arial"/>
                <w:sz w:val="20"/>
              </w:rPr>
            </w:pPr>
          </w:p>
        </w:tc>
        <w:tc>
          <w:tcPr>
            <w:tcW w:w="1933" w:type="dxa"/>
            <w:shd w:val="clear" w:color="auto" w:fill="auto"/>
          </w:tcPr>
          <w:p w:rsidR="006C73FD" w:rsidRPr="00A85FB6" w:rsidRDefault="006C73FD" w:rsidP="00A85FB6">
            <w:pPr>
              <w:spacing w:after="0" w:line="240" w:lineRule="auto"/>
              <w:jc w:val="center"/>
              <w:rPr>
                <w:rFonts w:cs="Arial"/>
                <w:sz w:val="20"/>
              </w:rPr>
            </w:pPr>
            <w:r w:rsidRPr="00A85FB6">
              <w:rPr>
                <w:rFonts w:cs="Arial"/>
                <w:sz w:val="20"/>
              </w:rPr>
              <w:t>-</w:t>
            </w:r>
          </w:p>
          <w:p w:rsidR="006C73FD" w:rsidRPr="00A85FB6" w:rsidRDefault="006C73FD" w:rsidP="00A85FB6">
            <w:pPr>
              <w:spacing w:after="0" w:line="240" w:lineRule="auto"/>
              <w:jc w:val="center"/>
              <w:rPr>
                <w:rFonts w:cs="Arial"/>
                <w:sz w:val="20"/>
              </w:rPr>
            </w:pPr>
          </w:p>
          <w:p w:rsidR="006C73FD" w:rsidRPr="00A85FB6" w:rsidRDefault="006C73FD" w:rsidP="00A85FB6">
            <w:pPr>
              <w:spacing w:after="0" w:line="240" w:lineRule="auto"/>
              <w:jc w:val="center"/>
              <w:rPr>
                <w:rFonts w:cs="Arial"/>
                <w:sz w:val="20"/>
              </w:rPr>
            </w:pPr>
            <w:r w:rsidRPr="00A85FB6">
              <w:rPr>
                <w:rFonts w:cs="Arial"/>
                <w:sz w:val="20"/>
              </w:rPr>
              <w:t>+</w:t>
            </w:r>
          </w:p>
          <w:p w:rsidR="006C73FD" w:rsidRPr="00A85FB6" w:rsidRDefault="006C73FD" w:rsidP="00A85FB6">
            <w:pPr>
              <w:spacing w:after="0" w:line="240" w:lineRule="auto"/>
              <w:jc w:val="center"/>
              <w:rPr>
                <w:rFonts w:cs="Arial"/>
                <w:sz w:val="20"/>
              </w:rPr>
            </w:pPr>
            <w:r w:rsidRPr="00A85FB6">
              <w:rPr>
                <w:rFonts w:cs="Arial"/>
                <w:sz w:val="20"/>
              </w:rPr>
              <w:t>= / -</w:t>
            </w:r>
          </w:p>
          <w:p w:rsidR="006C73FD" w:rsidRPr="00A85FB6" w:rsidRDefault="006C73FD" w:rsidP="00A85FB6">
            <w:pPr>
              <w:spacing w:after="0" w:line="240" w:lineRule="auto"/>
              <w:jc w:val="center"/>
              <w:rPr>
                <w:rFonts w:cs="Arial"/>
                <w:sz w:val="20"/>
              </w:rPr>
            </w:pPr>
            <w:r w:rsidRPr="00A85FB6">
              <w:rPr>
                <w:rFonts w:cs="Arial"/>
                <w:sz w:val="20"/>
              </w:rPr>
              <w:t>= / -</w:t>
            </w:r>
          </w:p>
          <w:p w:rsidR="006C73FD" w:rsidRPr="00A85FB6" w:rsidRDefault="006C73FD" w:rsidP="00A85FB6">
            <w:pPr>
              <w:spacing w:after="0" w:line="240" w:lineRule="auto"/>
              <w:jc w:val="center"/>
              <w:rPr>
                <w:rFonts w:cs="Arial"/>
                <w:sz w:val="20"/>
              </w:rPr>
            </w:pPr>
          </w:p>
          <w:p w:rsidR="006C73FD" w:rsidRPr="00A85FB6" w:rsidRDefault="006C73FD" w:rsidP="00A85FB6">
            <w:pPr>
              <w:spacing w:after="0" w:line="240" w:lineRule="auto"/>
              <w:jc w:val="center"/>
              <w:rPr>
                <w:rFonts w:cs="Arial"/>
                <w:sz w:val="20"/>
              </w:rPr>
            </w:pPr>
            <w:r w:rsidRPr="00A85FB6">
              <w:rPr>
                <w:rFonts w:cs="Arial"/>
                <w:sz w:val="20"/>
              </w:rPr>
              <w:t>-</w:t>
            </w:r>
          </w:p>
          <w:p w:rsidR="006C73FD" w:rsidRPr="00A85FB6" w:rsidRDefault="006C73FD" w:rsidP="00A85FB6">
            <w:pPr>
              <w:spacing w:after="0" w:line="240" w:lineRule="auto"/>
              <w:jc w:val="center"/>
              <w:rPr>
                <w:rFonts w:cs="Arial"/>
                <w:sz w:val="20"/>
              </w:rPr>
            </w:pPr>
            <w:r w:rsidRPr="00A85FB6">
              <w:rPr>
                <w:rFonts w:cs="Arial"/>
                <w:sz w:val="20"/>
              </w:rPr>
              <w:t>=</w:t>
            </w:r>
          </w:p>
          <w:p w:rsidR="006C73FD" w:rsidRPr="00A85FB6" w:rsidRDefault="006C73FD" w:rsidP="00A85FB6">
            <w:pPr>
              <w:spacing w:after="0" w:line="240" w:lineRule="auto"/>
              <w:jc w:val="center"/>
              <w:rPr>
                <w:rFonts w:cs="Arial"/>
                <w:sz w:val="20"/>
              </w:rPr>
            </w:pPr>
          </w:p>
          <w:p w:rsidR="006C73FD" w:rsidRPr="00A85FB6" w:rsidRDefault="006C73FD" w:rsidP="00A85FB6">
            <w:pPr>
              <w:spacing w:after="0" w:line="240" w:lineRule="auto"/>
              <w:jc w:val="center"/>
              <w:rPr>
                <w:rFonts w:cs="Arial"/>
                <w:b/>
                <w:szCs w:val="22"/>
              </w:rPr>
            </w:pPr>
            <w:r w:rsidRPr="00A85FB6">
              <w:rPr>
                <w:rFonts w:cs="Arial"/>
                <w:b/>
                <w:szCs w:val="22"/>
              </w:rPr>
              <w:t>= / -</w:t>
            </w:r>
          </w:p>
        </w:tc>
      </w:tr>
      <w:tr w:rsidR="006C73FD" w:rsidRPr="00A85FB6" w:rsidTr="00A85FB6">
        <w:tc>
          <w:tcPr>
            <w:tcW w:w="2689" w:type="dxa"/>
            <w:shd w:val="clear" w:color="auto" w:fill="auto"/>
          </w:tcPr>
          <w:p w:rsidR="006C73FD" w:rsidRPr="00A85FB6" w:rsidRDefault="006C73FD" w:rsidP="00A85FB6">
            <w:pPr>
              <w:spacing w:after="0" w:line="240" w:lineRule="auto"/>
              <w:rPr>
                <w:rFonts w:cs="Arial"/>
                <w:sz w:val="20"/>
              </w:rPr>
            </w:pPr>
            <w:r w:rsidRPr="00A85FB6">
              <w:rPr>
                <w:rFonts w:cs="Arial"/>
                <w:sz w:val="20"/>
              </w:rPr>
              <w:t>Product availability and pricing</w:t>
            </w:r>
          </w:p>
          <w:p w:rsidR="006C73FD" w:rsidRPr="00A85FB6" w:rsidRDefault="006C73FD" w:rsidP="00A85FB6">
            <w:pPr>
              <w:spacing w:after="0" w:line="240" w:lineRule="auto"/>
              <w:jc w:val="both"/>
              <w:rPr>
                <w:rFonts w:cs="Arial"/>
                <w:sz w:val="20"/>
              </w:rPr>
            </w:pPr>
          </w:p>
        </w:tc>
        <w:tc>
          <w:tcPr>
            <w:tcW w:w="4394" w:type="dxa"/>
            <w:shd w:val="clear" w:color="auto" w:fill="auto"/>
          </w:tcPr>
          <w:p w:rsidR="006C73FD" w:rsidRPr="00A85FB6" w:rsidRDefault="006C73FD" w:rsidP="00A85FB6">
            <w:pPr>
              <w:spacing w:after="0" w:line="240" w:lineRule="auto"/>
              <w:jc w:val="both"/>
              <w:rPr>
                <w:rFonts w:cs="Arial"/>
                <w:sz w:val="20"/>
              </w:rPr>
            </w:pPr>
            <w:r w:rsidRPr="00A85FB6">
              <w:rPr>
                <w:rFonts w:cs="Arial"/>
                <w:sz w:val="20"/>
              </w:rPr>
              <w:t>General availability of products</w:t>
            </w:r>
          </w:p>
          <w:p w:rsidR="006C73FD" w:rsidRPr="00A85FB6" w:rsidRDefault="006C73FD" w:rsidP="00A85FB6">
            <w:pPr>
              <w:spacing w:after="0" w:line="240" w:lineRule="auto"/>
              <w:jc w:val="both"/>
              <w:rPr>
                <w:rFonts w:cs="Arial"/>
                <w:sz w:val="20"/>
              </w:rPr>
            </w:pPr>
            <w:r w:rsidRPr="00A85FB6">
              <w:rPr>
                <w:rFonts w:cs="Arial"/>
                <w:sz w:val="20"/>
              </w:rPr>
              <w:t>Supply of innovative products</w:t>
            </w:r>
          </w:p>
          <w:p w:rsidR="006C73FD" w:rsidRPr="00A85FB6" w:rsidRDefault="006C73FD" w:rsidP="00A85FB6">
            <w:pPr>
              <w:spacing w:after="0" w:line="240" w:lineRule="auto"/>
              <w:jc w:val="both"/>
              <w:rPr>
                <w:rFonts w:cs="Arial"/>
                <w:sz w:val="20"/>
              </w:rPr>
            </w:pPr>
          </w:p>
          <w:p w:rsidR="006C73FD" w:rsidRPr="00A85FB6" w:rsidRDefault="006C73FD" w:rsidP="00A85FB6">
            <w:pPr>
              <w:spacing w:after="0" w:line="240" w:lineRule="auto"/>
              <w:jc w:val="both"/>
              <w:rPr>
                <w:rFonts w:cs="Arial"/>
                <w:sz w:val="20"/>
              </w:rPr>
            </w:pPr>
            <w:r w:rsidRPr="00A85FB6">
              <w:rPr>
                <w:rFonts w:cs="Arial"/>
                <w:sz w:val="20"/>
              </w:rPr>
              <w:t>Supply prices</w:t>
            </w:r>
          </w:p>
          <w:p w:rsidR="006C73FD" w:rsidRPr="00A85FB6" w:rsidRDefault="006C73FD" w:rsidP="00A85FB6">
            <w:pPr>
              <w:spacing w:after="0" w:line="240" w:lineRule="auto"/>
              <w:jc w:val="both"/>
              <w:rPr>
                <w:rFonts w:cs="Arial"/>
                <w:sz w:val="20"/>
              </w:rPr>
            </w:pPr>
            <w:r w:rsidRPr="00A85FB6">
              <w:rPr>
                <w:rFonts w:cs="Arial"/>
                <w:sz w:val="20"/>
              </w:rPr>
              <w:t>Retail prices</w:t>
            </w:r>
          </w:p>
          <w:p w:rsidR="006C73FD" w:rsidRPr="00A85FB6" w:rsidRDefault="006C73FD" w:rsidP="00A85FB6">
            <w:pPr>
              <w:spacing w:after="0" w:line="240" w:lineRule="auto"/>
              <w:jc w:val="both"/>
              <w:rPr>
                <w:rFonts w:cs="Arial"/>
                <w:sz w:val="20"/>
              </w:rPr>
            </w:pPr>
          </w:p>
          <w:p w:rsidR="006C73FD" w:rsidRPr="00A85FB6" w:rsidRDefault="006C73FD" w:rsidP="00A85FB6">
            <w:pPr>
              <w:spacing w:after="0" w:line="240" w:lineRule="auto"/>
              <w:jc w:val="both"/>
              <w:rPr>
                <w:rFonts w:cs="Arial"/>
                <w:sz w:val="20"/>
              </w:rPr>
            </w:pPr>
            <w:r w:rsidRPr="00A85FB6">
              <w:rPr>
                <w:rFonts w:cs="Arial"/>
                <w:sz w:val="20"/>
              </w:rPr>
              <w:t>Consumer access and services</w:t>
            </w:r>
          </w:p>
          <w:p w:rsidR="006C73FD" w:rsidRPr="00A85FB6" w:rsidRDefault="006C73FD" w:rsidP="00A85FB6">
            <w:pPr>
              <w:spacing w:after="0" w:line="240" w:lineRule="auto"/>
              <w:jc w:val="both"/>
              <w:rPr>
                <w:rFonts w:cs="Arial"/>
                <w:sz w:val="20"/>
              </w:rPr>
            </w:pPr>
          </w:p>
          <w:p w:rsidR="006C73FD" w:rsidRPr="00A85FB6" w:rsidRDefault="006C73FD" w:rsidP="00A85FB6">
            <w:pPr>
              <w:spacing w:after="0" w:line="240" w:lineRule="auto"/>
              <w:jc w:val="both"/>
              <w:rPr>
                <w:rFonts w:cs="Arial"/>
                <w:b/>
                <w:sz w:val="20"/>
              </w:rPr>
            </w:pPr>
            <w:r w:rsidRPr="00A85FB6">
              <w:rPr>
                <w:rFonts w:cs="Arial"/>
                <w:b/>
              </w:rPr>
              <w:t xml:space="preserve">     </w:t>
            </w:r>
            <w:r w:rsidRPr="00A85FB6">
              <w:rPr>
                <w:rFonts w:cs="Arial"/>
                <w:b/>
                <w:sz w:val="20"/>
              </w:rPr>
              <w:t>Overall impact</w:t>
            </w:r>
          </w:p>
          <w:p w:rsidR="00CF75BB" w:rsidRPr="00A85FB6" w:rsidRDefault="00CF75BB" w:rsidP="00A85FB6">
            <w:pPr>
              <w:spacing w:after="0" w:line="240" w:lineRule="auto"/>
              <w:jc w:val="both"/>
              <w:rPr>
                <w:rFonts w:cs="Arial"/>
                <w:sz w:val="20"/>
              </w:rPr>
            </w:pPr>
          </w:p>
        </w:tc>
        <w:tc>
          <w:tcPr>
            <w:tcW w:w="1933" w:type="dxa"/>
            <w:shd w:val="clear" w:color="auto" w:fill="auto"/>
          </w:tcPr>
          <w:p w:rsidR="006C73FD" w:rsidRPr="00A85FB6" w:rsidRDefault="006C73FD" w:rsidP="00A85FB6">
            <w:pPr>
              <w:spacing w:after="0" w:line="240" w:lineRule="auto"/>
              <w:jc w:val="center"/>
              <w:rPr>
                <w:rFonts w:cs="Arial"/>
                <w:sz w:val="20"/>
              </w:rPr>
            </w:pPr>
            <w:r w:rsidRPr="00A85FB6">
              <w:rPr>
                <w:rFonts w:cs="Arial"/>
                <w:sz w:val="20"/>
              </w:rPr>
              <w:t>=</w:t>
            </w:r>
          </w:p>
          <w:p w:rsidR="006C73FD" w:rsidRPr="00A85FB6" w:rsidRDefault="006C73FD" w:rsidP="00A85FB6">
            <w:pPr>
              <w:spacing w:after="0" w:line="240" w:lineRule="auto"/>
              <w:jc w:val="center"/>
              <w:rPr>
                <w:rFonts w:cs="Arial"/>
                <w:sz w:val="20"/>
              </w:rPr>
            </w:pPr>
            <w:r w:rsidRPr="00A85FB6">
              <w:rPr>
                <w:rFonts w:cs="Arial"/>
                <w:sz w:val="20"/>
              </w:rPr>
              <w:t>= / +</w:t>
            </w:r>
          </w:p>
          <w:p w:rsidR="006C73FD" w:rsidRPr="00A85FB6" w:rsidRDefault="006C73FD" w:rsidP="00A85FB6">
            <w:pPr>
              <w:spacing w:after="0" w:line="240" w:lineRule="auto"/>
              <w:jc w:val="center"/>
              <w:rPr>
                <w:rFonts w:cs="Arial"/>
                <w:sz w:val="20"/>
              </w:rPr>
            </w:pPr>
          </w:p>
          <w:p w:rsidR="006C73FD" w:rsidRPr="00A85FB6" w:rsidRDefault="006C73FD" w:rsidP="00A85FB6">
            <w:pPr>
              <w:spacing w:after="0" w:line="240" w:lineRule="auto"/>
              <w:jc w:val="center"/>
              <w:rPr>
                <w:rFonts w:cs="Arial"/>
                <w:sz w:val="20"/>
              </w:rPr>
            </w:pPr>
            <w:r w:rsidRPr="00A85FB6">
              <w:rPr>
                <w:rFonts w:cs="Arial"/>
                <w:sz w:val="20"/>
              </w:rPr>
              <w:t>=</w:t>
            </w:r>
          </w:p>
          <w:p w:rsidR="006C73FD" w:rsidRPr="00A85FB6" w:rsidRDefault="006C73FD" w:rsidP="00A85FB6">
            <w:pPr>
              <w:spacing w:after="0" w:line="240" w:lineRule="auto"/>
              <w:jc w:val="center"/>
              <w:rPr>
                <w:rFonts w:cs="Arial"/>
                <w:sz w:val="20"/>
              </w:rPr>
            </w:pPr>
            <w:r w:rsidRPr="00A85FB6">
              <w:rPr>
                <w:rFonts w:cs="Arial"/>
                <w:sz w:val="20"/>
              </w:rPr>
              <w:t>=/+</w:t>
            </w:r>
          </w:p>
          <w:p w:rsidR="006C73FD" w:rsidRPr="00A85FB6" w:rsidRDefault="006C73FD" w:rsidP="00A85FB6">
            <w:pPr>
              <w:spacing w:after="0" w:line="240" w:lineRule="auto"/>
              <w:jc w:val="center"/>
              <w:rPr>
                <w:rFonts w:cs="Arial"/>
                <w:sz w:val="20"/>
              </w:rPr>
            </w:pPr>
          </w:p>
          <w:p w:rsidR="006C73FD" w:rsidRPr="00A85FB6" w:rsidRDefault="006C73FD" w:rsidP="00A85FB6">
            <w:pPr>
              <w:spacing w:after="0" w:line="240" w:lineRule="auto"/>
              <w:jc w:val="center"/>
              <w:rPr>
                <w:rFonts w:cs="Arial"/>
              </w:rPr>
            </w:pPr>
            <w:r w:rsidRPr="00A85FB6">
              <w:rPr>
                <w:rFonts w:cs="Arial"/>
              </w:rPr>
              <w:t>+</w:t>
            </w:r>
          </w:p>
          <w:p w:rsidR="006C73FD" w:rsidRPr="00A85FB6" w:rsidRDefault="006C73FD" w:rsidP="00A85FB6">
            <w:pPr>
              <w:spacing w:after="0" w:line="240" w:lineRule="auto"/>
              <w:jc w:val="center"/>
              <w:rPr>
                <w:rFonts w:cs="Arial"/>
                <w:b/>
              </w:rPr>
            </w:pPr>
          </w:p>
          <w:p w:rsidR="006C73FD" w:rsidRPr="00A85FB6" w:rsidRDefault="006C73FD" w:rsidP="00A85FB6">
            <w:pPr>
              <w:spacing w:after="0" w:line="240" w:lineRule="auto"/>
              <w:jc w:val="center"/>
              <w:rPr>
                <w:rFonts w:cs="Arial"/>
                <w:b/>
                <w:szCs w:val="22"/>
              </w:rPr>
            </w:pPr>
            <w:r w:rsidRPr="00A85FB6">
              <w:rPr>
                <w:rFonts w:cs="Arial"/>
                <w:b/>
                <w:szCs w:val="22"/>
              </w:rPr>
              <w:t>= / +</w:t>
            </w:r>
          </w:p>
        </w:tc>
      </w:tr>
      <w:tr w:rsidR="006C73FD" w:rsidRPr="00A85FB6" w:rsidTr="00A85FB6">
        <w:tc>
          <w:tcPr>
            <w:tcW w:w="2689" w:type="dxa"/>
            <w:shd w:val="clear" w:color="auto" w:fill="auto"/>
          </w:tcPr>
          <w:p w:rsidR="006C73FD" w:rsidRPr="00A85FB6" w:rsidRDefault="006C73FD" w:rsidP="00A85FB6">
            <w:pPr>
              <w:spacing w:after="0" w:line="240" w:lineRule="auto"/>
              <w:rPr>
                <w:rFonts w:cs="Arial"/>
                <w:sz w:val="20"/>
              </w:rPr>
            </w:pPr>
            <w:r w:rsidRPr="00A85FB6">
              <w:rPr>
                <w:rFonts w:cs="Arial"/>
                <w:sz w:val="20"/>
              </w:rPr>
              <w:t>Management of risk and confidence in system integrity</w:t>
            </w:r>
          </w:p>
          <w:p w:rsidR="006C73FD" w:rsidRPr="00A85FB6" w:rsidRDefault="006C73FD" w:rsidP="00A85FB6">
            <w:pPr>
              <w:spacing w:after="0" w:line="240" w:lineRule="auto"/>
              <w:jc w:val="both"/>
              <w:rPr>
                <w:rFonts w:cs="Arial"/>
                <w:sz w:val="20"/>
              </w:rPr>
            </w:pPr>
          </w:p>
        </w:tc>
        <w:tc>
          <w:tcPr>
            <w:tcW w:w="4394" w:type="dxa"/>
            <w:shd w:val="clear" w:color="auto" w:fill="auto"/>
          </w:tcPr>
          <w:p w:rsidR="006C73FD" w:rsidRPr="00A85FB6" w:rsidRDefault="006C73FD" w:rsidP="00A85FB6">
            <w:pPr>
              <w:spacing w:after="0" w:line="240" w:lineRule="auto"/>
              <w:jc w:val="both"/>
              <w:rPr>
                <w:rFonts w:cs="Arial"/>
                <w:sz w:val="20"/>
              </w:rPr>
            </w:pPr>
            <w:r w:rsidRPr="00A85FB6">
              <w:rPr>
                <w:rFonts w:cs="Arial"/>
                <w:sz w:val="20"/>
              </w:rPr>
              <w:t>Pre-market risk detection</w:t>
            </w:r>
          </w:p>
          <w:p w:rsidR="006C73FD" w:rsidRPr="00A85FB6" w:rsidRDefault="006C73FD" w:rsidP="00A85FB6">
            <w:pPr>
              <w:spacing w:after="0" w:line="240" w:lineRule="auto"/>
              <w:jc w:val="both"/>
              <w:rPr>
                <w:rFonts w:cs="Arial"/>
                <w:sz w:val="20"/>
              </w:rPr>
            </w:pPr>
            <w:r w:rsidRPr="00A85FB6">
              <w:rPr>
                <w:rFonts w:cs="Arial"/>
                <w:sz w:val="20"/>
              </w:rPr>
              <w:t>Post-market risk detection</w:t>
            </w:r>
          </w:p>
          <w:p w:rsidR="006C73FD" w:rsidRPr="00A85FB6" w:rsidRDefault="006C73FD" w:rsidP="00A85FB6">
            <w:pPr>
              <w:spacing w:after="0" w:line="240" w:lineRule="auto"/>
              <w:jc w:val="both"/>
              <w:rPr>
                <w:rFonts w:cs="Arial"/>
                <w:sz w:val="20"/>
              </w:rPr>
            </w:pPr>
            <w:r w:rsidRPr="00A85FB6">
              <w:rPr>
                <w:rFonts w:cs="Arial"/>
                <w:sz w:val="20"/>
              </w:rPr>
              <w:t>Post-market response to risk</w:t>
            </w:r>
          </w:p>
          <w:p w:rsidR="006C73FD" w:rsidRPr="00A85FB6" w:rsidRDefault="006C73FD" w:rsidP="00A85FB6">
            <w:pPr>
              <w:spacing w:after="0" w:line="240" w:lineRule="auto"/>
              <w:jc w:val="both"/>
              <w:rPr>
                <w:rFonts w:cs="Arial"/>
                <w:sz w:val="20"/>
              </w:rPr>
            </w:pPr>
          </w:p>
          <w:p w:rsidR="006C73FD" w:rsidRPr="00A85FB6" w:rsidRDefault="006C73FD" w:rsidP="00A85FB6">
            <w:pPr>
              <w:spacing w:after="0" w:line="240" w:lineRule="auto"/>
              <w:jc w:val="both"/>
              <w:rPr>
                <w:rFonts w:cs="Arial"/>
                <w:sz w:val="20"/>
              </w:rPr>
            </w:pPr>
            <w:r w:rsidRPr="00A85FB6">
              <w:rPr>
                <w:rFonts w:cs="Arial"/>
                <w:sz w:val="20"/>
              </w:rPr>
              <w:t>Confidence in products and system integrity</w:t>
            </w:r>
          </w:p>
          <w:p w:rsidR="006C73FD" w:rsidRPr="00A85FB6" w:rsidRDefault="006C73FD" w:rsidP="00A85FB6">
            <w:pPr>
              <w:spacing w:after="0" w:line="240" w:lineRule="auto"/>
              <w:jc w:val="both"/>
              <w:rPr>
                <w:rFonts w:cs="Arial"/>
                <w:b/>
              </w:rPr>
            </w:pPr>
            <w:r w:rsidRPr="00A85FB6">
              <w:rPr>
                <w:rFonts w:cs="Arial"/>
                <w:b/>
              </w:rPr>
              <w:t xml:space="preserve">     </w:t>
            </w:r>
          </w:p>
          <w:p w:rsidR="006C73FD" w:rsidRPr="00A85FB6" w:rsidRDefault="006C73FD" w:rsidP="00A85FB6">
            <w:pPr>
              <w:spacing w:after="0" w:line="240" w:lineRule="auto"/>
              <w:jc w:val="both"/>
              <w:rPr>
                <w:rFonts w:cs="Arial"/>
                <w:b/>
                <w:sz w:val="20"/>
              </w:rPr>
            </w:pPr>
            <w:r w:rsidRPr="00A85FB6">
              <w:rPr>
                <w:rFonts w:cs="Arial"/>
                <w:b/>
                <w:sz w:val="20"/>
              </w:rPr>
              <w:t xml:space="preserve">     Overall impact</w:t>
            </w:r>
          </w:p>
          <w:p w:rsidR="006C73FD" w:rsidRPr="00A85FB6" w:rsidRDefault="006C73FD" w:rsidP="00A85FB6">
            <w:pPr>
              <w:spacing w:after="0" w:line="240" w:lineRule="auto"/>
              <w:jc w:val="both"/>
              <w:rPr>
                <w:rFonts w:cs="Arial"/>
                <w:sz w:val="20"/>
              </w:rPr>
            </w:pPr>
          </w:p>
        </w:tc>
        <w:tc>
          <w:tcPr>
            <w:tcW w:w="1933" w:type="dxa"/>
            <w:shd w:val="clear" w:color="auto" w:fill="auto"/>
          </w:tcPr>
          <w:p w:rsidR="006C73FD" w:rsidRPr="00A85FB6" w:rsidRDefault="006C73FD" w:rsidP="00A85FB6">
            <w:pPr>
              <w:spacing w:after="0" w:line="240" w:lineRule="auto"/>
              <w:jc w:val="center"/>
              <w:rPr>
                <w:rFonts w:cs="Arial"/>
                <w:sz w:val="20"/>
              </w:rPr>
            </w:pPr>
            <w:r w:rsidRPr="00A85FB6">
              <w:rPr>
                <w:rFonts w:cs="Arial"/>
                <w:sz w:val="20"/>
              </w:rPr>
              <w:t>+</w:t>
            </w:r>
          </w:p>
          <w:p w:rsidR="006C73FD" w:rsidRPr="00A85FB6" w:rsidRDefault="006C73FD" w:rsidP="00A85FB6">
            <w:pPr>
              <w:spacing w:after="0" w:line="240" w:lineRule="auto"/>
              <w:jc w:val="center"/>
              <w:rPr>
                <w:rFonts w:cs="Arial"/>
                <w:sz w:val="20"/>
              </w:rPr>
            </w:pPr>
            <w:r w:rsidRPr="00A85FB6">
              <w:rPr>
                <w:rFonts w:cs="Arial"/>
                <w:sz w:val="20"/>
              </w:rPr>
              <w:t>+</w:t>
            </w:r>
          </w:p>
          <w:p w:rsidR="006C73FD" w:rsidRPr="00A85FB6" w:rsidRDefault="006C73FD" w:rsidP="00A85FB6">
            <w:pPr>
              <w:spacing w:after="0" w:line="240" w:lineRule="auto"/>
              <w:jc w:val="center"/>
              <w:rPr>
                <w:rFonts w:cs="Arial"/>
                <w:sz w:val="20"/>
              </w:rPr>
            </w:pPr>
            <w:r w:rsidRPr="00A85FB6">
              <w:rPr>
                <w:rFonts w:cs="Arial"/>
                <w:sz w:val="20"/>
              </w:rPr>
              <w:t>+ or ++</w:t>
            </w:r>
          </w:p>
          <w:p w:rsidR="006C73FD" w:rsidRPr="00A85FB6" w:rsidRDefault="006C73FD" w:rsidP="00A85FB6">
            <w:pPr>
              <w:spacing w:after="0" w:line="240" w:lineRule="auto"/>
              <w:jc w:val="center"/>
              <w:rPr>
                <w:rFonts w:cs="Arial"/>
                <w:sz w:val="20"/>
              </w:rPr>
            </w:pPr>
          </w:p>
          <w:p w:rsidR="006C73FD" w:rsidRPr="00A85FB6" w:rsidRDefault="006C73FD" w:rsidP="00A85FB6">
            <w:pPr>
              <w:spacing w:after="0" w:line="240" w:lineRule="auto"/>
              <w:jc w:val="center"/>
              <w:rPr>
                <w:rFonts w:cs="Arial"/>
                <w:sz w:val="20"/>
              </w:rPr>
            </w:pPr>
            <w:r w:rsidRPr="00A85FB6">
              <w:rPr>
                <w:rFonts w:cs="Arial"/>
                <w:sz w:val="20"/>
              </w:rPr>
              <w:t>+</w:t>
            </w:r>
          </w:p>
          <w:p w:rsidR="006C73FD" w:rsidRPr="00A85FB6" w:rsidRDefault="006C73FD" w:rsidP="00A85FB6">
            <w:pPr>
              <w:spacing w:after="0" w:line="240" w:lineRule="auto"/>
              <w:jc w:val="center"/>
              <w:rPr>
                <w:rFonts w:cs="Arial"/>
                <w:b/>
              </w:rPr>
            </w:pPr>
          </w:p>
          <w:p w:rsidR="006C73FD" w:rsidRPr="00A85FB6" w:rsidRDefault="006C73FD" w:rsidP="00A85FB6">
            <w:pPr>
              <w:spacing w:after="0" w:line="240" w:lineRule="auto"/>
              <w:jc w:val="center"/>
              <w:rPr>
                <w:rFonts w:cs="Arial"/>
                <w:b/>
                <w:szCs w:val="22"/>
              </w:rPr>
            </w:pPr>
            <w:r w:rsidRPr="00A85FB6">
              <w:rPr>
                <w:rFonts w:cs="Arial"/>
                <w:b/>
                <w:szCs w:val="22"/>
              </w:rPr>
              <w:t>+</w:t>
            </w:r>
          </w:p>
        </w:tc>
      </w:tr>
      <w:tr w:rsidR="006C73FD" w:rsidRPr="00A85FB6" w:rsidTr="00A85FB6">
        <w:tc>
          <w:tcPr>
            <w:tcW w:w="2689" w:type="dxa"/>
            <w:shd w:val="clear" w:color="auto" w:fill="auto"/>
          </w:tcPr>
          <w:p w:rsidR="006C73FD" w:rsidRPr="00A85FB6" w:rsidRDefault="006C73FD" w:rsidP="00A85FB6">
            <w:pPr>
              <w:spacing w:after="0" w:line="240" w:lineRule="auto"/>
              <w:jc w:val="both"/>
              <w:rPr>
                <w:rFonts w:cs="Arial"/>
                <w:sz w:val="20"/>
              </w:rPr>
            </w:pPr>
            <w:r w:rsidRPr="00A85FB6">
              <w:rPr>
                <w:rFonts w:cs="Arial"/>
                <w:sz w:val="20"/>
              </w:rPr>
              <w:t>Fiscal costs on Crown</w:t>
            </w:r>
          </w:p>
        </w:tc>
        <w:tc>
          <w:tcPr>
            <w:tcW w:w="4394" w:type="dxa"/>
            <w:shd w:val="clear" w:color="auto" w:fill="auto"/>
          </w:tcPr>
          <w:p w:rsidR="006C73FD" w:rsidRPr="00A85FB6" w:rsidRDefault="006C73FD" w:rsidP="00A85FB6">
            <w:pPr>
              <w:spacing w:after="0" w:line="240" w:lineRule="auto"/>
              <w:jc w:val="both"/>
              <w:rPr>
                <w:rFonts w:cs="Arial"/>
                <w:sz w:val="20"/>
              </w:rPr>
            </w:pPr>
            <w:r w:rsidRPr="00A85FB6">
              <w:rPr>
                <w:rFonts w:cs="Arial"/>
                <w:sz w:val="20"/>
              </w:rPr>
              <w:t>Development and implementation of new Act</w:t>
            </w:r>
          </w:p>
          <w:p w:rsidR="006C73FD" w:rsidRPr="00A85FB6" w:rsidRDefault="006C73FD" w:rsidP="00A85FB6">
            <w:pPr>
              <w:spacing w:after="0" w:line="240" w:lineRule="auto"/>
              <w:jc w:val="both"/>
              <w:rPr>
                <w:rFonts w:cs="Arial"/>
                <w:sz w:val="20"/>
              </w:rPr>
            </w:pPr>
            <w:r w:rsidRPr="00A85FB6">
              <w:rPr>
                <w:rFonts w:cs="Arial"/>
                <w:sz w:val="20"/>
              </w:rPr>
              <w:t>Devolution of powers</w:t>
            </w:r>
          </w:p>
          <w:p w:rsidR="006C73FD" w:rsidRPr="00A85FB6" w:rsidRDefault="006C73FD" w:rsidP="00A85FB6">
            <w:pPr>
              <w:spacing w:after="0" w:line="240" w:lineRule="auto"/>
              <w:jc w:val="both"/>
              <w:rPr>
                <w:rFonts w:cs="Arial"/>
                <w:sz w:val="20"/>
              </w:rPr>
            </w:pPr>
          </w:p>
          <w:p w:rsidR="006C73FD" w:rsidRPr="00A85FB6" w:rsidRDefault="00083846" w:rsidP="00A85FB6">
            <w:pPr>
              <w:spacing w:after="0" w:line="240" w:lineRule="auto"/>
              <w:jc w:val="both"/>
              <w:rPr>
                <w:rFonts w:cs="Arial"/>
                <w:sz w:val="20"/>
              </w:rPr>
            </w:pPr>
            <w:r>
              <w:rPr>
                <w:rFonts w:cs="Arial"/>
                <w:sz w:val="20"/>
              </w:rPr>
              <w:t>L</w:t>
            </w:r>
            <w:r w:rsidR="006C73FD" w:rsidRPr="00A85FB6">
              <w:rPr>
                <w:rFonts w:cs="Arial"/>
                <w:sz w:val="20"/>
              </w:rPr>
              <w:t>arger regulator</w:t>
            </w:r>
          </w:p>
          <w:p w:rsidR="006C73FD" w:rsidRPr="00A85FB6" w:rsidRDefault="006C73FD" w:rsidP="00A85FB6">
            <w:pPr>
              <w:spacing w:after="0" w:line="240" w:lineRule="auto"/>
              <w:jc w:val="both"/>
              <w:rPr>
                <w:rFonts w:cs="Arial"/>
                <w:sz w:val="20"/>
              </w:rPr>
            </w:pPr>
            <w:r w:rsidRPr="00A85FB6">
              <w:rPr>
                <w:rFonts w:cs="Arial"/>
                <w:sz w:val="20"/>
              </w:rPr>
              <w:t>More efficient regulator</w:t>
            </w:r>
          </w:p>
          <w:p w:rsidR="006C73FD" w:rsidRPr="00A85FB6" w:rsidRDefault="006C73FD" w:rsidP="00A85FB6">
            <w:pPr>
              <w:spacing w:after="0" w:line="240" w:lineRule="auto"/>
              <w:jc w:val="both"/>
              <w:rPr>
                <w:rFonts w:cs="Arial"/>
                <w:sz w:val="20"/>
              </w:rPr>
            </w:pPr>
          </w:p>
          <w:p w:rsidR="006C73FD" w:rsidRPr="00A85FB6" w:rsidRDefault="00083846" w:rsidP="00A85FB6">
            <w:pPr>
              <w:spacing w:after="0" w:line="240" w:lineRule="auto"/>
              <w:jc w:val="both"/>
              <w:rPr>
                <w:rFonts w:cs="Arial"/>
                <w:sz w:val="20"/>
              </w:rPr>
            </w:pPr>
            <w:r>
              <w:rPr>
                <w:rFonts w:cs="Arial"/>
                <w:sz w:val="20"/>
              </w:rPr>
              <w:t>B</w:t>
            </w:r>
            <w:r w:rsidR="006C73FD" w:rsidRPr="00A85FB6">
              <w:rPr>
                <w:rFonts w:cs="Arial"/>
                <w:sz w:val="20"/>
              </w:rPr>
              <w:t>etter health outcomes</w:t>
            </w:r>
          </w:p>
          <w:p w:rsidR="006C73FD" w:rsidRPr="00A85FB6" w:rsidRDefault="006C73FD" w:rsidP="00A85FB6">
            <w:pPr>
              <w:spacing w:after="0" w:line="240" w:lineRule="auto"/>
              <w:jc w:val="both"/>
              <w:rPr>
                <w:rFonts w:cs="Arial"/>
                <w:sz w:val="20"/>
              </w:rPr>
            </w:pPr>
          </w:p>
          <w:p w:rsidR="006C73FD" w:rsidRPr="00C34B30" w:rsidRDefault="006C73FD" w:rsidP="00A85FB6">
            <w:pPr>
              <w:spacing w:after="0" w:line="240" w:lineRule="auto"/>
              <w:jc w:val="both"/>
              <w:rPr>
                <w:rFonts w:cs="Arial"/>
                <w:b/>
                <w:sz w:val="20"/>
              </w:rPr>
            </w:pPr>
            <w:r w:rsidRPr="00A85FB6">
              <w:rPr>
                <w:rFonts w:cs="Arial"/>
                <w:b/>
              </w:rPr>
              <w:t xml:space="preserve">     </w:t>
            </w:r>
            <w:r w:rsidRPr="00A85FB6">
              <w:rPr>
                <w:rFonts w:cs="Arial"/>
                <w:b/>
                <w:sz w:val="20"/>
              </w:rPr>
              <w:t>Overall impact</w:t>
            </w:r>
          </w:p>
        </w:tc>
        <w:tc>
          <w:tcPr>
            <w:tcW w:w="1933" w:type="dxa"/>
            <w:shd w:val="clear" w:color="auto" w:fill="auto"/>
          </w:tcPr>
          <w:p w:rsidR="006C73FD" w:rsidRPr="00A85FB6" w:rsidRDefault="006C73FD" w:rsidP="00A85FB6">
            <w:pPr>
              <w:spacing w:after="0" w:line="240" w:lineRule="auto"/>
              <w:jc w:val="center"/>
              <w:rPr>
                <w:rFonts w:cs="Arial"/>
                <w:sz w:val="20"/>
              </w:rPr>
            </w:pPr>
            <w:r w:rsidRPr="00A85FB6">
              <w:rPr>
                <w:rFonts w:cs="Arial"/>
                <w:sz w:val="20"/>
              </w:rPr>
              <w:t>= / -</w:t>
            </w:r>
          </w:p>
          <w:p w:rsidR="006C73FD" w:rsidRPr="00A85FB6" w:rsidRDefault="006C73FD" w:rsidP="00A85FB6">
            <w:pPr>
              <w:spacing w:after="0" w:line="240" w:lineRule="auto"/>
              <w:jc w:val="center"/>
              <w:rPr>
                <w:rFonts w:cs="Arial"/>
                <w:sz w:val="20"/>
              </w:rPr>
            </w:pPr>
            <w:r w:rsidRPr="00A85FB6">
              <w:rPr>
                <w:rFonts w:cs="Arial"/>
                <w:sz w:val="20"/>
              </w:rPr>
              <w:t>= / +</w:t>
            </w:r>
          </w:p>
          <w:p w:rsidR="006C73FD" w:rsidRPr="00A85FB6" w:rsidRDefault="006C73FD" w:rsidP="00A85FB6">
            <w:pPr>
              <w:spacing w:after="0" w:line="240" w:lineRule="auto"/>
              <w:jc w:val="center"/>
              <w:rPr>
                <w:rFonts w:cs="Arial"/>
                <w:sz w:val="20"/>
              </w:rPr>
            </w:pPr>
          </w:p>
          <w:p w:rsidR="006C73FD" w:rsidRPr="00A85FB6" w:rsidRDefault="006C73FD" w:rsidP="00A85FB6">
            <w:pPr>
              <w:spacing w:after="0" w:line="240" w:lineRule="auto"/>
              <w:jc w:val="center"/>
              <w:rPr>
                <w:rFonts w:cs="Arial"/>
                <w:sz w:val="20"/>
              </w:rPr>
            </w:pPr>
            <w:r w:rsidRPr="00A85FB6">
              <w:rPr>
                <w:rFonts w:cs="Arial"/>
                <w:sz w:val="20"/>
              </w:rPr>
              <w:t>= / -</w:t>
            </w:r>
          </w:p>
          <w:p w:rsidR="006C73FD" w:rsidRPr="00A85FB6" w:rsidRDefault="006C73FD" w:rsidP="00A85FB6">
            <w:pPr>
              <w:spacing w:after="0" w:line="240" w:lineRule="auto"/>
              <w:jc w:val="center"/>
              <w:rPr>
                <w:rFonts w:cs="Arial"/>
                <w:sz w:val="20"/>
              </w:rPr>
            </w:pPr>
            <w:r w:rsidRPr="00A85FB6">
              <w:rPr>
                <w:rFonts w:cs="Arial"/>
                <w:sz w:val="20"/>
              </w:rPr>
              <w:t>= / +</w:t>
            </w:r>
          </w:p>
          <w:p w:rsidR="006C73FD" w:rsidRPr="00A85FB6" w:rsidRDefault="006C73FD" w:rsidP="00A85FB6">
            <w:pPr>
              <w:spacing w:after="0" w:line="240" w:lineRule="auto"/>
              <w:jc w:val="center"/>
              <w:rPr>
                <w:rFonts w:cs="Arial"/>
                <w:sz w:val="20"/>
              </w:rPr>
            </w:pPr>
          </w:p>
          <w:p w:rsidR="006C73FD" w:rsidRPr="00A85FB6" w:rsidRDefault="006C73FD" w:rsidP="00A85FB6">
            <w:pPr>
              <w:spacing w:after="0" w:line="240" w:lineRule="auto"/>
              <w:jc w:val="center"/>
              <w:rPr>
                <w:rFonts w:cs="Arial"/>
              </w:rPr>
            </w:pPr>
            <w:r w:rsidRPr="00A85FB6">
              <w:rPr>
                <w:rFonts w:cs="Arial"/>
              </w:rPr>
              <w:t>+</w:t>
            </w:r>
          </w:p>
          <w:p w:rsidR="006C73FD" w:rsidRPr="00A85FB6" w:rsidRDefault="006C73FD" w:rsidP="00A85FB6">
            <w:pPr>
              <w:spacing w:after="0" w:line="240" w:lineRule="auto"/>
              <w:jc w:val="center"/>
              <w:rPr>
                <w:rFonts w:cs="Arial"/>
                <w:b/>
              </w:rPr>
            </w:pPr>
          </w:p>
          <w:p w:rsidR="006C73FD" w:rsidRPr="00A85FB6" w:rsidRDefault="006C73FD" w:rsidP="00A85FB6">
            <w:pPr>
              <w:spacing w:after="0" w:line="240" w:lineRule="auto"/>
              <w:jc w:val="center"/>
              <w:rPr>
                <w:rFonts w:cs="Arial"/>
                <w:b/>
                <w:szCs w:val="22"/>
              </w:rPr>
            </w:pPr>
            <w:r w:rsidRPr="00A85FB6">
              <w:rPr>
                <w:rFonts w:cs="Arial"/>
                <w:b/>
                <w:szCs w:val="22"/>
              </w:rPr>
              <w:t>=</w:t>
            </w:r>
            <w:r w:rsidRPr="00A85FB6">
              <w:rPr>
                <w:rFonts w:cs="Arial"/>
                <w:b/>
              </w:rPr>
              <w:t xml:space="preserve"> / +</w:t>
            </w:r>
          </w:p>
        </w:tc>
      </w:tr>
    </w:tbl>
    <w:p w:rsidR="006C73FD" w:rsidRPr="006C73FD" w:rsidRDefault="006C73FD" w:rsidP="006C73FD">
      <w:pPr>
        <w:spacing w:after="0" w:line="240" w:lineRule="auto"/>
        <w:rPr>
          <w:rFonts w:cs="Arial"/>
        </w:rPr>
      </w:pPr>
    </w:p>
    <w:p w:rsidR="006C73FD" w:rsidRPr="006C73FD" w:rsidRDefault="006C73FD" w:rsidP="006C73FD">
      <w:pPr>
        <w:spacing w:after="0" w:line="240" w:lineRule="auto"/>
        <w:rPr>
          <w:rFonts w:cs="Arial"/>
        </w:rPr>
      </w:pPr>
      <w:r w:rsidRPr="006C73FD">
        <w:rPr>
          <w:rFonts w:cs="Arial"/>
        </w:rPr>
        <w:t>Key:</w:t>
      </w:r>
    </w:p>
    <w:p w:rsidR="006C73FD" w:rsidRPr="006C73FD" w:rsidRDefault="006C73FD" w:rsidP="006C73FD">
      <w:pPr>
        <w:spacing w:after="0" w:line="240" w:lineRule="auto"/>
        <w:rPr>
          <w:rFonts w:cs="Arial"/>
        </w:rPr>
      </w:pP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472"/>
        <w:gridCol w:w="1472"/>
        <w:gridCol w:w="883"/>
        <w:gridCol w:w="1228"/>
        <w:gridCol w:w="1228"/>
        <w:gridCol w:w="1228"/>
      </w:tblGrid>
      <w:tr w:rsidR="00F011BE" w:rsidRPr="00A85FB6" w:rsidTr="00F011BE">
        <w:tc>
          <w:tcPr>
            <w:tcW w:w="819" w:type="pct"/>
            <w:shd w:val="clear" w:color="auto" w:fill="DEEAF6"/>
          </w:tcPr>
          <w:p w:rsidR="00F011BE" w:rsidRPr="00A85FB6" w:rsidRDefault="00F011BE" w:rsidP="00F011BE">
            <w:pPr>
              <w:spacing w:after="0" w:line="240" w:lineRule="auto"/>
              <w:jc w:val="center"/>
              <w:rPr>
                <w:rFonts w:cs="Arial"/>
                <w:b/>
                <w:sz w:val="20"/>
              </w:rPr>
            </w:pPr>
            <w:r w:rsidRPr="00A85FB6">
              <w:rPr>
                <w:rFonts w:cs="Arial"/>
                <w:b/>
                <w:sz w:val="20"/>
              </w:rPr>
              <w:t>very unfavourable</w:t>
            </w:r>
          </w:p>
        </w:tc>
        <w:tc>
          <w:tcPr>
            <w:tcW w:w="819" w:type="pct"/>
            <w:shd w:val="clear" w:color="auto" w:fill="DEEAF6"/>
          </w:tcPr>
          <w:p w:rsidR="00F011BE" w:rsidRPr="00A85FB6" w:rsidRDefault="00F011BE" w:rsidP="00F011BE">
            <w:pPr>
              <w:spacing w:after="0" w:line="240" w:lineRule="auto"/>
              <w:jc w:val="center"/>
              <w:rPr>
                <w:rFonts w:cs="Arial"/>
                <w:b/>
                <w:sz w:val="20"/>
              </w:rPr>
            </w:pPr>
            <w:r w:rsidRPr="00A85FB6">
              <w:rPr>
                <w:rFonts w:cs="Arial"/>
                <w:b/>
                <w:sz w:val="20"/>
              </w:rPr>
              <w:t>unfavourable</w:t>
            </w:r>
          </w:p>
        </w:tc>
        <w:tc>
          <w:tcPr>
            <w:tcW w:w="819" w:type="pct"/>
            <w:shd w:val="clear" w:color="auto" w:fill="DEEAF6"/>
          </w:tcPr>
          <w:p w:rsidR="00F011BE" w:rsidRPr="00A85FB6" w:rsidRDefault="00F011BE" w:rsidP="00F011BE">
            <w:pPr>
              <w:spacing w:after="0" w:line="240" w:lineRule="auto"/>
              <w:jc w:val="center"/>
              <w:rPr>
                <w:rFonts w:cs="Arial"/>
                <w:b/>
                <w:sz w:val="20"/>
              </w:rPr>
            </w:pPr>
            <w:r w:rsidRPr="00A85FB6">
              <w:rPr>
                <w:rFonts w:cs="Arial"/>
                <w:b/>
                <w:sz w:val="20"/>
              </w:rPr>
              <w:t>slightly unfavourable</w:t>
            </w:r>
          </w:p>
        </w:tc>
        <w:tc>
          <w:tcPr>
            <w:tcW w:w="491" w:type="pct"/>
            <w:shd w:val="clear" w:color="auto" w:fill="DEEAF6"/>
          </w:tcPr>
          <w:p w:rsidR="00F011BE" w:rsidRPr="00A85FB6" w:rsidRDefault="00F011BE" w:rsidP="00F011BE">
            <w:pPr>
              <w:spacing w:after="0" w:line="240" w:lineRule="auto"/>
              <w:jc w:val="center"/>
              <w:rPr>
                <w:rFonts w:cs="Arial"/>
                <w:b/>
                <w:sz w:val="20"/>
              </w:rPr>
            </w:pPr>
            <w:r w:rsidRPr="00A85FB6">
              <w:rPr>
                <w:rFonts w:cs="Arial"/>
                <w:b/>
                <w:sz w:val="20"/>
              </w:rPr>
              <w:t>neutral impact</w:t>
            </w:r>
          </w:p>
        </w:tc>
        <w:tc>
          <w:tcPr>
            <w:tcW w:w="684" w:type="pct"/>
            <w:shd w:val="clear" w:color="auto" w:fill="DEEAF6"/>
          </w:tcPr>
          <w:p w:rsidR="00F011BE" w:rsidRPr="00A85FB6" w:rsidRDefault="00F011BE" w:rsidP="00F011BE">
            <w:pPr>
              <w:spacing w:after="0" w:line="240" w:lineRule="auto"/>
              <w:jc w:val="center"/>
              <w:rPr>
                <w:rFonts w:cs="Arial"/>
                <w:b/>
                <w:sz w:val="20"/>
              </w:rPr>
            </w:pPr>
            <w:r w:rsidRPr="00A85FB6">
              <w:rPr>
                <w:rFonts w:cs="Arial"/>
                <w:b/>
                <w:sz w:val="20"/>
              </w:rPr>
              <w:t>slightly favourable</w:t>
            </w:r>
          </w:p>
        </w:tc>
        <w:tc>
          <w:tcPr>
            <w:tcW w:w="684" w:type="pct"/>
            <w:shd w:val="clear" w:color="auto" w:fill="DEEAF6"/>
          </w:tcPr>
          <w:p w:rsidR="00F011BE" w:rsidRPr="00A85FB6" w:rsidRDefault="00F011BE" w:rsidP="00F011BE">
            <w:pPr>
              <w:spacing w:after="0" w:line="240" w:lineRule="auto"/>
              <w:jc w:val="center"/>
              <w:rPr>
                <w:rFonts w:cs="Arial"/>
                <w:b/>
                <w:sz w:val="20"/>
              </w:rPr>
            </w:pPr>
            <w:r w:rsidRPr="00A85FB6">
              <w:rPr>
                <w:rFonts w:cs="Arial"/>
                <w:b/>
                <w:sz w:val="20"/>
              </w:rPr>
              <w:t>favourable</w:t>
            </w:r>
          </w:p>
        </w:tc>
        <w:tc>
          <w:tcPr>
            <w:tcW w:w="684" w:type="pct"/>
            <w:shd w:val="clear" w:color="auto" w:fill="DEEAF6"/>
          </w:tcPr>
          <w:p w:rsidR="00F011BE" w:rsidRPr="00A85FB6" w:rsidRDefault="00F011BE" w:rsidP="00F011BE">
            <w:pPr>
              <w:spacing w:after="0" w:line="240" w:lineRule="auto"/>
              <w:jc w:val="center"/>
              <w:rPr>
                <w:rFonts w:cs="Arial"/>
                <w:b/>
                <w:sz w:val="20"/>
              </w:rPr>
            </w:pPr>
            <w:r w:rsidRPr="00A85FB6">
              <w:rPr>
                <w:rFonts w:cs="Arial"/>
                <w:b/>
                <w:sz w:val="20"/>
              </w:rPr>
              <w:t>very favourable</w:t>
            </w:r>
          </w:p>
        </w:tc>
      </w:tr>
      <w:tr w:rsidR="00F011BE" w:rsidRPr="00A85FB6" w:rsidTr="00F011BE">
        <w:tc>
          <w:tcPr>
            <w:tcW w:w="819" w:type="pct"/>
          </w:tcPr>
          <w:p w:rsidR="00F011BE" w:rsidRPr="00A85FB6" w:rsidRDefault="00F011BE" w:rsidP="00F011BE">
            <w:pPr>
              <w:spacing w:after="0" w:line="240" w:lineRule="auto"/>
              <w:jc w:val="center"/>
              <w:rPr>
                <w:rFonts w:cs="Arial"/>
                <w:b/>
                <w:sz w:val="24"/>
                <w:szCs w:val="24"/>
              </w:rPr>
            </w:pPr>
            <w:r w:rsidRPr="00A85FB6">
              <w:rPr>
                <w:rFonts w:cs="Arial"/>
                <w:b/>
                <w:sz w:val="24"/>
                <w:szCs w:val="24"/>
              </w:rPr>
              <w:t>- -</w:t>
            </w:r>
          </w:p>
        </w:tc>
        <w:tc>
          <w:tcPr>
            <w:tcW w:w="819" w:type="pct"/>
          </w:tcPr>
          <w:p w:rsidR="00F011BE" w:rsidRPr="00A85FB6" w:rsidRDefault="00F011BE" w:rsidP="00F011BE">
            <w:pPr>
              <w:spacing w:after="0" w:line="240" w:lineRule="auto"/>
              <w:jc w:val="center"/>
              <w:rPr>
                <w:rFonts w:cs="Arial"/>
                <w:b/>
                <w:sz w:val="24"/>
                <w:szCs w:val="24"/>
              </w:rPr>
            </w:pPr>
            <w:r w:rsidRPr="00A85FB6">
              <w:rPr>
                <w:rFonts w:cs="Arial"/>
                <w:b/>
                <w:sz w:val="24"/>
                <w:szCs w:val="24"/>
              </w:rPr>
              <w:t>-</w:t>
            </w:r>
          </w:p>
        </w:tc>
        <w:tc>
          <w:tcPr>
            <w:tcW w:w="819" w:type="pct"/>
          </w:tcPr>
          <w:p w:rsidR="00F011BE" w:rsidRPr="00A85FB6" w:rsidRDefault="00F011BE" w:rsidP="00F011BE">
            <w:pPr>
              <w:spacing w:after="0" w:line="240" w:lineRule="auto"/>
              <w:jc w:val="center"/>
              <w:rPr>
                <w:rFonts w:cs="Arial"/>
                <w:b/>
                <w:sz w:val="24"/>
                <w:szCs w:val="24"/>
              </w:rPr>
            </w:pPr>
            <w:r w:rsidRPr="00A85FB6">
              <w:rPr>
                <w:rFonts w:cs="Arial"/>
                <w:b/>
                <w:sz w:val="24"/>
                <w:szCs w:val="24"/>
              </w:rPr>
              <w:t>= / -</w:t>
            </w:r>
          </w:p>
        </w:tc>
        <w:tc>
          <w:tcPr>
            <w:tcW w:w="491" w:type="pct"/>
            <w:shd w:val="clear" w:color="auto" w:fill="auto"/>
          </w:tcPr>
          <w:p w:rsidR="00F011BE" w:rsidRPr="00A85FB6" w:rsidRDefault="00F011BE" w:rsidP="00F011BE">
            <w:pPr>
              <w:spacing w:after="0" w:line="240" w:lineRule="auto"/>
              <w:jc w:val="center"/>
              <w:rPr>
                <w:rFonts w:cs="Arial"/>
                <w:b/>
                <w:sz w:val="24"/>
                <w:szCs w:val="24"/>
              </w:rPr>
            </w:pPr>
            <w:r w:rsidRPr="00A85FB6">
              <w:rPr>
                <w:rFonts w:cs="Arial"/>
                <w:b/>
                <w:sz w:val="24"/>
                <w:szCs w:val="24"/>
              </w:rPr>
              <w:t>=</w:t>
            </w:r>
          </w:p>
        </w:tc>
        <w:tc>
          <w:tcPr>
            <w:tcW w:w="684" w:type="pct"/>
            <w:shd w:val="clear" w:color="auto" w:fill="auto"/>
          </w:tcPr>
          <w:p w:rsidR="00F011BE" w:rsidRPr="00A85FB6" w:rsidRDefault="00F011BE" w:rsidP="00F011BE">
            <w:pPr>
              <w:spacing w:after="0" w:line="240" w:lineRule="auto"/>
              <w:jc w:val="center"/>
              <w:rPr>
                <w:rFonts w:cs="Arial"/>
                <w:b/>
                <w:sz w:val="24"/>
                <w:szCs w:val="24"/>
              </w:rPr>
            </w:pPr>
            <w:r w:rsidRPr="00A85FB6">
              <w:rPr>
                <w:rFonts w:cs="Arial"/>
                <w:b/>
                <w:sz w:val="24"/>
                <w:szCs w:val="24"/>
              </w:rPr>
              <w:t>= /+</w:t>
            </w:r>
          </w:p>
        </w:tc>
        <w:tc>
          <w:tcPr>
            <w:tcW w:w="684" w:type="pct"/>
            <w:shd w:val="clear" w:color="auto" w:fill="auto"/>
          </w:tcPr>
          <w:p w:rsidR="00F011BE" w:rsidRPr="00A85FB6" w:rsidRDefault="00F011BE" w:rsidP="00F011BE">
            <w:pPr>
              <w:spacing w:after="0" w:line="240" w:lineRule="auto"/>
              <w:jc w:val="center"/>
              <w:rPr>
                <w:rFonts w:cs="Arial"/>
                <w:b/>
                <w:sz w:val="24"/>
                <w:szCs w:val="24"/>
              </w:rPr>
            </w:pPr>
            <w:r w:rsidRPr="00A85FB6">
              <w:rPr>
                <w:rFonts w:cs="Arial"/>
                <w:b/>
                <w:sz w:val="24"/>
                <w:szCs w:val="24"/>
              </w:rPr>
              <w:t>+</w:t>
            </w:r>
          </w:p>
        </w:tc>
        <w:tc>
          <w:tcPr>
            <w:tcW w:w="684" w:type="pct"/>
            <w:shd w:val="clear" w:color="auto" w:fill="auto"/>
          </w:tcPr>
          <w:p w:rsidR="00F011BE" w:rsidRPr="00A85FB6" w:rsidRDefault="00F011BE" w:rsidP="00F011BE">
            <w:pPr>
              <w:spacing w:after="0" w:line="240" w:lineRule="auto"/>
              <w:jc w:val="center"/>
              <w:rPr>
                <w:rFonts w:cs="Arial"/>
                <w:b/>
                <w:sz w:val="24"/>
                <w:szCs w:val="24"/>
              </w:rPr>
            </w:pPr>
            <w:r w:rsidRPr="00A85FB6">
              <w:rPr>
                <w:rFonts w:cs="Arial"/>
                <w:b/>
                <w:sz w:val="24"/>
                <w:szCs w:val="24"/>
              </w:rPr>
              <w:t>++</w:t>
            </w:r>
          </w:p>
        </w:tc>
      </w:tr>
    </w:tbl>
    <w:p w:rsidR="006C73FD" w:rsidRDefault="006C73FD" w:rsidP="006C73FD">
      <w:pPr>
        <w:spacing w:after="0" w:line="240" w:lineRule="auto"/>
        <w:rPr>
          <w:b/>
        </w:rPr>
      </w:pPr>
    </w:p>
    <w:p w:rsidR="00E440A3" w:rsidRDefault="00E440A3" w:rsidP="007317A6">
      <w:pPr>
        <w:spacing w:after="0" w:line="240" w:lineRule="auto"/>
        <w:rPr>
          <w:b/>
        </w:rPr>
      </w:pPr>
    </w:p>
    <w:p w:rsidR="007317A6" w:rsidRDefault="000E054D" w:rsidP="00AC1201">
      <w:pPr>
        <w:pStyle w:val="Heading3"/>
      </w:pPr>
      <w:r>
        <w:t xml:space="preserve">Part D: Further points on </w:t>
      </w:r>
      <w:r w:rsidR="00D1110C">
        <w:t>approaches and impacts</w:t>
      </w:r>
    </w:p>
    <w:p w:rsidR="007317A6" w:rsidRDefault="007317A6" w:rsidP="007317A6">
      <w:pPr>
        <w:spacing w:after="0" w:line="240" w:lineRule="auto"/>
        <w:rPr>
          <w:rFonts w:cs="Arial"/>
          <w:b/>
        </w:rPr>
      </w:pPr>
    </w:p>
    <w:p w:rsidR="008B03C9" w:rsidRDefault="008B03C9" w:rsidP="00E440A3">
      <w:pPr>
        <w:pStyle w:val="BodyText"/>
      </w:pPr>
      <w:r>
        <w:t xml:space="preserve">A key challenge is to minimise compliance and other costs while still ensuring the regulatory regime is effective.  </w:t>
      </w:r>
      <w:r w:rsidR="00805A9D">
        <w:t>I</w:t>
      </w:r>
      <w:r>
        <w:t xml:space="preserve">t is useful to highlight some </w:t>
      </w:r>
      <w:r w:rsidR="00805A9D">
        <w:t xml:space="preserve">contextual points and indicative impacts </w:t>
      </w:r>
      <w:r>
        <w:t xml:space="preserve">in relation to medical devices – the main area where compliance costs are expected to increase.  </w:t>
      </w:r>
    </w:p>
    <w:p w:rsidR="008B03C9" w:rsidRDefault="008B03C9" w:rsidP="00AC1201">
      <w:pPr>
        <w:pStyle w:val="Heading4"/>
        <w:spacing w:after="240"/>
      </w:pPr>
      <w:r>
        <w:t xml:space="preserve">Regulation of </w:t>
      </w:r>
      <w:r w:rsidRPr="00622E17">
        <w:t>medical devices</w:t>
      </w:r>
      <w:r>
        <w:t xml:space="preserve"> </w:t>
      </w:r>
    </w:p>
    <w:p w:rsidR="008B03C9" w:rsidRDefault="008B03C9" w:rsidP="00E440A3">
      <w:pPr>
        <w:pStyle w:val="BodyText"/>
      </w:pPr>
      <w:r w:rsidRPr="00072FA5">
        <w:t>Medical devices is the main product area where compliance costs can be expected to increase under the proposed new regime.  There are two reasons for this:</w:t>
      </w:r>
    </w:p>
    <w:p w:rsidR="008B03C9" w:rsidRDefault="008B03C9" w:rsidP="00E440A3">
      <w:pPr>
        <w:pStyle w:val="BodyText2"/>
      </w:pPr>
      <w:proofErr w:type="gramStart"/>
      <w:r>
        <w:t>increased</w:t>
      </w:r>
      <w:proofErr w:type="gramEnd"/>
      <w:r>
        <w:t xml:space="preserve"> regulatory requirements for medical devices. </w:t>
      </w:r>
      <w:r w:rsidRPr="001A727F">
        <w:t xml:space="preserve">Medical devices are subject only to a notification process at present </w:t>
      </w:r>
      <w:r>
        <w:t xml:space="preserve">irrespective of the level of risk </w:t>
      </w:r>
      <w:r w:rsidRPr="001A727F">
        <w:t>(which provides pr</w:t>
      </w:r>
      <w:r>
        <w:t>oduct and contact information); they are not subject to an a</w:t>
      </w:r>
      <w:r w:rsidR="008961FC">
        <w:t>pproval process of any kind</w:t>
      </w:r>
    </w:p>
    <w:p w:rsidR="008B03C9" w:rsidRPr="001A727F" w:rsidRDefault="008B03C9" w:rsidP="00E440A3">
      <w:pPr>
        <w:pStyle w:val="BodyText2"/>
      </w:pPr>
      <w:proofErr w:type="gramStart"/>
      <w:r>
        <w:t>more</w:t>
      </w:r>
      <w:proofErr w:type="gramEnd"/>
      <w:r>
        <w:t xml:space="preserve"> consistent application of cost recovery for private or industry goods in accordance with public sector cost recovery principles.  </w:t>
      </w:r>
      <w:r w:rsidRPr="001A727F">
        <w:t xml:space="preserve">There is no cost-recovery at present </w:t>
      </w:r>
      <w:r>
        <w:t>(</w:t>
      </w:r>
      <w:proofErr w:type="spellStart"/>
      <w:r>
        <w:t>ie</w:t>
      </w:r>
      <w:proofErr w:type="spellEnd"/>
      <w:r>
        <w:t>, of the costs of operating the WAND database and of monitoring medical devices in the market)</w:t>
      </w:r>
      <w:r w:rsidR="008961FC">
        <w:t>.</w:t>
      </w:r>
    </w:p>
    <w:p w:rsidR="008B03C9" w:rsidRDefault="008B03C9" w:rsidP="00E440A3">
      <w:pPr>
        <w:pStyle w:val="BodyText"/>
      </w:pPr>
      <w:r w:rsidRPr="00072FA5">
        <w:t>Of products currently notified to the WAND database, approximately:</w:t>
      </w:r>
    </w:p>
    <w:p w:rsidR="008B03C9" w:rsidRDefault="008B03C9" w:rsidP="00E440A3">
      <w:pPr>
        <w:pStyle w:val="BodyText2"/>
      </w:pPr>
      <w:r>
        <w:t>50% are class I or low-risk (</w:t>
      </w:r>
      <w:proofErr w:type="spellStart"/>
      <w:r>
        <w:t>eg</w:t>
      </w:r>
      <w:proofErr w:type="spellEnd"/>
      <w:r>
        <w:t>, r</w:t>
      </w:r>
      <w:r w:rsidR="008961FC">
        <w:t>e-usable surgical instruments)</w:t>
      </w:r>
    </w:p>
    <w:p w:rsidR="008B03C9" w:rsidRDefault="008B03C9" w:rsidP="00E440A3">
      <w:pPr>
        <w:pStyle w:val="BodyText2"/>
      </w:pPr>
      <w:r>
        <w:t>40% are class II or medium ris</w:t>
      </w:r>
      <w:r w:rsidR="008961FC">
        <w:t>k (</w:t>
      </w:r>
      <w:proofErr w:type="spellStart"/>
      <w:r w:rsidR="008961FC">
        <w:t>eg</w:t>
      </w:r>
      <w:proofErr w:type="spellEnd"/>
      <w:r w:rsidR="008961FC">
        <w:t>, hypodermic needles)</w:t>
      </w:r>
    </w:p>
    <w:p w:rsidR="008B03C9" w:rsidRDefault="008B03C9" w:rsidP="00E440A3">
      <w:pPr>
        <w:pStyle w:val="BodyText2"/>
      </w:pPr>
      <w:r>
        <w:t>10% are Class III or high risk (</w:t>
      </w:r>
      <w:proofErr w:type="spellStart"/>
      <w:r>
        <w:t>eg</w:t>
      </w:r>
      <w:proofErr w:type="spellEnd"/>
      <w:r>
        <w:t>, drug eluting cardiac stents, implantable pacemaker).</w:t>
      </w:r>
    </w:p>
    <w:p w:rsidR="008B03C9" w:rsidRDefault="008B03C9" w:rsidP="00E440A3">
      <w:pPr>
        <w:pStyle w:val="BodyText"/>
      </w:pPr>
      <w:r w:rsidRPr="00072FA5">
        <w:t xml:space="preserve">The </w:t>
      </w:r>
      <w:r>
        <w:t xml:space="preserve">intended </w:t>
      </w:r>
      <w:r w:rsidRPr="00072FA5">
        <w:t>regulatory approach for medical devices will be risk-appropriate and likely focus on conformity assessment. This means that costs should be low or moderate for most products:</w:t>
      </w:r>
    </w:p>
    <w:p w:rsidR="008B03C9" w:rsidRDefault="008B03C9" w:rsidP="00E440A3">
      <w:pPr>
        <w:pStyle w:val="BodyText2"/>
      </w:pPr>
      <w:r>
        <w:t>As noted, 90% of products are low or medium risk and the regulatory approach will reflect this.</w:t>
      </w:r>
    </w:p>
    <w:p w:rsidR="008B03C9" w:rsidRPr="00B117EB" w:rsidRDefault="008B03C9" w:rsidP="00E440A3">
      <w:pPr>
        <w:pStyle w:val="BodyText2"/>
      </w:pPr>
      <w:r w:rsidRPr="00B117EB">
        <w:t xml:space="preserve">For </w:t>
      </w:r>
      <w:r>
        <w:t xml:space="preserve">higher risk and generally more </w:t>
      </w:r>
      <w:r w:rsidRPr="00B117EB">
        <w:t>complex products, the significant majority will</w:t>
      </w:r>
      <w:r>
        <w:t xml:space="preserve"> be expected to have </w:t>
      </w:r>
      <w:r w:rsidRPr="00B117EB">
        <w:t xml:space="preserve">some form of conformity </w:t>
      </w:r>
      <w:r>
        <w:t xml:space="preserve">or similar </w:t>
      </w:r>
      <w:r w:rsidRPr="00B117EB">
        <w:t xml:space="preserve">assessment </w:t>
      </w:r>
      <w:r>
        <w:t>(</w:t>
      </w:r>
      <w:proofErr w:type="spellStart"/>
      <w:r>
        <w:t>eg</w:t>
      </w:r>
      <w:proofErr w:type="spellEnd"/>
      <w:r>
        <w:t xml:space="preserve">, </w:t>
      </w:r>
      <w:r w:rsidRPr="00B117EB">
        <w:t>by a regulator or conformity assessment body</w:t>
      </w:r>
      <w:r>
        <w:t>)</w:t>
      </w:r>
      <w:r w:rsidRPr="00B117EB">
        <w:t>.</w:t>
      </w:r>
    </w:p>
    <w:p w:rsidR="008B03C9" w:rsidRPr="001A727F" w:rsidRDefault="008B03C9" w:rsidP="00E440A3">
      <w:pPr>
        <w:pStyle w:val="BodyText2"/>
      </w:pPr>
      <w:r w:rsidRPr="001A727F">
        <w:t xml:space="preserve">The costs of obtaining an independent </w:t>
      </w:r>
      <w:r>
        <w:t xml:space="preserve">conformity assessment </w:t>
      </w:r>
      <w:r w:rsidRPr="001A727F">
        <w:t xml:space="preserve">would generally be regarded as part of the normal costs of </w:t>
      </w:r>
      <w:r w:rsidR="00BE66D4">
        <w:t>developing a product for market, and is required in many other markets (</w:t>
      </w:r>
      <w:proofErr w:type="spellStart"/>
      <w:r w:rsidR="00BE66D4">
        <w:t>eg</w:t>
      </w:r>
      <w:proofErr w:type="spellEnd"/>
      <w:r w:rsidR="00BE66D4">
        <w:t xml:space="preserve">, Fisher &amp; </w:t>
      </w:r>
      <w:proofErr w:type="spellStart"/>
      <w:r w:rsidR="00BE66D4">
        <w:t>Paykel</w:t>
      </w:r>
      <w:proofErr w:type="spellEnd"/>
      <w:r w:rsidR="00BE66D4">
        <w:t xml:space="preserve"> meet the EU requirements).  </w:t>
      </w:r>
      <w:r w:rsidRPr="001A727F">
        <w:t>Users of the product require such an assurance, especially where it is high cost and is used for complex and risky procedures. The interests of the regulator and the interests of the users of the products are very closely aligned.</w:t>
      </w:r>
      <w:r>
        <w:t xml:space="preserve"> Thus, in this respect any regulatory impost over and above what users require should be minimal.</w:t>
      </w:r>
    </w:p>
    <w:p w:rsidR="008B03C9" w:rsidRPr="00072FA5" w:rsidRDefault="008B03C9" w:rsidP="0027386C">
      <w:pPr>
        <w:pStyle w:val="BodyText"/>
      </w:pPr>
      <w:r w:rsidRPr="00072FA5">
        <w:t>The additional regulatory costs for Medsafe from medical devices regulation will depend on the number of additional FTE staff members required.</w:t>
      </w:r>
      <w:r w:rsidR="00063BBF">
        <w:t xml:space="preserve">  </w:t>
      </w:r>
      <w:r w:rsidRPr="00072FA5">
        <w:t>On a fully-allocated cost basis (</w:t>
      </w:r>
      <w:proofErr w:type="spellStart"/>
      <w:r w:rsidRPr="00072FA5">
        <w:t>ie</w:t>
      </w:r>
      <w:proofErr w:type="spellEnd"/>
      <w:r w:rsidRPr="00072FA5">
        <w:t>, including overheads), the annual staff cost for Medsafe is around $200,000 per FTE.</w:t>
      </w:r>
      <w:r w:rsidR="00B02BD0">
        <w:t xml:space="preserve">  </w:t>
      </w:r>
      <w:r>
        <w:t>It is unclear, however, at this stage how many additional staff will be required.</w:t>
      </w:r>
    </w:p>
    <w:p w:rsidR="008B03C9" w:rsidRPr="00242430" w:rsidRDefault="008B03C9" w:rsidP="00AC1201">
      <w:pPr>
        <w:pStyle w:val="Heading4"/>
      </w:pPr>
      <w:r>
        <w:t xml:space="preserve">New </w:t>
      </w:r>
      <w:r w:rsidRPr="00242430">
        <w:t>PHARMAC role: medical devices</w:t>
      </w:r>
    </w:p>
    <w:p w:rsidR="00063BBF" w:rsidRDefault="00063BBF" w:rsidP="00063BBF">
      <w:pPr>
        <w:spacing w:after="0" w:line="240" w:lineRule="auto"/>
        <w:rPr>
          <w:rFonts w:cs="Arial"/>
        </w:rPr>
      </w:pPr>
    </w:p>
    <w:p w:rsidR="008B03C9" w:rsidRDefault="008B03C9" w:rsidP="00E440A3">
      <w:pPr>
        <w:pStyle w:val="BodyText"/>
      </w:pPr>
      <w:r w:rsidRPr="00072FA5">
        <w:t xml:space="preserve">PHARMAC also has a new role in relation to </w:t>
      </w:r>
      <w:r w:rsidR="0019737E">
        <w:t>medical devices</w:t>
      </w:r>
      <w:r w:rsidRPr="00072FA5">
        <w:t xml:space="preserve">, and this will need to be taken into account in developing the preferred regulatory approach. </w:t>
      </w:r>
    </w:p>
    <w:p w:rsidR="008B03C9" w:rsidRPr="00072FA5" w:rsidRDefault="008B03C9" w:rsidP="00E440A3">
      <w:pPr>
        <w:pStyle w:val="BodyText"/>
      </w:pPr>
      <w:r w:rsidRPr="00072FA5">
        <w:t xml:space="preserve">In 2012 the Government agreed that PHARMAC should take on the management of hospital medical devices.  District health boards spend about $1 billion a year on medical devices, and in the recent past costs have been rising faster than economic growth. </w:t>
      </w:r>
    </w:p>
    <w:p w:rsidR="008B03C9" w:rsidRPr="00072FA5" w:rsidRDefault="008B03C9" w:rsidP="00E440A3">
      <w:pPr>
        <w:pStyle w:val="BodyText"/>
      </w:pPr>
      <w:r w:rsidRPr="00072FA5">
        <w:t>PHARMAC’s aim is national consistency in access to treatment, greater transparency in decision making, and improved cost-effectiveness of public spending.  In particular, the work involves putting in place national contracts for items already used in New Zealand.  These contracts are optional for DHBs, but offer savings benefits if they switch or increase their mix of better value brands.</w:t>
      </w:r>
      <w:r w:rsidR="005A73AE">
        <w:t xml:space="preserve">  The range of products and the number of supplies will also probably</w:t>
      </w:r>
      <w:r w:rsidR="00FB3E2F">
        <w:t xml:space="preserve"> narrow as a consequence.</w:t>
      </w:r>
    </w:p>
    <w:p w:rsidR="008B03C9" w:rsidRPr="00072FA5" w:rsidRDefault="008B03C9" w:rsidP="00E440A3">
      <w:pPr>
        <w:pStyle w:val="BodyText"/>
      </w:pPr>
      <w:r w:rsidRPr="00072FA5">
        <w:t>In relation to the safety and quality of devices, PHARMAC is still working through how these factors should feature in its decision making process</w:t>
      </w:r>
      <w:r w:rsidR="004B2AD5">
        <w:t xml:space="preserve">, although </w:t>
      </w:r>
      <w:r w:rsidRPr="00072FA5">
        <w:t xml:space="preserve">DHBs will remain responsible for assuring themselves of the quality and safety of individual devices. </w:t>
      </w:r>
      <w:r w:rsidR="0019737E">
        <w:t>An enhanced ability to regulate medical devices b</w:t>
      </w:r>
      <w:r w:rsidR="004B2AD5">
        <w:t>y Medsafe will therefore</w:t>
      </w:r>
      <w:r w:rsidR="0019737E">
        <w:t xml:space="preserve"> provide more information about safety and quality of devices to inform PHARMAC and DHB decisions.</w:t>
      </w:r>
    </w:p>
    <w:p w:rsidR="008961FC" w:rsidRDefault="008961FC" w:rsidP="00AC1201">
      <w:bookmarkStart w:id="58" w:name="_Toc244580366"/>
      <w:bookmarkStart w:id="59" w:name="_Toc244587042"/>
      <w:bookmarkStart w:id="60" w:name="_Toc244857276"/>
      <w:bookmarkStart w:id="61" w:name="_Toc244912541"/>
      <w:bookmarkStart w:id="62" w:name="_Toc244916998"/>
      <w:bookmarkStart w:id="63" w:name="_Toc362368107"/>
      <w:bookmarkStart w:id="64" w:name="_Toc362434948"/>
      <w:bookmarkStart w:id="65" w:name="_Toc362589334"/>
      <w:bookmarkStart w:id="66" w:name="_Toc362619034"/>
      <w:bookmarkStart w:id="67" w:name="_Toc362940598"/>
      <w:bookmarkStart w:id="68" w:name="_Toc363047106"/>
    </w:p>
    <w:p w:rsidR="008D5CD9" w:rsidRPr="00082653" w:rsidRDefault="00AC1201" w:rsidP="006C73FD">
      <w:pPr>
        <w:pStyle w:val="Heading2"/>
        <w:ind w:left="0" w:firstLine="0"/>
      </w:pPr>
      <w:r>
        <w:br w:type="page"/>
      </w:r>
      <w:r w:rsidR="008D5CD9" w:rsidRPr="00082653">
        <w:t>Consultation</w:t>
      </w:r>
      <w:bookmarkEnd w:id="58"/>
      <w:bookmarkEnd w:id="59"/>
      <w:bookmarkEnd w:id="60"/>
      <w:bookmarkEnd w:id="61"/>
      <w:bookmarkEnd w:id="62"/>
      <w:bookmarkEnd w:id="63"/>
      <w:bookmarkEnd w:id="64"/>
      <w:bookmarkEnd w:id="65"/>
      <w:bookmarkEnd w:id="66"/>
      <w:bookmarkEnd w:id="67"/>
      <w:bookmarkEnd w:id="68"/>
    </w:p>
    <w:p w:rsidR="00233682" w:rsidRDefault="00713B18" w:rsidP="00AC1201">
      <w:pPr>
        <w:pStyle w:val="Heading3"/>
        <w:spacing w:after="240"/>
      </w:pPr>
      <w:r>
        <w:t>Health s</w:t>
      </w:r>
      <w:r w:rsidR="00B515CF" w:rsidRPr="00B515CF">
        <w:t xml:space="preserve">ector and industry </w:t>
      </w:r>
    </w:p>
    <w:p w:rsidR="001B78BA" w:rsidRPr="00063BBF" w:rsidRDefault="001B78BA" w:rsidP="00B85C02">
      <w:pPr>
        <w:pStyle w:val="BodyText"/>
      </w:pPr>
      <w:r w:rsidRPr="00063BBF">
        <w:t>There are a significant number of organisations and groups (50 plus) from the public, private and non-profit sectors with an interest the therapeutic product regulation.</w:t>
      </w:r>
    </w:p>
    <w:p w:rsidR="00BE54DB" w:rsidRPr="00063BBF" w:rsidRDefault="00585C80" w:rsidP="00B85C02">
      <w:pPr>
        <w:pStyle w:val="BodyText"/>
      </w:pPr>
      <w:r w:rsidRPr="00063BBF">
        <w:t>A</w:t>
      </w:r>
      <w:r w:rsidR="001B78BA" w:rsidRPr="00063BBF">
        <w:t xml:space="preserve"> range of consultations </w:t>
      </w:r>
      <w:r w:rsidRPr="00063BBF">
        <w:t xml:space="preserve">with these groups have taken place </w:t>
      </w:r>
      <w:r w:rsidR="001B78BA" w:rsidRPr="00063BBF">
        <w:t>over the course of the last 10 years in relation to the ANZTPA process</w:t>
      </w:r>
      <w:r w:rsidR="00BE54DB" w:rsidRPr="00063BBF">
        <w:t>, and more recently there has been ongoing contact and regular discussions with some groups on selected issues.</w:t>
      </w:r>
    </w:p>
    <w:p w:rsidR="00585C80" w:rsidRPr="00063BBF" w:rsidRDefault="00585C80" w:rsidP="00B85C02">
      <w:pPr>
        <w:pStyle w:val="BodyText"/>
      </w:pPr>
      <w:r w:rsidRPr="00063BBF">
        <w:t xml:space="preserve">The </w:t>
      </w:r>
      <w:r w:rsidR="00C310CF" w:rsidRPr="00063BBF">
        <w:t xml:space="preserve">main general concerns </w:t>
      </w:r>
      <w:r w:rsidRPr="00063BBF">
        <w:t xml:space="preserve">of industry groups </w:t>
      </w:r>
      <w:r w:rsidR="00C310CF" w:rsidRPr="00063BBF">
        <w:t xml:space="preserve">relate to the detail of the regulatory requirements and </w:t>
      </w:r>
      <w:r w:rsidRPr="00063BBF">
        <w:t>compliance costs</w:t>
      </w:r>
      <w:r w:rsidR="00C310CF" w:rsidRPr="00063BBF">
        <w:t xml:space="preserve"> (including cost recovery by the regulator).</w:t>
      </w:r>
      <w:r w:rsidRPr="00063BBF">
        <w:t xml:space="preserve"> </w:t>
      </w:r>
      <w:r w:rsidR="00350A74">
        <w:t xml:space="preserve"> The main concerns of health professionals relate to prescribing practice and pharmacy control.</w:t>
      </w:r>
    </w:p>
    <w:p w:rsidR="00233682" w:rsidRDefault="00BE54DB" w:rsidP="00B85C02">
      <w:pPr>
        <w:pStyle w:val="BodyText"/>
      </w:pPr>
      <w:r w:rsidRPr="00063BBF">
        <w:t xml:space="preserve">There has not been sector-wide consultation on the </w:t>
      </w:r>
      <w:r w:rsidR="00585C80" w:rsidRPr="00063BBF">
        <w:t xml:space="preserve">specific </w:t>
      </w:r>
      <w:r w:rsidRPr="00063BBF">
        <w:t xml:space="preserve">set of proposals currently </w:t>
      </w:r>
      <w:r w:rsidR="00585C80" w:rsidRPr="00063BBF">
        <w:t>under consideration</w:t>
      </w:r>
      <w:r w:rsidR="00585C80">
        <w:t>.</w:t>
      </w:r>
      <w:r>
        <w:t xml:space="preserve"> </w:t>
      </w:r>
      <w:r w:rsidR="00585C80">
        <w:t>The reason</w:t>
      </w:r>
      <w:r w:rsidR="00B515CF">
        <w:t>s for this are:</w:t>
      </w:r>
    </w:p>
    <w:p w:rsidR="00BE54DB" w:rsidRDefault="00585C80" w:rsidP="00B85C02">
      <w:pPr>
        <w:pStyle w:val="BodyText2"/>
      </w:pPr>
      <w:r>
        <w:t>it will be more efficient to consult on the exposure draft of the bill</w:t>
      </w:r>
      <w:r w:rsidR="00B515CF">
        <w:t xml:space="preserve"> </w:t>
      </w:r>
      <w:r w:rsidR="00713B18">
        <w:t xml:space="preserve">as </w:t>
      </w:r>
      <w:r w:rsidR="00B515CF">
        <w:t>that will provide the necessary detail for informed a</w:t>
      </w:r>
      <w:r w:rsidR="00DF63D4">
        <w:t>nd comprehensive engagement</w:t>
      </w:r>
    </w:p>
    <w:p w:rsidR="00B515CF" w:rsidRDefault="00B515CF" w:rsidP="00B85C02">
      <w:pPr>
        <w:pStyle w:val="BodyText2"/>
      </w:pPr>
      <w:r>
        <w:t xml:space="preserve">ANZTPA </w:t>
      </w:r>
      <w:r w:rsidR="00C84187">
        <w:t xml:space="preserve">and more recent </w:t>
      </w:r>
      <w:r>
        <w:t>consultations have covered similar ground with respect to the major design elements of the regime (</w:t>
      </w:r>
      <w:proofErr w:type="spellStart"/>
      <w:r>
        <w:t>eg</w:t>
      </w:r>
      <w:proofErr w:type="spellEnd"/>
      <w:r>
        <w:t>, streamlined legislation, broader product coverage, more risk-appropriate approach, more flexible processes).</w:t>
      </w:r>
    </w:p>
    <w:p w:rsidR="00713B18" w:rsidRPr="00713B18" w:rsidRDefault="00713B18" w:rsidP="00AC1201">
      <w:pPr>
        <w:pStyle w:val="Heading3"/>
      </w:pPr>
      <w:r w:rsidRPr="00713B18">
        <w:t>Government agencies</w:t>
      </w:r>
    </w:p>
    <w:p w:rsidR="00233682" w:rsidRDefault="00233682" w:rsidP="00233682">
      <w:pPr>
        <w:pStyle w:val="Bullet-list"/>
        <w:numPr>
          <w:ilvl w:val="0"/>
          <w:numId w:val="0"/>
        </w:numPr>
        <w:spacing w:after="0" w:line="240" w:lineRule="auto"/>
      </w:pPr>
    </w:p>
    <w:p w:rsidR="001B78BA" w:rsidRDefault="00C57DAE" w:rsidP="00B85C02">
      <w:pPr>
        <w:pStyle w:val="BodyText"/>
      </w:pPr>
      <w:r w:rsidRPr="00063BBF">
        <w:rPr>
          <w:rFonts w:cs="Arial"/>
        </w:rPr>
        <w:t>G</w:t>
      </w:r>
      <w:r w:rsidR="001B78BA" w:rsidRPr="00063BBF">
        <w:rPr>
          <w:rFonts w:cs="Arial"/>
        </w:rPr>
        <w:t>overnment</w:t>
      </w:r>
      <w:r w:rsidR="001B78BA">
        <w:t xml:space="preserve"> agencies with an interest</w:t>
      </w:r>
      <w:r>
        <w:t xml:space="preserve"> </w:t>
      </w:r>
      <w:r w:rsidR="001B78BA">
        <w:t>have been consulted on the proposals contained in the Cabinet papers</w:t>
      </w:r>
      <w:r w:rsidR="003C77AD">
        <w:t xml:space="preserve">. Some technical considerations were </w:t>
      </w:r>
      <w:r w:rsidR="001B78BA">
        <w:t xml:space="preserve">raised during the course of </w:t>
      </w:r>
      <w:r>
        <w:t xml:space="preserve">discussions, </w:t>
      </w:r>
      <w:r w:rsidR="003C77AD">
        <w:t>but no major issues.</w:t>
      </w:r>
      <w:r w:rsidR="001B78BA">
        <w:t xml:space="preserve"> </w:t>
      </w:r>
    </w:p>
    <w:p w:rsidR="008D5CD9" w:rsidRPr="00082653" w:rsidRDefault="008D5CD9" w:rsidP="004B4B2B">
      <w:pPr>
        <w:pStyle w:val="Heading2"/>
        <w:spacing w:before="0"/>
      </w:pPr>
      <w:bookmarkStart w:id="69" w:name="_Preferred_option_[optional]"/>
      <w:bookmarkStart w:id="70" w:name="_Toc244580367"/>
      <w:bookmarkStart w:id="71" w:name="_Toc244587043"/>
      <w:bookmarkStart w:id="72" w:name="_Toc244857277"/>
      <w:bookmarkStart w:id="73" w:name="_Toc244912542"/>
      <w:bookmarkStart w:id="74" w:name="_Toc244916999"/>
      <w:bookmarkStart w:id="75" w:name="_Toc362368108"/>
      <w:bookmarkStart w:id="76" w:name="_Toc362434949"/>
      <w:bookmarkStart w:id="77" w:name="_Toc362589335"/>
      <w:bookmarkStart w:id="78" w:name="_Toc362619035"/>
      <w:bookmarkStart w:id="79" w:name="_Toc362940599"/>
      <w:bookmarkStart w:id="80" w:name="_Toc363047107"/>
      <w:bookmarkEnd w:id="69"/>
      <w:r>
        <w:t>Conclusions and recommendation</w:t>
      </w:r>
      <w:bookmarkEnd w:id="70"/>
      <w:bookmarkEnd w:id="71"/>
      <w:bookmarkEnd w:id="72"/>
      <w:bookmarkEnd w:id="73"/>
      <w:bookmarkEnd w:id="74"/>
      <w:bookmarkEnd w:id="75"/>
      <w:bookmarkEnd w:id="76"/>
      <w:bookmarkEnd w:id="77"/>
      <w:bookmarkEnd w:id="78"/>
      <w:bookmarkEnd w:id="79"/>
      <w:bookmarkEnd w:id="80"/>
      <w:r w:rsidR="007A122C">
        <w:t>s</w:t>
      </w:r>
    </w:p>
    <w:p w:rsidR="00216B9F" w:rsidRDefault="00216B9F" w:rsidP="00216B9F">
      <w:pPr>
        <w:pStyle w:val="BodyText"/>
      </w:pPr>
      <w:bookmarkStart w:id="81" w:name="_Toc244580368"/>
      <w:bookmarkStart w:id="82" w:name="_Toc244587044"/>
      <w:bookmarkStart w:id="83" w:name="_Toc244857278"/>
      <w:bookmarkStart w:id="84" w:name="_Toc244912543"/>
      <w:bookmarkStart w:id="85" w:name="_Toc244917000"/>
      <w:bookmarkStart w:id="86" w:name="_Toc362368109"/>
      <w:bookmarkStart w:id="87" w:name="_Toc362434950"/>
      <w:bookmarkStart w:id="88" w:name="_Toc362589336"/>
      <w:bookmarkStart w:id="89" w:name="_Toc362619036"/>
      <w:bookmarkStart w:id="90" w:name="_Toc362940600"/>
      <w:bookmarkStart w:id="91" w:name="_Toc363047108"/>
      <w:r>
        <w:t>The key conclusions from the analysis of options</w:t>
      </w:r>
      <w:r w:rsidR="00D62E61">
        <w:t>,</w:t>
      </w:r>
      <w:r>
        <w:t xml:space="preserve"> and the recommended approach</w:t>
      </w:r>
      <w:r w:rsidR="00D62E61">
        <w:t>,</w:t>
      </w:r>
      <w:r>
        <w:t xml:space="preserve"> may be summarised as follows:</w:t>
      </w:r>
    </w:p>
    <w:p w:rsidR="00216B9F" w:rsidRDefault="00216B9F" w:rsidP="00216B9F">
      <w:pPr>
        <w:pStyle w:val="BodyText2"/>
      </w:pPr>
      <w:r>
        <w:t>New Zealand should continue to regulate therapeutic products and related activities in order to maximise the benefits of such products and activities relative to the risks.</w:t>
      </w:r>
    </w:p>
    <w:p w:rsidR="00216B9F" w:rsidRDefault="00216B9F" w:rsidP="00216B9F">
      <w:pPr>
        <w:pStyle w:val="BodyText2"/>
      </w:pPr>
      <w:r>
        <w:t>It is timely to address two overarching problems with current regulation:</w:t>
      </w:r>
    </w:p>
    <w:p w:rsidR="00216B9F" w:rsidRDefault="00216B9F" w:rsidP="00216B9F">
      <w:pPr>
        <w:pStyle w:val="BodyText3"/>
      </w:pPr>
      <w:r>
        <w:t>t</w:t>
      </w:r>
      <w:r w:rsidRPr="00B96F59">
        <w:t>he legislative frame</w:t>
      </w:r>
      <w:r>
        <w:t>work, whi</w:t>
      </w:r>
      <w:r w:rsidR="008961FC">
        <w:t>ch is now unfit for purpose</w:t>
      </w:r>
    </w:p>
    <w:p w:rsidR="00216B9F" w:rsidRDefault="00216B9F" w:rsidP="00216B9F">
      <w:pPr>
        <w:pStyle w:val="BodyText3"/>
      </w:pPr>
      <w:proofErr w:type="gramStart"/>
      <w:r>
        <w:t>gaps</w:t>
      </w:r>
      <w:proofErr w:type="gramEnd"/>
      <w:r>
        <w:t xml:space="preserve"> and deficiencies in the policy settings, which increase the risks of adverse health outcomes (</w:t>
      </w:r>
      <w:proofErr w:type="spellStart"/>
      <w:r>
        <w:t>eg</w:t>
      </w:r>
      <w:proofErr w:type="spellEnd"/>
      <w:r>
        <w:t>, especially in relation to medical devices and cell and tissue therap</w:t>
      </w:r>
      <w:r w:rsidR="005A7DB4">
        <w:t>ies</w:t>
      </w:r>
      <w:r>
        <w:t xml:space="preserve">). </w:t>
      </w:r>
    </w:p>
    <w:p w:rsidR="005A7DB4" w:rsidRDefault="00216B9F" w:rsidP="005A7DB4">
      <w:pPr>
        <w:pStyle w:val="BodyText2"/>
      </w:pPr>
      <w:r>
        <w:t>The legislative framework problem may be best addressed by ensuring that product and licensing decisions shou</w:t>
      </w:r>
      <w:r w:rsidR="005A7DB4">
        <w:t>ld be devolved to the regulator, supported by a clear and principled legislative mandate with robust accountability for the regulator’s organisational performance and its regulatory decisions.</w:t>
      </w:r>
    </w:p>
    <w:p w:rsidR="00216B9F" w:rsidRDefault="00216B9F" w:rsidP="00216B9F">
      <w:pPr>
        <w:pStyle w:val="BodyText2"/>
      </w:pPr>
      <w:r>
        <w:t>Policy settings should be strengthened by bringing all therapeutic products within the scope of regulation and</w:t>
      </w:r>
      <w:r w:rsidR="008961FC">
        <w:t xml:space="preserve"> by adopting</w:t>
      </w:r>
      <w:r>
        <w:t>:</w:t>
      </w:r>
    </w:p>
    <w:p w:rsidR="00216B9F" w:rsidRDefault="00216B9F" w:rsidP="00216B9F">
      <w:pPr>
        <w:pStyle w:val="BodyText3"/>
      </w:pPr>
      <w:r>
        <w:t>a comprehensive life-cycle approach, meaning all of the stages of a product or activity are considered f</w:t>
      </w:r>
      <w:r w:rsidR="008961FC">
        <w:t>or risk management purposes</w:t>
      </w:r>
    </w:p>
    <w:p w:rsidR="00216B9F" w:rsidRDefault="00216B9F" w:rsidP="00216B9F">
      <w:pPr>
        <w:pStyle w:val="BodyText3"/>
      </w:pPr>
      <w:proofErr w:type="gramStart"/>
      <w:r>
        <w:t>a</w:t>
      </w:r>
      <w:proofErr w:type="gramEnd"/>
      <w:r>
        <w:t xml:space="preserve"> risk appropriate approach, meaning that regulatory scrutiny and the information and assurance required should be proportionate to the risks involved. </w:t>
      </w:r>
    </w:p>
    <w:p w:rsidR="00216B9F" w:rsidRDefault="00216B9F" w:rsidP="00216B9F">
      <w:pPr>
        <w:pStyle w:val="BodyText2"/>
      </w:pPr>
      <w:r>
        <w:t xml:space="preserve">The powers of the regulator should be updated to ensure it is able to </w:t>
      </w:r>
      <w:r w:rsidR="005624B3">
        <w:t xml:space="preserve">determine requirements and to impose and modify conditions on approval and licensing decisions, </w:t>
      </w:r>
      <w:r>
        <w:t xml:space="preserve">obtain information, and to take enforcement action, which is reasonable and necessary for effective regulation, </w:t>
      </w:r>
      <w:r w:rsidR="005624B3">
        <w:t xml:space="preserve">supported by </w:t>
      </w:r>
      <w:r>
        <w:t xml:space="preserve">updated </w:t>
      </w:r>
      <w:r w:rsidR="005624B3">
        <w:t xml:space="preserve">enforcement powers together with </w:t>
      </w:r>
      <w:r>
        <w:t>sanctions and penalties for non-compliance.</w:t>
      </w:r>
    </w:p>
    <w:p w:rsidR="00216B9F" w:rsidRDefault="00216B9F" w:rsidP="00216B9F">
      <w:pPr>
        <w:pStyle w:val="BodyText"/>
      </w:pPr>
      <w:r>
        <w:t xml:space="preserve">The above </w:t>
      </w:r>
      <w:r w:rsidR="001D02B5">
        <w:t>conclusions support the ap</w:t>
      </w:r>
      <w:r>
        <w:t xml:space="preserve">proach </w:t>
      </w:r>
      <w:r w:rsidR="00395D86">
        <w:t xml:space="preserve">recommended by the Minister of Health </w:t>
      </w:r>
      <w:r w:rsidR="005A7371">
        <w:t xml:space="preserve">in the two </w:t>
      </w:r>
      <w:r w:rsidR="00395D86">
        <w:t>Cabinet papers</w:t>
      </w:r>
      <w:r w:rsidR="005A7371">
        <w:t xml:space="preserve">: </w:t>
      </w:r>
      <w:r>
        <w:t>Therapeutic Products Regulation: Paper 1 –</w:t>
      </w:r>
      <w:r w:rsidR="005A7371">
        <w:t xml:space="preserve"> </w:t>
      </w:r>
      <w:r>
        <w:t>Context and Overview; and Paper 2 – Proposals for a Therapeutic Products Bill.</w:t>
      </w:r>
    </w:p>
    <w:p w:rsidR="00395D86" w:rsidRPr="00395D86" w:rsidRDefault="00395D86" w:rsidP="00216B9F">
      <w:pPr>
        <w:pStyle w:val="BodyText"/>
      </w:pPr>
      <w:r>
        <w:rPr>
          <w:rFonts w:cs="Arial"/>
        </w:rPr>
        <w:t xml:space="preserve">Given the significant development work still to be undertaken, there are limitations on the extent to which the impacts of the proposals can be assessed quantitatively. On the basis of the framework and building blocks proposed, however, the </w:t>
      </w:r>
      <w:r w:rsidR="00216B9F">
        <w:rPr>
          <w:rFonts w:cs="Arial"/>
        </w:rPr>
        <w:t>implications long term</w:t>
      </w:r>
      <w:r>
        <w:rPr>
          <w:rFonts w:cs="Arial"/>
        </w:rPr>
        <w:t xml:space="preserve"> </w:t>
      </w:r>
      <w:r w:rsidR="00216B9F">
        <w:rPr>
          <w:rFonts w:cs="Arial"/>
        </w:rPr>
        <w:t xml:space="preserve">are predicted to involve: </w:t>
      </w:r>
    </w:p>
    <w:p w:rsidR="00395D86" w:rsidRPr="00395D86" w:rsidRDefault="00216B9F" w:rsidP="00395D86">
      <w:pPr>
        <w:pStyle w:val="BodyText2"/>
        <w:rPr>
          <w:rFonts w:cs="Times New Roman"/>
        </w:rPr>
      </w:pPr>
      <w:r>
        <w:t>moderate increases in compliance costs for some parts of the regulated industry (mostly notably for</w:t>
      </w:r>
      <w:r w:rsidR="008961FC">
        <w:t xml:space="preserve"> the newly regulated products)</w:t>
      </w:r>
    </w:p>
    <w:p w:rsidR="00395D86" w:rsidRPr="00395D86" w:rsidRDefault="00216B9F" w:rsidP="00395D86">
      <w:pPr>
        <w:pStyle w:val="BodyText2"/>
        <w:rPr>
          <w:rFonts w:cs="Times New Roman"/>
        </w:rPr>
      </w:pPr>
      <w:r>
        <w:t>positive impacts on the management of therapeutic product risk, and on product availab</w:t>
      </w:r>
      <w:r w:rsidR="008961FC">
        <w:t>ility and possibly pricing</w:t>
      </w:r>
    </w:p>
    <w:p w:rsidR="00216B9F" w:rsidRDefault="00216B9F" w:rsidP="00395D86">
      <w:pPr>
        <w:pStyle w:val="BodyText2"/>
      </w:pPr>
      <w:proofErr w:type="gramStart"/>
      <w:r>
        <w:t>a</w:t>
      </w:r>
      <w:proofErr w:type="gramEnd"/>
      <w:r>
        <w:t xml:space="preserve"> </w:t>
      </w:r>
      <w:r w:rsidR="00395D86">
        <w:t xml:space="preserve">potentially </w:t>
      </w:r>
      <w:r>
        <w:t>positive impact fiscally for the Crown from the effects of product availability and risk management on the wider health budget and economy</w:t>
      </w:r>
      <w:r w:rsidR="00395D86">
        <w:t>.</w:t>
      </w:r>
    </w:p>
    <w:p w:rsidR="005A7371" w:rsidRPr="005A7371" w:rsidRDefault="005A7371" w:rsidP="00216B9F">
      <w:pPr>
        <w:pStyle w:val="BodyText"/>
      </w:pPr>
      <w:r>
        <w:rPr>
          <w:rFonts w:cs="Arial"/>
          <w:lang w:val="en-NZ"/>
        </w:rPr>
        <w:t>T</w:t>
      </w:r>
      <w:r w:rsidR="00216B9F">
        <w:rPr>
          <w:rFonts w:cs="Arial"/>
          <w:lang w:val="en-NZ"/>
        </w:rPr>
        <w:t>he overall approach represented by the preferred options for the new regime</w:t>
      </w:r>
      <w:r>
        <w:rPr>
          <w:rFonts w:cs="Arial"/>
          <w:lang w:val="en-NZ"/>
        </w:rPr>
        <w:t xml:space="preserve"> has been informed by: </w:t>
      </w:r>
    </w:p>
    <w:p w:rsidR="005A7371" w:rsidRPr="005A7371" w:rsidRDefault="00216B9F" w:rsidP="005A7371">
      <w:pPr>
        <w:pStyle w:val="BodyText2"/>
        <w:rPr>
          <w:rFonts w:cs="Times New Roman"/>
          <w:lang w:val="en-AU"/>
        </w:rPr>
      </w:pPr>
      <w:r>
        <w:rPr>
          <w:lang w:val="en-NZ"/>
        </w:rPr>
        <w:t>a long-standing appreciation of the key prob</w:t>
      </w:r>
      <w:r w:rsidR="008961FC">
        <w:rPr>
          <w:lang w:val="en-NZ"/>
        </w:rPr>
        <w:t>lems that need to be addressed</w:t>
      </w:r>
    </w:p>
    <w:p w:rsidR="005A7371" w:rsidRPr="005A7371" w:rsidRDefault="00216B9F" w:rsidP="005A7371">
      <w:pPr>
        <w:pStyle w:val="BodyText2"/>
        <w:rPr>
          <w:rFonts w:cs="Times New Roman"/>
          <w:lang w:val="en-AU"/>
        </w:rPr>
      </w:pPr>
      <w:r>
        <w:rPr>
          <w:lang w:val="en-NZ"/>
        </w:rPr>
        <w:t>a</w:t>
      </w:r>
      <w:r w:rsidR="008961FC">
        <w:rPr>
          <w:lang w:val="en-NZ"/>
        </w:rPr>
        <w:t>ccepted international practice</w:t>
      </w:r>
    </w:p>
    <w:p w:rsidR="005A7371" w:rsidRPr="005A7371" w:rsidRDefault="00216B9F" w:rsidP="005A7371">
      <w:pPr>
        <w:pStyle w:val="BodyText2"/>
        <w:rPr>
          <w:rFonts w:cs="Times New Roman"/>
          <w:lang w:val="en-AU"/>
        </w:rPr>
      </w:pPr>
      <w:r>
        <w:rPr>
          <w:lang w:val="en-NZ"/>
        </w:rPr>
        <w:t>current public sector standards for legisla</w:t>
      </w:r>
      <w:r w:rsidR="008961FC">
        <w:rPr>
          <w:lang w:val="en-NZ"/>
        </w:rPr>
        <w:t>tive and regulatory design</w:t>
      </w:r>
    </w:p>
    <w:p w:rsidR="00216B9F" w:rsidRDefault="00216B9F" w:rsidP="005A7371">
      <w:pPr>
        <w:pStyle w:val="BodyText2"/>
      </w:pPr>
      <w:proofErr w:type="gramStart"/>
      <w:r>
        <w:rPr>
          <w:lang w:val="en-NZ"/>
        </w:rPr>
        <w:t>a</w:t>
      </w:r>
      <w:proofErr w:type="gramEnd"/>
      <w:r>
        <w:rPr>
          <w:lang w:val="en-NZ"/>
        </w:rPr>
        <w:t xml:space="preserve"> measured timetable for development</w:t>
      </w:r>
      <w:r w:rsidR="00D62E61">
        <w:rPr>
          <w:lang w:val="en-NZ"/>
        </w:rPr>
        <w:t xml:space="preserve">, consultation, decision making, </w:t>
      </w:r>
      <w:r>
        <w:rPr>
          <w:lang w:val="en-NZ"/>
        </w:rPr>
        <w:t>and implementation.</w:t>
      </w:r>
    </w:p>
    <w:p w:rsidR="008D5CD9" w:rsidRPr="00082653" w:rsidRDefault="008D5CD9" w:rsidP="0002693D">
      <w:pPr>
        <w:pStyle w:val="Heading2"/>
      </w:pPr>
      <w:r w:rsidRPr="00082653">
        <w:t>Implementation</w:t>
      </w:r>
      <w:bookmarkEnd w:id="81"/>
      <w:bookmarkEnd w:id="82"/>
      <w:bookmarkEnd w:id="83"/>
      <w:bookmarkEnd w:id="84"/>
      <w:bookmarkEnd w:id="85"/>
      <w:r>
        <w:t xml:space="preserve"> plan</w:t>
      </w:r>
      <w:bookmarkEnd w:id="86"/>
      <w:bookmarkEnd w:id="87"/>
      <w:bookmarkEnd w:id="88"/>
      <w:bookmarkEnd w:id="89"/>
      <w:bookmarkEnd w:id="90"/>
      <w:bookmarkEnd w:id="91"/>
    </w:p>
    <w:p w:rsidR="00632D75" w:rsidRPr="00632D75" w:rsidRDefault="00632D75" w:rsidP="00AC1201">
      <w:pPr>
        <w:pStyle w:val="Heading3"/>
      </w:pPr>
      <w:r w:rsidRPr="00632D75">
        <w:t>Key considerations</w:t>
      </w:r>
    </w:p>
    <w:p w:rsidR="00233682" w:rsidRDefault="00233682" w:rsidP="00233682">
      <w:pPr>
        <w:pStyle w:val="Bullet-list"/>
        <w:numPr>
          <w:ilvl w:val="0"/>
          <w:numId w:val="0"/>
        </w:numPr>
        <w:spacing w:after="0" w:line="240" w:lineRule="auto"/>
        <w:ind w:left="284" w:hanging="284"/>
      </w:pPr>
    </w:p>
    <w:p w:rsidR="00233682" w:rsidRDefault="003F0F95" w:rsidP="00B85C02">
      <w:pPr>
        <w:pStyle w:val="BodyText"/>
      </w:pPr>
      <w:r w:rsidRPr="00B85C02">
        <w:rPr>
          <w:rFonts w:cs="Arial"/>
        </w:rPr>
        <w:t>The</w:t>
      </w:r>
      <w:r>
        <w:t xml:space="preserve"> implementation plan</w:t>
      </w:r>
      <w:r w:rsidR="008F6AE8">
        <w:t xml:space="preserve"> needs to consider:</w:t>
      </w:r>
    </w:p>
    <w:p w:rsidR="000E7D95" w:rsidRPr="00951D9B" w:rsidRDefault="008F6AE8" w:rsidP="008961FC">
      <w:pPr>
        <w:pStyle w:val="BodyText2"/>
        <w:spacing w:after="0"/>
      </w:pPr>
      <w:r>
        <w:t xml:space="preserve">how </w:t>
      </w:r>
      <w:r w:rsidR="000E7D95" w:rsidRPr="00951D9B">
        <w:t>implementation risks will be being mitigated</w:t>
      </w:r>
    </w:p>
    <w:p w:rsidR="000E7D95" w:rsidRPr="00951D9B" w:rsidRDefault="008F6AE8" w:rsidP="008961FC">
      <w:pPr>
        <w:pStyle w:val="BodyText2"/>
        <w:spacing w:after="0"/>
      </w:pPr>
      <w:r>
        <w:t xml:space="preserve">how </w:t>
      </w:r>
      <w:r w:rsidR="000E7D95" w:rsidRPr="00951D9B">
        <w:t>compliance costs</w:t>
      </w:r>
      <w:r>
        <w:t xml:space="preserve"> will be minimi</w:t>
      </w:r>
      <w:r w:rsidR="008961FC">
        <w:t>sed</w:t>
      </w:r>
    </w:p>
    <w:p w:rsidR="008F6AE8" w:rsidRDefault="00F6649E" w:rsidP="008961FC">
      <w:pPr>
        <w:pStyle w:val="BodyText2"/>
        <w:spacing w:after="0"/>
      </w:pPr>
      <w:r>
        <w:t xml:space="preserve">the </w:t>
      </w:r>
      <w:r w:rsidR="008F6AE8">
        <w:t>scope fo</w:t>
      </w:r>
      <w:r w:rsidR="008961FC">
        <w:t>r reducing existing regulations</w:t>
      </w:r>
    </w:p>
    <w:p w:rsidR="008F6AE8" w:rsidRDefault="008F6AE8" w:rsidP="008961FC">
      <w:pPr>
        <w:pStyle w:val="BodyText2"/>
        <w:spacing w:after="0"/>
      </w:pPr>
      <w:proofErr w:type="gramStart"/>
      <w:r>
        <w:t>enforcement</w:t>
      </w:r>
      <w:proofErr w:type="gramEnd"/>
      <w:r w:rsidR="00F6649E">
        <w:t>.</w:t>
      </w:r>
    </w:p>
    <w:p w:rsidR="00D551A4" w:rsidRPr="00063BBF" w:rsidRDefault="00D551A4" w:rsidP="00B85C02">
      <w:pPr>
        <w:pStyle w:val="BodyText"/>
      </w:pPr>
      <w:r w:rsidRPr="00063BBF">
        <w:t xml:space="preserve">As highlighted above, </w:t>
      </w:r>
      <w:r w:rsidR="000E7D95" w:rsidRPr="00063BBF">
        <w:t xml:space="preserve">the </w:t>
      </w:r>
      <w:r w:rsidRPr="00063BBF">
        <w:t xml:space="preserve">preferred approach for design of the new regulatory regime will eventually involve the wholescale replacement of the </w:t>
      </w:r>
      <w:r w:rsidR="003C77AD" w:rsidRPr="00063BBF">
        <w:t xml:space="preserve">Medicines </w:t>
      </w:r>
      <w:r w:rsidRPr="00063BBF">
        <w:t>Act and regulations by a new Act</w:t>
      </w:r>
      <w:r w:rsidR="00F6649E" w:rsidRPr="00063BBF">
        <w:t xml:space="preserve"> and </w:t>
      </w:r>
      <w:r w:rsidRPr="00063BBF">
        <w:t>regulations together with tertiary instruments developed by the regulator.</w:t>
      </w:r>
    </w:p>
    <w:p w:rsidR="000E7D95" w:rsidRPr="00063BBF" w:rsidRDefault="00D551A4" w:rsidP="00B85C02">
      <w:pPr>
        <w:pStyle w:val="BodyText"/>
      </w:pPr>
      <w:r w:rsidRPr="00063BBF">
        <w:t>Upgraded enforcement provisions (</w:t>
      </w:r>
      <w:proofErr w:type="spellStart"/>
      <w:r w:rsidRPr="00063BBF">
        <w:t>eg</w:t>
      </w:r>
      <w:proofErr w:type="spellEnd"/>
      <w:r w:rsidRPr="00063BBF">
        <w:t>, revised</w:t>
      </w:r>
      <w:r w:rsidR="008F6AE8" w:rsidRPr="00063BBF">
        <w:t xml:space="preserve"> offence and penalty provisions) will help to ensure </w:t>
      </w:r>
      <w:r w:rsidRPr="00063BBF">
        <w:t xml:space="preserve">that </w:t>
      </w:r>
      <w:r w:rsidR="000E7D95" w:rsidRPr="00063BBF">
        <w:t>the preferred option achieves its public policy objectives.</w:t>
      </w:r>
    </w:p>
    <w:p w:rsidR="008F6AE8" w:rsidRPr="00082653" w:rsidRDefault="008F6AE8" w:rsidP="00B85C02">
      <w:pPr>
        <w:pStyle w:val="BodyText"/>
      </w:pPr>
      <w:r w:rsidRPr="00063BBF">
        <w:rPr>
          <w:rFonts w:cs="Arial"/>
        </w:rPr>
        <w:t>In terms</w:t>
      </w:r>
      <w:r>
        <w:t xml:space="preserve"> of mitigating implementation risk, and minimising compliance costs, the implementation plan adopts a staged approach </w:t>
      </w:r>
      <w:r w:rsidR="00536D69">
        <w:t xml:space="preserve">for </w:t>
      </w:r>
      <w:r>
        <w:t>address</w:t>
      </w:r>
      <w:r w:rsidR="00536D69">
        <w:t xml:space="preserve">ing these </w:t>
      </w:r>
      <w:r w:rsidR="00F6649E">
        <w:t>objectives</w:t>
      </w:r>
      <w:r w:rsidR="00536D69">
        <w:t>.</w:t>
      </w:r>
    </w:p>
    <w:p w:rsidR="001E1F8D" w:rsidRPr="00D81CB2" w:rsidRDefault="00D551A4" w:rsidP="00AC1201">
      <w:pPr>
        <w:pStyle w:val="Heading3"/>
      </w:pPr>
      <w:r>
        <w:t>Approach to implementation</w:t>
      </w:r>
      <w:r w:rsidR="00CB45E0">
        <w:t xml:space="preserve"> </w:t>
      </w:r>
    </w:p>
    <w:p w:rsidR="00233682" w:rsidRDefault="00233682" w:rsidP="00233682">
      <w:pPr>
        <w:pStyle w:val="Bullet-list"/>
        <w:numPr>
          <w:ilvl w:val="0"/>
          <w:numId w:val="0"/>
        </w:numPr>
        <w:spacing w:after="0" w:line="240" w:lineRule="auto"/>
      </w:pPr>
    </w:p>
    <w:p w:rsidR="001E1F8D" w:rsidRDefault="004504FD" w:rsidP="00B85C02">
      <w:pPr>
        <w:pStyle w:val="BodyText"/>
      </w:pPr>
      <w:r w:rsidRPr="00063BBF">
        <w:rPr>
          <w:rFonts w:cs="Arial"/>
        </w:rPr>
        <w:t>T</w:t>
      </w:r>
      <w:r w:rsidR="001E1F8D" w:rsidRPr="00063BBF">
        <w:rPr>
          <w:rFonts w:cs="Arial"/>
        </w:rPr>
        <w:t>he</w:t>
      </w:r>
      <w:r w:rsidR="001E1F8D">
        <w:t xml:space="preserve"> preferred approach </w:t>
      </w:r>
      <w:r w:rsidR="00D551A4">
        <w:t xml:space="preserve">to implementation </w:t>
      </w:r>
      <w:r w:rsidR="00536D69">
        <w:t xml:space="preserve">has had to have regard to </w:t>
      </w:r>
      <w:r w:rsidR="00D551A4">
        <w:t>a number of requirements and pressures:</w:t>
      </w:r>
    </w:p>
    <w:p w:rsidR="001E1F8D" w:rsidRDefault="001E1F8D" w:rsidP="00B85C02">
      <w:pPr>
        <w:pStyle w:val="BodyText2"/>
      </w:pPr>
      <w:r>
        <w:t xml:space="preserve">the sheer </w:t>
      </w:r>
      <w:r w:rsidRPr="00F6649E">
        <w:rPr>
          <w:u w:val="single"/>
        </w:rPr>
        <w:t>scale of the work</w:t>
      </w:r>
      <w:r>
        <w:t xml:space="preserve"> involved in replacing the current Medicines Act and regulati</w:t>
      </w:r>
      <w:r w:rsidR="003C77AD">
        <w:t xml:space="preserve">ons, but the </w:t>
      </w:r>
      <w:r w:rsidR="003C77AD" w:rsidRPr="003C77AD">
        <w:rPr>
          <w:u w:val="single"/>
        </w:rPr>
        <w:t>need to start th</w:t>
      </w:r>
      <w:r w:rsidR="00536D69" w:rsidRPr="003C77AD">
        <w:rPr>
          <w:u w:val="single"/>
        </w:rPr>
        <w:t>e legislative process now</w:t>
      </w:r>
      <w:r w:rsidR="00632D75" w:rsidRPr="004504FD">
        <w:t xml:space="preserve"> </w:t>
      </w:r>
      <w:r w:rsidR="00632D75">
        <w:t>given that work on the ANZTPA joint regulatory approach has ceased</w:t>
      </w:r>
    </w:p>
    <w:p w:rsidR="001E1F8D" w:rsidRDefault="001E1F8D" w:rsidP="00B85C02">
      <w:pPr>
        <w:pStyle w:val="BodyText2"/>
      </w:pPr>
      <w:r>
        <w:t xml:space="preserve">the importance of </w:t>
      </w:r>
      <w:r w:rsidRPr="00F6649E">
        <w:rPr>
          <w:u w:val="single"/>
        </w:rPr>
        <w:t>further consultation</w:t>
      </w:r>
      <w:r w:rsidRPr="00632D75">
        <w:t xml:space="preserve"> </w:t>
      </w:r>
      <w:r>
        <w:t>on the sp</w:t>
      </w:r>
      <w:r w:rsidR="00632D75">
        <w:t>ecific detail of the new regime</w:t>
      </w:r>
      <w:r w:rsidR="00FC57A0">
        <w:t xml:space="preserve"> - </w:t>
      </w:r>
      <w:r>
        <w:t>building on more general prior consultation</w:t>
      </w:r>
      <w:r w:rsidR="00FC57A0">
        <w:t xml:space="preserve"> - </w:t>
      </w:r>
      <w:r>
        <w:t>before a Bill is introduced</w:t>
      </w:r>
      <w:r w:rsidR="00FC57A0">
        <w:t xml:space="preserve">, </w:t>
      </w:r>
      <w:r w:rsidR="00632D75">
        <w:t xml:space="preserve">which will assist </w:t>
      </w:r>
      <w:r w:rsidR="00FC57A0">
        <w:t xml:space="preserve">with </w:t>
      </w:r>
      <w:r w:rsidR="00632D75">
        <w:t>industry engagement</w:t>
      </w:r>
      <w:r w:rsidR="00FC57A0">
        <w:t>,</w:t>
      </w:r>
      <w:r w:rsidR="00632D75">
        <w:t xml:space="preserve"> </w:t>
      </w:r>
      <w:r w:rsidR="00FC57A0">
        <w:t>iden</w:t>
      </w:r>
      <w:r w:rsidR="003C77AD">
        <w:t>tification of further issues</w:t>
      </w:r>
      <w:r w:rsidR="00FC57A0">
        <w:t xml:space="preserve">, </w:t>
      </w:r>
      <w:r w:rsidR="00632D75">
        <w:t xml:space="preserve">and </w:t>
      </w:r>
      <w:r w:rsidR="00FC57A0">
        <w:t xml:space="preserve">thus improve the quality </w:t>
      </w:r>
      <w:r w:rsidR="00632D75">
        <w:t xml:space="preserve">of the </w:t>
      </w:r>
      <w:r w:rsidR="003C77AD">
        <w:t>bill introduced</w:t>
      </w:r>
    </w:p>
    <w:p w:rsidR="001E1F8D" w:rsidRDefault="001E1F8D" w:rsidP="00B85C02">
      <w:pPr>
        <w:pStyle w:val="BodyText2"/>
      </w:pPr>
      <w:r>
        <w:t xml:space="preserve">the </w:t>
      </w:r>
      <w:r w:rsidRPr="00F6649E">
        <w:rPr>
          <w:u w:val="single"/>
        </w:rPr>
        <w:t>multiple linkages</w:t>
      </w:r>
      <w:r>
        <w:t xml:space="preserve"> with other regulatory regimes, and the </w:t>
      </w:r>
      <w:r w:rsidR="003C77AD">
        <w:t>n</w:t>
      </w:r>
      <w:r>
        <w:t>eed for careful legal review a</w:t>
      </w:r>
      <w:r w:rsidR="00FC57A0">
        <w:t xml:space="preserve">cross a range of areas </w:t>
      </w:r>
      <w:r w:rsidR="004504FD">
        <w:t xml:space="preserve">as part of </w:t>
      </w:r>
      <w:r w:rsidR="00FC57A0">
        <w:t xml:space="preserve">the </w:t>
      </w:r>
      <w:r w:rsidR="004504FD">
        <w:t>e</w:t>
      </w:r>
      <w:r w:rsidR="00FC57A0">
        <w:t>xtensive drafting required</w:t>
      </w:r>
    </w:p>
    <w:p w:rsidR="001E1F8D" w:rsidRDefault="008F6AE8" w:rsidP="00B85C02">
      <w:pPr>
        <w:pStyle w:val="BodyText2"/>
      </w:pPr>
      <w:proofErr w:type="gramStart"/>
      <w:r>
        <w:t>the</w:t>
      </w:r>
      <w:proofErr w:type="gramEnd"/>
      <w:r>
        <w:t xml:space="preserve"> </w:t>
      </w:r>
      <w:r w:rsidRPr="00F6649E">
        <w:rPr>
          <w:u w:val="single"/>
        </w:rPr>
        <w:t>efficiency of sequencing</w:t>
      </w:r>
      <w:r>
        <w:t xml:space="preserve"> given that much of the </w:t>
      </w:r>
      <w:r w:rsidR="001E1F8D">
        <w:t xml:space="preserve">detailed work is </w:t>
      </w:r>
      <w:r>
        <w:t xml:space="preserve">critically dependent </w:t>
      </w:r>
      <w:r w:rsidR="001E1F8D">
        <w:t xml:space="preserve">on </w:t>
      </w:r>
      <w:r>
        <w:t xml:space="preserve">the </w:t>
      </w:r>
      <w:r w:rsidR="001E1F8D">
        <w:t>decis</w:t>
      </w:r>
      <w:r>
        <w:t xml:space="preserve">ions </w:t>
      </w:r>
      <w:r w:rsidR="001E1F8D">
        <w:t xml:space="preserve">taken on the major </w:t>
      </w:r>
      <w:r>
        <w:t xml:space="preserve">policy </w:t>
      </w:r>
      <w:r w:rsidR="00536D69">
        <w:t>settings.</w:t>
      </w:r>
    </w:p>
    <w:p w:rsidR="00CB45E0" w:rsidRPr="00D551A4" w:rsidRDefault="00D551A4" w:rsidP="00AC1201">
      <w:pPr>
        <w:pStyle w:val="Heading3"/>
      </w:pPr>
      <w:r w:rsidRPr="00D551A4">
        <w:t>Staged development</w:t>
      </w:r>
    </w:p>
    <w:p w:rsidR="00233682" w:rsidRDefault="00233682" w:rsidP="00233682">
      <w:pPr>
        <w:pStyle w:val="Bullet-list"/>
        <w:numPr>
          <w:ilvl w:val="0"/>
          <w:numId w:val="0"/>
        </w:numPr>
        <w:spacing w:after="0" w:line="240" w:lineRule="auto"/>
      </w:pPr>
    </w:p>
    <w:p w:rsidR="00B0499C" w:rsidRDefault="00FC57A0" w:rsidP="00B85C02">
      <w:pPr>
        <w:pStyle w:val="BodyText"/>
      </w:pPr>
      <w:r>
        <w:t>A</w:t>
      </w:r>
      <w:r w:rsidR="00F6649E">
        <w:t xml:space="preserve"> staged, </w:t>
      </w:r>
      <w:r w:rsidR="00D551A4">
        <w:t>multi-year process</w:t>
      </w:r>
      <w:r w:rsidR="00F6649E">
        <w:t xml:space="preserve"> has been developed for implementation</w:t>
      </w:r>
      <w:r>
        <w:t xml:space="preserve"> as the best means of addressing all of these considerations.</w:t>
      </w:r>
      <w:r w:rsidR="00D551A4">
        <w:t xml:space="preserve">  Th</w:t>
      </w:r>
      <w:r w:rsidR="00F6649E">
        <w:t xml:space="preserve">e timetable </w:t>
      </w:r>
      <w:r w:rsidR="00D551A4">
        <w:t xml:space="preserve">is </w:t>
      </w:r>
      <w:r w:rsidR="00F6649E">
        <w:t>as follows: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5091"/>
        <w:gridCol w:w="1362"/>
      </w:tblGrid>
      <w:tr w:rsidR="001E1F8D" w:rsidTr="00F6649E">
        <w:trPr>
          <w:tblHeader/>
        </w:trPr>
        <w:tc>
          <w:tcPr>
            <w:tcW w:w="2376" w:type="dxa"/>
            <w:shd w:val="clear" w:color="auto" w:fill="auto"/>
          </w:tcPr>
          <w:p w:rsidR="001E1F8D" w:rsidRPr="00D551A4" w:rsidRDefault="001E1F8D" w:rsidP="00390F5A">
            <w:pPr>
              <w:pStyle w:val="Bullet-list"/>
              <w:numPr>
                <w:ilvl w:val="0"/>
                <w:numId w:val="0"/>
              </w:numPr>
              <w:rPr>
                <w:b/>
                <w:sz w:val="20"/>
              </w:rPr>
            </w:pPr>
            <w:r w:rsidRPr="00D551A4">
              <w:rPr>
                <w:b/>
                <w:sz w:val="20"/>
              </w:rPr>
              <w:t>Stage</w:t>
            </w:r>
          </w:p>
        </w:tc>
        <w:tc>
          <w:tcPr>
            <w:tcW w:w="5245" w:type="dxa"/>
            <w:shd w:val="clear" w:color="auto" w:fill="auto"/>
          </w:tcPr>
          <w:p w:rsidR="001E1F8D" w:rsidRPr="00D551A4" w:rsidRDefault="001E1F8D" w:rsidP="00390F5A">
            <w:pPr>
              <w:pStyle w:val="Bullet-list"/>
              <w:numPr>
                <w:ilvl w:val="0"/>
                <w:numId w:val="0"/>
              </w:numPr>
              <w:rPr>
                <w:b/>
                <w:sz w:val="20"/>
              </w:rPr>
            </w:pPr>
            <w:r w:rsidRPr="00D551A4">
              <w:rPr>
                <w:b/>
                <w:sz w:val="20"/>
              </w:rPr>
              <w:t>Requirements and linkages</w:t>
            </w:r>
          </w:p>
        </w:tc>
        <w:tc>
          <w:tcPr>
            <w:tcW w:w="1382" w:type="dxa"/>
            <w:shd w:val="clear" w:color="auto" w:fill="auto"/>
          </w:tcPr>
          <w:p w:rsidR="001E1F8D" w:rsidRPr="00D551A4" w:rsidRDefault="001E1F8D" w:rsidP="00390F5A">
            <w:pPr>
              <w:pStyle w:val="Bullet-list"/>
              <w:numPr>
                <w:ilvl w:val="0"/>
                <w:numId w:val="0"/>
              </w:numPr>
              <w:rPr>
                <w:b/>
                <w:sz w:val="20"/>
              </w:rPr>
            </w:pPr>
            <w:r w:rsidRPr="00D551A4">
              <w:rPr>
                <w:b/>
                <w:sz w:val="20"/>
              </w:rPr>
              <w:t>Timing</w:t>
            </w:r>
          </w:p>
        </w:tc>
      </w:tr>
      <w:tr w:rsidR="001E1F8D" w:rsidTr="00390F5A">
        <w:tc>
          <w:tcPr>
            <w:tcW w:w="2376" w:type="dxa"/>
            <w:shd w:val="clear" w:color="auto" w:fill="auto"/>
          </w:tcPr>
          <w:p w:rsidR="001E1F8D" w:rsidRPr="00D551A4" w:rsidRDefault="00F60A2A" w:rsidP="00E53CCD">
            <w:pPr>
              <w:pStyle w:val="Bullet-list"/>
              <w:numPr>
                <w:ilvl w:val="0"/>
                <w:numId w:val="0"/>
              </w:numPr>
              <w:spacing w:after="0"/>
              <w:rPr>
                <w:sz w:val="20"/>
              </w:rPr>
            </w:pPr>
            <w:r>
              <w:rPr>
                <w:sz w:val="20"/>
              </w:rPr>
              <w:t xml:space="preserve">Overall </w:t>
            </w:r>
            <w:r w:rsidR="001E1F8D" w:rsidRPr="00D551A4">
              <w:rPr>
                <w:sz w:val="20"/>
              </w:rPr>
              <w:t>regulatory approach and core elements</w:t>
            </w:r>
          </w:p>
        </w:tc>
        <w:tc>
          <w:tcPr>
            <w:tcW w:w="5245" w:type="dxa"/>
            <w:shd w:val="clear" w:color="auto" w:fill="auto"/>
          </w:tcPr>
          <w:p w:rsidR="00F60A2A" w:rsidRPr="00F60A2A" w:rsidRDefault="00F60A2A" w:rsidP="00E53CCD">
            <w:pPr>
              <w:pStyle w:val="Bullet-list"/>
              <w:numPr>
                <w:ilvl w:val="0"/>
                <w:numId w:val="0"/>
              </w:numPr>
              <w:spacing w:line="240" w:lineRule="auto"/>
              <w:rPr>
                <w:sz w:val="20"/>
                <w:u w:val="single"/>
              </w:rPr>
            </w:pPr>
            <w:r w:rsidRPr="00F60A2A">
              <w:rPr>
                <w:sz w:val="20"/>
                <w:u w:val="single"/>
              </w:rPr>
              <w:t>Policy decisions</w:t>
            </w:r>
          </w:p>
          <w:p w:rsidR="00F60A2A" w:rsidRDefault="00F60A2A" w:rsidP="00E53CCD">
            <w:pPr>
              <w:pStyle w:val="Bullet-list"/>
              <w:numPr>
                <w:ilvl w:val="0"/>
                <w:numId w:val="0"/>
              </w:numPr>
              <w:spacing w:line="240" w:lineRule="auto"/>
              <w:rPr>
                <w:sz w:val="20"/>
              </w:rPr>
            </w:pPr>
            <w:r>
              <w:rPr>
                <w:sz w:val="20"/>
              </w:rPr>
              <w:t xml:space="preserve">Proposals </w:t>
            </w:r>
            <w:r w:rsidR="001E1F8D" w:rsidRPr="00D551A4">
              <w:rPr>
                <w:sz w:val="20"/>
              </w:rPr>
              <w:t>presented to Cabinet in late 2015</w:t>
            </w:r>
            <w:r>
              <w:rPr>
                <w:sz w:val="20"/>
              </w:rPr>
              <w:t>.  Further proposals presented to Cabinet in ear</w:t>
            </w:r>
            <w:r w:rsidR="001E1F8D" w:rsidRPr="00D551A4">
              <w:rPr>
                <w:sz w:val="20"/>
              </w:rPr>
              <w:t>ly 2016.</w:t>
            </w:r>
            <w:r>
              <w:rPr>
                <w:sz w:val="20"/>
              </w:rPr>
              <w:t xml:space="preserve">  This enables d</w:t>
            </w:r>
            <w:r w:rsidR="001E1F8D" w:rsidRPr="00D551A4">
              <w:rPr>
                <w:sz w:val="20"/>
              </w:rPr>
              <w:t xml:space="preserve">ecisions </w:t>
            </w:r>
            <w:r>
              <w:rPr>
                <w:sz w:val="20"/>
              </w:rPr>
              <w:t xml:space="preserve">to be made on </w:t>
            </w:r>
            <w:r w:rsidR="001E1F8D" w:rsidRPr="00D551A4">
              <w:rPr>
                <w:sz w:val="20"/>
              </w:rPr>
              <w:t xml:space="preserve">the overall framework for a new regime and the high-level policy settings.  </w:t>
            </w:r>
          </w:p>
          <w:p w:rsidR="00F60A2A" w:rsidRPr="00F60A2A" w:rsidRDefault="00F60A2A" w:rsidP="00E53CCD">
            <w:pPr>
              <w:pStyle w:val="Bullet-list"/>
              <w:numPr>
                <w:ilvl w:val="0"/>
                <w:numId w:val="0"/>
              </w:numPr>
              <w:spacing w:line="240" w:lineRule="auto"/>
              <w:rPr>
                <w:sz w:val="20"/>
                <w:u w:val="single"/>
              </w:rPr>
            </w:pPr>
            <w:r w:rsidRPr="00F60A2A">
              <w:rPr>
                <w:sz w:val="20"/>
                <w:u w:val="single"/>
              </w:rPr>
              <w:t xml:space="preserve">Drafting </w:t>
            </w:r>
          </w:p>
          <w:p w:rsidR="001E1F8D" w:rsidRPr="00D551A4" w:rsidRDefault="001E1F8D" w:rsidP="00E53CCD">
            <w:pPr>
              <w:pStyle w:val="Bullet-list"/>
              <w:numPr>
                <w:ilvl w:val="0"/>
                <w:numId w:val="0"/>
              </w:numPr>
              <w:spacing w:line="240" w:lineRule="auto"/>
              <w:rPr>
                <w:sz w:val="20"/>
              </w:rPr>
            </w:pPr>
            <w:r w:rsidRPr="00D551A4">
              <w:rPr>
                <w:sz w:val="20"/>
              </w:rPr>
              <w:t>These decisions will provide the basis for</w:t>
            </w:r>
            <w:r w:rsidR="009247CF">
              <w:rPr>
                <w:sz w:val="20"/>
              </w:rPr>
              <w:t xml:space="preserve"> the </w:t>
            </w:r>
            <w:r w:rsidRPr="00D551A4">
              <w:rPr>
                <w:sz w:val="20"/>
              </w:rPr>
              <w:t xml:space="preserve">drafting instructions </w:t>
            </w:r>
            <w:r w:rsidR="009247CF">
              <w:rPr>
                <w:sz w:val="20"/>
              </w:rPr>
              <w:t xml:space="preserve">for </w:t>
            </w:r>
            <w:r w:rsidRPr="00D551A4">
              <w:rPr>
                <w:sz w:val="20"/>
              </w:rPr>
              <w:t xml:space="preserve">the </w:t>
            </w:r>
            <w:r w:rsidR="00F60A2A">
              <w:rPr>
                <w:sz w:val="20"/>
              </w:rPr>
              <w:t>preparation of an exposure draft</w:t>
            </w:r>
            <w:r w:rsidR="009247CF">
              <w:rPr>
                <w:sz w:val="20"/>
              </w:rPr>
              <w:t>.</w:t>
            </w:r>
          </w:p>
        </w:tc>
        <w:tc>
          <w:tcPr>
            <w:tcW w:w="1382" w:type="dxa"/>
            <w:shd w:val="clear" w:color="auto" w:fill="auto"/>
          </w:tcPr>
          <w:p w:rsidR="00F60A2A" w:rsidRDefault="001E1F8D" w:rsidP="00390F5A">
            <w:pPr>
              <w:pStyle w:val="Bullet-list"/>
              <w:numPr>
                <w:ilvl w:val="0"/>
                <w:numId w:val="0"/>
              </w:numPr>
              <w:rPr>
                <w:sz w:val="20"/>
              </w:rPr>
            </w:pPr>
            <w:r w:rsidRPr="00D551A4">
              <w:rPr>
                <w:sz w:val="20"/>
              </w:rPr>
              <w:t xml:space="preserve">Late 2015 </w:t>
            </w:r>
          </w:p>
          <w:p w:rsidR="00F60A2A" w:rsidRDefault="00F60A2A" w:rsidP="00390F5A">
            <w:pPr>
              <w:pStyle w:val="Bullet-list"/>
              <w:numPr>
                <w:ilvl w:val="0"/>
                <w:numId w:val="0"/>
              </w:numPr>
              <w:rPr>
                <w:sz w:val="20"/>
              </w:rPr>
            </w:pPr>
            <w:r>
              <w:rPr>
                <w:sz w:val="20"/>
              </w:rPr>
              <w:t>and</w:t>
            </w:r>
            <w:r w:rsidR="001E1F8D" w:rsidRPr="00D551A4">
              <w:rPr>
                <w:sz w:val="20"/>
              </w:rPr>
              <w:t xml:space="preserve"> </w:t>
            </w:r>
          </w:p>
          <w:p w:rsidR="001E1F8D" w:rsidRPr="00D551A4" w:rsidRDefault="00F60A2A" w:rsidP="00F60A2A">
            <w:pPr>
              <w:pStyle w:val="Bullet-list"/>
              <w:numPr>
                <w:ilvl w:val="0"/>
                <w:numId w:val="0"/>
              </w:numPr>
              <w:rPr>
                <w:sz w:val="20"/>
              </w:rPr>
            </w:pPr>
            <w:r>
              <w:rPr>
                <w:sz w:val="20"/>
              </w:rPr>
              <w:t>E</w:t>
            </w:r>
            <w:r w:rsidR="001E1F8D" w:rsidRPr="00D551A4">
              <w:rPr>
                <w:sz w:val="20"/>
              </w:rPr>
              <w:t>arly 2016</w:t>
            </w:r>
          </w:p>
        </w:tc>
      </w:tr>
      <w:tr w:rsidR="001E1F8D" w:rsidTr="00390F5A">
        <w:tc>
          <w:tcPr>
            <w:tcW w:w="2376" w:type="dxa"/>
            <w:shd w:val="clear" w:color="auto" w:fill="auto"/>
          </w:tcPr>
          <w:p w:rsidR="001E1F8D" w:rsidRPr="00D551A4" w:rsidRDefault="001E1F8D" w:rsidP="00F6649E">
            <w:pPr>
              <w:pStyle w:val="Bullet-list"/>
              <w:numPr>
                <w:ilvl w:val="0"/>
                <w:numId w:val="0"/>
              </w:numPr>
              <w:rPr>
                <w:sz w:val="20"/>
              </w:rPr>
            </w:pPr>
            <w:r w:rsidRPr="00D551A4">
              <w:rPr>
                <w:sz w:val="20"/>
              </w:rPr>
              <w:t xml:space="preserve">Exposure draft </w:t>
            </w:r>
          </w:p>
        </w:tc>
        <w:tc>
          <w:tcPr>
            <w:tcW w:w="5245" w:type="dxa"/>
            <w:shd w:val="clear" w:color="auto" w:fill="auto"/>
          </w:tcPr>
          <w:p w:rsidR="001E1F8D" w:rsidRPr="00D551A4" w:rsidRDefault="001E1F8D" w:rsidP="00E53CCD">
            <w:pPr>
              <w:pStyle w:val="Bullet-list"/>
              <w:numPr>
                <w:ilvl w:val="0"/>
                <w:numId w:val="0"/>
              </w:numPr>
              <w:spacing w:line="240" w:lineRule="auto"/>
              <w:rPr>
                <w:sz w:val="20"/>
                <w:u w:val="single"/>
              </w:rPr>
            </w:pPr>
            <w:r w:rsidRPr="00D551A4">
              <w:rPr>
                <w:sz w:val="20"/>
                <w:u w:val="single"/>
              </w:rPr>
              <w:t>Exposure draft</w:t>
            </w:r>
            <w:r w:rsidR="00F60A2A">
              <w:rPr>
                <w:sz w:val="20"/>
                <w:u w:val="single"/>
              </w:rPr>
              <w:t xml:space="preserve"> consultation</w:t>
            </w:r>
          </w:p>
          <w:p w:rsidR="001E1F8D" w:rsidRDefault="001E1F8D" w:rsidP="00E53CCD">
            <w:pPr>
              <w:pStyle w:val="Bullet-list"/>
              <w:numPr>
                <w:ilvl w:val="0"/>
                <w:numId w:val="0"/>
              </w:numPr>
              <w:spacing w:line="240" w:lineRule="auto"/>
              <w:rPr>
                <w:sz w:val="20"/>
              </w:rPr>
            </w:pPr>
            <w:r w:rsidRPr="00D551A4">
              <w:rPr>
                <w:sz w:val="20"/>
              </w:rPr>
              <w:t>An exposure of the proposed legislation is critical for consultation and policy review purposes.</w:t>
            </w:r>
            <w:r w:rsidR="00F60A2A">
              <w:rPr>
                <w:sz w:val="20"/>
              </w:rPr>
              <w:t xml:space="preserve">  </w:t>
            </w:r>
            <w:r w:rsidRPr="00D551A4">
              <w:rPr>
                <w:sz w:val="20"/>
              </w:rPr>
              <w:t xml:space="preserve">It is key step in quality assurance and refinement of the policy settings and </w:t>
            </w:r>
            <w:r w:rsidR="009247CF">
              <w:rPr>
                <w:sz w:val="20"/>
              </w:rPr>
              <w:t>im</w:t>
            </w:r>
            <w:r w:rsidR="00F60A2A">
              <w:rPr>
                <w:sz w:val="20"/>
              </w:rPr>
              <w:t xml:space="preserve">plications </w:t>
            </w:r>
            <w:r w:rsidR="00632D75">
              <w:rPr>
                <w:sz w:val="20"/>
              </w:rPr>
              <w:t xml:space="preserve">before a Bill is introduced. </w:t>
            </w:r>
          </w:p>
          <w:p w:rsidR="00F60A2A" w:rsidRDefault="00F60A2A" w:rsidP="00E53CCD">
            <w:pPr>
              <w:pStyle w:val="Bullet-list"/>
              <w:numPr>
                <w:ilvl w:val="0"/>
                <w:numId w:val="0"/>
              </w:numPr>
              <w:spacing w:line="240" w:lineRule="auto"/>
              <w:rPr>
                <w:sz w:val="20"/>
              </w:rPr>
            </w:pPr>
            <w:r>
              <w:rPr>
                <w:sz w:val="20"/>
              </w:rPr>
              <w:t>Outcome of consultation will include:</w:t>
            </w:r>
          </w:p>
          <w:p w:rsidR="00F60A2A" w:rsidRDefault="00F60A2A" w:rsidP="0047742F">
            <w:pPr>
              <w:pStyle w:val="Bullet-list"/>
              <w:numPr>
                <w:ilvl w:val="0"/>
                <w:numId w:val="6"/>
              </w:numPr>
              <w:tabs>
                <w:tab w:val="clear" w:pos="720"/>
              </w:tabs>
              <w:spacing w:line="240" w:lineRule="auto"/>
              <w:ind w:left="459" w:hanging="459"/>
              <w:rPr>
                <w:sz w:val="20"/>
              </w:rPr>
            </w:pPr>
            <w:r>
              <w:rPr>
                <w:sz w:val="20"/>
              </w:rPr>
              <w:t>any refinement to the po</w:t>
            </w:r>
            <w:r w:rsidR="008961FC">
              <w:rPr>
                <w:sz w:val="20"/>
              </w:rPr>
              <w:t>licy decisions</w:t>
            </w:r>
          </w:p>
          <w:p w:rsidR="00F60A2A" w:rsidRDefault="00F60A2A" w:rsidP="0047742F">
            <w:pPr>
              <w:pStyle w:val="Bullet-list"/>
              <w:numPr>
                <w:ilvl w:val="0"/>
                <w:numId w:val="6"/>
              </w:numPr>
              <w:tabs>
                <w:tab w:val="clear" w:pos="720"/>
              </w:tabs>
              <w:spacing w:line="240" w:lineRule="auto"/>
              <w:ind w:left="459" w:hanging="459"/>
              <w:rPr>
                <w:sz w:val="20"/>
              </w:rPr>
            </w:pPr>
            <w:r>
              <w:rPr>
                <w:sz w:val="20"/>
              </w:rPr>
              <w:t xml:space="preserve">any further drafting instructions </w:t>
            </w:r>
            <w:r w:rsidR="008961FC">
              <w:rPr>
                <w:sz w:val="20"/>
              </w:rPr>
              <w:t>for the preparation of the Bill</w:t>
            </w:r>
          </w:p>
          <w:p w:rsidR="009247CF" w:rsidRPr="00F60A2A" w:rsidRDefault="009247CF" w:rsidP="0047742F">
            <w:pPr>
              <w:pStyle w:val="Bullet-list"/>
              <w:numPr>
                <w:ilvl w:val="0"/>
                <w:numId w:val="6"/>
              </w:numPr>
              <w:tabs>
                <w:tab w:val="clear" w:pos="720"/>
              </w:tabs>
              <w:spacing w:line="240" w:lineRule="auto"/>
              <w:ind w:left="459" w:hanging="459"/>
              <w:rPr>
                <w:sz w:val="20"/>
              </w:rPr>
            </w:pPr>
            <w:proofErr w:type="gramStart"/>
            <w:r w:rsidRPr="00D551A4">
              <w:rPr>
                <w:sz w:val="20"/>
              </w:rPr>
              <w:t>early</w:t>
            </w:r>
            <w:proofErr w:type="gramEnd"/>
            <w:r w:rsidRPr="00D551A4">
              <w:rPr>
                <w:sz w:val="20"/>
              </w:rPr>
              <w:t xml:space="preserve"> consideration of the tertiary instruments required by the regulator.  </w:t>
            </w:r>
          </w:p>
        </w:tc>
        <w:tc>
          <w:tcPr>
            <w:tcW w:w="1382" w:type="dxa"/>
            <w:shd w:val="clear" w:color="auto" w:fill="auto"/>
          </w:tcPr>
          <w:p w:rsidR="001E1F8D" w:rsidRPr="00D551A4" w:rsidRDefault="001E1F8D" w:rsidP="00390F5A">
            <w:pPr>
              <w:pStyle w:val="Bullet-list"/>
              <w:numPr>
                <w:ilvl w:val="0"/>
                <w:numId w:val="0"/>
              </w:numPr>
              <w:rPr>
                <w:sz w:val="20"/>
              </w:rPr>
            </w:pPr>
          </w:p>
          <w:p w:rsidR="001E1F8D" w:rsidRPr="00D551A4" w:rsidRDefault="001E1F8D" w:rsidP="00390F5A">
            <w:pPr>
              <w:pStyle w:val="Bullet-list"/>
              <w:numPr>
                <w:ilvl w:val="0"/>
                <w:numId w:val="0"/>
              </w:numPr>
              <w:rPr>
                <w:sz w:val="20"/>
              </w:rPr>
            </w:pPr>
            <w:r w:rsidRPr="00D551A4">
              <w:rPr>
                <w:sz w:val="20"/>
              </w:rPr>
              <w:t xml:space="preserve">Mid-2016 </w:t>
            </w:r>
          </w:p>
          <w:p w:rsidR="001E1F8D" w:rsidRPr="00D551A4" w:rsidRDefault="001E1F8D" w:rsidP="00390F5A">
            <w:pPr>
              <w:pStyle w:val="Bullet-list"/>
              <w:numPr>
                <w:ilvl w:val="0"/>
                <w:numId w:val="0"/>
              </w:numPr>
              <w:rPr>
                <w:sz w:val="20"/>
              </w:rPr>
            </w:pPr>
          </w:p>
          <w:p w:rsidR="001E1F8D" w:rsidRPr="00D551A4" w:rsidRDefault="001E1F8D" w:rsidP="00390F5A">
            <w:pPr>
              <w:pStyle w:val="Bullet-list"/>
              <w:numPr>
                <w:ilvl w:val="0"/>
                <w:numId w:val="0"/>
              </w:numPr>
              <w:rPr>
                <w:sz w:val="20"/>
              </w:rPr>
            </w:pPr>
          </w:p>
        </w:tc>
      </w:tr>
      <w:tr w:rsidR="00F6649E" w:rsidTr="00390F5A">
        <w:tc>
          <w:tcPr>
            <w:tcW w:w="2376" w:type="dxa"/>
            <w:shd w:val="clear" w:color="auto" w:fill="auto"/>
          </w:tcPr>
          <w:p w:rsidR="00F6649E" w:rsidRDefault="00F6649E" w:rsidP="00632D75">
            <w:pPr>
              <w:pStyle w:val="Bullet-list"/>
              <w:numPr>
                <w:ilvl w:val="0"/>
                <w:numId w:val="0"/>
              </w:numPr>
              <w:rPr>
                <w:sz w:val="20"/>
              </w:rPr>
            </w:pPr>
            <w:r w:rsidRPr="00D551A4">
              <w:rPr>
                <w:sz w:val="20"/>
              </w:rPr>
              <w:t xml:space="preserve">Bill </w:t>
            </w:r>
            <w:r w:rsidR="00632D75">
              <w:rPr>
                <w:sz w:val="20"/>
              </w:rPr>
              <w:t>introduc</w:t>
            </w:r>
            <w:r w:rsidR="00F60A2A">
              <w:rPr>
                <w:sz w:val="20"/>
              </w:rPr>
              <w:t xml:space="preserve">tion </w:t>
            </w:r>
            <w:r w:rsidR="00632D75">
              <w:rPr>
                <w:sz w:val="20"/>
              </w:rPr>
              <w:t>and enactment</w:t>
            </w:r>
          </w:p>
          <w:p w:rsidR="00632D75" w:rsidRDefault="00632D75" w:rsidP="00632D75">
            <w:pPr>
              <w:pStyle w:val="Bullet-list"/>
              <w:numPr>
                <w:ilvl w:val="0"/>
                <w:numId w:val="0"/>
              </w:numPr>
              <w:rPr>
                <w:sz w:val="20"/>
              </w:rPr>
            </w:pPr>
          </w:p>
          <w:p w:rsidR="00632D75" w:rsidRDefault="00632D75" w:rsidP="00632D75">
            <w:pPr>
              <w:pStyle w:val="Bullet-list"/>
              <w:numPr>
                <w:ilvl w:val="0"/>
                <w:numId w:val="0"/>
              </w:numPr>
              <w:rPr>
                <w:sz w:val="20"/>
              </w:rPr>
            </w:pPr>
          </w:p>
          <w:p w:rsidR="00632D75" w:rsidRDefault="00632D75" w:rsidP="00632D75">
            <w:pPr>
              <w:pStyle w:val="Bullet-list"/>
              <w:numPr>
                <w:ilvl w:val="0"/>
                <w:numId w:val="0"/>
              </w:numPr>
              <w:rPr>
                <w:sz w:val="20"/>
              </w:rPr>
            </w:pPr>
          </w:p>
          <w:p w:rsidR="00632D75" w:rsidRPr="00D551A4" w:rsidRDefault="00632D75" w:rsidP="00632D75">
            <w:pPr>
              <w:pStyle w:val="Bullet-list"/>
              <w:numPr>
                <w:ilvl w:val="0"/>
                <w:numId w:val="0"/>
              </w:numPr>
              <w:rPr>
                <w:sz w:val="20"/>
              </w:rPr>
            </w:pPr>
          </w:p>
        </w:tc>
        <w:tc>
          <w:tcPr>
            <w:tcW w:w="5245" w:type="dxa"/>
            <w:shd w:val="clear" w:color="auto" w:fill="auto"/>
          </w:tcPr>
          <w:p w:rsidR="00F6649E" w:rsidRPr="00D551A4" w:rsidRDefault="00F6649E" w:rsidP="00E53CCD">
            <w:pPr>
              <w:pStyle w:val="Bullet-list"/>
              <w:numPr>
                <w:ilvl w:val="0"/>
                <w:numId w:val="0"/>
              </w:numPr>
              <w:spacing w:line="240" w:lineRule="auto"/>
              <w:rPr>
                <w:sz w:val="20"/>
                <w:u w:val="single"/>
              </w:rPr>
            </w:pPr>
            <w:r w:rsidRPr="00D551A4">
              <w:rPr>
                <w:sz w:val="20"/>
                <w:u w:val="single"/>
              </w:rPr>
              <w:t>Bill</w:t>
            </w:r>
          </w:p>
          <w:p w:rsidR="00F6649E" w:rsidRPr="00D551A4" w:rsidRDefault="00F6649E" w:rsidP="00E53CCD">
            <w:pPr>
              <w:pStyle w:val="Bullet-list"/>
              <w:numPr>
                <w:ilvl w:val="0"/>
                <w:numId w:val="0"/>
              </w:numPr>
              <w:spacing w:line="240" w:lineRule="auto"/>
              <w:rPr>
                <w:sz w:val="20"/>
              </w:rPr>
            </w:pPr>
            <w:r w:rsidRPr="00D551A4">
              <w:rPr>
                <w:sz w:val="20"/>
              </w:rPr>
              <w:t>The standard introduction and select committee process are expected to be followed. The process should benefit from the prior consideration of the exposure draft.</w:t>
            </w:r>
          </w:p>
          <w:p w:rsidR="00F6649E" w:rsidRPr="00D551A4" w:rsidRDefault="00F6649E" w:rsidP="00E53CCD">
            <w:pPr>
              <w:pStyle w:val="Bullet-list"/>
              <w:numPr>
                <w:ilvl w:val="0"/>
                <w:numId w:val="0"/>
              </w:numPr>
              <w:spacing w:line="240" w:lineRule="auto"/>
              <w:rPr>
                <w:sz w:val="20"/>
                <w:u w:val="single"/>
              </w:rPr>
            </w:pPr>
            <w:r w:rsidRPr="00D551A4">
              <w:rPr>
                <w:sz w:val="20"/>
                <w:u w:val="single"/>
              </w:rPr>
              <w:t>Enactment</w:t>
            </w:r>
          </w:p>
          <w:p w:rsidR="00233682" w:rsidRPr="00D551A4" w:rsidRDefault="00F011BE" w:rsidP="00233682">
            <w:pPr>
              <w:pStyle w:val="Bullet-list"/>
              <w:numPr>
                <w:ilvl w:val="0"/>
                <w:numId w:val="0"/>
              </w:numPr>
              <w:spacing w:line="240" w:lineRule="auto"/>
              <w:rPr>
                <w:sz w:val="20"/>
              </w:rPr>
            </w:pPr>
            <w:r>
              <w:rPr>
                <w:sz w:val="20"/>
              </w:rPr>
              <w:t>Most</w:t>
            </w:r>
            <w:r w:rsidR="00233682" w:rsidRPr="00D551A4">
              <w:rPr>
                <w:sz w:val="20"/>
              </w:rPr>
              <w:t xml:space="preserve"> aspects of the new regime will </w:t>
            </w:r>
            <w:r w:rsidR="00752EB3">
              <w:rPr>
                <w:sz w:val="20"/>
              </w:rPr>
              <w:t xml:space="preserve">likely </w:t>
            </w:r>
            <w:r w:rsidR="00233682" w:rsidRPr="00D551A4">
              <w:rPr>
                <w:sz w:val="20"/>
              </w:rPr>
              <w:t>be implemented with delayed effect.</w:t>
            </w:r>
          </w:p>
          <w:p w:rsidR="00F6649E" w:rsidRPr="00D551A4" w:rsidRDefault="00F6649E" w:rsidP="00233682">
            <w:pPr>
              <w:pStyle w:val="Bullet-list"/>
              <w:numPr>
                <w:ilvl w:val="0"/>
                <w:numId w:val="0"/>
              </w:numPr>
              <w:spacing w:line="240" w:lineRule="auto"/>
              <w:rPr>
                <w:sz w:val="20"/>
              </w:rPr>
            </w:pPr>
            <w:r w:rsidRPr="00D551A4">
              <w:rPr>
                <w:sz w:val="20"/>
              </w:rPr>
              <w:t>The new Act will provide the neces</w:t>
            </w:r>
            <w:r w:rsidR="009247CF">
              <w:rPr>
                <w:sz w:val="20"/>
              </w:rPr>
              <w:t xml:space="preserve">sary authority and clarity for </w:t>
            </w:r>
            <w:r w:rsidR="00233682">
              <w:rPr>
                <w:sz w:val="20"/>
              </w:rPr>
              <w:t xml:space="preserve">work on </w:t>
            </w:r>
            <w:r w:rsidR="009247CF">
              <w:rPr>
                <w:sz w:val="20"/>
              </w:rPr>
              <w:t>tertiary instruments</w:t>
            </w:r>
            <w:r w:rsidR="00233682">
              <w:rPr>
                <w:sz w:val="20"/>
              </w:rPr>
              <w:t xml:space="preserve"> to be finalised by the regulator</w:t>
            </w:r>
            <w:r w:rsidR="009247CF">
              <w:rPr>
                <w:sz w:val="20"/>
              </w:rPr>
              <w:t>.</w:t>
            </w:r>
          </w:p>
        </w:tc>
        <w:tc>
          <w:tcPr>
            <w:tcW w:w="1382" w:type="dxa"/>
            <w:shd w:val="clear" w:color="auto" w:fill="auto"/>
          </w:tcPr>
          <w:p w:rsidR="00F6649E" w:rsidRPr="00D551A4" w:rsidRDefault="00F6649E" w:rsidP="00F6649E">
            <w:pPr>
              <w:pStyle w:val="Bullet-list"/>
              <w:numPr>
                <w:ilvl w:val="0"/>
                <w:numId w:val="0"/>
              </w:numPr>
              <w:rPr>
                <w:sz w:val="20"/>
              </w:rPr>
            </w:pPr>
            <w:r w:rsidRPr="00D551A4">
              <w:rPr>
                <w:sz w:val="20"/>
              </w:rPr>
              <w:t>Late 2016</w:t>
            </w:r>
          </w:p>
          <w:p w:rsidR="00F6649E" w:rsidRPr="00D551A4" w:rsidRDefault="00F6649E" w:rsidP="00F6649E">
            <w:pPr>
              <w:pStyle w:val="Bullet-list"/>
              <w:numPr>
                <w:ilvl w:val="0"/>
                <w:numId w:val="0"/>
              </w:numPr>
              <w:rPr>
                <w:sz w:val="20"/>
              </w:rPr>
            </w:pPr>
          </w:p>
          <w:p w:rsidR="00F6649E" w:rsidRPr="00D551A4" w:rsidRDefault="00F6649E" w:rsidP="00F6649E">
            <w:pPr>
              <w:pStyle w:val="Bullet-list"/>
              <w:numPr>
                <w:ilvl w:val="0"/>
                <w:numId w:val="0"/>
              </w:numPr>
              <w:rPr>
                <w:sz w:val="20"/>
              </w:rPr>
            </w:pPr>
          </w:p>
          <w:p w:rsidR="00F6649E" w:rsidRPr="00D551A4" w:rsidRDefault="00F6649E" w:rsidP="00F6649E">
            <w:pPr>
              <w:pStyle w:val="Bullet-list"/>
              <w:numPr>
                <w:ilvl w:val="0"/>
                <w:numId w:val="0"/>
              </w:numPr>
              <w:rPr>
                <w:sz w:val="20"/>
              </w:rPr>
            </w:pPr>
            <w:r w:rsidRPr="00D551A4">
              <w:rPr>
                <w:sz w:val="20"/>
              </w:rPr>
              <w:t>2017</w:t>
            </w:r>
            <w:r w:rsidR="00F011BE">
              <w:rPr>
                <w:sz w:val="20"/>
              </w:rPr>
              <w:t>/18</w:t>
            </w:r>
          </w:p>
        </w:tc>
      </w:tr>
      <w:tr w:rsidR="001E1F8D" w:rsidTr="00390F5A">
        <w:tc>
          <w:tcPr>
            <w:tcW w:w="2376" w:type="dxa"/>
            <w:shd w:val="clear" w:color="auto" w:fill="auto"/>
          </w:tcPr>
          <w:p w:rsidR="001E1F8D" w:rsidRPr="00D551A4" w:rsidRDefault="001E1F8D" w:rsidP="00390F5A">
            <w:pPr>
              <w:pStyle w:val="Bullet-list"/>
              <w:numPr>
                <w:ilvl w:val="0"/>
                <w:numId w:val="0"/>
              </w:numPr>
              <w:rPr>
                <w:sz w:val="20"/>
              </w:rPr>
            </w:pPr>
            <w:r w:rsidRPr="00D551A4">
              <w:rPr>
                <w:sz w:val="20"/>
              </w:rPr>
              <w:t>Transition / operational roll-out</w:t>
            </w:r>
          </w:p>
        </w:tc>
        <w:tc>
          <w:tcPr>
            <w:tcW w:w="5245" w:type="dxa"/>
            <w:shd w:val="clear" w:color="auto" w:fill="auto"/>
          </w:tcPr>
          <w:p w:rsidR="001E1F8D" w:rsidRPr="00D551A4" w:rsidRDefault="001E1F8D" w:rsidP="00E53CCD">
            <w:pPr>
              <w:pStyle w:val="Bullet-list"/>
              <w:numPr>
                <w:ilvl w:val="0"/>
                <w:numId w:val="0"/>
              </w:numPr>
              <w:spacing w:line="240" w:lineRule="auto"/>
              <w:rPr>
                <w:sz w:val="20"/>
              </w:rPr>
            </w:pPr>
            <w:r w:rsidRPr="00D551A4">
              <w:rPr>
                <w:sz w:val="20"/>
              </w:rPr>
              <w:t>Some changes will be implemented quickly; others will take some years.</w:t>
            </w:r>
          </w:p>
          <w:p w:rsidR="001E1F8D" w:rsidRPr="00D551A4" w:rsidRDefault="001E1F8D" w:rsidP="00E53CCD">
            <w:pPr>
              <w:pStyle w:val="Bullet-list"/>
              <w:numPr>
                <w:ilvl w:val="0"/>
                <w:numId w:val="0"/>
              </w:numPr>
              <w:spacing w:line="240" w:lineRule="auto"/>
              <w:rPr>
                <w:sz w:val="20"/>
              </w:rPr>
            </w:pPr>
            <w:r w:rsidRPr="00D551A4">
              <w:rPr>
                <w:sz w:val="20"/>
              </w:rPr>
              <w:t>The establishment of a new institutional form for the re</w:t>
            </w:r>
            <w:r w:rsidR="00632D75">
              <w:rPr>
                <w:sz w:val="20"/>
              </w:rPr>
              <w:t>gulator could potentially be</w:t>
            </w:r>
            <w:r w:rsidR="00752EB3">
              <w:rPr>
                <w:sz w:val="20"/>
              </w:rPr>
              <w:t xml:space="preserve"> implemented during this period (or after the first major review, see below).</w:t>
            </w:r>
          </w:p>
        </w:tc>
        <w:tc>
          <w:tcPr>
            <w:tcW w:w="1382" w:type="dxa"/>
            <w:shd w:val="clear" w:color="auto" w:fill="auto"/>
          </w:tcPr>
          <w:p w:rsidR="001E1F8D" w:rsidRPr="00D551A4" w:rsidRDefault="001E1F8D" w:rsidP="00F6649E">
            <w:pPr>
              <w:pStyle w:val="Bullet-list"/>
              <w:numPr>
                <w:ilvl w:val="0"/>
                <w:numId w:val="0"/>
              </w:numPr>
              <w:rPr>
                <w:sz w:val="20"/>
              </w:rPr>
            </w:pPr>
            <w:r w:rsidRPr="00D551A4">
              <w:rPr>
                <w:sz w:val="20"/>
              </w:rPr>
              <w:t>From 201</w:t>
            </w:r>
            <w:r w:rsidR="00F011BE">
              <w:rPr>
                <w:sz w:val="20"/>
              </w:rPr>
              <w:t>8</w:t>
            </w:r>
            <w:r w:rsidRPr="00D551A4">
              <w:rPr>
                <w:sz w:val="20"/>
              </w:rPr>
              <w:t xml:space="preserve"> to 2020</w:t>
            </w:r>
          </w:p>
        </w:tc>
      </w:tr>
    </w:tbl>
    <w:p w:rsidR="008D5CD9" w:rsidRPr="00CB3E05" w:rsidRDefault="008D5CD9" w:rsidP="0088541D">
      <w:pPr>
        <w:pStyle w:val="Heading2"/>
      </w:pPr>
      <w:bookmarkStart w:id="92" w:name="_Toc244580369"/>
      <w:bookmarkStart w:id="93" w:name="_Toc244587045"/>
      <w:bookmarkStart w:id="94" w:name="_Toc244857279"/>
      <w:bookmarkStart w:id="95" w:name="_Toc244912544"/>
      <w:bookmarkStart w:id="96" w:name="_Toc244917001"/>
      <w:bookmarkStart w:id="97" w:name="_Toc362368110"/>
      <w:bookmarkStart w:id="98" w:name="_Toc362434951"/>
      <w:bookmarkStart w:id="99" w:name="_Toc362589337"/>
      <w:bookmarkStart w:id="100" w:name="_Toc362619037"/>
      <w:bookmarkStart w:id="101" w:name="_Toc362940601"/>
      <w:bookmarkStart w:id="102" w:name="_Toc363047109"/>
      <w:r w:rsidRPr="00CB3E05">
        <w:t>Monitoring, evaluation and review</w:t>
      </w:r>
      <w:bookmarkEnd w:id="92"/>
      <w:bookmarkEnd w:id="93"/>
      <w:bookmarkEnd w:id="94"/>
      <w:bookmarkEnd w:id="95"/>
      <w:bookmarkEnd w:id="96"/>
      <w:bookmarkEnd w:id="97"/>
      <w:bookmarkEnd w:id="98"/>
      <w:bookmarkEnd w:id="99"/>
      <w:bookmarkEnd w:id="100"/>
      <w:bookmarkEnd w:id="101"/>
      <w:bookmarkEnd w:id="102"/>
    </w:p>
    <w:p w:rsidR="000410F4" w:rsidRPr="000410F4" w:rsidRDefault="000410F4" w:rsidP="00AC1201">
      <w:pPr>
        <w:pStyle w:val="Heading3"/>
      </w:pPr>
      <w:r w:rsidRPr="000410F4">
        <w:t>Formal review</w:t>
      </w:r>
    </w:p>
    <w:p w:rsidR="00233682" w:rsidRDefault="00233682" w:rsidP="00233682">
      <w:pPr>
        <w:pStyle w:val="Bullet-list"/>
        <w:numPr>
          <w:ilvl w:val="0"/>
          <w:numId w:val="0"/>
        </w:numPr>
        <w:spacing w:after="0" w:line="240" w:lineRule="auto"/>
      </w:pPr>
    </w:p>
    <w:p w:rsidR="006E0860" w:rsidRDefault="006E0860" w:rsidP="00B85C02">
      <w:pPr>
        <w:pStyle w:val="BodyText"/>
      </w:pPr>
      <w:r>
        <w:t>The preferred regulatory regime</w:t>
      </w:r>
      <w:r w:rsidR="002C7844">
        <w:t xml:space="preserve"> will not be fully operational until around 2020 at the earliest.  This reflects the current timetable for further policy development, the legislative process, and the proposed transitional arrangements.</w:t>
      </w:r>
    </w:p>
    <w:p w:rsidR="002C7844" w:rsidRPr="006E0860" w:rsidRDefault="002C7844" w:rsidP="00B85C02">
      <w:pPr>
        <w:pStyle w:val="BodyText"/>
      </w:pPr>
      <w:r w:rsidRPr="006E0860">
        <w:t xml:space="preserve">Given the scope of the new regime and its complexity, a review of the new legislation </w:t>
      </w:r>
      <w:r w:rsidR="00C603CD">
        <w:t xml:space="preserve">might </w:t>
      </w:r>
      <w:r>
        <w:t xml:space="preserve">be </w:t>
      </w:r>
      <w:r w:rsidRPr="006E0860">
        <w:t>undertaken 5 years after the end of the transition period</w:t>
      </w:r>
      <w:r w:rsidR="009D26A8">
        <w:t xml:space="preserve"> (</w:t>
      </w:r>
      <w:proofErr w:type="spellStart"/>
      <w:r w:rsidR="009D26A8">
        <w:t>ie</w:t>
      </w:r>
      <w:proofErr w:type="spellEnd"/>
      <w:r w:rsidR="009D26A8">
        <w:t>, it would occur around 2025)</w:t>
      </w:r>
      <w:r>
        <w:t xml:space="preserve">, and the legislation </w:t>
      </w:r>
      <w:r w:rsidR="00C603CD">
        <w:t>c</w:t>
      </w:r>
      <w:r w:rsidRPr="006E0860">
        <w:t xml:space="preserve">ould </w:t>
      </w:r>
      <w:r w:rsidR="009D26A8">
        <w:t xml:space="preserve">include a provision that </w:t>
      </w:r>
      <w:r w:rsidRPr="006E0860">
        <w:t>require</w:t>
      </w:r>
      <w:r w:rsidR="009D26A8">
        <w:t>d</w:t>
      </w:r>
      <w:r w:rsidRPr="006E0860">
        <w:t xml:space="preserve"> this review</w:t>
      </w:r>
      <w:r w:rsidR="009D26A8">
        <w:t>.</w:t>
      </w:r>
      <w:r w:rsidR="00C603CD">
        <w:t xml:space="preserve"> </w:t>
      </w:r>
    </w:p>
    <w:p w:rsidR="000410F4" w:rsidRPr="000410F4" w:rsidRDefault="000410F4" w:rsidP="00AC1201">
      <w:pPr>
        <w:pStyle w:val="Heading3"/>
      </w:pPr>
      <w:r w:rsidRPr="000410F4">
        <w:t>Development review</w:t>
      </w:r>
      <w:r w:rsidR="003F0F95">
        <w:t xml:space="preserve"> opportunities</w:t>
      </w:r>
    </w:p>
    <w:p w:rsidR="00233682" w:rsidRDefault="00233682" w:rsidP="00233682">
      <w:pPr>
        <w:pStyle w:val="Bullet-list"/>
        <w:numPr>
          <w:ilvl w:val="0"/>
          <w:numId w:val="0"/>
        </w:numPr>
        <w:spacing w:after="0" w:line="240" w:lineRule="auto"/>
      </w:pPr>
    </w:p>
    <w:p w:rsidR="008917FA" w:rsidRDefault="00C603CD" w:rsidP="00B85C02">
      <w:pPr>
        <w:pStyle w:val="BodyText"/>
      </w:pPr>
      <w:r>
        <w:t xml:space="preserve">Before that time, however, there will also be opportunities for </w:t>
      </w:r>
      <w:r w:rsidR="008D5CD9" w:rsidRPr="00082653">
        <w:t xml:space="preserve">monitoring and evaluating the </w:t>
      </w:r>
      <w:r w:rsidR="003C77AD">
        <w:t>merits o</w:t>
      </w:r>
      <w:r w:rsidR="008D5CD9" w:rsidRPr="00082653">
        <w:t xml:space="preserve">f the preferred </w:t>
      </w:r>
      <w:r w:rsidR="00BF6ABA">
        <w:t xml:space="preserve">approach </w:t>
      </w:r>
      <w:r>
        <w:t xml:space="preserve">as </w:t>
      </w:r>
      <w:r w:rsidR="003C77AD">
        <w:t xml:space="preserve">the detail </w:t>
      </w:r>
      <w:r>
        <w:t xml:space="preserve">develops, and </w:t>
      </w:r>
      <w:r w:rsidR="008D63CE">
        <w:t xml:space="preserve">for taking into account and responding to </w:t>
      </w:r>
      <w:r>
        <w:t>the Government’s evolving stewardship expectations:</w:t>
      </w:r>
    </w:p>
    <w:p w:rsidR="006E0860" w:rsidRDefault="006E0860" w:rsidP="00AC1201">
      <w:pPr>
        <w:pStyle w:val="Heading4"/>
      </w:pPr>
      <w:r w:rsidRPr="000410F4">
        <w:t>Further advice on elements of the regime</w:t>
      </w:r>
    </w:p>
    <w:p w:rsidR="004504FD" w:rsidRPr="000410F4" w:rsidRDefault="004504FD" w:rsidP="00233682">
      <w:pPr>
        <w:pStyle w:val="Bullet-list"/>
        <w:numPr>
          <w:ilvl w:val="0"/>
          <w:numId w:val="0"/>
        </w:numPr>
        <w:spacing w:after="0" w:line="240" w:lineRule="auto"/>
        <w:rPr>
          <w:u w:val="single"/>
        </w:rPr>
      </w:pPr>
    </w:p>
    <w:p w:rsidR="00224FC2" w:rsidRDefault="009D26A8" w:rsidP="00B85C02">
      <w:pPr>
        <w:pStyle w:val="BodyText"/>
      </w:pPr>
      <w:r>
        <w:t xml:space="preserve">From </w:t>
      </w:r>
      <w:r w:rsidR="00C603CD" w:rsidRPr="00224FC2">
        <w:t>March 2016 there will be further advice to Cabinet on ot</w:t>
      </w:r>
      <w:r w:rsidR="00224FC2">
        <w:t>her key elements and implications of the re</w:t>
      </w:r>
      <w:r w:rsidR="00C603CD" w:rsidRPr="00224FC2">
        <w:t>gime</w:t>
      </w:r>
      <w:r w:rsidR="00224FC2">
        <w:t xml:space="preserve"> (</w:t>
      </w:r>
      <w:proofErr w:type="spellStart"/>
      <w:r w:rsidR="00224FC2">
        <w:t>eg</w:t>
      </w:r>
      <w:proofErr w:type="spellEnd"/>
      <w:r w:rsidR="00224FC2">
        <w:t>, institutional form, p</w:t>
      </w:r>
      <w:r w:rsidR="000E3B7F">
        <w:t>rescribing and dispensing</w:t>
      </w:r>
      <w:r w:rsidR="00224FC2">
        <w:t>, interface issues with other legislation, and financial considerations).</w:t>
      </w:r>
    </w:p>
    <w:p w:rsidR="008961FC" w:rsidRPr="00AC1201" w:rsidRDefault="00224FC2" w:rsidP="00B66942">
      <w:pPr>
        <w:pStyle w:val="BodyText"/>
      </w:pPr>
      <w:r>
        <w:t xml:space="preserve">Reporting at that time provides a further opportunity to consider and provide assurance on the extent to which all of the elements of the regime (those addressed in March 2016, and those addressed now) </w:t>
      </w:r>
      <w:r w:rsidR="008D63CE">
        <w:t xml:space="preserve">will </w:t>
      </w:r>
      <w:r w:rsidR="00F741D7">
        <w:t xml:space="preserve">work together and be </w:t>
      </w:r>
      <w:r>
        <w:t xml:space="preserve">effective as a whole.  </w:t>
      </w:r>
      <w:r w:rsidR="00C603CD" w:rsidRPr="00224FC2">
        <w:t xml:space="preserve"> </w:t>
      </w:r>
    </w:p>
    <w:p w:rsidR="008961FC" w:rsidRDefault="008961FC" w:rsidP="00233682">
      <w:pPr>
        <w:pStyle w:val="Bullet-list"/>
        <w:numPr>
          <w:ilvl w:val="0"/>
          <w:numId w:val="0"/>
        </w:numPr>
        <w:spacing w:after="0" w:line="240" w:lineRule="auto"/>
        <w:rPr>
          <w:u w:val="single"/>
        </w:rPr>
      </w:pPr>
    </w:p>
    <w:p w:rsidR="008D5CD9" w:rsidRPr="000410F4" w:rsidRDefault="008917FA" w:rsidP="00AC1201">
      <w:pPr>
        <w:pStyle w:val="Heading4"/>
      </w:pPr>
      <w:r w:rsidRPr="000410F4">
        <w:t>The development o</w:t>
      </w:r>
      <w:r w:rsidR="000410F4">
        <w:t>f</w:t>
      </w:r>
      <w:r w:rsidRPr="000410F4">
        <w:t xml:space="preserve"> a</w:t>
      </w:r>
      <w:r w:rsidR="006E0860" w:rsidRPr="000410F4">
        <w:t>n</w:t>
      </w:r>
      <w:r w:rsidRPr="000410F4">
        <w:t xml:space="preserve"> exposure draft</w:t>
      </w:r>
      <w:r w:rsidR="000410F4">
        <w:t xml:space="preserve"> </w:t>
      </w:r>
      <w:r w:rsidR="004504FD">
        <w:t xml:space="preserve">of the bill </w:t>
      </w:r>
      <w:r w:rsidR="000410F4">
        <w:t>for consultation</w:t>
      </w:r>
    </w:p>
    <w:bookmarkEnd w:id="0"/>
    <w:bookmarkEnd w:id="1"/>
    <w:bookmarkEnd w:id="2"/>
    <w:bookmarkEnd w:id="3"/>
    <w:bookmarkEnd w:id="4"/>
    <w:bookmarkEnd w:id="5"/>
    <w:bookmarkEnd w:id="6"/>
    <w:bookmarkEnd w:id="7"/>
    <w:bookmarkEnd w:id="8"/>
    <w:bookmarkEnd w:id="9"/>
    <w:p w:rsidR="00233682" w:rsidRDefault="00233682" w:rsidP="00233682">
      <w:pPr>
        <w:spacing w:after="0" w:line="240" w:lineRule="auto"/>
        <w:rPr>
          <w:rFonts w:cs="Arial"/>
        </w:rPr>
      </w:pPr>
    </w:p>
    <w:p w:rsidR="006E0860" w:rsidRPr="00063BBF" w:rsidRDefault="000410F4" w:rsidP="00B85C02">
      <w:pPr>
        <w:pStyle w:val="BodyText"/>
      </w:pPr>
      <w:r w:rsidRPr="00063BBF">
        <w:t>In order that the B</w:t>
      </w:r>
      <w:r w:rsidR="004504FD" w:rsidRPr="00063BBF">
        <w:t>i</w:t>
      </w:r>
      <w:r w:rsidRPr="00063BBF">
        <w:t>ll is robust, it is proposed that an exposure draft be released for consultation before introduction.  Stakeholders will be particularly interested in the proposed content of the legislative instruments that would sit beneath the new Act and a description of the policy to be contained in these instruments should accompany the exposure draft.</w:t>
      </w:r>
    </w:p>
    <w:p w:rsidR="008917FA" w:rsidRPr="00E05E4C" w:rsidRDefault="000F7ADA" w:rsidP="00B85C02">
      <w:pPr>
        <w:pStyle w:val="BodyText"/>
        <w:rPr>
          <w:rFonts w:cs="Arial"/>
          <w:u w:val="single"/>
        </w:rPr>
      </w:pPr>
      <w:r w:rsidRPr="00063BBF">
        <w:t xml:space="preserve">Addressing such matters as the balance between primary and delegated legislation, and </w:t>
      </w:r>
      <w:r w:rsidR="009D26A8">
        <w:t xml:space="preserve">the </w:t>
      </w:r>
      <w:r w:rsidRPr="00063BBF">
        <w:t>exposure draft</w:t>
      </w:r>
      <w:r w:rsidR="009D26A8">
        <w:t xml:space="preserve"> process</w:t>
      </w:r>
      <w:r w:rsidRPr="00063BBF">
        <w:t xml:space="preserve">, aims to improve the quality of legislation.  </w:t>
      </w:r>
      <w:r w:rsidR="008917FA" w:rsidRPr="00063BBF">
        <w:t>Th</w:t>
      </w:r>
      <w:r w:rsidR="000410F4" w:rsidRPr="00063BBF">
        <w:t>is process is in accordance</w:t>
      </w:r>
      <w:r w:rsidR="000410F4">
        <w:rPr>
          <w:rFonts w:cs="Arial"/>
        </w:rPr>
        <w:t xml:space="preserve"> with </w:t>
      </w:r>
      <w:r w:rsidR="008917FA">
        <w:rPr>
          <w:rFonts w:cs="Arial"/>
        </w:rPr>
        <w:t xml:space="preserve">the Legislation Advisory Committee’s </w:t>
      </w:r>
      <w:r w:rsidR="008917FA" w:rsidRPr="001674AD">
        <w:rPr>
          <w:rFonts w:cs="Arial"/>
          <w:i/>
        </w:rPr>
        <w:t xml:space="preserve">Guidelines on the </w:t>
      </w:r>
      <w:r w:rsidR="008917FA">
        <w:rPr>
          <w:rFonts w:cs="Arial"/>
          <w:i/>
        </w:rPr>
        <w:t>P</w:t>
      </w:r>
      <w:r w:rsidR="008917FA" w:rsidRPr="001674AD">
        <w:rPr>
          <w:rFonts w:cs="Arial"/>
          <w:i/>
        </w:rPr>
        <w:t xml:space="preserve">rocess and Content </w:t>
      </w:r>
      <w:r w:rsidR="008917FA" w:rsidRPr="000410F4">
        <w:rPr>
          <w:rFonts w:cs="Arial"/>
          <w:i/>
        </w:rPr>
        <w:t>of Legislation</w:t>
      </w:r>
      <w:r w:rsidR="008917FA" w:rsidRPr="000410F4">
        <w:rPr>
          <w:rFonts w:cs="Arial"/>
        </w:rPr>
        <w:t xml:space="preserve">. </w:t>
      </w:r>
      <w:r>
        <w:rPr>
          <w:rFonts w:cs="Arial"/>
        </w:rPr>
        <w:t xml:space="preserve"> </w:t>
      </w:r>
    </w:p>
    <w:p w:rsidR="008917FA" w:rsidRPr="000410F4" w:rsidRDefault="008917FA" w:rsidP="00AC1201">
      <w:pPr>
        <w:pStyle w:val="Heading4"/>
      </w:pPr>
      <w:r w:rsidRPr="000410F4">
        <w:t>The transition to full implementation</w:t>
      </w:r>
    </w:p>
    <w:p w:rsidR="00233682" w:rsidRDefault="00233682" w:rsidP="00233682">
      <w:pPr>
        <w:spacing w:after="0" w:line="240" w:lineRule="auto"/>
      </w:pPr>
    </w:p>
    <w:p w:rsidR="006E0860" w:rsidRDefault="008D63CE" w:rsidP="00B85C02">
      <w:pPr>
        <w:pStyle w:val="BodyText"/>
      </w:pPr>
      <w:r w:rsidRPr="006E0860">
        <w:t>The arrangemen</w:t>
      </w:r>
      <w:r w:rsidR="00E159F4">
        <w:t xml:space="preserve">ts for transition will need to </w:t>
      </w:r>
      <w:r w:rsidR="000F7ADA">
        <w:t xml:space="preserve">ensure </w:t>
      </w:r>
      <w:r w:rsidR="000F7ADA" w:rsidRPr="006E0860">
        <w:t>the regulator</w:t>
      </w:r>
      <w:r w:rsidR="000F7ADA">
        <w:t xml:space="preserve"> has time to develop the nece</w:t>
      </w:r>
      <w:r w:rsidR="004504FD">
        <w:t>ssary tertiary instruments (</w:t>
      </w:r>
      <w:r w:rsidR="000F7ADA">
        <w:t>notices and guidelines), and i</w:t>
      </w:r>
      <w:r w:rsidRPr="006E0860">
        <w:t xml:space="preserve">ndustry </w:t>
      </w:r>
      <w:r w:rsidR="000F7ADA">
        <w:t xml:space="preserve">has time to </w:t>
      </w:r>
      <w:r>
        <w:t>prepar</w:t>
      </w:r>
      <w:r w:rsidR="000F7ADA">
        <w:t xml:space="preserve">e </w:t>
      </w:r>
      <w:r>
        <w:t>for and adjust</w:t>
      </w:r>
      <w:r w:rsidR="000F7ADA">
        <w:t xml:space="preserve"> </w:t>
      </w:r>
      <w:r>
        <w:t>to the new requirements</w:t>
      </w:r>
      <w:r w:rsidR="000F7ADA">
        <w:t xml:space="preserve">.  </w:t>
      </w:r>
      <w:r>
        <w:t>These arrangements w</w:t>
      </w:r>
      <w:r w:rsidR="009D26A8">
        <w:t>ill provide for the transition</w:t>
      </w:r>
      <w:r>
        <w:t xml:space="preserve"> from the current Act to the new; and for the gradual application of the regime to newly regulated products (</w:t>
      </w:r>
      <w:proofErr w:type="spellStart"/>
      <w:r>
        <w:t>eg</w:t>
      </w:r>
      <w:proofErr w:type="spellEnd"/>
      <w:r>
        <w:t xml:space="preserve">, </w:t>
      </w:r>
      <w:r w:rsidR="006E0860" w:rsidRPr="006E0860">
        <w:t xml:space="preserve">medical devices and cell and tissue therapies </w:t>
      </w:r>
      <w:r w:rsidR="000F7ADA">
        <w:t xml:space="preserve">which </w:t>
      </w:r>
      <w:r>
        <w:t xml:space="preserve">will need to </w:t>
      </w:r>
      <w:r w:rsidR="006E0860" w:rsidRPr="006E0860">
        <w:t>come into effect over a p</w:t>
      </w:r>
      <w:r>
        <w:t>eriod of time)</w:t>
      </w:r>
      <w:r w:rsidR="006E0860" w:rsidRPr="006E0860">
        <w:t xml:space="preserve">.  </w:t>
      </w:r>
    </w:p>
    <w:p w:rsidR="008917FA" w:rsidRDefault="00C23CD1" w:rsidP="00AC1201">
      <w:pPr>
        <w:pStyle w:val="Heading4"/>
      </w:pPr>
      <w:r>
        <w:t>S</w:t>
      </w:r>
      <w:r w:rsidR="008917FA" w:rsidRPr="008D63CE">
        <w:t>tewardship expectations</w:t>
      </w:r>
    </w:p>
    <w:p w:rsidR="004504FD" w:rsidRPr="008D63CE" w:rsidRDefault="004504FD" w:rsidP="00233682">
      <w:pPr>
        <w:spacing w:after="0" w:line="240" w:lineRule="auto"/>
        <w:rPr>
          <w:u w:val="single"/>
        </w:rPr>
      </w:pPr>
    </w:p>
    <w:p w:rsidR="00E159F4" w:rsidRDefault="006E0860" w:rsidP="00B85C02">
      <w:pPr>
        <w:pStyle w:val="BodyText"/>
      </w:pPr>
      <w:r w:rsidRPr="00063BBF">
        <w:t>The</w:t>
      </w:r>
      <w:r>
        <w:t xml:space="preserve"> </w:t>
      </w:r>
      <w:r w:rsidR="008917FA">
        <w:t>Go</w:t>
      </w:r>
      <w:r w:rsidR="008917FA" w:rsidRPr="0018494A">
        <w:t>vernment</w:t>
      </w:r>
      <w:r w:rsidR="008917FA">
        <w:t xml:space="preserve"> </w:t>
      </w:r>
      <w:r>
        <w:t xml:space="preserve">has </w:t>
      </w:r>
      <w:r w:rsidR="00C23CD1">
        <w:t xml:space="preserve">recently </w:t>
      </w:r>
      <w:r>
        <w:t xml:space="preserve">signalled </w:t>
      </w:r>
      <w:r w:rsidR="00E159F4">
        <w:t xml:space="preserve">its </w:t>
      </w:r>
      <w:r w:rsidR="00E159F4" w:rsidRPr="00E159F4">
        <w:t>core expectations for regulatory stewardship</w:t>
      </w:r>
      <w:r w:rsidR="00E159F4">
        <w:t xml:space="preserve"> </w:t>
      </w:r>
      <w:r>
        <w:t xml:space="preserve">to </w:t>
      </w:r>
      <w:r w:rsidR="00E159F4">
        <w:t xml:space="preserve">agencies </w:t>
      </w:r>
      <w:r w:rsidR="008917FA">
        <w:t>involved in designing and administering regulation</w:t>
      </w:r>
      <w:r w:rsidR="00E159F4">
        <w:t xml:space="preserve">.  </w:t>
      </w:r>
      <w:r w:rsidR="00C23CD1">
        <w:t>These are still being developed although it is clear i</w:t>
      </w:r>
      <w:r w:rsidR="00E159F4">
        <w:t xml:space="preserve">n this context the Ministry </w:t>
      </w:r>
      <w:r w:rsidR="004504FD">
        <w:t xml:space="preserve">of Health </w:t>
      </w:r>
      <w:r w:rsidR="00E159F4">
        <w:t>will</w:t>
      </w:r>
      <w:r w:rsidR="00C23CD1">
        <w:t xml:space="preserve"> be required to</w:t>
      </w:r>
      <w:r w:rsidR="00E159F4">
        <w:t>:</w:t>
      </w:r>
    </w:p>
    <w:p w:rsidR="008917FA" w:rsidRDefault="008917FA" w:rsidP="00B85C02">
      <w:pPr>
        <w:pStyle w:val="BodyText2"/>
      </w:pPr>
      <w:r w:rsidRPr="00FE0CDC">
        <w:rPr>
          <w:i/>
        </w:rPr>
        <w:t>actively monitor and periodically assess the performance and condition of the regulatory regimes it administers</w:t>
      </w:r>
      <w:r>
        <w:t>, and to use that information to advise or act on problems, vulnerabilities and</w:t>
      </w:r>
      <w:r w:rsidR="00E159F4">
        <w:t xml:space="preserve"> opportunities for improvement;</w:t>
      </w:r>
    </w:p>
    <w:p w:rsidR="00E159F4" w:rsidRDefault="006E0860" w:rsidP="00B85C02">
      <w:pPr>
        <w:pStyle w:val="BodyText2"/>
      </w:pPr>
      <w:r w:rsidRPr="000F7ADA">
        <w:rPr>
          <w:i/>
        </w:rPr>
        <w:t>adopt</w:t>
      </w:r>
      <w:r w:rsidR="008917FA" w:rsidRPr="000F7ADA">
        <w:rPr>
          <w:i/>
        </w:rPr>
        <w:t xml:space="preserve"> best practice compliance strategies</w:t>
      </w:r>
      <w:r w:rsidR="008917FA">
        <w:t>, as part of a cross-government forum designed to share experiences and promote greater consistency between regulators</w:t>
      </w:r>
      <w:r w:rsidR="00C23CD1">
        <w:t>; and</w:t>
      </w:r>
    </w:p>
    <w:p w:rsidR="008917FA" w:rsidRDefault="008917FA" w:rsidP="00B85C02">
      <w:pPr>
        <w:pStyle w:val="BodyText2"/>
      </w:pPr>
      <w:proofErr w:type="gramStart"/>
      <w:r w:rsidRPr="000F7ADA">
        <w:rPr>
          <w:i/>
        </w:rPr>
        <w:t>report</w:t>
      </w:r>
      <w:proofErr w:type="gramEnd"/>
      <w:r w:rsidRPr="000F7ADA">
        <w:rPr>
          <w:i/>
        </w:rPr>
        <w:t xml:space="preserve"> publicly on its regulatory management</w:t>
      </w:r>
      <w:r>
        <w:t xml:space="preserve"> </w:t>
      </w:r>
      <w:r w:rsidRPr="000F7ADA">
        <w:rPr>
          <w:i/>
        </w:rPr>
        <w:t>strategy</w:t>
      </w:r>
      <w:r>
        <w:t>, the state of the regulatory stock, and plans for improvement</w:t>
      </w:r>
      <w:r w:rsidR="006E0860">
        <w:t xml:space="preserve">, </w:t>
      </w:r>
      <w:r w:rsidR="00E159F4">
        <w:t>including e</w:t>
      </w:r>
      <w:r w:rsidR="00C23CD1">
        <w:t>n</w:t>
      </w:r>
      <w:r>
        <w:t>gag</w:t>
      </w:r>
      <w:r w:rsidR="00E159F4">
        <w:t xml:space="preserve">ing </w:t>
      </w:r>
      <w:r>
        <w:t xml:space="preserve">actively with stakeholders and other regulatory agencies, and </w:t>
      </w:r>
      <w:r w:rsidR="00C23CD1">
        <w:t xml:space="preserve">undertaking </w:t>
      </w:r>
      <w:r>
        <w:t xml:space="preserve">rigorous organisational self-review. </w:t>
      </w:r>
    </w:p>
    <w:p w:rsidR="00BF6ABA" w:rsidRDefault="00A969B9" w:rsidP="00B85C02">
      <w:pPr>
        <w:pStyle w:val="BodyText"/>
      </w:pPr>
      <w:r>
        <w:t xml:space="preserve">These </w:t>
      </w:r>
      <w:r w:rsidR="000E7D95">
        <w:t xml:space="preserve">requirements </w:t>
      </w:r>
      <w:r>
        <w:t>will impact on the stewardship of the current regulatory regime</w:t>
      </w:r>
      <w:r w:rsidR="00B61A79">
        <w:t>,</w:t>
      </w:r>
      <w:r>
        <w:t xml:space="preserve"> and also influence the development of the new regime</w:t>
      </w:r>
      <w:r w:rsidR="004504FD">
        <w:t xml:space="preserve"> (</w:t>
      </w:r>
      <w:proofErr w:type="spellStart"/>
      <w:r w:rsidR="004504FD">
        <w:t>ie</w:t>
      </w:r>
      <w:proofErr w:type="spellEnd"/>
      <w:r w:rsidR="004504FD">
        <w:t>, the design will need to enable and be compatible with effective stewardship</w:t>
      </w:r>
      <w:r w:rsidR="00B922B8">
        <w:t>)</w:t>
      </w:r>
      <w:r>
        <w:t>.</w:t>
      </w:r>
    </w:p>
    <w:sectPr w:rsidR="00BF6ABA" w:rsidSect="007A4CBF">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134" w:left="1418" w:header="454" w:footer="454"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942" w:rsidRDefault="00B66942" w:rsidP="00F72085">
      <w:r>
        <w:separator/>
      </w:r>
    </w:p>
  </w:endnote>
  <w:endnote w:type="continuationSeparator" w:id="0">
    <w:p w:rsidR="00B66942" w:rsidRDefault="00B66942" w:rsidP="00F7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157" w:rsidRDefault="00495157" w:rsidP="003074B4">
    <w:pPr>
      <w:pStyle w:val="Footer"/>
    </w:pPr>
    <w:r>
      <w:rPr>
        <w:noProof w:val="0"/>
      </w:rPr>
      <w:fldChar w:fldCharType="begin"/>
    </w:r>
    <w:r>
      <w:instrText xml:space="preserve"> PAGE   \* MERGEFORMAT </w:instrText>
    </w:r>
    <w:r>
      <w:rPr>
        <w:noProof w:val="0"/>
      </w:rPr>
      <w:fldChar w:fldCharType="separate"/>
    </w:r>
    <w:r w:rsidR="00830E17">
      <w:t>20</w:t>
    </w:r>
    <w:r>
      <w:fldChar w:fldCharType="end"/>
    </w:r>
  </w:p>
  <w:p w:rsidR="00495157" w:rsidRPr="00C73AEA" w:rsidRDefault="00495157" w:rsidP="003074B4">
    <w:pPr>
      <w:pStyle w:val="Even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157" w:rsidRDefault="00495157">
    <w:pPr>
      <w:pStyle w:val="Footer"/>
    </w:pPr>
    <w:r>
      <w:rPr>
        <w:noProof w:val="0"/>
      </w:rPr>
      <w:fldChar w:fldCharType="begin"/>
    </w:r>
    <w:r>
      <w:instrText xml:space="preserve"> PAGE   \* MERGEFORMAT </w:instrText>
    </w:r>
    <w:r>
      <w:rPr>
        <w:noProof w:val="0"/>
      </w:rPr>
      <w:fldChar w:fldCharType="separate"/>
    </w:r>
    <w:r w:rsidR="00830E17">
      <w:t>21</w:t>
    </w:r>
    <w:r>
      <w:fldChar w:fldCharType="end"/>
    </w:r>
  </w:p>
  <w:p w:rsidR="00495157" w:rsidRPr="00C73AEA" w:rsidRDefault="00495157" w:rsidP="003074B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157" w:rsidRDefault="00495157" w:rsidP="003074B4">
    <w:pPr>
      <w:pStyle w:val="Footer"/>
    </w:pPr>
    <w:r>
      <w:t>Regulatory Impact Statement: Ministry of Health - Therapeutic Products Regulation</w:t>
    </w:r>
  </w:p>
  <w:p w:rsidR="00495157" w:rsidRDefault="00495157" w:rsidP="003074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942" w:rsidRDefault="00B66942" w:rsidP="00F72085">
      <w:r>
        <w:separator/>
      </w:r>
    </w:p>
  </w:footnote>
  <w:footnote w:type="continuationSeparator" w:id="0">
    <w:p w:rsidR="00B66942" w:rsidRDefault="00B66942" w:rsidP="00F7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157" w:rsidRDefault="004951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157" w:rsidRDefault="004951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157" w:rsidRDefault="004951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E73F3"/>
    <w:multiLevelType w:val="hybridMultilevel"/>
    <w:tmpl w:val="3BAA601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7ED5290"/>
    <w:multiLevelType w:val="hybridMultilevel"/>
    <w:tmpl w:val="14A45B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nsid w:val="093C05EE"/>
    <w:multiLevelType w:val="hybridMultilevel"/>
    <w:tmpl w:val="5B44C3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09DF6FF6"/>
    <w:multiLevelType w:val="hybridMultilevel"/>
    <w:tmpl w:val="E17849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nsid w:val="0EE2349B"/>
    <w:multiLevelType w:val="hybridMultilevel"/>
    <w:tmpl w:val="25769768"/>
    <w:lvl w:ilvl="0" w:tplc="11A43218">
      <w:start w:val="1"/>
      <w:numFmt w:val="bullet"/>
      <w:pStyle w:val="BodyText2"/>
      <w:lvlText w:val=""/>
      <w:lvlJc w:val="left"/>
      <w:pPr>
        <w:ind w:left="-207" w:hanging="360"/>
      </w:pPr>
      <w:rPr>
        <w:rFonts w:ascii="Symbol" w:hAnsi="Symbol" w:hint="default"/>
      </w:rPr>
    </w:lvl>
    <w:lvl w:ilvl="1" w:tplc="14090003" w:tentative="1">
      <w:start w:val="1"/>
      <w:numFmt w:val="bullet"/>
      <w:lvlText w:val="o"/>
      <w:lvlJc w:val="left"/>
      <w:pPr>
        <w:ind w:left="513" w:hanging="360"/>
      </w:pPr>
      <w:rPr>
        <w:rFonts w:ascii="Courier New" w:hAnsi="Courier New" w:cs="Courier New" w:hint="default"/>
      </w:rPr>
    </w:lvl>
    <w:lvl w:ilvl="2" w:tplc="14090005" w:tentative="1">
      <w:start w:val="1"/>
      <w:numFmt w:val="bullet"/>
      <w:lvlText w:val=""/>
      <w:lvlJc w:val="left"/>
      <w:pPr>
        <w:ind w:left="1233" w:hanging="360"/>
      </w:pPr>
      <w:rPr>
        <w:rFonts w:ascii="Wingdings" w:hAnsi="Wingdings" w:hint="default"/>
      </w:rPr>
    </w:lvl>
    <w:lvl w:ilvl="3" w:tplc="14090001" w:tentative="1">
      <w:start w:val="1"/>
      <w:numFmt w:val="bullet"/>
      <w:lvlText w:val=""/>
      <w:lvlJc w:val="left"/>
      <w:pPr>
        <w:ind w:left="1953" w:hanging="360"/>
      </w:pPr>
      <w:rPr>
        <w:rFonts w:ascii="Symbol" w:hAnsi="Symbol" w:hint="default"/>
      </w:rPr>
    </w:lvl>
    <w:lvl w:ilvl="4" w:tplc="14090003" w:tentative="1">
      <w:start w:val="1"/>
      <w:numFmt w:val="bullet"/>
      <w:lvlText w:val="o"/>
      <w:lvlJc w:val="left"/>
      <w:pPr>
        <w:ind w:left="2673" w:hanging="360"/>
      </w:pPr>
      <w:rPr>
        <w:rFonts w:ascii="Courier New" w:hAnsi="Courier New" w:cs="Courier New" w:hint="default"/>
      </w:rPr>
    </w:lvl>
    <w:lvl w:ilvl="5" w:tplc="14090005" w:tentative="1">
      <w:start w:val="1"/>
      <w:numFmt w:val="bullet"/>
      <w:lvlText w:val=""/>
      <w:lvlJc w:val="left"/>
      <w:pPr>
        <w:ind w:left="3393" w:hanging="360"/>
      </w:pPr>
      <w:rPr>
        <w:rFonts w:ascii="Wingdings" w:hAnsi="Wingdings" w:hint="default"/>
      </w:rPr>
    </w:lvl>
    <w:lvl w:ilvl="6" w:tplc="14090001" w:tentative="1">
      <w:start w:val="1"/>
      <w:numFmt w:val="bullet"/>
      <w:lvlText w:val=""/>
      <w:lvlJc w:val="left"/>
      <w:pPr>
        <w:ind w:left="4113" w:hanging="360"/>
      </w:pPr>
      <w:rPr>
        <w:rFonts w:ascii="Symbol" w:hAnsi="Symbol" w:hint="default"/>
      </w:rPr>
    </w:lvl>
    <w:lvl w:ilvl="7" w:tplc="14090003" w:tentative="1">
      <w:start w:val="1"/>
      <w:numFmt w:val="bullet"/>
      <w:lvlText w:val="o"/>
      <w:lvlJc w:val="left"/>
      <w:pPr>
        <w:ind w:left="4833" w:hanging="360"/>
      </w:pPr>
      <w:rPr>
        <w:rFonts w:ascii="Courier New" w:hAnsi="Courier New" w:cs="Courier New" w:hint="default"/>
      </w:rPr>
    </w:lvl>
    <w:lvl w:ilvl="8" w:tplc="14090005" w:tentative="1">
      <w:start w:val="1"/>
      <w:numFmt w:val="bullet"/>
      <w:lvlText w:val=""/>
      <w:lvlJc w:val="left"/>
      <w:pPr>
        <w:ind w:left="5553" w:hanging="360"/>
      </w:pPr>
      <w:rPr>
        <w:rFonts w:ascii="Wingdings" w:hAnsi="Wingdings" w:hint="default"/>
      </w:rPr>
    </w:lvl>
  </w:abstractNum>
  <w:abstractNum w:abstractNumId="5">
    <w:nsid w:val="11837709"/>
    <w:multiLevelType w:val="hybridMultilevel"/>
    <w:tmpl w:val="F1C4B1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12A7447B"/>
    <w:multiLevelType w:val="hybridMultilevel"/>
    <w:tmpl w:val="2CBA4A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5CE426C"/>
    <w:multiLevelType w:val="hybridMultilevel"/>
    <w:tmpl w:val="F6E6A1C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nsid w:val="16DC2617"/>
    <w:multiLevelType w:val="hybridMultilevel"/>
    <w:tmpl w:val="E05A784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nsid w:val="214D4A13"/>
    <w:multiLevelType w:val="hybridMultilevel"/>
    <w:tmpl w:val="0A58106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nsid w:val="21655238"/>
    <w:multiLevelType w:val="hybridMultilevel"/>
    <w:tmpl w:val="C9182C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6A0763B"/>
    <w:multiLevelType w:val="multilevel"/>
    <w:tmpl w:val="61208056"/>
    <w:lvl w:ilvl="0">
      <w:start w:val="1"/>
      <w:numFmt w:val="bullet"/>
      <w:lvlText w:val=""/>
      <w:lvlJc w:val="left"/>
      <w:pPr>
        <w:tabs>
          <w:tab w:val="num" w:pos="720"/>
        </w:tabs>
        <w:ind w:left="720" w:hanging="720"/>
      </w:pPr>
      <w:rPr>
        <w:rFonts w:ascii="Symbol" w:hAnsi="Symbol" w:hint="default"/>
      </w:rPr>
    </w:lvl>
    <w:lvl w:ilvl="1">
      <w:start w:val="1"/>
      <w:numFmt w:val="decimal"/>
      <w:lvlText w:val="%1.%2"/>
      <w:lvlJc w:val="left"/>
      <w:pPr>
        <w:tabs>
          <w:tab w:val="num" w:pos="-5223"/>
        </w:tabs>
        <w:ind w:left="-5223" w:hanging="720"/>
      </w:pPr>
      <w:rPr>
        <w:rFonts w:hint="default"/>
      </w:rPr>
    </w:lvl>
    <w:lvl w:ilvl="2">
      <w:start w:val="1"/>
      <w:numFmt w:val="decimal"/>
      <w:lvlText w:val="%1.%2.%3"/>
      <w:lvlJc w:val="left"/>
      <w:pPr>
        <w:tabs>
          <w:tab w:val="num" w:pos="-4253"/>
        </w:tabs>
        <w:ind w:left="-4253" w:hanging="970"/>
      </w:pPr>
      <w:rPr>
        <w:rFonts w:hint="default"/>
      </w:rPr>
    </w:lvl>
    <w:lvl w:ilvl="3">
      <w:start w:val="1"/>
      <w:numFmt w:val="decimal"/>
      <w:lvlText w:val="%1.%2.%3.%4"/>
      <w:lvlJc w:val="left"/>
      <w:pPr>
        <w:tabs>
          <w:tab w:val="num" w:pos="-3091"/>
        </w:tabs>
        <w:ind w:left="-3091" w:hanging="1162"/>
      </w:pPr>
      <w:rPr>
        <w:rFonts w:hint="default"/>
      </w:rPr>
    </w:lvl>
    <w:lvl w:ilvl="4">
      <w:start w:val="1"/>
      <w:numFmt w:val="decimal"/>
      <w:lvlText w:val="%1.%2.%3.%4.%5"/>
      <w:lvlJc w:val="left"/>
      <w:pPr>
        <w:tabs>
          <w:tab w:val="num" w:pos="-1787"/>
        </w:tabs>
        <w:ind w:left="-1787" w:hanging="1304"/>
      </w:pPr>
      <w:rPr>
        <w:rFonts w:hint="default"/>
      </w:rPr>
    </w:lvl>
    <w:lvl w:ilvl="5">
      <w:start w:val="1"/>
      <w:numFmt w:val="decimal"/>
      <w:lvlText w:val="(%6)"/>
      <w:lvlJc w:val="left"/>
      <w:pPr>
        <w:tabs>
          <w:tab w:val="num" w:pos="-4503"/>
        </w:tabs>
        <w:ind w:left="-4503" w:hanging="363"/>
      </w:pPr>
      <w:rPr>
        <w:rFonts w:hint="default"/>
      </w:rPr>
    </w:lvl>
    <w:lvl w:ilvl="6">
      <w:start w:val="1"/>
      <w:numFmt w:val="lowerRoman"/>
      <w:lvlText w:val="%7)"/>
      <w:lvlJc w:val="left"/>
      <w:pPr>
        <w:tabs>
          <w:tab w:val="num" w:pos="-3783"/>
        </w:tabs>
        <w:ind w:left="-4146" w:hanging="357"/>
      </w:pPr>
      <w:rPr>
        <w:rFonts w:hint="default"/>
      </w:rPr>
    </w:lvl>
    <w:lvl w:ilvl="7">
      <w:start w:val="1"/>
      <w:numFmt w:val="lowerLetter"/>
      <w:lvlText w:val="%8)"/>
      <w:lvlJc w:val="left"/>
      <w:pPr>
        <w:tabs>
          <w:tab w:val="num" w:pos="-3783"/>
        </w:tabs>
        <w:ind w:left="-3783" w:hanging="363"/>
      </w:pPr>
      <w:rPr>
        <w:rFonts w:hint="default"/>
      </w:rPr>
    </w:lvl>
    <w:lvl w:ilvl="8">
      <w:start w:val="1"/>
      <w:numFmt w:val="lowerRoman"/>
      <w:lvlText w:val="%9."/>
      <w:lvlJc w:val="left"/>
      <w:pPr>
        <w:tabs>
          <w:tab w:val="num" w:pos="-3426"/>
        </w:tabs>
        <w:ind w:left="-3426" w:hanging="357"/>
      </w:pPr>
      <w:rPr>
        <w:rFonts w:hint="default"/>
      </w:rPr>
    </w:lvl>
  </w:abstractNum>
  <w:abstractNum w:abstractNumId="12">
    <w:nsid w:val="27051E54"/>
    <w:multiLevelType w:val="hybridMultilevel"/>
    <w:tmpl w:val="50F6742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nsid w:val="28032FAA"/>
    <w:multiLevelType w:val="hybridMultilevel"/>
    <w:tmpl w:val="41549C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2981074F"/>
    <w:multiLevelType w:val="hybridMultilevel"/>
    <w:tmpl w:val="3738D19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nsid w:val="2A2F0C05"/>
    <w:multiLevelType w:val="hybridMultilevel"/>
    <w:tmpl w:val="8E84CC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B080812"/>
    <w:multiLevelType w:val="hybridMultilevel"/>
    <w:tmpl w:val="51C45B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2E0108DA"/>
    <w:multiLevelType w:val="hybridMultilevel"/>
    <w:tmpl w:val="4C6E9138"/>
    <w:lvl w:ilvl="0" w:tplc="9D56693E">
      <w:start w:val="11"/>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19B4D16"/>
    <w:multiLevelType w:val="hybridMultilevel"/>
    <w:tmpl w:val="2A5C75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nsid w:val="31AC5BCC"/>
    <w:multiLevelType w:val="multilevel"/>
    <w:tmpl w:val="B33C8C64"/>
    <w:lvl w:ilvl="0">
      <w:start w:val="1"/>
      <w:numFmt w:val="decimal"/>
      <w:pStyle w:val="CabStandard"/>
      <w:lvlText w:val="%1"/>
      <w:lvlJc w:val="left"/>
      <w:pPr>
        <w:tabs>
          <w:tab w:val="num" w:pos="7383"/>
        </w:tabs>
        <w:ind w:left="7383"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20">
    <w:nsid w:val="31B64BDF"/>
    <w:multiLevelType w:val="hybridMultilevel"/>
    <w:tmpl w:val="927E823A"/>
    <w:lvl w:ilvl="0" w:tplc="7E9E1BF0">
      <w:start w:val="1"/>
      <w:numFmt w:val="decimal"/>
      <w:pStyle w:val="BodyText"/>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32215C14"/>
    <w:multiLevelType w:val="hybridMultilevel"/>
    <w:tmpl w:val="7EA6480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nsid w:val="329D775B"/>
    <w:multiLevelType w:val="hybridMultilevel"/>
    <w:tmpl w:val="5EBCEDC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35E541AC"/>
    <w:multiLevelType w:val="hybridMultilevel"/>
    <w:tmpl w:val="6212A5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nsid w:val="35EB3A76"/>
    <w:multiLevelType w:val="hybridMultilevel"/>
    <w:tmpl w:val="4502BF5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nsid w:val="37DC27CA"/>
    <w:multiLevelType w:val="multilevel"/>
    <w:tmpl w:val="07A473D0"/>
    <w:lvl w:ilvl="0">
      <w:start w:val="1"/>
      <w:numFmt w:val="bullet"/>
      <w:pStyle w:val="Subtitle"/>
      <w:lvlText w:val=""/>
      <w:lvlJc w:val="left"/>
      <w:pPr>
        <w:tabs>
          <w:tab w:val="num" w:pos="284"/>
        </w:tabs>
        <w:ind w:left="284" w:hanging="284"/>
      </w:pPr>
      <w:rPr>
        <w:rFonts w:ascii="Wingdings" w:hAnsi="Wingdings" w:hint="default"/>
      </w:rPr>
    </w:lvl>
    <w:lvl w:ilvl="1">
      <w:start w:val="1"/>
      <w:numFmt w:val="bullet"/>
      <w:pStyle w:val="SubtitleChar"/>
      <w:lvlText w:val="–"/>
      <w:lvlJc w:val="left"/>
      <w:pPr>
        <w:tabs>
          <w:tab w:val="num" w:pos="567"/>
        </w:tabs>
        <w:ind w:left="567" w:hanging="283"/>
      </w:pPr>
      <w:rPr>
        <w:rFonts w:ascii="Times New Roman" w:hAnsi="Times New Roman" w:cs="Times New Roman"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6">
    <w:nsid w:val="38DE5A8D"/>
    <w:multiLevelType w:val="hybridMultilevel"/>
    <w:tmpl w:val="1BE440D0"/>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38E6217E"/>
    <w:multiLevelType w:val="hybridMultilevel"/>
    <w:tmpl w:val="09D6B5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nsid w:val="42A44495"/>
    <w:multiLevelType w:val="hybridMultilevel"/>
    <w:tmpl w:val="CFBE64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nsid w:val="46CE1344"/>
    <w:multiLevelType w:val="hybridMultilevel"/>
    <w:tmpl w:val="725225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0">
    <w:nsid w:val="48425142"/>
    <w:multiLevelType w:val="hybridMultilevel"/>
    <w:tmpl w:val="16B6B1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4B791D57"/>
    <w:multiLevelType w:val="hybridMultilevel"/>
    <w:tmpl w:val="89A28A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2">
    <w:nsid w:val="4BCB01B5"/>
    <w:multiLevelType w:val="hybridMultilevel"/>
    <w:tmpl w:val="6882E2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3">
    <w:nsid w:val="4BFF4185"/>
    <w:multiLevelType w:val="hybridMultilevel"/>
    <w:tmpl w:val="899A773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4">
    <w:nsid w:val="4C0C1FCA"/>
    <w:multiLevelType w:val="hybridMultilevel"/>
    <w:tmpl w:val="82F099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nsid w:val="4C2432FE"/>
    <w:multiLevelType w:val="hybridMultilevel"/>
    <w:tmpl w:val="EAE282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nsid w:val="548532DC"/>
    <w:multiLevelType w:val="hybridMultilevel"/>
    <w:tmpl w:val="D764AFD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nsid w:val="561A693C"/>
    <w:multiLevelType w:val="hybridMultilevel"/>
    <w:tmpl w:val="C8423C5E"/>
    <w:lvl w:ilvl="0" w:tplc="41F4BD7E">
      <w:start w:val="1"/>
      <w:numFmt w:val="bullet"/>
      <w:pStyle w:val="CommentSubject"/>
      <w:lvlText w:val="•"/>
      <w:lvlJc w:val="left"/>
      <w:pPr>
        <w:tabs>
          <w:tab w:val="num" w:pos="644"/>
        </w:tabs>
        <w:ind w:left="567" w:hanging="283"/>
      </w:pPr>
      <w:rPr>
        <w:rFonts w:hAnsi="Aria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77D113E"/>
    <w:multiLevelType w:val="hybridMultilevel"/>
    <w:tmpl w:val="4BD217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nsid w:val="62D5528D"/>
    <w:multiLevelType w:val="hybridMultilevel"/>
    <w:tmpl w:val="F75AB8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nsid w:val="641B2B87"/>
    <w:multiLevelType w:val="hybridMultilevel"/>
    <w:tmpl w:val="3BDCB7D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1">
    <w:nsid w:val="67975A58"/>
    <w:multiLevelType w:val="hybridMultilevel"/>
    <w:tmpl w:val="45680D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68722AC4"/>
    <w:multiLevelType w:val="hybridMultilevel"/>
    <w:tmpl w:val="BCFA5BE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nsid w:val="6CD1585E"/>
    <w:multiLevelType w:val="hybridMultilevel"/>
    <w:tmpl w:val="99560D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4">
    <w:nsid w:val="6D0D68D9"/>
    <w:multiLevelType w:val="hybridMultilevel"/>
    <w:tmpl w:val="2E9EAE1A"/>
    <w:lvl w:ilvl="0" w:tplc="E2C8BEB8">
      <w:start w:val="1"/>
      <w:numFmt w:val="bullet"/>
      <w:lvlText w:val=""/>
      <w:lvlJc w:val="left"/>
      <w:pPr>
        <w:ind w:left="720" w:hanging="360"/>
      </w:pPr>
      <w:rPr>
        <w:rFonts w:ascii="Symbol" w:hAnsi="Symbol" w:hint="default"/>
      </w:rPr>
    </w:lvl>
    <w:lvl w:ilvl="1" w:tplc="6A549158">
      <w:start w:val="1"/>
      <w:numFmt w:val="bullet"/>
      <w:pStyle w:val="Table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6DCA360B"/>
    <w:multiLevelType w:val="hybridMultilevel"/>
    <w:tmpl w:val="160C24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nsid w:val="71093D92"/>
    <w:multiLevelType w:val="hybridMultilevel"/>
    <w:tmpl w:val="7B3E56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nsid w:val="7207553B"/>
    <w:multiLevelType w:val="hybridMultilevel"/>
    <w:tmpl w:val="E5324078"/>
    <w:lvl w:ilvl="0" w:tplc="9D56693E">
      <w:start w:val="11"/>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nsid w:val="75C30415"/>
    <w:multiLevelType w:val="hybridMultilevel"/>
    <w:tmpl w:val="B15EEF0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9">
    <w:nsid w:val="76FF77E0"/>
    <w:multiLevelType w:val="hybridMultilevel"/>
    <w:tmpl w:val="5A44732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0">
    <w:nsid w:val="78B62A95"/>
    <w:multiLevelType w:val="hybridMultilevel"/>
    <w:tmpl w:val="0DFA8CA6"/>
    <w:lvl w:ilvl="0" w:tplc="3B50D8EE">
      <w:start w:val="11"/>
      <w:numFmt w:val="bullet"/>
      <w:pStyle w:val="BodyText3"/>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1">
    <w:nsid w:val="7A6678FB"/>
    <w:multiLevelType w:val="hybridMultilevel"/>
    <w:tmpl w:val="AA2E17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2">
    <w:nsid w:val="7DCA04EC"/>
    <w:multiLevelType w:val="hybridMultilevel"/>
    <w:tmpl w:val="DEA29B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7"/>
  </w:num>
  <w:num w:numId="2">
    <w:abstractNumId w:val="26"/>
  </w:num>
  <w:num w:numId="3">
    <w:abstractNumId w:val="25"/>
  </w:num>
  <w:num w:numId="4">
    <w:abstractNumId w:val="44"/>
  </w:num>
  <w:num w:numId="5">
    <w:abstractNumId w:val="19"/>
  </w:num>
  <w:num w:numId="6">
    <w:abstractNumId w:val="11"/>
  </w:num>
  <w:num w:numId="7">
    <w:abstractNumId w:val="43"/>
  </w:num>
  <w:num w:numId="8">
    <w:abstractNumId w:val="40"/>
  </w:num>
  <w:num w:numId="9">
    <w:abstractNumId w:val="0"/>
  </w:num>
  <w:num w:numId="10">
    <w:abstractNumId w:val="42"/>
  </w:num>
  <w:num w:numId="11">
    <w:abstractNumId w:val="6"/>
  </w:num>
  <w:num w:numId="12">
    <w:abstractNumId w:val="46"/>
  </w:num>
  <w:num w:numId="13">
    <w:abstractNumId w:val="29"/>
  </w:num>
  <w:num w:numId="14">
    <w:abstractNumId w:val="32"/>
  </w:num>
  <w:num w:numId="15">
    <w:abstractNumId w:val="3"/>
  </w:num>
  <w:num w:numId="16">
    <w:abstractNumId w:val="21"/>
  </w:num>
  <w:num w:numId="17">
    <w:abstractNumId w:val="28"/>
  </w:num>
  <w:num w:numId="18">
    <w:abstractNumId w:val="1"/>
  </w:num>
  <w:num w:numId="19">
    <w:abstractNumId w:val="31"/>
  </w:num>
  <w:num w:numId="20">
    <w:abstractNumId w:val="50"/>
  </w:num>
  <w:num w:numId="21">
    <w:abstractNumId w:val="7"/>
  </w:num>
  <w:num w:numId="22">
    <w:abstractNumId w:val="24"/>
  </w:num>
  <w:num w:numId="23">
    <w:abstractNumId w:val="47"/>
  </w:num>
  <w:num w:numId="24">
    <w:abstractNumId w:val="15"/>
  </w:num>
  <w:num w:numId="25">
    <w:abstractNumId w:val="39"/>
  </w:num>
  <w:num w:numId="26">
    <w:abstractNumId w:val="4"/>
  </w:num>
  <w:num w:numId="27">
    <w:abstractNumId w:val="20"/>
  </w:num>
  <w:num w:numId="28">
    <w:abstractNumId w:val="45"/>
  </w:num>
  <w:num w:numId="29">
    <w:abstractNumId w:val="38"/>
  </w:num>
  <w:num w:numId="30">
    <w:abstractNumId w:val="22"/>
  </w:num>
  <w:num w:numId="31">
    <w:abstractNumId w:val="35"/>
  </w:num>
  <w:num w:numId="32">
    <w:abstractNumId w:val="33"/>
  </w:num>
  <w:num w:numId="33">
    <w:abstractNumId w:val="49"/>
  </w:num>
  <w:num w:numId="34">
    <w:abstractNumId w:val="13"/>
  </w:num>
  <w:num w:numId="35">
    <w:abstractNumId w:val="8"/>
  </w:num>
  <w:num w:numId="36">
    <w:abstractNumId w:val="52"/>
  </w:num>
  <w:num w:numId="37">
    <w:abstractNumId w:val="30"/>
  </w:num>
  <w:num w:numId="38">
    <w:abstractNumId w:val="51"/>
  </w:num>
  <w:num w:numId="39">
    <w:abstractNumId w:val="34"/>
  </w:num>
  <w:num w:numId="40">
    <w:abstractNumId w:val="10"/>
  </w:num>
  <w:num w:numId="41">
    <w:abstractNumId w:val="17"/>
  </w:num>
  <w:num w:numId="42">
    <w:abstractNumId w:val="18"/>
  </w:num>
  <w:num w:numId="43">
    <w:abstractNumId w:val="23"/>
  </w:num>
  <w:num w:numId="44">
    <w:abstractNumId w:val="27"/>
  </w:num>
  <w:num w:numId="45">
    <w:abstractNumId w:val="12"/>
  </w:num>
  <w:num w:numId="46">
    <w:abstractNumId w:val="2"/>
  </w:num>
  <w:num w:numId="47">
    <w:abstractNumId w:val="16"/>
  </w:num>
  <w:num w:numId="48">
    <w:abstractNumId w:val="41"/>
  </w:num>
  <w:num w:numId="49">
    <w:abstractNumId w:val="5"/>
  </w:num>
  <w:num w:numId="50">
    <w:abstractNumId w:val="14"/>
  </w:num>
  <w:num w:numId="51">
    <w:abstractNumId w:val="48"/>
  </w:num>
  <w:num w:numId="52">
    <w:abstractNumId w:val="36"/>
  </w:num>
  <w:num w:numId="53">
    <w:abstractNumId w:val="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Moves/>
  <w:defaultTabStop w:val="567"/>
  <w:evenAndOddHeaders/>
  <w:drawingGridHorizontalSpacing w:val="110"/>
  <w:displayHorizontalDrawingGridEvery w:val="0"/>
  <w:displayVerticalDrawingGridEvery w:val="0"/>
  <w:noPunctuationKerning/>
  <w:characterSpacingControl w:val="doNotCompress"/>
  <w:hdrShapeDefaults>
    <o:shapedefaults v:ext="edit" spidmax="2049" fillcolor="white" stroke="f">
      <v:fill color="white" opacity="0"/>
      <v:stroke on="f"/>
      <o:colormru v:ext="edit" colors="#ddd,#cfcfcf,#cacaca,#66f,blue,#ccd3e1,#002469,#335087"/>
    </o:shapedefaults>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5"/>
  </w:compat>
  <w:rsids>
    <w:rsidRoot w:val="005D2127"/>
    <w:rsid w:val="00001539"/>
    <w:rsid w:val="00001893"/>
    <w:rsid w:val="00001A77"/>
    <w:rsid w:val="00002433"/>
    <w:rsid w:val="000037F4"/>
    <w:rsid w:val="00004A8A"/>
    <w:rsid w:val="00005DC9"/>
    <w:rsid w:val="00010986"/>
    <w:rsid w:val="00010F7D"/>
    <w:rsid w:val="00011C46"/>
    <w:rsid w:val="00013A18"/>
    <w:rsid w:val="00014196"/>
    <w:rsid w:val="000147DC"/>
    <w:rsid w:val="00015072"/>
    <w:rsid w:val="00015CB6"/>
    <w:rsid w:val="00016722"/>
    <w:rsid w:val="000176F2"/>
    <w:rsid w:val="0002068B"/>
    <w:rsid w:val="00020B82"/>
    <w:rsid w:val="00021B06"/>
    <w:rsid w:val="000225B4"/>
    <w:rsid w:val="000232EB"/>
    <w:rsid w:val="00023980"/>
    <w:rsid w:val="00023BAB"/>
    <w:rsid w:val="00023EA6"/>
    <w:rsid w:val="0002568E"/>
    <w:rsid w:val="00025954"/>
    <w:rsid w:val="00025C3B"/>
    <w:rsid w:val="0002693D"/>
    <w:rsid w:val="0002778F"/>
    <w:rsid w:val="00030DEA"/>
    <w:rsid w:val="00033950"/>
    <w:rsid w:val="000343E7"/>
    <w:rsid w:val="00035185"/>
    <w:rsid w:val="00035F3E"/>
    <w:rsid w:val="00036A3D"/>
    <w:rsid w:val="00036AA6"/>
    <w:rsid w:val="00036EE4"/>
    <w:rsid w:val="000410F4"/>
    <w:rsid w:val="00041469"/>
    <w:rsid w:val="00041D0A"/>
    <w:rsid w:val="000421DF"/>
    <w:rsid w:val="000421E8"/>
    <w:rsid w:val="00042E36"/>
    <w:rsid w:val="000435AD"/>
    <w:rsid w:val="00044D6C"/>
    <w:rsid w:val="00044FB7"/>
    <w:rsid w:val="00045AFC"/>
    <w:rsid w:val="00046F46"/>
    <w:rsid w:val="00047559"/>
    <w:rsid w:val="00052091"/>
    <w:rsid w:val="000523FC"/>
    <w:rsid w:val="000526E4"/>
    <w:rsid w:val="000532C8"/>
    <w:rsid w:val="0005434D"/>
    <w:rsid w:val="0005503E"/>
    <w:rsid w:val="00055373"/>
    <w:rsid w:val="00056263"/>
    <w:rsid w:val="00056F77"/>
    <w:rsid w:val="00057AC4"/>
    <w:rsid w:val="000606D4"/>
    <w:rsid w:val="00060AAB"/>
    <w:rsid w:val="00060CD3"/>
    <w:rsid w:val="0006343D"/>
    <w:rsid w:val="00063BBF"/>
    <w:rsid w:val="000655B2"/>
    <w:rsid w:val="00070193"/>
    <w:rsid w:val="00073A19"/>
    <w:rsid w:val="00073F31"/>
    <w:rsid w:val="00074B13"/>
    <w:rsid w:val="00074D02"/>
    <w:rsid w:val="00080AA6"/>
    <w:rsid w:val="00080C3D"/>
    <w:rsid w:val="00080CE0"/>
    <w:rsid w:val="00080DE3"/>
    <w:rsid w:val="0008116C"/>
    <w:rsid w:val="00081CB1"/>
    <w:rsid w:val="00082ABC"/>
    <w:rsid w:val="00083846"/>
    <w:rsid w:val="00083896"/>
    <w:rsid w:val="00083ADB"/>
    <w:rsid w:val="00086007"/>
    <w:rsid w:val="000863E2"/>
    <w:rsid w:val="00086898"/>
    <w:rsid w:val="0008712F"/>
    <w:rsid w:val="000872DF"/>
    <w:rsid w:val="00087A25"/>
    <w:rsid w:val="00087C41"/>
    <w:rsid w:val="00093B8A"/>
    <w:rsid w:val="00094044"/>
    <w:rsid w:val="00096BFA"/>
    <w:rsid w:val="000A20D1"/>
    <w:rsid w:val="000A3185"/>
    <w:rsid w:val="000A39F4"/>
    <w:rsid w:val="000A43F8"/>
    <w:rsid w:val="000A4419"/>
    <w:rsid w:val="000B005C"/>
    <w:rsid w:val="000B01CC"/>
    <w:rsid w:val="000B0480"/>
    <w:rsid w:val="000B0615"/>
    <w:rsid w:val="000B0C12"/>
    <w:rsid w:val="000B0D42"/>
    <w:rsid w:val="000B16BF"/>
    <w:rsid w:val="000B3D82"/>
    <w:rsid w:val="000B4866"/>
    <w:rsid w:val="000B5B1E"/>
    <w:rsid w:val="000C04EE"/>
    <w:rsid w:val="000C0912"/>
    <w:rsid w:val="000C0B7D"/>
    <w:rsid w:val="000C26E9"/>
    <w:rsid w:val="000C379F"/>
    <w:rsid w:val="000C3EB5"/>
    <w:rsid w:val="000C43B6"/>
    <w:rsid w:val="000C442F"/>
    <w:rsid w:val="000C684B"/>
    <w:rsid w:val="000C6EED"/>
    <w:rsid w:val="000D0456"/>
    <w:rsid w:val="000D0FA0"/>
    <w:rsid w:val="000D2311"/>
    <w:rsid w:val="000D2A6B"/>
    <w:rsid w:val="000D2E18"/>
    <w:rsid w:val="000D46FE"/>
    <w:rsid w:val="000D5E01"/>
    <w:rsid w:val="000D6393"/>
    <w:rsid w:val="000D7A39"/>
    <w:rsid w:val="000D7C12"/>
    <w:rsid w:val="000E0036"/>
    <w:rsid w:val="000E054D"/>
    <w:rsid w:val="000E3979"/>
    <w:rsid w:val="000E3B7F"/>
    <w:rsid w:val="000E3CE1"/>
    <w:rsid w:val="000E730B"/>
    <w:rsid w:val="000E73FF"/>
    <w:rsid w:val="000E7C1C"/>
    <w:rsid w:val="000E7D95"/>
    <w:rsid w:val="000F03B0"/>
    <w:rsid w:val="000F3333"/>
    <w:rsid w:val="000F393C"/>
    <w:rsid w:val="000F4A1A"/>
    <w:rsid w:val="000F4F4D"/>
    <w:rsid w:val="000F6B64"/>
    <w:rsid w:val="000F6F99"/>
    <w:rsid w:val="000F7020"/>
    <w:rsid w:val="000F7ADA"/>
    <w:rsid w:val="001015C8"/>
    <w:rsid w:val="00101A24"/>
    <w:rsid w:val="00103C9D"/>
    <w:rsid w:val="00105FF9"/>
    <w:rsid w:val="0011303D"/>
    <w:rsid w:val="00113146"/>
    <w:rsid w:val="00114F56"/>
    <w:rsid w:val="00116006"/>
    <w:rsid w:val="00116B51"/>
    <w:rsid w:val="00120C8E"/>
    <w:rsid w:val="0012410B"/>
    <w:rsid w:val="00125812"/>
    <w:rsid w:val="00126CD1"/>
    <w:rsid w:val="00127757"/>
    <w:rsid w:val="00130E8F"/>
    <w:rsid w:val="00131FB7"/>
    <w:rsid w:val="00132606"/>
    <w:rsid w:val="001336E3"/>
    <w:rsid w:val="001339BB"/>
    <w:rsid w:val="00135955"/>
    <w:rsid w:val="00136EED"/>
    <w:rsid w:val="001376E0"/>
    <w:rsid w:val="0014064B"/>
    <w:rsid w:val="0014085C"/>
    <w:rsid w:val="00141B20"/>
    <w:rsid w:val="00141D39"/>
    <w:rsid w:val="00142051"/>
    <w:rsid w:val="00143437"/>
    <w:rsid w:val="00144369"/>
    <w:rsid w:val="00144ADC"/>
    <w:rsid w:val="00144BBB"/>
    <w:rsid w:val="00146FC1"/>
    <w:rsid w:val="00147E6E"/>
    <w:rsid w:val="00150932"/>
    <w:rsid w:val="00152D49"/>
    <w:rsid w:val="00157E18"/>
    <w:rsid w:val="00161022"/>
    <w:rsid w:val="00161358"/>
    <w:rsid w:val="00161502"/>
    <w:rsid w:val="001620EB"/>
    <w:rsid w:val="001641F5"/>
    <w:rsid w:val="0016538E"/>
    <w:rsid w:val="00166A7A"/>
    <w:rsid w:val="00166C49"/>
    <w:rsid w:val="001674EB"/>
    <w:rsid w:val="00167EE1"/>
    <w:rsid w:val="001705C4"/>
    <w:rsid w:val="00171281"/>
    <w:rsid w:val="001712D6"/>
    <w:rsid w:val="001726B0"/>
    <w:rsid w:val="00173790"/>
    <w:rsid w:val="00174A13"/>
    <w:rsid w:val="00175644"/>
    <w:rsid w:val="001767C7"/>
    <w:rsid w:val="00176A76"/>
    <w:rsid w:val="00176FA2"/>
    <w:rsid w:val="001800AF"/>
    <w:rsid w:val="00180A3B"/>
    <w:rsid w:val="00180BD5"/>
    <w:rsid w:val="00180D17"/>
    <w:rsid w:val="001816B0"/>
    <w:rsid w:val="00183D99"/>
    <w:rsid w:val="00183EB1"/>
    <w:rsid w:val="00184219"/>
    <w:rsid w:val="0018483D"/>
    <w:rsid w:val="00185884"/>
    <w:rsid w:val="001901C1"/>
    <w:rsid w:val="00190331"/>
    <w:rsid w:val="0019141D"/>
    <w:rsid w:val="00191B67"/>
    <w:rsid w:val="00191EEC"/>
    <w:rsid w:val="00193A55"/>
    <w:rsid w:val="00194CF9"/>
    <w:rsid w:val="00195771"/>
    <w:rsid w:val="00197273"/>
    <w:rsid w:val="0019737E"/>
    <w:rsid w:val="001A13C8"/>
    <w:rsid w:val="001A1C61"/>
    <w:rsid w:val="001A1DFB"/>
    <w:rsid w:val="001A5694"/>
    <w:rsid w:val="001A5BEE"/>
    <w:rsid w:val="001A6C15"/>
    <w:rsid w:val="001B0726"/>
    <w:rsid w:val="001B0DF0"/>
    <w:rsid w:val="001B1A87"/>
    <w:rsid w:val="001B1BDF"/>
    <w:rsid w:val="001B1D5C"/>
    <w:rsid w:val="001B24D5"/>
    <w:rsid w:val="001B2869"/>
    <w:rsid w:val="001B2EBB"/>
    <w:rsid w:val="001B377D"/>
    <w:rsid w:val="001B3F6D"/>
    <w:rsid w:val="001B3F81"/>
    <w:rsid w:val="001B41EF"/>
    <w:rsid w:val="001B457B"/>
    <w:rsid w:val="001B4E6C"/>
    <w:rsid w:val="001B7122"/>
    <w:rsid w:val="001B78BA"/>
    <w:rsid w:val="001C0CF6"/>
    <w:rsid w:val="001C2214"/>
    <w:rsid w:val="001C2523"/>
    <w:rsid w:val="001C2524"/>
    <w:rsid w:val="001C39EC"/>
    <w:rsid w:val="001C41C2"/>
    <w:rsid w:val="001C4555"/>
    <w:rsid w:val="001D02B5"/>
    <w:rsid w:val="001D04CA"/>
    <w:rsid w:val="001D0A46"/>
    <w:rsid w:val="001D22ED"/>
    <w:rsid w:val="001D3440"/>
    <w:rsid w:val="001D37FB"/>
    <w:rsid w:val="001D53A8"/>
    <w:rsid w:val="001D71D6"/>
    <w:rsid w:val="001D7325"/>
    <w:rsid w:val="001E1A8F"/>
    <w:rsid w:val="001E1F3D"/>
    <w:rsid w:val="001E1F8D"/>
    <w:rsid w:val="001E2164"/>
    <w:rsid w:val="001E691F"/>
    <w:rsid w:val="001F0DD3"/>
    <w:rsid w:val="001F1392"/>
    <w:rsid w:val="001F21CB"/>
    <w:rsid w:val="001F492F"/>
    <w:rsid w:val="001F4E41"/>
    <w:rsid w:val="001F5887"/>
    <w:rsid w:val="001F6750"/>
    <w:rsid w:val="001F7C73"/>
    <w:rsid w:val="00200311"/>
    <w:rsid w:val="002008D1"/>
    <w:rsid w:val="0020214C"/>
    <w:rsid w:val="0020298F"/>
    <w:rsid w:val="00202FA1"/>
    <w:rsid w:val="002036AA"/>
    <w:rsid w:val="00203789"/>
    <w:rsid w:val="00204BDC"/>
    <w:rsid w:val="00205334"/>
    <w:rsid w:val="0020581D"/>
    <w:rsid w:val="002065C1"/>
    <w:rsid w:val="00207091"/>
    <w:rsid w:val="00213A98"/>
    <w:rsid w:val="00213B41"/>
    <w:rsid w:val="00216B9F"/>
    <w:rsid w:val="00216DB5"/>
    <w:rsid w:val="00216F08"/>
    <w:rsid w:val="00222CA5"/>
    <w:rsid w:val="00224A1F"/>
    <w:rsid w:val="00224FC2"/>
    <w:rsid w:val="00225668"/>
    <w:rsid w:val="002258FC"/>
    <w:rsid w:val="00226226"/>
    <w:rsid w:val="00226FD2"/>
    <w:rsid w:val="00227D78"/>
    <w:rsid w:val="00227FE4"/>
    <w:rsid w:val="002317B4"/>
    <w:rsid w:val="0023297A"/>
    <w:rsid w:val="002331A0"/>
    <w:rsid w:val="00233682"/>
    <w:rsid w:val="00233DC9"/>
    <w:rsid w:val="0023447D"/>
    <w:rsid w:val="00234D64"/>
    <w:rsid w:val="002356C4"/>
    <w:rsid w:val="0023656B"/>
    <w:rsid w:val="0023708B"/>
    <w:rsid w:val="00237318"/>
    <w:rsid w:val="00237C68"/>
    <w:rsid w:val="00237FE9"/>
    <w:rsid w:val="0024130F"/>
    <w:rsid w:val="00241390"/>
    <w:rsid w:val="002417EC"/>
    <w:rsid w:val="00244662"/>
    <w:rsid w:val="00244932"/>
    <w:rsid w:val="00245DA0"/>
    <w:rsid w:val="00245E32"/>
    <w:rsid w:val="00247ADA"/>
    <w:rsid w:val="00250BFE"/>
    <w:rsid w:val="00251406"/>
    <w:rsid w:val="00251CD1"/>
    <w:rsid w:val="00253550"/>
    <w:rsid w:val="0025749C"/>
    <w:rsid w:val="00257836"/>
    <w:rsid w:val="00264EEE"/>
    <w:rsid w:val="0026530E"/>
    <w:rsid w:val="00265DED"/>
    <w:rsid w:val="00265E6C"/>
    <w:rsid w:val="00266A30"/>
    <w:rsid w:val="00267187"/>
    <w:rsid w:val="002678A2"/>
    <w:rsid w:val="0026794D"/>
    <w:rsid w:val="00267FAB"/>
    <w:rsid w:val="002712C8"/>
    <w:rsid w:val="002719ED"/>
    <w:rsid w:val="00271EB7"/>
    <w:rsid w:val="00272E82"/>
    <w:rsid w:val="00273732"/>
    <w:rsid w:val="0027386C"/>
    <w:rsid w:val="00273D5C"/>
    <w:rsid w:val="00273ECF"/>
    <w:rsid w:val="00275209"/>
    <w:rsid w:val="0027527B"/>
    <w:rsid w:val="00275B26"/>
    <w:rsid w:val="0027706F"/>
    <w:rsid w:val="00280C80"/>
    <w:rsid w:val="00281580"/>
    <w:rsid w:val="00281D82"/>
    <w:rsid w:val="002828F2"/>
    <w:rsid w:val="00282DD1"/>
    <w:rsid w:val="00283AFA"/>
    <w:rsid w:val="002855C8"/>
    <w:rsid w:val="002877E4"/>
    <w:rsid w:val="00287942"/>
    <w:rsid w:val="0029399F"/>
    <w:rsid w:val="00293E21"/>
    <w:rsid w:val="00295264"/>
    <w:rsid w:val="00296404"/>
    <w:rsid w:val="0029649F"/>
    <w:rsid w:val="00297749"/>
    <w:rsid w:val="002A05D3"/>
    <w:rsid w:val="002A06C6"/>
    <w:rsid w:val="002A11DE"/>
    <w:rsid w:val="002A535E"/>
    <w:rsid w:val="002A5881"/>
    <w:rsid w:val="002A5E7A"/>
    <w:rsid w:val="002B0025"/>
    <w:rsid w:val="002B0801"/>
    <w:rsid w:val="002B5324"/>
    <w:rsid w:val="002B56E7"/>
    <w:rsid w:val="002B5B79"/>
    <w:rsid w:val="002B620E"/>
    <w:rsid w:val="002C0074"/>
    <w:rsid w:val="002C097E"/>
    <w:rsid w:val="002C2315"/>
    <w:rsid w:val="002C2D0A"/>
    <w:rsid w:val="002C2D24"/>
    <w:rsid w:val="002C301D"/>
    <w:rsid w:val="002C45FE"/>
    <w:rsid w:val="002C4A38"/>
    <w:rsid w:val="002C6298"/>
    <w:rsid w:val="002C65B8"/>
    <w:rsid w:val="002C709A"/>
    <w:rsid w:val="002C734D"/>
    <w:rsid w:val="002C744C"/>
    <w:rsid w:val="002C7844"/>
    <w:rsid w:val="002D01BF"/>
    <w:rsid w:val="002D0FAA"/>
    <w:rsid w:val="002D17E9"/>
    <w:rsid w:val="002D3E81"/>
    <w:rsid w:val="002D4AC3"/>
    <w:rsid w:val="002D4EAA"/>
    <w:rsid w:val="002D52A0"/>
    <w:rsid w:val="002D6691"/>
    <w:rsid w:val="002D68CC"/>
    <w:rsid w:val="002E062E"/>
    <w:rsid w:val="002E1D30"/>
    <w:rsid w:val="002E28C6"/>
    <w:rsid w:val="002E3C26"/>
    <w:rsid w:val="002E4A77"/>
    <w:rsid w:val="002E4DB3"/>
    <w:rsid w:val="002E79A6"/>
    <w:rsid w:val="002E7EF9"/>
    <w:rsid w:val="002F10BF"/>
    <w:rsid w:val="002F110D"/>
    <w:rsid w:val="002F1293"/>
    <w:rsid w:val="002F2AC0"/>
    <w:rsid w:val="002F32BD"/>
    <w:rsid w:val="002F4407"/>
    <w:rsid w:val="002F5A1A"/>
    <w:rsid w:val="002F6E67"/>
    <w:rsid w:val="002F70A1"/>
    <w:rsid w:val="002F71F1"/>
    <w:rsid w:val="002F7C03"/>
    <w:rsid w:val="002F7E4B"/>
    <w:rsid w:val="0030052E"/>
    <w:rsid w:val="0030111A"/>
    <w:rsid w:val="003020F3"/>
    <w:rsid w:val="0030387A"/>
    <w:rsid w:val="003038AC"/>
    <w:rsid w:val="00305726"/>
    <w:rsid w:val="00306A2E"/>
    <w:rsid w:val="00306E9B"/>
    <w:rsid w:val="003074B4"/>
    <w:rsid w:val="003076FA"/>
    <w:rsid w:val="00310D70"/>
    <w:rsid w:val="0031214B"/>
    <w:rsid w:val="00312AEE"/>
    <w:rsid w:val="00313880"/>
    <w:rsid w:val="00313F3E"/>
    <w:rsid w:val="00315307"/>
    <w:rsid w:val="00315D17"/>
    <w:rsid w:val="00316AA9"/>
    <w:rsid w:val="003176BB"/>
    <w:rsid w:val="00317E1A"/>
    <w:rsid w:val="00322206"/>
    <w:rsid w:val="003237B0"/>
    <w:rsid w:val="0032386B"/>
    <w:rsid w:val="0032503F"/>
    <w:rsid w:val="003258CB"/>
    <w:rsid w:val="003262CE"/>
    <w:rsid w:val="003264ED"/>
    <w:rsid w:val="003308B4"/>
    <w:rsid w:val="00333209"/>
    <w:rsid w:val="00334A4E"/>
    <w:rsid w:val="00334C85"/>
    <w:rsid w:val="003352EF"/>
    <w:rsid w:val="00340721"/>
    <w:rsid w:val="003424A8"/>
    <w:rsid w:val="003425F7"/>
    <w:rsid w:val="00343012"/>
    <w:rsid w:val="00343233"/>
    <w:rsid w:val="00343B25"/>
    <w:rsid w:val="003441E3"/>
    <w:rsid w:val="003445EA"/>
    <w:rsid w:val="00347212"/>
    <w:rsid w:val="00350A74"/>
    <w:rsid w:val="00351EC0"/>
    <w:rsid w:val="00352990"/>
    <w:rsid w:val="00353113"/>
    <w:rsid w:val="00353518"/>
    <w:rsid w:val="00355F04"/>
    <w:rsid w:val="003613F4"/>
    <w:rsid w:val="00361819"/>
    <w:rsid w:val="00362464"/>
    <w:rsid w:val="00362FE1"/>
    <w:rsid w:val="00363DCE"/>
    <w:rsid w:val="00364E9D"/>
    <w:rsid w:val="00365680"/>
    <w:rsid w:val="00366939"/>
    <w:rsid w:val="00366A1A"/>
    <w:rsid w:val="00367B6E"/>
    <w:rsid w:val="0037065C"/>
    <w:rsid w:val="00370B2E"/>
    <w:rsid w:val="00372876"/>
    <w:rsid w:val="00372D68"/>
    <w:rsid w:val="003734EA"/>
    <w:rsid w:val="003737C5"/>
    <w:rsid w:val="0037447C"/>
    <w:rsid w:val="0037458C"/>
    <w:rsid w:val="00374E9A"/>
    <w:rsid w:val="0037693E"/>
    <w:rsid w:val="003775D5"/>
    <w:rsid w:val="00380F4F"/>
    <w:rsid w:val="00381DB8"/>
    <w:rsid w:val="003826A0"/>
    <w:rsid w:val="00383462"/>
    <w:rsid w:val="00383596"/>
    <w:rsid w:val="00383F10"/>
    <w:rsid w:val="0038514E"/>
    <w:rsid w:val="00385683"/>
    <w:rsid w:val="003858A6"/>
    <w:rsid w:val="00386DD1"/>
    <w:rsid w:val="00387AD4"/>
    <w:rsid w:val="00387CA4"/>
    <w:rsid w:val="00390F5A"/>
    <w:rsid w:val="00393196"/>
    <w:rsid w:val="00393C19"/>
    <w:rsid w:val="0039408A"/>
    <w:rsid w:val="00395750"/>
    <w:rsid w:val="0039581F"/>
    <w:rsid w:val="00395D86"/>
    <w:rsid w:val="00396861"/>
    <w:rsid w:val="0039783E"/>
    <w:rsid w:val="003A0009"/>
    <w:rsid w:val="003A0ADF"/>
    <w:rsid w:val="003A3E2B"/>
    <w:rsid w:val="003A4360"/>
    <w:rsid w:val="003A76E4"/>
    <w:rsid w:val="003B09F2"/>
    <w:rsid w:val="003B126D"/>
    <w:rsid w:val="003B1384"/>
    <w:rsid w:val="003B35B8"/>
    <w:rsid w:val="003B3BE5"/>
    <w:rsid w:val="003B4A9D"/>
    <w:rsid w:val="003B4B13"/>
    <w:rsid w:val="003B4D2C"/>
    <w:rsid w:val="003B53A6"/>
    <w:rsid w:val="003C0785"/>
    <w:rsid w:val="003C0FC4"/>
    <w:rsid w:val="003C1764"/>
    <w:rsid w:val="003C17CC"/>
    <w:rsid w:val="003C2219"/>
    <w:rsid w:val="003C2855"/>
    <w:rsid w:val="003C3AD0"/>
    <w:rsid w:val="003C4E26"/>
    <w:rsid w:val="003C56BA"/>
    <w:rsid w:val="003C62A2"/>
    <w:rsid w:val="003C722C"/>
    <w:rsid w:val="003C77AD"/>
    <w:rsid w:val="003C7985"/>
    <w:rsid w:val="003C7CAC"/>
    <w:rsid w:val="003D08DD"/>
    <w:rsid w:val="003D0D44"/>
    <w:rsid w:val="003D20ED"/>
    <w:rsid w:val="003D4416"/>
    <w:rsid w:val="003D4ED7"/>
    <w:rsid w:val="003D6531"/>
    <w:rsid w:val="003E017A"/>
    <w:rsid w:val="003E1FAF"/>
    <w:rsid w:val="003E20B9"/>
    <w:rsid w:val="003E3836"/>
    <w:rsid w:val="003E39B9"/>
    <w:rsid w:val="003E4AC8"/>
    <w:rsid w:val="003E4BB4"/>
    <w:rsid w:val="003E68FB"/>
    <w:rsid w:val="003E6C09"/>
    <w:rsid w:val="003E7F60"/>
    <w:rsid w:val="003F01CA"/>
    <w:rsid w:val="003F0F95"/>
    <w:rsid w:val="003F14AC"/>
    <w:rsid w:val="003F27A7"/>
    <w:rsid w:val="003F2D09"/>
    <w:rsid w:val="003F34BF"/>
    <w:rsid w:val="003F37EA"/>
    <w:rsid w:val="003F47F5"/>
    <w:rsid w:val="003F579E"/>
    <w:rsid w:val="003F59CC"/>
    <w:rsid w:val="003F5E57"/>
    <w:rsid w:val="003F5F9D"/>
    <w:rsid w:val="003F6577"/>
    <w:rsid w:val="003F7652"/>
    <w:rsid w:val="003F7EDA"/>
    <w:rsid w:val="00400AF5"/>
    <w:rsid w:val="00401D87"/>
    <w:rsid w:val="00402BF8"/>
    <w:rsid w:val="00403755"/>
    <w:rsid w:val="004041AC"/>
    <w:rsid w:val="00406227"/>
    <w:rsid w:val="00407D3B"/>
    <w:rsid w:val="00415CC4"/>
    <w:rsid w:val="00415FD6"/>
    <w:rsid w:val="0041696F"/>
    <w:rsid w:val="004177A2"/>
    <w:rsid w:val="00420663"/>
    <w:rsid w:val="00420D4C"/>
    <w:rsid w:val="0042187D"/>
    <w:rsid w:val="00423B79"/>
    <w:rsid w:val="004240D2"/>
    <w:rsid w:val="00424ADF"/>
    <w:rsid w:val="004303B8"/>
    <w:rsid w:val="004312B1"/>
    <w:rsid w:val="00431677"/>
    <w:rsid w:val="00433183"/>
    <w:rsid w:val="00433AED"/>
    <w:rsid w:val="00433F86"/>
    <w:rsid w:val="00434229"/>
    <w:rsid w:val="0043424C"/>
    <w:rsid w:val="00434658"/>
    <w:rsid w:val="0043485C"/>
    <w:rsid w:val="00435F4A"/>
    <w:rsid w:val="00436785"/>
    <w:rsid w:val="00437C49"/>
    <w:rsid w:val="0044117C"/>
    <w:rsid w:val="0044174B"/>
    <w:rsid w:val="004418F2"/>
    <w:rsid w:val="00441A12"/>
    <w:rsid w:val="00443472"/>
    <w:rsid w:val="00443662"/>
    <w:rsid w:val="00443A57"/>
    <w:rsid w:val="00444BCD"/>
    <w:rsid w:val="00444E78"/>
    <w:rsid w:val="004455A5"/>
    <w:rsid w:val="00445911"/>
    <w:rsid w:val="00445F4D"/>
    <w:rsid w:val="00446050"/>
    <w:rsid w:val="00446FC1"/>
    <w:rsid w:val="00447274"/>
    <w:rsid w:val="00447C26"/>
    <w:rsid w:val="00447F1A"/>
    <w:rsid w:val="004504FD"/>
    <w:rsid w:val="0045085A"/>
    <w:rsid w:val="00450CBA"/>
    <w:rsid w:val="0045110A"/>
    <w:rsid w:val="00455363"/>
    <w:rsid w:val="00455FE0"/>
    <w:rsid w:val="00456B8F"/>
    <w:rsid w:val="004574C4"/>
    <w:rsid w:val="00457A91"/>
    <w:rsid w:val="004604E9"/>
    <w:rsid w:val="00460A55"/>
    <w:rsid w:val="0046180A"/>
    <w:rsid w:val="00462BC6"/>
    <w:rsid w:val="00463FEB"/>
    <w:rsid w:val="00470C11"/>
    <w:rsid w:val="00471759"/>
    <w:rsid w:val="0047175C"/>
    <w:rsid w:val="00471AA4"/>
    <w:rsid w:val="004721E0"/>
    <w:rsid w:val="00472F9C"/>
    <w:rsid w:val="00473803"/>
    <w:rsid w:val="00474F50"/>
    <w:rsid w:val="00476857"/>
    <w:rsid w:val="00476B4E"/>
    <w:rsid w:val="0047742F"/>
    <w:rsid w:val="0047782F"/>
    <w:rsid w:val="004828C6"/>
    <w:rsid w:val="00484675"/>
    <w:rsid w:val="00484F33"/>
    <w:rsid w:val="00486213"/>
    <w:rsid w:val="004869CF"/>
    <w:rsid w:val="00487545"/>
    <w:rsid w:val="00490239"/>
    <w:rsid w:val="00490B1D"/>
    <w:rsid w:val="004911B9"/>
    <w:rsid w:val="00491DC5"/>
    <w:rsid w:val="00492871"/>
    <w:rsid w:val="004929EC"/>
    <w:rsid w:val="004935F6"/>
    <w:rsid w:val="00493B10"/>
    <w:rsid w:val="00493F24"/>
    <w:rsid w:val="0049431D"/>
    <w:rsid w:val="00495017"/>
    <w:rsid w:val="00495157"/>
    <w:rsid w:val="0049615F"/>
    <w:rsid w:val="004971EF"/>
    <w:rsid w:val="004A1B15"/>
    <w:rsid w:val="004A2043"/>
    <w:rsid w:val="004A2C4B"/>
    <w:rsid w:val="004A5A2F"/>
    <w:rsid w:val="004A6D51"/>
    <w:rsid w:val="004B03BE"/>
    <w:rsid w:val="004B1950"/>
    <w:rsid w:val="004B2839"/>
    <w:rsid w:val="004B2AD5"/>
    <w:rsid w:val="004B300A"/>
    <w:rsid w:val="004B3C51"/>
    <w:rsid w:val="004B4B2B"/>
    <w:rsid w:val="004B4E7B"/>
    <w:rsid w:val="004B7418"/>
    <w:rsid w:val="004B780C"/>
    <w:rsid w:val="004C0250"/>
    <w:rsid w:val="004C0FBA"/>
    <w:rsid w:val="004C1080"/>
    <w:rsid w:val="004C118D"/>
    <w:rsid w:val="004C2B29"/>
    <w:rsid w:val="004C311C"/>
    <w:rsid w:val="004C3F7B"/>
    <w:rsid w:val="004C4D0F"/>
    <w:rsid w:val="004C5AAD"/>
    <w:rsid w:val="004C5FB7"/>
    <w:rsid w:val="004C78C4"/>
    <w:rsid w:val="004D2B88"/>
    <w:rsid w:val="004D2EB8"/>
    <w:rsid w:val="004D3A3F"/>
    <w:rsid w:val="004D4278"/>
    <w:rsid w:val="004D512D"/>
    <w:rsid w:val="004D58A1"/>
    <w:rsid w:val="004D5F74"/>
    <w:rsid w:val="004D6C29"/>
    <w:rsid w:val="004D6ED4"/>
    <w:rsid w:val="004D7D73"/>
    <w:rsid w:val="004E1004"/>
    <w:rsid w:val="004E10E0"/>
    <w:rsid w:val="004E198A"/>
    <w:rsid w:val="004E2A32"/>
    <w:rsid w:val="004E3F7E"/>
    <w:rsid w:val="004E5B03"/>
    <w:rsid w:val="004E67E6"/>
    <w:rsid w:val="004E759F"/>
    <w:rsid w:val="004E774B"/>
    <w:rsid w:val="004F19CD"/>
    <w:rsid w:val="004F1F6E"/>
    <w:rsid w:val="004F245D"/>
    <w:rsid w:val="004F5E93"/>
    <w:rsid w:val="004F603D"/>
    <w:rsid w:val="004F6545"/>
    <w:rsid w:val="004F6D32"/>
    <w:rsid w:val="004F6FC8"/>
    <w:rsid w:val="0050046F"/>
    <w:rsid w:val="00500EEF"/>
    <w:rsid w:val="005015CE"/>
    <w:rsid w:val="00501BD9"/>
    <w:rsid w:val="00503435"/>
    <w:rsid w:val="005041A7"/>
    <w:rsid w:val="00504E3C"/>
    <w:rsid w:val="00506456"/>
    <w:rsid w:val="00506825"/>
    <w:rsid w:val="00506FA2"/>
    <w:rsid w:val="00507196"/>
    <w:rsid w:val="005103B1"/>
    <w:rsid w:val="00515680"/>
    <w:rsid w:val="00516410"/>
    <w:rsid w:val="005173F5"/>
    <w:rsid w:val="00517D7F"/>
    <w:rsid w:val="00517E7D"/>
    <w:rsid w:val="00520187"/>
    <w:rsid w:val="00520779"/>
    <w:rsid w:val="00522FBF"/>
    <w:rsid w:val="00523AAC"/>
    <w:rsid w:val="00523CF5"/>
    <w:rsid w:val="005246FD"/>
    <w:rsid w:val="00525A4C"/>
    <w:rsid w:val="00525C51"/>
    <w:rsid w:val="00526211"/>
    <w:rsid w:val="00530417"/>
    <w:rsid w:val="00530B0F"/>
    <w:rsid w:val="00531A1B"/>
    <w:rsid w:val="005321B7"/>
    <w:rsid w:val="005328C3"/>
    <w:rsid w:val="0053379A"/>
    <w:rsid w:val="005337D5"/>
    <w:rsid w:val="00534782"/>
    <w:rsid w:val="0053679A"/>
    <w:rsid w:val="00536D69"/>
    <w:rsid w:val="00540102"/>
    <w:rsid w:val="0054067C"/>
    <w:rsid w:val="00541C62"/>
    <w:rsid w:val="00543754"/>
    <w:rsid w:val="005437B7"/>
    <w:rsid w:val="00543E03"/>
    <w:rsid w:val="00545F4F"/>
    <w:rsid w:val="00545F60"/>
    <w:rsid w:val="00547754"/>
    <w:rsid w:val="0054782B"/>
    <w:rsid w:val="0055051C"/>
    <w:rsid w:val="00550BD7"/>
    <w:rsid w:val="00551830"/>
    <w:rsid w:val="00551EBA"/>
    <w:rsid w:val="00552073"/>
    <w:rsid w:val="005520E3"/>
    <w:rsid w:val="005536BC"/>
    <w:rsid w:val="00554B2A"/>
    <w:rsid w:val="00554B2F"/>
    <w:rsid w:val="00557118"/>
    <w:rsid w:val="005612C1"/>
    <w:rsid w:val="00561CB5"/>
    <w:rsid w:val="005624B3"/>
    <w:rsid w:val="00562E34"/>
    <w:rsid w:val="0056357E"/>
    <w:rsid w:val="00563B07"/>
    <w:rsid w:val="00564874"/>
    <w:rsid w:val="00566834"/>
    <w:rsid w:val="005668F0"/>
    <w:rsid w:val="005677E2"/>
    <w:rsid w:val="0057019F"/>
    <w:rsid w:val="005704E5"/>
    <w:rsid w:val="00570549"/>
    <w:rsid w:val="00571BA5"/>
    <w:rsid w:val="00573411"/>
    <w:rsid w:val="00573B85"/>
    <w:rsid w:val="00574342"/>
    <w:rsid w:val="005753A4"/>
    <w:rsid w:val="005754DE"/>
    <w:rsid w:val="00576798"/>
    <w:rsid w:val="00577C67"/>
    <w:rsid w:val="00580450"/>
    <w:rsid w:val="00580CDE"/>
    <w:rsid w:val="00582DC6"/>
    <w:rsid w:val="00585C80"/>
    <w:rsid w:val="00585F5E"/>
    <w:rsid w:val="00586DC7"/>
    <w:rsid w:val="00590BD9"/>
    <w:rsid w:val="00590D92"/>
    <w:rsid w:val="00591272"/>
    <w:rsid w:val="00592424"/>
    <w:rsid w:val="00593561"/>
    <w:rsid w:val="005940A1"/>
    <w:rsid w:val="00596392"/>
    <w:rsid w:val="005977FF"/>
    <w:rsid w:val="00597DFE"/>
    <w:rsid w:val="00597EC6"/>
    <w:rsid w:val="00597FAF"/>
    <w:rsid w:val="005A13E7"/>
    <w:rsid w:val="005A196E"/>
    <w:rsid w:val="005A3B3F"/>
    <w:rsid w:val="005A3D06"/>
    <w:rsid w:val="005A3DA9"/>
    <w:rsid w:val="005A6CC1"/>
    <w:rsid w:val="005A6CCD"/>
    <w:rsid w:val="005A7107"/>
    <w:rsid w:val="005A7371"/>
    <w:rsid w:val="005A73AE"/>
    <w:rsid w:val="005A7DB4"/>
    <w:rsid w:val="005B174D"/>
    <w:rsid w:val="005B29AF"/>
    <w:rsid w:val="005B39D2"/>
    <w:rsid w:val="005B3B36"/>
    <w:rsid w:val="005B545C"/>
    <w:rsid w:val="005B55F8"/>
    <w:rsid w:val="005B5924"/>
    <w:rsid w:val="005B6561"/>
    <w:rsid w:val="005B76C6"/>
    <w:rsid w:val="005C0453"/>
    <w:rsid w:val="005C09BD"/>
    <w:rsid w:val="005C10C5"/>
    <w:rsid w:val="005C21D1"/>
    <w:rsid w:val="005C24B6"/>
    <w:rsid w:val="005C29FA"/>
    <w:rsid w:val="005C2E8A"/>
    <w:rsid w:val="005C3898"/>
    <w:rsid w:val="005C45F8"/>
    <w:rsid w:val="005C6EDB"/>
    <w:rsid w:val="005C7E3C"/>
    <w:rsid w:val="005D0763"/>
    <w:rsid w:val="005D0FD8"/>
    <w:rsid w:val="005D20E7"/>
    <w:rsid w:val="005D2127"/>
    <w:rsid w:val="005D3791"/>
    <w:rsid w:val="005D3DE0"/>
    <w:rsid w:val="005D4C84"/>
    <w:rsid w:val="005D57F3"/>
    <w:rsid w:val="005D67EA"/>
    <w:rsid w:val="005E0568"/>
    <w:rsid w:val="005E0B96"/>
    <w:rsid w:val="005E3656"/>
    <w:rsid w:val="005E4156"/>
    <w:rsid w:val="005E61BD"/>
    <w:rsid w:val="005E7559"/>
    <w:rsid w:val="005F0F92"/>
    <w:rsid w:val="005F1BEC"/>
    <w:rsid w:val="005F2C40"/>
    <w:rsid w:val="005F4DCE"/>
    <w:rsid w:val="00600667"/>
    <w:rsid w:val="0060184B"/>
    <w:rsid w:val="00601A52"/>
    <w:rsid w:val="00602E73"/>
    <w:rsid w:val="00603627"/>
    <w:rsid w:val="006036A6"/>
    <w:rsid w:val="00603E2B"/>
    <w:rsid w:val="00603FA8"/>
    <w:rsid w:val="006050DD"/>
    <w:rsid w:val="006057D8"/>
    <w:rsid w:val="006062EF"/>
    <w:rsid w:val="0061025C"/>
    <w:rsid w:val="00612D19"/>
    <w:rsid w:val="0061317B"/>
    <w:rsid w:val="00613972"/>
    <w:rsid w:val="006141B0"/>
    <w:rsid w:val="006159F2"/>
    <w:rsid w:val="00615E70"/>
    <w:rsid w:val="006170F2"/>
    <w:rsid w:val="00617208"/>
    <w:rsid w:val="00617398"/>
    <w:rsid w:val="0061761D"/>
    <w:rsid w:val="006176AC"/>
    <w:rsid w:val="006207E9"/>
    <w:rsid w:val="00621E70"/>
    <w:rsid w:val="0062287D"/>
    <w:rsid w:val="00626B7E"/>
    <w:rsid w:val="00632BA7"/>
    <w:rsid w:val="00632C89"/>
    <w:rsid w:val="00632D75"/>
    <w:rsid w:val="00632E8C"/>
    <w:rsid w:val="00634F11"/>
    <w:rsid w:val="006359F5"/>
    <w:rsid w:val="00635A18"/>
    <w:rsid w:val="006362C2"/>
    <w:rsid w:val="006377D3"/>
    <w:rsid w:val="00637BB7"/>
    <w:rsid w:val="0064172B"/>
    <w:rsid w:val="00642ADD"/>
    <w:rsid w:val="0064402C"/>
    <w:rsid w:val="006445A2"/>
    <w:rsid w:val="006453D9"/>
    <w:rsid w:val="00645C45"/>
    <w:rsid w:val="00646179"/>
    <w:rsid w:val="006464FD"/>
    <w:rsid w:val="0064671E"/>
    <w:rsid w:val="0064763A"/>
    <w:rsid w:val="006478CC"/>
    <w:rsid w:val="00650B9A"/>
    <w:rsid w:val="00653C56"/>
    <w:rsid w:val="006544DB"/>
    <w:rsid w:val="00656647"/>
    <w:rsid w:val="0065713B"/>
    <w:rsid w:val="0065713C"/>
    <w:rsid w:val="0065773E"/>
    <w:rsid w:val="00657B6A"/>
    <w:rsid w:val="00660B1F"/>
    <w:rsid w:val="00662194"/>
    <w:rsid w:val="00663B17"/>
    <w:rsid w:val="00666A40"/>
    <w:rsid w:val="00671103"/>
    <w:rsid w:val="00671424"/>
    <w:rsid w:val="00671A52"/>
    <w:rsid w:val="006755C1"/>
    <w:rsid w:val="006772A7"/>
    <w:rsid w:val="006772CA"/>
    <w:rsid w:val="0067738E"/>
    <w:rsid w:val="00677EE9"/>
    <w:rsid w:val="006818EA"/>
    <w:rsid w:val="006822DA"/>
    <w:rsid w:val="00682473"/>
    <w:rsid w:val="006829A8"/>
    <w:rsid w:val="00682FBC"/>
    <w:rsid w:val="00683A57"/>
    <w:rsid w:val="0068449E"/>
    <w:rsid w:val="00684A4C"/>
    <w:rsid w:val="006873EA"/>
    <w:rsid w:val="00692162"/>
    <w:rsid w:val="00693024"/>
    <w:rsid w:val="00694ABE"/>
    <w:rsid w:val="00694E1A"/>
    <w:rsid w:val="00694E49"/>
    <w:rsid w:val="006A0E74"/>
    <w:rsid w:val="006A0FE1"/>
    <w:rsid w:val="006A218F"/>
    <w:rsid w:val="006A28D0"/>
    <w:rsid w:val="006A3F76"/>
    <w:rsid w:val="006A4054"/>
    <w:rsid w:val="006A40A1"/>
    <w:rsid w:val="006A5C00"/>
    <w:rsid w:val="006A5E5C"/>
    <w:rsid w:val="006A6165"/>
    <w:rsid w:val="006A6392"/>
    <w:rsid w:val="006A7E28"/>
    <w:rsid w:val="006B2116"/>
    <w:rsid w:val="006B2982"/>
    <w:rsid w:val="006B4903"/>
    <w:rsid w:val="006B5759"/>
    <w:rsid w:val="006B6593"/>
    <w:rsid w:val="006C0A4C"/>
    <w:rsid w:val="006C1B43"/>
    <w:rsid w:val="006C1D7C"/>
    <w:rsid w:val="006C5AC7"/>
    <w:rsid w:val="006C6FA2"/>
    <w:rsid w:val="006C7000"/>
    <w:rsid w:val="006C73FD"/>
    <w:rsid w:val="006C7763"/>
    <w:rsid w:val="006D012B"/>
    <w:rsid w:val="006D12A7"/>
    <w:rsid w:val="006D1409"/>
    <w:rsid w:val="006D2BD5"/>
    <w:rsid w:val="006D3ECE"/>
    <w:rsid w:val="006D4E45"/>
    <w:rsid w:val="006D5350"/>
    <w:rsid w:val="006D5627"/>
    <w:rsid w:val="006E0317"/>
    <w:rsid w:val="006E0511"/>
    <w:rsid w:val="006E0860"/>
    <w:rsid w:val="006E12C1"/>
    <w:rsid w:val="006E5580"/>
    <w:rsid w:val="006E56F4"/>
    <w:rsid w:val="006E7DC2"/>
    <w:rsid w:val="006F0263"/>
    <w:rsid w:val="006F0ADE"/>
    <w:rsid w:val="006F0D73"/>
    <w:rsid w:val="006F1342"/>
    <w:rsid w:val="006F3D80"/>
    <w:rsid w:val="006F3EF5"/>
    <w:rsid w:val="006F49F0"/>
    <w:rsid w:val="00702E8D"/>
    <w:rsid w:val="0070360B"/>
    <w:rsid w:val="00704726"/>
    <w:rsid w:val="007052E5"/>
    <w:rsid w:val="007053E7"/>
    <w:rsid w:val="00705884"/>
    <w:rsid w:val="00705A6F"/>
    <w:rsid w:val="00705BD1"/>
    <w:rsid w:val="007063F2"/>
    <w:rsid w:val="00706E77"/>
    <w:rsid w:val="00707B2E"/>
    <w:rsid w:val="00710397"/>
    <w:rsid w:val="00710B00"/>
    <w:rsid w:val="00710E3D"/>
    <w:rsid w:val="00711471"/>
    <w:rsid w:val="00711AD3"/>
    <w:rsid w:val="00713B18"/>
    <w:rsid w:val="007144BA"/>
    <w:rsid w:val="0071493D"/>
    <w:rsid w:val="00716DEA"/>
    <w:rsid w:val="0072082E"/>
    <w:rsid w:val="0072105B"/>
    <w:rsid w:val="007221AC"/>
    <w:rsid w:val="00723508"/>
    <w:rsid w:val="00725CF9"/>
    <w:rsid w:val="007276CD"/>
    <w:rsid w:val="00727AE8"/>
    <w:rsid w:val="007317A6"/>
    <w:rsid w:val="0073286C"/>
    <w:rsid w:val="007328CC"/>
    <w:rsid w:val="007330DF"/>
    <w:rsid w:val="00735070"/>
    <w:rsid w:val="00735456"/>
    <w:rsid w:val="00735AD3"/>
    <w:rsid w:val="00735CC9"/>
    <w:rsid w:val="00736339"/>
    <w:rsid w:val="007404F6"/>
    <w:rsid w:val="00742222"/>
    <w:rsid w:val="00743EA9"/>
    <w:rsid w:val="0074529C"/>
    <w:rsid w:val="00747CD2"/>
    <w:rsid w:val="00747ECC"/>
    <w:rsid w:val="00750BF8"/>
    <w:rsid w:val="00750E2F"/>
    <w:rsid w:val="007515BC"/>
    <w:rsid w:val="00752E56"/>
    <w:rsid w:val="00752EB3"/>
    <w:rsid w:val="00753328"/>
    <w:rsid w:val="00753433"/>
    <w:rsid w:val="00753D33"/>
    <w:rsid w:val="00754E11"/>
    <w:rsid w:val="00756097"/>
    <w:rsid w:val="00757E12"/>
    <w:rsid w:val="00764F3A"/>
    <w:rsid w:val="00765409"/>
    <w:rsid w:val="007656A7"/>
    <w:rsid w:val="00765B40"/>
    <w:rsid w:val="00765CC1"/>
    <w:rsid w:val="007669BA"/>
    <w:rsid w:val="00770AC5"/>
    <w:rsid w:val="007712EA"/>
    <w:rsid w:val="00773ACD"/>
    <w:rsid w:val="00776461"/>
    <w:rsid w:val="007768C5"/>
    <w:rsid w:val="007773BD"/>
    <w:rsid w:val="00777B72"/>
    <w:rsid w:val="00777EEE"/>
    <w:rsid w:val="00781038"/>
    <w:rsid w:val="007811C0"/>
    <w:rsid w:val="007819CF"/>
    <w:rsid w:val="00783657"/>
    <w:rsid w:val="0078403F"/>
    <w:rsid w:val="00784745"/>
    <w:rsid w:val="00786840"/>
    <w:rsid w:val="00791304"/>
    <w:rsid w:val="00791677"/>
    <w:rsid w:val="00791E8E"/>
    <w:rsid w:val="007922F4"/>
    <w:rsid w:val="007931A9"/>
    <w:rsid w:val="00794E52"/>
    <w:rsid w:val="00794E6C"/>
    <w:rsid w:val="007952A7"/>
    <w:rsid w:val="00796225"/>
    <w:rsid w:val="00796982"/>
    <w:rsid w:val="00797B2B"/>
    <w:rsid w:val="007A02C7"/>
    <w:rsid w:val="007A122C"/>
    <w:rsid w:val="007A1334"/>
    <w:rsid w:val="007A2C70"/>
    <w:rsid w:val="007A375D"/>
    <w:rsid w:val="007A4CBF"/>
    <w:rsid w:val="007A5456"/>
    <w:rsid w:val="007A5826"/>
    <w:rsid w:val="007A657A"/>
    <w:rsid w:val="007B1F7E"/>
    <w:rsid w:val="007B249F"/>
    <w:rsid w:val="007B3F7E"/>
    <w:rsid w:val="007B4330"/>
    <w:rsid w:val="007B435A"/>
    <w:rsid w:val="007B5D7E"/>
    <w:rsid w:val="007C17B1"/>
    <w:rsid w:val="007C17B8"/>
    <w:rsid w:val="007C3FE9"/>
    <w:rsid w:val="007C43BB"/>
    <w:rsid w:val="007C529A"/>
    <w:rsid w:val="007C6585"/>
    <w:rsid w:val="007C6ED9"/>
    <w:rsid w:val="007D1D13"/>
    <w:rsid w:val="007D36F2"/>
    <w:rsid w:val="007D3B6C"/>
    <w:rsid w:val="007D3F11"/>
    <w:rsid w:val="007D57DC"/>
    <w:rsid w:val="007E00A1"/>
    <w:rsid w:val="007E092E"/>
    <w:rsid w:val="007E2BB1"/>
    <w:rsid w:val="007E2F2D"/>
    <w:rsid w:val="007E3A3A"/>
    <w:rsid w:val="007E6D47"/>
    <w:rsid w:val="007E71C7"/>
    <w:rsid w:val="007F0096"/>
    <w:rsid w:val="007F250A"/>
    <w:rsid w:val="007F2BB3"/>
    <w:rsid w:val="007F35FA"/>
    <w:rsid w:val="007F3724"/>
    <w:rsid w:val="007F40FA"/>
    <w:rsid w:val="007F4330"/>
    <w:rsid w:val="007F45A7"/>
    <w:rsid w:val="007F4C1B"/>
    <w:rsid w:val="007F62A9"/>
    <w:rsid w:val="008007C3"/>
    <w:rsid w:val="00800DFD"/>
    <w:rsid w:val="00800F21"/>
    <w:rsid w:val="008022F1"/>
    <w:rsid w:val="0080288A"/>
    <w:rsid w:val="00802E2A"/>
    <w:rsid w:val="00803569"/>
    <w:rsid w:val="008049CE"/>
    <w:rsid w:val="00805A9D"/>
    <w:rsid w:val="00807058"/>
    <w:rsid w:val="0080739F"/>
    <w:rsid w:val="0080758E"/>
    <w:rsid w:val="0081025E"/>
    <w:rsid w:val="008124E6"/>
    <w:rsid w:val="00812620"/>
    <w:rsid w:val="00812B72"/>
    <w:rsid w:val="00813360"/>
    <w:rsid w:val="00813620"/>
    <w:rsid w:val="0081425E"/>
    <w:rsid w:val="00816F3A"/>
    <w:rsid w:val="008171ED"/>
    <w:rsid w:val="00820A32"/>
    <w:rsid w:val="00820A94"/>
    <w:rsid w:val="008230AC"/>
    <w:rsid w:val="00823B52"/>
    <w:rsid w:val="00823B90"/>
    <w:rsid w:val="00826260"/>
    <w:rsid w:val="0083081A"/>
    <w:rsid w:val="00830E17"/>
    <w:rsid w:val="00831ACA"/>
    <w:rsid w:val="00831AD5"/>
    <w:rsid w:val="00831BAA"/>
    <w:rsid w:val="00831E32"/>
    <w:rsid w:val="008346FD"/>
    <w:rsid w:val="00834C7B"/>
    <w:rsid w:val="00836367"/>
    <w:rsid w:val="008375CF"/>
    <w:rsid w:val="008377CB"/>
    <w:rsid w:val="008416E0"/>
    <w:rsid w:val="00843D20"/>
    <w:rsid w:val="00844454"/>
    <w:rsid w:val="00847192"/>
    <w:rsid w:val="0084731D"/>
    <w:rsid w:val="00850142"/>
    <w:rsid w:val="00850281"/>
    <w:rsid w:val="008511D0"/>
    <w:rsid w:val="008543A8"/>
    <w:rsid w:val="00855476"/>
    <w:rsid w:val="00857420"/>
    <w:rsid w:val="008576E2"/>
    <w:rsid w:val="0085773A"/>
    <w:rsid w:val="008603F1"/>
    <w:rsid w:val="00860903"/>
    <w:rsid w:val="00860CCE"/>
    <w:rsid w:val="00861403"/>
    <w:rsid w:val="00862540"/>
    <w:rsid w:val="00862551"/>
    <w:rsid w:val="0086294E"/>
    <w:rsid w:val="00863459"/>
    <w:rsid w:val="008637E1"/>
    <w:rsid w:val="00864CE2"/>
    <w:rsid w:val="008673E3"/>
    <w:rsid w:val="00867E68"/>
    <w:rsid w:val="00870C07"/>
    <w:rsid w:val="0087132D"/>
    <w:rsid w:val="00871BAB"/>
    <w:rsid w:val="0087340F"/>
    <w:rsid w:val="00873D37"/>
    <w:rsid w:val="00876879"/>
    <w:rsid w:val="0088302D"/>
    <w:rsid w:val="008830FE"/>
    <w:rsid w:val="008831E9"/>
    <w:rsid w:val="008841C7"/>
    <w:rsid w:val="00885271"/>
    <w:rsid w:val="0088541D"/>
    <w:rsid w:val="00885C28"/>
    <w:rsid w:val="00885F6B"/>
    <w:rsid w:val="00887803"/>
    <w:rsid w:val="00891481"/>
    <w:rsid w:val="008917FA"/>
    <w:rsid w:val="008928C5"/>
    <w:rsid w:val="00893A34"/>
    <w:rsid w:val="00893F1F"/>
    <w:rsid w:val="008961FC"/>
    <w:rsid w:val="00897101"/>
    <w:rsid w:val="00897964"/>
    <w:rsid w:val="008A27F4"/>
    <w:rsid w:val="008A2903"/>
    <w:rsid w:val="008A2ECB"/>
    <w:rsid w:val="008A41D1"/>
    <w:rsid w:val="008A6604"/>
    <w:rsid w:val="008A6B32"/>
    <w:rsid w:val="008A7DEB"/>
    <w:rsid w:val="008B03C9"/>
    <w:rsid w:val="008B11AB"/>
    <w:rsid w:val="008B16BE"/>
    <w:rsid w:val="008B279A"/>
    <w:rsid w:val="008B39F2"/>
    <w:rsid w:val="008B3A95"/>
    <w:rsid w:val="008B70FA"/>
    <w:rsid w:val="008B7CC7"/>
    <w:rsid w:val="008C0BAD"/>
    <w:rsid w:val="008C1654"/>
    <w:rsid w:val="008C2600"/>
    <w:rsid w:val="008C2E66"/>
    <w:rsid w:val="008C3080"/>
    <w:rsid w:val="008C3CF3"/>
    <w:rsid w:val="008C4059"/>
    <w:rsid w:val="008C4D73"/>
    <w:rsid w:val="008C5061"/>
    <w:rsid w:val="008C5100"/>
    <w:rsid w:val="008D321E"/>
    <w:rsid w:val="008D4069"/>
    <w:rsid w:val="008D4C74"/>
    <w:rsid w:val="008D52D0"/>
    <w:rsid w:val="008D578D"/>
    <w:rsid w:val="008D5CD9"/>
    <w:rsid w:val="008D607D"/>
    <w:rsid w:val="008D62A3"/>
    <w:rsid w:val="008D63CE"/>
    <w:rsid w:val="008D6BD9"/>
    <w:rsid w:val="008E0799"/>
    <w:rsid w:val="008E144C"/>
    <w:rsid w:val="008E1524"/>
    <w:rsid w:val="008E1751"/>
    <w:rsid w:val="008E35D5"/>
    <w:rsid w:val="008E499D"/>
    <w:rsid w:val="008E5949"/>
    <w:rsid w:val="008F078B"/>
    <w:rsid w:val="008F1742"/>
    <w:rsid w:val="008F3B22"/>
    <w:rsid w:val="008F45DD"/>
    <w:rsid w:val="008F524F"/>
    <w:rsid w:val="008F546B"/>
    <w:rsid w:val="008F6AE8"/>
    <w:rsid w:val="008F7631"/>
    <w:rsid w:val="009011FA"/>
    <w:rsid w:val="00903A46"/>
    <w:rsid w:val="009062B0"/>
    <w:rsid w:val="00907276"/>
    <w:rsid w:val="00907EF1"/>
    <w:rsid w:val="009112D6"/>
    <w:rsid w:val="00911779"/>
    <w:rsid w:val="00912583"/>
    <w:rsid w:val="0091537A"/>
    <w:rsid w:val="0091613C"/>
    <w:rsid w:val="00916833"/>
    <w:rsid w:val="00917703"/>
    <w:rsid w:val="00921613"/>
    <w:rsid w:val="00921AD9"/>
    <w:rsid w:val="00922DFB"/>
    <w:rsid w:val="00923E32"/>
    <w:rsid w:val="009247CF"/>
    <w:rsid w:val="009247D8"/>
    <w:rsid w:val="00924DAD"/>
    <w:rsid w:val="00924EF9"/>
    <w:rsid w:val="009252C0"/>
    <w:rsid w:val="00926B17"/>
    <w:rsid w:val="00927551"/>
    <w:rsid w:val="00927F84"/>
    <w:rsid w:val="00931139"/>
    <w:rsid w:val="00931186"/>
    <w:rsid w:val="00931C60"/>
    <w:rsid w:val="00932080"/>
    <w:rsid w:val="00932330"/>
    <w:rsid w:val="0093238B"/>
    <w:rsid w:val="009336B4"/>
    <w:rsid w:val="009347C5"/>
    <w:rsid w:val="009366A0"/>
    <w:rsid w:val="009407EE"/>
    <w:rsid w:val="00941EAA"/>
    <w:rsid w:val="00943B26"/>
    <w:rsid w:val="009458E8"/>
    <w:rsid w:val="00950357"/>
    <w:rsid w:val="00951D9B"/>
    <w:rsid w:val="0095200D"/>
    <w:rsid w:val="009542D3"/>
    <w:rsid w:val="00956DA6"/>
    <w:rsid w:val="009575E3"/>
    <w:rsid w:val="00957F52"/>
    <w:rsid w:val="00960340"/>
    <w:rsid w:val="00960387"/>
    <w:rsid w:val="00961C3D"/>
    <w:rsid w:val="00961DC0"/>
    <w:rsid w:val="00962484"/>
    <w:rsid w:val="0096278C"/>
    <w:rsid w:val="00963CBC"/>
    <w:rsid w:val="009643C4"/>
    <w:rsid w:val="00967BAA"/>
    <w:rsid w:val="00970DF3"/>
    <w:rsid w:val="00972959"/>
    <w:rsid w:val="00972B5F"/>
    <w:rsid w:val="00975260"/>
    <w:rsid w:val="00975870"/>
    <w:rsid w:val="00975CDC"/>
    <w:rsid w:val="009768F2"/>
    <w:rsid w:val="00981A56"/>
    <w:rsid w:val="00983242"/>
    <w:rsid w:val="00983C52"/>
    <w:rsid w:val="00984467"/>
    <w:rsid w:val="00984593"/>
    <w:rsid w:val="0098563C"/>
    <w:rsid w:val="0098603E"/>
    <w:rsid w:val="00986F53"/>
    <w:rsid w:val="009877A3"/>
    <w:rsid w:val="0099053A"/>
    <w:rsid w:val="009918E8"/>
    <w:rsid w:val="00991ACC"/>
    <w:rsid w:val="00992345"/>
    <w:rsid w:val="0099604A"/>
    <w:rsid w:val="009962FE"/>
    <w:rsid w:val="00997BE2"/>
    <w:rsid w:val="00997E46"/>
    <w:rsid w:val="009A0B0B"/>
    <w:rsid w:val="009A0E5A"/>
    <w:rsid w:val="009A131E"/>
    <w:rsid w:val="009A2A0A"/>
    <w:rsid w:val="009A2C24"/>
    <w:rsid w:val="009A6068"/>
    <w:rsid w:val="009B0C27"/>
    <w:rsid w:val="009B1209"/>
    <w:rsid w:val="009B374E"/>
    <w:rsid w:val="009B3F9B"/>
    <w:rsid w:val="009B4464"/>
    <w:rsid w:val="009B5ED9"/>
    <w:rsid w:val="009B687E"/>
    <w:rsid w:val="009B70BF"/>
    <w:rsid w:val="009B78C5"/>
    <w:rsid w:val="009C1C44"/>
    <w:rsid w:val="009C33ED"/>
    <w:rsid w:val="009C36D4"/>
    <w:rsid w:val="009C4DC5"/>
    <w:rsid w:val="009C5262"/>
    <w:rsid w:val="009C56EC"/>
    <w:rsid w:val="009C6B0A"/>
    <w:rsid w:val="009D1ADC"/>
    <w:rsid w:val="009D26A8"/>
    <w:rsid w:val="009D5865"/>
    <w:rsid w:val="009D5E4C"/>
    <w:rsid w:val="009D6404"/>
    <w:rsid w:val="009D6D25"/>
    <w:rsid w:val="009D7E39"/>
    <w:rsid w:val="009E03FB"/>
    <w:rsid w:val="009E17B9"/>
    <w:rsid w:val="009E1829"/>
    <w:rsid w:val="009E31E7"/>
    <w:rsid w:val="009E56D2"/>
    <w:rsid w:val="009F0312"/>
    <w:rsid w:val="009F09E6"/>
    <w:rsid w:val="009F2908"/>
    <w:rsid w:val="009F2EF5"/>
    <w:rsid w:val="009F35FB"/>
    <w:rsid w:val="009F398A"/>
    <w:rsid w:val="009F39B2"/>
    <w:rsid w:val="009F4830"/>
    <w:rsid w:val="009F630C"/>
    <w:rsid w:val="009F6BC6"/>
    <w:rsid w:val="009F7F75"/>
    <w:rsid w:val="00A01064"/>
    <w:rsid w:val="00A01EAC"/>
    <w:rsid w:val="00A0358C"/>
    <w:rsid w:val="00A03704"/>
    <w:rsid w:val="00A037E9"/>
    <w:rsid w:val="00A0478A"/>
    <w:rsid w:val="00A05AD3"/>
    <w:rsid w:val="00A067D6"/>
    <w:rsid w:val="00A06AC7"/>
    <w:rsid w:val="00A101B8"/>
    <w:rsid w:val="00A11347"/>
    <w:rsid w:val="00A114F7"/>
    <w:rsid w:val="00A12961"/>
    <w:rsid w:val="00A136AC"/>
    <w:rsid w:val="00A13885"/>
    <w:rsid w:val="00A143F5"/>
    <w:rsid w:val="00A144CF"/>
    <w:rsid w:val="00A169B4"/>
    <w:rsid w:val="00A16CD8"/>
    <w:rsid w:val="00A178DF"/>
    <w:rsid w:val="00A20C92"/>
    <w:rsid w:val="00A227F2"/>
    <w:rsid w:val="00A22BCA"/>
    <w:rsid w:val="00A23954"/>
    <w:rsid w:val="00A240B1"/>
    <w:rsid w:val="00A241BD"/>
    <w:rsid w:val="00A2777E"/>
    <w:rsid w:val="00A3103A"/>
    <w:rsid w:val="00A31268"/>
    <w:rsid w:val="00A31E8F"/>
    <w:rsid w:val="00A3580A"/>
    <w:rsid w:val="00A41E37"/>
    <w:rsid w:val="00A44EB9"/>
    <w:rsid w:val="00A45009"/>
    <w:rsid w:val="00A458F0"/>
    <w:rsid w:val="00A46A67"/>
    <w:rsid w:val="00A474F8"/>
    <w:rsid w:val="00A51CC9"/>
    <w:rsid w:val="00A51EF6"/>
    <w:rsid w:val="00A521EF"/>
    <w:rsid w:val="00A52763"/>
    <w:rsid w:val="00A52964"/>
    <w:rsid w:val="00A62279"/>
    <w:rsid w:val="00A65EA6"/>
    <w:rsid w:val="00A72D91"/>
    <w:rsid w:val="00A73D4B"/>
    <w:rsid w:val="00A761FA"/>
    <w:rsid w:val="00A771C0"/>
    <w:rsid w:val="00A80CA4"/>
    <w:rsid w:val="00A81192"/>
    <w:rsid w:val="00A81297"/>
    <w:rsid w:val="00A827BF"/>
    <w:rsid w:val="00A82A72"/>
    <w:rsid w:val="00A85A08"/>
    <w:rsid w:val="00A85FB6"/>
    <w:rsid w:val="00A86133"/>
    <w:rsid w:val="00A86724"/>
    <w:rsid w:val="00A8672D"/>
    <w:rsid w:val="00A872F9"/>
    <w:rsid w:val="00A90B93"/>
    <w:rsid w:val="00A92E1D"/>
    <w:rsid w:val="00A94A7D"/>
    <w:rsid w:val="00A94F1D"/>
    <w:rsid w:val="00A95810"/>
    <w:rsid w:val="00A95DA6"/>
    <w:rsid w:val="00A969B9"/>
    <w:rsid w:val="00A97501"/>
    <w:rsid w:val="00A97DC2"/>
    <w:rsid w:val="00AA0305"/>
    <w:rsid w:val="00AA1E55"/>
    <w:rsid w:val="00AA2A15"/>
    <w:rsid w:val="00AA2A96"/>
    <w:rsid w:val="00AA42A7"/>
    <w:rsid w:val="00AA714E"/>
    <w:rsid w:val="00AA715A"/>
    <w:rsid w:val="00AA7D86"/>
    <w:rsid w:val="00AB1C8B"/>
    <w:rsid w:val="00AB4B80"/>
    <w:rsid w:val="00AB7678"/>
    <w:rsid w:val="00AC014E"/>
    <w:rsid w:val="00AC1201"/>
    <w:rsid w:val="00AC238D"/>
    <w:rsid w:val="00AC35AE"/>
    <w:rsid w:val="00AC42CB"/>
    <w:rsid w:val="00AC4B7F"/>
    <w:rsid w:val="00AC7238"/>
    <w:rsid w:val="00AC7BEB"/>
    <w:rsid w:val="00AC7C05"/>
    <w:rsid w:val="00AD162D"/>
    <w:rsid w:val="00AD16E4"/>
    <w:rsid w:val="00AD2189"/>
    <w:rsid w:val="00AD2C02"/>
    <w:rsid w:val="00AD31A9"/>
    <w:rsid w:val="00AD5287"/>
    <w:rsid w:val="00AD6CF5"/>
    <w:rsid w:val="00AD7847"/>
    <w:rsid w:val="00AE097A"/>
    <w:rsid w:val="00AE134A"/>
    <w:rsid w:val="00AE1B5A"/>
    <w:rsid w:val="00AE2151"/>
    <w:rsid w:val="00AE249D"/>
    <w:rsid w:val="00AE31B0"/>
    <w:rsid w:val="00AE3EC0"/>
    <w:rsid w:val="00AE6FC4"/>
    <w:rsid w:val="00AF0479"/>
    <w:rsid w:val="00AF16AF"/>
    <w:rsid w:val="00AF26A2"/>
    <w:rsid w:val="00AF3DFB"/>
    <w:rsid w:val="00AF411C"/>
    <w:rsid w:val="00AF463A"/>
    <w:rsid w:val="00AF4B64"/>
    <w:rsid w:val="00AF4FA0"/>
    <w:rsid w:val="00AF7A2E"/>
    <w:rsid w:val="00AF7EC6"/>
    <w:rsid w:val="00B01442"/>
    <w:rsid w:val="00B01B51"/>
    <w:rsid w:val="00B029C8"/>
    <w:rsid w:val="00B02BD0"/>
    <w:rsid w:val="00B03333"/>
    <w:rsid w:val="00B033B6"/>
    <w:rsid w:val="00B0404E"/>
    <w:rsid w:val="00B0406A"/>
    <w:rsid w:val="00B0499C"/>
    <w:rsid w:val="00B06841"/>
    <w:rsid w:val="00B06B03"/>
    <w:rsid w:val="00B07DB6"/>
    <w:rsid w:val="00B113E5"/>
    <w:rsid w:val="00B1162D"/>
    <w:rsid w:val="00B133E5"/>
    <w:rsid w:val="00B14682"/>
    <w:rsid w:val="00B14C06"/>
    <w:rsid w:val="00B153F0"/>
    <w:rsid w:val="00B162A3"/>
    <w:rsid w:val="00B16D79"/>
    <w:rsid w:val="00B17048"/>
    <w:rsid w:val="00B17ECC"/>
    <w:rsid w:val="00B23398"/>
    <w:rsid w:val="00B241DC"/>
    <w:rsid w:val="00B245B0"/>
    <w:rsid w:val="00B26E56"/>
    <w:rsid w:val="00B27DC3"/>
    <w:rsid w:val="00B31879"/>
    <w:rsid w:val="00B32AEF"/>
    <w:rsid w:val="00B3311C"/>
    <w:rsid w:val="00B33125"/>
    <w:rsid w:val="00B33EA3"/>
    <w:rsid w:val="00B341CC"/>
    <w:rsid w:val="00B34A3B"/>
    <w:rsid w:val="00B355C5"/>
    <w:rsid w:val="00B365D7"/>
    <w:rsid w:val="00B3673D"/>
    <w:rsid w:val="00B42505"/>
    <w:rsid w:val="00B43F15"/>
    <w:rsid w:val="00B44C6C"/>
    <w:rsid w:val="00B45404"/>
    <w:rsid w:val="00B4757F"/>
    <w:rsid w:val="00B515CF"/>
    <w:rsid w:val="00B5187A"/>
    <w:rsid w:val="00B5252C"/>
    <w:rsid w:val="00B52E33"/>
    <w:rsid w:val="00B55CD1"/>
    <w:rsid w:val="00B605F9"/>
    <w:rsid w:val="00B61A79"/>
    <w:rsid w:val="00B61C67"/>
    <w:rsid w:val="00B62A9E"/>
    <w:rsid w:val="00B6314D"/>
    <w:rsid w:val="00B64BD8"/>
    <w:rsid w:val="00B66942"/>
    <w:rsid w:val="00B70EFF"/>
    <w:rsid w:val="00B713DA"/>
    <w:rsid w:val="00B71654"/>
    <w:rsid w:val="00B7241E"/>
    <w:rsid w:val="00B7270F"/>
    <w:rsid w:val="00B727C2"/>
    <w:rsid w:val="00B738C7"/>
    <w:rsid w:val="00B747AC"/>
    <w:rsid w:val="00B74A60"/>
    <w:rsid w:val="00B77124"/>
    <w:rsid w:val="00B8023E"/>
    <w:rsid w:val="00B8139A"/>
    <w:rsid w:val="00B82106"/>
    <w:rsid w:val="00B82526"/>
    <w:rsid w:val="00B82809"/>
    <w:rsid w:val="00B8326A"/>
    <w:rsid w:val="00B85C02"/>
    <w:rsid w:val="00B8666F"/>
    <w:rsid w:val="00B868F8"/>
    <w:rsid w:val="00B87492"/>
    <w:rsid w:val="00B91224"/>
    <w:rsid w:val="00B91274"/>
    <w:rsid w:val="00B91420"/>
    <w:rsid w:val="00B91F00"/>
    <w:rsid w:val="00B922B8"/>
    <w:rsid w:val="00B92CD0"/>
    <w:rsid w:val="00B92DEC"/>
    <w:rsid w:val="00B9525A"/>
    <w:rsid w:val="00B96F59"/>
    <w:rsid w:val="00BA015D"/>
    <w:rsid w:val="00BA064C"/>
    <w:rsid w:val="00BA0C85"/>
    <w:rsid w:val="00BA1B22"/>
    <w:rsid w:val="00BA4091"/>
    <w:rsid w:val="00BA4735"/>
    <w:rsid w:val="00BA640F"/>
    <w:rsid w:val="00BA70E6"/>
    <w:rsid w:val="00BB03B1"/>
    <w:rsid w:val="00BB08A1"/>
    <w:rsid w:val="00BB08DD"/>
    <w:rsid w:val="00BB2DB8"/>
    <w:rsid w:val="00BB3A50"/>
    <w:rsid w:val="00BB4D9B"/>
    <w:rsid w:val="00BB647C"/>
    <w:rsid w:val="00BB6685"/>
    <w:rsid w:val="00BC0C83"/>
    <w:rsid w:val="00BC33E7"/>
    <w:rsid w:val="00BC3985"/>
    <w:rsid w:val="00BC50FA"/>
    <w:rsid w:val="00BC61B1"/>
    <w:rsid w:val="00BC74B2"/>
    <w:rsid w:val="00BD1905"/>
    <w:rsid w:val="00BD1F16"/>
    <w:rsid w:val="00BD201F"/>
    <w:rsid w:val="00BD2D0B"/>
    <w:rsid w:val="00BD3018"/>
    <w:rsid w:val="00BD3AFC"/>
    <w:rsid w:val="00BD4574"/>
    <w:rsid w:val="00BD55D3"/>
    <w:rsid w:val="00BD787F"/>
    <w:rsid w:val="00BD7E26"/>
    <w:rsid w:val="00BE00F2"/>
    <w:rsid w:val="00BE209A"/>
    <w:rsid w:val="00BE2293"/>
    <w:rsid w:val="00BE24AF"/>
    <w:rsid w:val="00BE37DF"/>
    <w:rsid w:val="00BE37E1"/>
    <w:rsid w:val="00BE4B28"/>
    <w:rsid w:val="00BE4ED0"/>
    <w:rsid w:val="00BE54DB"/>
    <w:rsid w:val="00BE57F6"/>
    <w:rsid w:val="00BE66D4"/>
    <w:rsid w:val="00BE7220"/>
    <w:rsid w:val="00BF021D"/>
    <w:rsid w:val="00BF05C3"/>
    <w:rsid w:val="00BF16DE"/>
    <w:rsid w:val="00BF2D80"/>
    <w:rsid w:val="00BF2DF2"/>
    <w:rsid w:val="00BF32A0"/>
    <w:rsid w:val="00BF34A5"/>
    <w:rsid w:val="00BF3828"/>
    <w:rsid w:val="00BF47B4"/>
    <w:rsid w:val="00BF4E1D"/>
    <w:rsid w:val="00BF4F4D"/>
    <w:rsid w:val="00BF5144"/>
    <w:rsid w:val="00BF5E9D"/>
    <w:rsid w:val="00BF6ABA"/>
    <w:rsid w:val="00C00747"/>
    <w:rsid w:val="00C01116"/>
    <w:rsid w:val="00C02336"/>
    <w:rsid w:val="00C02BCE"/>
    <w:rsid w:val="00C02E5E"/>
    <w:rsid w:val="00C04191"/>
    <w:rsid w:val="00C04254"/>
    <w:rsid w:val="00C043A7"/>
    <w:rsid w:val="00C044F1"/>
    <w:rsid w:val="00C050D3"/>
    <w:rsid w:val="00C10374"/>
    <w:rsid w:val="00C106B1"/>
    <w:rsid w:val="00C12840"/>
    <w:rsid w:val="00C128A7"/>
    <w:rsid w:val="00C14507"/>
    <w:rsid w:val="00C1593D"/>
    <w:rsid w:val="00C163C8"/>
    <w:rsid w:val="00C172E3"/>
    <w:rsid w:val="00C217D7"/>
    <w:rsid w:val="00C21910"/>
    <w:rsid w:val="00C22372"/>
    <w:rsid w:val="00C22791"/>
    <w:rsid w:val="00C23CD1"/>
    <w:rsid w:val="00C244FF"/>
    <w:rsid w:val="00C26A8B"/>
    <w:rsid w:val="00C27FC3"/>
    <w:rsid w:val="00C310CF"/>
    <w:rsid w:val="00C334AB"/>
    <w:rsid w:val="00C33D51"/>
    <w:rsid w:val="00C33E5A"/>
    <w:rsid w:val="00C34B30"/>
    <w:rsid w:val="00C35252"/>
    <w:rsid w:val="00C35BF3"/>
    <w:rsid w:val="00C35F82"/>
    <w:rsid w:val="00C3670D"/>
    <w:rsid w:val="00C407C6"/>
    <w:rsid w:val="00C41370"/>
    <w:rsid w:val="00C41EED"/>
    <w:rsid w:val="00C442B6"/>
    <w:rsid w:val="00C459A1"/>
    <w:rsid w:val="00C5096F"/>
    <w:rsid w:val="00C525DC"/>
    <w:rsid w:val="00C5278A"/>
    <w:rsid w:val="00C52B10"/>
    <w:rsid w:val="00C5302D"/>
    <w:rsid w:val="00C5403F"/>
    <w:rsid w:val="00C54F04"/>
    <w:rsid w:val="00C55956"/>
    <w:rsid w:val="00C55CDD"/>
    <w:rsid w:val="00C5787F"/>
    <w:rsid w:val="00C57DAE"/>
    <w:rsid w:val="00C57E44"/>
    <w:rsid w:val="00C603CD"/>
    <w:rsid w:val="00C60CCA"/>
    <w:rsid w:val="00C60E71"/>
    <w:rsid w:val="00C61A6F"/>
    <w:rsid w:val="00C62675"/>
    <w:rsid w:val="00C62765"/>
    <w:rsid w:val="00C62F4A"/>
    <w:rsid w:val="00C6318D"/>
    <w:rsid w:val="00C633BB"/>
    <w:rsid w:val="00C634DB"/>
    <w:rsid w:val="00C63883"/>
    <w:rsid w:val="00C65CA6"/>
    <w:rsid w:val="00C66506"/>
    <w:rsid w:val="00C67CB5"/>
    <w:rsid w:val="00C70729"/>
    <w:rsid w:val="00C70D60"/>
    <w:rsid w:val="00C70D8F"/>
    <w:rsid w:val="00C72EF0"/>
    <w:rsid w:val="00C7318D"/>
    <w:rsid w:val="00C73AEA"/>
    <w:rsid w:val="00C74CC2"/>
    <w:rsid w:val="00C76487"/>
    <w:rsid w:val="00C77322"/>
    <w:rsid w:val="00C77ACD"/>
    <w:rsid w:val="00C80748"/>
    <w:rsid w:val="00C82427"/>
    <w:rsid w:val="00C82FC1"/>
    <w:rsid w:val="00C83726"/>
    <w:rsid w:val="00C84187"/>
    <w:rsid w:val="00C85536"/>
    <w:rsid w:val="00C90024"/>
    <w:rsid w:val="00C9240D"/>
    <w:rsid w:val="00C96565"/>
    <w:rsid w:val="00C96BE3"/>
    <w:rsid w:val="00C9766A"/>
    <w:rsid w:val="00C9795B"/>
    <w:rsid w:val="00CA1310"/>
    <w:rsid w:val="00CA2232"/>
    <w:rsid w:val="00CA27D5"/>
    <w:rsid w:val="00CA3336"/>
    <w:rsid w:val="00CA3630"/>
    <w:rsid w:val="00CA49A2"/>
    <w:rsid w:val="00CA4D80"/>
    <w:rsid w:val="00CA552A"/>
    <w:rsid w:val="00CA55AC"/>
    <w:rsid w:val="00CA5DA4"/>
    <w:rsid w:val="00CA6831"/>
    <w:rsid w:val="00CA683E"/>
    <w:rsid w:val="00CB0179"/>
    <w:rsid w:val="00CB0C87"/>
    <w:rsid w:val="00CB1427"/>
    <w:rsid w:val="00CB2278"/>
    <w:rsid w:val="00CB3E05"/>
    <w:rsid w:val="00CB45E0"/>
    <w:rsid w:val="00CB6BD8"/>
    <w:rsid w:val="00CB74C1"/>
    <w:rsid w:val="00CC0031"/>
    <w:rsid w:val="00CC1B2D"/>
    <w:rsid w:val="00CC2C4F"/>
    <w:rsid w:val="00CC3FDF"/>
    <w:rsid w:val="00CC60B9"/>
    <w:rsid w:val="00CD1628"/>
    <w:rsid w:val="00CD2712"/>
    <w:rsid w:val="00CD30E5"/>
    <w:rsid w:val="00CD41EE"/>
    <w:rsid w:val="00CD4482"/>
    <w:rsid w:val="00CD476F"/>
    <w:rsid w:val="00CD664F"/>
    <w:rsid w:val="00CD7BC6"/>
    <w:rsid w:val="00CD7C95"/>
    <w:rsid w:val="00CE0436"/>
    <w:rsid w:val="00CE118F"/>
    <w:rsid w:val="00CE19D4"/>
    <w:rsid w:val="00CE3D5E"/>
    <w:rsid w:val="00CE4977"/>
    <w:rsid w:val="00CF32E9"/>
    <w:rsid w:val="00CF345C"/>
    <w:rsid w:val="00CF4E94"/>
    <w:rsid w:val="00CF56C1"/>
    <w:rsid w:val="00CF75BA"/>
    <w:rsid w:val="00CF75BB"/>
    <w:rsid w:val="00CF7F12"/>
    <w:rsid w:val="00D010E3"/>
    <w:rsid w:val="00D01A19"/>
    <w:rsid w:val="00D022D6"/>
    <w:rsid w:val="00D02E90"/>
    <w:rsid w:val="00D03138"/>
    <w:rsid w:val="00D05810"/>
    <w:rsid w:val="00D10455"/>
    <w:rsid w:val="00D10925"/>
    <w:rsid w:val="00D1110C"/>
    <w:rsid w:val="00D11619"/>
    <w:rsid w:val="00D135F2"/>
    <w:rsid w:val="00D15978"/>
    <w:rsid w:val="00D15ADE"/>
    <w:rsid w:val="00D202AA"/>
    <w:rsid w:val="00D20416"/>
    <w:rsid w:val="00D20CCF"/>
    <w:rsid w:val="00D21942"/>
    <w:rsid w:val="00D22B65"/>
    <w:rsid w:val="00D23682"/>
    <w:rsid w:val="00D2377E"/>
    <w:rsid w:val="00D25CBF"/>
    <w:rsid w:val="00D27700"/>
    <w:rsid w:val="00D27891"/>
    <w:rsid w:val="00D30C9F"/>
    <w:rsid w:val="00D3196B"/>
    <w:rsid w:val="00D321A6"/>
    <w:rsid w:val="00D324FC"/>
    <w:rsid w:val="00D328C7"/>
    <w:rsid w:val="00D32CC4"/>
    <w:rsid w:val="00D35F36"/>
    <w:rsid w:val="00D36F6E"/>
    <w:rsid w:val="00D378DF"/>
    <w:rsid w:val="00D41322"/>
    <w:rsid w:val="00D41D02"/>
    <w:rsid w:val="00D42B0C"/>
    <w:rsid w:val="00D47AC5"/>
    <w:rsid w:val="00D5061A"/>
    <w:rsid w:val="00D5113F"/>
    <w:rsid w:val="00D51367"/>
    <w:rsid w:val="00D53CE6"/>
    <w:rsid w:val="00D551A4"/>
    <w:rsid w:val="00D55EFF"/>
    <w:rsid w:val="00D56336"/>
    <w:rsid w:val="00D56BA7"/>
    <w:rsid w:val="00D57174"/>
    <w:rsid w:val="00D576E9"/>
    <w:rsid w:val="00D5781D"/>
    <w:rsid w:val="00D60C65"/>
    <w:rsid w:val="00D60ECE"/>
    <w:rsid w:val="00D617EF"/>
    <w:rsid w:val="00D61A70"/>
    <w:rsid w:val="00D6210C"/>
    <w:rsid w:val="00D62648"/>
    <w:rsid w:val="00D62E61"/>
    <w:rsid w:val="00D62ECD"/>
    <w:rsid w:val="00D65CF2"/>
    <w:rsid w:val="00D65EA9"/>
    <w:rsid w:val="00D66369"/>
    <w:rsid w:val="00D6682C"/>
    <w:rsid w:val="00D66CF8"/>
    <w:rsid w:val="00D66DB5"/>
    <w:rsid w:val="00D67F9B"/>
    <w:rsid w:val="00D7008D"/>
    <w:rsid w:val="00D7086E"/>
    <w:rsid w:val="00D70C49"/>
    <w:rsid w:val="00D70F3A"/>
    <w:rsid w:val="00D710F3"/>
    <w:rsid w:val="00D72BEF"/>
    <w:rsid w:val="00D72C62"/>
    <w:rsid w:val="00D73886"/>
    <w:rsid w:val="00D73C9B"/>
    <w:rsid w:val="00D76AB8"/>
    <w:rsid w:val="00D772B3"/>
    <w:rsid w:val="00D77A52"/>
    <w:rsid w:val="00D814DD"/>
    <w:rsid w:val="00D81B58"/>
    <w:rsid w:val="00D81C14"/>
    <w:rsid w:val="00D81CB2"/>
    <w:rsid w:val="00D832D5"/>
    <w:rsid w:val="00D83376"/>
    <w:rsid w:val="00D83B18"/>
    <w:rsid w:val="00D84B5D"/>
    <w:rsid w:val="00D853FF"/>
    <w:rsid w:val="00D86A71"/>
    <w:rsid w:val="00D86A97"/>
    <w:rsid w:val="00D8705F"/>
    <w:rsid w:val="00D87A07"/>
    <w:rsid w:val="00D92A15"/>
    <w:rsid w:val="00D93577"/>
    <w:rsid w:val="00D957C0"/>
    <w:rsid w:val="00D965FE"/>
    <w:rsid w:val="00DA0095"/>
    <w:rsid w:val="00DA03FB"/>
    <w:rsid w:val="00DA0546"/>
    <w:rsid w:val="00DA1332"/>
    <w:rsid w:val="00DA35C5"/>
    <w:rsid w:val="00DA377B"/>
    <w:rsid w:val="00DA48F6"/>
    <w:rsid w:val="00DA5238"/>
    <w:rsid w:val="00DA53C1"/>
    <w:rsid w:val="00DA5621"/>
    <w:rsid w:val="00DA5B67"/>
    <w:rsid w:val="00DA7ECD"/>
    <w:rsid w:val="00DB09E4"/>
    <w:rsid w:val="00DB2870"/>
    <w:rsid w:val="00DB2D17"/>
    <w:rsid w:val="00DB3AB6"/>
    <w:rsid w:val="00DB59CA"/>
    <w:rsid w:val="00DB5E4D"/>
    <w:rsid w:val="00DB5F9F"/>
    <w:rsid w:val="00DB6D1F"/>
    <w:rsid w:val="00DB744A"/>
    <w:rsid w:val="00DB78EA"/>
    <w:rsid w:val="00DC11CB"/>
    <w:rsid w:val="00DC13EA"/>
    <w:rsid w:val="00DC1BB7"/>
    <w:rsid w:val="00DC3ADA"/>
    <w:rsid w:val="00DC4A0B"/>
    <w:rsid w:val="00DC4D66"/>
    <w:rsid w:val="00DC5176"/>
    <w:rsid w:val="00DD003F"/>
    <w:rsid w:val="00DD026E"/>
    <w:rsid w:val="00DD1715"/>
    <w:rsid w:val="00DD2C4D"/>
    <w:rsid w:val="00DD35FE"/>
    <w:rsid w:val="00DD37BF"/>
    <w:rsid w:val="00DD44AD"/>
    <w:rsid w:val="00DD45F6"/>
    <w:rsid w:val="00DD53D3"/>
    <w:rsid w:val="00DD5596"/>
    <w:rsid w:val="00DD5A7F"/>
    <w:rsid w:val="00DD6747"/>
    <w:rsid w:val="00DD6B23"/>
    <w:rsid w:val="00DE1E06"/>
    <w:rsid w:val="00DE2083"/>
    <w:rsid w:val="00DE24BA"/>
    <w:rsid w:val="00DE315C"/>
    <w:rsid w:val="00DE342A"/>
    <w:rsid w:val="00DE36C7"/>
    <w:rsid w:val="00DE48C3"/>
    <w:rsid w:val="00DE493A"/>
    <w:rsid w:val="00DE5099"/>
    <w:rsid w:val="00DE58AE"/>
    <w:rsid w:val="00DE7190"/>
    <w:rsid w:val="00DE71E8"/>
    <w:rsid w:val="00DF048D"/>
    <w:rsid w:val="00DF1157"/>
    <w:rsid w:val="00DF178D"/>
    <w:rsid w:val="00DF2E2D"/>
    <w:rsid w:val="00DF38C7"/>
    <w:rsid w:val="00DF4392"/>
    <w:rsid w:val="00DF4E1F"/>
    <w:rsid w:val="00DF63D4"/>
    <w:rsid w:val="00DF69A1"/>
    <w:rsid w:val="00DF6DE1"/>
    <w:rsid w:val="00DF752E"/>
    <w:rsid w:val="00DF7A41"/>
    <w:rsid w:val="00E0035B"/>
    <w:rsid w:val="00E00956"/>
    <w:rsid w:val="00E011B3"/>
    <w:rsid w:val="00E0150C"/>
    <w:rsid w:val="00E01A14"/>
    <w:rsid w:val="00E01A51"/>
    <w:rsid w:val="00E028F9"/>
    <w:rsid w:val="00E02EE2"/>
    <w:rsid w:val="00E04A85"/>
    <w:rsid w:val="00E04D61"/>
    <w:rsid w:val="00E05109"/>
    <w:rsid w:val="00E05894"/>
    <w:rsid w:val="00E05CBA"/>
    <w:rsid w:val="00E0642C"/>
    <w:rsid w:val="00E06A10"/>
    <w:rsid w:val="00E06BD0"/>
    <w:rsid w:val="00E109E0"/>
    <w:rsid w:val="00E14AFB"/>
    <w:rsid w:val="00E14FA3"/>
    <w:rsid w:val="00E151B6"/>
    <w:rsid w:val="00E153CF"/>
    <w:rsid w:val="00E1543D"/>
    <w:rsid w:val="00E159F4"/>
    <w:rsid w:val="00E15D9B"/>
    <w:rsid w:val="00E17572"/>
    <w:rsid w:val="00E176F6"/>
    <w:rsid w:val="00E177EE"/>
    <w:rsid w:val="00E204AA"/>
    <w:rsid w:val="00E236BA"/>
    <w:rsid w:val="00E24019"/>
    <w:rsid w:val="00E245F0"/>
    <w:rsid w:val="00E2566D"/>
    <w:rsid w:val="00E259B0"/>
    <w:rsid w:val="00E25EF0"/>
    <w:rsid w:val="00E27301"/>
    <w:rsid w:val="00E27805"/>
    <w:rsid w:val="00E27820"/>
    <w:rsid w:val="00E304B3"/>
    <w:rsid w:val="00E31996"/>
    <w:rsid w:val="00E3243B"/>
    <w:rsid w:val="00E329AF"/>
    <w:rsid w:val="00E342B0"/>
    <w:rsid w:val="00E350B7"/>
    <w:rsid w:val="00E356BA"/>
    <w:rsid w:val="00E35DA5"/>
    <w:rsid w:val="00E37D1E"/>
    <w:rsid w:val="00E40979"/>
    <w:rsid w:val="00E41050"/>
    <w:rsid w:val="00E42402"/>
    <w:rsid w:val="00E42980"/>
    <w:rsid w:val="00E435B7"/>
    <w:rsid w:val="00E43A26"/>
    <w:rsid w:val="00E440A3"/>
    <w:rsid w:val="00E442A2"/>
    <w:rsid w:val="00E466D8"/>
    <w:rsid w:val="00E46AF2"/>
    <w:rsid w:val="00E47557"/>
    <w:rsid w:val="00E477EF"/>
    <w:rsid w:val="00E47C68"/>
    <w:rsid w:val="00E503F7"/>
    <w:rsid w:val="00E50FE3"/>
    <w:rsid w:val="00E53CCD"/>
    <w:rsid w:val="00E5543F"/>
    <w:rsid w:val="00E55581"/>
    <w:rsid w:val="00E6140D"/>
    <w:rsid w:val="00E61F52"/>
    <w:rsid w:val="00E62B0D"/>
    <w:rsid w:val="00E6414B"/>
    <w:rsid w:val="00E64851"/>
    <w:rsid w:val="00E6486B"/>
    <w:rsid w:val="00E67C51"/>
    <w:rsid w:val="00E70BD3"/>
    <w:rsid w:val="00E71783"/>
    <w:rsid w:val="00E7237E"/>
    <w:rsid w:val="00E72A5A"/>
    <w:rsid w:val="00E735B1"/>
    <w:rsid w:val="00E741ED"/>
    <w:rsid w:val="00E770AD"/>
    <w:rsid w:val="00E77FD2"/>
    <w:rsid w:val="00E81DCB"/>
    <w:rsid w:val="00E84029"/>
    <w:rsid w:val="00E85206"/>
    <w:rsid w:val="00E865C6"/>
    <w:rsid w:val="00E86A9E"/>
    <w:rsid w:val="00E90B31"/>
    <w:rsid w:val="00E90BDF"/>
    <w:rsid w:val="00E947EF"/>
    <w:rsid w:val="00E94F36"/>
    <w:rsid w:val="00E95883"/>
    <w:rsid w:val="00E97042"/>
    <w:rsid w:val="00E9710E"/>
    <w:rsid w:val="00E97677"/>
    <w:rsid w:val="00EA013C"/>
    <w:rsid w:val="00EA16BA"/>
    <w:rsid w:val="00EA258A"/>
    <w:rsid w:val="00EA37D3"/>
    <w:rsid w:val="00EA447E"/>
    <w:rsid w:val="00EA4DBC"/>
    <w:rsid w:val="00EB02F5"/>
    <w:rsid w:val="00EB037F"/>
    <w:rsid w:val="00EB10EA"/>
    <w:rsid w:val="00EB31AB"/>
    <w:rsid w:val="00EB4305"/>
    <w:rsid w:val="00EB4EFE"/>
    <w:rsid w:val="00EB5751"/>
    <w:rsid w:val="00EB5E51"/>
    <w:rsid w:val="00EB6115"/>
    <w:rsid w:val="00EB647E"/>
    <w:rsid w:val="00EB721E"/>
    <w:rsid w:val="00EC1533"/>
    <w:rsid w:val="00EC175E"/>
    <w:rsid w:val="00EC22D7"/>
    <w:rsid w:val="00EC245A"/>
    <w:rsid w:val="00EC4771"/>
    <w:rsid w:val="00EC4BAE"/>
    <w:rsid w:val="00EC5D37"/>
    <w:rsid w:val="00EC6A3F"/>
    <w:rsid w:val="00ED2391"/>
    <w:rsid w:val="00ED3778"/>
    <w:rsid w:val="00ED3AC6"/>
    <w:rsid w:val="00ED3DA3"/>
    <w:rsid w:val="00ED76A5"/>
    <w:rsid w:val="00ED7945"/>
    <w:rsid w:val="00EE1531"/>
    <w:rsid w:val="00EE6411"/>
    <w:rsid w:val="00EE66C7"/>
    <w:rsid w:val="00EE6B2F"/>
    <w:rsid w:val="00EE76D9"/>
    <w:rsid w:val="00EF02F8"/>
    <w:rsid w:val="00EF0400"/>
    <w:rsid w:val="00EF1737"/>
    <w:rsid w:val="00EF37B1"/>
    <w:rsid w:val="00EF5C83"/>
    <w:rsid w:val="00EF6936"/>
    <w:rsid w:val="00EF7D7A"/>
    <w:rsid w:val="00F002B2"/>
    <w:rsid w:val="00F00AC2"/>
    <w:rsid w:val="00F011BE"/>
    <w:rsid w:val="00F01C27"/>
    <w:rsid w:val="00F0204B"/>
    <w:rsid w:val="00F027B8"/>
    <w:rsid w:val="00F05E2B"/>
    <w:rsid w:val="00F0601A"/>
    <w:rsid w:val="00F0678A"/>
    <w:rsid w:val="00F0724E"/>
    <w:rsid w:val="00F105E2"/>
    <w:rsid w:val="00F12FA2"/>
    <w:rsid w:val="00F14C67"/>
    <w:rsid w:val="00F15518"/>
    <w:rsid w:val="00F17616"/>
    <w:rsid w:val="00F22E5F"/>
    <w:rsid w:val="00F233B0"/>
    <w:rsid w:val="00F24E5E"/>
    <w:rsid w:val="00F25D76"/>
    <w:rsid w:val="00F26DA9"/>
    <w:rsid w:val="00F318FC"/>
    <w:rsid w:val="00F31D64"/>
    <w:rsid w:val="00F32292"/>
    <w:rsid w:val="00F333D7"/>
    <w:rsid w:val="00F33736"/>
    <w:rsid w:val="00F33B09"/>
    <w:rsid w:val="00F3434E"/>
    <w:rsid w:val="00F35873"/>
    <w:rsid w:val="00F358FC"/>
    <w:rsid w:val="00F35AF7"/>
    <w:rsid w:val="00F36D4A"/>
    <w:rsid w:val="00F375AB"/>
    <w:rsid w:val="00F376EB"/>
    <w:rsid w:val="00F37C40"/>
    <w:rsid w:val="00F37FE5"/>
    <w:rsid w:val="00F40EC2"/>
    <w:rsid w:val="00F40EFA"/>
    <w:rsid w:val="00F41545"/>
    <w:rsid w:val="00F416D0"/>
    <w:rsid w:val="00F41935"/>
    <w:rsid w:val="00F41EEA"/>
    <w:rsid w:val="00F4321E"/>
    <w:rsid w:val="00F4341D"/>
    <w:rsid w:val="00F44AC9"/>
    <w:rsid w:val="00F4545C"/>
    <w:rsid w:val="00F45E80"/>
    <w:rsid w:val="00F50177"/>
    <w:rsid w:val="00F51132"/>
    <w:rsid w:val="00F51CC5"/>
    <w:rsid w:val="00F51F90"/>
    <w:rsid w:val="00F567BF"/>
    <w:rsid w:val="00F56AC0"/>
    <w:rsid w:val="00F56F0E"/>
    <w:rsid w:val="00F56F47"/>
    <w:rsid w:val="00F57335"/>
    <w:rsid w:val="00F57A39"/>
    <w:rsid w:val="00F60A2A"/>
    <w:rsid w:val="00F61064"/>
    <w:rsid w:val="00F61F72"/>
    <w:rsid w:val="00F62680"/>
    <w:rsid w:val="00F62FBA"/>
    <w:rsid w:val="00F63723"/>
    <w:rsid w:val="00F63BA4"/>
    <w:rsid w:val="00F64101"/>
    <w:rsid w:val="00F65E9E"/>
    <w:rsid w:val="00F6649E"/>
    <w:rsid w:val="00F6724B"/>
    <w:rsid w:val="00F7025D"/>
    <w:rsid w:val="00F719E0"/>
    <w:rsid w:val="00F71EFD"/>
    <w:rsid w:val="00F72085"/>
    <w:rsid w:val="00F73FF5"/>
    <w:rsid w:val="00F741D7"/>
    <w:rsid w:val="00F74A94"/>
    <w:rsid w:val="00F74EFB"/>
    <w:rsid w:val="00F76F54"/>
    <w:rsid w:val="00F7712A"/>
    <w:rsid w:val="00F803F8"/>
    <w:rsid w:val="00F80E02"/>
    <w:rsid w:val="00F8144D"/>
    <w:rsid w:val="00F82B0E"/>
    <w:rsid w:val="00F8415B"/>
    <w:rsid w:val="00F84536"/>
    <w:rsid w:val="00F85869"/>
    <w:rsid w:val="00F869F8"/>
    <w:rsid w:val="00F86BE3"/>
    <w:rsid w:val="00F90EFD"/>
    <w:rsid w:val="00F926D8"/>
    <w:rsid w:val="00F93F4C"/>
    <w:rsid w:val="00F94925"/>
    <w:rsid w:val="00F9535B"/>
    <w:rsid w:val="00F95DE8"/>
    <w:rsid w:val="00F95E71"/>
    <w:rsid w:val="00F962C7"/>
    <w:rsid w:val="00F96FD2"/>
    <w:rsid w:val="00F9780A"/>
    <w:rsid w:val="00FA02FD"/>
    <w:rsid w:val="00FA0E40"/>
    <w:rsid w:val="00FA13F8"/>
    <w:rsid w:val="00FA1906"/>
    <w:rsid w:val="00FA2EC0"/>
    <w:rsid w:val="00FA2F3F"/>
    <w:rsid w:val="00FA31AD"/>
    <w:rsid w:val="00FA47E1"/>
    <w:rsid w:val="00FA4EA3"/>
    <w:rsid w:val="00FA612C"/>
    <w:rsid w:val="00FA7AAE"/>
    <w:rsid w:val="00FB13E0"/>
    <w:rsid w:val="00FB38D6"/>
    <w:rsid w:val="00FB3E2F"/>
    <w:rsid w:val="00FB4CA8"/>
    <w:rsid w:val="00FB5EBA"/>
    <w:rsid w:val="00FB6B34"/>
    <w:rsid w:val="00FB707F"/>
    <w:rsid w:val="00FC036D"/>
    <w:rsid w:val="00FC07C4"/>
    <w:rsid w:val="00FC1619"/>
    <w:rsid w:val="00FC19E8"/>
    <w:rsid w:val="00FC22CF"/>
    <w:rsid w:val="00FC4541"/>
    <w:rsid w:val="00FC57A0"/>
    <w:rsid w:val="00FC5866"/>
    <w:rsid w:val="00FC5B63"/>
    <w:rsid w:val="00FC5E2B"/>
    <w:rsid w:val="00FC5E53"/>
    <w:rsid w:val="00FC6337"/>
    <w:rsid w:val="00FD0BDA"/>
    <w:rsid w:val="00FD1FC4"/>
    <w:rsid w:val="00FD3AFF"/>
    <w:rsid w:val="00FD3EB9"/>
    <w:rsid w:val="00FD4975"/>
    <w:rsid w:val="00FD4992"/>
    <w:rsid w:val="00FD5200"/>
    <w:rsid w:val="00FD5235"/>
    <w:rsid w:val="00FD79FF"/>
    <w:rsid w:val="00FE0CDC"/>
    <w:rsid w:val="00FE297B"/>
    <w:rsid w:val="00FE371A"/>
    <w:rsid w:val="00FE3880"/>
    <w:rsid w:val="00FE47DF"/>
    <w:rsid w:val="00FE4AE9"/>
    <w:rsid w:val="00FE7555"/>
    <w:rsid w:val="00FE75DD"/>
    <w:rsid w:val="00FF0C5F"/>
    <w:rsid w:val="00FF0CC1"/>
    <w:rsid w:val="00FF203D"/>
    <w:rsid w:val="00FF274C"/>
    <w:rsid w:val="00FF2B27"/>
    <w:rsid w:val="00FF2B67"/>
    <w:rsid w:val="00FF354D"/>
    <w:rsid w:val="00FF4FBC"/>
    <w:rsid w:val="00FF61E2"/>
    <w:rsid w:val="00FF6B48"/>
    <w:rsid w:val="00FF75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on="f"/>
      <o:colormru v:ext="edit" colors="#ddd,#cfcfcf,#cacaca,#66f,blue,#ccd3e1,#002469,#335087"/>
    </o:shapedefaults>
    <o:shapelayout v:ext="edit">
      <o:idmap v:ext="edit" data="1"/>
    </o:shapelayout>
  </w:shapeDefaults>
  <w:decimalSymbol w:val="."/>
  <w:listSeparator w:val=","/>
  <w15:chartTrackingRefBased/>
  <w15:docId w15:val="{C6E28358-C8CF-485B-B225-4FCEC0FA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annotation reference" w:uiPriority="99"/>
    <w:lsdException w:name="Body Text" w:qFormat="1"/>
    <w:lsdException w:name="Body Text 2" w:qFormat="1"/>
    <w:lsdException w:name="Body Text 3" w:qFormat="1"/>
    <w:lsdException w:name="Hyperlink" w:uiPriority="99"/>
    <w:lsdException w:name="Strong" w:uiPriority="22"/>
    <w:lsdException w:name="No List" w:uiPriority="99"/>
    <w:lsdException w:name="Balloon Text" w:uiPriority="99"/>
    <w:lsdException w:name="Table Grid" w:uiPriority="3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AA9"/>
    <w:pPr>
      <w:spacing w:after="240" w:line="280" w:lineRule="atLeast"/>
    </w:pPr>
    <w:rPr>
      <w:rFonts w:ascii="Arial" w:hAnsi="Arial"/>
      <w:sz w:val="22"/>
      <w:lang w:val="en-GB" w:eastAsia="en-GB"/>
    </w:rPr>
  </w:style>
  <w:style w:type="paragraph" w:styleId="Heading1">
    <w:name w:val="heading 1"/>
    <w:basedOn w:val="Normal"/>
    <w:next w:val="Normal"/>
    <w:link w:val="Heading1Char"/>
    <w:qFormat/>
    <w:rsid w:val="004B4B2B"/>
    <w:pPr>
      <w:keepNext/>
      <w:tabs>
        <w:tab w:val="left" w:pos="567"/>
      </w:tabs>
      <w:spacing w:before="480" w:line="240" w:lineRule="auto"/>
      <w:outlineLvl w:val="0"/>
    </w:pPr>
    <w:rPr>
      <w:rFonts w:cs="Arial"/>
      <w:b/>
      <w:color w:val="002469"/>
      <w:spacing w:val="20"/>
      <w:w w:val="90"/>
      <w:sz w:val="38"/>
      <w:szCs w:val="38"/>
    </w:rPr>
  </w:style>
  <w:style w:type="paragraph" w:styleId="Heading2">
    <w:name w:val="heading 2"/>
    <w:basedOn w:val="Normal"/>
    <w:next w:val="Normal"/>
    <w:link w:val="Heading2Char"/>
    <w:qFormat/>
    <w:rsid w:val="0088541D"/>
    <w:pPr>
      <w:keepNext/>
      <w:tabs>
        <w:tab w:val="left" w:pos="567"/>
      </w:tabs>
      <w:spacing w:before="240" w:after="180" w:line="240" w:lineRule="auto"/>
      <w:ind w:left="567" w:hanging="567"/>
      <w:outlineLvl w:val="1"/>
    </w:pPr>
    <w:rPr>
      <w:b/>
      <w:color w:val="335087"/>
      <w:spacing w:val="20"/>
      <w:w w:val="90"/>
      <w:sz w:val="32"/>
      <w:szCs w:val="24"/>
    </w:rPr>
  </w:style>
  <w:style w:type="paragraph" w:styleId="Heading3">
    <w:name w:val="heading 3"/>
    <w:basedOn w:val="Bullet-list"/>
    <w:next w:val="Normal"/>
    <w:qFormat/>
    <w:rsid w:val="00AC1201"/>
    <w:pPr>
      <w:numPr>
        <w:numId w:val="0"/>
      </w:numPr>
      <w:spacing w:after="0" w:line="240" w:lineRule="auto"/>
      <w:outlineLvl w:val="2"/>
    </w:pPr>
    <w:rPr>
      <w:b/>
    </w:rPr>
  </w:style>
  <w:style w:type="paragraph" w:styleId="Heading4">
    <w:name w:val="heading 4"/>
    <w:basedOn w:val="Bullet-list"/>
    <w:next w:val="Normal"/>
    <w:rsid w:val="00AC1201"/>
    <w:pPr>
      <w:numPr>
        <w:numId w:val="0"/>
      </w:numPr>
      <w:spacing w:after="0" w:line="240" w:lineRule="auto"/>
      <w:outlineLvl w:val="3"/>
    </w:pPr>
    <w:rPr>
      <w:u w:val="single"/>
    </w:rPr>
  </w:style>
  <w:style w:type="paragraph" w:styleId="Heading5">
    <w:name w:val="heading 5"/>
    <w:basedOn w:val="Normal"/>
    <w:next w:val="Normal"/>
    <w:rsid w:val="00AC1201"/>
    <w:pPr>
      <w:spacing w:after="0" w:line="240" w:lineRule="auto"/>
      <w:outlineLvl w:val="4"/>
    </w:pPr>
    <w:rPr>
      <w:rFonts w:cs="Arial"/>
      <w:i/>
    </w:rPr>
  </w:style>
  <w:style w:type="paragraph" w:styleId="Heading6">
    <w:name w:val="heading 6"/>
    <w:basedOn w:val="Normal"/>
    <w:next w:val="Normal"/>
    <w:rsid w:val="00830E17"/>
    <w:pPr>
      <w:spacing w:after="0" w:line="240" w:lineRule="auto"/>
      <w:outlineLvl w:val="5"/>
    </w:pPr>
    <w:rPr>
      <w:rFonts w:eastAsia="Calibri" w:cs="Arial"/>
      <w:szCs w:val="22"/>
      <w:u w:val="single"/>
      <w:lang w:val="en-NZ" w:eastAsia="en-US"/>
    </w:rPr>
  </w:style>
  <w:style w:type="paragraph" w:styleId="Heading7">
    <w:name w:val="heading 7"/>
    <w:basedOn w:val="Normal"/>
    <w:next w:val="Normal"/>
    <w:rsid w:val="00504E3C"/>
    <w:pPr>
      <w:spacing w:before="240"/>
      <w:outlineLvl w:val="6"/>
    </w:pPr>
    <w:rPr>
      <w:sz w:val="20"/>
    </w:rPr>
  </w:style>
  <w:style w:type="paragraph" w:styleId="Heading8">
    <w:name w:val="heading 8"/>
    <w:basedOn w:val="Normal"/>
    <w:next w:val="Normal"/>
    <w:rsid w:val="00504E3C"/>
    <w:pPr>
      <w:spacing w:before="80" w:after="80"/>
      <w:outlineLvl w:val="7"/>
    </w:pPr>
    <w:rPr>
      <w:sz w:val="20"/>
    </w:rPr>
  </w:style>
  <w:style w:type="paragraph" w:styleId="Heading9">
    <w:name w:val="heading 9"/>
    <w:next w:val="Normal"/>
    <w:rsid w:val="00504E3C"/>
    <w:pPr>
      <w:keepNext/>
      <w:spacing w:before="160" w:line="260" w:lineRule="exact"/>
      <w:outlineLvl w:val="8"/>
    </w:pPr>
    <w:rPr>
      <w:rFonts w:ascii="Arial" w:hAnsi="Arial"/>
      <w:b/>
      <w:i/>
      <w:lang w:val="en-AU"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4B2B"/>
    <w:rPr>
      <w:rFonts w:ascii="Arial" w:hAnsi="Arial" w:cs="Arial"/>
      <w:b/>
      <w:color w:val="002469"/>
      <w:spacing w:val="20"/>
      <w:w w:val="90"/>
      <w:sz w:val="38"/>
      <w:szCs w:val="38"/>
      <w:lang w:val="en-GB" w:eastAsia="en-GB"/>
    </w:rPr>
  </w:style>
  <w:style w:type="character" w:customStyle="1" w:styleId="Heading2Char">
    <w:name w:val="Heading 2 Char"/>
    <w:link w:val="Heading2"/>
    <w:rsid w:val="0088541D"/>
    <w:rPr>
      <w:rFonts w:ascii="Arial" w:hAnsi="Arial"/>
      <w:b/>
      <w:color w:val="335087"/>
      <w:spacing w:val="20"/>
      <w:w w:val="90"/>
      <w:sz w:val="32"/>
      <w:szCs w:val="24"/>
      <w:lang w:val="en-GB" w:eastAsia="en-GB"/>
    </w:rPr>
  </w:style>
  <w:style w:type="paragraph" w:styleId="Header">
    <w:name w:val="header"/>
    <w:basedOn w:val="Normal"/>
    <w:rsid w:val="004C2B29"/>
    <w:pPr>
      <w:tabs>
        <w:tab w:val="center" w:pos="4153"/>
        <w:tab w:val="right" w:pos="8306"/>
      </w:tabs>
    </w:pPr>
  </w:style>
  <w:style w:type="paragraph" w:styleId="Footer">
    <w:name w:val="footer"/>
    <w:basedOn w:val="Normal"/>
    <w:link w:val="FooterChar"/>
    <w:autoRedefine/>
    <w:uiPriority w:val="99"/>
    <w:rsid w:val="003074B4"/>
    <w:pPr>
      <w:tabs>
        <w:tab w:val="right" w:pos="9072"/>
      </w:tabs>
      <w:spacing w:after="0" w:line="240" w:lineRule="auto"/>
      <w:jc w:val="center"/>
    </w:pPr>
    <w:rPr>
      <w:noProof/>
      <w:color w:val="002469"/>
      <w:spacing w:val="6"/>
      <w:sz w:val="16"/>
      <w:szCs w:val="16"/>
    </w:rPr>
  </w:style>
  <w:style w:type="character" w:customStyle="1" w:styleId="FooterChar">
    <w:name w:val="Footer Char"/>
    <w:link w:val="Footer"/>
    <w:uiPriority w:val="99"/>
    <w:rsid w:val="003074B4"/>
    <w:rPr>
      <w:rFonts w:ascii="Arial" w:hAnsi="Arial"/>
      <w:noProof/>
      <w:color w:val="002469"/>
      <w:spacing w:val="6"/>
      <w:sz w:val="16"/>
      <w:szCs w:val="16"/>
      <w:lang w:val="en-GB" w:eastAsia="en-GB"/>
    </w:rPr>
  </w:style>
  <w:style w:type="character" w:styleId="Hyperlink">
    <w:name w:val="Hyperlink"/>
    <w:uiPriority w:val="99"/>
    <w:rsid w:val="002C097E"/>
    <w:rPr>
      <w:color w:val="002469"/>
      <w:u w:val="single"/>
    </w:rPr>
  </w:style>
  <w:style w:type="paragraph" w:styleId="BalloonText">
    <w:name w:val="Balloon Text"/>
    <w:basedOn w:val="Normal"/>
    <w:link w:val="BalloonTextChar"/>
    <w:uiPriority w:val="99"/>
    <w:semiHidden/>
    <w:rsid w:val="00504E3C"/>
    <w:rPr>
      <w:rFonts w:ascii="Tahoma" w:hAnsi="Tahoma" w:cs="Tahoma"/>
      <w:sz w:val="16"/>
      <w:szCs w:val="16"/>
    </w:rPr>
  </w:style>
  <w:style w:type="paragraph" w:styleId="Caption">
    <w:name w:val="caption"/>
    <w:basedOn w:val="Normal"/>
    <w:next w:val="Normal"/>
    <w:rsid w:val="006A3F76"/>
    <w:rPr>
      <w:b/>
      <w:bCs/>
      <w:sz w:val="20"/>
    </w:rPr>
  </w:style>
  <w:style w:type="paragraph" w:styleId="FootnoteText">
    <w:name w:val="footnote text"/>
    <w:basedOn w:val="Normal"/>
    <w:link w:val="FootnoteTextChar"/>
    <w:rsid w:val="00504E3C"/>
    <w:pPr>
      <w:tabs>
        <w:tab w:val="left" w:pos="425"/>
      </w:tabs>
      <w:spacing w:after="60" w:line="240" w:lineRule="auto"/>
      <w:ind w:left="425" w:hanging="425"/>
    </w:pPr>
    <w:rPr>
      <w:sz w:val="18"/>
    </w:rPr>
  </w:style>
  <w:style w:type="character" w:customStyle="1" w:styleId="FootnoteTextChar">
    <w:name w:val="Footnote Text Char"/>
    <w:link w:val="FootnoteText"/>
    <w:rsid w:val="00E25EF0"/>
    <w:rPr>
      <w:rFonts w:ascii="Arial" w:hAnsi="Arial"/>
      <w:sz w:val="18"/>
      <w:lang w:val="en-GB" w:eastAsia="en-GB"/>
    </w:rPr>
  </w:style>
  <w:style w:type="character" w:styleId="FootnoteReference">
    <w:name w:val="footnote reference"/>
    <w:semiHidden/>
    <w:rsid w:val="00504E3C"/>
    <w:rPr>
      <w:rFonts w:ascii="Arial" w:hAnsi="Arial"/>
      <w:color w:val="auto"/>
      <w:position w:val="8"/>
      <w:sz w:val="16"/>
    </w:rPr>
  </w:style>
  <w:style w:type="paragraph" w:styleId="TOC1">
    <w:name w:val="toc 1"/>
    <w:basedOn w:val="Normal"/>
    <w:next w:val="Normal"/>
    <w:uiPriority w:val="39"/>
    <w:rsid w:val="00F80E02"/>
    <w:pPr>
      <w:tabs>
        <w:tab w:val="left" w:pos="426"/>
        <w:tab w:val="right" w:leader="dot" w:pos="9072"/>
      </w:tabs>
      <w:spacing w:before="120" w:after="120"/>
    </w:pPr>
    <w:rPr>
      <w:bCs/>
      <w:noProof/>
      <w:sz w:val="24"/>
      <w:szCs w:val="44"/>
    </w:rPr>
  </w:style>
  <w:style w:type="paragraph" w:styleId="TOC2">
    <w:name w:val="toc 2"/>
    <w:basedOn w:val="Normal"/>
    <w:next w:val="Normal"/>
    <w:uiPriority w:val="39"/>
    <w:rsid w:val="00F80E02"/>
    <w:pPr>
      <w:tabs>
        <w:tab w:val="left" w:pos="851"/>
        <w:tab w:val="right" w:leader="dot" w:pos="9072"/>
      </w:tabs>
      <w:spacing w:after="100"/>
      <w:ind w:left="425" w:right="-1"/>
    </w:pPr>
    <w:rPr>
      <w:noProof/>
      <w:sz w:val="24"/>
    </w:rPr>
  </w:style>
  <w:style w:type="paragraph" w:styleId="TOC3">
    <w:name w:val="toc 3"/>
    <w:basedOn w:val="Normal"/>
    <w:next w:val="Normal"/>
    <w:uiPriority w:val="39"/>
    <w:rsid w:val="00504E3C"/>
    <w:pPr>
      <w:tabs>
        <w:tab w:val="left" w:leader="dot" w:pos="8646"/>
        <w:tab w:val="right" w:pos="9072"/>
      </w:tabs>
      <w:ind w:left="1418" w:right="850"/>
    </w:pPr>
  </w:style>
  <w:style w:type="paragraph" w:styleId="CommentText">
    <w:name w:val="annotation text"/>
    <w:basedOn w:val="Normal"/>
    <w:link w:val="CommentTextChar"/>
    <w:uiPriority w:val="99"/>
    <w:semiHidden/>
    <w:rsid w:val="00504E3C"/>
    <w:rPr>
      <w:sz w:val="20"/>
    </w:rPr>
  </w:style>
  <w:style w:type="character" w:customStyle="1" w:styleId="CommentTextChar">
    <w:name w:val="Comment Text Char"/>
    <w:link w:val="CommentText"/>
    <w:uiPriority w:val="99"/>
    <w:semiHidden/>
    <w:rsid w:val="008D5CD9"/>
    <w:rPr>
      <w:rFonts w:ascii="Arial" w:hAnsi="Arial"/>
      <w:lang w:val="en-GB" w:eastAsia="en-GB"/>
    </w:rPr>
  </w:style>
  <w:style w:type="paragraph" w:styleId="CommentSubject">
    <w:name w:val="annotation subject"/>
    <w:basedOn w:val="CommentText"/>
    <w:next w:val="CommentText"/>
    <w:semiHidden/>
    <w:rsid w:val="00504E3C"/>
    <w:rPr>
      <w:b/>
      <w:bCs/>
    </w:rPr>
  </w:style>
  <w:style w:type="paragraph" w:styleId="DocumentMap">
    <w:name w:val="Document Map"/>
    <w:basedOn w:val="Normal"/>
    <w:semiHidden/>
    <w:rsid w:val="00504E3C"/>
    <w:pPr>
      <w:shd w:val="clear" w:color="auto" w:fill="000080"/>
    </w:pPr>
    <w:rPr>
      <w:rFonts w:ascii="Tahoma" w:hAnsi="Tahoma" w:cs="Tahoma"/>
      <w:sz w:val="20"/>
    </w:rPr>
  </w:style>
  <w:style w:type="paragraph" w:customStyle="1" w:styleId="Boxtext">
    <w:name w:val="Box text"/>
    <w:basedOn w:val="Normal"/>
    <w:rsid w:val="00374E9A"/>
    <w:pPr>
      <w:pBdr>
        <w:top w:val="single" w:sz="4" w:space="10" w:color="DDDDDD"/>
        <w:left w:val="single" w:sz="4" w:space="4" w:color="DDDDDD"/>
        <w:bottom w:val="single" w:sz="4" w:space="10" w:color="DDDDDD"/>
        <w:right w:val="single" w:sz="4" w:space="4" w:color="DDDDDD"/>
      </w:pBdr>
      <w:shd w:val="clear" w:color="auto" w:fill="E5E9F0"/>
      <w:spacing w:after="80"/>
      <w:ind w:left="142" w:right="142"/>
    </w:pPr>
    <w:rPr>
      <w:sz w:val="20"/>
    </w:rPr>
  </w:style>
  <w:style w:type="paragraph" w:customStyle="1" w:styleId="Boxbullet">
    <w:name w:val="Box bullet"/>
    <w:basedOn w:val="Boxtext"/>
    <w:rsid w:val="006062EF"/>
    <w:pPr>
      <w:numPr>
        <w:numId w:val="1"/>
      </w:numPr>
      <w:tabs>
        <w:tab w:val="clear" w:pos="644"/>
        <w:tab w:val="num" w:pos="426"/>
      </w:tabs>
      <w:spacing w:before="80"/>
      <w:ind w:left="426" w:hanging="284"/>
    </w:pPr>
  </w:style>
  <w:style w:type="paragraph" w:customStyle="1" w:styleId="Boxheading">
    <w:name w:val="Box heading"/>
    <w:basedOn w:val="Boxtext"/>
    <w:next w:val="Boxtext"/>
    <w:autoRedefine/>
    <w:rsid w:val="005C10C5"/>
    <w:pPr>
      <w:spacing w:after="0"/>
    </w:pPr>
    <w:rPr>
      <w:b/>
      <w:color w:val="335087"/>
      <w:sz w:val="22"/>
    </w:rPr>
  </w:style>
  <w:style w:type="paragraph" w:customStyle="1" w:styleId="Bullet-list">
    <w:name w:val="Bullet-list"/>
    <w:qFormat/>
    <w:rsid w:val="00CA5DA4"/>
    <w:pPr>
      <w:numPr>
        <w:numId w:val="2"/>
      </w:numPr>
      <w:spacing w:after="180" w:line="280" w:lineRule="exact"/>
    </w:pPr>
    <w:rPr>
      <w:rFonts w:ascii="Arial" w:hAnsi="Arial"/>
      <w:sz w:val="22"/>
      <w:lang w:val="en-AU" w:eastAsia="en-US"/>
    </w:rPr>
  </w:style>
  <w:style w:type="paragraph" w:customStyle="1" w:styleId="EvenFooter">
    <w:name w:val="Even Footer"/>
    <w:basedOn w:val="Footer"/>
    <w:rsid w:val="0054782B"/>
    <w:pPr>
      <w:jc w:val="left"/>
    </w:pPr>
  </w:style>
  <w:style w:type="table" w:styleId="TableGrid">
    <w:name w:val="Table Grid"/>
    <w:basedOn w:val="TableNormal"/>
    <w:uiPriority w:val="39"/>
    <w:rsid w:val="00504E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_spacer"/>
    <w:basedOn w:val="Normal"/>
    <w:next w:val="Normal"/>
    <w:rsid w:val="00504E3C"/>
    <w:pPr>
      <w:keepNext/>
      <w:spacing w:after="0" w:line="240" w:lineRule="auto"/>
    </w:pPr>
    <w:rPr>
      <w:sz w:val="20"/>
    </w:rPr>
  </w:style>
  <w:style w:type="paragraph" w:customStyle="1" w:styleId="TableText">
    <w:name w:val="Table Text"/>
    <w:basedOn w:val="Normal"/>
    <w:link w:val="TableTextChar"/>
    <w:qFormat/>
    <w:rsid w:val="00504E3C"/>
    <w:pPr>
      <w:autoSpaceDE w:val="0"/>
      <w:autoSpaceDN w:val="0"/>
      <w:adjustRightInd w:val="0"/>
      <w:spacing w:before="60" w:after="60" w:line="240" w:lineRule="atLeast"/>
    </w:pPr>
    <w:rPr>
      <w:rFonts w:cs="GillSans"/>
      <w:sz w:val="20"/>
      <w:szCs w:val="22"/>
      <w:lang w:eastAsia="en-AU"/>
    </w:rPr>
  </w:style>
  <w:style w:type="character" w:customStyle="1" w:styleId="TableTextChar">
    <w:name w:val="Table Text Char"/>
    <w:link w:val="TableText"/>
    <w:rsid w:val="00E25EF0"/>
    <w:rPr>
      <w:rFonts w:ascii="Arial" w:hAnsi="Arial" w:cs="GillSans"/>
      <w:szCs w:val="22"/>
      <w:lang w:val="en-GB" w:eastAsia="en-AU"/>
    </w:rPr>
  </w:style>
  <w:style w:type="paragraph" w:customStyle="1" w:styleId="Evenfooter-wide">
    <w:name w:val="Even footer-wide"/>
    <w:basedOn w:val="EvenFooter"/>
    <w:rsid w:val="0054782B"/>
  </w:style>
  <w:style w:type="character" w:styleId="CommentReference">
    <w:name w:val="annotation reference"/>
    <w:uiPriority w:val="99"/>
    <w:semiHidden/>
    <w:rsid w:val="00504E3C"/>
    <w:rPr>
      <w:sz w:val="16"/>
      <w:szCs w:val="16"/>
    </w:rPr>
  </w:style>
  <w:style w:type="character" w:styleId="FollowedHyperlink">
    <w:name w:val="FollowedHyperlink"/>
    <w:rsid w:val="00912583"/>
    <w:rPr>
      <w:color w:val="800080"/>
      <w:u w:val="single"/>
    </w:rPr>
  </w:style>
  <w:style w:type="paragraph" w:styleId="List">
    <w:name w:val="List"/>
    <w:basedOn w:val="Normal"/>
    <w:rsid w:val="00C9795B"/>
    <w:pPr>
      <w:ind w:left="283" w:hanging="283"/>
    </w:pPr>
  </w:style>
  <w:style w:type="paragraph" w:customStyle="1" w:styleId="Boxindent">
    <w:name w:val="Box indent"/>
    <w:basedOn w:val="Boxtext"/>
    <w:rsid w:val="001B24D5"/>
    <w:pPr>
      <w:tabs>
        <w:tab w:val="left" w:pos="426"/>
      </w:tabs>
      <w:ind w:left="426" w:hanging="284"/>
    </w:pPr>
  </w:style>
  <w:style w:type="paragraph" w:styleId="Title">
    <w:name w:val="Title"/>
    <w:basedOn w:val="Normal"/>
    <w:rsid w:val="00855476"/>
    <w:pPr>
      <w:widowControl w:val="0"/>
      <w:autoSpaceDE w:val="0"/>
      <w:autoSpaceDN w:val="0"/>
      <w:adjustRightInd w:val="0"/>
      <w:spacing w:before="1560" w:after="720" w:line="240" w:lineRule="atLeast"/>
    </w:pPr>
    <w:rPr>
      <w:rFonts w:cs="Arial"/>
      <w:color w:val="002469"/>
      <w:spacing w:val="40"/>
      <w:w w:val="90"/>
      <w:sz w:val="48"/>
      <w:szCs w:val="48"/>
    </w:rPr>
  </w:style>
  <w:style w:type="paragraph" w:customStyle="1" w:styleId="Author">
    <w:name w:val="Author"/>
    <w:basedOn w:val="Normal"/>
    <w:semiHidden/>
    <w:rsid w:val="00DF4E1F"/>
    <w:pPr>
      <w:spacing w:before="240" w:after="1200"/>
      <w:ind w:left="-181"/>
      <w:jc w:val="right"/>
    </w:pPr>
    <w:rPr>
      <w:rFonts w:cs="Arial"/>
      <w:i/>
      <w:sz w:val="40"/>
      <w:szCs w:val="22"/>
    </w:rPr>
  </w:style>
  <w:style w:type="paragraph" w:customStyle="1" w:styleId="spacer">
    <w:name w:val="spacer"/>
    <w:basedOn w:val="Normal"/>
    <w:rsid w:val="00BF2DF2"/>
    <w:pPr>
      <w:spacing w:after="0" w:line="240" w:lineRule="auto"/>
    </w:pPr>
    <w:rPr>
      <w:sz w:val="16"/>
      <w:szCs w:val="22"/>
      <w:lang w:eastAsia="en-AU"/>
    </w:rPr>
  </w:style>
  <w:style w:type="paragraph" w:styleId="Subtitle">
    <w:name w:val="Subtitle"/>
    <w:basedOn w:val="Title"/>
    <w:next w:val="Normal"/>
    <w:link w:val="SubtitleChar"/>
    <w:rsid w:val="00855476"/>
    <w:pPr>
      <w:spacing w:before="360" w:line="600" w:lineRule="atLeast"/>
    </w:pPr>
    <w:rPr>
      <w:sz w:val="36"/>
      <w:szCs w:val="36"/>
    </w:rPr>
  </w:style>
  <w:style w:type="character" w:customStyle="1" w:styleId="SubtitleChar">
    <w:name w:val="Subtitle Char"/>
    <w:link w:val="Subtitle"/>
    <w:rsid w:val="00855476"/>
    <w:rPr>
      <w:rFonts w:ascii="Arial" w:hAnsi="Arial" w:cs="Arial"/>
      <w:color w:val="001C4D"/>
      <w:spacing w:val="40"/>
      <w:w w:val="90"/>
      <w:sz w:val="36"/>
      <w:szCs w:val="36"/>
      <w:lang w:val="en-GB" w:eastAsia="en-GB"/>
    </w:rPr>
  </w:style>
  <w:style w:type="paragraph" w:customStyle="1" w:styleId="TableBullet1">
    <w:name w:val="Table Bullet 1"/>
    <w:basedOn w:val="TableText"/>
    <w:rsid w:val="00E25EF0"/>
    <w:pPr>
      <w:numPr>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TableBullet2">
    <w:name w:val="Table Bullet 2"/>
    <w:basedOn w:val="TableText"/>
    <w:rsid w:val="00E25EF0"/>
    <w:pPr>
      <w:numPr>
        <w:ilvl w:val="1"/>
        <w:numId w:val="3"/>
      </w:numPr>
      <w:autoSpaceDE/>
      <w:autoSpaceDN/>
      <w:adjustRightInd/>
      <w:spacing w:before="30" w:after="30" w:line="240" w:lineRule="auto"/>
    </w:pPr>
    <w:rPr>
      <w:rFonts w:ascii="Garamond" w:hAnsi="Garamond" w:cs="Times New Roman"/>
      <w:sz w:val="22"/>
      <w:szCs w:val="24"/>
      <w:lang w:val="en-NZ" w:eastAsia="en-NZ"/>
    </w:rPr>
  </w:style>
  <w:style w:type="paragraph" w:customStyle="1" w:styleId="Intro">
    <w:name w:val="Intro"/>
    <w:basedOn w:val="Normal"/>
    <w:rsid w:val="008D5CD9"/>
    <w:pPr>
      <w:spacing w:line="360" w:lineRule="atLeast"/>
    </w:pPr>
    <w:rPr>
      <w:color w:val="335087"/>
      <w:sz w:val="24"/>
    </w:rPr>
  </w:style>
  <w:style w:type="paragraph" w:styleId="ListParagraph">
    <w:name w:val="List Paragraph"/>
    <w:basedOn w:val="Normal"/>
    <w:uiPriority w:val="34"/>
    <w:qFormat/>
    <w:rsid w:val="008D5CD9"/>
    <w:pPr>
      <w:ind w:left="720"/>
      <w:contextualSpacing/>
    </w:pPr>
  </w:style>
  <w:style w:type="paragraph" w:customStyle="1" w:styleId="Text">
    <w:name w:val="Text"/>
    <w:basedOn w:val="Normal"/>
    <w:link w:val="TextChar"/>
    <w:rsid w:val="008D5CD9"/>
    <w:pPr>
      <w:spacing w:before="120" w:after="120" w:line="300" w:lineRule="exact"/>
      <w:jc w:val="both"/>
    </w:pPr>
    <w:rPr>
      <w:lang w:eastAsia="en-US"/>
    </w:rPr>
  </w:style>
  <w:style w:type="character" w:customStyle="1" w:styleId="TextChar">
    <w:name w:val="Text Char"/>
    <w:link w:val="Text"/>
    <w:rsid w:val="008D5CD9"/>
    <w:rPr>
      <w:rFonts w:ascii="Arial" w:hAnsi="Arial"/>
      <w:sz w:val="22"/>
      <w:lang w:val="en-GB" w:eastAsia="en-US"/>
    </w:rPr>
  </w:style>
  <w:style w:type="paragraph" w:customStyle="1" w:styleId="TableBullet">
    <w:name w:val="Table Bullet"/>
    <w:basedOn w:val="Normal"/>
    <w:rsid w:val="001F492F"/>
    <w:pPr>
      <w:numPr>
        <w:ilvl w:val="1"/>
        <w:numId w:val="4"/>
      </w:numPr>
    </w:pPr>
  </w:style>
  <w:style w:type="paragraph" w:customStyle="1" w:styleId="CabStandard">
    <w:name w:val="CabStandard"/>
    <w:basedOn w:val="Normal"/>
    <w:rsid w:val="00BF6ABA"/>
    <w:pPr>
      <w:numPr>
        <w:numId w:val="5"/>
      </w:numPr>
      <w:spacing w:line="240" w:lineRule="auto"/>
    </w:pPr>
    <w:rPr>
      <w:rFonts w:ascii="Times New Roman" w:hAnsi="Times New Roman"/>
      <w:sz w:val="24"/>
      <w:lang w:eastAsia="ja-JP"/>
    </w:rPr>
  </w:style>
  <w:style w:type="numbering" w:customStyle="1" w:styleId="NoList1">
    <w:name w:val="No List1"/>
    <w:next w:val="NoList"/>
    <w:uiPriority w:val="99"/>
    <w:semiHidden/>
    <w:unhideWhenUsed/>
    <w:rsid w:val="00B74A60"/>
  </w:style>
  <w:style w:type="table" w:customStyle="1" w:styleId="TableGrid1">
    <w:name w:val="Table Grid1"/>
    <w:basedOn w:val="TableNormal"/>
    <w:next w:val="TableGrid"/>
    <w:uiPriority w:val="39"/>
    <w:rsid w:val="00B74A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B74A60"/>
    <w:rPr>
      <w:rFonts w:ascii="Tahoma" w:hAnsi="Tahoma" w:cs="Tahoma"/>
      <w:sz w:val="16"/>
      <w:szCs w:val="16"/>
      <w:lang w:val="en-GB" w:eastAsia="en-GB"/>
    </w:rPr>
  </w:style>
  <w:style w:type="character" w:customStyle="1" w:styleId="style-bold">
    <w:name w:val="style-bold"/>
    <w:rsid w:val="008B3A95"/>
  </w:style>
  <w:style w:type="paragraph" w:styleId="BodyText">
    <w:name w:val="Body Text"/>
    <w:basedOn w:val="Bullet-list"/>
    <w:link w:val="BodyTextChar"/>
    <w:qFormat/>
    <w:rsid w:val="00316AA9"/>
    <w:pPr>
      <w:numPr>
        <w:numId w:val="27"/>
      </w:numPr>
      <w:spacing w:after="200" w:line="240" w:lineRule="auto"/>
      <w:ind w:left="567" w:hanging="567"/>
    </w:pPr>
  </w:style>
  <w:style w:type="character" w:customStyle="1" w:styleId="BodyTextChar">
    <w:name w:val="Body Text Char"/>
    <w:link w:val="BodyText"/>
    <w:rsid w:val="00316AA9"/>
    <w:rPr>
      <w:rFonts w:ascii="Arial" w:hAnsi="Arial"/>
      <w:sz w:val="22"/>
      <w:lang w:val="en-AU" w:eastAsia="en-US"/>
    </w:rPr>
  </w:style>
  <w:style w:type="paragraph" w:styleId="BodyText2">
    <w:name w:val="Body Text 2"/>
    <w:basedOn w:val="ListParagraph"/>
    <w:link w:val="BodyText2Char"/>
    <w:qFormat/>
    <w:rsid w:val="00316AA9"/>
    <w:pPr>
      <w:numPr>
        <w:numId w:val="26"/>
      </w:numPr>
      <w:spacing w:after="200" w:line="240" w:lineRule="auto"/>
      <w:ind w:left="1134" w:hanging="567"/>
      <w:contextualSpacing w:val="0"/>
    </w:pPr>
    <w:rPr>
      <w:rFonts w:cs="Arial"/>
    </w:rPr>
  </w:style>
  <w:style w:type="character" w:customStyle="1" w:styleId="BodyText2Char">
    <w:name w:val="Body Text 2 Char"/>
    <w:link w:val="BodyText2"/>
    <w:rsid w:val="00316AA9"/>
    <w:rPr>
      <w:rFonts w:ascii="Arial" w:hAnsi="Arial" w:cs="Arial"/>
      <w:sz w:val="22"/>
      <w:lang w:val="en-GB" w:eastAsia="en-GB"/>
    </w:rPr>
  </w:style>
  <w:style w:type="paragraph" w:styleId="BodyText3">
    <w:name w:val="Body Text 3"/>
    <w:basedOn w:val="Normal"/>
    <w:link w:val="BodyText3Char"/>
    <w:qFormat/>
    <w:rsid w:val="00B85C02"/>
    <w:pPr>
      <w:numPr>
        <w:numId w:val="20"/>
      </w:numPr>
      <w:spacing w:after="200" w:line="240" w:lineRule="auto"/>
      <w:ind w:left="1701" w:hanging="567"/>
    </w:pPr>
    <w:rPr>
      <w:rFonts w:eastAsia="Calibri" w:cs="Arial"/>
      <w:szCs w:val="22"/>
      <w:lang w:val="en-NZ" w:eastAsia="en-US"/>
    </w:rPr>
  </w:style>
  <w:style w:type="character" w:customStyle="1" w:styleId="BodyText3Char">
    <w:name w:val="Body Text 3 Char"/>
    <w:link w:val="BodyText3"/>
    <w:rsid w:val="00B85C02"/>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3835">
      <w:bodyDiv w:val="1"/>
      <w:marLeft w:val="0"/>
      <w:marRight w:val="0"/>
      <w:marTop w:val="0"/>
      <w:marBottom w:val="0"/>
      <w:divBdr>
        <w:top w:val="none" w:sz="0" w:space="0" w:color="auto"/>
        <w:left w:val="none" w:sz="0" w:space="0" w:color="auto"/>
        <w:bottom w:val="none" w:sz="0" w:space="0" w:color="auto"/>
        <w:right w:val="none" w:sz="0" w:space="0" w:color="auto"/>
      </w:divBdr>
      <w:divsChild>
        <w:div w:id="671572252">
          <w:marLeft w:val="0"/>
          <w:marRight w:val="0"/>
          <w:marTop w:val="0"/>
          <w:marBottom w:val="0"/>
          <w:divBdr>
            <w:top w:val="none" w:sz="0" w:space="0" w:color="auto"/>
            <w:left w:val="none" w:sz="0" w:space="0" w:color="auto"/>
            <w:bottom w:val="none" w:sz="0" w:space="0" w:color="auto"/>
            <w:right w:val="none" w:sz="0" w:space="0" w:color="auto"/>
          </w:divBdr>
          <w:divsChild>
            <w:div w:id="859707625">
              <w:marLeft w:val="0"/>
              <w:marRight w:val="0"/>
              <w:marTop w:val="0"/>
              <w:marBottom w:val="0"/>
              <w:divBdr>
                <w:top w:val="none" w:sz="0" w:space="0" w:color="auto"/>
                <w:left w:val="none" w:sz="0" w:space="0" w:color="auto"/>
                <w:bottom w:val="none" w:sz="0" w:space="0" w:color="auto"/>
                <w:right w:val="none" w:sz="0" w:space="0" w:color="auto"/>
              </w:divBdr>
              <w:divsChild>
                <w:div w:id="649408707">
                  <w:marLeft w:val="0"/>
                  <w:marRight w:val="0"/>
                  <w:marTop w:val="0"/>
                  <w:marBottom w:val="0"/>
                  <w:divBdr>
                    <w:top w:val="none" w:sz="0" w:space="0" w:color="auto"/>
                    <w:left w:val="none" w:sz="0" w:space="0" w:color="auto"/>
                    <w:bottom w:val="none" w:sz="0" w:space="0" w:color="auto"/>
                    <w:right w:val="none" w:sz="0" w:space="0" w:color="auto"/>
                  </w:divBdr>
                  <w:divsChild>
                    <w:div w:id="809906057">
                      <w:marLeft w:val="0"/>
                      <w:marRight w:val="0"/>
                      <w:marTop w:val="0"/>
                      <w:marBottom w:val="0"/>
                      <w:divBdr>
                        <w:top w:val="none" w:sz="0" w:space="0" w:color="auto"/>
                        <w:left w:val="none" w:sz="0" w:space="0" w:color="auto"/>
                        <w:bottom w:val="none" w:sz="0" w:space="0" w:color="auto"/>
                        <w:right w:val="none" w:sz="0" w:space="0" w:color="auto"/>
                      </w:divBdr>
                      <w:divsChild>
                        <w:div w:id="1132791379">
                          <w:marLeft w:val="0"/>
                          <w:marRight w:val="0"/>
                          <w:marTop w:val="0"/>
                          <w:marBottom w:val="0"/>
                          <w:divBdr>
                            <w:top w:val="none" w:sz="0" w:space="0" w:color="auto"/>
                            <w:left w:val="none" w:sz="0" w:space="0" w:color="auto"/>
                            <w:bottom w:val="none" w:sz="0" w:space="0" w:color="auto"/>
                            <w:right w:val="none" w:sz="0" w:space="0" w:color="auto"/>
                          </w:divBdr>
                          <w:divsChild>
                            <w:div w:id="1112633500">
                              <w:marLeft w:val="0"/>
                              <w:marRight w:val="0"/>
                              <w:marTop w:val="0"/>
                              <w:marBottom w:val="0"/>
                              <w:divBdr>
                                <w:top w:val="none" w:sz="0" w:space="0" w:color="auto"/>
                                <w:left w:val="none" w:sz="0" w:space="0" w:color="auto"/>
                                <w:bottom w:val="none" w:sz="0" w:space="0" w:color="auto"/>
                                <w:right w:val="none" w:sz="0" w:space="0" w:color="auto"/>
                              </w:divBdr>
                              <w:divsChild>
                                <w:div w:id="12216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309396">
      <w:bodyDiv w:val="1"/>
      <w:marLeft w:val="0"/>
      <w:marRight w:val="0"/>
      <w:marTop w:val="0"/>
      <w:marBottom w:val="0"/>
      <w:divBdr>
        <w:top w:val="none" w:sz="0" w:space="0" w:color="auto"/>
        <w:left w:val="none" w:sz="0" w:space="0" w:color="auto"/>
        <w:bottom w:val="none" w:sz="0" w:space="0" w:color="auto"/>
        <w:right w:val="none" w:sz="0" w:space="0" w:color="auto"/>
      </w:divBdr>
    </w:div>
    <w:div w:id="200172542">
      <w:bodyDiv w:val="1"/>
      <w:marLeft w:val="0"/>
      <w:marRight w:val="0"/>
      <w:marTop w:val="0"/>
      <w:marBottom w:val="0"/>
      <w:divBdr>
        <w:top w:val="none" w:sz="0" w:space="0" w:color="auto"/>
        <w:left w:val="none" w:sz="0" w:space="0" w:color="auto"/>
        <w:bottom w:val="none" w:sz="0" w:space="0" w:color="auto"/>
        <w:right w:val="none" w:sz="0" w:space="0" w:color="auto"/>
      </w:divBdr>
      <w:divsChild>
        <w:div w:id="1975140607">
          <w:marLeft w:val="0"/>
          <w:marRight w:val="0"/>
          <w:marTop w:val="0"/>
          <w:marBottom w:val="0"/>
          <w:divBdr>
            <w:top w:val="none" w:sz="0" w:space="0" w:color="auto"/>
            <w:left w:val="none" w:sz="0" w:space="0" w:color="auto"/>
            <w:bottom w:val="none" w:sz="0" w:space="0" w:color="auto"/>
            <w:right w:val="none" w:sz="0" w:space="0" w:color="auto"/>
          </w:divBdr>
          <w:divsChild>
            <w:div w:id="2107115890">
              <w:marLeft w:val="0"/>
              <w:marRight w:val="0"/>
              <w:marTop w:val="0"/>
              <w:marBottom w:val="0"/>
              <w:divBdr>
                <w:top w:val="none" w:sz="0" w:space="0" w:color="auto"/>
                <w:left w:val="none" w:sz="0" w:space="0" w:color="auto"/>
                <w:bottom w:val="none" w:sz="0" w:space="0" w:color="auto"/>
                <w:right w:val="none" w:sz="0" w:space="0" w:color="auto"/>
              </w:divBdr>
              <w:divsChild>
                <w:div w:id="1439450257">
                  <w:marLeft w:val="0"/>
                  <w:marRight w:val="0"/>
                  <w:marTop w:val="0"/>
                  <w:marBottom w:val="0"/>
                  <w:divBdr>
                    <w:top w:val="none" w:sz="0" w:space="0" w:color="auto"/>
                    <w:left w:val="none" w:sz="0" w:space="0" w:color="auto"/>
                    <w:bottom w:val="none" w:sz="0" w:space="0" w:color="auto"/>
                    <w:right w:val="none" w:sz="0" w:space="0" w:color="auto"/>
                  </w:divBdr>
                  <w:divsChild>
                    <w:div w:id="1832716204">
                      <w:marLeft w:val="0"/>
                      <w:marRight w:val="0"/>
                      <w:marTop w:val="0"/>
                      <w:marBottom w:val="0"/>
                      <w:divBdr>
                        <w:top w:val="none" w:sz="0" w:space="0" w:color="auto"/>
                        <w:left w:val="none" w:sz="0" w:space="0" w:color="auto"/>
                        <w:bottom w:val="none" w:sz="0" w:space="0" w:color="auto"/>
                        <w:right w:val="none" w:sz="0" w:space="0" w:color="auto"/>
                      </w:divBdr>
                      <w:divsChild>
                        <w:div w:id="1923293342">
                          <w:marLeft w:val="0"/>
                          <w:marRight w:val="0"/>
                          <w:marTop w:val="0"/>
                          <w:marBottom w:val="0"/>
                          <w:divBdr>
                            <w:top w:val="none" w:sz="0" w:space="0" w:color="auto"/>
                            <w:left w:val="none" w:sz="0" w:space="0" w:color="auto"/>
                            <w:bottom w:val="none" w:sz="0" w:space="0" w:color="auto"/>
                            <w:right w:val="none" w:sz="0" w:space="0" w:color="auto"/>
                          </w:divBdr>
                          <w:divsChild>
                            <w:div w:id="1192455352">
                              <w:marLeft w:val="0"/>
                              <w:marRight w:val="0"/>
                              <w:marTop w:val="0"/>
                              <w:marBottom w:val="0"/>
                              <w:divBdr>
                                <w:top w:val="none" w:sz="0" w:space="0" w:color="auto"/>
                                <w:left w:val="none" w:sz="0" w:space="0" w:color="auto"/>
                                <w:bottom w:val="none" w:sz="0" w:space="0" w:color="auto"/>
                                <w:right w:val="none" w:sz="0" w:space="0" w:color="auto"/>
                              </w:divBdr>
                              <w:divsChild>
                                <w:div w:id="1540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485323">
      <w:bodyDiv w:val="1"/>
      <w:marLeft w:val="0"/>
      <w:marRight w:val="0"/>
      <w:marTop w:val="0"/>
      <w:marBottom w:val="0"/>
      <w:divBdr>
        <w:top w:val="none" w:sz="0" w:space="0" w:color="auto"/>
        <w:left w:val="none" w:sz="0" w:space="0" w:color="auto"/>
        <w:bottom w:val="none" w:sz="0" w:space="0" w:color="auto"/>
        <w:right w:val="none" w:sz="0" w:space="0" w:color="auto"/>
      </w:divBdr>
      <w:divsChild>
        <w:div w:id="745689828">
          <w:marLeft w:val="0"/>
          <w:marRight w:val="0"/>
          <w:marTop w:val="0"/>
          <w:marBottom w:val="0"/>
          <w:divBdr>
            <w:top w:val="none" w:sz="0" w:space="0" w:color="auto"/>
            <w:left w:val="none" w:sz="0" w:space="0" w:color="auto"/>
            <w:bottom w:val="none" w:sz="0" w:space="0" w:color="auto"/>
            <w:right w:val="none" w:sz="0" w:space="0" w:color="auto"/>
          </w:divBdr>
          <w:divsChild>
            <w:div w:id="1771196443">
              <w:marLeft w:val="0"/>
              <w:marRight w:val="0"/>
              <w:marTop w:val="0"/>
              <w:marBottom w:val="0"/>
              <w:divBdr>
                <w:top w:val="none" w:sz="0" w:space="0" w:color="auto"/>
                <w:left w:val="none" w:sz="0" w:space="0" w:color="auto"/>
                <w:bottom w:val="none" w:sz="0" w:space="0" w:color="auto"/>
                <w:right w:val="none" w:sz="0" w:space="0" w:color="auto"/>
              </w:divBdr>
              <w:divsChild>
                <w:div w:id="805047860">
                  <w:marLeft w:val="0"/>
                  <w:marRight w:val="0"/>
                  <w:marTop w:val="0"/>
                  <w:marBottom w:val="0"/>
                  <w:divBdr>
                    <w:top w:val="none" w:sz="0" w:space="0" w:color="auto"/>
                    <w:left w:val="none" w:sz="0" w:space="0" w:color="auto"/>
                    <w:bottom w:val="none" w:sz="0" w:space="0" w:color="auto"/>
                    <w:right w:val="none" w:sz="0" w:space="0" w:color="auto"/>
                  </w:divBdr>
                  <w:divsChild>
                    <w:div w:id="1012754767">
                      <w:marLeft w:val="0"/>
                      <w:marRight w:val="0"/>
                      <w:marTop w:val="0"/>
                      <w:marBottom w:val="0"/>
                      <w:divBdr>
                        <w:top w:val="none" w:sz="0" w:space="0" w:color="auto"/>
                        <w:left w:val="none" w:sz="0" w:space="0" w:color="auto"/>
                        <w:bottom w:val="none" w:sz="0" w:space="0" w:color="auto"/>
                        <w:right w:val="none" w:sz="0" w:space="0" w:color="auto"/>
                      </w:divBdr>
                      <w:divsChild>
                        <w:div w:id="138768720">
                          <w:marLeft w:val="0"/>
                          <w:marRight w:val="0"/>
                          <w:marTop w:val="0"/>
                          <w:marBottom w:val="0"/>
                          <w:divBdr>
                            <w:top w:val="none" w:sz="0" w:space="0" w:color="auto"/>
                            <w:left w:val="none" w:sz="0" w:space="0" w:color="auto"/>
                            <w:bottom w:val="none" w:sz="0" w:space="0" w:color="auto"/>
                            <w:right w:val="none" w:sz="0" w:space="0" w:color="auto"/>
                          </w:divBdr>
                          <w:divsChild>
                            <w:div w:id="138034671">
                              <w:marLeft w:val="0"/>
                              <w:marRight w:val="0"/>
                              <w:marTop w:val="0"/>
                              <w:marBottom w:val="0"/>
                              <w:divBdr>
                                <w:top w:val="none" w:sz="0" w:space="0" w:color="auto"/>
                                <w:left w:val="none" w:sz="0" w:space="0" w:color="auto"/>
                                <w:bottom w:val="none" w:sz="0" w:space="0" w:color="auto"/>
                                <w:right w:val="none" w:sz="0" w:space="0" w:color="auto"/>
                              </w:divBdr>
                              <w:divsChild>
                                <w:div w:id="17873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062850">
      <w:bodyDiv w:val="1"/>
      <w:marLeft w:val="0"/>
      <w:marRight w:val="0"/>
      <w:marTop w:val="0"/>
      <w:marBottom w:val="0"/>
      <w:divBdr>
        <w:top w:val="none" w:sz="0" w:space="0" w:color="auto"/>
        <w:left w:val="none" w:sz="0" w:space="0" w:color="auto"/>
        <w:bottom w:val="none" w:sz="0" w:space="0" w:color="auto"/>
        <w:right w:val="none" w:sz="0" w:space="0" w:color="auto"/>
      </w:divBdr>
    </w:div>
    <w:div w:id="463156412">
      <w:bodyDiv w:val="1"/>
      <w:marLeft w:val="0"/>
      <w:marRight w:val="0"/>
      <w:marTop w:val="0"/>
      <w:marBottom w:val="0"/>
      <w:divBdr>
        <w:top w:val="none" w:sz="0" w:space="0" w:color="auto"/>
        <w:left w:val="none" w:sz="0" w:space="0" w:color="auto"/>
        <w:bottom w:val="none" w:sz="0" w:space="0" w:color="auto"/>
        <w:right w:val="none" w:sz="0" w:space="0" w:color="auto"/>
      </w:divBdr>
      <w:divsChild>
        <w:div w:id="1691570663">
          <w:marLeft w:val="0"/>
          <w:marRight w:val="0"/>
          <w:marTop w:val="0"/>
          <w:marBottom w:val="0"/>
          <w:divBdr>
            <w:top w:val="none" w:sz="0" w:space="0" w:color="auto"/>
            <w:left w:val="none" w:sz="0" w:space="0" w:color="auto"/>
            <w:bottom w:val="none" w:sz="0" w:space="0" w:color="auto"/>
            <w:right w:val="none" w:sz="0" w:space="0" w:color="auto"/>
          </w:divBdr>
          <w:divsChild>
            <w:div w:id="433551838">
              <w:marLeft w:val="0"/>
              <w:marRight w:val="0"/>
              <w:marTop w:val="0"/>
              <w:marBottom w:val="0"/>
              <w:divBdr>
                <w:top w:val="none" w:sz="0" w:space="0" w:color="auto"/>
                <w:left w:val="none" w:sz="0" w:space="0" w:color="auto"/>
                <w:bottom w:val="none" w:sz="0" w:space="0" w:color="auto"/>
                <w:right w:val="none" w:sz="0" w:space="0" w:color="auto"/>
              </w:divBdr>
              <w:divsChild>
                <w:div w:id="1065418759">
                  <w:marLeft w:val="0"/>
                  <w:marRight w:val="0"/>
                  <w:marTop w:val="0"/>
                  <w:marBottom w:val="0"/>
                  <w:divBdr>
                    <w:top w:val="none" w:sz="0" w:space="0" w:color="auto"/>
                    <w:left w:val="none" w:sz="0" w:space="0" w:color="auto"/>
                    <w:bottom w:val="none" w:sz="0" w:space="0" w:color="auto"/>
                    <w:right w:val="none" w:sz="0" w:space="0" w:color="auto"/>
                  </w:divBdr>
                  <w:divsChild>
                    <w:div w:id="392050089">
                      <w:marLeft w:val="0"/>
                      <w:marRight w:val="0"/>
                      <w:marTop w:val="0"/>
                      <w:marBottom w:val="0"/>
                      <w:divBdr>
                        <w:top w:val="none" w:sz="0" w:space="0" w:color="auto"/>
                        <w:left w:val="none" w:sz="0" w:space="0" w:color="auto"/>
                        <w:bottom w:val="none" w:sz="0" w:space="0" w:color="auto"/>
                        <w:right w:val="none" w:sz="0" w:space="0" w:color="auto"/>
                      </w:divBdr>
                      <w:divsChild>
                        <w:div w:id="1319269234">
                          <w:marLeft w:val="0"/>
                          <w:marRight w:val="0"/>
                          <w:marTop w:val="0"/>
                          <w:marBottom w:val="0"/>
                          <w:divBdr>
                            <w:top w:val="none" w:sz="0" w:space="0" w:color="auto"/>
                            <w:left w:val="none" w:sz="0" w:space="0" w:color="auto"/>
                            <w:bottom w:val="none" w:sz="0" w:space="0" w:color="auto"/>
                            <w:right w:val="none" w:sz="0" w:space="0" w:color="auto"/>
                          </w:divBdr>
                          <w:divsChild>
                            <w:div w:id="1292591590">
                              <w:marLeft w:val="0"/>
                              <w:marRight w:val="0"/>
                              <w:marTop w:val="0"/>
                              <w:marBottom w:val="0"/>
                              <w:divBdr>
                                <w:top w:val="none" w:sz="0" w:space="0" w:color="auto"/>
                                <w:left w:val="none" w:sz="0" w:space="0" w:color="auto"/>
                                <w:bottom w:val="none" w:sz="0" w:space="0" w:color="auto"/>
                                <w:right w:val="none" w:sz="0" w:space="0" w:color="auto"/>
                              </w:divBdr>
                              <w:divsChild>
                                <w:div w:id="8832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607891">
      <w:bodyDiv w:val="1"/>
      <w:marLeft w:val="0"/>
      <w:marRight w:val="0"/>
      <w:marTop w:val="0"/>
      <w:marBottom w:val="0"/>
      <w:divBdr>
        <w:top w:val="none" w:sz="0" w:space="0" w:color="auto"/>
        <w:left w:val="none" w:sz="0" w:space="0" w:color="auto"/>
        <w:bottom w:val="none" w:sz="0" w:space="0" w:color="auto"/>
        <w:right w:val="none" w:sz="0" w:space="0" w:color="auto"/>
      </w:divBdr>
    </w:div>
    <w:div w:id="750543672">
      <w:bodyDiv w:val="1"/>
      <w:marLeft w:val="0"/>
      <w:marRight w:val="0"/>
      <w:marTop w:val="0"/>
      <w:marBottom w:val="0"/>
      <w:divBdr>
        <w:top w:val="none" w:sz="0" w:space="0" w:color="auto"/>
        <w:left w:val="none" w:sz="0" w:space="0" w:color="auto"/>
        <w:bottom w:val="none" w:sz="0" w:space="0" w:color="auto"/>
        <w:right w:val="none" w:sz="0" w:space="0" w:color="auto"/>
      </w:divBdr>
      <w:divsChild>
        <w:div w:id="369039519">
          <w:marLeft w:val="0"/>
          <w:marRight w:val="0"/>
          <w:marTop w:val="0"/>
          <w:marBottom w:val="0"/>
          <w:divBdr>
            <w:top w:val="none" w:sz="0" w:space="0" w:color="auto"/>
            <w:left w:val="none" w:sz="0" w:space="0" w:color="auto"/>
            <w:bottom w:val="none" w:sz="0" w:space="0" w:color="auto"/>
            <w:right w:val="none" w:sz="0" w:space="0" w:color="auto"/>
          </w:divBdr>
          <w:divsChild>
            <w:div w:id="1833064161">
              <w:marLeft w:val="0"/>
              <w:marRight w:val="0"/>
              <w:marTop w:val="0"/>
              <w:marBottom w:val="0"/>
              <w:divBdr>
                <w:top w:val="none" w:sz="0" w:space="0" w:color="auto"/>
                <w:left w:val="none" w:sz="0" w:space="0" w:color="auto"/>
                <w:bottom w:val="none" w:sz="0" w:space="0" w:color="auto"/>
                <w:right w:val="none" w:sz="0" w:space="0" w:color="auto"/>
              </w:divBdr>
              <w:divsChild>
                <w:div w:id="2073114934">
                  <w:marLeft w:val="0"/>
                  <w:marRight w:val="0"/>
                  <w:marTop w:val="0"/>
                  <w:marBottom w:val="0"/>
                  <w:divBdr>
                    <w:top w:val="none" w:sz="0" w:space="0" w:color="auto"/>
                    <w:left w:val="none" w:sz="0" w:space="0" w:color="auto"/>
                    <w:bottom w:val="none" w:sz="0" w:space="0" w:color="auto"/>
                    <w:right w:val="none" w:sz="0" w:space="0" w:color="auto"/>
                  </w:divBdr>
                  <w:divsChild>
                    <w:div w:id="1567687817">
                      <w:marLeft w:val="0"/>
                      <w:marRight w:val="0"/>
                      <w:marTop w:val="0"/>
                      <w:marBottom w:val="0"/>
                      <w:divBdr>
                        <w:top w:val="none" w:sz="0" w:space="0" w:color="auto"/>
                        <w:left w:val="none" w:sz="0" w:space="0" w:color="auto"/>
                        <w:bottom w:val="none" w:sz="0" w:space="0" w:color="auto"/>
                        <w:right w:val="none" w:sz="0" w:space="0" w:color="auto"/>
                      </w:divBdr>
                      <w:divsChild>
                        <w:div w:id="2107142745">
                          <w:marLeft w:val="0"/>
                          <w:marRight w:val="0"/>
                          <w:marTop w:val="0"/>
                          <w:marBottom w:val="0"/>
                          <w:divBdr>
                            <w:top w:val="none" w:sz="0" w:space="0" w:color="auto"/>
                            <w:left w:val="none" w:sz="0" w:space="0" w:color="auto"/>
                            <w:bottom w:val="none" w:sz="0" w:space="0" w:color="auto"/>
                            <w:right w:val="none" w:sz="0" w:space="0" w:color="auto"/>
                          </w:divBdr>
                          <w:divsChild>
                            <w:div w:id="1924214750">
                              <w:marLeft w:val="0"/>
                              <w:marRight w:val="0"/>
                              <w:marTop w:val="0"/>
                              <w:marBottom w:val="0"/>
                              <w:divBdr>
                                <w:top w:val="none" w:sz="0" w:space="0" w:color="auto"/>
                                <w:left w:val="none" w:sz="0" w:space="0" w:color="auto"/>
                                <w:bottom w:val="none" w:sz="0" w:space="0" w:color="auto"/>
                                <w:right w:val="none" w:sz="0" w:space="0" w:color="auto"/>
                              </w:divBdr>
                              <w:divsChild>
                                <w:div w:id="8249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754394">
      <w:bodyDiv w:val="1"/>
      <w:marLeft w:val="0"/>
      <w:marRight w:val="0"/>
      <w:marTop w:val="0"/>
      <w:marBottom w:val="0"/>
      <w:divBdr>
        <w:top w:val="none" w:sz="0" w:space="0" w:color="auto"/>
        <w:left w:val="none" w:sz="0" w:space="0" w:color="auto"/>
        <w:bottom w:val="none" w:sz="0" w:space="0" w:color="auto"/>
        <w:right w:val="none" w:sz="0" w:space="0" w:color="auto"/>
      </w:divBdr>
      <w:divsChild>
        <w:div w:id="1256133631">
          <w:marLeft w:val="0"/>
          <w:marRight w:val="0"/>
          <w:marTop w:val="0"/>
          <w:marBottom w:val="0"/>
          <w:divBdr>
            <w:top w:val="none" w:sz="0" w:space="0" w:color="auto"/>
            <w:left w:val="none" w:sz="0" w:space="0" w:color="auto"/>
            <w:bottom w:val="none" w:sz="0" w:space="0" w:color="auto"/>
            <w:right w:val="none" w:sz="0" w:space="0" w:color="auto"/>
          </w:divBdr>
          <w:divsChild>
            <w:div w:id="1994405637">
              <w:marLeft w:val="0"/>
              <w:marRight w:val="0"/>
              <w:marTop w:val="0"/>
              <w:marBottom w:val="0"/>
              <w:divBdr>
                <w:top w:val="none" w:sz="0" w:space="0" w:color="auto"/>
                <w:left w:val="none" w:sz="0" w:space="0" w:color="auto"/>
                <w:bottom w:val="none" w:sz="0" w:space="0" w:color="auto"/>
                <w:right w:val="none" w:sz="0" w:space="0" w:color="auto"/>
              </w:divBdr>
              <w:divsChild>
                <w:div w:id="1107040778">
                  <w:marLeft w:val="0"/>
                  <w:marRight w:val="0"/>
                  <w:marTop w:val="0"/>
                  <w:marBottom w:val="0"/>
                  <w:divBdr>
                    <w:top w:val="none" w:sz="0" w:space="0" w:color="auto"/>
                    <w:left w:val="none" w:sz="0" w:space="0" w:color="auto"/>
                    <w:bottom w:val="none" w:sz="0" w:space="0" w:color="auto"/>
                    <w:right w:val="none" w:sz="0" w:space="0" w:color="auto"/>
                  </w:divBdr>
                  <w:divsChild>
                    <w:div w:id="1397359591">
                      <w:marLeft w:val="0"/>
                      <w:marRight w:val="0"/>
                      <w:marTop w:val="0"/>
                      <w:marBottom w:val="0"/>
                      <w:divBdr>
                        <w:top w:val="none" w:sz="0" w:space="0" w:color="auto"/>
                        <w:left w:val="none" w:sz="0" w:space="0" w:color="auto"/>
                        <w:bottom w:val="none" w:sz="0" w:space="0" w:color="auto"/>
                        <w:right w:val="none" w:sz="0" w:space="0" w:color="auto"/>
                      </w:divBdr>
                      <w:divsChild>
                        <w:div w:id="641693520">
                          <w:marLeft w:val="0"/>
                          <w:marRight w:val="0"/>
                          <w:marTop w:val="0"/>
                          <w:marBottom w:val="0"/>
                          <w:divBdr>
                            <w:top w:val="none" w:sz="0" w:space="0" w:color="auto"/>
                            <w:left w:val="none" w:sz="0" w:space="0" w:color="auto"/>
                            <w:bottom w:val="none" w:sz="0" w:space="0" w:color="auto"/>
                            <w:right w:val="none" w:sz="0" w:space="0" w:color="auto"/>
                          </w:divBdr>
                          <w:divsChild>
                            <w:div w:id="102195685">
                              <w:marLeft w:val="0"/>
                              <w:marRight w:val="0"/>
                              <w:marTop w:val="0"/>
                              <w:marBottom w:val="0"/>
                              <w:divBdr>
                                <w:top w:val="none" w:sz="0" w:space="0" w:color="auto"/>
                                <w:left w:val="none" w:sz="0" w:space="0" w:color="auto"/>
                                <w:bottom w:val="none" w:sz="0" w:space="0" w:color="auto"/>
                                <w:right w:val="none" w:sz="0" w:space="0" w:color="auto"/>
                              </w:divBdr>
                              <w:divsChild>
                                <w:div w:id="14490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1298744">
      <w:bodyDiv w:val="1"/>
      <w:marLeft w:val="0"/>
      <w:marRight w:val="0"/>
      <w:marTop w:val="0"/>
      <w:marBottom w:val="0"/>
      <w:divBdr>
        <w:top w:val="none" w:sz="0" w:space="0" w:color="auto"/>
        <w:left w:val="none" w:sz="0" w:space="0" w:color="auto"/>
        <w:bottom w:val="none" w:sz="0" w:space="0" w:color="auto"/>
        <w:right w:val="none" w:sz="0" w:space="0" w:color="auto"/>
      </w:divBdr>
    </w:div>
    <w:div w:id="1480613111">
      <w:bodyDiv w:val="1"/>
      <w:marLeft w:val="0"/>
      <w:marRight w:val="0"/>
      <w:marTop w:val="0"/>
      <w:marBottom w:val="0"/>
      <w:divBdr>
        <w:top w:val="none" w:sz="0" w:space="0" w:color="auto"/>
        <w:left w:val="none" w:sz="0" w:space="0" w:color="auto"/>
        <w:bottom w:val="none" w:sz="0" w:space="0" w:color="auto"/>
        <w:right w:val="none" w:sz="0" w:space="0" w:color="auto"/>
      </w:divBdr>
      <w:divsChild>
        <w:div w:id="379594136">
          <w:marLeft w:val="0"/>
          <w:marRight w:val="0"/>
          <w:marTop w:val="0"/>
          <w:marBottom w:val="0"/>
          <w:divBdr>
            <w:top w:val="none" w:sz="0" w:space="0" w:color="auto"/>
            <w:left w:val="none" w:sz="0" w:space="0" w:color="auto"/>
            <w:bottom w:val="none" w:sz="0" w:space="0" w:color="auto"/>
            <w:right w:val="none" w:sz="0" w:space="0" w:color="auto"/>
          </w:divBdr>
          <w:divsChild>
            <w:div w:id="1208180123">
              <w:marLeft w:val="0"/>
              <w:marRight w:val="0"/>
              <w:marTop w:val="0"/>
              <w:marBottom w:val="0"/>
              <w:divBdr>
                <w:top w:val="none" w:sz="0" w:space="0" w:color="auto"/>
                <w:left w:val="none" w:sz="0" w:space="0" w:color="auto"/>
                <w:bottom w:val="none" w:sz="0" w:space="0" w:color="auto"/>
                <w:right w:val="none" w:sz="0" w:space="0" w:color="auto"/>
              </w:divBdr>
              <w:divsChild>
                <w:div w:id="1784225956">
                  <w:marLeft w:val="0"/>
                  <w:marRight w:val="0"/>
                  <w:marTop w:val="0"/>
                  <w:marBottom w:val="0"/>
                  <w:divBdr>
                    <w:top w:val="none" w:sz="0" w:space="0" w:color="auto"/>
                    <w:left w:val="none" w:sz="0" w:space="0" w:color="auto"/>
                    <w:bottom w:val="none" w:sz="0" w:space="0" w:color="auto"/>
                    <w:right w:val="none" w:sz="0" w:space="0" w:color="auto"/>
                  </w:divBdr>
                  <w:divsChild>
                    <w:div w:id="1716656976">
                      <w:marLeft w:val="0"/>
                      <w:marRight w:val="0"/>
                      <w:marTop w:val="0"/>
                      <w:marBottom w:val="0"/>
                      <w:divBdr>
                        <w:top w:val="none" w:sz="0" w:space="0" w:color="auto"/>
                        <w:left w:val="none" w:sz="0" w:space="0" w:color="auto"/>
                        <w:bottom w:val="none" w:sz="0" w:space="0" w:color="auto"/>
                        <w:right w:val="none" w:sz="0" w:space="0" w:color="auto"/>
                      </w:divBdr>
                      <w:divsChild>
                        <w:div w:id="844589303">
                          <w:marLeft w:val="0"/>
                          <w:marRight w:val="0"/>
                          <w:marTop w:val="0"/>
                          <w:marBottom w:val="0"/>
                          <w:divBdr>
                            <w:top w:val="none" w:sz="0" w:space="0" w:color="auto"/>
                            <w:left w:val="none" w:sz="0" w:space="0" w:color="auto"/>
                            <w:bottom w:val="none" w:sz="0" w:space="0" w:color="auto"/>
                            <w:right w:val="none" w:sz="0" w:space="0" w:color="auto"/>
                          </w:divBdr>
                          <w:divsChild>
                            <w:div w:id="1649704807">
                              <w:marLeft w:val="0"/>
                              <w:marRight w:val="0"/>
                              <w:marTop w:val="0"/>
                              <w:marBottom w:val="0"/>
                              <w:divBdr>
                                <w:top w:val="none" w:sz="0" w:space="0" w:color="auto"/>
                                <w:left w:val="none" w:sz="0" w:space="0" w:color="auto"/>
                                <w:bottom w:val="none" w:sz="0" w:space="0" w:color="auto"/>
                                <w:right w:val="none" w:sz="0" w:space="0" w:color="auto"/>
                              </w:divBdr>
                              <w:divsChild>
                                <w:div w:id="19643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541265">
      <w:bodyDiv w:val="1"/>
      <w:marLeft w:val="0"/>
      <w:marRight w:val="0"/>
      <w:marTop w:val="0"/>
      <w:marBottom w:val="0"/>
      <w:divBdr>
        <w:top w:val="none" w:sz="0" w:space="0" w:color="auto"/>
        <w:left w:val="none" w:sz="0" w:space="0" w:color="auto"/>
        <w:bottom w:val="none" w:sz="0" w:space="0" w:color="auto"/>
        <w:right w:val="none" w:sz="0" w:space="0" w:color="auto"/>
      </w:divBdr>
      <w:divsChild>
        <w:div w:id="585840754">
          <w:marLeft w:val="0"/>
          <w:marRight w:val="0"/>
          <w:marTop w:val="0"/>
          <w:marBottom w:val="0"/>
          <w:divBdr>
            <w:top w:val="none" w:sz="0" w:space="0" w:color="auto"/>
            <w:left w:val="none" w:sz="0" w:space="0" w:color="auto"/>
            <w:bottom w:val="none" w:sz="0" w:space="0" w:color="auto"/>
            <w:right w:val="none" w:sz="0" w:space="0" w:color="auto"/>
          </w:divBdr>
        </w:div>
      </w:divsChild>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syTemplates\Guid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60C93-3941-4034-BDB9-CC315056D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Template>
  <TotalTime>0</TotalTime>
  <Pages>1</Pages>
  <Words>18586</Words>
  <Characters>105941</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Regulatory Impact Statement: Therapeutic Products Regulation</vt:lpstr>
    </vt:vector>
  </TitlesOfParts>
  <Company>The Treasury</Company>
  <LinksUpToDate>false</LinksUpToDate>
  <CharactersWithSpaces>124279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 Therapeutic Products Regulation</dc:title>
  <dc:subject/>
  <dc:creator>Ministry of Health</dc:creator>
  <cp:keywords/>
  <cp:lastModifiedBy>Ministry of Health</cp:lastModifiedBy>
  <cp:revision>1</cp:revision>
  <cp:lastPrinted>2015-11-11T02:37:00Z</cp:lastPrinted>
  <dcterms:created xsi:type="dcterms:W3CDTF">2016-04-22T04:06:00Z</dcterms:created>
  <dcterms:modified xsi:type="dcterms:W3CDTF">2016-04-22T04:06:00Z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UpdateFooter">
    <vt:bool>false</vt:bool>
  </property>
  <property fmtid="{D5CDD505-2E9C-101B-9397-08002B2CF9AE}" pid="3" name="TsySecurityClassification">
    <vt:lpwstr>IN-CONFIDENCE</vt:lpwstr>
  </property>
  <property fmtid="{D5CDD505-2E9C-101B-9397-08002B2CF9AE}" pid="4" name="TsyDisplayedSecurityClassification">
    <vt:lpwstr>IN-CONFIDENCE</vt:lpwstr>
  </property>
  <property fmtid="{D5CDD505-2E9C-101B-9397-08002B2CF9AE}" pid="5" name="TsySeemailSecurityClassification">
    <vt:lpwstr> [IN-CONFIDENCE]</vt:lpwstr>
  </property>
  <property fmtid="{D5CDD505-2E9C-101B-9397-08002B2CF9AE}" pid="6" name="TsyDocNum">
    <vt:i4>2702188</vt:i4>
  </property>
  <property fmtid="{D5CDD505-2E9C-101B-9397-08002B2CF9AE}" pid="7" name="TsyDocVer">
    <vt:i4>2</vt:i4>
  </property>
  <property fmtid="{D5CDD505-2E9C-101B-9397-08002B2CF9AE}" pid="8" name="TsyDisplayedDocNumVer">
    <vt:lpwstr>Treasury:2702188v2</vt:lpwstr>
  </property>
  <property fmtid="{D5CDD505-2E9C-101B-9397-08002B2CF9AE}" pid="9" name="TsyFileNo">
    <vt:lpwstr>SH-11-2-7-9</vt:lpwstr>
  </property>
  <property fmtid="{D5CDD505-2E9C-101B-9397-08002B2CF9AE}" pid="10" name="TsyDescription">
    <vt:lpwstr>RIA Handbook 2013 DRAFT (from KIS Web &amp; Publishing)</vt:lpwstr>
  </property>
  <property fmtid="{D5CDD505-2E9C-101B-9397-08002B2CF9AE}" pid="11" name="TsyTrNum">
    <vt:lpwstr> </vt:lpwstr>
  </property>
  <property fmtid="{D5CDD505-2E9C-101B-9397-08002B2CF9AE}" pid="12" name="TsyOiaNum">
    <vt:lpwstr> </vt:lpwstr>
  </property>
  <property fmtid="{D5CDD505-2E9C-101B-9397-08002B2CF9AE}" pid="13" name="TsyManagerUsername">
    <vt:lpwstr> </vt:lpwstr>
  </property>
  <property fmtid="{D5CDD505-2E9C-101B-9397-08002B2CF9AE}" pid="14" name="TsyManagerFullname">
    <vt:lpwstr> </vt:lpwstr>
  </property>
  <property fmtid="{D5CDD505-2E9C-101B-9397-08002B2CF9AE}" pid="15" name="TsyHeaderFooterPropertyVersion">
    <vt:i4>1</vt:i4>
  </property>
  <property fmtid="{D5CDD505-2E9C-101B-9397-08002B2CF9AE}" pid="16" name="TsyAuthorUsername">
    <vt:lpwstr>TEMPLEB</vt:lpwstr>
  </property>
  <property fmtid="{D5CDD505-2E9C-101B-9397-08002B2CF9AE}" pid="17" name="TsyAuthorFullname">
    <vt:lpwstr>Ben Temple</vt:lpwstr>
  </property>
</Properties>
</file>