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509" w:rsidRPr="0067537D" w:rsidRDefault="00BA08C7" w:rsidP="00293FDC">
      <w:pPr>
        <w:pStyle w:val="Heading1"/>
        <w:spacing w:before="0"/>
      </w:pPr>
      <w:r w:rsidRPr="00B952B7">
        <w:t>Impact Sum</w:t>
      </w:r>
      <w:r w:rsidRPr="006D3130">
        <w:t>m</w:t>
      </w:r>
      <w:r w:rsidRPr="00B952B7">
        <w:t>ary</w:t>
      </w:r>
      <w:r w:rsidR="00783846" w:rsidRPr="00957BC2">
        <w:t>:</w:t>
      </w:r>
      <w:r w:rsidR="007C77B1" w:rsidRPr="00957BC2">
        <w:t xml:space="preserve"> </w:t>
      </w:r>
      <w:r w:rsidR="00607636">
        <w:t>Therapeutic Products Bill – Personal Import of Medicine</w:t>
      </w:r>
      <w:r w:rsidR="0005281A">
        <w:t xml:space="preserve"> by mail/courier</w:t>
      </w:r>
      <w:bookmarkStart w:id="0" w:name="_GoBack"/>
      <w:bookmarkEnd w:id="0"/>
    </w:p>
    <w:p w:rsidR="00E57521" w:rsidRPr="00E57521" w:rsidRDefault="00E57521" w:rsidP="00EC6FAD">
      <w:pPr>
        <w:pStyle w:val="spacer"/>
        <w:rPr>
          <w:w w:val="90"/>
          <w:sz w:val="22"/>
        </w:rPr>
      </w:pPr>
    </w:p>
    <w:p w:rsidR="00E92509" w:rsidRPr="00B952B7" w:rsidRDefault="00E92509" w:rsidP="00293FDC">
      <w:pPr>
        <w:pStyle w:val="Heading2"/>
      </w:pPr>
      <w:r w:rsidRPr="00B952B7">
        <w:t>Section 1: General information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A39FD" w:rsidRPr="0069218C" w:rsidTr="00284C3A">
        <w:trPr>
          <w:trHeight w:val="393"/>
        </w:trPr>
        <w:tc>
          <w:tcPr>
            <w:tcW w:w="5000" w:type="pct"/>
            <w:shd w:val="clear" w:color="auto" w:fill="99CDDD"/>
            <w:hideMark/>
          </w:tcPr>
          <w:p w:rsidR="00DA39FD" w:rsidRPr="00AE4D46" w:rsidRDefault="00217894" w:rsidP="00EC6FAD">
            <w:pPr>
              <w:pStyle w:val="TableHeadings"/>
              <w:rPr>
                <w:color w:val="002060"/>
                <w:szCs w:val="22"/>
              </w:rPr>
            </w:pPr>
            <w:r w:rsidRPr="00886DFF">
              <w:rPr>
                <w:szCs w:val="22"/>
              </w:rPr>
              <w:t>Purpose</w:t>
            </w:r>
          </w:p>
        </w:tc>
      </w:tr>
      <w:tr w:rsidR="00DA39FD" w:rsidRPr="0069218C" w:rsidTr="00284C3A">
        <w:trPr>
          <w:trHeight w:val="685"/>
        </w:trPr>
        <w:tc>
          <w:tcPr>
            <w:tcW w:w="5000" w:type="pct"/>
            <w:shd w:val="clear" w:color="auto" w:fill="auto"/>
          </w:tcPr>
          <w:p w:rsidR="00607636" w:rsidRPr="00833FA2" w:rsidRDefault="00607636" w:rsidP="00833FA2">
            <w:pPr>
              <w:spacing w:after="180"/>
              <w:rPr>
                <w:rFonts w:cs="Arial"/>
                <w:i/>
                <w:szCs w:val="22"/>
              </w:rPr>
            </w:pPr>
            <w:r w:rsidRPr="00607636">
              <w:rPr>
                <w:rFonts w:cs="Arial"/>
                <w:color w:val="000000"/>
                <w:szCs w:val="22"/>
              </w:rPr>
              <w:t>The Ministry of Health</w:t>
            </w:r>
            <w:r>
              <w:rPr>
                <w:rFonts w:cs="Arial"/>
                <w:color w:val="000000"/>
                <w:szCs w:val="22"/>
              </w:rPr>
              <w:t xml:space="preserve"> is</w:t>
            </w:r>
            <w:r w:rsidR="00DA39FD" w:rsidRPr="00886DFF">
              <w:rPr>
                <w:rFonts w:cs="Arial"/>
                <w:color w:val="000000"/>
                <w:szCs w:val="22"/>
              </w:rPr>
              <w:t xml:space="preserve"> solely responsible for the analysis and advice set out in this Regulatory Impact Statement, except as otherwise explicitly indicated.  This analysis and advice has been produced </w:t>
            </w:r>
            <w:r w:rsidR="00833FA2">
              <w:rPr>
                <w:rFonts w:cs="Arial"/>
                <w:color w:val="000000"/>
                <w:szCs w:val="22"/>
              </w:rPr>
              <w:t>to inform</w:t>
            </w:r>
            <w:r w:rsidR="00833FA2">
              <w:rPr>
                <w:rFonts w:cs="Arial"/>
                <w:i/>
                <w:szCs w:val="22"/>
              </w:rPr>
              <w:t xml:space="preserve"> </w:t>
            </w:r>
            <w:r w:rsidR="00DA39FD" w:rsidRPr="00783846">
              <w:rPr>
                <w:szCs w:val="22"/>
              </w:rPr>
              <w:t>stakeholders to be consulted on a</w:t>
            </w:r>
            <w:r w:rsidR="00833FA2">
              <w:rPr>
                <w:szCs w:val="22"/>
              </w:rPr>
              <w:t>n</w:t>
            </w:r>
            <w:r w:rsidR="00DA39FD" w:rsidRPr="00783846">
              <w:rPr>
                <w:szCs w:val="22"/>
              </w:rPr>
              <w:t xml:space="preserve"> exposure draft of </w:t>
            </w:r>
            <w:r w:rsidR="00833FA2">
              <w:rPr>
                <w:szCs w:val="22"/>
              </w:rPr>
              <w:t>the proposed Therapeutic Product Bill</w:t>
            </w:r>
            <w:r w:rsidR="00BD287E">
              <w:rPr>
                <w:szCs w:val="22"/>
              </w:rPr>
              <w:t>.</w:t>
            </w:r>
            <w:r w:rsidR="00DA39FD" w:rsidRPr="00783846">
              <w:rPr>
                <w:szCs w:val="22"/>
              </w:rPr>
              <w:t xml:space="preserve"> </w:t>
            </w:r>
          </w:p>
          <w:p w:rsidR="00DA39FD" w:rsidRPr="00884D9A" w:rsidRDefault="00833FA2" w:rsidP="00265C96">
            <w:pPr>
              <w:pStyle w:val="TableText"/>
              <w:spacing w:after="0" w:line="276" w:lineRule="auto"/>
              <w:rPr>
                <w:sz w:val="22"/>
              </w:rPr>
            </w:pPr>
            <w:r>
              <w:rPr>
                <w:sz w:val="22"/>
              </w:rPr>
              <w:t xml:space="preserve">The already published </w:t>
            </w:r>
            <w:r w:rsidR="00666F27" w:rsidRPr="00666F27">
              <w:rPr>
                <w:i/>
                <w:sz w:val="22"/>
              </w:rPr>
              <w:t xml:space="preserve">Therapeutic Products Regulation – Replacement of the Medicines Act 1981 and the Medicines Regulations 1984 with a new legislative scheme for therapeutic products – Analysis of specific issues and options </w:t>
            </w:r>
            <w:r w:rsidRPr="00666F27">
              <w:rPr>
                <w:i/>
                <w:sz w:val="22"/>
              </w:rPr>
              <w:t>Regulatory Impact Statement</w:t>
            </w:r>
            <w:r>
              <w:rPr>
                <w:sz w:val="22"/>
              </w:rPr>
              <w:t xml:space="preserve"> developed for the March 2016 Cabinet paper did not include an analysis of the options regarding personal imports.</w:t>
            </w:r>
            <w:r w:rsidR="00E2292B">
              <w:rPr>
                <w:sz w:val="22"/>
              </w:rPr>
              <w:t xml:space="preserve"> This RIS has b</w:t>
            </w:r>
            <w:r w:rsidR="00265C96">
              <w:rPr>
                <w:sz w:val="22"/>
              </w:rPr>
              <w:t>een developed to supplement that regulatory impact statement</w:t>
            </w:r>
            <w:r w:rsidR="00E2292B">
              <w:rPr>
                <w:sz w:val="22"/>
              </w:rPr>
              <w:t xml:space="preserve"> and should be considered within the context of the imp</w:t>
            </w:r>
            <w:r w:rsidR="00265C96">
              <w:rPr>
                <w:sz w:val="22"/>
              </w:rPr>
              <w:t>acts outlined in it</w:t>
            </w:r>
            <w:r w:rsidR="00E2292B">
              <w:rPr>
                <w:sz w:val="22"/>
              </w:rPr>
              <w:t>.</w:t>
            </w:r>
          </w:p>
        </w:tc>
      </w:tr>
    </w:tbl>
    <w:p w:rsidR="00F81C1E" w:rsidRDefault="00F81C1E"/>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A39FD" w:rsidRPr="0069218C" w:rsidTr="00284C3A">
        <w:tc>
          <w:tcPr>
            <w:tcW w:w="5000" w:type="pct"/>
            <w:shd w:val="clear" w:color="auto" w:fill="99CDDD"/>
            <w:hideMark/>
          </w:tcPr>
          <w:p w:rsidR="00DA39FD" w:rsidRPr="00886DFF" w:rsidRDefault="00DA39FD" w:rsidP="00957BC2">
            <w:pPr>
              <w:pStyle w:val="TableHeadings"/>
              <w:keepNext/>
              <w:rPr>
                <w:szCs w:val="22"/>
              </w:rPr>
            </w:pPr>
            <w:r w:rsidRPr="00886DFF">
              <w:rPr>
                <w:szCs w:val="22"/>
              </w:rPr>
              <w:t>Key Limitations or Constraints on Analysis</w:t>
            </w:r>
          </w:p>
        </w:tc>
      </w:tr>
      <w:tr w:rsidR="0069218C" w:rsidRPr="0069218C" w:rsidTr="00666F27">
        <w:trPr>
          <w:trHeight w:val="1807"/>
        </w:trPr>
        <w:tc>
          <w:tcPr>
            <w:tcW w:w="5000" w:type="pct"/>
            <w:shd w:val="clear" w:color="auto" w:fill="auto"/>
          </w:tcPr>
          <w:p w:rsidR="00E2292B" w:rsidRDefault="00666F27" w:rsidP="00B30BC2">
            <w:pPr>
              <w:spacing w:after="0" w:line="276" w:lineRule="auto"/>
              <w:jc w:val="both"/>
              <w:rPr>
                <w:rFonts w:cs="Arial"/>
                <w:szCs w:val="22"/>
              </w:rPr>
            </w:pPr>
            <w:r>
              <w:rPr>
                <w:rFonts w:cs="Arial"/>
                <w:szCs w:val="22"/>
              </w:rPr>
              <w:t>Data is not available on the amount of personally imported medicines as not all personally imported products are intercepted by Customs</w:t>
            </w:r>
            <w:r w:rsidR="00E2292B">
              <w:rPr>
                <w:rFonts w:cs="Arial"/>
                <w:szCs w:val="22"/>
              </w:rPr>
              <w:t>.</w:t>
            </w:r>
            <w:r w:rsidR="00991B95">
              <w:rPr>
                <w:rFonts w:cs="Arial"/>
                <w:szCs w:val="22"/>
              </w:rPr>
              <w:t xml:space="preserve"> However, even on the most pessimistic assumptions, personally imported medicines are about a quarter of one percent of the total prescription medicine use in New Zealand. </w:t>
            </w:r>
          </w:p>
          <w:p w:rsidR="00E2292B" w:rsidRDefault="00E2292B" w:rsidP="00B30BC2">
            <w:pPr>
              <w:spacing w:after="0" w:line="276" w:lineRule="auto"/>
              <w:jc w:val="both"/>
              <w:rPr>
                <w:rFonts w:cs="Arial"/>
                <w:szCs w:val="22"/>
              </w:rPr>
            </w:pPr>
          </w:p>
          <w:p w:rsidR="00C7655A" w:rsidRDefault="00E2292B" w:rsidP="00B30BC2">
            <w:pPr>
              <w:spacing w:after="0" w:line="276" w:lineRule="auto"/>
              <w:jc w:val="both"/>
              <w:rPr>
                <w:rFonts w:cs="Arial"/>
                <w:szCs w:val="22"/>
              </w:rPr>
            </w:pPr>
            <w:r>
              <w:rPr>
                <w:rFonts w:cs="Arial"/>
                <w:szCs w:val="22"/>
              </w:rPr>
              <w:t xml:space="preserve">Data is also not available on the proportion of </w:t>
            </w:r>
            <w:r w:rsidR="008C1963">
              <w:rPr>
                <w:rFonts w:cs="Arial"/>
                <w:szCs w:val="22"/>
              </w:rPr>
              <w:t>intercepted</w:t>
            </w:r>
            <w:r>
              <w:rPr>
                <w:rFonts w:cs="Arial"/>
                <w:szCs w:val="22"/>
              </w:rPr>
              <w:t xml:space="preserve"> personal imported medicines that are counterfeit or substandard, as these </w:t>
            </w:r>
            <w:r w:rsidR="00666F27">
              <w:rPr>
                <w:rFonts w:cs="Arial"/>
                <w:szCs w:val="22"/>
              </w:rPr>
              <w:t xml:space="preserve">are not routinely tested. </w:t>
            </w:r>
            <w:r w:rsidR="00D61B39" w:rsidRPr="00D61B39">
              <w:rPr>
                <w:rFonts w:cs="Arial"/>
                <w:szCs w:val="22"/>
              </w:rPr>
              <w:t xml:space="preserve"> However, New Zealand and other countries have tested </w:t>
            </w:r>
            <w:r w:rsidR="00666F27">
              <w:rPr>
                <w:rFonts w:cs="Arial"/>
                <w:szCs w:val="22"/>
              </w:rPr>
              <w:t xml:space="preserve">samples of </w:t>
            </w:r>
            <w:r w:rsidR="00D61B39" w:rsidRPr="00D61B39">
              <w:rPr>
                <w:rFonts w:cs="Arial"/>
                <w:szCs w:val="22"/>
              </w:rPr>
              <w:t>imported unapproved medicines and found them to</w:t>
            </w:r>
            <w:r w:rsidR="00491AD5">
              <w:rPr>
                <w:rFonts w:cs="Arial"/>
                <w:szCs w:val="22"/>
              </w:rPr>
              <w:t xml:space="preserve"> be</w:t>
            </w:r>
            <w:r w:rsidR="00B86B84">
              <w:rPr>
                <w:rFonts w:cs="Arial"/>
                <w:szCs w:val="22"/>
              </w:rPr>
              <w:t xml:space="preserve"> </w:t>
            </w:r>
            <w:r w:rsidR="00491AD5">
              <w:rPr>
                <w:rFonts w:cs="Arial"/>
                <w:szCs w:val="22"/>
              </w:rPr>
              <w:t>substandard</w:t>
            </w:r>
            <w:r w:rsidR="00B86B84">
              <w:rPr>
                <w:rFonts w:cs="Arial"/>
                <w:szCs w:val="22"/>
              </w:rPr>
              <w:t xml:space="preserve"> </w:t>
            </w:r>
            <w:r w:rsidR="0099006D">
              <w:rPr>
                <w:rFonts w:cs="Arial"/>
                <w:szCs w:val="22"/>
              </w:rPr>
              <w:t xml:space="preserve">or </w:t>
            </w:r>
            <w:r w:rsidR="00B86B84">
              <w:rPr>
                <w:rFonts w:cs="Arial"/>
                <w:szCs w:val="22"/>
              </w:rPr>
              <w:t>contaminated</w:t>
            </w:r>
            <w:r w:rsidR="0099006D">
              <w:rPr>
                <w:rFonts w:cs="Arial"/>
                <w:szCs w:val="22"/>
              </w:rPr>
              <w:t>.</w:t>
            </w:r>
          </w:p>
          <w:p w:rsidR="00666F27" w:rsidRDefault="00666F27" w:rsidP="00B30BC2">
            <w:pPr>
              <w:spacing w:after="0" w:line="276" w:lineRule="auto"/>
              <w:jc w:val="both"/>
              <w:rPr>
                <w:rFonts w:cs="Arial"/>
                <w:szCs w:val="22"/>
              </w:rPr>
            </w:pPr>
          </w:p>
          <w:p w:rsidR="00666F27" w:rsidRPr="00047154" w:rsidRDefault="00666F27" w:rsidP="00B30BC2">
            <w:pPr>
              <w:spacing w:after="0" w:line="276" w:lineRule="auto"/>
              <w:jc w:val="both"/>
              <w:rPr>
                <w:rFonts w:cs="Arial"/>
                <w:szCs w:val="22"/>
              </w:rPr>
            </w:pPr>
          </w:p>
        </w:tc>
      </w:tr>
      <w:tr w:rsidR="00DA39FD" w:rsidRPr="0069218C" w:rsidTr="00284C3A">
        <w:tc>
          <w:tcPr>
            <w:tcW w:w="5000" w:type="pct"/>
            <w:shd w:val="clear" w:color="auto" w:fill="99CDDD"/>
            <w:hideMark/>
          </w:tcPr>
          <w:p w:rsidR="00DA39FD" w:rsidRPr="00886DFF" w:rsidRDefault="00DA39FD" w:rsidP="00EC6FAD">
            <w:pPr>
              <w:pStyle w:val="TableHeadings"/>
              <w:rPr>
                <w:szCs w:val="22"/>
              </w:rPr>
            </w:pPr>
            <w:r w:rsidRPr="00886DFF">
              <w:rPr>
                <w:szCs w:val="22"/>
              </w:rPr>
              <w:t>Responsible Manager (signature and date):</w:t>
            </w:r>
          </w:p>
        </w:tc>
      </w:tr>
      <w:tr w:rsidR="00E92509" w:rsidRPr="0069218C" w:rsidTr="00284C3A">
        <w:trPr>
          <w:trHeight w:val="1734"/>
        </w:trPr>
        <w:tc>
          <w:tcPr>
            <w:tcW w:w="5000" w:type="pct"/>
            <w:shd w:val="clear" w:color="auto" w:fill="FFFFFF"/>
          </w:tcPr>
          <w:p w:rsidR="00081FCD" w:rsidRDefault="00081FCD" w:rsidP="00081FCD">
            <w:pPr>
              <w:spacing w:after="0" w:line="276" w:lineRule="auto"/>
              <w:jc w:val="both"/>
              <w:rPr>
                <w:szCs w:val="22"/>
              </w:rPr>
            </w:pPr>
          </w:p>
          <w:p w:rsidR="00081FCD" w:rsidRDefault="00081FCD" w:rsidP="00081FCD">
            <w:pPr>
              <w:spacing w:after="0" w:line="276" w:lineRule="auto"/>
              <w:jc w:val="both"/>
              <w:rPr>
                <w:szCs w:val="22"/>
              </w:rPr>
            </w:pPr>
          </w:p>
          <w:p w:rsidR="00081FCD" w:rsidRDefault="00081FCD" w:rsidP="00081FCD">
            <w:pPr>
              <w:spacing w:after="0" w:line="276" w:lineRule="auto"/>
              <w:jc w:val="both"/>
              <w:rPr>
                <w:szCs w:val="22"/>
              </w:rPr>
            </w:pPr>
          </w:p>
          <w:p w:rsidR="00081FCD" w:rsidRPr="000F00F6" w:rsidRDefault="00081FCD" w:rsidP="00081FCD">
            <w:pPr>
              <w:spacing w:after="0" w:line="276" w:lineRule="auto"/>
              <w:jc w:val="both"/>
              <w:rPr>
                <w:rFonts w:cs="Arial"/>
                <w:szCs w:val="22"/>
              </w:rPr>
            </w:pPr>
            <w:r>
              <w:rPr>
                <w:rFonts w:cs="Arial"/>
                <w:szCs w:val="22"/>
              </w:rPr>
              <w:t>John Doyle</w:t>
            </w:r>
          </w:p>
          <w:p w:rsidR="00081FCD" w:rsidRPr="009C4129" w:rsidRDefault="00081FCD" w:rsidP="00081FCD">
            <w:pPr>
              <w:spacing w:after="0" w:line="276" w:lineRule="auto"/>
              <w:ind w:left="284" w:hanging="284"/>
              <w:jc w:val="both"/>
              <w:rPr>
                <w:rFonts w:cs="Arial"/>
                <w:szCs w:val="22"/>
              </w:rPr>
            </w:pPr>
            <w:r>
              <w:rPr>
                <w:rFonts w:cs="Arial"/>
                <w:szCs w:val="22"/>
              </w:rPr>
              <w:t>Acting General Manager, Regulatory Policy</w:t>
            </w:r>
          </w:p>
          <w:p w:rsidR="00081FCD" w:rsidRPr="009C4129" w:rsidRDefault="00081FCD" w:rsidP="00081FCD">
            <w:pPr>
              <w:spacing w:after="0" w:line="276" w:lineRule="auto"/>
              <w:ind w:left="284" w:hanging="284"/>
              <w:jc w:val="both"/>
              <w:rPr>
                <w:rFonts w:cs="Arial"/>
                <w:szCs w:val="22"/>
              </w:rPr>
            </w:pPr>
            <w:r>
              <w:rPr>
                <w:rFonts w:cs="Arial"/>
                <w:szCs w:val="22"/>
              </w:rPr>
              <w:t>Strategy and Policy</w:t>
            </w:r>
          </w:p>
          <w:p w:rsidR="00E92509" w:rsidRPr="0069218C" w:rsidRDefault="00081FCD" w:rsidP="00081FCD">
            <w:pPr>
              <w:spacing w:after="180"/>
              <w:rPr>
                <w:rFonts w:cs="Arial"/>
                <w:szCs w:val="22"/>
              </w:rPr>
            </w:pPr>
            <w:r>
              <w:rPr>
                <w:rFonts w:cs="Arial"/>
                <w:szCs w:val="22"/>
              </w:rPr>
              <w:t>Ministry of Health</w:t>
            </w:r>
          </w:p>
        </w:tc>
      </w:tr>
    </w:tbl>
    <w:p w:rsidR="00347163" w:rsidRDefault="00347163" w:rsidP="00347163">
      <w:pPr>
        <w:spacing w:line="276" w:lineRule="auto"/>
        <w:rPr>
          <w:i/>
          <w:szCs w:val="22"/>
        </w:rPr>
      </w:pPr>
      <w:bookmarkStart w:id="1" w:name="_Toc363047038"/>
      <w:bookmarkStart w:id="2" w:name="_Toc362940530"/>
      <w:bookmarkStart w:id="3" w:name="_Toc362618966"/>
      <w:bookmarkStart w:id="4" w:name="_Toc362434720"/>
      <w:bookmarkStart w:id="5" w:name="_Toc362368098"/>
    </w:p>
    <w:p w:rsidR="00F211F8" w:rsidRDefault="00F211F8" w:rsidP="00347163">
      <w:pPr>
        <w:spacing w:line="276" w:lineRule="auto"/>
        <w:rPr>
          <w:i/>
          <w:szCs w:val="22"/>
        </w:rPr>
      </w:pPr>
    </w:p>
    <w:p w:rsidR="00F211F8" w:rsidRDefault="00F211F8" w:rsidP="00347163">
      <w:pPr>
        <w:spacing w:line="276" w:lineRule="auto"/>
        <w:rPr>
          <w:i/>
          <w:szCs w:val="22"/>
        </w:rPr>
      </w:pPr>
    </w:p>
    <w:p w:rsidR="00347163" w:rsidRDefault="00347163" w:rsidP="00347163">
      <w:pPr>
        <w:spacing w:line="276" w:lineRule="auto"/>
        <w:rPr>
          <w:rFonts w:ascii="Arial Narrow" w:hAnsi="Arial Narrow"/>
          <w:i/>
          <w:szCs w:val="22"/>
        </w:rPr>
      </w:pPr>
      <w:r>
        <w:rPr>
          <w:i/>
          <w:szCs w:val="22"/>
        </w:rPr>
        <w:lastRenderedPageBreak/>
        <w:t>To be completed by quality assurers: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47163" w:rsidTr="00347163">
        <w:trPr>
          <w:trHeight w:val="77"/>
        </w:trPr>
        <w:tc>
          <w:tcPr>
            <w:tcW w:w="9067" w:type="dxa"/>
            <w:tcBorders>
              <w:top w:val="single" w:sz="4" w:space="0" w:color="auto"/>
              <w:left w:val="single" w:sz="4" w:space="0" w:color="auto"/>
              <w:bottom w:val="single" w:sz="4" w:space="0" w:color="auto"/>
              <w:right w:val="single" w:sz="4" w:space="0" w:color="auto"/>
            </w:tcBorders>
            <w:shd w:val="clear" w:color="auto" w:fill="99CDDD"/>
            <w:hideMark/>
          </w:tcPr>
          <w:p w:rsidR="00347163" w:rsidRDefault="00347163">
            <w:pPr>
              <w:spacing w:before="60" w:after="60" w:line="240" w:lineRule="auto"/>
              <w:rPr>
                <w:szCs w:val="22"/>
              </w:rPr>
            </w:pPr>
            <w:r>
              <w:rPr>
                <w:szCs w:val="22"/>
              </w:rPr>
              <w:t>Quality Assurance Reviewing Agency:</w:t>
            </w:r>
          </w:p>
        </w:tc>
      </w:tr>
      <w:tr w:rsidR="00347163" w:rsidTr="00347163">
        <w:trPr>
          <w:trHeight w:val="850"/>
        </w:trPr>
        <w:tc>
          <w:tcPr>
            <w:tcW w:w="9067" w:type="dxa"/>
            <w:tcBorders>
              <w:top w:val="single" w:sz="4" w:space="0" w:color="auto"/>
              <w:left w:val="single" w:sz="4" w:space="0" w:color="auto"/>
              <w:bottom w:val="single" w:sz="4" w:space="0" w:color="auto"/>
              <w:right w:val="single" w:sz="4" w:space="0" w:color="auto"/>
            </w:tcBorders>
            <w:shd w:val="clear" w:color="auto" w:fill="FFFFFF"/>
          </w:tcPr>
          <w:p w:rsidR="00347163" w:rsidRDefault="00347163">
            <w:pPr>
              <w:pStyle w:val="spacer"/>
              <w:spacing w:line="276" w:lineRule="auto"/>
              <w:rPr>
                <w:sz w:val="22"/>
              </w:rPr>
            </w:pPr>
          </w:p>
          <w:p w:rsidR="00347163" w:rsidRDefault="009B4E82">
            <w:pPr>
              <w:pStyle w:val="spacer"/>
              <w:spacing w:line="276" w:lineRule="auto"/>
              <w:rPr>
                <w:sz w:val="22"/>
              </w:rPr>
            </w:pPr>
            <w:r>
              <w:rPr>
                <w:sz w:val="22"/>
              </w:rPr>
              <w:t>Ministry of Health and Treasury</w:t>
            </w:r>
          </w:p>
        </w:tc>
      </w:tr>
      <w:tr w:rsidR="00347163" w:rsidTr="00347163">
        <w:trPr>
          <w:trHeight w:val="109"/>
        </w:trPr>
        <w:tc>
          <w:tcPr>
            <w:tcW w:w="9067" w:type="dxa"/>
            <w:tcBorders>
              <w:top w:val="single" w:sz="4" w:space="0" w:color="auto"/>
              <w:left w:val="single" w:sz="4" w:space="0" w:color="auto"/>
              <w:bottom w:val="single" w:sz="4" w:space="0" w:color="auto"/>
              <w:right w:val="single" w:sz="4" w:space="0" w:color="auto"/>
            </w:tcBorders>
            <w:shd w:val="clear" w:color="auto" w:fill="99CDDD"/>
            <w:hideMark/>
          </w:tcPr>
          <w:p w:rsidR="00347163" w:rsidRDefault="00347163">
            <w:pPr>
              <w:spacing w:before="60" w:after="60" w:line="240" w:lineRule="auto"/>
              <w:rPr>
                <w:szCs w:val="22"/>
              </w:rPr>
            </w:pPr>
            <w:r>
              <w:rPr>
                <w:szCs w:val="22"/>
              </w:rPr>
              <w:t>Quality Assurance Assessment:</w:t>
            </w:r>
          </w:p>
        </w:tc>
      </w:tr>
      <w:tr w:rsidR="00347163" w:rsidTr="00347163">
        <w:trPr>
          <w:trHeight w:val="850"/>
        </w:trPr>
        <w:tc>
          <w:tcPr>
            <w:tcW w:w="9067" w:type="dxa"/>
            <w:tcBorders>
              <w:top w:val="single" w:sz="4" w:space="0" w:color="auto"/>
              <w:left w:val="single" w:sz="4" w:space="0" w:color="auto"/>
              <w:bottom w:val="single" w:sz="4" w:space="0" w:color="auto"/>
              <w:right w:val="single" w:sz="4" w:space="0" w:color="auto"/>
            </w:tcBorders>
            <w:shd w:val="clear" w:color="auto" w:fill="FFFFFF"/>
          </w:tcPr>
          <w:p w:rsidR="00347163" w:rsidRDefault="009B4E82" w:rsidP="00F211F8">
            <w:r>
              <w:t>The Ministry of Health and t</w:t>
            </w:r>
            <w:r w:rsidRPr="00034F99">
              <w:t xml:space="preserve">he Regulatory Quality Team at the Treasury has reviewed the Regulatory Impact Assessment </w:t>
            </w:r>
            <w:r>
              <w:t xml:space="preserve">(RIA) </w:t>
            </w:r>
            <w:r w:rsidRPr="00034F99">
              <w:t>“</w:t>
            </w:r>
            <w:r>
              <w:t>Therapeutic Products Bill – Personal import of Medicine by mail/courier</w:t>
            </w:r>
            <w:r w:rsidRPr="00034F99">
              <w:t xml:space="preserve">” produced by the Ministry </w:t>
            </w:r>
            <w:r>
              <w:t>of Health</w:t>
            </w:r>
            <w:r w:rsidRPr="00034F99">
              <w:t xml:space="preserve"> and dated </w:t>
            </w:r>
            <w:r>
              <w:t>November</w:t>
            </w:r>
            <w:r w:rsidRPr="00034F99">
              <w:t xml:space="preserve"> 2018. The review team considers that it </w:t>
            </w:r>
            <w:r w:rsidRPr="00034F99">
              <w:rPr>
                <w:b/>
              </w:rPr>
              <w:t>meets</w:t>
            </w:r>
            <w:r w:rsidRPr="00034F99">
              <w:t xml:space="preserve"> the Quality Assurance criteria.</w:t>
            </w:r>
            <w:r>
              <w:t xml:space="preserve">  </w:t>
            </w:r>
          </w:p>
        </w:tc>
      </w:tr>
      <w:tr w:rsidR="00347163" w:rsidTr="00347163">
        <w:trPr>
          <w:trHeight w:val="56"/>
        </w:trPr>
        <w:tc>
          <w:tcPr>
            <w:tcW w:w="9067" w:type="dxa"/>
            <w:tcBorders>
              <w:top w:val="single" w:sz="4" w:space="0" w:color="auto"/>
              <w:left w:val="single" w:sz="4" w:space="0" w:color="auto"/>
              <w:bottom w:val="single" w:sz="4" w:space="0" w:color="auto"/>
              <w:right w:val="single" w:sz="4" w:space="0" w:color="auto"/>
            </w:tcBorders>
            <w:shd w:val="clear" w:color="auto" w:fill="99CDDD"/>
            <w:hideMark/>
          </w:tcPr>
          <w:p w:rsidR="00347163" w:rsidRDefault="00347163">
            <w:pPr>
              <w:spacing w:before="60" w:after="60" w:line="240" w:lineRule="auto"/>
              <w:rPr>
                <w:szCs w:val="22"/>
              </w:rPr>
            </w:pPr>
            <w:r>
              <w:rPr>
                <w:szCs w:val="22"/>
              </w:rPr>
              <w:t>Reviewer Comments and Recommendations:</w:t>
            </w:r>
          </w:p>
        </w:tc>
      </w:tr>
      <w:tr w:rsidR="00347163" w:rsidTr="00347163">
        <w:trPr>
          <w:trHeight w:val="850"/>
        </w:trPr>
        <w:tc>
          <w:tcPr>
            <w:tcW w:w="9067" w:type="dxa"/>
            <w:tcBorders>
              <w:top w:val="single" w:sz="4" w:space="0" w:color="auto"/>
              <w:left w:val="single" w:sz="4" w:space="0" w:color="auto"/>
              <w:bottom w:val="single" w:sz="4" w:space="0" w:color="auto"/>
              <w:right w:val="single" w:sz="4" w:space="0" w:color="auto"/>
            </w:tcBorders>
            <w:shd w:val="clear" w:color="auto" w:fill="FFFFFF"/>
          </w:tcPr>
          <w:p w:rsidR="009B4E82" w:rsidRDefault="009B4E82" w:rsidP="00F211F8">
            <w:pPr>
              <w:pStyle w:val="NoSpacing"/>
            </w:pPr>
            <w:r>
              <w:t xml:space="preserve">The analysis is commensurate with the scale of the issue. While there are some uncertainties about the scale of the problem, as identified in the analysis, this proposal will form part of the consultation on the exposure draft of the wider Therapeutic Products Bill. We expect any insights gained from this consultation will inform revised analysis. </w:t>
            </w:r>
          </w:p>
          <w:p w:rsidR="00347163" w:rsidRDefault="00347163">
            <w:pPr>
              <w:pStyle w:val="spacer"/>
              <w:spacing w:line="276" w:lineRule="auto"/>
              <w:rPr>
                <w:sz w:val="22"/>
              </w:rPr>
            </w:pPr>
          </w:p>
        </w:tc>
      </w:tr>
    </w:tbl>
    <w:p w:rsidR="00E92509" w:rsidRDefault="00F132B2" w:rsidP="00293FDC">
      <w:pPr>
        <w:pStyle w:val="Heading2"/>
      </w:pPr>
      <w:r w:rsidRPr="0069218C">
        <w:rPr>
          <w:rFonts w:cs="Arial"/>
          <w:lang w:val="en-NZ"/>
        </w:rPr>
        <w:br w:type="page"/>
      </w:r>
      <w:r w:rsidR="00E92509" w:rsidRPr="002D5734">
        <w:lastRenderedPageBreak/>
        <w:t xml:space="preserve">Section 2:  </w:t>
      </w:r>
      <w:bookmarkEnd w:id="1"/>
      <w:bookmarkEnd w:id="2"/>
      <w:bookmarkEnd w:id="3"/>
      <w:bookmarkEnd w:id="4"/>
      <w:bookmarkEnd w:id="5"/>
      <w:r w:rsidR="00304CE4" w:rsidRPr="002D5734">
        <w:t xml:space="preserve">Problem </w:t>
      </w:r>
      <w:r w:rsidR="0032262A" w:rsidRPr="002D5734">
        <w:t>d</w:t>
      </w:r>
      <w:r w:rsidR="00304CE4" w:rsidRPr="002D5734">
        <w:t>efinition</w:t>
      </w:r>
      <w:r w:rsidR="0032262A" w:rsidRPr="002D5734">
        <w:t xml:space="preserve"> and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5734" w:rsidRPr="0069218C" w:rsidTr="00800DEC">
        <w:trPr>
          <w:trHeight w:val="77"/>
        </w:trPr>
        <w:tc>
          <w:tcPr>
            <w:tcW w:w="5000" w:type="pct"/>
            <w:shd w:val="clear" w:color="auto" w:fill="99CDDD"/>
            <w:hideMark/>
          </w:tcPr>
          <w:p w:rsidR="00E92509" w:rsidRPr="00886DFF" w:rsidRDefault="002A56F0" w:rsidP="00EC6FAD">
            <w:pPr>
              <w:pStyle w:val="TableHeadings"/>
              <w:rPr>
                <w:szCs w:val="22"/>
              </w:rPr>
            </w:pPr>
            <w:r w:rsidRPr="00886DFF">
              <w:rPr>
                <w:szCs w:val="22"/>
              </w:rPr>
              <w:t xml:space="preserve">2.1   </w:t>
            </w:r>
            <w:r w:rsidR="00051A88" w:rsidRPr="00886DFF">
              <w:rPr>
                <w:szCs w:val="22"/>
              </w:rPr>
              <w:t>What is the policy problem or opportunity</w:t>
            </w:r>
            <w:r w:rsidR="002106CB" w:rsidRPr="00886DFF">
              <w:rPr>
                <w:szCs w:val="22"/>
              </w:rPr>
              <w:t xml:space="preserve">? </w:t>
            </w:r>
          </w:p>
        </w:tc>
      </w:tr>
      <w:tr w:rsidR="00A552DC" w:rsidRPr="0069218C" w:rsidTr="00B34B45">
        <w:trPr>
          <w:trHeight w:val="70"/>
        </w:trPr>
        <w:tc>
          <w:tcPr>
            <w:tcW w:w="5000" w:type="pct"/>
            <w:shd w:val="clear" w:color="auto" w:fill="auto"/>
          </w:tcPr>
          <w:p w:rsidR="00491AD5" w:rsidRDefault="0005281A" w:rsidP="006B721A">
            <w:pPr>
              <w:spacing w:after="0" w:line="276" w:lineRule="auto"/>
              <w:jc w:val="both"/>
            </w:pPr>
            <w:r>
              <w:t xml:space="preserve">Prescription medicines are classified as such due to the risks associated with their use. For this reason, the prescribing and supply of prescription medicines is subject to a number of regulatory controls </w:t>
            </w:r>
            <w:r w:rsidR="00CD5B32">
              <w:t xml:space="preserve">under the Medicines Act 1981. </w:t>
            </w:r>
            <w:r w:rsidR="00047154">
              <w:t xml:space="preserve">The Medicines Act </w:t>
            </w:r>
            <w:r w:rsidR="00197680">
              <w:t>is silent on</w:t>
            </w:r>
            <w:r w:rsidR="002446E8">
              <w:t xml:space="preserve"> the personal import of</w:t>
            </w:r>
            <w:r w:rsidR="00C1545C">
              <w:t xml:space="preserve"> medicine</w:t>
            </w:r>
            <w:r w:rsidR="00197680">
              <w:t>s</w:t>
            </w:r>
            <w:r w:rsidR="00F952E5">
              <w:t xml:space="preserve">. </w:t>
            </w:r>
            <w:r w:rsidR="00491AD5">
              <w:t>The</w:t>
            </w:r>
            <w:r w:rsidR="00197680">
              <w:t xml:space="preserve"> practice has been</w:t>
            </w:r>
            <w:r w:rsidR="00B30BC2">
              <w:t xml:space="preserve"> that </w:t>
            </w:r>
            <w:r w:rsidR="00BD287E">
              <w:t xml:space="preserve">when </w:t>
            </w:r>
            <w:r w:rsidR="002E52C8">
              <w:t xml:space="preserve">a prescription </w:t>
            </w:r>
            <w:r w:rsidR="00B30BC2">
              <w:t xml:space="preserve">medicine is </w:t>
            </w:r>
            <w:r w:rsidR="002E52C8">
              <w:t>personally imported</w:t>
            </w:r>
            <w:r w:rsidR="0099006D">
              <w:t>,</w:t>
            </w:r>
            <w:r w:rsidR="00B30BC2">
              <w:t xml:space="preserve"> </w:t>
            </w:r>
            <w:r w:rsidR="00F952E5">
              <w:t>a N</w:t>
            </w:r>
            <w:r w:rsidR="00491AD5">
              <w:t>ew Zealand prescription</w:t>
            </w:r>
            <w:r w:rsidR="00B30BC2">
              <w:t xml:space="preserve"> is required before the medicine can be released to the importer/patient</w:t>
            </w:r>
            <w:r w:rsidR="00491AD5">
              <w:t>, because the general public needs a prescription to lawfully possess such medicines</w:t>
            </w:r>
            <w:r w:rsidR="00B30BC2">
              <w:t>.</w:t>
            </w:r>
            <w:r w:rsidR="00047154">
              <w:t xml:space="preserve"> </w:t>
            </w:r>
          </w:p>
          <w:p w:rsidR="00190CE2" w:rsidRDefault="00190CE2" w:rsidP="00190CE2">
            <w:pPr>
              <w:spacing w:after="0" w:line="276" w:lineRule="auto"/>
              <w:jc w:val="both"/>
            </w:pPr>
          </w:p>
          <w:p w:rsidR="00190CE2" w:rsidRDefault="00190CE2" w:rsidP="00190CE2">
            <w:pPr>
              <w:spacing w:after="0" w:line="276" w:lineRule="auto"/>
              <w:jc w:val="both"/>
            </w:pPr>
            <w:r>
              <w:t xml:space="preserve">Most people are not likely to be able to identify a suitable and safe supplier or know how to check that a product has been subject to an appropriate regulatory review. </w:t>
            </w:r>
            <w:r w:rsidRPr="00216BB5">
              <w:t xml:space="preserve">If those products are </w:t>
            </w:r>
            <w:r>
              <w:t xml:space="preserve">substandard, </w:t>
            </w:r>
            <w:r w:rsidRPr="00216BB5">
              <w:t>counterfeit,</w:t>
            </w:r>
            <w:r>
              <w:t xml:space="preserve"> or</w:t>
            </w:r>
            <w:r w:rsidRPr="00216BB5">
              <w:t xml:space="preserve"> adulterated, they could pose a direct safety risk to </w:t>
            </w:r>
            <w:r>
              <w:t>the person receiving them</w:t>
            </w:r>
            <w:r w:rsidRPr="00216BB5">
              <w:t>.</w:t>
            </w:r>
          </w:p>
          <w:p w:rsidR="00491AD5" w:rsidRDefault="00491AD5" w:rsidP="006B721A">
            <w:pPr>
              <w:spacing w:after="0" w:line="276" w:lineRule="auto"/>
              <w:jc w:val="both"/>
            </w:pPr>
          </w:p>
          <w:p w:rsidR="00476A70" w:rsidRDefault="00912EDF" w:rsidP="006B721A">
            <w:pPr>
              <w:spacing w:after="0" w:line="276" w:lineRule="auto"/>
              <w:jc w:val="both"/>
              <w:rPr>
                <w:rFonts w:cs="Arial"/>
                <w:szCs w:val="22"/>
              </w:rPr>
            </w:pPr>
            <w:r>
              <w:rPr>
                <w:rFonts w:cs="Arial"/>
                <w:szCs w:val="22"/>
              </w:rPr>
              <w:t xml:space="preserve">Personal importation of medicines by consumers has increased with the advent of online sellers overseas. </w:t>
            </w:r>
            <w:r w:rsidR="00047154">
              <w:t>Between 9,000 - 14,000 parcels containing suspected prescription medicine</w:t>
            </w:r>
            <w:r w:rsidR="00197680">
              <w:t>s</w:t>
            </w:r>
            <w:r w:rsidR="00047154">
              <w:t xml:space="preserve"> </w:t>
            </w:r>
            <w:r w:rsidR="00491AD5">
              <w:t xml:space="preserve">are intercepted at the border each year. </w:t>
            </w:r>
            <w:r w:rsidR="00476A70" w:rsidRPr="00D61B39">
              <w:t xml:space="preserve">In 2017, there were 10,849 parcels referred to </w:t>
            </w:r>
            <w:proofErr w:type="spellStart"/>
            <w:r w:rsidR="00476A70" w:rsidRPr="00D61B39">
              <w:t>Medsafe</w:t>
            </w:r>
            <w:proofErr w:type="spellEnd"/>
            <w:r w:rsidR="00476A70" w:rsidRPr="00D61B39">
              <w:t xml:space="preserve"> that contained 15,802 medicines</w:t>
            </w:r>
            <w:r w:rsidR="00316F3B" w:rsidRPr="00D61B39">
              <w:t>.</w:t>
            </w:r>
            <w:r w:rsidR="00476A70" w:rsidRPr="00D61B39">
              <w:t xml:space="preserve"> 12,232 were</w:t>
            </w:r>
            <w:r w:rsidR="00316F3B" w:rsidRPr="00D61B39">
              <w:t xml:space="preserve"> confirmed to be</w:t>
            </w:r>
            <w:r w:rsidR="00F952E5" w:rsidRPr="00D61B39">
              <w:t xml:space="preserve"> prescription medicines and</w:t>
            </w:r>
            <w:r w:rsidR="00D93E79">
              <w:t>,</w:t>
            </w:r>
            <w:r w:rsidR="00F952E5" w:rsidRPr="00D61B39">
              <w:t xml:space="preserve"> o</w:t>
            </w:r>
            <w:r w:rsidR="00316F3B" w:rsidRPr="00D61B39">
              <w:t>f these, 25.6% (3,128) were released</w:t>
            </w:r>
            <w:r w:rsidR="00491AD5">
              <w:t xml:space="preserve"> after the importer produced a valid prescription,</w:t>
            </w:r>
            <w:r w:rsidR="00316F3B" w:rsidRPr="00D61B39">
              <w:t xml:space="preserve"> and the remainder destroyed.</w:t>
            </w:r>
            <w:r w:rsidR="00020C3F">
              <w:t xml:space="preserve"> </w:t>
            </w:r>
            <w:r w:rsidR="00BA31C4">
              <w:t>For comparison approximately 45 million subsidised prescriptions are filled each year</w:t>
            </w:r>
            <w:r w:rsidR="00D93E79">
              <w:t xml:space="preserve"> in New Zealand</w:t>
            </w:r>
            <w:r w:rsidR="00BA31C4">
              <w:t>.</w:t>
            </w:r>
            <w:r w:rsidR="00491AD5">
              <w:t xml:space="preserve"> </w:t>
            </w:r>
          </w:p>
          <w:p w:rsidR="00912EDF" w:rsidRDefault="00912EDF" w:rsidP="00491AD5">
            <w:pPr>
              <w:spacing w:after="0" w:line="276" w:lineRule="auto"/>
              <w:jc w:val="both"/>
            </w:pPr>
          </w:p>
          <w:p w:rsidR="00912EDF" w:rsidRDefault="00912EDF" w:rsidP="00491AD5">
            <w:pPr>
              <w:spacing w:after="0" w:line="276" w:lineRule="auto"/>
              <w:jc w:val="both"/>
              <w:rPr>
                <w:rFonts w:cs="Arial"/>
                <w:szCs w:val="22"/>
              </w:rPr>
            </w:pPr>
            <w:r>
              <w:t>Internationally there are increasing concerns with the amount of substandard and falsified medicines available. Many of the medicines being</w:t>
            </w:r>
            <w:r w:rsidRPr="00046828">
              <w:t xml:space="preserve"> </w:t>
            </w:r>
            <w:r>
              <w:t>p</w:t>
            </w:r>
            <w:r w:rsidR="0005281A">
              <w:t xml:space="preserve">ersonally imported through the post/courier by consumers </w:t>
            </w:r>
            <w:r>
              <w:t>are substandard or may be adulterated, or counterfeit.</w:t>
            </w:r>
            <w:r w:rsidRPr="00D61B39">
              <w:rPr>
                <w:rFonts w:cs="Arial"/>
                <w:szCs w:val="22"/>
              </w:rPr>
              <w:t xml:space="preserve"> Deaths and serious harm have been reported internationally as a result of using </w:t>
            </w:r>
            <w:r>
              <w:rPr>
                <w:rFonts w:cs="Arial"/>
                <w:szCs w:val="22"/>
              </w:rPr>
              <w:t>counterfeit</w:t>
            </w:r>
            <w:r w:rsidRPr="00D61B39">
              <w:rPr>
                <w:rFonts w:cs="Arial"/>
                <w:szCs w:val="22"/>
              </w:rPr>
              <w:t xml:space="preserve"> medicines.</w:t>
            </w:r>
            <w:r>
              <w:rPr>
                <w:rFonts w:cs="Arial"/>
                <w:szCs w:val="22"/>
              </w:rPr>
              <w:t xml:space="preserve"> In April 2018 </w:t>
            </w:r>
            <w:r w:rsidRPr="00197680">
              <w:rPr>
                <w:rFonts w:cs="Arial"/>
                <w:i/>
                <w:szCs w:val="22"/>
              </w:rPr>
              <w:t>The Lancet Oncology</w:t>
            </w:r>
            <w:r>
              <w:rPr>
                <w:rFonts w:cs="Arial"/>
                <w:i/>
                <w:szCs w:val="22"/>
              </w:rPr>
              <w:t xml:space="preserve"> </w:t>
            </w:r>
            <w:r>
              <w:rPr>
                <w:rFonts w:cs="Arial"/>
                <w:szCs w:val="22"/>
              </w:rPr>
              <w:t xml:space="preserve">reported that oncology drugs ranked fifth among the most commonly counterfeited drug categories in a 2016 survey. </w:t>
            </w:r>
            <w:r w:rsidR="00CD5B32">
              <w:t>The trade in counterfeit non-prescription medicines is less prevalent than it is for prescription medicines because the profit is much lower.</w:t>
            </w:r>
          </w:p>
          <w:p w:rsidR="00457821" w:rsidRDefault="00457821" w:rsidP="00491AD5">
            <w:pPr>
              <w:spacing w:after="0" w:line="276" w:lineRule="auto"/>
              <w:jc w:val="both"/>
              <w:rPr>
                <w:rFonts w:cs="Arial"/>
                <w:szCs w:val="22"/>
              </w:rPr>
            </w:pPr>
          </w:p>
          <w:p w:rsidR="0099006D" w:rsidRPr="00746481" w:rsidRDefault="00457821" w:rsidP="00912EDF">
            <w:pPr>
              <w:spacing w:after="0" w:line="276" w:lineRule="auto"/>
              <w:jc w:val="both"/>
              <w:rPr>
                <w:rFonts w:cs="Arial"/>
                <w:szCs w:val="22"/>
              </w:rPr>
            </w:pPr>
            <w:r>
              <w:rPr>
                <w:rFonts w:cs="Arial"/>
                <w:szCs w:val="22"/>
              </w:rPr>
              <w:t xml:space="preserve">The objective of </w:t>
            </w:r>
            <w:r w:rsidR="0005281A">
              <w:rPr>
                <w:rFonts w:cs="Arial"/>
                <w:szCs w:val="22"/>
              </w:rPr>
              <w:t>policy in relation to the personal import of medicines by the post/courier i</w:t>
            </w:r>
            <w:r>
              <w:rPr>
                <w:rFonts w:cs="Arial"/>
                <w:szCs w:val="22"/>
              </w:rPr>
              <w:t xml:space="preserve">s to balance personal freedom against protecting consumers from substandard, </w:t>
            </w:r>
            <w:r w:rsidR="00CD5B32">
              <w:t>adulterated</w:t>
            </w:r>
            <w:r>
              <w:rPr>
                <w:rFonts w:cs="Arial"/>
                <w:szCs w:val="22"/>
              </w:rPr>
              <w:t>, or counterfeit medicines.</w:t>
            </w:r>
            <w:r w:rsidR="003663CE">
              <w:rPr>
                <w:rFonts w:cs="Arial"/>
                <w:szCs w:val="22"/>
              </w:rPr>
              <w:t xml:space="preserve"> </w:t>
            </w:r>
          </w:p>
        </w:tc>
      </w:tr>
    </w:tbl>
    <w:p w:rsidR="00F132B2" w:rsidRPr="00567434" w:rsidRDefault="00F132B2" w:rsidP="00567434">
      <w:pPr>
        <w:pStyle w:val="spac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46F69" w:rsidRPr="0069218C" w:rsidTr="00800DEC">
        <w:trPr>
          <w:trHeight w:val="77"/>
        </w:trPr>
        <w:tc>
          <w:tcPr>
            <w:tcW w:w="5000" w:type="pct"/>
            <w:shd w:val="clear" w:color="auto" w:fill="99CDDD"/>
          </w:tcPr>
          <w:p w:rsidR="00546F69" w:rsidRPr="00886DFF" w:rsidRDefault="00546F69" w:rsidP="00EC6FAD">
            <w:pPr>
              <w:pStyle w:val="TableHeadings"/>
              <w:rPr>
                <w:b w:val="0"/>
                <w:color w:val="1F4E79"/>
                <w:szCs w:val="22"/>
                <w:lang w:val="en-NZ"/>
              </w:rPr>
            </w:pPr>
            <w:r w:rsidRPr="00886DFF">
              <w:rPr>
                <w:szCs w:val="22"/>
                <w:lang w:val="en-NZ"/>
              </w:rPr>
              <w:t xml:space="preserve">2.2    </w:t>
            </w:r>
            <w:r w:rsidR="00C45246" w:rsidRPr="00886DFF">
              <w:rPr>
                <w:rFonts w:eastAsia="Calibri"/>
                <w:szCs w:val="22"/>
                <w:lang w:val="en-NZ" w:eastAsia="en-US"/>
              </w:rPr>
              <w:t xml:space="preserve">Who is affected and how? </w:t>
            </w:r>
          </w:p>
        </w:tc>
      </w:tr>
      <w:tr w:rsidR="00F132B2" w:rsidRPr="0069218C" w:rsidTr="00657C54">
        <w:trPr>
          <w:trHeight w:val="70"/>
        </w:trPr>
        <w:tc>
          <w:tcPr>
            <w:tcW w:w="5000" w:type="pct"/>
            <w:shd w:val="clear" w:color="auto" w:fill="auto"/>
          </w:tcPr>
          <w:p w:rsidR="00FC0824" w:rsidRDefault="0005281A" w:rsidP="0069218C">
            <w:pPr>
              <w:spacing w:after="0" w:line="276" w:lineRule="auto"/>
              <w:jc w:val="both"/>
              <w:rPr>
                <w:rFonts w:cs="Arial"/>
                <w:szCs w:val="22"/>
              </w:rPr>
            </w:pPr>
            <w:r>
              <w:rPr>
                <w:rFonts w:cs="Arial"/>
                <w:szCs w:val="22"/>
              </w:rPr>
              <w:t xml:space="preserve">A change in the policy for </w:t>
            </w:r>
            <w:r w:rsidR="00D93E79">
              <w:rPr>
                <w:rFonts w:cs="Arial"/>
                <w:szCs w:val="22"/>
              </w:rPr>
              <w:t xml:space="preserve">the </w:t>
            </w:r>
            <w:r>
              <w:rPr>
                <w:rFonts w:cs="Arial"/>
                <w:szCs w:val="22"/>
              </w:rPr>
              <w:t>person</w:t>
            </w:r>
            <w:r w:rsidR="00D93E79">
              <w:rPr>
                <w:rFonts w:cs="Arial"/>
                <w:szCs w:val="22"/>
              </w:rPr>
              <w:t>al importation</w:t>
            </w:r>
            <w:r>
              <w:rPr>
                <w:rFonts w:cs="Arial"/>
                <w:szCs w:val="22"/>
              </w:rPr>
              <w:t xml:space="preserve"> of medicines by the post/courier would impact those individuals who currently source medicines this way. </w:t>
            </w:r>
            <w:r w:rsidR="00811968">
              <w:rPr>
                <w:rFonts w:cs="Arial"/>
                <w:szCs w:val="22"/>
              </w:rPr>
              <w:t>For instance:</w:t>
            </w:r>
          </w:p>
          <w:p w:rsidR="00513380" w:rsidRDefault="00FE6533" w:rsidP="00513380">
            <w:pPr>
              <w:numPr>
                <w:ilvl w:val="0"/>
                <w:numId w:val="39"/>
              </w:numPr>
              <w:spacing w:after="0" w:line="276" w:lineRule="auto"/>
              <w:jc w:val="both"/>
              <w:rPr>
                <w:rFonts w:cs="Arial"/>
                <w:szCs w:val="22"/>
              </w:rPr>
            </w:pPr>
            <w:r>
              <w:rPr>
                <w:rFonts w:cs="Arial"/>
                <w:szCs w:val="22"/>
              </w:rPr>
              <w:t>individuals</w:t>
            </w:r>
            <w:r w:rsidR="00A535F2">
              <w:rPr>
                <w:rFonts w:cs="Arial"/>
                <w:szCs w:val="22"/>
              </w:rPr>
              <w:t>,</w:t>
            </w:r>
            <w:r>
              <w:rPr>
                <w:rFonts w:cs="Arial"/>
                <w:szCs w:val="22"/>
              </w:rPr>
              <w:t xml:space="preserve"> or </w:t>
            </w:r>
            <w:r w:rsidR="00811968" w:rsidRPr="00811968">
              <w:rPr>
                <w:rFonts w:cs="Arial"/>
                <w:szCs w:val="22"/>
              </w:rPr>
              <w:t>buying groups</w:t>
            </w:r>
            <w:r w:rsidR="00A535F2">
              <w:rPr>
                <w:rFonts w:cs="Arial"/>
                <w:szCs w:val="22"/>
              </w:rPr>
              <w:t>,</w:t>
            </w:r>
            <w:r w:rsidR="00811968">
              <w:rPr>
                <w:rFonts w:cs="Arial"/>
                <w:szCs w:val="22"/>
              </w:rPr>
              <w:t xml:space="preserve"> </w:t>
            </w:r>
            <w:r w:rsidR="00A535F2">
              <w:rPr>
                <w:rFonts w:cs="Arial"/>
                <w:szCs w:val="22"/>
              </w:rPr>
              <w:t>who</w:t>
            </w:r>
            <w:r w:rsidR="00811968" w:rsidRPr="00811968">
              <w:rPr>
                <w:rFonts w:cs="Arial"/>
                <w:szCs w:val="22"/>
              </w:rPr>
              <w:t xml:space="preserve"> source medicines</w:t>
            </w:r>
            <w:r w:rsidR="00A535F2">
              <w:rPr>
                <w:rFonts w:cs="Arial"/>
                <w:szCs w:val="22"/>
              </w:rPr>
              <w:t xml:space="preserve"> from overseas</w:t>
            </w:r>
            <w:r w:rsidR="00811968" w:rsidRPr="00811968">
              <w:rPr>
                <w:rFonts w:cs="Arial"/>
                <w:szCs w:val="22"/>
              </w:rPr>
              <w:t xml:space="preserve">, </w:t>
            </w:r>
            <w:r w:rsidR="00A535F2">
              <w:rPr>
                <w:rFonts w:cs="Arial"/>
                <w:szCs w:val="22"/>
              </w:rPr>
              <w:t>as they are</w:t>
            </w:r>
            <w:r w:rsidR="00742ED9">
              <w:rPr>
                <w:rFonts w:cs="Arial"/>
                <w:szCs w:val="22"/>
              </w:rPr>
              <w:t xml:space="preserve"> not funded in New Zealand</w:t>
            </w:r>
            <w:r w:rsidR="008C1963">
              <w:rPr>
                <w:rFonts w:cs="Arial"/>
                <w:szCs w:val="22"/>
              </w:rPr>
              <w:t xml:space="preserve"> and are cheaper if purchased overseas</w:t>
            </w:r>
          </w:p>
          <w:p w:rsidR="00513380" w:rsidRDefault="00513380" w:rsidP="00513380">
            <w:pPr>
              <w:numPr>
                <w:ilvl w:val="0"/>
                <w:numId w:val="39"/>
              </w:numPr>
              <w:spacing w:after="0" w:line="276" w:lineRule="auto"/>
              <w:jc w:val="both"/>
              <w:rPr>
                <w:rFonts w:cs="Arial"/>
                <w:szCs w:val="22"/>
              </w:rPr>
            </w:pPr>
            <w:proofErr w:type="gramStart"/>
            <w:r w:rsidRPr="00513380">
              <w:rPr>
                <w:rFonts w:cs="Arial"/>
                <w:szCs w:val="22"/>
              </w:rPr>
              <w:t>visitors</w:t>
            </w:r>
            <w:proofErr w:type="gramEnd"/>
            <w:r w:rsidRPr="00513380">
              <w:rPr>
                <w:rFonts w:cs="Arial"/>
                <w:szCs w:val="22"/>
              </w:rPr>
              <w:t xml:space="preserve"> to New Zealand </w:t>
            </w:r>
            <w:r w:rsidR="00CD5B32">
              <w:rPr>
                <w:rFonts w:cs="Arial"/>
                <w:szCs w:val="22"/>
              </w:rPr>
              <w:t xml:space="preserve">who </w:t>
            </w:r>
            <w:r w:rsidRPr="00513380">
              <w:rPr>
                <w:rFonts w:cs="Arial"/>
                <w:szCs w:val="22"/>
              </w:rPr>
              <w:t>require additional medicine, once the supply they brought with them has run out</w:t>
            </w:r>
            <w:r w:rsidR="008C1963">
              <w:rPr>
                <w:rFonts w:cs="Arial"/>
                <w:szCs w:val="22"/>
              </w:rPr>
              <w:t>. While they could seek a prescription from a New Zealand prescriber, there may be significant additional costs for them if the medicine is not funded in New Zealand</w:t>
            </w:r>
            <w:r w:rsidR="00CE5C72">
              <w:rPr>
                <w:rFonts w:cs="Arial"/>
                <w:szCs w:val="22"/>
              </w:rPr>
              <w:t xml:space="preserve"> or they were not eligible for funding</w:t>
            </w:r>
            <w:r w:rsidR="00746481">
              <w:rPr>
                <w:rFonts w:cs="Arial"/>
                <w:szCs w:val="22"/>
              </w:rPr>
              <w:t>.</w:t>
            </w:r>
            <w:r w:rsidRPr="00513380">
              <w:rPr>
                <w:rFonts w:cs="Arial"/>
                <w:szCs w:val="22"/>
              </w:rPr>
              <w:t xml:space="preserve"> </w:t>
            </w:r>
          </w:p>
          <w:p w:rsidR="00CD5B32" w:rsidRDefault="00CD5B32" w:rsidP="00CD5B32">
            <w:pPr>
              <w:spacing w:after="0" w:line="276" w:lineRule="auto"/>
              <w:jc w:val="both"/>
              <w:rPr>
                <w:rFonts w:cs="Arial"/>
                <w:szCs w:val="22"/>
              </w:rPr>
            </w:pPr>
            <w:r>
              <w:rPr>
                <w:rFonts w:cs="Arial"/>
                <w:szCs w:val="22"/>
              </w:rPr>
              <w:t xml:space="preserve">If the personal import policy was changed </w:t>
            </w:r>
            <w:r w:rsidR="006F5E2B">
              <w:rPr>
                <w:rFonts w:cs="Arial"/>
                <w:szCs w:val="22"/>
              </w:rPr>
              <w:t>t</w:t>
            </w:r>
            <w:r>
              <w:rPr>
                <w:rFonts w:cs="Arial"/>
                <w:szCs w:val="22"/>
              </w:rPr>
              <w:t>he impact on these consumers would depend on the avenues available to them to continue to access these medicines.</w:t>
            </w:r>
          </w:p>
          <w:p w:rsidR="00E41DB5" w:rsidRDefault="00513380" w:rsidP="0069218C">
            <w:pPr>
              <w:spacing w:after="0" w:line="276" w:lineRule="auto"/>
              <w:jc w:val="both"/>
              <w:rPr>
                <w:rFonts w:cs="Arial"/>
                <w:szCs w:val="22"/>
              </w:rPr>
            </w:pPr>
            <w:r>
              <w:rPr>
                <w:rFonts w:cs="Arial"/>
                <w:szCs w:val="22"/>
              </w:rPr>
              <w:lastRenderedPageBreak/>
              <w:t>S</w:t>
            </w:r>
            <w:r w:rsidR="00811968">
              <w:rPr>
                <w:rFonts w:cs="Arial"/>
                <w:szCs w:val="22"/>
              </w:rPr>
              <w:t xml:space="preserve">ome individuals may personally import medicines to avoid discussing a health issue with a New Zealand </w:t>
            </w:r>
            <w:r w:rsidR="000370AA">
              <w:rPr>
                <w:rFonts w:cs="Arial"/>
                <w:szCs w:val="22"/>
              </w:rPr>
              <w:t>practitioner</w:t>
            </w:r>
            <w:r w:rsidR="00811968">
              <w:rPr>
                <w:rFonts w:cs="Arial"/>
                <w:szCs w:val="22"/>
              </w:rPr>
              <w:t>. However, they should not be self-prescribing in this manner.</w:t>
            </w:r>
          </w:p>
          <w:p w:rsidR="007953CA" w:rsidRDefault="007953CA" w:rsidP="0069218C">
            <w:pPr>
              <w:spacing w:after="0" w:line="276" w:lineRule="auto"/>
              <w:jc w:val="both"/>
              <w:rPr>
                <w:rFonts w:cs="Arial"/>
                <w:szCs w:val="22"/>
              </w:rPr>
            </w:pPr>
          </w:p>
          <w:p w:rsidR="00657C54" w:rsidRPr="0069218C" w:rsidRDefault="00E41DB5" w:rsidP="00540BFC">
            <w:pPr>
              <w:spacing w:after="0" w:line="276" w:lineRule="auto"/>
              <w:jc w:val="both"/>
              <w:rPr>
                <w:rFonts w:cs="Arial"/>
                <w:szCs w:val="22"/>
              </w:rPr>
            </w:pPr>
            <w:r>
              <w:rPr>
                <w:rFonts w:cs="Arial"/>
                <w:szCs w:val="22"/>
              </w:rPr>
              <w:t xml:space="preserve">Some consumers may be unaware of the </w:t>
            </w:r>
            <w:r w:rsidR="00D93E79">
              <w:rPr>
                <w:rFonts w:cs="Arial"/>
                <w:szCs w:val="22"/>
              </w:rPr>
              <w:t>personal importation</w:t>
            </w:r>
            <w:r w:rsidR="0005281A">
              <w:rPr>
                <w:rFonts w:cs="Arial"/>
                <w:szCs w:val="22"/>
              </w:rPr>
              <w:t xml:space="preserve"> </w:t>
            </w:r>
            <w:r>
              <w:rPr>
                <w:rFonts w:cs="Arial"/>
                <w:szCs w:val="22"/>
              </w:rPr>
              <w:t>requirements</w:t>
            </w:r>
            <w:r w:rsidR="00E11719">
              <w:rPr>
                <w:rFonts w:cs="Arial"/>
                <w:szCs w:val="22"/>
              </w:rPr>
              <w:t xml:space="preserve"> and order medicines via the post/courier anyway. </w:t>
            </w:r>
            <w:r w:rsidR="008C64F4">
              <w:rPr>
                <w:rFonts w:cs="Arial"/>
                <w:szCs w:val="22"/>
              </w:rPr>
              <w:t xml:space="preserve">Currently these consumers are able to seek a retrospective prescription to authorise the release of the medicine. </w:t>
            </w:r>
            <w:r w:rsidR="00F308C0">
              <w:rPr>
                <w:rFonts w:cs="Arial"/>
                <w:szCs w:val="22"/>
              </w:rPr>
              <w:t xml:space="preserve">If this was no longer possible, then it is likely that the </w:t>
            </w:r>
            <w:r w:rsidR="008C64F4">
              <w:rPr>
                <w:rFonts w:cs="Arial"/>
                <w:szCs w:val="22"/>
              </w:rPr>
              <w:t xml:space="preserve">amount of medicine intercepted by Customs that would be destroyed </w:t>
            </w:r>
            <w:r w:rsidR="00F308C0">
              <w:rPr>
                <w:rFonts w:cs="Arial"/>
                <w:szCs w:val="22"/>
              </w:rPr>
              <w:t>would</w:t>
            </w:r>
            <w:r w:rsidR="008C64F4">
              <w:rPr>
                <w:rFonts w:cs="Arial"/>
                <w:szCs w:val="22"/>
              </w:rPr>
              <w:t xml:space="preserve"> increase. </w:t>
            </w:r>
          </w:p>
        </w:tc>
      </w:tr>
    </w:tbl>
    <w:p w:rsidR="000C3197" w:rsidRPr="00567434" w:rsidRDefault="000C3197" w:rsidP="00567434">
      <w:pPr>
        <w:pStyle w:val="spac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4CE4" w:rsidRPr="0069218C" w:rsidTr="00800DEC">
        <w:trPr>
          <w:trHeight w:val="77"/>
        </w:trPr>
        <w:tc>
          <w:tcPr>
            <w:tcW w:w="5000" w:type="pct"/>
            <w:shd w:val="clear" w:color="auto" w:fill="99CDDD"/>
          </w:tcPr>
          <w:p w:rsidR="00304CE4" w:rsidRPr="00886DFF" w:rsidRDefault="00F63B99" w:rsidP="00EC6FAD">
            <w:pPr>
              <w:pStyle w:val="TableHeadings"/>
              <w:rPr>
                <w:szCs w:val="22"/>
              </w:rPr>
            </w:pPr>
            <w:r w:rsidRPr="00886DFF">
              <w:rPr>
                <w:szCs w:val="22"/>
              </w:rPr>
              <w:t>2.3</w:t>
            </w:r>
            <w:r w:rsidR="002A56F0" w:rsidRPr="00886DFF">
              <w:rPr>
                <w:szCs w:val="22"/>
              </w:rPr>
              <w:t xml:space="preserve">   </w:t>
            </w:r>
            <w:r w:rsidR="00F132B2" w:rsidRPr="00886DFF">
              <w:rPr>
                <w:szCs w:val="22"/>
              </w:rPr>
              <w:t>Are there any constraints on the scope for decision making</w:t>
            </w:r>
            <w:r w:rsidR="00304CE4" w:rsidRPr="00886DFF">
              <w:rPr>
                <w:szCs w:val="22"/>
              </w:rPr>
              <w:t xml:space="preserve">? </w:t>
            </w:r>
          </w:p>
        </w:tc>
      </w:tr>
      <w:tr w:rsidR="00F132B2" w:rsidRPr="0069218C" w:rsidTr="002446E8">
        <w:trPr>
          <w:trHeight w:val="1649"/>
        </w:trPr>
        <w:tc>
          <w:tcPr>
            <w:tcW w:w="5000" w:type="pct"/>
            <w:shd w:val="clear" w:color="auto" w:fill="auto"/>
          </w:tcPr>
          <w:p w:rsidR="00F132B2" w:rsidRPr="00746481" w:rsidRDefault="000F540B" w:rsidP="00C22782">
            <w:pPr>
              <w:pStyle w:val="TableText"/>
              <w:spacing w:after="0" w:line="276" w:lineRule="auto"/>
              <w:rPr>
                <w:sz w:val="22"/>
              </w:rPr>
            </w:pPr>
            <w:r>
              <w:rPr>
                <w:sz w:val="22"/>
              </w:rPr>
              <w:t xml:space="preserve">This matter is being considered as part of the development of the Therapeutic Products Bill that is </w:t>
            </w:r>
            <w:r w:rsidR="00884D9A">
              <w:rPr>
                <w:sz w:val="22"/>
              </w:rPr>
              <w:t xml:space="preserve">being developed based on the policy decisions taken by Cabinet in 2015 and 2016 (accompanied by regulatory impact statements). </w:t>
            </w:r>
            <w:r w:rsidR="005C1851">
              <w:rPr>
                <w:sz w:val="22"/>
              </w:rPr>
              <w:t>The intention is to consult on the proposed approach as part of the public consultation of the draft Bill. The policy in this area could then be reconsidered, if desired, following consultation.</w:t>
            </w:r>
          </w:p>
        </w:tc>
      </w:tr>
    </w:tbl>
    <w:p w:rsidR="005C1851" w:rsidRDefault="005C1851" w:rsidP="00293FDC">
      <w:pPr>
        <w:pStyle w:val="Heading2"/>
        <w:rPr>
          <w:lang w:val="en-NZ"/>
        </w:rPr>
      </w:pPr>
    </w:p>
    <w:p w:rsidR="00E92509" w:rsidRDefault="00BE62EB" w:rsidP="00293FDC">
      <w:pPr>
        <w:pStyle w:val="Heading2"/>
      </w:pPr>
      <w:r w:rsidRPr="002D5734">
        <w:t xml:space="preserve">Section </w:t>
      </w:r>
      <w:r w:rsidR="00051A88">
        <w:t>3</w:t>
      </w:r>
      <w:r w:rsidRPr="002D5734">
        <w:t xml:space="preserve">:  </w:t>
      </w:r>
      <w:r w:rsidR="00304CE4" w:rsidRPr="002D5734">
        <w:t xml:space="preserve">Options </w:t>
      </w:r>
      <w:r w:rsidR="00BE4A62" w:rsidRPr="002D5734">
        <w:t>identific</w:t>
      </w:r>
      <w:r w:rsidR="00304CE4" w:rsidRPr="002D5734">
        <w: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51A88" w:rsidRPr="0069218C" w:rsidTr="00800DEC">
        <w:trPr>
          <w:trHeight w:val="77"/>
        </w:trPr>
        <w:tc>
          <w:tcPr>
            <w:tcW w:w="5000" w:type="pct"/>
            <w:shd w:val="clear" w:color="auto" w:fill="99CDDD"/>
          </w:tcPr>
          <w:p w:rsidR="00051A88" w:rsidRPr="00886DFF" w:rsidRDefault="00B23E8A" w:rsidP="00380585">
            <w:pPr>
              <w:pStyle w:val="TableHeadings"/>
              <w:keepNext/>
              <w:rPr>
                <w:szCs w:val="22"/>
                <w:lang w:val="en-NZ"/>
              </w:rPr>
            </w:pPr>
            <w:r w:rsidRPr="00886DFF">
              <w:rPr>
                <w:szCs w:val="22"/>
                <w:lang w:val="en-NZ"/>
              </w:rPr>
              <w:t>3</w:t>
            </w:r>
            <w:r w:rsidR="00051A88" w:rsidRPr="00886DFF">
              <w:rPr>
                <w:szCs w:val="22"/>
                <w:lang w:val="en-NZ"/>
              </w:rPr>
              <w:t xml:space="preserve">.1   What options have been considered? </w:t>
            </w:r>
          </w:p>
        </w:tc>
      </w:tr>
      <w:tr w:rsidR="00F132B2" w:rsidRPr="0069218C" w:rsidTr="00746481">
        <w:trPr>
          <w:trHeight w:val="1309"/>
        </w:trPr>
        <w:tc>
          <w:tcPr>
            <w:tcW w:w="5000" w:type="pct"/>
            <w:shd w:val="clear" w:color="auto" w:fill="auto"/>
          </w:tcPr>
          <w:p w:rsidR="00540BFC" w:rsidRDefault="00540BFC" w:rsidP="00551DC7">
            <w:pPr>
              <w:spacing w:after="0"/>
            </w:pPr>
            <w:r>
              <w:t>These options are ordered from lower to higher levels of regulation.</w:t>
            </w:r>
            <w:r w:rsidR="003663CE">
              <w:t xml:space="preserve"> </w:t>
            </w:r>
            <w:r w:rsidR="00D93E79">
              <w:t xml:space="preserve">As the regulation increases consumer </w:t>
            </w:r>
            <w:r w:rsidR="003663CE">
              <w:t>safety increase</w:t>
            </w:r>
            <w:r w:rsidR="00D93E79">
              <w:t>s</w:t>
            </w:r>
            <w:r w:rsidR="003663CE">
              <w:t xml:space="preserve">, while personal choice </w:t>
            </w:r>
            <w:r w:rsidR="00683C83">
              <w:t>decreases</w:t>
            </w:r>
            <w:r w:rsidR="003663CE">
              <w:t>.</w:t>
            </w:r>
          </w:p>
          <w:p w:rsidR="00457821" w:rsidRPr="00FF1DE6" w:rsidRDefault="00457821" w:rsidP="00457821">
            <w:pPr>
              <w:spacing w:after="0"/>
            </w:pPr>
          </w:p>
          <w:p w:rsidR="00457821" w:rsidRDefault="00FF1DE6" w:rsidP="00457821">
            <w:pPr>
              <w:spacing w:after="0"/>
            </w:pPr>
            <w:r>
              <w:rPr>
                <w:b/>
              </w:rPr>
              <w:t>Option 1</w:t>
            </w:r>
            <w:r w:rsidR="00457821" w:rsidRPr="00A87189">
              <w:rPr>
                <w:b/>
              </w:rPr>
              <w:t xml:space="preserve"> (status quo)</w:t>
            </w:r>
            <w:r w:rsidR="00786795">
              <w:t xml:space="preserve"> – C</w:t>
            </w:r>
            <w:r w:rsidR="00457821">
              <w:t xml:space="preserve">ontinuing to allow people to personally import medicines (by bringing the medicines lawfully supplied to them overseas with them when coming into the country or by post/courier), with the requirement that individuals have a prescription </w:t>
            </w:r>
            <w:r w:rsidR="00847417">
              <w:t>to import</w:t>
            </w:r>
            <w:r w:rsidR="00457821">
              <w:t xml:space="preserve"> prescription medicines</w:t>
            </w:r>
            <w:r w:rsidR="00A013DF">
              <w:t>.</w:t>
            </w:r>
          </w:p>
          <w:p w:rsidR="00457821" w:rsidRDefault="00457821" w:rsidP="00457821">
            <w:pPr>
              <w:spacing w:after="0"/>
            </w:pPr>
            <w:r w:rsidRPr="00A87189">
              <w:rPr>
                <w:b/>
              </w:rPr>
              <w:t>Pros:</w:t>
            </w:r>
            <w:r>
              <w:t xml:space="preserve"> Consumer freedom and flexibility to order all types of medicines from whatever source they choose</w:t>
            </w:r>
            <w:r w:rsidR="00A013DF">
              <w:t>.</w:t>
            </w:r>
          </w:p>
          <w:p w:rsidR="00457821" w:rsidRDefault="00457821" w:rsidP="00457821">
            <w:pPr>
              <w:spacing w:after="0"/>
            </w:pPr>
            <w:r w:rsidRPr="00A87189">
              <w:rPr>
                <w:b/>
              </w:rPr>
              <w:t>Cons:</w:t>
            </w:r>
            <w:r>
              <w:t xml:space="preserve"> Continued risk of the </w:t>
            </w:r>
            <w:r w:rsidR="00DD55B6">
              <w:t>medicines</w:t>
            </w:r>
            <w:r>
              <w:t xml:space="preserve"> being</w:t>
            </w:r>
            <w:r w:rsidRPr="00216BB5">
              <w:t xml:space="preserve"> </w:t>
            </w:r>
            <w:r w:rsidR="00DD55B6">
              <w:t>substandard</w:t>
            </w:r>
            <w:r>
              <w:t>, c</w:t>
            </w:r>
            <w:r w:rsidRPr="00216BB5">
              <w:t>ounterfeit, ad</w:t>
            </w:r>
            <w:r>
              <w:t>ulterated or</w:t>
            </w:r>
            <w:r w:rsidRPr="00216BB5">
              <w:t xml:space="preserve"> not meet</w:t>
            </w:r>
            <w:r>
              <w:t>ing</w:t>
            </w:r>
            <w:r w:rsidRPr="00216BB5">
              <w:t xml:space="preserve"> regulatory requirements</w:t>
            </w:r>
            <w:r>
              <w:t xml:space="preserve">. </w:t>
            </w:r>
            <w:r w:rsidR="00DD55B6">
              <w:t>The</w:t>
            </w:r>
            <w:r>
              <w:t xml:space="preserve"> </w:t>
            </w:r>
            <w:r w:rsidR="00DD55B6">
              <w:t xml:space="preserve">impact of this is </w:t>
            </w:r>
            <w:r>
              <w:t xml:space="preserve">greater for prescription medicines. </w:t>
            </w:r>
          </w:p>
          <w:p w:rsidR="00457821" w:rsidRDefault="00457821" w:rsidP="00457821">
            <w:pPr>
              <w:spacing w:after="0"/>
            </w:pPr>
          </w:p>
          <w:p w:rsidR="00457821" w:rsidRDefault="00FF1DE6" w:rsidP="00457821">
            <w:pPr>
              <w:spacing w:after="0"/>
            </w:pPr>
            <w:r>
              <w:rPr>
                <w:b/>
              </w:rPr>
              <w:t>Option 2</w:t>
            </w:r>
            <w:r w:rsidR="00457821" w:rsidRPr="00A87189">
              <w:rPr>
                <w:b/>
              </w:rPr>
              <w:t xml:space="preserve"> (pr</w:t>
            </w:r>
            <w:r w:rsidR="00457821">
              <w:rPr>
                <w:b/>
              </w:rPr>
              <w:t>oposed</w:t>
            </w:r>
            <w:r w:rsidR="00457821" w:rsidRPr="00A87189">
              <w:rPr>
                <w:b/>
              </w:rPr>
              <w:t>)</w:t>
            </w:r>
            <w:r>
              <w:t xml:space="preserve"> – C</w:t>
            </w:r>
            <w:r w:rsidR="00457821">
              <w:t xml:space="preserve">ontinuing to allow people to personally import </w:t>
            </w:r>
            <w:r w:rsidR="00457821" w:rsidRPr="00A15AE3">
              <w:rPr>
                <w:b/>
              </w:rPr>
              <w:t>non-prescription</w:t>
            </w:r>
            <w:r w:rsidR="00457821">
              <w:t xml:space="preserve"> medicines (by bringing the medicines with them into the country or by post/courier) and to bring prescription medicines into New Zealand with them (if lawfully prescribed), but curtailing the ability to personally import prescription medicines by the post/courier.</w:t>
            </w:r>
          </w:p>
          <w:p w:rsidR="00457821" w:rsidRPr="00AA6D35" w:rsidRDefault="00457821" w:rsidP="00457821">
            <w:pPr>
              <w:spacing w:after="0"/>
              <w:rPr>
                <w:b/>
              </w:rPr>
            </w:pPr>
            <w:r w:rsidRPr="00AA6D35">
              <w:rPr>
                <w:b/>
              </w:rPr>
              <w:t>Pros:</w:t>
            </w:r>
            <w:r>
              <w:rPr>
                <w:b/>
              </w:rPr>
              <w:t xml:space="preserve"> </w:t>
            </w:r>
            <w:r w:rsidR="00FF1DE6">
              <w:t>C</w:t>
            </w:r>
            <w:r w:rsidRPr="00AA6D35">
              <w:t>onsumer freedom to order low</w:t>
            </w:r>
            <w:r>
              <w:t>er</w:t>
            </w:r>
            <w:r w:rsidRPr="00AA6D35">
              <w:t>-risk medicines from whatever source t</w:t>
            </w:r>
            <w:r w:rsidR="00CD5B32">
              <w:t>hey choose.</w:t>
            </w:r>
            <w:r>
              <w:t xml:space="preserve"> Reduces the risk of unsafe prescription medicines coming into New Zealand</w:t>
            </w:r>
            <w:r w:rsidR="00FF1DE6">
              <w:t>.</w:t>
            </w:r>
            <w:r>
              <w:rPr>
                <w:b/>
              </w:rPr>
              <w:t xml:space="preserve"> </w:t>
            </w:r>
          </w:p>
          <w:p w:rsidR="00457821" w:rsidRPr="00AA6D35" w:rsidRDefault="00457821" w:rsidP="00457821">
            <w:pPr>
              <w:spacing w:after="0"/>
            </w:pPr>
            <w:r w:rsidRPr="00AA6D35">
              <w:rPr>
                <w:b/>
              </w:rPr>
              <w:t>Cons:</w:t>
            </w:r>
            <w:r>
              <w:rPr>
                <w:b/>
              </w:rPr>
              <w:t xml:space="preserve"> </w:t>
            </w:r>
            <w:r w:rsidR="00FF1DE6">
              <w:t>S</w:t>
            </w:r>
            <w:r>
              <w:t xml:space="preserve">ome consumers may prefer to take the risk and source prescription medicines themselves, particularly if they are not funded in New Zealand. </w:t>
            </w:r>
          </w:p>
          <w:p w:rsidR="00457821" w:rsidRDefault="00457821" w:rsidP="00457821">
            <w:pPr>
              <w:spacing w:after="0"/>
            </w:pPr>
          </w:p>
          <w:p w:rsidR="00457821" w:rsidRDefault="00457821" w:rsidP="00457821">
            <w:pPr>
              <w:spacing w:after="0"/>
            </w:pPr>
            <w:r w:rsidRPr="00AA6D35">
              <w:rPr>
                <w:b/>
              </w:rPr>
              <w:t>Option 3</w:t>
            </w:r>
            <w:r w:rsidR="00FF1DE6">
              <w:t xml:space="preserve"> </w:t>
            </w:r>
            <w:r w:rsidR="00786795">
              <w:t xml:space="preserve">– </w:t>
            </w:r>
            <w:r w:rsidR="00FF1DE6">
              <w:t>A</w:t>
            </w:r>
            <w:r>
              <w:t>llowing people to bring all categories of medicines into New Zealand with them, but not allow them to order any category of medicine (</w:t>
            </w:r>
            <w:proofErr w:type="spellStart"/>
            <w:r>
              <w:t>ie</w:t>
            </w:r>
            <w:proofErr w:type="spellEnd"/>
            <w:r>
              <w:t xml:space="preserve"> both prescription and non-prescription) by the post/courier</w:t>
            </w:r>
            <w:r w:rsidR="00A013DF">
              <w:t>.</w:t>
            </w:r>
          </w:p>
          <w:p w:rsidR="00457821" w:rsidRPr="00AA6D35" w:rsidRDefault="00457821" w:rsidP="00457821">
            <w:pPr>
              <w:spacing w:after="0"/>
            </w:pPr>
            <w:r>
              <w:rPr>
                <w:b/>
              </w:rPr>
              <w:t xml:space="preserve">Pros: </w:t>
            </w:r>
            <w:r w:rsidR="00786795">
              <w:t>R</w:t>
            </w:r>
            <w:r>
              <w:t xml:space="preserve">educes the risk of </w:t>
            </w:r>
            <w:r w:rsidRPr="00216BB5">
              <w:t>counterfeit, ad</w:t>
            </w:r>
            <w:r>
              <w:t>ulterated or</w:t>
            </w:r>
            <w:r w:rsidRPr="00216BB5">
              <w:t xml:space="preserve"> </w:t>
            </w:r>
            <w:r>
              <w:t>inadequately regulated medicines being ordered from unregulated online suppliers, as they would only be availa</w:t>
            </w:r>
            <w:r w:rsidR="00A013DF">
              <w:t>ble via more regulated channels.</w:t>
            </w:r>
          </w:p>
          <w:p w:rsidR="00457821" w:rsidRDefault="00457821" w:rsidP="00457821">
            <w:pPr>
              <w:spacing w:after="0"/>
            </w:pPr>
            <w:r>
              <w:rPr>
                <w:b/>
              </w:rPr>
              <w:t xml:space="preserve">Cons: </w:t>
            </w:r>
            <w:r w:rsidR="008B440C">
              <w:t>R</w:t>
            </w:r>
            <w:r w:rsidR="00D93E79">
              <w:t>educes people</w:t>
            </w:r>
            <w:r>
              <w:t>s</w:t>
            </w:r>
            <w:r w:rsidR="00D93E79">
              <w:t>’</w:t>
            </w:r>
            <w:r>
              <w:t xml:space="preserve"> ability to source all types of medicines from overseas, including preferred products not available in New Zealand or medicines that are cheaper overseas.  </w:t>
            </w:r>
          </w:p>
          <w:p w:rsidR="00FF1DE6" w:rsidRDefault="00FF1DE6" w:rsidP="00457821">
            <w:pPr>
              <w:spacing w:after="0"/>
            </w:pPr>
          </w:p>
          <w:p w:rsidR="00AA6D35" w:rsidRPr="00786795" w:rsidRDefault="00457821" w:rsidP="00786795">
            <w:pPr>
              <w:spacing w:after="0"/>
              <w:rPr>
                <w:b/>
              </w:rPr>
            </w:pPr>
            <w:r>
              <w:lastRenderedPageBreak/>
              <w:t xml:space="preserve">Note, all these options have enforcement costs, as a result of allowing some legitimate avenues for accessing unapproved medicines from overseas. Under all options the enforcement officer is required to determine whether there is an appropriate authorisation for the medicine (based on the requirements of that option). </w:t>
            </w:r>
            <w:r w:rsidR="00786795">
              <w:rPr>
                <w:b/>
              </w:rPr>
              <w:t xml:space="preserve"> </w:t>
            </w:r>
          </w:p>
        </w:tc>
      </w:tr>
    </w:tbl>
    <w:p w:rsidR="002446E8" w:rsidRPr="00567434" w:rsidRDefault="002446E8" w:rsidP="00567434">
      <w:pPr>
        <w:pStyle w:val="spacer"/>
      </w:pP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9060"/>
      </w:tblGrid>
      <w:tr w:rsidR="002D5734" w:rsidRPr="0069218C" w:rsidTr="00800DEC">
        <w:trPr>
          <w:trHeight w:val="84"/>
        </w:trPr>
        <w:tc>
          <w:tcPr>
            <w:tcW w:w="5000" w:type="pct"/>
            <w:tcBorders>
              <w:top w:val="single" w:sz="4" w:space="0" w:color="auto"/>
              <w:left w:val="single" w:sz="4" w:space="0" w:color="auto"/>
              <w:bottom w:val="single" w:sz="4" w:space="0" w:color="auto"/>
              <w:right w:val="single" w:sz="4" w:space="0" w:color="auto"/>
            </w:tcBorders>
            <w:shd w:val="clear" w:color="auto" w:fill="99CDDD"/>
          </w:tcPr>
          <w:p w:rsidR="00E92509" w:rsidRPr="00886DFF" w:rsidRDefault="00B23E8A" w:rsidP="00EC6FAD">
            <w:pPr>
              <w:pStyle w:val="TableHeadings"/>
              <w:rPr>
                <w:szCs w:val="22"/>
                <w:lang w:val="en-NZ"/>
              </w:rPr>
            </w:pPr>
            <w:r w:rsidRPr="00886DFF">
              <w:rPr>
                <w:szCs w:val="22"/>
                <w:lang w:val="en-NZ"/>
              </w:rPr>
              <w:t>3</w:t>
            </w:r>
            <w:r w:rsidR="002A56F0" w:rsidRPr="00886DFF">
              <w:rPr>
                <w:szCs w:val="22"/>
                <w:lang w:val="en-NZ"/>
              </w:rPr>
              <w:t>.</w:t>
            </w:r>
            <w:r w:rsidR="00051A88" w:rsidRPr="00886DFF">
              <w:rPr>
                <w:szCs w:val="22"/>
                <w:lang w:val="en-NZ"/>
              </w:rPr>
              <w:t>2</w:t>
            </w:r>
            <w:r w:rsidR="002A56F0" w:rsidRPr="00886DFF">
              <w:rPr>
                <w:szCs w:val="22"/>
                <w:lang w:val="en-NZ"/>
              </w:rPr>
              <w:t xml:space="preserve">  </w:t>
            </w:r>
            <w:r w:rsidR="00962209" w:rsidRPr="00886DFF">
              <w:rPr>
                <w:szCs w:val="22"/>
                <w:lang w:val="en-NZ"/>
              </w:rPr>
              <w:t xml:space="preserve"> </w:t>
            </w:r>
            <w:r w:rsidR="00D019CB" w:rsidRPr="00886DFF">
              <w:rPr>
                <w:szCs w:val="22"/>
                <w:lang w:val="en-NZ"/>
              </w:rPr>
              <w:t>Which of these options is</w:t>
            </w:r>
            <w:r w:rsidR="00962209" w:rsidRPr="00886DFF">
              <w:rPr>
                <w:szCs w:val="22"/>
                <w:lang w:val="en-NZ"/>
              </w:rPr>
              <w:t xml:space="preserve"> the </w:t>
            </w:r>
            <w:r w:rsidR="00051A88" w:rsidRPr="00886DFF">
              <w:rPr>
                <w:szCs w:val="22"/>
                <w:lang w:val="en-NZ"/>
              </w:rPr>
              <w:t>proposed approach</w:t>
            </w:r>
            <w:r w:rsidR="00962209" w:rsidRPr="00886DFF">
              <w:rPr>
                <w:szCs w:val="22"/>
                <w:lang w:val="en-NZ"/>
              </w:rPr>
              <w:t xml:space="preserve">?  </w:t>
            </w:r>
          </w:p>
        </w:tc>
      </w:tr>
      <w:tr w:rsidR="00F132B2" w:rsidRPr="0069218C" w:rsidTr="002446E8">
        <w:trPr>
          <w:trHeight w:val="4995"/>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34E91" w:rsidRDefault="006B721A" w:rsidP="008362EE">
            <w:pPr>
              <w:spacing w:after="0" w:line="276" w:lineRule="auto"/>
              <w:jc w:val="both"/>
            </w:pPr>
            <w:r>
              <w:t xml:space="preserve">The proposed approach is </w:t>
            </w:r>
            <w:r w:rsidR="00DF03EC">
              <w:t xml:space="preserve">option 2. </w:t>
            </w:r>
            <w:r w:rsidR="00742ED9">
              <w:t xml:space="preserve"> </w:t>
            </w:r>
            <w:r w:rsidR="00F34E91">
              <w:t>This option is intended to</w:t>
            </w:r>
            <w:r w:rsidR="00991B95">
              <w:t xml:space="preserve"> achieve the objective of</w:t>
            </w:r>
            <w:r w:rsidR="00F34E91">
              <w:t xml:space="preserve"> strik</w:t>
            </w:r>
            <w:r w:rsidR="00991B95">
              <w:t>ing</w:t>
            </w:r>
            <w:r w:rsidR="00F34E91">
              <w:t xml:space="preserve"> a b</w:t>
            </w:r>
            <w:r w:rsidR="00D93E79">
              <w:t>alance between personal freedoms</w:t>
            </w:r>
            <w:r w:rsidR="00F34E91">
              <w:t xml:space="preserve"> and protecting consumers from unknowingly purchasing substandard or </w:t>
            </w:r>
            <w:r w:rsidR="008B440C">
              <w:t>counterfeit</w:t>
            </w:r>
            <w:r w:rsidR="00F34E91">
              <w:t xml:space="preserve"> prescription medicines.</w:t>
            </w:r>
          </w:p>
          <w:p w:rsidR="00F34E91" w:rsidRDefault="00F34E91" w:rsidP="008362EE">
            <w:pPr>
              <w:spacing w:after="0" w:line="276" w:lineRule="auto"/>
              <w:jc w:val="both"/>
            </w:pPr>
          </w:p>
          <w:p w:rsidR="008362EE" w:rsidRDefault="006B721A" w:rsidP="008362EE">
            <w:pPr>
              <w:spacing w:after="0" w:line="276" w:lineRule="auto"/>
              <w:jc w:val="both"/>
            </w:pPr>
            <w:r>
              <w:t xml:space="preserve">Individuals would still be able to obtain medicines from overseas sources </w:t>
            </w:r>
            <w:r w:rsidR="008362EE">
              <w:t xml:space="preserve">via other channels set up in the </w:t>
            </w:r>
            <w:r w:rsidR="008B440C">
              <w:t xml:space="preserve">Therapeutic Products </w:t>
            </w:r>
            <w:r w:rsidR="008362EE">
              <w:t>Bill. In particular, if a patient has a</w:t>
            </w:r>
            <w:r>
              <w:t xml:space="preserve"> clinical need</w:t>
            </w:r>
            <w:r w:rsidR="008362EE">
              <w:t xml:space="preserve"> for an unapproved medicine (</w:t>
            </w:r>
            <w:proofErr w:type="spellStart"/>
            <w:r w:rsidR="008362EE">
              <w:t>ie</w:t>
            </w:r>
            <w:proofErr w:type="spellEnd"/>
            <w:r w:rsidR="0099006D">
              <w:t>,</w:t>
            </w:r>
            <w:r w:rsidR="008362EE">
              <w:t xml:space="preserve"> one no</w:t>
            </w:r>
            <w:r w:rsidR="00675F30">
              <w:t>t</w:t>
            </w:r>
            <w:r w:rsidR="008362EE">
              <w:t xml:space="preserve"> approved in New Zealand) they can </w:t>
            </w:r>
            <w:r w:rsidR="00F34E91">
              <w:t xml:space="preserve">get </w:t>
            </w:r>
            <w:r w:rsidR="008B440C">
              <w:t>it</w:t>
            </w:r>
            <w:r w:rsidR="00F34E91">
              <w:t xml:space="preserve"> prescribed for them by a m</w:t>
            </w:r>
            <w:r w:rsidR="008362EE">
              <w:t xml:space="preserve">edical practitioner. </w:t>
            </w:r>
            <w:r w:rsidR="00F34E91">
              <w:t xml:space="preserve">A </w:t>
            </w:r>
            <w:r>
              <w:t>wholesaler with an (appropriate licence)</w:t>
            </w:r>
            <w:r w:rsidR="00F34E91">
              <w:t xml:space="preserve"> could then</w:t>
            </w:r>
            <w:r w:rsidR="008362EE">
              <w:t xml:space="preserve"> source the medicin</w:t>
            </w:r>
            <w:r w:rsidR="002468FF">
              <w:t xml:space="preserve">e on their behalf. </w:t>
            </w:r>
            <w:r w:rsidR="00675F30">
              <w:t xml:space="preserve">The individual would </w:t>
            </w:r>
            <w:r w:rsidR="002E52C8">
              <w:t xml:space="preserve">then </w:t>
            </w:r>
            <w:r w:rsidR="00675F30">
              <w:t>receive the medicine from their doctor or pharmacist</w:t>
            </w:r>
            <w:r w:rsidR="002E52C8">
              <w:t>.</w:t>
            </w:r>
            <w:r w:rsidR="00F34E91">
              <w:t xml:space="preserve"> These person</w:t>
            </w:r>
            <w:r w:rsidR="00D93E79">
              <w:t>s</w:t>
            </w:r>
            <w:r w:rsidR="00F34E91">
              <w:t xml:space="preserve"> are better able to identify suitable accredited suppliers and are subject to regulatory oversight under the Therapeutic Products Bill.</w:t>
            </w:r>
          </w:p>
          <w:p w:rsidR="00F34E91" w:rsidRDefault="00F34E91" w:rsidP="008362EE">
            <w:pPr>
              <w:spacing w:after="0" w:line="276" w:lineRule="auto"/>
              <w:jc w:val="both"/>
            </w:pPr>
          </w:p>
          <w:p w:rsidR="00F132B2" w:rsidRPr="0069218C" w:rsidRDefault="00F34E91" w:rsidP="008B440C">
            <w:pPr>
              <w:spacing w:after="0" w:line="276" w:lineRule="auto"/>
              <w:jc w:val="both"/>
              <w:rPr>
                <w:rFonts w:cs="Arial"/>
                <w:szCs w:val="22"/>
              </w:rPr>
            </w:pPr>
            <w:r>
              <w:rPr>
                <w:rFonts w:cs="Arial"/>
                <w:szCs w:val="22"/>
              </w:rPr>
              <w:t xml:space="preserve">There is also the </w:t>
            </w:r>
            <w:r w:rsidRPr="00513380">
              <w:rPr>
                <w:rFonts w:cs="Arial"/>
                <w:szCs w:val="22"/>
              </w:rPr>
              <w:t xml:space="preserve">potential </w:t>
            </w:r>
            <w:r>
              <w:rPr>
                <w:rFonts w:cs="Arial"/>
                <w:szCs w:val="22"/>
              </w:rPr>
              <w:t xml:space="preserve">to </w:t>
            </w:r>
            <w:r w:rsidRPr="00513380">
              <w:rPr>
                <w:rFonts w:cs="Arial"/>
                <w:szCs w:val="22"/>
              </w:rPr>
              <w:t xml:space="preserve">use permits to authorise </w:t>
            </w:r>
            <w:r w:rsidR="008B440C">
              <w:rPr>
                <w:rFonts w:cs="Arial"/>
                <w:szCs w:val="22"/>
              </w:rPr>
              <w:t>the personal import</w:t>
            </w:r>
            <w:r w:rsidR="00D93E79">
              <w:rPr>
                <w:rFonts w:cs="Arial"/>
                <w:szCs w:val="22"/>
              </w:rPr>
              <w:t>ation</w:t>
            </w:r>
            <w:r w:rsidR="008B440C">
              <w:rPr>
                <w:rFonts w:cs="Arial"/>
                <w:szCs w:val="22"/>
              </w:rPr>
              <w:t xml:space="preserve"> of prescription medicines via the post/courier</w:t>
            </w:r>
            <w:r w:rsidRPr="00513380">
              <w:rPr>
                <w:rFonts w:cs="Arial"/>
                <w:szCs w:val="22"/>
              </w:rPr>
              <w:t xml:space="preserve"> </w:t>
            </w:r>
            <w:r>
              <w:rPr>
                <w:rFonts w:cs="Arial"/>
                <w:szCs w:val="22"/>
              </w:rPr>
              <w:t>in situations where it is in the best interest of the consumer and in line with the purpose of the Therapeutic Products Bill</w:t>
            </w:r>
            <w:r w:rsidRPr="00513380">
              <w:rPr>
                <w:rFonts w:cs="Arial"/>
                <w:szCs w:val="22"/>
              </w:rPr>
              <w:t>.</w:t>
            </w:r>
            <w:r>
              <w:rPr>
                <w:rFonts w:cs="Arial"/>
                <w:szCs w:val="22"/>
              </w:rPr>
              <w:t xml:space="preserve"> This may be a suitable approach for </w:t>
            </w:r>
            <w:r w:rsidRPr="00513380">
              <w:rPr>
                <w:rFonts w:cs="Arial"/>
                <w:szCs w:val="22"/>
              </w:rPr>
              <w:t>visitors to New Zealand</w:t>
            </w:r>
            <w:r>
              <w:rPr>
                <w:rFonts w:cs="Arial"/>
                <w:szCs w:val="22"/>
              </w:rPr>
              <w:t xml:space="preserve"> who</w:t>
            </w:r>
            <w:r w:rsidRPr="00513380">
              <w:rPr>
                <w:rFonts w:cs="Arial"/>
                <w:szCs w:val="22"/>
              </w:rPr>
              <w:t xml:space="preserve"> require additional medicine</w:t>
            </w:r>
            <w:r>
              <w:rPr>
                <w:rFonts w:cs="Arial"/>
                <w:szCs w:val="22"/>
              </w:rPr>
              <w:t xml:space="preserve"> or buying groups that have identified </w:t>
            </w:r>
            <w:r>
              <w:t>a suitable and safe supplier</w:t>
            </w:r>
            <w:r>
              <w:rPr>
                <w:rFonts w:cs="Arial"/>
                <w:szCs w:val="22"/>
              </w:rPr>
              <w:t xml:space="preserve">. </w:t>
            </w:r>
          </w:p>
        </w:tc>
      </w:tr>
    </w:tbl>
    <w:p w:rsidR="008D03A7" w:rsidRDefault="008D03A7" w:rsidP="00293FDC">
      <w:pPr>
        <w:pStyle w:val="Heading2"/>
        <w:rPr>
          <w:rFonts w:cs="Arial"/>
          <w:sz w:val="22"/>
          <w:lang w:val="en-NZ"/>
        </w:rPr>
      </w:pPr>
    </w:p>
    <w:p w:rsidR="00BE4A62" w:rsidRPr="00030EC1" w:rsidRDefault="00E92509" w:rsidP="00293FDC">
      <w:pPr>
        <w:pStyle w:val="Heading2"/>
      </w:pPr>
      <w:r w:rsidRPr="002D5734">
        <w:t xml:space="preserve">Section </w:t>
      </w:r>
      <w:r w:rsidR="00C77099">
        <w:t>4</w:t>
      </w:r>
      <w:r w:rsidRPr="002D5734">
        <w:t xml:space="preserve">:  </w:t>
      </w:r>
      <w:r w:rsidR="00A33BA0" w:rsidRPr="002D5734">
        <w:t>Impact Analysis</w:t>
      </w:r>
      <w:r w:rsidR="005D5BF0" w:rsidRPr="002D5734">
        <w:t xml:space="preserve"> (</w:t>
      </w:r>
      <w:r w:rsidR="00C77099">
        <w:t>Proposed approach</w:t>
      </w:r>
      <w:r w:rsidR="005D5BF0" w:rsidRPr="002D573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D5BF0" w:rsidRPr="0069218C" w:rsidTr="006D3130">
        <w:trPr>
          <w:trHeight w:val="77"/>
        </w:trPr>
        <w:tc>
          <w:tcPr>
            <w:tcW w:w="5000" w:type="pct"/>
            <w:tcBorders>
              <w:bottom w:val="single" w:sz="4" w:space="0" w:color="auto"/>
            </w:tcBorders>
            <w:shd w:val="clear" w:color="auto" w:fill="99CDDD"/>
            <w:hideMark/>
          </w:tcPr>
          <w:p w:rsidR="005D5BF0" w:rsidRPr="0069218C" w:rsidRDefault="00D9793F" w:rsidP="00800DEC">
            <w:pPr>
              <w:pStyle w:val="TableHeadings"/>
              <w:rPr>
                <w:color w:val="002469"/>
                <w:szCs w:val="22"/>
                <w:lang w:val="en-NZ"/>
              </w:rPr>
            </w:pPr>
            <w:r w:rsidRPr="00886DFF">
              <w:rPr>
                <w:szCs w:val="22"/>
                <w:lang w:val="en-NZ"/>
              </w:rPr>
              <w:t>4</w:t>
            </w:r>
            <w:r w:rsidR="005D5BF0" w:rsidRPr="00886DFF">
              <w:rPr>
                <w:szCs w:val="22"/>
                <w:lang w:val="en-NZ"/>
              </w:rPr>
              <w:t>.</w:t>
            </w:r>
            <w:r w:rsidR="00C77099" w:rsidRPr="00886DFF">
              <w:rPr>
                <w:szCs w:val="22"/>
                <w:lang w:val="en-NZ"/>
              </w:rPr>
              <w:t>1</w:t>
            </w:r>
            <w:r w:rsidR="005D5BF0" w:rsidRPr="00886DFF">
              <w:rPr>
                <w:szCs w:val="22"/>
                <w:lang w:val="en-NZ"/>
              </w:rPr>
              <w:t xml:space="preserve">   Summary </w:t>
            </w:r>
            <w:r w:rsidR="005D5BF0" w:rsidRPr="00886DFF">
              <w:rPr>
                <w:szCs w:val="22"/>
              </w:rPr>
              <w:t>table</w:t>
            </w:r>
            <w:r w:rsidR="005D5BF0" w:rsidRPr="00886DFF">
              <w:rPr>
                <w:szCs w:val="22"/>
                <w:lang w:val="en-NZ"/>
              </w:rPr>
              <w:t xml:space="preserve"> of costs and benefits</w:t>
            </w:r>
          </w:p>
        </w:tc>
      </w:tr>
    </w:tbl>
    <w:p w:rsidR="00D9793F" w:rsidRPr="0069218C" w:rsidRDefault="00D9793F" w:rsidP="00567434">
      <w:pPr>
        <w:pStyle w:val="spacer"/>
      </w:pPr>
    </w:p>
    <w:tbl>
      <w:tblPr>
        <w:tblpPr w:leftFromText="180" w:rightFromText="180" w:vertAnchor="text" w:tblpX="6" w:tblpY="1"/>
        <w:tblOverlap w:val="never"/>
        <w:tblW w:w="906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2518"/>
        <w:gridCol w:w="5103"/>
        <w:gridCol w:w="1448"/>
      </w:tblGrid>
      <w:tr w:rsidR="00380585" w:rsidRPr="0069218C" w:rsidTr="00746481">
        <w:trPr>
          <w:trHeight w:val="732"/>
        </w:trPr>
        <w:tc>
          <w:tcPr>
            <w:tcW w:w="2518" w:type="dxa"/>
            <w:tcBorders>
              <w:top w:val="single" w:sz="2" w:space="0" w:color="auto"/>
              <w:left w:val="single" w:sz="2" w:space="0" w:color="auto"/>
              <w:bottom w:val="single" w:sz="2" w:space="0" w:color="auto"/>
              <w:right w:val="single" w:sz="2" w:space="0" w:color="auto"/>
            </w:tcBorders>
            <w:shd w:val="clear" w:color="auto" w:fill="80C0D5"/>
          </w:tcPr>
          <w:p w:rsidR="00380585" w:rsidRPr="00886DFF" w:rsidRDefault="00380585" w:rsidP="0099006D">
            <w:pPr>
              <w:pStyle w:val="TableText"/>
              <w:keepNext/>
              <w:rPr>
                <w:rFonts w:eastAsia="Calibri"/>
                <w:color w:val="000000"/>
                <w:sz w:val="22"/>
              </w:rPr>
            </w:pPr>
            <w:r w:rsidRPr="00886DFF">
              <w:rPr>
                <w:rFonts w:eastAsia="Calibri"/>
                <w:b/>
                <w:color w:val="000000"/>
                <w:sz w:val="22"/>
              </w:rPr>
              <w:t>Affected parties</w:t>
            </w:r>
            <w:r w:rsidRPr="00886DFF">
              <w:rPr>
                <w:rFonts w:eastAsia="Calibri"/>
                <w:color w:val="000000"/>
                <w:sz w:val="22"/>
              </w:rPr>
              <w:t xml:space="preserve"> </w:t>
            </w:r>
          </w:p>
        </w:tc>
        <w:tc>
          <w:tcPr>
            <w:tcW w:w="5103" w:type="dxa"/>
            <w:tcBorders>
              <w:top w:val="single" w:sz="2" w:space="0" w:color="auto"/>
              <w:left w:val="single" w:sz="2" w:space="0" w:color="auto"/>
              <w:bottom w:val="single" w:sz="2" w:space="0" w:color="auto"/>
              <w:right w:val="single" w:sz="2" w:space="0" w:color="auto"/>
            </w:tcBorders>
            <w:shd w:val="clear" w:color="auto" w:fill="80C0D5"/>
          </w:tcPr>
          <w:p w:rsidR="00380585" w:rsidRPr="00886DFF" w:rsidRDefault="00380585" w:rsidP="00784C66">
            <w:pPr>
              <w:pStyle w:val="TableText"/>
              <w:keepNext/>
              <w:rPr>
                <w:rFonts w:eastAsia="Calibri"/>
                <w:color w:val="000000"/>
                <w:sz w:val="22"/>
              </w:rPr>
            </w:pPr>
            <w:r w:rsidRPr="00886DFF">
              <w:rPr>
                <w:rFonts w:eastAsia="Calibri"/>
                <w:b/>
                <w:color w:val="000000"/>
                <w:sz w:val="22"/>
              </w:rPr>
              <w:t>Comment</w:t>
            </w:r>
            <w:r w:rsidRPr="00886DFF">
              <w:rPr>
                <w:rFonts w:eastAsia="Calibri"/>
                <w:color w:val="000000"/>
                <w:sz w:val="22"/>
              </w:rPr>
              <w:t>: nature of cost or benefit (</w:t>
            </w:r>
            <w:proofErr w:type="spellStart"/>
            <w:r w:rsidRPr="00886DFF">
              <w:rPr>
                <w:rFonts w:eastAsia="Calibri"/>
                <w:color w:val="000000"/>
                <w:sz w:val="22"/>
              </w:rPr>
              <w:t>eg</w:t>
            </w:r>
            <w:proofErr w:type="spellEnd"/>
            <w:r w:rsidR="00BF4BC7">
              <w:rPr>
                <w:rFonts w:eastAsia="Calibri"/>
                <w:color w:val="000000"/>
                <w:sz w:val="22"/>
              </w:rPr>
              <w:t>,</w:t>
            </w:r>
            <w:r w:rsidRPr="00886DFF">
              <w:rPr>
                <w:rFonts w:eastAsia="Calibri"/>
                <w:color w:val="000000"/>
                <w:sz w:val="22"/>
              </w:rPr>
              <w:t xml:space="preserve"> ongoing, one-off), evidence and assumption (</w:t>
            </w:r>
            <w:proofErr w:type="spellStart"/>
            <w:r w:rsidRPr="00886DFF">
              <w:rPr>
                <w:rFonts w:eastAsia="Calibri"/>
                <w:color w:val="000000"/>
                <w:sz w:val="22"/>
              </w:rPr>
              <w:t>eg</w:t>
            </w:r>
            <w:proofErr w:type="spellEnd"/>
            <w:r w:rsidR="00BF4BC7">
              <w:rPr>
                <w:rFonts w:eastAsia="Calibri"/>
                <w:color w:val="000000"/>
                <w:sz w:val="22"/>
              </w:rPr>
              <w:t>,</w:t>
            </w:r>
            <w:r w:rsidRPr="00886DFF">
              <w:rPr>
                <w:rFonts w:eastAsia="Calibri"/>
                <w:color w:val="000000"/>
                <w:sz w:val="22"/>
              </w:rPr>
              <w:t xml:space="preserve"> compliance rates), risks</w:t>
            </w:r>
            <w:r w:rsidR="00BF4BC7">
              <w:rPr>
                <w:rFonts w:eastAsia="Calibri"/>
                <w:color w:val="000000"/>
                <w:sz w:val="22"/>
              </w:rPr>
              <w:t>.</w:t>
            </w:r>
          </w:p>
        </w:tc>
        <w:tc>
          <w:tcPr>
            <w:tcW w:w="1448" w:type="dxa"/>
            <w:tcBorders>
              <w:top w:val="single" w:sz="2" w:space="0" w:color="auto"/>
              <w:left w:val="single" w:sz="2" w:space="0" w:color="auto"/>
              <w:bottom w:val="single" w:sz="2" w:space="0" w:color="auto"/>
              <w:right w:val="single" w:sz="2" w:space="0" w:color="auto"/>
            </w:tcBorders>
            <w:shd w:val="clear" w:color="auto" w:fill="80C0D5"/>
          </w:tcPr>
          <w:p w:rsidR="00380585" w:rsidRPr="00886DFF" w:rsidRDefault="00380585" w:rsidP="00784C66">
            <w:pPr>
              <w:pStyle w:val="TableText"/>
              <w:keepNext/>
              <w:rPr>
                <w:rFonts w:eastAsia="Calibri"/>
                <w:b/>
                <w:color w:val="000000"/>
                <w:sz w:val="22"/>
              </w:rPr>
            </w:pPr>
            <w:r w:rsidRPr="00886DFF">
              <w:rPr>
                <w:rFonts w:eastAsia="Calibri"/>
                <w:b/>
                <w:color w:val="000000"/>
                <w:sz w:val="22"/>
              </w:rPr>
              <w:t>Impact</w:t>
            </w:r>
          </w:p>
          <w:p w:rsidR="00380585" w:rsidRPr="00886DFF" w:rsidRDefault="00380585" w:rsidP="00784C66">
            <w:pPr>
              <w:pStyle w:val="TableText"/>
              <w:keepNext/>
              <w:rPr>
                <w:rFonts w:eastAsia="Calibri"/>
                <w:i/>
                <w:color w:val="000000"/>
                <w:sz w:val="22"/>
              </w:rPr>
            </w:pPr>
          </w:p>
        </w:tc>
      </w:tr>
      <w:tr w:rsidR="00380585" w:rsidRPr="0069218C" w:rsidTr="00746481">
        <w:trPr>
          <w:trHeight w:val="197"/>
        </w:trPr>
        <w:tc>
          <w:tcPr>
            <w:tcW w:w="9069" w:type="dxa"/>
            <w:gridSpan w:val="3"/>
            <w:tcBorders>
              <w:top w:val="single" w:sz="2" w:space="0" w:color="auto"/>
              <w:bottom w:val="single" w:sz="2" w:space="0" w:color="auto"/>
            </w:tcBorders>
          </w:tcPr>
          <w:p w:rsidR="00380585" w:rsidRPr="00567434" w:rsidRDefault="00380585" w:rsidP="00567434">
            <w:pPr>
              <w:pStyle w:val="spacer"/>
              <w:rPr>
                <w:rFonts w:eastAsia="Calibri"/>
              </w:rPr>
            </w:pPr>
          </w:p>
        </w:tc>
      </w:tr>
      <w:tr w:rsidR="00380585" w:rsidRPr="0069218C" w:rsidTr="00746481">
        <w:trPr>
          <w:trHeight w:val="253"/>
        </w:trPr>
        <w:tc>
          <w:tcPr>
            <w:tcW w:w="9069" w:type="dxa"/>
            <w:gridSpan w:val="3"/>
            <w:tcBorders>
              <w:top w:val="single" w:sz="2" w:space="0" w:color="auto"/>
              <w:left w:val="single" w:sz="2" w:space="0" w:color="auto"/>
              <w:bottom w:val="single" w:sz="2" w:space="0" w:color="auto"/>
              <w:right w:val="single" w:sz="2" w:space="0" w:color="auto"/>
            </w:tcBorders>
            <w:shd w:val="clear" w:color="auto" w:fill="80C0D5"/>
          </w:tcPr>
          <w:p w:rsidR="00380585" w:rsidRPr="0069218C" w:rsidRDefault="00380585" w:rsidP="00784C66">
            <w:pPr>
              <w:keepNext/>
              <w:spacing w:before="40" w:after="20" w:line="240" w:lineRule="auto"/>
              <w:rPr>
                <w:rFonts w:ascii="Arial Narrow" w:eastAsia="Calibri" w:hAnsi="Arial Narrow"/>
                <w:szCs w:val="22"/>
              </w:rPr>
            </w:pPr>
            <w:r w:rsidRPr="00886DFF">
              <w:rPr>
                <w:rFonts w:eastAsia="Calibri"/>
                <w:color w:val="000000"/>
                <w:szCs w:val="22"/>
              </w:rPr>
              <w:t>Additional costs of proposed approach, compared to taking no action</w:t>
            </w: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keepNext/>
              <w:rPr>
                <w:rFonts w:eastAsia="Calibri"/>
                <w:sz w:val="22"/>
              </w:rPr>
            </w:pPr>
            <w:r w:rsidRPr="0069218C">
              <w:rPr>
                <w:rFonts w:eastAsia="Calibri"/>
                <w:sz w:val="22"/>
              </w:rPr>
              <w:t>Regulated parties</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020C3F" w:rsidRDefault="008362EE" w:rsidP="00C24371">
            <w:pPr>
              <w:pStyle w:val="TableText"/>
              <w:keepNext/>
              <w:rPr>
                <w:rFonts w:eastAsia="Calibri"/>
                <w:sz w:val="22"/>
              </w:rPr>
            </w:pPr>
            <w:r w:rsidRPr="008362EE">
              <w:rPr>
                <w:rFonts w:eastAsia="Calibri"/>
                <w:sz w:val="22"/>
              </w:rPr>
              <w:t xml:space="preserve">Some medical practitioners may not </w:t>
            </w:r>
            <w:r w:rsidR="0020586F">
              <w:rPr>
                <w:rFonts w:eastAsia="Calibri"/>
                <w:sz w:val="22"/>
              </w:rPr>
              <w:t>be comfortable with the increased emphasis on their responsibility when authorising the supply of an unapproved medicine</w:t>
            </w:r>
            <w:r w:rsidR="00C24371">
              <w:rPr>
                <w:rFonts w:eastAsia="Calibri"/>
                <w:sz w:val="22"/>
              </w:rPr>
              <w:t>.</w:t>
            </w:r>
          </w:p>
          <w:p w:rsidR="00020C3F" w:rsidRDefault="00020C3F" w:rsidP="00020C3F">
            <w:pPr>
              <w:pStyle w:val="TableText"/>
              <w:keepNext/>
              <w:rPr>
                <w:rFonts w:eastAsia="Calibri"/>
                <w:sz w:val="22"/>
              </w:rPr>
            </w:pPr>
            <w:r>
              <w:rPr>
                <w:rFonts w:eastAsia="Calibri"/>
                <w:sz w:val="22"/>
              </w:rPr>
              <w:t xml:space="preserve">This is likely to add administrative costs to consumers sourcing medicines from overseas, due to the extra step of requiring the medicine to be imported on their behalf or obtaining a permit. </w:t>
            </w:r>
          </w:p>
          <w:p w:rsidR="00380585" w:rsidRPr="0069218C" w:rsidRDefault="00020C3F" w:rsidP="00020C3F">
            <w:pPr>
              <w:pStyle w:val="TableText"/>
              <w:keepNext/>
              <w:rPr>
                <w:rFonts w:eastAsia="Calibri"/>
                <w:sz w:val="22"/>
              </w:rPr>
            </w:pPr>
            <w:r>
              <w:rPr>
                <w:rFonts w:eastAsia="Calibri"/>
                <w:sz w:val="22"/>
              </w:rPr>
              <w:t>There may be an additional cost for travellers if they could access funded medicine from their home country, but not in New Zealand (although the permit system could be used to avoid this).</w:t>
            </w:r>
            <w:r w:rsidR="0020586F">
              <w:rPr>
                <w:rFonts w:eastAsia="Calibri"/>
                <w:sz w:val="22"/>
              </w:rPr>
              <w:t xml:space="preserve"> </w:t>
            </w: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C91FED" w:rsidP="00784C66">
            <w:pPr>
              <w:pStyle w:val="TableText"/>
              <w:keepNext/>
              <w:rPr>
                <w:rFonts w:eastAsia="Calibri"/>
                <w:sz w:val="22"/>
              </w:rPr>
            </w:pPr>
            <w:r>
              <w:rPr>
                <w:rFonts w:eastAsia="Calibri"/>
                <w:sz w:val="22"/>
              </w:rPr>
              <w:t>Low</w:t>
            </w: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keepNext/>
              <w:rPr>
                <w:rFonts w:eastAsia="Calibri" w:cs="Arial"/>
                <w:color w:val="000000"/>
                <w:sz w:val="22"/>
              </w:rPr>
            </w:pPr>
            <w:r w:rsidRPr="0069218C">
              <w:rPr>
                <w:rFonts w:eastAsia="Calibri"/>
                <w:color w:val="000000"/>
                <w:sz w:val="22"/>
              </w:rPr>
              <w:t>Regulators</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380585" w:rsidRPr="005F75F2" w:rsidRDefault="00020C3F" w:rsidP="0020586F">
            <w:pPr>
              <w:pStyle w:val="TableText"/>
              <w:keepNext/>
              <w:rPr>
                <w:rFonts w:eastAsia="Calibri"/>
                <w:sz w:val="22"/>
              </w:rPr>
            </w:pPr>
            <w:r>
              <w:rPr>
                <w:rFonts w:eastAsia="Calibri"/>
                <w:sz w:val="22"/>
              </w:rPr>
              <w:t xml:space="preserve">Would need to develop new procedures and forms. </w:t>
            </w: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020C3F" w:rsidP="00784C66">
            <w:pPr>
              <w:pStyle w:val="TableText"/>
              <w:keepNext/>
              <w:rPr>
                <w:rFonts w:eastAsia="Calibri"/>
                <w:sz w:val="22"/>
              </w:rPr>
            </w:pPr>
            <w:r>
              <w:rPr>
                <w:rFonts w:eastAsia="Calibri"/>
                <w:sz w:val="22"/>
              </w:rPr>
              <w:t>Low</w:t>
            </w: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keepNext/>
              <w:rPr>
                <w:rFonts w:eastAsia="Calibri"/>
                <w:color w:val="000000"/>
                <w:sz w:val="22"/>
              </w:rPr>
            </w:pPr>
            <w:r w:rsidRPr="0069218C">
              <w:rPr>
                <w:rFonts w:eastAsia="Calibri"/>
                <w:color w:val="000000"/>
                <w:sz w:val="22"/>
              </w:rPr>
              <w:t>Wider government</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keepNext/>
              <w:rPr>
                <w:rFonts w:eastAsia="Calibri"/>
                <w:sz w:val="22"/>
              </w:rPr>
            </w:pP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keepNext/>
              <w:rPr>
                <w:rFonts w:eastAsia="Calibri"/>
                <w:sz w:val="22"/>
              </w:rPr>
            </w:pP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keepNext/>
              <w:rPr>
                <w:rFonts w:eastAsia="Calibri" w:cs="Arial"/>
                <w:color w:val="000000"/>
                <w:sz w:val="22"/>
              </w:rPr>
            </w:pPr>
            <w:r w:rsidRPr="0069218C">
              <w:rPr>
                <w:rFonts w:eastAsia="Calibri"/>
                <w:color w:val="000000"/>
                <w:sz w:val="22"/>
              </w:rPr>
              <w:lastRenderedPageBreak/>
              <w:t xml:space="preserve">Other parties </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C91FED">
            <w:pPr>
              <w:pStyle w:val="TableText"/>
              <w:keepNext/>
              <w:rPr>
                <w:rFonts w:eastAsia="Calibri"/>
                <w:sz w:val="22"/>
              </w:rPr>
            </w:pP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8362EE" w:rsidP="008D03A7">
            <w:pPr>
              <w:pStyle w:val="TableText"/>
              <w:keepNext/>
              <w:rPr>
                <w:rFonts w:eastAsia="Calibri"/>
                <w:sz w:val="22"/>
              </w:rPr>
            </w:pPr>
            <w:r>
              <w:rPr>
                <w:rFonts w:eastAsia="Calibri"/>
                <w:sz w:val="22"/>
              </w:rPr>
              <w:t>Low</w:t>
            </w:r>
            <w:r w:rsidR="0099006D">
              <w:rPr>
                <w:rFonts w:eastAsia="Calibri"/>
                <w:sz w:val="22"/>
              </w:rPr>
              <w:t xml:space="preserve"> / Med</w:t>
            </w: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keepNext/>
              <w:rPr>
                <w:rFonts w:eastAsia="Calibri"/>
                <w:b/>
                <w:sz w:val="22"/>
              </w:rPr>
            </w:pPr>
            <w:r w:rsidRPr="0069218C">
              <w:rPr>
                <w:rFonts w:eastAsia="Calibri"/>
                <w:b/>
                <w:sz w:val="22"/>
              </w:rPr>
              <w:t>Total Monetised Cost</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keepNext/>
              <w:rPr>
                <w:rFonts w:eastAsia="Calibri"/>
                <w:i/>
                <w:sz w:val="22"/>
              </w:rPr>
            </w:pP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keepNext/>
              <w:rPr>
                <w:rFonts w:eastAsia="Calibri"/>
                <w:sz w:val="22"/>
              </w:rPr>
            </w:pP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keepNext/>
              <w:rPr>
                <w:rFonts w:eastAsia="Calibri"/>
                <w:b/>
                <w:sz w:val="22"/>
              </w:rPr>
            </w:pPr>
            <w:r w:rsidRPr="0069218C">
              <w:rPr>
                <w:rFonts w:eastAsia="Calibri"/>
                <w:b/>
                <w:sz w:val="22"/>
              </w:rPr>
              <w:t xml:space="preserve">Non-monetised costs </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keepNext/>
              <w:rPr>
                <w:rFonts w:eastAsia="Calibri"/>
                <w:i/>
                <w:sz w:val="22"/>
              </w:rPr>
            </w:pP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8362EE" w:rsidRDefault="008362EE" w:rsidP="001E2426">
            <w:pPr>
              <w:pStyle w:val="TableText"/>
              <w:keepNext/>
              <w:rPr>
                <w:rFonts w:eastAsia="Calibri"/>
                <w:sz w:val="22"/>
              </w:rPr>
            </w:pPr>
            <w:r w:rsidRPr="008362EE">
              <w:rPr>
                <w:rFonts w:eastAsia="Calibri"/>
                <w:sz w:val="22"/>
              </w:rPr>
              <w:t>Low</w:t>
            </w:r>
            <w:r w:rsidR="006F1EBF">
              <w:rPr>
                <w:rFonts w:eastAsia="Calibri"/>
                <w:sz w:val="22"/>
              </w:rPr>
              <w:t xml:space="preserve"> </w:t>
            </w:r>
          </w:p>
        </w:tc>
      </w:tr>
    </w:tbl>
    <w:p w:rsidR="00380585" w:rsidRPr="0069218C" w:rsidRDefault="00380585" w:rsidP="00567434">
      <w:pPr>
        <w:pStyle w:val="spacer"/>
      </w:pPr>
    </w:p>
    <w:tbl>
      <w:tblPr>
        <w:tblpPr w:leftFromText="180" w:rightFromText="180" w:vertAnchor="text" w:tblpX="6" w:tblpY="1"/>
        <w:tblOverlap w:val="never"/>
        <w:tblW w:w="906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2518"/>
        <w:gridCol w:w="5103"/>
        <w:gridCol w:w="1448"/>
      </w:tblGrid>
      <w:tr w:rsidR="00380585" w:rsidRPr="0069218C" w:rsidTr="00746481">
        <w:trPr>
          <w:trHeight w:val="253"/>
        </w:trPr>
        <w:tc>
          <w:tcPr>
            <w:tcW w:w="9069" w:type="dxa"/>
            <w:gridSpan w:val="3"/>
            <w:tcBorders>
              <w:top w:val="single" w:sz="2" w:space="0" w:color="auto"/>
              <w:left w:val="single" w:sz="2" w:space="0" w:color="auto"/>
              <w:bottom w:val="single" w:sz="2" w:space="0" w:color="auto"/>
              <w:right w:val="single" w:sz="2" w:space="0" w:color="auto"/>
            </w:tcBorders>
            <w:shd w:val="clear" w:color="auto" w:fill="80C0D5"/>
          </w:tcPr>
          <w:p w:rsidR="00380585" w:rsidRPr="000535CE" w:rsidRDefault="00380585" w:rsidP="00784C66">
            <w:pPr>
              <w:spacing w:before="40" w:after="20" w:line="240" w:lineRule="auto"/>
              <w:rPr>
                <w:rFonts w:ascii="Arial Narrow" w:eastAsia="Calibri" w:hAnsi="Arial Narrow"/>
                <w:szCs w:val="22"/>
              </w:rPr>
            </w:pPr>
            <w:r w:rsidRPr="00886DFF">
              <w:rPr>
                <w:rFonts w:eastAsia="Calibri"/>
                <w:color w:val="000000"/>
                <w:szCs w:val="22"/>
              </w:rPr>
              <w:t>Expected benefits of proposed approach, compared to taking no action</w:t>
            </w: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rPr>
                <w:rFonts w:eastAsia="Calibri"/>
                <w:sz w:val="22"/>
              </w:rPr>
            </w:pPr>
            <w:r w:rsidRPr="0069218C">
              <w:rPr>
                <w:rFonts w:eastAsia="Calibri"/>
                <w:sz w:val="22"/>
              </w:rPr>
              <w:t>Regulated parties</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235505" w:rsidRDefault="00C91FED" w:rsidP="00A17053">
            <w:pPr>
              <w:pStyle w:val="TableText"/>
              <w:rPr>
                <w:rFonts w:eastAsia="Calibri"/>
                <w:sz w:val="22"/>
              </w:rPr>
            </w:pPr>
            <w:r>
              <w:rPr>
                <w:rFonts w:eastAsia="Calibri"/>
                <w:sz w:val="22"/>
              </w:rPr>
              <w:t xml:space="preserve">Less risk of health harms from unknowingly importing and taking a </w:t>
            </w:r>
            <w:r w:rsidRPr="00C91FED">
              <w:rPr>
                <w:rFonts w:eastAsia="Calibri"/>
                <w:sz w:val="22"/>
              </w:rPr>
              <w:t xml:space="preserve">counterfeit, adulterated or </w:t>
            </w:r>
            <w:r w:rsidR="006F1EBF">
              <w:rPr>
                <w:rFonts w:eastAsia="Calibri"/>
                <w:sz w:val="22"/>
              </w:rPr>
              <w:t>substandard</w:t>
            </w:r>
            <w:r>
              <w:rPr>
                <w:rFonts w:eastAsia="Calibri"/>
                <w:sz w:val="22"/>
              </w:rPr>
              <w:t xml:space="preserve"> prescription medicine</w:t>
            </w:r>
            <w:r w:rsidR="00C24371">
              <w:rPr>
                <w:rFonts w:eastAsia="Calibri"/>
                <w:sz w:val="22"/>
              </w:rPr>
              <w:t>.</w:t>
            </w:r>
            <w:r w:rsidR="00020C3F">
              <w:rPr>
                <w:rFonts w:eastAsia="Calibri"/>
                <w:sz w:val="22"/>
              </w:rPr>
              <w:t xml:space="preserve"> </w:t>
            </w:r>
          </w:p>
          <w:p w:rsidR="001A3C86" w:rsidRDefault="00020C3F" w:rsidP="00A17053">
            <w:pPr>
              <w:pStyle w:val="TableText"/>
              <w:rPr>
                <w:rFonts w:eastAsia="Calibri"/>
                <w:sz w:val="22"/>
              </w:rPr>
            </w:pPr>
            <w:r>
              <w:rPr>
                <w:rFonts w:eastAsia="Calibri"/>
                <w:sz w:val="22"/>
              </w:rPr>
              <w:t>There is a lack of data on th</w:t>
            </w:r>
            <w:r w:rsidR="001A3C86">
              <w:rPr>
                <w:rFonts w:eastAsia="Calibri"/>
                <w:sz w:val="22"/>
              </w:rPr>
              <w:t>e amount of personally imported prescription medicine</w:t>
            </w:r>
            <w:r>
              <w:rPr>
                <w:rFonts w:eastAsia="Calibri"/>
                <w:sz w:val="22"/>
              </w:rPr>
              <w:t xml:space="preserve"> and </w:t>
            </w:r>
            <w:r w:rsidR="00D93E79">
              <w:rPr>
                <w:rFonts w:eastAsia="Calibri"/>
                <w:sz w:val="22"/>
              </w:rPr>
              <w:t xml:space="preserve">the </w:t>
            </w:r>
            <w:r>
              <w:rPr>
                <w:rFonts w:eastAsia="Calibri"/>
                <w:sz w:val="22"/>
              </w:rPr>
              <w:t xml:space="preserve">percentage that is counterfeit or substandard. </w:t>
            </w:r>
          </w:p>
          <w:p w:rsidR="008D10FD" w:rsidRDefault="00020C3F" w:rsidP="00A17053">
            <w:pPr>
              <w:pStyle w:val="TableText"/>
              <w:rPr>
                <w:rFonts w:eastAsia="Calibri"/>
                <w:sz w:val="22"/>
              </w:rPr>
            </w:pPr>
            <w:r>
              <w:rPr>
                <w:rFonts w:eastAsia="Calibri"/>
                <w:sz w:val="22"/>
              </w:rPr>
              <w:t xml:space="preserve">In 2017, </w:t>
            </w:r>
            <w:r w:rsidR="00235505" w:rsidRPr="00235505">
              <w:rPr>
                <w:rFonts w:eastAsia="Calibri"/>
                <w:sz w:val="22"/>
              </w:rPr>
              <w:t xml:space="preserve">12,232 </w:t>
            </w:r>
            <w:r>
              <w:rPr>
                <w:rFonts w:eastAsia="Calibri"/>
                <w:sz w:val="22"/>
              </w:rPr>
              <w:t>prescription medicines of unknown quality were intercepted by Customs. This is likely to significantly under-represent the amount of prescription medicine being personally importe</w:t>
            </w:r>
            <w:r w:rsidR="00A17053">
              <w:rPr>
                <w:rFonts w:eastAsia="Calibri"/>
                <w:sz w:val="22"/>
              </w:rPr>
              <w:t xml:space="preserve">d. Even if we only intercepted 10% of the amount </w:t>
            </w:r>
            <w:r w:rsidR="00D93E79">
              <w:rPr>
                <w:rFonts w:eastAsia="Calibri"/>
                <w:sz w:val="22"/>
              </w:rPr>
              <w:t xml:space="preserve">of </w:t>
            </w:r>
            <w:r w:rsidR="00A17053">
              <w:rPr>
                <w:rFonts w:eastAsia="Calibri"/>
                <w:sz w:val="22"/>
              </w:rPr>
              <w:t>personally imported</w:t>
            </w:r>
            <w:r w:rsidR="00235505">
              <w:rPr>
                <w:rFonts w:eastAsia="Calibri"/>
                <w:sz w:val="22"/>
              </w:rPr>
              <w:t xml:space="preserve"> prescription medicines, this would still only be</w:t>
            </w:r>
            <w:r w:rsidR="00A17053">
              <w:rPr>
                <w:rFonts w:eastAsia="Calibri"/>
                <w:sz w:val="22"/>
              </w:rPr>
              <w:t xml:space="preserve"> a tiny proportion of the subsidised prescription</w:t>
            </w:r>
            <w:r w:rsidR="00D93E79">
              <w:rPr>
                <w:rFonts w:eastAsia="Calibri"/>
                <w:sz w:val="22"/>
              </w:rPr>
              <w:t>s</w:t>
            </w:r>
            <w:r w:rsidR="00A17053">
              <w:rPr>
                <w:rFonts w:eastAsia="Calibri"/>
                <w:sz w:val="22"/>
              </w:rPr>
              <w:t xml:space="preserve"> filled each year in New Zealand (45 million).</w:t>
            </w:r>
          </w:p>
          <w:p w:rsidR="00A17053" w:rsidRPr="0069218C" w:rsidRDefault="00A17053" w:rsidP="00A17053">
            <w:pPr>
              <w:pStyle w:val="TableText"/>
              <w:rPr>
                <w:rFonts w:eastAsia="Calibri"/>
                <w:sz w:val="22"/>
              </w:rPr>
            </w:pPr>
            <w:r w:rsidRPr="00A17053">
              <w:rPr>
                <w:rFonts w:eastAsia="Calibri"/>
                <w:sz w:val="22"/>
              </w:rPr>
              <w:t>New Zealand and other countries have tested samples of imported unapproved medicines and found them to be substandard or contaminated</w:t>
            </w:r>
            <w:r w:rsidR="00A013DF">
              <w:rPr>
                <w:rFonts w:eastAsia="Calibri"/>
                <w:sz w:val="22"/>
              </w:rPr>
              <w:t>.</w:t>
            </w:r>
            <w:r>
              <w:rPr>
                <w:rFonts w:eastAsia="Calibri"/>
                <w:sz w:val="22"/>
              </w:rPr>
              <w:t xml:space="preserve"> </w:t>
            </w:r>
            <w:r w:rsidR="00A013DF">
              <w:rPr>
                <w:rFonts w:eastAsia="Calibri"/>
                <w:sz w:val="22"/>
              </w:rPr>
              <w:t xml:space="preserve">The World Health Organisation estimates around 10% of medicine products in low and middle income countries are substandard or counterfeit. </w:t>
            </w:r>
            <w:r w:rsidR="00A013DF" w:rsidRPr="00197AEF">
              <w:rPr>
                <w:rFonts w:eastAsia="Calibri"/>
                <w:sz w:val="22"/>
              </w:rPr>
              <w:t>Anti-</w:t>
            </w:r>
            <w:proofErr w:type="spellStart"/>
            <w:r w:rsidR="00A013DF" w:rsidRPr="00197AEF">
              <w:rPr>
                <w:rFonts w:eastAsia="Calibri"/>
                <w:sz w:val="22"/>
              </w:rPr>
              <w:t>malarials</w:t>
            </w:r>
            <w:proofErr w:type="spellEnd"/>
            <w:r w:rsidR="00A013DF" w:rsidRPr="00197AEF">
              <w:rPr>
                <w:rFonts w:eastAsia="Calibri"/>
                <w:sz w:val="22"/>
              </w:rPr>
              <w:t xml:space="preserve"> and antibiotics are amongst the most commonly reported substandard and falsified medical products.</w:t>
            </w: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C91FED" w:rsidP="00784C66">
            <w:pPr>
              <w:pStyle w:val="TableText"/>
              <w:rPr>
                <w:rFonts w:eastAsia="Calibri"/>
                <w:sz w:val="22"/>
              </w:rPr>
            </w:pPr>
            <w:r>
              <w:rPr>
                <w:rFonts w:eastAsia="Calibri"/>
                <w:sz w:val="22"/>
              </w:rPr>
              <w:t>Low</w:t>
            </w:r>
            <w:r w:rsidR="006F1EBF">
              <w:rPr>
                <w:rFonts w:eastAsia="Calibri"/>
                <w:sz w:val="22"/>
              </w:rPr>
              <w:t xml:space="preserve"> </w:t>
            </w:r>
            <w:r>
              <w:rPr>
                <w:rFonts w:eastAsia="Calibri"/>
                <w:sz w:val="22"/>
              </w:rPr>
              <w:t>/</w:t>
            </w:r>
            <w:r w:rsidR="006F1EBF">
              <w:rPr>
                <w:rFonts w:eastAsia="Calibri"/>
                <w:sz w:val="22"/>
              </w:rPr>
              <w:t xml:space="preserve"> </w:t>
            </w:r>
            <w:r>
              <w:rPr>
                <w:rFonts w:eastAsia="Calibri"/>
                <w:sz w:val="22"/>
              </w:rPr>
              <w:t>Med</w:t>
            </w: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rPr>
                <w:rFonts w:eastAsia="Calibri"/>
                <w:sz w:val="22"/>
              </w:rPr>
            </w:pPr>
            <w:r w:rsidRPr="0069218C">
              <w:rPr>
                <w:rFonts w:eastAsia="Calibri"/>
                <w:sz w:val="22"/>
              </w:rPr>
              <w:t>Regulators</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354CC7">
            <w:pPr>
              <w:pStyle w:val="TableText"/>
              <w:rPr>
                <w:rFonts w:eastAsia="Calibri"/>
                <w:sz w:val="22"/>
              </w:rPr>
            </w:pP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99006D">
            <w:pPr>
              <w:pStyle w:val="TableText"/>
              <w:rPr>
                <w:rFonts w:eastAsia="Calibri"/>
                <w:sz w:val="22"/>
              </w:rPr>
            </w:pP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rPr>
                <w:rFonts w:eastAsia="Calibri"/>
                <w:sz w:val="22"/>
              </w:rPr>
            </w:pPr>
            <w:r w:rsidRPr="0069218C">
              <w:rPr>
                <w:rFonts w:eastAsia="Calibri"/>
                <w:sz w:val="22"/>
              </w:rPr>
              <w:t>Wider government</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C91FED" w:rsidP="006F1EBF">
            <w:pPr>
              <w:pStyle w:val="TableText"/>
              <w:rPr>
                <w:rFonts w:eastAsia="Calibri"/>
                <w:sz w:val="22"/>
              </w:rPr>
            </w:pPr>
            <w:r>
              <w:rPr>
                <w:rFonts w:eastAsia="Calibri"/>
                <w:sz w:val="22"/>
              </w:rPr>
              <w:t xml:space="preserve">Reduced </w:t>
            </w:r>
            <w:r w:rsidR="006F1EBF">
              <w:rPr>
                <w:rFonts w:eastAsia="Calibri"/>
                <w:sz w:val="22"/>
              </w:rPr>
              <w:t xml:space="preserve">health </w:t>
            </w:r>
            <w:r>
              <w:rPr>
                <w:rFonts w:eastAsia="Calibri"/>
                <w:sz w:val="22"/>
              </w:rPr>
              <w:t xml:space="preserve">costs from harm caused by </w:t>
            </w:r>
            <w:r w:rsidRPr="00C91FED">
              <w:rPr>
                <w:rFonts w:eastAsia="Calibri"/>
                <w:sz w:val="22"/>
              </w:rPr>
              <w:t xml:space="preserve">counterfeit, adulterated or </w:t>
            </w:r>
            <w:r w:rsidR="006F1EBF">
              <w:rPr>
                <w:rFonts w:eastAsia="Calibri"/>
                <w:sz w:val="22"/>
              </w:rPr>
              <w:t>substandard</w:t>
            </w:r>
            <w:r>
              <w:rPr>
                <w:rFonts w:eastAsia="Calibri"/>
                <w:sz w:val="22"/>
              </w:rPr>
              <w:t xml:space="preserve"> prescription medicines</w:t>
            </w:r>
            <w:r w:rsidR="00C24371">
              <w:rPr>
                <w:rFonts w:eastAsia="Calibri"/>
                <w:sz w:val="22"/>
              </w:rPr>
              <w:t>.</w:t>
            </w: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C91FED" w:rsidP="00784C66">
            <w:pPr>
              <w:pStyle w:val="TableText"/>
              <w:rPr>
                <w:rFonts w:eastAsia="Calibri"/>
                <w:sz w:val="22"/>
              </w:rPr>
            </w:pPr>
            <w:r>
              <w:rPr>
                <w:rFonts w:eastAsia="Calibri"/>
                <w:sz w:val="22"/>
              </w:rPr>
              <w:t>Low</w:t>
            </w:r>
            <w:r w:rsidR="0099006D">
              <w:rPr>
                <w:rFonts w:eastAsia="Calibri"/>
                <w:sz w:val="22"/>
              </w:rPr>
              <w:t xml:space="preserve"> / Med</w:t>
            </w: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rPr>
                <w:rFonts w:eastAsia="Calibri"/>
                <w:sz w:val="22"/>
              </w:rPr>
            </w:pPr>
            <w:r w:rsidRPr="0069218C">
              <w:rPr>
                <w:rFonts w:eastAsia="Calibri"/>
                <w:sz w:val="22"/>
              </w:rPr>
              <w:t xml:space="preserve">Other parties </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rPr>
                <w:rFonts w:eastAsia="Calibri"/>
                <w:sz w:val="22"/>
              </w:rPr>
            </w:pP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rPr>
                <w:rFonts w:eastAsia="Calibri"/>
                <w:sz w:val="22"/>
              </w:rPr>
            </w:pP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rPr>
                <w:rFonts w:eastAsia="Calibri"/>
                <w:b/>
                <w:sz w:val="22"/>
              </w:rPr>
            </w:pPr>
            <w:r w:rsidRPr="0069218C">
              <w:rPr>
                <w:rFonts w:eastAsia="Calibri"/>
                <w:b/>
                <w:sz w:val="22"/>
              </w:rPr>
              <w:t>Total Monetised  Benefit</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rPr>
                <w:rFonts w:eastAsia="Calibri"/>
                <w:sz w:val="22"/>
              </w:rPr>
            </w:pP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rPr>
                <w:rFonts w:eastAsia="Calibri"/>
                <w:sz w:val="22"/>
              </w:rPr>
            </w:pPr>
          </w:p>
        </w:tc>
      </w:tr>
      <w:tr w:rsidR="00380585" w:rsidRPr="0069218C" w:rsidTr="00746481">
        <w:trPr>
          <w:trHeight w:val="253"/>
        </w:trPr>
        <w:tc>
          <w:tcPr>
            <w:tcW w:w="2518"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rPr>
                <w:rFonts w:eastAsia="Calibri"/>
                <w:b/>
                <w:sz w:val="22"/>
              </w:rPr>
            </w:pPr>
            <w:r w:rsidRPr="0069218C">
              <w:rPr>
                <w:rFonts w:eastAsia="Calibri"/>
                <w:b/>
                <w:sz w:val="22"/>
              </w:rPr>
              <w:t>Non-monetised benefits</w:t>
            </w:r>
          </w:p>
        </w:tc>
        <w:tc>
          <w:tcPr>
            <w:tcW w:w="5103" w:type="dxa"/>
            <w:tcBorders>
              <w:top w:val="single" w:sz="2" w:space="0" w:color="auto"/>
              <w:left w:val="single" w:sz="2" w:space="0" w:color="auto"/>
              <w:bottom w:val="single" w:sz="2" w:space="0" w:color="auto"/>
              <w:right w:val="single" w:sz="2" w:space="0" w:color="auto"/>
            </w:tcBorders>
            <w:shd w:val="clear" w:color="auto" w:fill="auto"/>
          </w:tcPr>
          <w:p w:rsidR="00380585" w:rsidRPr="0069218C" w:rsidRDefault="00380585" w:rsidP="00784C66">
            <w:pPr>
              <w:pStyle w:val="TableText"/>
              <w:rPr>
                <w:rFonts w:eastAsia="Calibri"/>
                <w:sz w:val="22"/>
              </w:rPr>
            </w:pPr>
          </w:p>
        </w:tc>
        <w:tc>
          <w:tcPr>
            <w:tcW w:w="1448" w:type="dxa"/>
            <w:tcBorders>
              <w:top w:val="single" w:sz="2" w:space="0" w:color="auto"/>
              <w:left w:val="single" w:sz="2" w:space="0" w:color="auto"/>
              <w:bottom w:val="single" w:sz="2" w:space="0" w:color="auto"/>
              <w:right w:val="single" w:sz="2" w:space="0" w:color="auto"/>
            </w:tcBorders>
            <w:shd w:val="clear" w:color="auto" w:fill="auto"/>
          </w:tcPr>
          <w:p w:rsidR="00380585" w:rsidRPr="00C91FED" w:rsidRDefault="00C91FED" w:rsidP="00784C66">
            <w:pPr>
              <w:pStyle w:val="TableText"/>
              <w:rPr>
                <w:rFonts w:eastAsia="Calibri"/>
                <w:sz w:val="22"/>
              </w:rPr>
            </w:pPr>
            <w:r w:rsidRPr="00C91FED">
              <w:rPr>
                <w:rFonts w:eastAsia="Calibri"/>
                <w:sz w:val="22"/>
              </w:rPr>
              <w:t>Low / Med</w:t>
            </w:r>
          </w:p>
        </w:tc>
      </w:tr>
    </w:tbl>
    <w:p w:rsidR="00746481" w:rsidRPr="00886DFF" w:rsidRDefault="00746481" w:rsidP="000C3197">
      <w:pPr>
        <w:spacing w:after="0"/>
        <w:rPr>
          <w:rFonts w:cs="Arial"/>
          <w:i/>
          <w:color w:val="000000"/>
          <w:szCs w:val="22"/>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77099" w:rsidRPr="0069218C" w:rsidTr="00800DEC">
        <w:trPr>
          <w:trHeight w:val="77"/>
        </w:trPr>
        <w:tc>
          <w:tcPr>
            <w:tcW w:w="5000" w:type="pct"/>
            <w:shd w:val="clear" w:color="auto" w:fill="99CDDD"/>
            <w:hideMark/>
          </w:tcPr>
          <w:p w:rsidR="00C77099" w:rsidRPr="00886DFF" w:rsidRDefault="00D9793F" w:rsidP="00EC6FAD">
            <w:pPr>
              <w:pStyle w:val="TableHeadings"/>
              <w:rPr>
                <w:szCs w:val="22"/>
                <w:lang w:val="en-NZ"/>
              </w:rPr>
            </w:pPr>
            <w:r w:rsidRPr="00886DFF">
              <w:rPr>
                <w:szCs w:val="22"/>
                <w:lang w:val="en-NZ"/>
              </w:rPr>
              <w:t>4</w:t>
            </w:r>
            <w:r w:rsidR="00C77099" w:rsidRPr="00886DFF">
              <w:rPr>
                <w:szCs w:val="22"/>
                <w:lang w:val="en-NZ"/>
              </w:rPr>
              <w:t xml:space="preserve">.2   What other impacts is this </w:t>
            </w:r>
            <w:r w:rsidR="002D63C9" w:rsidRPr="00886DFF">
              <w:rPr>
                <w:szCs w:val="22"/>
                <w:lang w:val="en-NZ"/>
              </w:rPr>
              <w:t>approach</w:t>
            </w:r>
            <w:r w:rsidR="00C77099" w:rsidRPr="00886DFF">
              <w:rPr>
                <w:szCs w:val="22"/>
                <w:lang w:val="en-NZ"/>
              </w:rPr>
              <w:t xml:space="preserve"> likely to have?</w:t>
            </w:r>
          </w:p>
        </w:tc>
      </w:tr>
      <w:tr w:rsidR="00A552DC" w:rsidRPr="0069218C" w:rsidTr="00921342">
        <w:trPr>
          <w:trHeight w:val="1876"/>
        </w:trPr>
        <w:tc>
          <w:tcPr>
            <w:tcW w:w="5000" w:type="pct"/>
            <w:shd w:val="clear" w:color="auto" w:fill="auto"/>
          </w:tcPr>
          <w:p w:rsidR="00E763FE" w:rsidRDefault="00C91FED" w:rsidP="00C91FED">
            <w:pPr>
              <w:spacing w:after="0" w:line="276" w:lineRule="auto"/>
              <w:jc w:val="both"/>
              <w:rPr>
                <w:rFonts w:cs="Arial"/>
                <w:szCs w:val="22"/>
              </w:rPr>
            </w:pPr>
            <w:r>
              <w:rPr>
                <w:rFonts w:cs="Arial"/>
                <w:szCs w:val="22"/>
              </w:rPr>
              <w:t>The willingness of pharmacies and wholesalers to source and supply th</w:t>
            </w:r>
            <w:r w:rsidR="009063A9">
              <w:rPr>
                <w:rFonts w:cs="Arial"/>
                <w:szCs w:val="22"/>
              </w:rPr>
              <w:t>e</w:t>
            </w:r>
            <w:r>
              <w:rPr>
                <w:rFonts w:cs="Arial"/>
                <w:szCs w:val="22"/>
              </w:rPr>
              <w:t xml:space="preserve"> medicines</w:t>
            </w:r>
            <w:r w:rsidR="009063A9">
              <w:rPr>
                <w:rFonts w:cs="Arial"/>
                <w:szCs w:val="22"/>
              </w:rPr>
              <w:t xml:space="preserve"> current</w:t>
            </w:r>
            <w:r w:rsidR="006978F0">
              <w:rPr>
                <w:rFonts w:cs="Arial"/>
                <w:szCs w:val="22"/>
              </w:rPr>
              <w:t>ly</w:t>
            </w:r>
            <w:r w:rsidR="009063A9">
              <w:rPr>
                <w:rFonts w:cs="Arial"/>
                <w:szCs w:val="22"/>
              </w:rPr>
              <w:t xml:space="preserve"> personally imported</w:t>
            </w:r>
            <w:r>
              <w:rPr>
                <w:rFonts w:cs="Arial"/>
                <w:szCs w:val="22"/>
              </w:rPr>
              <w:t xml:space="preserve"> is unknown. </w:t>
            </w:r>
            <w:r w:rsidR="009063A9">
              <w:rPr>
                <w:rFonts w:cs="Arial"/>
                <w:szCs w:val="22"/>
              </w:rPr>
              <w:t>The policy under the Therapeutic Products Regulatory Scheme is that unapproved products cannot be imported or supplied unless there are appropriate authorisations in place. Some wholesalers already specialise in the import of unapproved medicines. The difference under the proposed personal import</w:t>
            </w:r>
            <w:r w:rsidR="00D93E79">
              <w:rPr>
                <w:rFonts w:cs="Arial"/>
                <w:szCs w:val="22"/>
              </w:rPr>
              <w:t>ation</w:t>
            </w:r>
            <w:r w:rsidR="009063A9">
              <w:rPr>
                <w:rFonts w:cs="Arial"/>
                <w:szCs w:val="22"/>
              </w:rPr>
              <w:t xml:space="preserve"> policy is that all </w:t>
            </w:r>
            <w:r w:rsidR="006F6166">
              <w:rPr>
                <w:rFonts w:cs="Arial"/>
                <w:szCs w:val="22"/>
              </w:rPr>
              <w:t>unapproved prescription medicines</w:t>
            </w:r>
            <w:r w:rsidR="009063A9">
              <w:rPr>
                <w:rFonts w:cs="Arial"/>
                <w:szCs w:val="22"/>
              </w:rPr>
              <w:t xml:space="preserve"> would need to come through th</w:t>
            </w:r>
            <w:r w:rsidR="008B440C">
              <w:rPr>
                <w:rFonts w:cs="Arial"/>
                <w:szCs w:val="22"/>
              </w:rPr>
              <w:t>is channel</w:t>
            </w:r>
            <w:r w:rsidR="00B00277">
              <w:rPr>
                <w:rFonts w:cs="Arial"/>
                <w:szCs w:val="22"/>
              </w:rPr>
              <w:t xml:space="preserve"> (unless someone had a permit to personally import a medicine)</w:t>
            </w:r>
            <w:r w:rsidR="009063A9">
              <w:rPr>
                <w:rFonts w:cs="Arial"/>
                <w:szCs w:val="22"/>
              </w:rPr>
              <w:t xml:space="preserve">. Some of the medicines currently personally imported may come from questionable sources that regulated channels would not be willing to use. </w:t>
            </w:r>
          </w:p>
          <w:p w:rsidR="007E710A" w:rsidRDefault="007E710A" w:rsidP="00C91FED">
            <w:pPr>
              <w:spacing w:after="0" w:line="276" w:lineRule="auto"/>
              <w:jc w:val="both"/>
              <w:rPr>
                <w:rFonts w:cs="Arial"/>
                <w:szCs w:val="22"/>
              </w:rPr>
            </w:pPr>
          </w:p>
          <w:p w:rsidR="00AA00A6" w:rsidRPr="0069218C" w:rsidRDefault="007E710A" w:rsidP="00C24371">
            <w:pPr>
              <w:spacing w:after="0" w:line="276" w:lineRule="auto"/>
              <w:jc w:val="both"/>
              <w:rPr>
                <w:rFonts w:cs="Arial"/>
                <w:szCs w:val="22"/>
              </w:rPr>
            </w:pPr>
            <w:r>
              <w:rPr>
                <w:rFonts w:cs="Arial"/>
                <w:szCs w:val="22"/>
              </w:rPr>
              <w:lastRenderedPageBreak/>
              <w:t xml:space="preserve">The requirement for a sourcing exercise (rather than someone ordering the medicine themselves) could delay </w:t>
            </w:r>
            <w:r w:rsidR="00440035">
              <w:rPr>
                <w:rFonts w:cs="Arial"/>
                <w:szCs w:val="22"/>
              </w:rPr>
              <w:t>access to</w:t>
            </w:r>
            <w:r>
              <w:rPr>
                <w:rFonts w:cs="Arial"/>
                <w:szCs w:val="22"/>
              </w:rPr>
              <w:t xml:space="preserve"> </w:t>
            </w:r>
            <w:r w:rsidR="006833A8">
              <w:rPr>
                <w:rFonts w:cs="Arial"/>
                <w:szCs w:val="22"/>
              </w:rPr>
              <w:t xml:space="preserve">the </w:t>
            </w:r>
            <w:r>
              <w:rPr>
                <w:rFonts w:cs="Arial"/>
                <w:szCs w:val="22"/>
              </w:rPr>
              <w:t>medicine</w:t>
            </w:r>
            <w:r w:rsidR="00440035">
              <w:rPr>
                <w:rFonts w:cs="Arial"/>
                <w:szCs w:val="22"/>
              </w:rPr>
              <w:t xml:space="preserve"> in these situations</w:t>
            </w:r>
            <w:r>
              <w:rPr>
                <w:rFonts w:cs="Arial"/>
                <w:szCs w:val="22"/>
              </w:rPr>
              <w:t>.</w:t>
            </w:r>
            <w:r w:rsidR="00D93E79">
              <w:rPr>
                <w:rFonts w:cs="Arial"/>
                <w:szCs w:val="22"/>
              </w:rPr>
              <w:t xml:space="preserve"> F</w:t>
            </w:r>
            <w:r w:rsidR="00AA00A6">
              <w:rPr>
                <w:szCs w:val="22"/>
              </w:rPr>
              <w:t>or some unapproved medicines, it may be necessary for the wholesaler to maintain a small stockpile of the product so it was availabl</w:t>
            </w:r>
            <w:r w:rsidR="00C24371">
              <w:rPr>
                <w:szCs w:val="22"/>
              </w:rPr>
              <w:t>e for immediate release once a special clinical needs supply authority</w:t>
            </w:r>
            <w:r w:rsidR="00AA00A6">
              <w:rPr>
                <w:szCs w:val="22"/>
              </w:rPr>
              <w:t xml:space="preserve"> had been issued. If so, the</w:t>
            </w:r>
            <w:r w:rsidR="00D93E79">
              <w:rPr>
                <w:szCs w:val="22"/>
              </w:rPr>
              <w:t>ir</w:t>
            </w:r>
            <w:r w:rsidR="00AA00A6">
              <w:rPr>
                <w:szCs w:val="22"/>
              </w:rPr>
              <w:t xml:space="preserve"> </w:t>
            </w:r>
            <w:r w:rsidR="008F02CE">
              <w:rPr>
                <w:szCs w:val="22"/>
              </w:rPr>
              <w:t xml:space="preserve">wholesale </w:t>
            </w:r>
            <w:r w:rsidR="00AA00A6">
              <w:rPr>
                <w:szCs w:val="22"/>
              </w:rPr>
              <w:t xml:space="preserve">licence would authorise such stockpiling. This might be used, for example, for medicines that must be available urgently.  </w:t>
            </w:r>
          </w:p>
        </w:tc>
      </w:tr>
    </w:tbl>
    <w:p w:rsidR="00B15F56" w:rsidRPr="00886DFF" w:rsidRDefault="00B15F56" w:rsidP="00B15F56">
      <w:pPr>
        <w:spacing w:after="0"/>
        <w:rPr>
          <w:rFonts w:cs="Arial"/>
          <w:i/>
          <w:color w:val="000000"/>
          <w:szCs w:val="22"/>
          <w:lang w:eastAsia="en-AU"/>
        </w:rPr>
      </w:pPr>
    </w:p>
    <w:p w:rsidR="00051A88" w:rsidRDefault="00051A88" w:rsidP="00293FDC">
      <w:pPr>
        <w:pStyle w:val="Heading2"/>
      </w:pPr>
      <w:r w:rsidRPr="002D5734">
        <w:t xml:space="preserve">Section </w:t>
      </w:r>
      <w:r w:rsidR="00C77099">
        <w:t>5</w:t>
      </w:r>
      <w:r w:rsidRPr="002D5734">
        <w:t xml:space="preserve">:  Stakeholder views </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9060"/>
      </w:tblGrid>
      <w:tr w:rsidR="00051A88" w:rsidRPr="0069218C" w:rsidTr="00800DEC">
        <w:trPr>
          <w:trHeight w:val="77"/>
        </w:trPr>
        <w:tc>
          <w:tcPr>
            <w:tcW w:w="5000" w:type="pct"/>
            <w:tcBorders>
              <w:top w:val="single" w:sz="4" w:space="0" w:color="auto"/>
              <w:left w:val="single" w:sz="4" w:space="0" w:color="auto"/>
              <w:bottom w:val="single" w:sz="4" w:space="0" w:color="auto"/>
              <w:right w:val="single" w:sz="4" w:space="0" w:color="auto"/>
            </w:tcBorders>
            <w:shd w:val="clear" w:color="auto" w:fill="99CDDD"/>
          </w:tcPr>
          <w:p w:rsidR="00051A88" w:rsidRPr="00886DFF" w:rsidRDefault="00D9793F" w:rsidP="00EC6FAD">
            <w:pPr>
              <w:pStyle w:val="TableHeadings"/>
              <w:rPr>
                <w:szCs w:val="22"/>
              </w:rPr>
            </w:pPr>
            <w:r w:rsidRPr="00886DFF">
              <w:rPr>
                <w:szCs w:val="22"/>
              </w:rPr>
              <w:t>5</w:t>
            </w:r>
            <w:r w:rsidR="00051A88" w:rsidRPr="00886DFF">
              <w:rPr>
                <w:szCs w:val="22"/>
              </w:rPr>
              <w:t xml:space="preserve">.1   What do stakeholders think about the problem and the proposed solution? </w:t>
            </w:r>
          </w:p>
        </w:tc>
      </w:tr>
      <w:tr w:rsidR="00F132B2" w:rsidRPr="0069218C" w:rsidTr="0099006D">
        <w:trPr>
          <w:trHeight w:val="122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87189" w:rsidRDefault="00A87189" w:rsidP="00A87189">
            <w:pPr>
              <w:spacing w:after="0" w:line="276" w:lineRule="auto"/>
              <w:jc w:val="both"/>
              <w:rPr>
                <w:rFonts w:cs="Arial"/>
                <w:szCs w:val="22"/>
              </w:rPr>
            </w:pPr>
            <w:r>
              <w:rPr>
                <w:rFonts w:cs="Arial"/>
                <w:szCs w:val="22"/>
              </w:rPr>
              <w:t>This issue has arisen during the draft</w:t>
            </w:r>
            <w:r w:rsidR="006833A8">
              <w:rPr>
                <w:rFonts w:cs="Arial"/>
                <w:szCs w:val="22"/>
              </w:rPr>
              <w:t>ing</w:t>
            </w:r>
            <w:r>
              <w:rPr>
                <w:rFonts w:cs="Arial"/>
                <w:szCs w:val="22"/>
              </w:rPr>
              <w:t xml:space="preserve"> of the Bill and has not been consulted on. </w:t>
            </w:r>
          </w:p>
          <w:p w:rsidR="00A87189" w:rsidRDefault="00A87189" w:rsidP="00A87189">
            <w:pPr>
              <w:spacing w:after="0" w:line="276" w:lineRule="auto"/>
              <w:jc w:val="both"/>
              <w:rPr>
                <w:rFonts w:cs="Arial"/>
                <w:szCs w:val="22"/>
              </w:rPr>
            </w:pPr>
          </w:p>
          <w:p w:rsidR="00D61B39" w:rsidRPr="0069218C" w:rsidRDefault="00A87189" w:rsidP="009B106E">
            <w:pPr>
              <w:spacing w:after="0" w:line="276" w:lineRule="auto"/>
              <w:jc w:val="both"/>
              <w:rPr>
                <w:rFonts w:cs="Arial"/>
                <w:szCs w:val="22"/>
              </w:rPr>
            </w:pPr>
            <w:r>
              <w:rPr>
                <w:rFonts w:cs="Arial"/>
                <w:szCs w:val="22"/>
              </w:rPr>
              <w:t>The Cabinet paper is seeking approval to include the proposed approach in the draft Bill that will be released for public consultation and seek feedback as part of that consultation.</w:t>
            </w:r>
          </w:p>
        </w:tc>
      </w:tr>
    </w:tbl>
    <w:p w:rsidR="009905EA" w:rsidRDefault="009905EA" w:rsidP="00293FDC">
      <w:pPr>
        <w:pStyle w:val="Heading2"/>
        <w:rPr>
          <w:lang w:val="en-NZ"/>
        </w:rPr>
      </w:pPr>
    </w:p>
    <w:p w:rsidR="00EE4E3B" w:rsidRPr="008A6442" w:rsidRDefault="00EE4E3B" w:rsidP="00293FDC">
      <w:pPr>
        <w:pStyle w:val="Heading2"/>
      </w:pPr>
      <w:r w:rsidRPr="002D5734">
        <w:t xml:space="preserve">Section </w:t>
      </w:r>
      <w:r w:rsidR="0033708B" w:rsidRPr="002D5734">
        <w:t>6</w:t>
      </w:r>
      <w:r w:rsidRPr="002D5734">
        <w:t xml:space="preserve">:  </w:t>
      </w:r>
      <w:r w:rsidR="0033708B" w:rsidRPr="002D5734">
        <w:t>Implementation and o</w:t>
      </w:r>
      <w:r w:rsidR="005D5BF0" w:rsidRPr="002D5734">
        <w:t xml:space="preserve">peration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72"/>
      </w:tblGrid>
      <w:tr w:rsidR="002D5734" w:rsidRPr="0069218C" w:rsidTr="00800DEC">
        <w:trPr>
          <w:trHeight w:val="197"/>
        </w:trPr>
        <w:tc>
          <w:tcPr>
            <w:tcW w:w="9072" w:type="dxa"/>
            <w:shd w:val="clear" w:color="auto" w:fill="99CDDD"/>
            <w:hideMark/>
          </w:tcPr>
          <w:p w:rsidR="00EE4E3B" w:rsidRPr="00886DFF" w:rsidRDefault="00EE4E3B" w:rsidP="00B952B7">
            <w:pPr>
              <w:pStyle w:val="TableHeadings"/>
              <w:rPr>
                <w:szCs w:val="22"/>
                <w:lang w:eastAsia="en-AU"/>
              </w:rPr>
            </w:pPr>
            <w:r w:rsidRPr="00886DFF">
              <w:rPr>
                <w:szCs w:val="22"/>
                <w:lang w:eastAsia="en-AU"/>
              </w:rPr>
              <w:br w:type="page"/>
            </w:r>
            <w:r w:rsidR="0033708B" w:rsidRPr="00886DFF">
              <w:rPr>
                <w:szCs w:val="22"/>
                <w:lang w:eastAsia="en-AU"/>
              </w:rPr>
              <w:t>6</w:t>
            </w:r>
            <w:r w:rsidR="002A56F0" w:rsidRPr="00886DFF">
              <w:rPr>
                <w:szCs w:val="22"/>
                <w:lang w:eastAsia="en-AU"/>
              </w:rPr>
              <w:t xml:space="preserve">.1   </w:t>
            </w:r>
            <w:r w:rsidRPr="00886DFF">
              <w:rPr>
                <w:szCs w:val="22"/>
                <w:lang w:eastAsia="en-AU"/>
              </w:rPr>
              <w:t xml:space="preserve">How will the new arrangements </w:t>
            </w:r>
            <w:r w:rsidR="00217894" w:rsidRPr="00886DFF">
              <w:rPr>
                <w:szCs w:val="22"/>
                <w:lang w:eastAsia="en-AU"/>
              </w:rPr>
              <w:t>be given effect</w:t>
            </w:r>
            <w:r w:rsidRPr="00886DFF">
              <w:rPr>
                <w:szCs w:val="22"/>
                <w:lang w:eastAsia="en-AU"/>
              </w:rPr>
              <w:t>?</w:t>
            </w:r>
          </w:p>
        </w:tc>
      </w:tr>
      <w:tr w:rsidR="00F132B2" w:rsidRPr="0069218C" w:rsidTr="0099006D">
        <w:trPr>
          <w:trHeight w:val="1891"/>
        </w:trPr>
        <w:tc>
          <w:tcPr>
            <w:tcW w:w="9072" w:type="dxa"/>
            <w:shd w:val="clear" w:color="auto" w:fill="auto"/>
          </w:tcPr>
          <w:p w:rsidR="000F7EBF" w:rsidRDefault="008A5C76" w:rsidP="002556C7">
            <w:pPr>
              <w:spacing w:after="0" w:line="276" w:lineRule="auto"/>
              <w:jc w:val="both"/>
              <w:rPr>
                <w:rFonts w:cs="Arial"/>
                <w:szCs w:val="22"/>
              </w:rPr>
            </w:pPr>
            <w:r>
              <w:rPr>
                <w:rFonts w:cs="Arial"/>
                <w:szCs w:val="22"/>
              </w:rPr>
              <w:t xml:space="preserve">The proposed approach would be included in the draft Therapeutic Products Bill. </w:t>
            </w:r>
          </w:p>
          <w:p w:rsidR="000F7EBF" w:rsidRDefault="000F7EBF" w:rsidP="002556C7">
            <w:pPr>
              <w:spacing w:after="0" w:line="276" w:lineRule="auto"/>
              <w:jc w:val="both"/>
              <w:rPr>
                <w:rFonts w:cs="Arial"/>
                <w:szCs w:val="22"/>
              </w:rPr>
            </w:pPr>
          </w:p>
          <w:p w:rsidR="000F7EBF" w:rsidRPr="0099006D" w:rsidRDefault="008A5C76" w:rsidP="000F7EBF">
            <w:pPr>
              <w:spacing w:after="0" w:line="276" w:lineRule="auto"/>
              <w:jc w:val="both"/>
            </w:pPr>
            <w:r>
              <w:rPr>
                <w:rFonts w:cs="Arial"/>
                <w:szCs w:val="22"/>
              </w:rPr>
              <w:t>The Therapeutic Products Regulator would be responsible for the enforcement of these restrictions. The current regulator (</w:t>
            </w:r>
            <w:proofErr w:type="spellStart"/>
            <w:r>
              <w:rPr>
                <w:rFonts w:cs="Arial"/>
                <w:szCs w:val="22"/>
              </w:rPr>
              <w:t>Medsafe</w:t>
            </w:r>
            <w:proofErr w:type="spellEnd"/>
            <w:r>
              <w:rPr>
                <w:rFonts w:cs="Arial"/>
                <w:szCs w:val="22"/>
              </w:rPr>
              <w:t>) already has a</w:t>
            </w:r>
            <w:r w:rsidR="002556C7">
              <w:rPr>
                <w:rFonts w:cs="Arial"/>
                <w:szCs w:val="22"/>
              </w:rPr>
              <w:t>n</w:t>
            </w:r>
            <w:r>
              <w:rPr>
                <w:rFonts w:cs="Arial"/>
                <w:szCs w:val="22"/>
              </w:rPr>
              <w:t xml:space="preserve"> </w:t>
            </w:r>
            <w:r w:rsidR="002556C7">
              <w:t>Investigation and Enforcement team that operates a border program alongside the New Zealand Customs Services. This would continue under the Therapeutic Products Regulatory Scheme.</w:t>
            </w:r>
            <w:r w:rsidR="000F7EBF">
              <w:t xml:space="preserve"> </w:t>
            </w:r>
          </w:p>
        </w:tc>
      </w:tr>
    </w:tbl>
    <w:p w:rsidR="0059294D" w:rsidRDefault="0059294D" w:rsidP="00293FDC">
      <w:pPr>
        <w:pStyle w:val="Heading2"/>
      </w:pPr>
    </w:p>
    <w:p w:rsidR="00F132B2" w:rsidRPr="008A6442" w:rsidRDefault="00F132B2" w:rsidP="00293FDC">
      <w:pPr>
        <w:pStyle w:val="Heading2"/>
      </w:pPr>
      <w:r w:rsidRPr="00B952B7">
        <w:t xml:space="preserve">Section 7:  Monitoring, </w:t>
      </w:r>
      <w:r w:rsidRPr="00030EC1">
        <w:t>evalu</w:t>
      </w:r>
      <w:r w:rsidRPr="00B952B7">
        <w:t>ation and review</w:t>
      </w:r>
    </w:p>
    <w:tbl>
      <w:tblPr>
        <w:tblW w:w="9072" w:type="dxa"/>
        <w:tblInd w:w="-5" w:type="dxa"/>
        <w:tblLook w:val="0480" w:firstRow="0" w:lastRow="0" w:firstColumn="1" w:lastColumn="0" w:noHBand="0" w:noVBand="1"/>
      </w:tblPr>
      <w:tblGrid>
        <w:gridCol w:w="9072"/>
      </w:tblGrid>
      <w:tr w:rsidR="00F132B2" w:rsidRPr="0069218C" w:rsidTr="00800DEC">
        <w:trPr>
          <w:trHeight w:val="77"/>
        </w:trPr>
        <w:tc>
          <w:tcPr>
            <w:tcW w:w="9072" w:type="dxa"/>
            <w:tcBorders>
              <w:top w:val="single" w:sz="4" w:space="0" w:color="auto"/>
              <w:left w:val="single" w:sz="4" w:space="0" w:color="auto"/>
              <w:bottom w:val="single" w:sz="4" w:space="0" w:color="auto"/>
              <w:right w:val="single" w:sz="4" w:space="0" w:color="auto"/>
            </w:tcBorders>
            <w:shd w:val="clear" w:color="auto" w:fill="99CDDD"/>
          </w:tcPr>
          <w:p w:rsidR="00F132B2" w:rsidRPr="00886DFF" w:rsidRDefault="00F132B2" w:rsidP="00B952B7">
            <w:pPr>
              <w:pStyle w:val="TableHeadings"/>
              <w:rPr>
                <w:szCs w:val="22"/>
                <w:lang w:eastAsia="en-AU"/>
              </w:rPr>
            </w:pPr>
            <w:r w:rsidRPr="00886DFF">
              <w:rPr>
                <w:szCs w:val="22"/>
                <w:lang w:eastAsia="en-AU"/>
              </w:rPr>
              <w:br w:type="page"/>
              <w:t>7.1   How will the impact of the new arrangements be monitored?</w:t>
            </w:r>
          </w:p>
        </w:tc>
      </w:tr>
      <w:tr w:rsidR="00F132B2" w:rsidRPr="0069218C" w:rsidTr="0099006D">
        <w:trPr>
          <w:trHeight w:val="1634"/>
        </w:trPr>
        <w:tc>
          <w:tcPr>
            <w:tcW w:w="9072" w:type="dxa"/>
            <w:tcBorders>
              <w:top w:val="single" w:sz="4" w:space="0" w:color="auto"/>
              <w:left w:val="single" w:sz="4" w:space="0" w:color="auto"/>
              <w:bottom w:val="single" w:sz="4" w:space="0" w:color="auto"/>
              <w:right w:val="single" w:sz="4" w:space="0" w:color="auto"/>
            </w:tcBorders>
            <w:shd w:val="clear" w:color="auto" w:fill="auto"/>
          </w:tcPr>
          <w:p w:rsidR="00F132B2" w:rsidRPr="0069218C" w:rsidRDefault="005C7A8B" w:rsidP="00EC0CCD">
            <w:pPr>
              <w:spacing w:after="0" w:line="276" w:lineRule="auto"/>
              <w:jc w:val="both"/>
              <w:rPr>
                <w:rFonts w:cs="Arial"/>
                <w:szCs w:val="22"/>
              </w:rPr>
            </w:pPr>
            <w:r>
              <w:rPr>
                <w:rFonts w:cs="Arial"/>
                <w:szCs w:val="22"/>
              </w:rPr>
              <w:t>The regulator</w:t>
            </w:r>
            <w:r w:rsidR="00C91FED">
              <w:rPr>
                <w:rFonts w:cs="Arial"/>
                <w:szCs w:val="22"/>
              </w:rPr>
              <w:t xml:space="preserve"> of the Therapeutic Products Regulatory Scheme would be responsible for ensuring compliance with the personal import requirements. </w:t>
            </w:r>
            <w:r w:rsidR="00EC0CCD">
              <w:rPr>
                <w:rFonts w:cs="Arial"/>
                <w:szCs w:val="22"/>
              </w:rPr>
              <w:t xml:space="preserve">There would continue to be an </w:t>
            </w:r>
            <w:r w:rsidR="00EC0CCD">
              <w:t>Investigation and Enforcement team operating a border program alongside the New Zealand Customs Services. This team would continue to collect data on the amount of prescription medicines intercepted at the border and the amount released or destroyed.</w:t>
            </w:r>
          </w:p>
        </w:tc>
      </w:tr>
    </w:tbl>
    <w:p w:rsidR="00F132B2" w:rsidRPr="00567434" w:rsidRDefault="00F132B2" w:rsidP="00567434">
      <w:pPr>
        <w:pStyle w:val="space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72"/>
      </w:tblGrid>
      <w:tr w:rsidR="00F132B2" w:rsidRPr="0069218C" w:rsidTr="00800DEC">
        <w:trPr>
          <w:trHeight w:val="77"/>
        </w:trPr>
        <w:tc>
          <w:tcPr>
            <w:tcW w:w="9072" w:type="dxa"/>
            <w:shd w:val="clear" w:color="auto" w:fill="99CDDD"/>
          </w:tcPr>
          <w:p w:rsidR="00F132B2" w:rsidRPr="00886DFF" w:rsidRDefault="00F132B2" w:rsidP="00EC3D8D">
            <w:pPr>
              <w:pStyle w:val="TableHeadings"/>
              <w:keepNext/>
              <w:rPr>
                <w:szCs w:val="22"/>
                <w:lang w:eastAsia="en-AU"/>
              </w:rPr>
            </w:pPr>
            <w:r w:rsidRPr="00886DFF">
              <w:rPr>
                <w:szCs w:val="22"/>
                <w:lang w:eastAsia="en-AU"/>
              </w:rPr>
              <w:br w:type="page"/>
              <w:t xml:space="preserve">7.2   When and how will the new arrangements be reviewed? </w:t>
            </w:r>
          </w:p>
        </w:tc>
      </w:tr>
      <w:tr w:rsidR="00F132B2" w:rsidRPr="0069218C" w:rsidTr="0099006D">
        <w:trPr>
          <w:trHeight w:val="658"/>
        </w:trPr>
        <w:tc>
          <w:tcPr>
            <w:tcW w:w="9072" w:type="dxa"/>
            <w:shd w:val="clear" w:color="auto" w:fill="auto"/>
          </w:tcPr>
          <w:p w:rsidR="00F132B2" w:rsidRPr="0069218C" w:rsidRDefault="00C91FED" w:rsidP="0069218C">
            <w:pPr>
              <w:spacing w:after="0" w:line="276" w:lineRule="auto"/>
              <w:jc w:val="both"/>
              <w:rPr>
                <w:rFonts w:cs="Arial"/>
                <w:szCs w:val="22"/>
              </w:rPr>
            </w:pPr>
            <w:r>
              <w:rPr>
                <w:rFonts w:cs="Arial"/>
                <w:szCs w:val="22"/>
              </w:rPr>
              <w:t>The draft Therapeutic Products Bill contains a provision requiring it to be reviewed five years after commenceme</w:t>
            </w:r>
            <w:r w:rsidR="00D93E79">
              <w:rPr>
                <w:rFonts w:cs="Arial"/>
                <w:szCs w:val="22"/>
              </w:rPr>
              <w:t>nt and then every five years after</w:t>
            </w:r>
            <w:r>
              <w:rPr>
                <w:rFonts w:cs="Arial"/>
                <w:szCs w:val="22"/>
              </w:rPr>
              <w:t xml:space="preserve"> that.</w:t>
            </w:r>
          </w:p>
        </w:tc>
      </w:tr>
    </w:tbl>
    <w:p w:rsidR="00C2708A" w:rsidRPr="00B47208" w:rsidRDefault="00C2708A" w:rsidP="00B47208">
      <w:pPr>
        <w:pStyle w:val="spacer"/>
      </w:pPr>
    </w:p>
    <w:sectPr w:rsidR="00C2708A" w:rsidRPr="00B47208" w:rsidSect="00B952B7">
      <w:headerReference w:type="default" r:id="rId8"/>
      <w:footerReference w:type="default" r:id="rId9"/>
      <w:pgSz w:w="11906" w:h="16838"/>
      <w:pgMar w:top="1134"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A73" w:rsidRDefault="00D21A73">
      <w:pPr>
        <w:spacing w:after="0" w:line="240" w:lineRule="auto"/>
      </w:pPr>
      <w:r>
        <w:separator/>
      </w:r>
    </w:p>
  </w:endnote>
  <w:endnote w:type="continuationSeparator" w:id="0">
    <w:p w:rsidR="00D21A73" w:rsidRDefault="00D2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2CE" w:rsidRDefault="008F02CE" w:rsidP="00957BC2">
    <w:pPr>
      <w:pStyle w:val="Footer"/>
      <w:rPr>
        <w:sz w:val="14"/>
      </w:rPr>
    </w:pPr>
    <w:bookmarkStart w:id="6" w:name="TsyIMFooter"/>
    <w:r w:rsidRPr="00DA06D7">
      <w:rPr>
        <w:sz w:val="14"/>
      </w:rPr>
      <w:t xml:space="preserve">Treasury:3720848v3 </w:t>
    </w:r>
    <w:bookmarkEnd w:id="6"/>
  </w:p>
  <w:p w:rsidR="008F02CE" w:rsidRPr="00957BC2" w:rsidRDefault="008F02CE" w:rsidP="00957BC2">
    <w:pPr>
      <w:pStyle w:val="Footer"/>
    </w:pPr>
    <w:r w:rsidRPr="00957BC2">
      <w:t xml:space="preserve">  Impact Summary</w:t>
    </w:r>
    <w:r>
      <w:t xml:space="preserve"> Template</w:t>
    </w:r>
    <w:r w:rsidRPr="00957BC2">
      <w:t xml:space="preserve">   |   </w:t>
    </w:r>
    <w:r w:rsidRPr="00957BC2">
      <w:fldChar w:fldCharType="begin"/>
    </w:r>
    <w:r w:rsidRPr="00957BC2">
      <w:instrText xml:space="preserve"> PAGE </w:instrText>
    </w:r>
    <w:r w:rsidRPr="00957BC2">
      <w:fldChar w:fldCharType="separate"/>
    </w:r>
    <w:r w:rsidR="00453C5C">
      <w:t>2</w:t>
    </w:r>
    <w:r w:rsidRPr="00957BC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A73" w:rsidRDefault="00D21A73">
      <w:pPr>
        <w:spacing w:after="0" w:line="240" w:lineRule="auto"/>
      </w:pPr>
      <w:r>
        <w:separator/>
      </w:r>
    </w:p>
  </w:footnote>
  <w:footnote w:type="continuationSeparator" w:id="0">
    <w:p w:rsidR="00D21A73" w:rsidRDefault="00D21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2CE" w:rsidRPr="00EB1B21" w:rsidRDefault="008F02CE" w:rsidP="00784C66">
    <w:pPr>
      <w:tabs>
        <w:tab w:val="center" w:pos="4253"/>
      </w:tabs>
      <w:rPr>
        <w:b/>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4CF5"/>
    <w:multiLevelType w:val="hybridMultilevel"/>
    <w:tmpl w:val="0E46E4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003E76"/>
    <w:multiLevelType w:val="hybridMultilevel"/>
    <w:tmpl w:val="DC3686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0AC5326"/>
    <w:multiLevelType w:val="hybridMultilevel"/>
    <w:tmpl w:val="1E6ED67E"/>
    <w:lvl w:ilvl="0" w:tplc="42366444">
      <w:start w:val="1"/>
      <w:numFmt w:val="decimal"/>
      <w:lvlText w:val="%1)"/>
      <w:lvlJc w:val="left"/>
      <w:pPr>
        <w:ind w:left="360" w:hanging="360"/>
      </w:pPr>
      <w:rPr>
        <w:rFonts w:ascii="Arial" w:eastAsia="Times New Roman" w:hAnsi="Arial" w:cs="Arial"/>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0F3725B"/>
    <w:multiLevelType w:val="hybridMultilevel"/>
    <w:tmpl w:val="DDFCB290"/>
    <w:lvl w:ilvl="0" w:tplc="9C40C5F4">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1547D14"/>
    <w:multiLevelType w:val="hybridMultilevel"/>
    <w:tmpl w:val="7AC2E76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 w15:restartNumberingAfterBreak="0">
    <w:nsid w:val="13AC65AC"/>
    <w:multiLevelType w:val="multilevel"/>
    <w:tmpl w:val="70C24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C192D"/>
    <w:multiLevelType w:val="hybridMultilevel"/>
    <w:tmpl w:val="2062B30A"/>
    <w:lvl w:ilvl="0" w:tplc="14090009">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2AB3A99"/>
    <w:multiLevelType w:val="multilevel"/>
    <w:tmpl w:val="6C8A7E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4FB71AB"/>
    <w:multiLevelType w:val="hybridMultilevel"/>
    <w:tmpl w:val="020833AC"/>
    <w:lvl w:ilvl="0" w:tplc="14090003">
      <w:start w:val="1"/>
      <w:numFmt w:val="bullet"/>
      <w:lvlText w:val="o"/>
      <w:lvlJc w:val="left"/>
      <w:pPr>
        <w:ind w:left="1500" w:hanging="360"/>
      </w:pPr>
      <w:rPr>
        <w:rFonts w:ascii="Courier New" w:hAnsi="Courier New" w:cs="Courier New"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9" w15:restartNumberingAfterBreak="0">
    <w:nsid w:val="25684844"/>
    <w:multiLevelType w:val="multilevel"/>
    <w:tmpl w:val="4F90C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922E4"/>
    <w:multiLevelType w:val="hybridMultilevel"/>
    <w:tmpl w:val="C526F7AE"/>
    <w:lvl w:ilvl="0" w:tplc="14090009">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0EB632A"/>
    <w:multiLevelType w:val="hybridMultilevel"/>
    <w:tmpl w:val="A3686F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3DF230B"/>
    <w:multiLevelType w:val="hybridMultilevel"/>
    <w:tmpl w:val="466C1FA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62C03D9"/>
    <w:multiLevelType w:val="hybridMultilevel"/>
    <w:tmpl w:val="2B803CF6"/>
    <w:lvl w:ilvl="0" w:tplc="D12C0AF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38DE5A8D"/>
    <w:multiLevelType w:val="hybridMultilevel"/>
    <w:tmpl w:val="93802A1A"/>
    <w:lvl w:ilvl="0" w:tplc="8E3E8056">
      <w:start w:val="1"/>
      <w:numFmt w:val="bullet"/>
      <w:pStyle w:val="Bullet-list"/>
      <w:lvlText w:val=""/>
      <w:lvlJc w:val="left"/>
      <w:pPr>
        <w:ind w:left="360" w:hanging="360"/>
      </w:pPr>
      <w:rPr>
        <w:rFonts w:ascii="Symbol" w:hAnsi="Symbol" w:hint="default"/>
      </w:rPr>
    </w:lvl>
    <w:lvl w:ilvl="1" w:tplc="1409000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9DA29B4"/>
    <w:multiLevelType w:val="hybridMultilevel"/>
    <w:tmpl w:val="14F0B1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79264C6"/>
    <w:multiLevelType w:val="hybridMultilevel"/>
    <w:tmpl w:val="FC3E820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4670BC"/>
    <w:multiLevelType w:val="hybridMultilevel"/>
    <w:tmpl w:val="38E073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493D677C"/>
    <w:multiLevelType w:val="multilevel"/>
    <w:tmpl w:val="EB76AB1A"/>
    <w:lvl w:ilvl="0">
      <w:start w:val="1"/>
      <w:numFmt w:val="bullet"/>
      <w:lvlText w:val=""/>
      <w:lvlJc w:val="left"/>
      <w:pPr>
        <w:tabs>
          <w:tab w:val="num" w:pos="720"/>
        </w:tabs>
        <w:ind w:left="720" w:hanging="360"/>
      </w:pPr>
      <w:rPr>
        <w:rFonts w:ascii="Symbol" w:hAnsi="Symbol" w:hint="default"/>
        <w:sz w:val="20"/>
      </w:rPr>
    </w:lvl>
    <w:lvl w:ilvl="1">
      <w:start w:val="1"/>
      <w:numFmt w:val="bullet"/>
      <w:pStyle w:val="Bulletlistlevel2"/>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017FC"/>
    <w:multiLevelType w:val="hybridMultilevel"/>
    <w:tmpl w:val="85D84D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B26367A"/>
    <w:multiLevelType w:val="hybridMultilevel"/>
    <w:tmpl w:val="54B634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CA63506"/>
    <w:multiLevelType w:val="multilevel"/>
    <w:tmpl w:val="BEE28C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0CD02AE"/>
    <w:multiLevelType w:val="hybridMultilevel"/>
    <w:tmpl w:val="11568D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295F22"/>
    <w:multiLevelType w:val="hybridMultilevel"/>
    <w:tmpl w:val="E610A99C"/>
    <w:lvl w:ilvl="0" w:tplc="14090003">
      <w:start w:val="1"/>
      <w:numFmt w:val="bullet"/>
      <w:lvlText w:val="o"/>
      <w:lvlJc w:val="left"/>
      <w:pPr>
        <w:ind w:left="1500" w:hanging="360"/>
      </w:pPr>
      <w:rPr>
        <w:rFonts w:ascii="Courier New" w:hAnsi="Courier New" w:cs="Courier New"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24" w15:restartNumberingAfterBreak="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8B54D4"/>
    <w:multiLevelType w:val="multilevel"/>
    <w:tmpl w:val="186C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6E6A59"/>
    <w:multiLevelType w:val="hybridMultilevel"/>
    <w:tmpl w:val="711A8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F24D7B"/>
    <w:multiLevelType w:val="multilevel"/>
    <w:tmpl w:val="A62670DA"/>
    <w:lvl w:ilvl="0">
      <w:start w:val="1"/>
      <w:numFmt w:val="decimal"/>
      <w:pStyle w:val="BodyText"/>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BodyTex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717CA6"/>
    <w:multiLevelType w:val="hybridMultilevel"/>
    <w:tmpl w:val="A240DEF8"/>
    <w:lvl w:ilvl="0" w:tplc="14090009">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6517777"/>
    <w:multiLevelType w:val="hybridMultilevel"/>
    <w:tmpl w:val="D5189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A373D6"/>
    <w:multiLevelType w:val="hybridMultilevel"/>
    <w:tmpl w:val="79982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92E48CD"/>
    <w:multiLevelType w:val="hybridMultilevel"/>
    <w:tmpl w:val="6524AA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A6E501E"/>
    <w:multiLevelType w:val="hybridMultilevel"/>
    <w:tmpl w:val="89DA14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2F9179D"/>
    <w:multiLevelType w:val="hybridMultilevel"/>
    <w:tmpl w:val="0E5067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78CA3C48"/>
    <w:multiLevelType w:val="hybridMultilevel"/>
    <w:tmpl w:val="9E9EA5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32"/>
  </w:num>
  <w:num w:numId="4">
    <w:abstractNumId w:val="11"/>
  </w:num>
  <w:num w:numId="5">
    <w:abstractNumId w:val="33"/>
  </w:num>
  <w:num w:numId="6">
    <w:abstractNumId w:val="28"/>
  </w:num>
  <w:num w:numId="7">
    <w:abstractNumId w:val="10"/>
  </w:num>
  <w:num w:numId="8">
    <w:abstractNumId w:val="14"/>
  </w:num>
  <w:num w:numId="9">
    <w:abstractNumId w:val="7"/>
  </w:num>
  <w:num w:numId="10">
    <w:abstractNumId w:val="21"/>
  </w:num>
  <w:num w:numId="11">
    <w:abstractNumId w:val="25"/>
  </w:num>
  <w:num w:numId="12">
    <w:abstractNumId w:val="5"/>
  </w:num>
  <w:num w:numId="13">
    <w:abstractNumId w:val="9"/>
  </w:num>
  <w:num w:numId="14">
    <w:abstractNumId w:val="15"/>
  </w:num>
  <w:num w:numId="15">
    <w:abstractNumId w:val="12"/>
  </w:num>
  <w:num w:numId="16">
    <w:abstractNumId w:val="6"/>
  </w:num>
  <w:num w:numId="17">
    <w:abstractNumId w:val="31"/>
  </w:num>
  <w:num w:numId="18">
    <w:abstractNumId w:val="4"/>
  </w:num>
  <w:num w:numId="19">
    <w:abstractNumId w:val="17"/>
  </w:num>
  <w:num w:numId="20">
    <w:abstractNumId w:val="30"/>
  </w:num>
  <w:num w:numId="21">
    <w:abstractNumId w:val="23"/>
  </w:num>
  <w:num w:numId="22">
    <w:abstractNumId w:val="8"/>
  </w:num>
  <w:num w:numId="23">
    <w:abstractNumId w:val="29"/>
  </w:num>
  <w:num w:numId="24">
    <w:abstractNumId w:val="26"/>
  </w:num>
  <w:num w:numId="25">
    <w:abstractNumId w:val="0"/>
  </w:num>
  <w:num w:numId="26">
    <w:abstractNumId w:val="18"/>
  </w:num>
  <w:num w:numId="27">
    <w:abstractNumId w:val="22"/>
  </w:num>
  <w:num w:numId="28">
    <w:abstractNumId w:val="2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6"/>
  </w:num>
  <w:num w:numId="36">
    <w:abstractNumId w:val="2"/>
  </w:num>
  <w:num w:numId="37">
    <w:abstractNumId w:val="27"/>
  </w:num>
  <w:num w:numId="38">
    <w:abstractNumId w:val="19"/>
  </w:num>
  <w:num w:numId="39">
    <w:abstractNumId w:val="13"/>
  </w:num>
  <w:num w:numId="40">
    <w:abstractNumId w:val="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A5"/>
    <w:rsid w:val="00000F4E"/>
    <w:rsid w:val="00020C3F"/>
    <w:rsid w:val="00030EC1"/>
    <w:rsid w:val="00033094"/>
    <w:rsid w:val="0003500F"/>
    <w:rsid w:val="000370AA"/>
    <w:rsid w:val="00042C5A"/>
    <w:rsid w:val="00047154"/>
    <w:rsid w:val="00051A88"/>
    <w:rsid w:val="0005281A"/>
    <w:rsid w:val="000535CE"/>
    <w:rsid w:val="00056353"/>
    <w:rsid w:val="00081FCD"/>
    <w:rsid w:val="0009009A"/>
    <w:rsid w:val="0009467F"/>
    <w:rsid w:val="000A3146"/>
    <w:rsid w:val="000C12DC"/>
    <w:rsid w:val="000C3197"/>
    <w:rsid w:val="000D5FD3"/>
    <w:rsid w:val="000E180F"/>
    <w:rsid w:val="000F4DCF"/>
    <w:rsid w:val="000F540B"/>
    <w:rsid w:val="000F7EBF"/>
    <w:rsid w:val="00100007"/>
    <w:rsid w:val="00105B0B"/>
    <w:rsid w:val="00137643"/>
    <w:rsid w:val="00144191"/>
    <w:rsid w:val="001624D2"/>
    <w:rsid w:val="00183458"/>
    <w:rsid w:val="00190453"/>
    <w:rsid w:val="00190CE2"/>
    <w:rsid w:val="00197680"/>
    <w:rsid w:val="001A3C86"/>
    <w:rsid w:val="001B3E1F"/>
    <w:rsid w:val="001C50A6"/>
    <w:rsid w:val="001D200F"/>
    <w:rsid w:val="001E0D43"/>
    <w:rsid w:val="001E2426"/>
    <w:rsid w:val="001E3CFE"/>
    <w:rsid w:val="0020586F"/>
    <w:rsid w:val="00207CEA"/>
    <w:rsid w:val="002106CB"/>
    <w:rsid w:val="00211A19"/>
    <w:rsid w:val="00216BB5"/>
    <w:rsid w:val="00217894"/>
    <w:rsid w:val="00223E66"/>
    <w:rsid w:val="00235505"/>
    <w:rsid w:val="0024289C"/>
    <w:rsid w:val="002446E8"/>
    <w:rsid w:val="00244D62"/>
    <w:rsid w:val="002468FF"/>
    <w:rsid w:val="002556C7"/>
    <w:rsid w:val="00265C96"/>
    <w:rsid w:val="00273A42"/>
    <w:rsid w:val="00275D0D"/>
    <w:rsid w:val="00284C3A"/>
    <w:rsid w:val="00293FDC"/>
    <w:rsid w:val="002A0096"/>
    <w:rsid w:val="002A28C1"/>
    <w:rsid w:val="002A56F0"/>
    <w:rsid w:val="002A6A33"/>
    <w:rsid w:val="002B166A"/>
    <w:rsid w:val="002D4435"/>
    <w:rsid w:val="002D54C0"/>
    <w:rsid w:val="002D5734"/>
    <w:rsid w:val="002D63C9"/>
    <w:rsid w:val="002E52C8"/>
    <w:rsid w:val="002F57C1"/>
    <w:rsid w:val="0030117A"/>
    <w:rsid w:val="00304CE4"/>
    <w:rsid w:val="00316701"/>
    <w:rsid w:val="00316F3B"/>
    <w:rsid w:val="0032262A"/>
    <w:rsid w:val="003228F4"/>
    <w:rsid w:val="00324230"/>
    <w:rsid w:val="00336018"/>
    <w:rsid w:val="0033708B"/>
    <w:rsid w:val="00347163"/>
    <w:rsid w:val="00354CC7"/>
    <w:rsid w:val="0036176B"/>
    <w:rsid w:val="003663CE"/>
    <w:rsid w:val="00370C1D"/>
    <w:rsid w:val="003730F0"/>
    <w:rsid w:val="00380585"/>
    <w:rsid w:val="00393B77"/>
    <w:rsid w:val="003A74AA"/>
    <w:rsid w:val="003B29A3"/>
    <w:rsid w:val="003C12FA"/>
    <w:rsid w:val="003D2B86"/>
    <w:rsid w:val="003F0DF3"/>
    <w:rsid w:val="00403FCA"/>
    <w:rsid w:val="00417FBA"/>
    <w:rsid w:val="00420625"/>
    <w:rsid w:val="00420937"/>
    <w:rsid w:val="004347CA"/>
    <w:rsid w:val="00440035"/>
    <w:rsid w:val="00441634"/>
    <w:rsid w:val="00441C7C"/>
    <w:rsid w:val="0044316E"/>
    <w:rsid w:val="00453C5C"/>
    <w:rsid w:val="00456ED6"/>
    <w:rsid w:val="00457821"/>
    <w:rsid w:val="00470D09"/>
    <w:rsid w:val="00472D95"/>
    <w:rsid w:val="00476A70"/>
    <w:rsid w:val="0048076D"/>
    <w:rsid w:val="004845B7"/>
    <w:rsid w:val="00491AD5"/>
    <w:rsid w:val="004933E0"/>
    <w:rsid w:val="004949B0"/>
    <w:rsid w:val="004976C6"/>
    <w:rsid w:val="004A192D"/>
    <w:rsid w:val="004B26AC"/>
    <w:rsid w:val="004E0BA0"/>
    <w:rsid w:val="0050137C"/>
    <w:rsid w:val="00513380"/>
    <w:rsid w:val="00521BDE"/>
    <w:rsid w:val="005277C5"/>
    <w:rsid w:val="0053213E"/>
    <w:rsid w:val="00540BFC"/>
    <w:rsid w:val="005429F8"/>
    <w:rsid w:val="00546F69"/>
    <w:rsid w:val="00551DC7"/>
    <w:rsid w:val="00562BE6"/>
    <w:rsid w:val="00564647"/>
    <w:rsid w:val="00567434"/>
    <w:rsid w:val="00580BDE"/>
    <w:rsid w:val="00585F37"/>
    <w:rsid w:val="005876C7"/>
    <w:rsid w:val="005876FF"/>
    <w:rsid w:val="0059294D"/>
    <w:rsid w:val="00593CCF"/>
    <w:rsid w:val="005A3981"/>
    <w:rsid w:val="005A5C1B"/>
    <w:rsid w:val="005A6713"/>
    <w:rsid w:val="005B5328"/>
    <w:rsid w:val="005C1851"/>
    <w:rsid w:val="005C35F6"/>
    <w:rsid w:val="005C7A8B"/>
    <w:rsid w:val="005D0F5F"/>
    <w:rsid w:val="005D5BF0"/>
    <w:rsid w:val="005F75F2"/>
    <w:rsid w:val="00604E17"/>
    <w:rsid w:val="00607636"/>
    <w:rsid w:val="00623677"/>
    <w:rsid w:val="00657C54"/>
    <w:rsid w:val="006629E5"/>
    <w:rsid w:val="00666F27"/>
    <w:rsid w:val="0067537D"/>
    <w:rsid w:val="00675F30"/>
    <w:rsid w:val="00676708"/>
    <w:rsid w:val="006833A8"/>
    <w:rsid w:val="00683C83"/>
    <w:rsid w:val="00686B28"/>
    <w:rsid w:val="00691CE1"/>
    <w:rsid w:val="0069218C"/>
    <w:rsid w:val="00695DAC"/>
    <w:rsid w:val="006978F0"/>
    <w:rsid w:val="006A70C4"/>
    <w:rsid w:val="006B1547"/>
    <w:rsid w:val="006B4D2D"/>
    <w:rsid w:val="006B721A"/>
    <w:rsid w:val="006C40C2"/>
    <w:rsid w:val="006C5CC4"/>
    <w:rsid w:val="006C7DCF"/>
    <w:rsid w:val="006D3130"/>
    <w:rsid w:val="006D5192"/>
    <w:rsid w:val="006F1B00"/>
    <w:rsid w:val="006F1EBF"/>
    <w:rsid w:val="006F4195"/>
    <w:rsid w:val="006F5CEE"/>
    <w:rsid w:val="006F5E2B"/>
    <w:rsid w:val="006F6166"/>
    <w:rsid w:val="00704377"/>
    <w:rsid w:val="00705DEE"/>
    <w:rsid w:val="007106AE"/>
    <w:rsid w:val="007164F6"/>
    <w:rsid w:val="0072402F"/>
    <w:rsid w:val="007273ED"/>
    <w:rsid w:val="00736E02"/>
    <w:rsid w:val="00742ED9"/>
    <w:rsid w:val="0074631E"/>
    <w:rsid w:val="00746481"/>
    <w:rsid w:val="00760036"/>
    <w:rsid w:val="00771958"/>
    <w:rsid w:val="00775FB9"/>
    <w:rsid w:val="00783846"/>
    <w:rsid w:val="00784C66"/>
    <w:rsid w:val="00786795"/>
    <w:rsid w:val="007953CA"/>
    <w:rsid w:val="007B1174"/>
    <w:rsid w:val="007C77B1"/>
    <w:rsid w:val="007D5EE4"/>
    <w:rsid w:val="007E4DD8"/>
    <w:rsid w:val="007E5454"/>
    <w:rsid w:val="007E710A"/>
    <w:rsid w:val="007F0740"/>
    <w:rsid w:val="007F10BD"/>
    <w:rsid w:val="00800A3B"/>
    <w:rsid w:val="00800DEC"/>
    <w:rsid w:val="00811968"/>
    <w:rsid w:val="00826BE8"/>
    <w:rsid w:val="00833FA2"/>
    <w:rsid w:val="00835D6A"/>
    <w:rsid w:val="008362EE"/>
    <w:rsid w:val="00847417"/>
    <w:rsid w:val="00864EBC"/>
    <w:rsid w:val="00865B0F"/>
    <w:rsid w:val="00872D60"/>
    <w:rsid w:val="00884D9A"/>
    <w:rsid w:val="00886DFF"/>
    <w:rsid w:val="00891513"/>
    <w:rsid w:val="00896BBA"/>
    <w:rsid w:val="008A124E"/>
    <w:rsid w:val="008A2313"/>
    <w:rsid w:val="008A5C76"/>
    <w:rsid w:val="008A6442"/>
    <w:rsid w:val="008B440C"/>
    <w:rsid w:val="008C0C1A"/>
    <w:rsid w:val="008C1963"/>
    <w:rsid w:val="008C64F4"/>
    <w:rsid w:val="008D03A7"/>
    <w:rsid w:val="008D10FD"/>
    <w:rsid w:val="008E0F12"/>
    <w:rsid w:val="008F02CE"/>
    <w:rsid w:val="009063A9"/>
    <w:rsid w:val="00912EDF"/>
    <w:rsid w:val="00913F6D"/>
    <w:rsid w:val="00917A22"/>
    <w:rsid w:val="00921342"/>
    <w:rsid w:val="00930A61"/>
    <w:rsid w:val="009354E8"/>
    <w:rsid w:val="00951ABE"/>
    <w:rsid w:val="00956FB1"/>
    <w:rsid w:val="00957BC2"/>
    <w:rsid w:val="0096111D"/>
    <w:rsid w:val="00962209"/>
    <w:rsid w:val="00965EEC"/>
    <w:rsid w:val="00972B75"/>
    <w:rsid w:val="00985AFA"/>
    <w:rsid w:val="00986DCD"/>
    <w:rsid w:val="0099006D"/>
    <w:rsid w:val="009905EA"/>
    <w:rsid w:val="00991B95"/>
    <w:rsid w:val="009932EE"/>
    <w:rsid w:val="00994D0D"/>
    <w:rsid w:val="009A7A20"/>
    <w:rsid w:val="009B106E"/>
    <w:rsid w:val="009B4532"/>
    <w:rsid w:val="009B4E82"/>
    <w:rsid w:val="009C3DF5"/>
    <w:rsid w:val="009D52B9"/>
    <w:rsid w:val="00A013DF"/>
    <w:rsid w:val="00A063B5"/>
    <w:rsid w:val="00A146CA"/>
    <w:rsid w:val="00A15AE3"/>
    <w:rsid w:val="00A17053"/>
    <w:rsid w:val="00A26E65"/>
    <w:rsid w:val="00A33BA0"/>
    <w:rsid w:val="00A358C8"/>
    <w:rsid w:val="00A441F1"/>
    <w:rsid w:val="00A535F2"/>
    <w:rsid w:val="00A548E5"/>
    <w:rsid w:val="00A552DC"/>
    <w:rsid w:val="00A66590"/>
    <w:rsid w:val="00A727D0"/>
    <w:rsid w:val="00A85AAB"/>
    <w:rsid w:val="00A87189"/>
    <w:rsid w:val="00A96923"/>
    <w:rsid w:val="00AA00A6"/>
    <w:rsid w:val="00AA6D35"/>
    <w:rsid w:val="00AB73B3"/>
    <w:rsid w:val="00AE4238"/>
    <w:rsid w:val="00AE4D46"/>
    <w:rsid w:val="00AE74DD"/>
    <w:rsid w:val="00AF3223"/>
    <w:rsid w:val="00AF32A6"/>
    <w:rsid w:val="00AF3A37"/>
    <w:rsid w:val="00B00277"/>
    <w:rsid w:val="00B01CBD"/>
    <w:rsid w:val="00B037EF"/>
    <w:rsid w:val="00B15F56"/>
    <w:rsid w:val="00B17B3C"/>
    <w:rsid w:val="00B20765"/>
    <w:rsid w:val="00B23E8A"/>
    <w:rsid w:val="00B274E5"/>
    <w:rsid w:val="00B30BC2"/>
    <w:rsid w:val="00B34B45"/>
    <w:rsid w:val="00B4041D"/>
    <w:rsid w:val="00B471C0"/>
    <w:rsid w:val="00B47208"/>
    <w:rsid w:val="00B478FE"/>
    <w:rsid w:val="00B84503"/>
    <w:rsid w:val="00B86B84"/>
    <w:rsid w:val="00B952B7"/>
    <w:rsid w:val="00BA08C7"/>
    <w:rsid w:val="00BA18C4"/>
    <w:rsid w:val="00BA31C4"/>
    <w:rsid w:val="00BA7E46"/>
    <w:rsid w:val="00BB3C7C"/>
    <w:rsid w:val="00BC2351"/>
    <w:rsid w:val="00BC51B1"/>
    <w:rsid w:val="00BD287E"/>
    <w:rsid w:val="00BE4945"/>
    <w:rsid w:val="00BE4A62"/>
    <w:rsid w:val="00BE62EB"/>
    <w:rsid w:val="00BF4BC7"/>
    <w:rsid w:val="00C056A7"/>
    <w:rsid w:val="00C05A4B"/>
    <w:rsid w:val="00C1159C"/>
    <w:rsid w:val="00C1545C"/>
    <w:rsid w:val="00C16186"/>
    <w:rsid w:val="00C22782"/>
    <w:rsid w:val="00C24371"/>
    <w:rsid w:val="00C2708A"/>
    <w:rsid w:val="00C30221"/>
    <w:rsid w:val="00C30C31"/>
    <w:rsid w:val="00C33D79"/>
    <w:rsid w:val="00C343CD"/>
    <w:rsid w:val="00C45246"/>
    <w:rsid w:val="00C75739"/>
    <w:rsid w:val="00C7655A"/>
    <w:rsid w:val="00C77099"/>
    <w:rsid w:val="00C810D9"/>
    <w:rsid w:val="00C914FE"/>
    <w:rsid w:val="00C91FED"/>
    <w:rsid w:val="00C93AA5"/>
    <w:rsid w:val="00CB7FF9"/>
    <w:rsid w:val="00CD5B32"/>
    <w:rsid w:val="00CE0F5F"/>
    <w:rsid w:val="00CE5C72"/>
    <w:rsid w:val="00CF0C99"/>
    <w:rsid w:val="00CF682B"/>
    <w:rsid w:val="00D019CB"/>
    <w:rsid w:val="00D15AB3"/>
    <w:rsid w:val="00D16AD4"/>
    <w:rsid w:val="00D16D6E"/>
    <w:rsid w:val="00D21A73"/>
    <w:rsid w:val="00D236C4"/>
    <w:rsid w:val="00D24298"/>
    <w:rsid w:val="00D26A33"/>
    <w:rsid w:val="00D312CF"/>
    <w:rsid w:val="00D50DD0"/>
    <w:rsid w:val="00D55082"/>
    <w:rsid w:val="00D55B54"/>
    <w:rsid w:val="00D61B39"/>
    <w:rsid w:val="00D90032"/>
    <w:rsid w:val="00D93E79"/>
    <w:rsid w:val="00D9793F"/>
    <w:rsid w:val="00DA06D7"/>
    <w:rsid w:val="00DA39FD"/>
    <w:rsid w:val="00DD55B6"/>
    <w:rsid w:val="00DF03EC"/>
    <w:rsid w:val="00DF69FD"/>
    <w:rsid w:val="00E01A35"/>
    <w:rsid w:val="00E11719"/>
    <w:rsid w:val="00E2292B"/>
    <w:rsid w:val="00E2757C"/>
    <w:rsid w:val="00E41DB5"/>
    <w:rsid w:val="00E42139"/>
    <w:rsid w:val="00E42E9F"/>
    <w:rsid w:val="00E47511"/>
    <w:rsid w:val="00E57521"/>
    <w:rsid w:val="00E62373"/>
    <w:rsid w:val="00E666F3"/>
    <w:rsid w:val="00E66CC0"/>
    <w:rsid w:val="00E76231"/>
    <w:rsid w:val="00E763FE"/>
    <w:rsid w:val="00E92509"/>
    <w:rsid w:val="00E95647"/>
    <w:rsid w:val="00E96043"/>
    <w:rsid w:val="00E973ED"/>
    <w:rsid w:val="00E9759E"/>
    <w:rsid w:val="00EA2449"/>
    <w:rsid w:val="00EB0E8C"/>
    <w:rsid w:val="00EB7B64"/>
    <w:rsid w:val="00EC0CCD"/>
    <w:rsid w:val="00EC3D8D"/>
    <w:rsid w:val="00EC6FAD"/>
    <w:rsid w:val="00ED1D6B"/>
    <w:rsid w:val="00EE4E3B"/>
    <w:rsid w:val="00EF2064"/>
    <w:rsid w:val="00F132B2"/>
    <w:rsid w:val="00F14105"/>
    <w:rsid w:val="00F162CE"/>
    <w:rsid w:val="00F211F8"/>
    <w:rsid w:val="00F308C0"/>
    <w:rsid w:val="00F34E91"/>
    <w:rsid w:val="00F35F85"/>
    <w:rsid w:val="00F44166"/>
    <w:rsid w:val="00F51CB8"/>
    <w:rsid w:val="00F63B99"/>
    <w:rsid w:val="00F63FDD"/>
    <w:rsid w:val="00F6595C"/>
    <w:rsid w:val="00F72C9B"/>
    <w:rsid w:val="00F81C1E"/>
    <w:rsid w:val="00F952E5"/>
    <w:rsid w:val="00FC0824"/>
    <w:rsid w:val="00FD0D35"/>
    <w:rsid w:val="00FD5F1F"/>
    <w:rsid w:val="00FE6533"/>
    <w:rsid w:val="00FE691D"/>
    <w:rsid w:val="00FF1DE6"/>
    <w:rsid w:val="00FF61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7454776-1E0D-4D0F-B793-5C96097B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FAD"/>
    <w:pPr>
      <w:spacing w:after="240" w:line="280" w:lineRule="atLeast"/>
    </w:pPr>
    <w:rPr>
      <w:rFonts w:ascii="Arial" w:eastAsia="Times New Roman" w:hAnsi="Arial"/>
      <w:sz w:val="22"/>
      <w:lang w:val="en-GB" w:eastAsia="en-GB"/>
    </w:rPr>
  </w:style>
  <w:style w:type="paragraph" w:styleId="Heading1">
    <w:name w:val="heading 1"/>
    <w:basedOn w:val="Normal"/>
    <w:next w:val="Normal"/>
    <w:link w:val="Heading1Char"/>
    <w:qFormat/>
    <w:rsid w:val="006D3130"/>
    <w:pPr>
      <w:spacing w:before="120" w:line="240" w:lineRule="auto"/>
      <w:outlineLvl w:val="0"/>
    </w:pPr>
    <w:rPr>
      <w:b/>
      <w:color w:val="0082AB"/>
      <w:spacing w:val="20"/>
      <w:w w:val="90"/>
      <w:sz w:val="44"/>
      <w:szCs w:val="44"/>
      <w:lang w:val="en-NZ"/>
    </w:rPr>
  </w:style>
  <w:style w:type="paragraph" w:styleId="Heading2">
    <w:name w:val="heading 2"/>
    <w:basedOn w:val="Normal"/>
    <w:next w:val="Normal"/>
    <w:link w:val="Heading2Char"/>
    <w:autoRedefine/>
    <w:qFormat/>
    <w:rsid w:val="00293FDC"/>
    <w:pPr>
      <w:keepNext/>
      <w:spacing w:after="180" w:line="240" w:lineRule="auto"/>
      <w:outlineLvl w:val="1"/>
    </w:pPr>
    <w:rPr>
      <w:b/>
      <w:color w:val="0082AB"/>
      <w:spacing w:val="20"/>
      <w:w w:val="90"/>
      <w:sz w:val="32"/>
      <w:szCs w:val="24"/>
    </w:rPr>
  </w:style>
  <w:style w:type="paragraph" w:styleId="Heading3">
    <w:name w:val="heading 3"/>
    <w:basedOn w:val="Heading2"/>
    <w:next w:val="Normal"/>
    <w:link w:val="Heading3Char"/>
    <w:qFormat/>
    <w:rsid w:val="00EC6FAD"/>
    <w:pPr>
      <w:spacing w:before="200"/>
      <w:outlineLvl w:val="2"/>
    </w:pPr>
    <w:rPr>
      <w:sz w:val="24"/>
      <w:szCs w:val="22"/>
    </w:rPr>
  </w:style>
  <w:style w:type="paragraph" w:styleId="Heading4">
    <w:name w:val="heading 4"/>
    <w:basedOn w:val="Normal"/>
    <w:next w:val="Normal"/>
    <w:link w:val="Heading4Char"/>
    <w:qFormat/>
    <w:rsid w:val="00EC6FAD"/>
    <w:pPr>
      <w:spacing w:before="120" w:after="200" w:line="240" w:lineRule="auto"/>
      <w:outlineLvl w:val="3"/>
    </w:pPr>
    <w:rPr>
      <w:b/>
      <w:bCs/>
      <w:color w:val="335087"/>
      <w:sz w:val="20"/>
    </w:rPr>
  </w:style>
  <w:style w:type="paragraph" w:styleId="Heading5">
    <w:name w:val="heading 5"/>
    <w:basedOn w:val="Normal"/>
    <w:next w:val="Normal"/>
    <w:link w:val="Heading5Char"/>
    <w:rsid w:val="00EC6FAD"/>
    <w:pPr>
      <w:keepNext/>
      <w:widowControl w:val="0"/>
      <w:spacing w:before="80" w:after="120"/>
      <w:outlineLvl w:val="4"/>
    </w:pPr>
    <w:rPr>
      <w:color w:val="000000"/>
      <w:szCs w:val="22"/>
    </w:rPr>
  </w:style>
  <w:style w:type="paragraph" w:styleId="Heading6">
    <w:name w:val="heading 6"/>
    <w:basedOn w:val="Normal"/>
    <w:next w:val="Normal"/>
    <w:link w:val="Heading6Char"/>
    <w:rsid w:val="00EC6FAD"/>
    <w:pPr>
      <w:spacing w:before="240"/>
      <w:outlineLvl w:val="5"/>
    </w:pPr>
    <w:rPr>
      <w:i/>
      <w:sz w:val="20"/>
    </w:rPr>
  </w:style>
  <w:style w:type="paragraph" w:styleId="Heading7">
    <w:name w:val="heading 7"/>
    <w:basedOn w:val="Normal"/>
    <w:next w:val="Normal"/>
    <w:link w:val="Heading7Char"/>
    <w:rsid w:val="00EC6FAD"/>
    <w:pPr>
      <w:spacing w:before="240"/>
      <w:outlineLvl w:val="6"/>
    </w:pPr>
    <w:rPr>
      <w:sz w:val="20"/>
    </w:rPr>
  </w:style>
  <w:style w:type="paragraph" w:styleId="Heading8">
    <w:name w:val="heading 8"/>
    <w:basedOn w:val="Normal"/>
    <w:next w:val="Normal"/>
    <w:link w:val="Heading8Char"/>
    <w:rsid w:val="00EC6FAD"/>
    <w:pPr>
      <w:spacing w:before="80" w:after="80"/>
      <w:outlineLvl w:val="7"/>
    </w:pPr>
    <w:rPr>
      <w:sz w:val="20"/>
    </w:rPr>
  </w:style>
  <w:style w:type="paragraph" w:styleId="Heading9">
    <w:name w:val="heading 9"/>
    <w:next w:val="Normal"/>
    <w:link w:val="Heading9Char"/>
    <w:rsid w:val="00EC6FAD"/>
    <w:pPr>
      <w:keepNext/>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6FAD"/>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3E66"/>
    <w:pPr>
      <w:spacing w:after="0"/>
      <w:ind w:left="720"/>
      <w:contextualSpacing/>
    </w:pPr>
    <w:rPr>
      <w:rFonts w:cs="Arial"/>
    </w:rPr>
  </w:style>
  <w:style w:type="character" w:customStyle="1" w:styleId="ListParagraphChar">
    <w:name w:val="List Paragraph Char"/>
    <w:link w:val="ListParagraph"/>
    <w:uiPriority w:val="34"/>
    <w:locked/>
    <w:rsid w:val="00223E66"/>
    <w:rPr>
      <w:rFonts w:ascii="Arial" w:eastAsia="Times New Roman" w:hAnsi="Arial" w:cs="Arial"/>
    </w:rPr>
  </w:style>
  <w:style w:type="character" w:customStyle="1" w:styleId="Heading1Char">
    <w:name w:val="Heading 1 Char"/>
    <w:link w:val="Heading1"/>
    <w:rsid w:val="006D3130"/>
    <w:rPr>
      <w:rFonts w:ascii="Arial" w:eastAsia="Times New Roman" w:hAnsi="Arial" w:cs="Times New Roman"/>
      <w:b/>
      <w:color w:val="0082AB"/>
      <w:spacing w:val="20"/>
      <w:w w:val="90"/>
      <w:sz w:val="44"/>
      <w:szCs w:val="44"/>
      <w:lang w:eastAsia="en-GB"/>
    </w:rPr>
  </w:style>
  <w:style w:type="paragraph" w:styleId="Footer">
    <w:name w:val="footer"/>
    <w:basedOn w:val="Normal"/>
    <w:link w:val="FooterChar"/>
    <w:autoRedefine/>
    <w:rsid w:val="00957BC2"/>
    <w:pPr>
      <w:spacing w:after="0" w:line="240" w:lineRule="auto"/>
      <w:ind w:left="-1985"/>
      <w:jc w:val="right"/>
    </w:pPr>
    <w:rPr>
      <w:noProof/>
      <w:color w:val="0082AB"/>
      <w:spacing w:val="6"/>
      <w:sz w:val="16"/>
      <w:szCs w:val="16"/>
    </w:rPr>
  </w:style>
  <w:style w:type="character" w:customStyle="1" w:styleId="FooterChar">
    <w:name w:val="Footer Char"/>
    <w:link w:val="Footer"/>
    <w:rsid w:val="00957BC2"/>
    <w:rPr>
      <w:rFonts w:ascii="Arial" w:eastAsia="Times New Roman" w:hAnsi="Arial" w:cs="Times New Roman"/>
      <w:noProof/>
      <w:color w:val="0082AB"/>
      <w:spacing w:val="6"/>
      <w:sz w:val="16"/>
      <w:szCs w:val="16"/>
      <w:lang w:val="en-GB" w:eastAsia="en-GB"/>
    </w:rPr>
  </w:style>
  <w:style w:type="paragraph" w:styleId="Header">
    <w:name w:val="header"/>
    <w:basedOn w:val="Normal"/>
    <w:link w:val="HeaderChar"/>
    <w:rsid w:val="00EC6FAD"/>
    <w:pPr>
      <w:tabs>
        <w:tab w:val="center" w:pos="4153"/>
        <w:tab w:val="right" w:pos="8306"/>
      </w:tabs>
    </w:pPr>
  </w:style>
  <w:style w:type="character" w:customStyle="1" w:styleId="HeaderChar">
    <w:name w:val="Header Char"/>
    <w:link w:val="Header"/>
    <w:rsid w:val="00E92509"/>
    <w:rPr>
      <w:rFonts w:ascii="Arial" w:eastAsia="Times New Roman" w:hAnsi="Arial" w:cs="Times New Roman"/>
      <w:szCs w:val="20"/>
      <w:lang w:val="en-GB" w:eastAsia="en-GB"/>
    </w:rPr>
  </w:style>
  <w:style w:type="paragraph" w:customStyle="1" w:styleId="Boxtext">
    <w:name w:val="Box text"/>
    <w:basedOn w:val="Normal"/>
    <w:rsid w:val="00957BC2"/>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color w:val="000000"/>
      <w:szCs w:val="22"/>
    </w:rPr>
  </w:style>
  <w:style w:type="paragraph" w:customStyle="1" w:styleId="spacer">
    <w:name w:val="spacer"/>
    <w:basedOn w:val="Normal"/>
    <w:qFormat/>
    <w:rsid w:val="00EC6FAD"/>
    <w:pPr>
      <w:spacing w:after="0" w:line="240" w:lineRule="auto"/>
    </w:pPr>
    <w:rPr>
      <w:sz w:val="16"/>
      <w:szCs w:val="22"/>
      <w:lang w:eastAsia="en-AU"/>
    </w:rPr>
  </w:style>
  <w:style w:type="paragraph" w:customStyle="1" w:styleId="Bullet-list">
    <w:name w:val="Bullet-list"/>
    <w:qFormat/>
    <w:rsid w:val="00800DEC"/>
    <w:pPr>
      <w:numPr>
        <w:numId w:val="29"/>
      </w:numPr>
      <w:spacing w:after="180" w:line="280" w:lineRule="exact"/>
    </w:pPr>
    <w:rPr>
      <w:rFonts w:ascii="Arial" w:eastAsia="Times New Roman" w:hAnsi="Arial"/>
      <w:sz w:val="22"/>
      <w:lang w:val="en-AU" w:eastAsia="en-US"/>
    </w:rPr>
  </w:style>
  <w:style w:type="paragraph" w:styleId="BalloonText">
    <w:name w:val="Balloon Text"/>
    <w:basedOn w:val="Normal"/>
    <w:link w:val="BalloonTextChar"/>
    <w:semiHidden/>
    <w:rsid w:val="00EC6FAD"/>
    <w:rPr>
      <w:rFonts w:ascii="Tahoma" w:hAnsi="Tahoma" w:cs="Tahoma"/>
      <w:sz w:val="16"/>
      <w:szCs w:val="16"/>
    </w:rPr>
  </w:style>
  <w:style w:type="character" w:customStyle="1" w:styleId="BalloonTextChar">
    <w:name w:val="Balloon Text Char"/>
    <w:link w:val="BalloonText"/>
    <w:semiHidden/>
    <w:rsid w:val="0032262A"/>
    <w:rPr>
      <w:rFonts w:ascii="Tahoma" w:eastAsia="Times New Roman" w:hAnsi="Tahoma" w:cs="Tahoma"/>
      <w:sz w:val="16"/>
      <w:szCs w:val="16"/>
      <w:lang w:val="en-GB" w:eastAsia="en-GB"/>
    </w:rPr>
  </w:style>
  <w:style w:type="character" w:styleId="Hyperlink">
    <w:name w:val="Hyperlink"/>
    <w:uiPriority w:val="99"/>
    <w:rsid w:val="00030EC1"/>
    <w:rPr>
      <w:color w:val="0082AB"/>
      <w:u w:val="single"/>
    </w:rPr>
  </w:style>
  <w:style w:type="character" w:styleId="CommentReference">
    <w:name w:val="annotation reference"/>
    <w:uiPriority w:val="99"/>
    <w:semiHidden/>
    <w:rsid w:val="00EC6FAD"/>
    <w:rPr>
      <w:sz w:val="16"/>
      <w:szCs w:val="16"/>
    </w:rPr>
  </w:style>
  <w:style w:type="paragraph" w:styleId="CommentText">
    <w:name w:val="annotation text"/>
    <w:basedOn w:val="Normal"/>
    <w:link w:val="CommentTextChar"/>
    <w:uiPriority w:val="99"/>
    <w:rsid w:val="00EC6FAD"/>
    <w:rPr>
      <w:sz w:val="20"/>
    </w:rPr>
  </w:style>
  <w:style w:type="character" w:customStyle="1" w:styleId="CommentTextChar">
    <w:name w:val="Comment Text Char"/>
    <w:link w:val="CommentText"/>
    <w:uiPriority w:val="99"/>
    <w:rsid w:val="00956FB1"/>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semiHidden/>
    <w:rsid w:val="00EC6FAD"/>
    <w:rPr>
      <w:b/>
      <w:bCs/>
    </w:rPr>
  </w:style>
  <w:style w:type="character" w:customStyle="1" w:styleId="CommentSubjectChar">
    <w:name w:val="Comment Subject Char"/>
    <w:link w:val="CommentSubject"/>
    <w:semiHidden/>
    <w:rsid w:val="00956FB1"/>
    <w:rPr>
      <w:rFonts w:ascii="Arial" w:eastAsia="Times New Roman" w:hAnsi="Arial" w:cs="Times New Roman"/>
      <w:b/>
      <w:bCs/>
      <w:sz w:val="20"/>
      <w:szCs w:val="20"/>
      <w:lang w:val="en-GB" w:eastAsia="en-GB"/>
    </w:rPr>
  </w:style>
  <w:style w:type="paragraph" w:customStyle="1" w:styleId="Author">
    <w:name w:val="Author"/>
    <w:basedOn w:val="Normal"/>
    <w:semiHidden/>
    <w:rsid w:val="00EC6FAD"/>
    <w:pPr>
      <w:spacing w:before="240" w:after="1200"/>
      <w:ind w:left="-181"/>
      <w:jc w:val="right"/>
    </w:pPr>
    <w:rPr>
      <w:rFonts w:cs="Arial"/>
      <w:i/>
      <w:sz w:val="40"/>
      <w:szCs w:val="22"/>
    </w:rPr>
  </w:style>
  <w:style w:type="paragraph" w:customStyle="1" w:styleId="Boxbullet">
    <w:name w:val="Box bullet"/>
    <w:basedOn w:val="Boxtext"/>
    <w:rsid w:val="00EC6FAD"/>
    <w:pPr>
      <w:numPr>
        <w:numId w:val="28"/>
      </w:numPr>
      <w:tabs>
        <w:tab w:val="clear" w:pos="644"/>
        <w:tab w:val="num" w:pos="426"/>
      </w:tabs>
      <w:spacing w:before="80"/>
    </w:pPr>
  </w:style>
  <w:style w:type="paragraph" w:customStyle="1" w:styleId="Boxheading">
    <w:name w:val="Box heading"/>
    <w:basedOn w:val="Normal"/>
    <w:next w:val="Boxtext"/>
    <w:autoRedefine/>
    <w:rsid w:val="00EC6FAD"/>
    <w:pPr>
      <w:spacing w:before="180" w:after="60" w:line="240" w:lineRule="auto"/>
      <w:ind w:left="284" w:right="284"/>
    </w:pPr>
    <w:rPr>
      <w:rFonts w:ascii="Arial Narrow" w:hAnsi="Arial Narrow"/>
      <w:b/>
      <w:bCs/>
      <w:color w:val="335087"/>
      <w:spacing w:val="10"/>
      <w:szCs w:val="22"/>
    </w:rPr>
  </w:style>
  <w:style w:type="paragraph" w:customStyle="1" w:styleId="Boxindent">
    <w:name w:val="Box indent"/>
    <w:basedOn w:val="Boxtext"/>
    <w:rsid w:val="00EC6FAD"/>
    <w:pPr>
      <w:tabs>
        <w:tab w:val="left" w:pos="426"/>
      </w:tabs>
      <w:ind w:left="426" w:hanging="284"/>
    </w:pPr>
  </w:style>
  <w:style w:type="paragraph" w:styleId="Caption">
    <w:name w:val="caption"/>
    <w:basedOn w:val="Normal"/>
    <w:next w:val="Normal"/>
    <w:rsid w:val="00EC6FAD"/>
    <w:rPr>
      <w:b/>
      <w:bCs/>
      <w:sz w:val="20"/>
    </w:rPr>
  </w:style>
  <w:style w:type="paragraph" w:styleId="DocumentMap">
    <w:name w:val="Document Map"/>
    <w:basedOn w:val="Normal"/>
    <w:link w:val="DocumentMapChar"/>
    <w:semiHidden/>
    <w:rsid w:val="00EC6FAD"/>
    <w:pPr>
      <w:shd w:val="clear" w:color="auto" w:fill="000080"/>
    </w:pPr>
    <w:rPr>
      <w:rFonts w:ascii="Tahoma" w:hAnsi="Tahoma" w:cs="Tahoma"/>
      <w:sz w:val="20"/>
    </w:rPr>
  </w:style>
  <w:style w:type="character" w:customStyle="1" w:styleId="DocumentMapChar">
    <w:name w:val="Document Map Char"/>
    <w:link w:val="DocumentMap"/>
    <w:semiHidden/>
    <w:rsid w:val="00EC6FAD"/>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EC6FAD"/>
    <w:pPr>
      <w:jc w:val="left"/>
    </w:pPr>
  </w:style>
  <w:style w:type="paragraph" w:customStyle="1" w:styleId="Evenfooter-wide">
    <w:name w:val="Even footer-wide"/>
    <w:basedOn w:val="EvenFooter"/>
    <w:rsid w:val="00EC6FAD"/>
  </w:style>
  <w:style w:type="character" w:styleId="FollowedHyperlink">
    <w:name w:val="FollowedHyperlink"/>
    <w:rsid w:val="00EC6FAD"/>
    <w:rPr>
      <w:color w:val="800080"/>
      <w:u w:val="single"/>
    </w:rPr>
  </w:style>
  <w:style w:type="character" w:styleId="FootnoteReference">
    <w:name w:val="footnote reference"/>
    <w:semiHidden/>
    <w:rsid w:val="00EC6FAD"/>
    <w:rPr>
      <w:rFonts w:ascii="Arial" w:hAnsi="Arial"/>
      <w:color w:val="auto"/>
      <w:position w:val="8"/>
      <w:sz w:val="16"/>
    </w:rPr>
  </w:style>
  <w:style w:type="paragraph" w:styleId="FootnoteText">
    <w:name w:val="footnote text"/>
    <w:basedOn w:val="Normal"/>
    <w:link w:val="FootnoteTextChar"/>
    <w:semiHidden/>
    <w:rsid w:val="00EC6FAD"/>
    <w:pPr>
      <w:tabs>
        <w:tab w:val="left" w:pos="425"/>
      </w:tabs>
      <w:spacing w:after="60" w:line="240" w:lineRule="auto"/>
      <w:ind w:left="425" w:hanging="425"/>
    </w:pPr>
    <w:rPr>
      <w:sz w:val="18"/>
    </w:rPr>
  </w:style>
  <w:style w:type="character" w:customStyle="1" w:styleId="FootnoteTextChar">
    <w:name w:val="Footnote Text Char"/>
    <w:link w:val="FootnoteText"/>
    <w:semiHidden/>
    <w:rsid w:val="00EC6FAD"/>
    <w:rPr>
      <w:rFonts w:ascii="Arial" w:eastAsia="Times New Roman" w:hAnsi="Arial" w:cs="Times New Roman"/>
      <w:sz w:val="18"/>
      <w:szCs w:val="20"/>
      <w:lang w:val="en-GB" w:eastAsia="en-GB"/>
    </w:rPr>
  </w:style>
  <w:style w:type="character" w:customStyle="1" w:styleId="Heading2Char">
    <w:name w:val="Heading 2 Char"/>
    <w:link w:val="Heading2"/>
    <w:rsid w:val="00293FDC"/>
    <w:rPr>
      <w:rFonts w:ascii="Arial" w:eastAsia="Times New Roman" w:hAnsi="Arial"/>
      <w:b/>
      <w:color w:val="0082AB"/>
      <w:spacing w:val="20"/>
      <w:w w:val="90"/>
      <w:sz w:val="32"/>
      <w:szCs w:val="24"/>
      <w:lang w:val="en-GB" w:eastAsia="en-GB"/>
    </w:rPr>
  </w:style>
  <w:style w:type="character" w:customStyle="1" w:styleId="Heading3Char">
    <w:name w:val="Heading 3 Char"/>
    <w:link w:val="Heading3"/>
    <w:rsid w:val="00EC6FAD"/>
    <w:rPr>
      <w:rFonts w:ascii="Arial" w:eastAsia="Times New Roman" w:hAnsi="Arial" w:cs="Times New Roman"/>
      <w:b/>
      <w:color w:val="335087"/>
      <w:spacing w:val="20"/>
      <w:w w:val="90"/>
      <w:sz w:val="24"/>
      <w:lang w:val="en-GB" w:eastAsia="en-GB"/>
    </w:rPr>
  </w:style>
  <w:style w:type="character" w:customStyle="1" w:styleId="Heading4Char">
    <w:name w:val="Heading 4 Char"/>
    <w:link w:val="Heading4"/>
    <w:rsid w:val="00EC6FAD"/>
    <w:rPr>
      <w:rFonts w:ascii="Arial" w:eastAsia="Times New Roman" w:hAnsi="Arial" w:cs="Times New Roman"/>
      <w:b/>
      <w:bCs/>
      <w:color w:val="335087"/>
      <w:sz w:val="20"/>
      <w:szCs w:val="20"/>
      <w:lang w:val="en-GB" w:eastAsia="en-GB"/>
    </w:rPr>
  </w:style>
  <w:style w:type="character" w:customStyle="1" w:styleId="Heading5Char">
    <w:name w:val="Heading 5 Char"/>
    <w:link w:val="Heading5"/>
    <w:rsid w:val="00EC6FAD"/>
    <w:rPr>
      <w:rFonts w:ascii="Arial" w:eastAsia="Times New Roman" w:hAnsi="Arial" w:cs="Times New Roman"/>
      <w:color w:val="000000"/>
      <w:lang w:val="en-GB" w:eastAsia="en-GB"/>
    </w:rPr>
  </w:style>
  <w:style w:type="character" w:customStyle="1" w:styleId="Heading6Char">
    <w:name w:val="Heading 6 Char"/>
    <w:link w:val="Heading6"/>
    <w:rsid w:val="00EC6FAD"/>
    <w:rPr>
      <w:rFonts w:ascii="Arial" w:eastAsia="Times New Roman" w:hAnsi="Arial" w:cs="Times New Roman"/>
      <w:i/>
      <w:sz w:val="20"/>
      <w:szCs w:val="20"/>
      <w:lang w:val="en-GB" w:eastAsia="en-GB"/>
    </w:rPr>
  </w:style>
  <w:style w:type="character" w:customStyle="1" w:styleId="Heading7Char">
    <w:name w:val="Heading 7 Char"/>
    <w:link w:val="Heading7"/>
    <w:rsid w:val="00EC6FAD"/>
    <w:rPr>
      <w:rFonts w:ascii="Arial" w:eastAsia="Times New Roman" w:hAnsi="Arial" w:cs="Times New Roman"/>
      <w:sz w:val="20"/>
      <w:szCs w:val="20"/>
      <w:lang w:val="en-GB" w:eastAsia="en-GB"/>
    </w:rPr>
  </w:style>
  <w:style w:type="character" w:customStyle="1" w:styleId="Heading8Char">
    <w:name w:val="Heading 8 Char"/>
    <w:link w:val="Heading8"/>
    <w:rsid w:val="00EC6FAD"/>
    <w:rPr>
      <w:rFonts w:ascii="Arial" w:eastAsia="Times New Roman" w:hAnsi="Arial" w:cs="Times New Roman"/>
      <w:sz w:val="20"/>
      <w:szCs w:val="20"/>
      <w:lang w:val="en-GB" w:eastAsia="en-GB"/>
    </w:rPr>
  </w:style>
  <w:style w:type="character" w:customStyle="1" w:styleId="Heading9Char">
    <w:name w:val="Heading 9 Char"/>
    <w:link w:val="Heading9"/>
    <w:rsid w:val="00EC6FAD"/>
    <w:rPr>
      <w:rFonts w:ascii="Arial" w:eastAsia="Times New Roman" w:hAnsi="Arial" w:cs="Times New Roman"/>
      <w:b/>
      <w:i/>
      <w:sz w:val="20"/>
      <w:szCs w:val="20"/>
      <w:lang w:val="en-AU"/>
    </w:rPr>
  </w:style>
  <w:style w:type="paragraph" w:styleId="List">
    <w:name w:val="List"/>
    <w:basedOn w:val="Normal"/>
    <w:rsid w:val="00EC6FAD"/>
    <w:pPr>
      <w:ind w:left="283" w:hanging="283"/>
    </w:pPr>
  </w:style>
  <w:style w:type="paragraph" w:styleId="Title">
    <w:name w:val="Title"/>
    <w:basedOn w:val="Normal"/>
    <w:link w:val="TitleChar"/>
    <w:rsid w:val="00EC6FAD"/>
    <w:pPr>
      <w:widowControl w:val="0"/>
      <w:autoSpaceDE w:val="0"/>
      <w:autoSpaceDN w:val="0"/>
      <w:adjustRightInd w:val="0"/>
      <w:spacing w:before="1560" w:after="720" w:line="240" w:lineRule="atLeast"/>
    </w:pPr>
    <w:rPr>
      <w:rFonts w:cs="Arial"/>
      <w:color w:val="002469"/>
      <w:spacing w:val="40"/>
      <w:w w:val="90"/>
      <w:sz w:val="48"/>
      <w:szCs w:val="48"/>
    </w:rPr>
  </w:style>
  <w:style w:type="character" w:customStyle="1" w:styleId="TitleChar">
    <w:name w:val="Title Char"/>
    <w:link w:val="Title"/>
    <w:rsid w:val="00EC6FAD"/>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EC6FAD"/>
    <w:pPr>
      <w:spacing w:before="360" w:line="600" w:lineRule="atLeast"/>
    </w:pPr>
    <w:rPr>
      <w:sz w:val="36"/>
      <w:szCs w:val="36"/>
    </w:rPr>
  </w:style>
  <w:style w:type="character" w:customStyle="1" w:styleId="SubtitleChar">
    <w:name w:val="Subtitle Char"/>
    <w:link w:val="Subtitle"/>
    <w:rsid w:val="00EC6FAD"/>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EC6FAD"/>
    <w:pPr>
      <w:autoSpaceDE w:val="0"/>
      <w:autoSpaceDN w:val="0"/>
      <w:adjustRightInd w:val="0"/>
      <w:spacing w:before="60" w:after="60" w:line="240" w:lineRule="atLeast"/>
    </w:pPr>
    <w:rPr>
      <w:rFonts w:cs="GillSans"/>
      <w:sz w:val="20"/>
      <w:szCs w:val="22"/>
      <w:lang w:eastAsia="en-AU"/>
    </w:rPr>
  </w:style>
  <w:style w:type="paragraph" w:customStyle="1" w:styleId="tablespacer">
    <w:name w:val="table_spacer"/>
    <w:basedOn w:val="Normal"/>
    <w:next w:val="Normal"/>
    <w:rsid w:val="00EC6FAD"/>
    <w:pPr>
      <w:keepNext/>
      <w:spacing w:after="0" w:line="240" w:lineRule="auto"/>
    </w:pPr>
    <w:rPr>
      <w:sz w:val="20"/>
    </w:rPr>
  </w:style>
  <w:style w:type="paragraph" w:styleId="TOC1">
    <w:name w:val="toc 1"/>
    <w:basedOn w:val="Normal"/>
    <w:next w:val="Normal"/>
    <w:uiPriority w:val="39"/>
    <w:rsid w:val="00EC6FAD"/>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EC6FAD"/>
    <w:pPr>
      <w:tabs>
        <w:tab w:val="right" w:leader="dot" w:pos="9214"/>
      </w:tabs>
      <w:spacing w:before="100" w:after="100"/>
      <w:ind w:left="709" w:right="284"/>
    </w:pPr>
    <w:rPr>
      <w:noProof/>
      <w:sz w:val="24"/>
    </w:rPr>
  </w:style>
  <w:style w:type="paragraph" w:styleId="TOC3">
    <w:name w:val="toc 3"/>
    <w:basedOn w:val="Normal"/>
    <w:next w:val="Normal"/>
    <w:semiHidden/>
    <w:rsid w:val="00EC6FAD"/>
    <w:pPr>
      <w:tabs>
        <w:tab w:val="left" w:leader="dot" w:pos="8646"/>
        <w:tab w:val="right" w:pos="9072"/>
      </w:tabs>
      <w:ind w:left="1418" w:right="850"/>
    </w:pPr>
  </w:style>
  <w:style w:type="paragraph" w:customStyle="1" w:styleId="TableHeadings">
    <w:name w:val="Table Headings"/>
    <w:basedOn w:val="Normal"/>
    <w:qFormat/>
    <w:rsid w:val="00EC6FAD"/>
    <w:pPr>
      <w:spacing w:before="60" w:after="60"/>
    </w:pPr>
    <w:rPr>
      <w:rFonts w:cs="Arial"/>
      <w:b/>
      <w:color w:val="000000"/>
    </w:rPr>
  </w:style>
  <w:style w:type="paragraph" w:customStyle="1" w:styleId="Bulletlistlevel2">
    <w:name w:val="Bullet list level 2"/>
    <w:basedOn w:val="Normal"/>
    <w:qFormat/>
    <w:rsid w:val="00800DEC"/>
    <w:pPr>
      <w:numPr>
        <w:ilvl w:val="1"/>
        <w:numId w:val="26"/>
      </w:numPr>
      <w:spacing w:after="180" w:line="280" w:lineRule="exact"/>
      <w:ind w:left="568" w:hanging="284"/>
    </w:pPr>
    <w:rPr>
      <w:rFonts w:cs="Arial"/>
      <w:lang w:eastAsia="en-AU"/>
    </w:rPr>
  </w:style>
  <w:style w:type="paragraph" w:styleId="BodyText2">
    <w:name w:val="Body Text 2"/>
    <w:basedOn w:val="BodyText"/>
    <w:link w:val="BodyText2Char"/>
    <w:qFormat/>
    <w:rsid w:val="00216BB5"/>
    <w:pPr>
      <w:numPr>
        <w:ilvl w:val="1"/>
      </w:numPr>
    </w:pPr>
  </w:style>
  <w:style w:type="character" w:customStyle="1" w:styleId="BodyText2Char">
    <w:name w:val="Body Text 2 Char"/>
    <w:link w:val="BodyText2"/>
    <w:rsid w:val="00216BB5"/>
    <w:rPr>
      <w:rFonts w:ascii="Arial" w:eastAsia="Times New Roman" w:hAnsi="Arial"/>
      <w:sz w:val="22"/>
      <w:lang w:val="en-AU" w:eastAsia="en-US"/>
    </w:rPr>
  </w:style>
  <w:style w:type="paragraph" w:styleId="BodyText">
    <w:name w:val="Body Text"/>
    <w:basedOn w:val="Normal"/>
    <w:link w:val="BodyTextChar"/>
    <w:unhideWhenUsed/>
    <w:qFormat/>
    <w:rsid w:val="00216BB5"/>
    <w:pPr>
      <w:numPr>
        <w:numId w:val="37"/>
      </w:numPr>
      <w:spacing w:after="200" w:line="240" w:lineRule="auto"/>
    </w:pPr>
    <w:rPr>
      <w:lang w:val="en-AU" w:eastAsia="en-US"/>
    </w:rPr>
  </w:style>
  <w:style w:type="character" w:customStyle="1" w:styleId="BodyTextChar">
    <w:name w:val="Body Text Char"/>
    <w:link w:val="BodyText"/>
    <w:rsid w:val="00216BB5"/>
    <w:rPr>
      <w:rFonts w:ascii="Arial" w:eastAsia="Times New Roman" w:hAnsi="Arial"/>
      <w:sz w:val="22"/>
      <w:lang w:val="en-AU" w:eastAsia="en-US"/>
    </w:rPr>
  </w:style>
  <w:style w:type="paragraph" w:styleId="NoSpacing">
    <w:name w:val="No Spacing"/>
    <w:uiPriority w:val="1"/>
    <w:qFormat/>
    <w:rsid w:val="009B4E82"/>
    <w:pPr>
      <w:jc w:val="both"/>
    </w:pPr>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81071">
      <w:bodyDiv w:val="1"/>
      <w:marLeft w:val="0"/>
      <w:marRight w:val="0"/>
      <w:marTop w:val="0"/>
      <w:marBottom w:val="0"/>
      <w:divBdr>
        <w:top w:val="none" w:sz="0" w:space="0" w:color="auto"/>
        <w:left w:val="none" w:sz="0" w:space="0" w:color="auto"/>
        <w:bottom w:val="none" w:sz="0" w:space="0" w:color="auto"/>
        <w:right w:val="none" w:sz="0" w:space="0" w:color="auto"/>
      </w:divBdr>
    </w:div>
    <w:div w:id="204236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B648-A5F7-4A34-9DFB-F48A8ADE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F981E08B</Template>
  <TotalTime>2</TotalTime>
  <Pages>7</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Summary: Therapeutic Products Bill – Personal Import of Medicine by mail/courier</dc:title>
  <dc:subject/>
  <dc:creator>The Treasury</dc:creator>
  <cp:keywords/>
  <dc:description/>
  <cp:lastModifiedBy>Berni Marwick</cp:lastModifiedBy>
  <cp:revision>3</cp:revision>
  <cp:lastPrinted>2018-10-22T20:14:00Z</cp:lastPrinted>
  <dcterms:created xsi:type="dcterms:W3CDTF">2018-12-11T20:09:00Z</dcterms:created>
  <dcterms:modified xsi:type="dcterms:W3CDTF">2018-12-11T20:11:00Z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SecurityClassification">
    <vt:lpwstr>IN-CONFIDENCE</vt:lpwstr>
  </property>
  <property fmtid="{D5CDD505-2E9C-101B-9397-08002B2CF9AE}" pid="3" name="TsyDisplayedSecurityClassification">
    <vt:lpwstr>IN-CONFIDENCE</vt:lpwstr>
  </property>
  <property fmtid="{D5CDD505-2E9C-101B-9397-08002B2CF9AE}" pid="4" name="TsySeemailSecurityClassification">
    <vt:lpwstr> [IN-CONFIDENCE]</vt:lpwstr>
  </property>
  <property fmtid="{D5CDD505-2E9C-101B-9397-08002B2CF9AE}" pid="5" name="TsyDocNum">
    <vt:i4>3720848</vt:i4>
  </property>
  <property fmtid="{D5CDD505-2E9C-101B-9397-08002B2CF9AE}" pid="6" name="TsyDocVer">
    <vt:i4>3</vt:i4>
  </property>
  <property fmtid="{D5CDD505-2E9C-101B-9397-08002B2CF9AE}" pid="7" name="TsyDisplayedDocNumVer">
    <vt:lpwstr>Treasury:3720848v3</vt:lpwstr>
  </property>
  <property fmtid="{D5CDD505-2E9C-101B-9397-08002B2CF9AE}" pid="8" name="TsyFileNo">
    <vt:lpwstr>SH-11-2-7-1</vt:lpwstr>
  </property>
  <property fmtid="{D5CDD505-2E9C-101B-9397-08002B2CF9AE}" pid="9" name="TsyDescription">
    <vt:lpwstr>Impact Summary Template as submitted 31 May - formatted</vt:lpwstr>
  </property>
  <property fmtid="{D5CDD505-2E9C-101B-9397-08002B2CF9AE}" pid="10" name="TsyTrNum">
    <vt:lpwstr> </vt:lpwstr>
  </property>
  <property fmtid="{D5CDD505-2E9C-101B-9397-08002B2CF9AE}" pid="11" name="TsyOiaNum">
    <vt:lpwstr> </vt:lpwstr>
  </property>
  <property fmtid="{D5CDD505-2E9C-101B-9397-08002B2CF9AE}" pid="12" name="TsyManagerUsername">
    <vt:lpwstr> </vt:lpwstr>
  </property>
  <property fmtid="{D5CDD505-2E9C-101B-9397-08002B2CF9AE}" pid="13" name="TsyManagerFullname">
    <vt:lpwstr> </vt:lpwstr>
  </property>
  <property fmtid="{D5CDD505-2E9C-101B-9397-08002B2CF9AE}" pid="14" name="TsyAuthorUsername">
    <vt:lpwstr>KIRKUPN</vt:lpwstr>
  </property>
  <property fmtid="{D5CDD505-2E9C-101B-9397-08002B2CF9AE}" pid="15" name="TsyAuthorFullname">
    <vt:lpwstr>Nicola Kirkup [TSY]</vt:lpwstr>
  </property>
  <property fmtid="{D5CDD505-2E9C-101B-9397-08002B2CF9AE}" pid="16" name="TsyUpdateFooter">
    <vt:bool>true</vt:bool>
  </property>
</Properties>
</file>