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2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21.xml" ContentType="application/vnd.openxmlformats-officedocument.drawingml.chart+xml"/>
  <Override PartName="/word/charts/chart2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3.xml" ContentType="application/vnd.openxmlformats-officedocument.drawingml.chart+xml"/>
  <Override PartName="/word/drawings/drawing1.xml" ContentType="application/vnd.openxmlformats-officedocument.drawingml.chartshapes+xml"/>
  <Override PartName="/word/charts/chart24.xml" ContentType="application/vnd.openxmlformats-officedocument.drawingml.chart+xml"/>
  <Override PartName="/word/drawings/drawing2.xml" ContentType="application/vnd.openxmlformats-officedocument.drawingml.chartshapes+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31.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3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33.xml" ContentType="application/vnd.openxmlformats-officedocument.drawingml.chart+xml"/>
  <Override PartName="/word/charts/chart3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3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3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3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3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39.xml" ContentType="application/vnd.openxmlformats-officedocument.drawingml.chart+xml"/>
  <Override PartName="/word/charts/chart4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46.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47.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48.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49.xml" ContentType="application/vnd.openxmlformats-officedocument.drawingml.chart+xml"/>
  <Override PartName="/word/charts/style24.xml" ContentType="application/vnd.ms-office.chartstyle+xml"/>
  <Override PartName="/word/charts/colors24.xml" ContentType="application/vnd.ms-office.chartcolorstyle+xml"/>
  <Override PartName="/word/drawings/drawing3.xml" ContentType="application/vnd.openxmlformats-officedocument.drawingml.chartshapes+xml"/>
  <Override PartName="/word/charts/chart50.xml" ContentType="application/vnd.openxmlformats-officedocument.drawingml.chart+xml"/>
  <Override PartName="/word/charts/style25.xml" ContentType="application/vnd.ms-office.chartstyle+xml"/>
  <Override PartName="/word/charts/colors25.xml" ContentType="application/vnd.ms-office.chartcolorstyle+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5C23D11D" w:rsidR="00C86248" w:rsidRPr="00926083" w:rsidRDefault="00D02402" w:rsidP="00D02402">
      <w:pPr>
        <w:pStyle w:val="Title"/>
      </w:pPr>
      <w:r>
        <w:t>Office of the Director of Mental Health and Addiction Services</w:t>
      </w:r>
    </w:p>
    <w:p w14:paraId="2B4FAC6A" w14:textId="217460F7" w:rsidR="00C05132" w:rsidRDefault="00D02402" w:rsidP="00926083">
      <w:pPr>
        <w:pStyle w:val="Subhead"/>
      </w:pPr>
      <w:r w:rsidRPr="00D02402">
        <w:t xml:space="preserve">Regulatory Report </w:t>
      </w:r>
      <w:r>
        <w:br/>
      </w:r>
      <w:r w:rsidRPr="00D02402">
        <w:t>1 July 2020 to 30 June 2021</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358CE3BA" w14:textId="12BAC54D" w:rsidR="00A80363" w:rsidRPr="00C05132" w:rsidRDefault="00A80363" w:rsidP="00D02402">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AD26BA">
        <w:rPr>
          <w:rFonts w:cs="Segoe UI"/>
        </w:rPr>
        <w:t xml:space="preserve">2022. </w:t>
      </w:r>
      <w:r w:rsidR="00D02402" w:rsidRPr="00D02402">
        <w:rPr>
          <w:rFonts w:cs="Segoe UI"/>
          <w:i/>
        </w:rPr>
        <w:t>Office of the Director of Mental Health and Addiction Servic</w:t>
      </w:r>
      <w:r w:rsidR="00D02402">
        <w:rPr>
          <w:rFonts w:cs="Segoe UI"/>
          <w:i/>
        </w:rPr>
        <w:t>es</w:t>
      </w:r>
      <w:r w:rsidR="00926083">
        <w:rPr>
          <w:rFonts w:cs="Segoe UI"/>
          <w:i/>
        </w:rPr>
        <w:t xml:space="preserve">: </w:t>
      </w:r>
      <w:r w:rsidR="00D02402" w:rsidRPr="00D02402">
        <w:rPr>
          <w:rFonts w:cs="Segoe UI"/>
          <w:i/>
        </w:rPr>
        <w:t>Regulatory Report 1 July 2020 to 30 June 2021</w:t>
      </w:r>
      <w:r w:rsidR="00442C1C" w:rsidRPr="00C05132">
        <w:rPr>
          <w:rFonts w:cs="Segoe UI"/>
        </w:rPr>
        <w:t>. Wellington: Ministry of Health.</w:t>
      </w:r>
    </w:p>
    <w:p w14:paraId="7909192E" w14:textId="2903A893" w:rsidR="00C86248" w:rsidRDefault="00C86248">
      <w:pPr>
        <w:pStyle w:val="Imprint"/>
      </w:pPr>
      <w:r>
        <w:t xml:space="preserve">Published in </w:t>
      </w:r>
      <w:r w:rsidR="00AD26BA">
        <w:t>September 2022</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3A88F931" w:rsidR="00082CD6" w:rsidRPr="009C0F2D" w:rsidRDefault="009A42D5" w:rsidP="00082CD6">
      <w:pPr>
        <w:pStyle w:val="Imprint"/>
      </w:pPr>
      <w:r w:rsidRPr="00E61A6E">
        <w:t xml:space="preserve">ISBN </w:t>
      </w:r>
      <w:r w:rsidR="00E61A6E" w:rsidRPr="00E61A6E">
        <w:t>978-1-99-110083-2</w:t>
      </w:r>
      <w:r w:rsidRPr="00E61A6E">
        <w:t xml:space="preserve"> </w:t>
      </w:r>
      <w:r w:rsidR="00D863D0" w:rsidRPr="00E61A6E">
        <w:t>(</w:t>
      </w:r>
      <w:r w:rsidR="00442C1C" w:rsidRPr="00E61A6E">
        <w:t>online</w:t>
      </w:r>
      <w:r w:rsidR="00D863D0" w:rsidRPr="00E61A6E">
        <w:t>)</w:t>
      </w:r>
      <w:r w:rsidR="00082CD6" w:rsidRPr="00E61A6E">
        <w:br/>
        <w:t xml:space="preserve">HP </w:t>
      </w:r>
      <w:r w:rsidR="00E61A6E">
        <w:t>8613</w:t>
      </w:r>
    </w:p>
    <w:p w14:paraId="48DBDA36" w14:textId="77777777" w:rsidR="00C86248" w:rsidRDefault="008C64C4" w:rsidP="00A63DFF">
      <w:r>
        <w:rPr>
          <w:noProof/>
          <w:lang w:eastAsia="en-NZ"/>
        </w:rPr>
        <w:drawing>
          <wp:inline distT="0" distB="0" distL="0" distR="0" wp14:anchorId="6EF4539D" wp14:editId="31F26F38">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0F8774BA" w14:textId="77777777" w:rsidR="00032C0A" w:rsidRDefault="008E3A07" w:rsidP="001D3E4E">
      <w:pPr>
        <w:pStyle w:val="Heading1"/>
        <w:spacing w:before="0"/>
      </w:pPr>
      <w:bookmarkStart w:id="1" w:name="_Toc405792991"/>
      <w:bookmarkStart w:id="2" w:name="_Toc405793224"/>
      <w:bookmarkStart w:id="3" w:name="_Toc115431692"/>
      <w:r>
        <w:lastRenderedPageBreak/>
        <w:t>Foreword</w:t>
      </w:r>
      <w:bookmarkEnd w:id="3"/>
    </w:p>
    <w:p w14:paraId="13DF5E9A" w14:textId="6830F9C5" w:rsidR="00D02402" w:rsidRDefault="00D02402" w:rsidP="00D02402">
      <w:pPr>
        <w:rPr>
          <w:spacing w:val="-5"/>
        </w:rPr>
      </w:pPr>
      <w:r w:rsidRPr="00D02402">
        <w:rPr>
          <w:spacing w:val="-5"/>
        </w:rPr>
        <w:t>Welcome to our regulatory report for the financial year from 1 July 2020 to 30 June 2021. As we’ve indicated, we have changed the reporting period for this report to financial year rather than calendar year to align with other annual reporting from Manatū Hauora. This means data is not comparable with past reports from my office.</w:t>
      </w:r>
    </w:p>
    <w:p w14:paraId="39EAEF15" w14:textId="77777777" w:rsidR="00D02402" w:rsidRPr="00D02402" w:rsidRDefault="00D02402" w:rsidP="00D02402">
      <w:pPr>
        <w:rPr>
          <w:spacing w:val="-5"/>
        </w:rPr>
      </w:pPr>
    </w:p>
    <w:p w14:paraId="7B3CFDAD" w14:textId="4B16271E" w:rsidR="00D02402" w:rsidRDefault="00D02402" w:rsidP="00D02402">
      <w:pPr>
        <w:rPr>
          <w:spacing w:val="-5"/>
        </w:rPr>
      </w:pPr>
      <w:r w:rsidRPr="00D02402">
        <w:rPr>
          <w:spacing w:val="-5"/>
        </w:rPr>
        <w:t xml:space="preserve">This report presents data about the use of compulsory assessment and treatment legislation in Aotearoa New Zealand, including the Mental Health (Compulsory Assessment and Treatment) Act 1992 (the Mental Health Act) and the Intellectual Disability (Compulsory Care and Rehabilitation) Act 2003 (the Intellectual Disability Care Act). To get a full picture of mental health and addiction services in Aotearoa New Zealand, I recommend you read this report in conjunction with updates on our website, in particular the </w:t>
      </w:r>
      <w:hyperlink r:id="rId17" w:history="1">
        <w:r w:rsidRPr="00D02402">
          <w:rPr>
            <w:rStyle w:val="Hyperlink"/>
            <w:spacing w:val="-5"/>
          </w:rPr>
          <w:t>Mental Health and Addiction monitoring, reporting and data</w:t>
        </w:r>
      </w:hyperlink>
      <w:r w:rsidRPr="00D02402">
        <w:rPr>
          <w:spacing w:val="-5"/>
        </w:rPr>
        <w:t xml:space="preserve"> page.</w:t>
      </w:r>
    </w:p>
    <w:p w14:paraId="09895B9C" w14:textId="77777777" w:rsidR="00D02402" w:rsidRPr="00D02402" w:rsidRDefault="00D02402" w:rsidP="00D02402">
      <w:pPr>
        <w:rPr>
          <w:spacing w:val="-5"/>
        </w:rPr>
      </w:pPr>
    </w:p>
    <w:p w14:paraId="6DDCDDD7" w14:textId="758C29D0" w:rsidR="00D02402" w:rsidRDefault="00D02402" w:rsidP="00D02402">
      <w:pPr>
        <w:rPr>
          <w:spacing w:val="-5"/>
        </w:rPr>
      </w:pPr>
      <w:r w:rsidRPr="00D02402">
        <w:rPr>
          <w:spacing w:val="-5"/>
        </w:rPr>
        <w:t>As the Director of Mental Health and Addiction, I am responsible for the general administration of the relevant legislation under the direction of the Minister of Health and the Director-General of Health. My functions and powers under the Acts listed above allow Manatū Hauora to provide guidance and oversight to mental health, addiction, and intellectual disability services. This means it is my role to make sure that anyone placed under compulsory treatment in Aotearoa New Zealand is well cared for and all legislative requirements are followed.</w:t>
      </w:r>
    </w:p>
    <w:p w14:paraId="1D2D0EF8" w14:textId="77777777" w:rsidR="00D02402" w:rsidRPr="00D02402" w:rsidRDefault="00D02402" w:rsidP="00D02402">
      <w:pPr>
        <w:rPr>
          <w:spacing w:val="-5"/>
        </w:rPr>
      </w:pPr>
    </w:p>
    <w:p w14:paraId="4D377505" w14:textId="64A4040D" w:rsidR="00D02402" w:rsidRDefault="00D02402" w:rsidP="00D02402">
      <w:pPr>
        <w:rPr>
          <w:spacing w:val="-5"/>
        </w:rPr>
      </w:pPr>
      <w:r w:rsidRPr="00D02402">
        <w:rPr>
          <w:spacing w:val="-5"/>
        </w:rPr>
        <w:t>I also provide the overall regulation of the services and have powers that enable me to intervene when required. Since 1 July 2022, I also assumed duties under the Intellectual Disability Care Act.</w:t>
      </w:r>
    </w:p>
    <w:p w14:paraId="033C5D43" w14:textId="77777777" w:rsidR="00D02402" w:rsidRPr="00D02402" w:rsidRDefault="00D02402" w:rsidP="00D02402">
      <w:pPr>
        <w:rPr>
          <w:spacing w:val="-5"/>
        </w:rPr>
      </w:pPr>
    </w:p>
    <w:p w14:paraId="63911AA7" w14:textId="3DD29474" w:rsidR="00D02402" w:rsidRDefault="00D02402" w:rsidP="00D02402">
      <w:pPr>
        <w:rPr>
          <w:spacing w:val="-5"/>
        </w:rPr>
      </w:pPr>
      <w:r w:rsidRPr="00D02402">
        <w:rPr>
          <w:spacing w:val="-5"/>
        </w:rPr>
        <w:t>Since 2005, the Office of the Director of Mental Health and Addiction Services has been reporting annually on the activities we undertake. The main purpose of the report is to present information and statistics that serve as barometers of quality for our mental health and addiction services. We actively monitor services so that we can be assured that people in Aotearoa New Zealand are receiving quality mental health care. It is encouraging to see a downward trend in the use of seclusion in this report, as we are committed to the goal of reducing and eventually eliminating seclusion. The use of compulsory assessment treatment remains steady with previous years, including the use of indefinite compulsory treatment orders. From October 2023, due to amendments to the Mental Health Act, these orders will not be legal and so services are encouraged to start work now on reducing the number of people who are under indefinite treatment orders.</w:t>
      </w:r>
    </w:p>
    <w:p w14:paraId="5295FA10" w14:textId="77777777" w:rsidR="00D02402" w:rsidRPr="00D02402" w:rsidRDefault="00D02402" w:rsidP="00D02402">
      <w:pPr>
        <w:rPr>
          <w:spacing w:val="-5"/>
        </w:rPr>
      </w:pPr>
    </w:p>
    <w:p w14:paraId="50B870B4" w14:textId="23DAB419" w:rsidR="00D02402" w:rsidRDefault="00D02402" w:rsidP="00D02402">
      <w:pPr>
        <w:rPr>
          <w:spacing w:val="-5"/>
        </w:rPr>
      </w:pPr>
      <w:r w:rsidRPr="00D02402">
        <w:rPr>
          <w:spacing w:val="-5"/>
        </w:rPr>
        <w:t>Other activity in the Mental Health and Addiction group at Manatū Hauora is the work to repeal and replace the current Mental Health Act, as recommended in He Ara Oranga.</w:t>
      </w:r>
      <w:r w:rsidR="00D728CA">
        <w:rPr>
          <w:rStyle w:val="FootnoteReference"/>
          <w:spacing w:val="-5"/>
        </w:rPr>
        <w:footnoteReference w:id="1"/>
      </w:r>
      <w:r w:rsidRPr="00D02402">
        <w:rPr>
          <w:spacing w:val="-5"/>
        </w:rPr>
        <w:t xml:space="preserve">  It is clear that this legislation has not kept pace with the shift towards a recovery and wellbeing approach to care. My office is working closely with the team developing the policy advice for this piece of work as part of Manatū Hauora’s commitment to upholding the rights of </w:t>
      </w:r>
      <w:r w:rsidRPr="00D02402">
        <w:rPr>
          <w:spacing w:val="-5"/>
        </w:rPr>
        <w:lastRenderedPageBreak/>
        <w:t>tāngata whaiora and ensuring service quality. At the same time, we are also working on immediate, short-term improvements under the current legislation. In September 2020 we issued the first of a series of guidelines that can be used within the parameters of the current Mental Health Act to acknowledge rights-based approaches and give greater emphasis to our obligations under Te Tiriti o Waitangi.</w:t>
      </w:r>
    </w:p>
    <w:p w14:paraId="183BDCDB" w14:textId="77777777" w:rsidR="00D728CA" w:rsidRPr="00D02402" w:rsidRDefault="00D728CA" w:rsidP="00D02402">
      <w:pPr>
        <w:rPr>
          <w:spacing w:val="-5"/>
        </w:rPr>
      </w:pPr>
    </w:p>
    <w:p w14:paraId="4EC882C8" w14:textId="6296A2FE" w:rsidR="00D02402" w:rsidRDefault="00D02402" w:rsidP="00D02402">
      <w:pPr>
        <w:rPr>
          <w:spacing w:val="-5"/>
        </w:rPr>
      </w:pPr>
      <w:r w:rsidRPr="00D02402">
        <w:rPr>
          <w:spacing w:val="-5"/>
        </w:rPr>
        <w:t xml:space="preserve">On 1 July 2022, the health reforms came into effect with the establishment of Te Whatu Ora – Health New Zealand and Te Aka Whai Ora – Māori Health Authority were established. My role as the Director of both Mental Health and Addiction Services has remained within the Ministry of Health, which will have a strengthened stewardship role in the health system. </w:t>
      </w:r>
    </w:p>
    <w:p w14:paraId="47F7CCBB" w14:textId="77777777" w:rsidR="00D728CA" w:rsidRPr="00D02402" w:rsidRDefault="00D728CA" w:rsidP="00D02402">
      <w:pPr>
        <w:rPr>
          <w:spacing w:val="-5"/>
        </w:rPr>
      </w:pPr>
    </w:p>
    <w:p w14:paraId="7D4E00E1" w14:textId="0AA865CA" w:rsidR="00D02402" w:rsidRDefault="00D02402" w:rsidP="00D02402">
      <w:pPr>
        <w:rPr>
          <w:spacing w:val="-5"/>
        </w:rPr>
      </w:pPr>
      <w:r w:rsidRPr="00D02402">
        <w:rPr>
          <w:spacing w:val="-5"/>
        </w:rPr>
        <w:t xml:space="preserve">The priorities for my office are to ensure there remains a consistent and high-quality level of care provided to tāngata whai ora receiving treatment under the Mental Health Act, Substance Addiction (Compulsory Assessment and Treatment) Act 2017 (Substance Addiction Act), and Intellectual Disability Care Act through this period of change. We are also working closely with Te Whatu Ora, Te Aka Whai Ora, and Whaikaha – Ministry for Disabled People to identify opportunities through the reforms to improve care and services for these tāngata whai ora. </w:t>
      </w:r>
    </w:p>
    <w:p w14:paraId="7955B5EB" w14:textId="77777777" w:rsidR="00D02402" w:rsidRPr="00D02402" w:rsidRDefault="00D02402" w:rsidP="00D02402">
      <w:pPr>
        <w:rPr>
          <w:spacing w:val="-5"/>
        </w:rPr>
      </w:pPr>
    </w:p>
    <w:p w14:paraId="3484A9DB" w14:textId="27E527CF" w:rsidR="00D02402" w:rsidRPr="00D02402" w:rsidRDefault="00D02402" w:rsidP="00D02402">
      <w:pPr>
        <w:rPr>
          <w:spacing w:val="-5"/>
        </w:rPr>
      </w:pPr>
      <w:r w:rsidRPr="00D02402">
        <w:rPr>
          <w:spacing w:val="-5"/>
        </w:rPr>
        <w:t>I’d like to take this opportunity</w:t>
      </w:r>
      <w:r w:rsidR="005E566B">
        <w:rPr>
          <w:spacing w:val="-5"/>
        </w:rPr>
        <w:t xml:space="preserve"> to</w:t>
      </w:r>
      <w:r w:rsidRPr="00D02402">
        <w:rPr>
          <w:spacing w:val="-5"/>
        </w:rPr>
        <w:t xml:space="preserve"> thank the mental health, addiction, and intellectual disability workforce in Aotearoa New Zealand. While the health system undergoes its largest ever reform programme, this dedicated group continues to provide a critical service to some of our most vulnerable. We know that there is always high demand for services, which are provided by an increasingly stretched workforce. There is always more to do to better grow, strengthen, and support our workforce, and we are working hard to ensure that the programmes underway are successful in providing sustainable solutions. </w:t>
      </w:r>
    </w:p>
    <w:p w14:paraId="6075029C" w14:textId="77777777" w:rsidR="00D02402" w:rsidRPr="00D02402" w:rsidRDefault="00D02402" w:rsidP="00D02402">
      <w:pPr>
        <w:rPr>
          <w:spacing w:val="-5"/>
        </w:rPr>
      </w:pPr>
    </w:p>
    <w:p w14:paraId="03F20287" w14:textId="77777777" w:rsidR="00D02402" w:rsidRPr="00D02402" w:rsidRDefault="00D02402" w:rsidP="00D02402">
      <w:pPr>
        <w:rPr>
          <w:spacing w:val="-5"/>
        </w:rPr>
      </w:pPr>
      <w:r w:rsidRPr="00D02402">
        <w:rPr>
          <w:spacing w:val="-5"/>
        </w:rPr>
        <w:t>Noho ora mai</w:t>
      </w:r>
    </w:p>
    <w:p w14:paraId="76579F13" w14:textId="77777777" w:rsidR="00D02402" w:rsidRPr="00D02402" w:rsidRDefault="00D02402" w:rsidP="00D02402">
      <w:pPr>
        <w:rPr>
          <w:spacing w:val="-5"/>
        </w:rPr>
      </w:pPr>
    </w:p>
    <w:p w14:paraId="1A7E9849" w14:textId="77777777" w:rsidR="00D02402" w:rsidRPr="00D02402" w:rsidRDefault="00D02402" w:rsidP="00D02402">
      <w:pPr>
        <w:rPr>
          <w:spacing w:val="-5"/>
        </w:rPr>
      </w:pPr>
      <w:r w:rsidRPr="00D02402">
        <w:rPr>
          <w:spacing w:val="-5"/>
        </w:rPr>
        <w:t>Dr John Crawshaw</w:t>
      </w:r>
    </w:p>
    <w:p w14:paraId="05A4F014" w14:textId="77777777" w:rsidR="00D02402" w:rsidRPr="00D02402" w:rsidRDefault="00D02402" w:rsidP="00D02402">
      <w:pPr>
        <w:rPr>
          <w:spacing w:val="-5"/>
        </w:rPr>
      </w:pPr>
      <w:r w:rsidRPr="00D02402">
        <w:rPr>
          <w:spacing w:val="-5"/>
        </w:rPr>
        <w:t>Director of Mental Health</w:t>
      </w:r>
    </w:p>
    <w:p w14:paraId="3C70FAF9" w14:textId="239AF4A7" w:rsidR="00D662F8" w:rsidRDefault="00D02402" w:rsidP="00D02402">
      <w:r w:rsidRPr="00D02402">
        <w:rPr>
          <w:spacing w:val="-5"/>
        </w:rPr>
        <w:t>Director of Addiction Services</w:t>
      </w:r>
    </w:p>
    <w:p w14:paraId="5558ECEF" w14:textId="77777777" w:rsidR="00571223" w:rsidRDefault="00571223" w:rsidP="0046362D">
      <w:pPr>
        <w:sectPr w:rsidR="00571223" w:rsidSect="001D3E4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648D4F84" w14:textId="77777777" w:rsidR="00C86248" w:rsidRDefault="00C86248" w:rsidP="00025A6F">
      <w:pPr>
        <w:pStyle w:val="IntroHead"/>
      </w:pPr>
      <w:r>
        <w:lastRenderedPageBreak/>
        <w:t>Contents</w:t>
      </w:r>
      <w:bookmarkEnd w:id="1"/>
      <w:bookmarkEnd w:id="2"/>
    </w:p>
    <w:p w14:paraId="60529762" w14:textId="35D4A77E" w:rsidR="00925EA5" w:rsidRDefault="00925EA5">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15431692" w:history="1">
        <w:r w:rsidRPr="00170C6C">
          <w:rPr>
            <w:rStyle w:val="Hyperlink"/>
            <w:noProof/>
          </w:rPr>
          <w:t>Foreword</w:t>
        </w:r>
        <w:r>
          <w:rPr>
            <w:noProof/>
            <w:webHidden/>
          </w:rPr>
          <w:tab/>
        </w:r>
        <w:r>
          <w:rPr>
            <w:noProof/>
            <w:webHidden/>
          </w:rPr>
          <w:fldChar w:fldCharType="begin"/>
        </w:r>
        <w:r>
          <w:rPr>
            <w:noProof/>
            <w:webHidden/>
          </w:rPr>
          <w:instrText xml:space="preserve"> PAGEREF _Toc115431692 \h </w:instrText>
        </w:r>
        <w:r>
          <w:rPr>
            <w:noProof/>
            <w:webHidden/>
          </w:rPr>
        </w:r>
        <w:r>
          <w:rPr>
            <w:noProof/>
            <w:webHidden/>
          </w:rPr>
          <w:fldChar w:fldCharType="separate"/>
        </w:r>
        <w:r w:rsidR="009A04B0">
          <w:rPr>
            <w:noProof/>
            <w:webHidden/>
          </w:rPr>
          <w:t>iii</w:t>
        </w:r>
        <w:r>
          <w:rPr>
            <w:noProof/>
            <w:webHidden/>
          </w:rPr>
          <w:fldChar w:fldCharType="end"/>
        </w:r>
      </w:hyperlink>
    </w:p>
    <w:p w14:paraId="5B86785F" w14:textId="2BE526C8" w:rsidR="00925EA5" w:rsidRDefault="00925EA5">
      <w:pPr>
        <w:pStyle w:val="TOC1"/>
        <w:rPr>
          <w:rFonts w:asciiTheme="minorHAnsi" w:eastAsiaTheme="minorEastAsia" w:hAnsiTheme="minorHAnsi" w:cstheme="minorBidi"/>
          <w:noProof/>
          <w:sz w:val="22"/>
          <w:szCs w:val="22"/>
          <w:lang w:eastAsia="en-NZ"/>
        </w:rPr>
      </w:pPr>
      <w:hyperlink w:anchor="_Toc115431693" w:history="1">
        <w:r w:rsidRPr="00170C6C">
          <w:rPr>
            <w:rStyle w:val="Hyperlink"/>
            <w:noProof/>
          </w:rPr>
          <w:t>Use of the Mental Health Act</w:t>
        </w:r>
        <w:r>
          <w:rPr>
            <w:noProof/>
            <w:webHidden/>
          </w:rPr>
          <w:tab/>
        </w:r>
        <w:r>
          <w:rPr>
            <w:noProof/>
            <w:webHidden/>
          </w:rPr>
          <w:fldChar w:fldCharType="begin"/>
        </w:r>
        <w:r>
          <w:rPr>
            <w:noProof/>
            <w:webHidden/>
          </w:rPr>
          <w:instrText xml:space="preserve"> PAGEREF _Toc115431693 \h </w:instrText>
        </w:r>
        <w:r>
          <w:rPr>
            <w:noProof/>
            <w:webHidden/>
          </w:rPr>
        </w:r>
        <w:r>
          <w:rPr>
            <w:noProof/>
            <w:webHidden/>
          </w:rPr>
          <w:fldChar w:fldCharType="separate"/>
        </w:r>
        <w:r w:rsidR="009A04B0">
          <w:rPr>
            <w:noProof/>
            <w:webHidden/>
          </w:rPr>
          <w:t>1</w:t>
        </w:r>
        <w:r>
          <w:rPr>
            <w:noProof/>
            <w:webHidden/>
          </w:rPr>
          <w:fldChar w:fldCharType="end"/>
        </w:r>
      </w:hyperlink>
    </w:p>
    <w:p w14:paraId="50C4B252" w14:textId="4E2FCF38" w:rsidR="00925EA5" w:rsidRDefault="00925EA5">
      <w:pPr>
        <w:pStyle w:val="TOC1"/>
        <w:rPr>
          <w:rFonts w:asciiTheme="minorHAnsi" w:eastAsiaTheme="minorEastAsia" w:hAnsiTheme="minorHAnsi" w:cstheme="minorBidi"/>
          <w:noProof/>
          <w:sz w:val="22"/>
          <w:szCs w:val="22"/>
          <w:lang w:eastAsia="en-NZ"/>
        </w:rPr>
      </w:pPr>
      <w:hyperlink w:anchor="_Toc115431694" w:history="1">
        <w:r w:rsidRPr="00170C6C">
          <w:rPr>
            <w:rStyle w:val="Hyperlink"/>
            <w:noProof/>
          </w:rPr>
          <w:t>The Mental Health Act process</w:t>
        </w:r>
        <w:r>
          <w:rPr>
            <w:noProof/>
            <w:webHidden/>
          </w:rPr>
          <w:tab/>
        </w:r>
        <w:r>
          <w:rPr>
            <w:noProof/>
            <w:webHidden/>
          </w:rPr>
          <w:fldChar w:fldCharType="begin"/>
        </w:r>
        <w:r>
          <w:rPr>
            <w:noProof/>
            <w:webHidden/>
          </w:rPr>
          <w:instrText xml:space="preserve"> PAGEREF _Toc115431694 \h </w:instrText>
        </w:r>
        <w:r>
          <w:rPr>
            <w:noProof/>
            <w:webHidden/>
          </w:rPr>
        </w:r>
        <w:r>
          <w:rPr>
            <w:noProof/>
            <w:webHidden/>
          </w:rPr>
          <w:fldChar w:fldCharType="separate"/>
        </w:r>
        <w:r w:rsidR="009A04B0">
          <w:rPr>
            <w:noProof/>
            <w:webHidden/>
          </w:rPr>
          <w:t>2</w:t>
        </w:r>
        <w:r>
          <w:rPr>
            <w:noProof/>
            <w:webHidden/>
          </w:rPr>
          <w:fldChar w:fldCharType="end"/>
        </w:r>
      </w:hyperlink>
    </w:p>
    <w:p w14:paraId="24F9DD84" w14:textId="3B643257" w:rsidR="00925EA5" w:rsidRDefault="00925EA5">
      <w:pPr>
        <w:pStyle w:val="TOC2"/>
        <w:rPr>
          <w:rFonts w:asciiTheme="minorHAnsi" w:eastAsiaTheme="minorEastAsia" w:hAnsiTheme="minorHAnsi" w:cstheme="minorBidi"/>
          <w:noProof/>
          <w:szCs w:val="22"/>
          <w:lang w:eastAsia="en-NZ"/>
        </w:rPr>
      </w:pPr>
      <w:hyperlink w:anchor="_Toc115431695" w:history="1">
        <w:r w:rsidRPr="00170C6C">
          <w:rPr>
            <w:rStyle w:val="Hyperlink"/>
            <w:noProof/>
          </w:rPr>
          <w:t>Court applications in 2020/21</w:t>
        </w:r>
        <w:r>
          <w:rPr>
            <w:noProof/>
            <w:webHidden/>
          </w:rPr>
          <w:tab/>
        </w:r>
        <w:r>
          <w:rPr>
            <w:noProof/>
            <w:webHidden/>
          </w:rPr>
          <w:fldChar w:fldCharType="begin"/>
        </w:r>
        <w:r>
          <w:rPr>
            <w:noProof/>
            <w:webHidden/>
          </w:rPr>
          <w:instrText xml:space="preserve"> PAGEREF _Toc115431695 \h </w:instrText>
        </w:r>
        <w:r>
          <w:rPr>
            <w:noProof/>
            <w:webHidden/>
          </w:rPr>
        </w:r>
        <w:r>
          <w:rPr>
            <w:noProof/>
            <w:webHidden/>
          </w:rPr>
          <w:fldChar w:fldCharType="separate"/>
        </w:r>
        <w:r w:rsidR="009A04B0">
          <w:rPr>
            <w:noProof/>
            <w:webHidden/>
          </w:rPr>
          <w:t>2</w:t>
        </w:r>
        <w:r>
          <w:rPr>
            <w:noProof/>
            <w:webHidden/>
          </w:rPr>
          <w:fldChar w:fldCharType="end"/>
        </w:r>
      </w:hyperlink>
    </w:p>
    <w:p w14:paraId="20B3CFBF" w14:textId="312EDE38" w:rsidR="00925EA5" w:rsidRDefault="00925EA5">
      <w:pPr>
        <w:pStyle w:val="TOC2"/>
        <w:rPr>
          <w:rFonts w:asciiTheme="minorHAnsi" w:eastAsiaTheme="minorEastAsia" w:hAnsiTheme="minorHAnsi" w:cstheme="minorBidi"/>
          <w:noProof/>
          <w:szCs w:val="22"/>
          <w:lang w:eastAsia="en-NZ"/>
        </w:rPr>
      </w:pPr>
      <w:hyperlink w:anchor="_Toc115431696" w:history="1">
        <w:r w:rsidRPr="00170C6C">
          <w:rPr>
            <w:rStyle w:val="Hyperlink"/>
            <w:noProof/>
          </w:rPr>
          <w:t>Compulsory assessment and treatment in 2020/21</w:t>
        </w:r>
        <w:r>
          <w:rPr>
            <w:noProof/>
            <w:webHidden/>
          </w:rPr>
          <w:tab/>
        </w:r>
        <w:r>
          <w:rPr>
            <w:noProof/>
            <w:webHidden/>
          </w:rPr>
          <w:fldChar w:fldCharType="begin"/>
        </w:r>
        <w:r>
          <w:rPr>
            <w:noProof/>
            <w:webHidden/>
          </w:rPr>
          <w:instrText xml:space="preserve"> PAGEREF _Toc115431696 \h </w:instrText>
        </w:r>
        <w:r>
          <w:rPr>
            <w:noProof/>
            <w:webHidden/>
          </w:rPr>
        </w:r>
        <w:r>
          <w:rPr>
            <w:noProof/>
            <w:webHidden/>
          </w:rPr>
          <w:fldChar w:fldCharType="separate"/>
        </w:r>
        <w:r w:rsidR="009A04B0">
          <w:rPr>
            <w:noProof/>
            <w:webHidden/>
          </w:rPr>
          <w:t>2</w:t>
        </w:r>
        <w:r>
          <w:rPr>
            <w:noProof/>
            <w:webHidden/>
          </w:rPr>
          <w:fldChar w:fldCharType="end"/>
        </w:r>
      </w:hyperlink>
    </w:p>
    <w:p w14:paraId="2D358E1B" w14:textId="72CB8F94" w:rsidR="00925EA5" w:rsidRDefault="00925EA5">
      <w:pPr>
        <w:pStyle w:val="TOC2"/>
        <w:rPr>
          <w:rFonts w:asciiTheme="minorHAnsi" w:eastAsiaTheme="minorEastAsia" w:hAnsiTheme="minorHAnsi" w:cstheme="minorBidi"/>
          <w:noProof/>
          <w:szCs w:val="22"/>
          <w:lang w:eastAsia="en-NZ"/>
        </w:rPr>
      </w:pPr>
      <w:hyperlink w:anchor="_Toc115431697" w:history="1">
        <w:r w:rsidRPr="00170C6C">
          <w:rPr>
            <w:rStyle w:val="Hyperlink"/>
            <w:noProof/>
          </w:rPr>
          <w:t>Comparing compulsory assessment and treatment among DHBs</w:t>
        </w:r>
        <w:r>
          <w:rPr>
            <w:noProof/>
            <w:webHidden/>
          </w:rPr>
          <w:tab/>
        </w:r>
        <w:r>
          <w:rPr>
            <w:noProof/>
            <w:webHidden/>
          </w:rPr>
          <w:fldChar w:fldCharType="begin"/>
        </w:r>
        <w:r>
          <w:rPr>
            <w:noProof/>
            <w:webHidden/>
          </w:rPr>
          <w:instrText xml:space="preserve"> PAGEREF _Toc115431697 \h </w:instrText>
        </w:r>
        <w:r>
          <w:rPr>
            <w:noProof/>
            <w:webHidden/>
          </w:rPr>
        </w:r>
        <w:r>
          <w:rPr>
            <w:noProof/>
            <w:webHidden/>
          </w:rPr>
          <w:fldChar w:fldCharType="separate"/>
        </w:r>
        <w:r w:rsidR="009A04B0">
          <w:rPr>
            <w:noProof/>
            <w:webHidden/>
          </w:rPr>
          <w:t>4</w:t>
        </w:r>
        <w:r>
          <w:rPr>
            <w:noProof/>
            <w:webHidden/>
          </w:rPr>
          <w:fldChar w:fldCharType="end"/>
        </w:r>
      </w:hyperlink>
    </w:p>
    <w:p w14:paraId="7A9972BA" w14:textId="4B301A4A" w:rsidR="00925EA5" w:rsidRDefault="00925EA5">
      <w:pPr>
        <w:pStyle w:val="TOC2"/>
        <w:rPr>
          <w:rFonts w:asciiTheme="minorHAnsi" w:eastAsiaTheme="minorEastAsia" w:hAnsiTheme="minorHAnsi" w:cstheme="minorBidi"/>
          <w:noProof/>
          <w:szCs w:val="22"/>
          <w:lang w:eastAsia="en-NZ"/>
        </w:rPr>
      </w:pPr>
      <w:hyperlink w:anchor="_Toc115431698" w:history="1">
        <w:r w:rsidRPr="00170C6C">
          <w:rPr>
            <w:rStyle w:val="Hyperlink"/>
            <w:noProof/>
          </w:rPr>
          <w:t>Compulsory treatment by age and gender</w:t>
        </w:r>
        <w:r>
          <w:rPr>
            <w:noProof/>
            <w:webHidden/>
          </w:rPr>
          <w:tab/>
        </w:r>
        <w:r>
          <w:rPr>
            <w:noProof/>
            <w:webHidden/>
          </w:rPr>
          <w:fldChar w:fldCharType="begin"/>
        </w:r>
        <w:r>
          <w:rPr>
            <w:noProof/>
            <w:webHidden/>
          </w:rPr>
          <w:instrText xml:space="preserve"> PAGEREF _Toc115431698 \h </w:instrText>
        </w:r>
        <w:r>
          <w:rPr>
            <w:noProof/>
            <w:webHidden/>
          </w:rPr>
        </w:r>
        <w:r>
          <w:rPr>
            <w:noProof/>
            <w:webHidden/>
          </w:rPr>
          <w:fldChar w:fldCharType="separate"/>
        </w:r>
        <w:r w:rsidR="009A04B0">
          <w:rPr>
            <w:noProof/>
            <w:webHidden/>
          </w:rPr>
          <w:t>7</w:t>
        </w:r>
        <w:r>
          <w:rPr>
            <w:noProof/>
            <w:webHidden/>
          </w:rPr>
          <w:fldChar w:fldCharType="end"/>
        </w:r>
      </w:hyperlink>
    </w:p>
    <w:p w14:paraId="6BD3505D" w14:textId="71C1CCC4" w:rsidR="00925EA5" w:rsidRDefault="00925EA5">
      <w:pPr>
        <w:pStyle w:val="TOC1"/>
        <w:rPr>
          <w:rFonts w:asciiTheme="minorHAnsi" w:eastAsiaTheme="minorEastAsia" w:hAnsiTheme="minorHAnsi" w:cstheme="minorBidi"/>
          <w:noProof/>
          <w:sz w:val="22"/>
          <w:szCs w:val="22"/>
          <w:lang w:eastAsia="en-NZ"/>
        </w:rPr>
      </w:pPr>
      <w:hyperlink w:anchor="_Toc115431699" w:history="1">
        <w:r w:rsidRPr="00170C6C">
          <w:rPr>
            <w:rStyle w:val="Hyperlink"/>
            <w:noProof/>
          </w:rPr>
          <w:t>Tāngata whai ora</w:t>
        </w:r>
        <w:r>
          <w:rPr>
            <w:noProof/>
            <w:webHidden/>
          </w:rPr>
          <w:tab/>
        </w:r>
        <w:r>
          <w:rPr>
            <w:noProof/>
            <w:webHidden/>
          </w:rPr>
          <w:fldChar w:fldCharType="begin"/>
        </w:r>
        <w:r>
          <w:rPr>
            <w:noProof/>
            <w:webHidden/>
          </w:rPr>
          <w:instrText xml:space="preserve"> PAGEREF _Toc115431699 \h </w:instrText>
        </w:r>
        <w:r>
          <w:rPr>
            <w:noProof/>
            <w:webHidden/>
          </w:rPr>
        </w:r>
        <w:r>
          <w:rPr>
            <w:noProof/>
            <w:webHidden/>
          </w:rPr>
          <w:fldChar w:fldCharType="separate"/>
        </w:r>
        <w:r w:rsidR="009A04B0">
          <w:rPr>
            <w:noProof/>
            <w:webHidden/>
          </w:rPr>
          <w:t>9</w:t>
        </w:r>
        <w:r>
          <w:rPr>
            <w:noProof/>
            <w:webHidden/>
          </w:rPr>
          <w:fldChar w:fldCharType="end"/>
        </w:r>
      </w:hyperlink>
    </w:p>
    <w:p w14:paraId="24BEF74C" w14:textId="59BC94D8" w:rsidR="00925EA5" w:rsidRDefault="00925EA5">
      <w:pPr>
        <w:pStyle w:val="TOC2"/>
        <w:rPr>
          <w:rFonts w:asciiTheme="minorHAnsi" w:eastAsiaTheme="minorEastAsia" w:hAnsiTheme="minorHAnsi" w:cstheme="minorBidi"/>
          <w:noProof/>
          <w:szCs w:val="22"/>
          <w:lang w:eastAsia="en-NZ"/>
        </w:rPr>
      </w:pPr>
      <w:hyperlink w:anchor="_Toc115431700" w:history="1">
        <w:r w:rsidRPr="00170C6C">
          <w:rPr>
            <w:rStyle w:val="Hyperlink"/>
            <w:noProof/>
          </w:rPr>
          <w:t>Compulsory assessment</w:t>
        </w:r>
        <w:r>
          <w:rPr>
            <w:noProof/>
            <w:webHidden/>
          </w:rPr>
          <w:tab/>
        </w:r>
        <w:r>
          <w:rPr>
            <w:noProof/>
            <w:webHidden/>
          </w:rPr>
          <w:fldChar w:fldCharType="begin"/>
        </w:r>
        <w:r>
          <w:rPr>
            <w:noProof/>
            <w:webHidden/>
          </w:rPr>
          <w:instrText xml:space="preserve"> PAGEREF _Toc115431700 \h </w:instrText>
        </w:r>
        <w:r>
          <w:rPr>
            <w:noProof/>
            <w:webHidden/>
          </w:rPr>
        </w:r>
        <w:r>
          <w:rPr>
            <w:noProof/>
            <w:webHidden/>
          </w:rPr>
          <w:fldChar w:fldCharType="separate"/>
        </w:r>
        <w:r w:rsidR="009A04B0">
          <w:rPr>
            <w:noProof/>
            <w:webHidden/>
          </w:rPr>
          <w:t>10</w:t>
        </w:r>
        <w:r>
          <w:rPr>
            <w:noProof/>
            <w:webHidden/>
          </w:rPr>
          <w:fldChar w:fldCharType="end"/>
        </w:r>
      </w:hyperlink>
    </w:p>
    <w:p w14:paraId="4D21EDA9" w14:textId="4C8044FB" w:rsidR="00925EA5" w:rsidRDefault="00925EA5">
      <w:pPr>
        <w:pStyle w:val="TOC2"/>
        <w:rPr>
          <w:rFonts w:asciiTheme="minorHAnsi" w:eastAsiaTheme="minorEastAsia" w:hAnsiTheme="minorHAnsi" w:cstheme="minorBidi"/>
          <w:noProof/>
          <w:szCs w:val="22"/>
          <w:lang w:eastAsia="en-NZ"/>
        </w:rPr>
      </w:pPr>
      <w:hyperlink w:anchor="_Toc115431701" w:history="1">
        <w:r w:rsidRPr="00170C6C">
          <w:rPr>
            <w:rStyle w:val="Hyperlink"/>
            <w:noProof/>
          </w:rPr>
          <w:t>Compulsory treatment orders</w:t>
        </w:r>
        <w:r>
          <w:rPr>
            <w:noProof/>
            <w:webHidden/>
          </w:rPr>
          <w:tab/>
        </w:r>
        <w:r>
          <w:rPr>
            <w:noProof/>
            <w:webHidden/>
          </w:rPr>
          <w:fldChar w:fldCharType="begin"/>
        </w:r>
        <w:r>
          <w:rPr>
            <w:noProof/>
            <w:webHidden/>
          </w:rPr>
          <w:instrText xml:space="preserve"> PAGEREF _Toc115431701 \h </w:instrText>
        </w:r>
        <w:r>
          <w:rPr>
            <w:noProof/>
            <w:webHidden/>
          </w:rPr>
        </w:r>
        <w:r>
          <w:rPr>
            <w:noProof/>
            <w:webHidden/>
          </w:rPr>
          <w:fldChar w:fldCharType="separate"/>
        </w:r>
        <w:r w:rsidR="009A04B0">
          <w:rPr>
            <w:noProof/>
            <w:webHidden/>
          </w:rPr>
          <w:t>10</w:t>
        </w:r>
        <w:r>
          <w:rPr>
            <w:noProof/>
            <w:webHidden/>
          </w:rPr>
          <w:fldChar w:fldCharType="end"/>
        </w:r>
      </w:hyperlink>
    </w:p>
    <w:p w14:paraId="29A73813" w14:textId="7A242945" w:rsidR="00925EA5" w:rsidRDefault="00925EA5">
      <w:pPr>
        <w:pStyle w:val="TOC2"/>
        <w:rPr>
          <w:rFonts w:asciiTheme="minorHAnsi" w:eastAsiaTheme="minorEastAsia" w:hAnsiTheme="minorHAnsi" w:cstheme="minorBidi"/>
          <w:noProof/>
          <w:szCs w:val="22"/>
          <w:lang w:eastAsia="en-NZ"/>
        </w:rPr>
      </w:pPr>
      <w:hyperlink w:anchor="_Toc115431702" w:history="1">
        <w:r w:rsidRPr="00170C6C">
          <w:rPr>
            <w:rStyle w:val="Hyperlink"/>
            <w:noProof/>
          </w:rPr>
          <w:t>Length of time people are subject to compulsory treatment orders</w:t>
        </w:r>
        <w:r>
          <w:rPr>
            <w:noProof/>
            <w:webHidden/>
          </w:rPr>
          <w:tab/>
        </w:r>
        <w:r>
          <w:rPr>
            <w:noProof/>
            <w:webHidden/>
          </w:rPr>
          <w:fldChar w:fldCharType="begin"/>
        </w:r>
        <w:r>
          <w:rPr>
            <w:noProof/>
            <w:webHidden/>
          </w:rPr>
          <w:instrText xml:space="preserve"> PAGEREF _Toc115431702 \h </w:instrText>
        </w:r>
        <w:r>
          <w:rPr>
            <w:noProof/>
            <w:webHidden/>
          </w:rPr>
        </w:r>
        <w:r>
          <w:rPr>
            <w:noProof/>
            <w:webHidden/>
          </w:rPr>
          <w:fldChar w:fldCharType="separate"/>
        </w:r>
        <w:r w:rsidR="009A04B0">
          <w:rPr>
            <w:noProof/>
            <w:webHidden/>
          </w:rPr>
          <w:t>13</w:t>
        </w:r>
        <w:r>
          <w:rPr>
            <w:noProof/>
            <w:webHidden/>
          </w:rPr>
          <w:fldChar w:fldCharType="end"/>
        </w:r>
      </w:hyperlink>
    </w:p>
    <w:p w14:paraId="0F1EF5EA" w14:textId="177B87F5" w:rsidR="00925EA5" w:rsidRDefault="00925EA5">
      <w:pPr>
        <w:pStyle w:val="TOC2"/>
        <w:rPr>
          <w:rFonts w:asciiTheme="minorHAnsi" w:eastAsiaTheme="minorEastAsia" w:hAnsiTheme="minorHAnsi" w:cstheme="minorBidi"/>
          <w:noProof/>
          <w:szCs w:val="22"/>
          <w:lang w:eastAsia="en-NZ"/>
        </w:rPr>
      </w:pPr>
      <w:hyperlink w:anchor="_Toc115431703" w:history="1">
        <w:r w:rsidRPr="00170C6C">
          <w:rPr>
            <w:rStyle w:val="Hyperlink"/>
            <w:noProof/>
          </w:rPr>
          <w:t>Family and whānau consultation under the Mental Health Act</w:t>
        </w:r>
        <w:r>
          <w:rPr>
            <w:noProof/>
            <w:webHidden/>
          </w:rPr>
          <w:tab/>
        </w:r>
        <w:r>
          <w:rPr>
            <w:noProof/>
            <w:webHidden/>
          </w:rPr>
          <w:fldChar w:fldCharType="begin"/>
        </w:r>
        <w:r>
          <w:rPr>
            <w:noProof/>
            <w:webHidden/>
          </w:rPr>
          <w:instrText xml:space="preserve"> PAGEREF _Toc115431703 \h </w:instrText>
        </w:r>
        <w:r>
          <w:rPr>
            <w:noProof/>
            <w:webHidden/>
          </w:rPr>
        </w:r>
        <w:r>
          <w:rPr>
            <w:noProof/>
            <w:webHidden/>
          </w:rPr>
          <w:fldChar w:fldCharType="separate"/>
        </w:r>
        <w:r w:rsidR="009A04B0">
          <w:rPr>
            <w:noProof/>
            <w:webHidden/>
          </w:rPr>
          <w:t>16</w:t>
        </w:r>
        <w:r>
          <w:rPr>
            <w:noProof/>
            <w:webHidden/>
          </w:rPr>
          <w:fldChar w:fldCharType="end"/>
        </w:r>
      </w:hyperlink>
    </w:p>
    <w:p w14:paraId="31CCD0A6" w14:textId="2DDB5CD5" w:rsidR="00925EA5" w:rsidRDefault="00925EA5">
      <w:pPr>
        <w:pStyle w:val="TOC1"/>
        <w:rPr>
          <w:rFonts w:asciiTheme="minorHAnsi" w:eastAsiaTheme="minorEastAsia" w:hAnsiTheme="minorHAnsi" w:cstheme="minorBidi"/>
          <w:noProof/>
          <w:sz w:val="22"/>
          <w:szCs w:val="22"/>
          <w:lang w:eastAsia="en-NZ"/>
        </w:rPr>
      </w:pPr>
      <w:hyperlink w:anchor="_Toc115431704" w:history="1">
        <w:r w:rsidRPr="00170C6C">
          <w:rPr>
            <w:rStyle w:val="Hyperlink"/>
            <w:noProof/>
          </w:rPr>
          <w:t>Indefinite compulsory treatment orders</w:t>
        </w:r>
        <w:r>
          <w:rPr>
            <w:noProof/>
            <w:webHidden/>
          </w:rPr>
          <w:tab/>
        </w:r>
        <w:r>
          <w:rPr>
            <w:noProof/>
            <w:webHidden/>
          </w:rPr>
          <w:fldChar w:fldCharType="begin"/>
        </w:r>
        <w:r>
          <w:rPr>
            <w:noProof/>
            <w:webHidden/>
          </w:rPr>
          <w:instrText xml:space="preserve"> PAGEREF _Toc115431704 \h </w:instrText>
        </w:r>
        <w:r>
          <w:rPr>
            <w:noProof/>
            <w:webHidden/>
          </w:rPr>
        </w:r>
        <w:r>
          <w:rPr>
            <w:noProof/>
            <w:webHidden/>
          </w:rPr>
          <w:fldChar w:fldCharType="separate"/>
        </w:r>
        <w:r w:rsidR="009A04B0">
          <w:rPr>
            <w:noProof/>
            <w:webHidden/>
          </w:rPr>
          <w:t>19</w:t>
        </w:r>
        <w:r>
          <w:rPr>
            <w:noProof/>
            <w:webHidden/>
          </w:rPr>
          <w:fldChar w:fldCharType="end"/>
        </w:r>
      </w:hyperlink>
    </w:p>
    <w:p w14:paraId="196D4474" w14:textId="335175F9" w:rsidR="00925EA5" w:rsidRDefault="00925EA5">
      <w:pPr>
        <w:pStyle w:val="TOC2"/>
        <w:rPr>
          <w:rFonts w:asciiTheme="minorHAnsi" w:eastAsiaTheme="minorEastAsia" w:hAnsiTheme="minorHAnsi" w:cstheme="minorBidi"/>
          <w:noProof/>
          <w:szCs w:val="22"/>
          <w:lang w:eastAsia="en-NZ"/>
        </w:rPr>
      </w:pPr>
      <w:hyperlink w:anchor="_Toc115431705" w:history="1">
        <w:r w:rsidRPr="00170C6C">
          <w:rPr>
            <w:rStyle w:val="Hyperlink"/>
            <w:noProof/>
          </w:rPr>
          <w:t>Indefinite community treatment orders</w:t>
        </w:r>
        <w:r>
          <w:rPr>
            <w:noProof/>
            <w:webHidden/>
          </w:rPr>
          <w:tab/>
        </w:r>
        <w:r>
          <w:rPr>
            <w:noProof/>
            <w:webHidden/>
          </w:rPr>
          <w:fldChar w:fldCharType="begin"/>
        </w:r>
        <w:r>
          <w:rPr>
            <w:noProof/>
            <w:webHidden/>
          </w:rPr>
          <w:instrText xml:space="preserve"> PAGEREF _Toc115431705 \h </w:instrText>
        </w:r>
        <w:r>
          <w:rPr>
            <w:noProof/>
            <w:webHidden/>
          </w:rPr>
        </w:r>
        <w:r>
          <w:rPr>
            <w:noProof/>
            <w:webHidden/>
          </w:rPr>
          <w:fldChar w:fldCharType="separate"/>
        </w:r>
        <w:r w:rsidR="009A04B0">
          <w:rPr>
            <w:noProof/>
            <w:webHidden/>
          </w:rPr>
          <w:t>19</w:t>
        </w:r>
        <w:r>
          <w:rPr>
            <w:noProof/>
            <w:webHidden/>
          </w:rPr>
          <w:fldChar w:fldCharType="end"/>
        </w:r>
      </w:hyperlink>
    </w:p>
    <w:p w14:paraId="0FE7C8F2" w14:textId="23EF81CE" w:rsidR="00925EA5" w:rsidRDefault="00925EA5">
      <w:pPr>
        <w:pStyle w:val="TOC2"/>
        <w:rPr>
          <w:rFonts w:asciiTheme="minorHAnsi" w:eastAsiaTheme="minorEastAsia" w:hAnsiTheme="minorHAnsi" w:cstheme="minorBidi"/>
          <w:noProof/>
          <w:szCs w:val="22"/>
          <w:lang w:eastAsia="en-NZ"/>
        </w:rPr>
      </w:pPr>
      <w:hyperlink w:anchor="_Toc115431706" w:history="1">
        <w:r w:rsidRPr="00170C6C">
          <w:rPr>
            <w:rStyle w:val="Hyperlink"/>
            <w:noProof/>
          </w:rPr>
          <w:t>Indefinite inpatient treatment orders</w:t>
        </w:r>
        <w:r>
          <w:rPr>
            <w:noProof/>
            <w:webHidden/>
          </w:rPr>
          <w:tab/>
        </w:r>
        <w:r>
          <w:rPr>
            <w:noProof/>
            <w:webHidden/>
          </w:rPr>
          <w:fldChar w:fldCharType="begin"/>
        </w:r>
        <w:r>
          <w:rPr>
            <w:noProof/>
            <w:webHidden/>
          </w:rPr>
          <w:instrText xml:space="preserve"> PAGEREF _Toc115431706 \h </w:instrText>
        </w:r>
        <w:r>
          <w:rPr>
            <w:noProof/>
            <w:webHidden/>
          </w:rPr>
        </w:r>
        <w:r>
          <w:rPr>
            <w:noProof/>
            <w:webHidden/>
          </w:rPr>
          <w:fldChar w:fldCharType="separate"/>
        </w:r>
        <w:r w:rsidR="009A04B0">
          <w:rPr>
            <w:noProof/>
            <w:webHidden/>
          </w:rPr>
          <w:t>22</w:t>
        </w:r>
        <w:r>
          <w:rPr>
            <w:noProof/>
            <w:webHidden/>
          </w:rPr>
          <w:fldChar w:fldCharType="end"/>
        </w:r>
      </w:hyperlink>
    </w:p>
    <w:p w14:paraId="4A14A53C" w14:textId="3E7CACB6" w:rsidR="00925EA5" w:rsidRDefault="00925EA5">
      <w:pPr>
        <w:pStyle w:val="TOC1"/>
        <w:rPr>
          <w:rFonts w:asciiTheme="minorHAnsi" w:eastAsiaTheme="minorEastAsia" w:hAnsiTheme="minorHAnsi" w:cstheme="minorBidi"/>
          <w:noProof/>
          <w:sz w:val="22"/>
          <w:szCs w:val="22"/>
          <w:lang w:eastAsia="en-NZ"/>
        </w:rPr>
      </w:pPr>
      <w:hyperlink w:anchor="_Toc115431707" w:history="1">
        <w:r w:rsidRPr="00170C6C">
          <w:rPr>
            <w:rStyle w:val="Hyperlink"/>
            <w:noProof/>
          </w:rPr>
          <w:t>Seclusion</w:t>
        </w:r>
        <w:r>
          <w:rPr>
            <w:noProof/>
            <w:webHidden/>
          </w:rPr>
          <w:tab/>
        </w:r>
        <w:r>
          <w:rPr>
            <w:noProof/>
            <w:webHidden/>
          </w:rPr>
          <w:fldChar w:fldCharType="begin"/>
        </w:r>
        <w:r>
          <w:rPr>
            <w:noProof/>
            <w:webHidden/>
          </w:rPr>
          <w:instrText xml:space="preserve"> PAGEREF _Toc115431707 \h </w:instrText>
        </w:r>
        <w:r>
          <w:rPr>
            <w:noProof/>
            <w:webHidden/>
          </w:rPr>
        </w:r>
        <w:r>
          <w:rPr>
            <w:noProof/>
            <w:webHidden/>
          </w:rPr>
          <w:fldChar w:fldCharType="separate"/>
        </w:r>
        <w:r w:rsidR="009A04B0">
          <w:rPr>
            <w:noProof/>
            <w:webHidden/>
          </w:rPr>
          <w:t>26</w:t>
        </w:r>
        <w:r>
          <w:rPr>
            <w:noProof/>
            <w:webHidden/>
          </w:rPr>
          <w:fldChar w:fldCharType="end"/>
        </w:r>
      </w:hyperlink>
    </w:p>
    <w:p w14:paraId="1513C6EA" w14:textId="5BED5B4C" w:rsidR="00925EA5" w:rsidRDefault="00925EA5">
      <w:pPr>
        <w:pStyle w:val="TOC2"/>
        <w:rPr>
          <w:rFonts w:asciiTheme="minorHAnsi" w:eastAsiaTheme="minorEastAsia" w:hAnsiTheme="minorHAnsi" w:cstheme="minorBidi"/>
          <w:noProof/>
          <w:szCs w:val="22"/>
          <w:lang w:eastAsia="en-NZ"/>
        </w:rPr>
      </w:pPr>
      <w:hyperlink w:anchor="_Toc115431708" w:history="1">
        <w:r w:rsidRPr="00170C6C">
          <w:rPr>
            <w:rStyle w:val="Hyperlink"/>
            <w:noProof/>
          </w:rPr>
          <w:t>Seclusion in Aotearoa mental health services</w:t>
        </w:r>
        <w:r>
          <w:rPr>
            <w:noProof/>
            <w:webHidden/>
          </w:rPr>
          <w:tab/>
        </w:r>
        <w:r>
          <w:rPr>
            <w:noProof/>
            <w:webHidden/>
          </w:rPr>
          <w:fldChar w:fldCharType="begin"/>
        </w:r>
        <w:r>
          <w:rPr>
            <w:noProof/>
            <w:webHidden/>
          </w:rPr>
          <w:instrText xml:space="preserve"> PAGEREF _Toc115431708 \h </w:instrText>
        </w:r>
        <w:r>
          <w:rPr>
            <w:noProof/>
            <w:webHidden/>
          </w:rPr>
        </w:r>
        <w:r>
          <w:rPr>
            <w:noProof/>
            <w:webHidden/>
          </w:rPr>
          <w:fldChar w:fldCharType="separate"/>
        </w:r>
        <w:r w:rsidR="009A04B0">
          <w:rPr>
            <w:noProof/>
            <w:webHidden/>
          </w:rPr>
          <w:t>28</w:t>
        </w:r>
        <w:r>
          <w:rPr>
            <w:noProof/>
            <w:webHidden/>
          </w:rPr>
          <w:fldChar w:fldCharType="end"/>
        </w:r>
      </w:hyperlink>
    </w:p>
    <w:p w14:paraId="32C2C9DD" w14:textId="5A7FE9B5" w:rsidR="00925EA5" w:rsidRDefault="00925EA5">
      <w:pPr>
        <w:pStyle w:val="TOC2"/>
        <w:rPr>
          <w:rFonts w:asciiTheme="minorHAnsi" w:eastAsiaTheme="minorEastAsia" w:hAnsiTheme="minorHAnsi" w:cstheme="minorBidi"/>
          <w:noProof/>
          <w:szCs w:val="22"/>
          <w:lang w:eastAsia="en-NZ"/>
        </w:rPr>
      </w:pPr>
      <w:hyperlink w:anchor="_Toc115431709" w:history="1">
        <w:r w:rsidRPr="00170C6C">
          <w:rPr>
            <w:rStyle w:val="Hyperlink"/>
            <w:noProof/>
          </w:rPr>
          <w:t>Use of seclusion by DHBs</w:t>
        </w:r>
        <w:r>
          <w:rPr>
            <w:noProof/>
            <w:webHidden/>
          </w:rPr>
          <w:tab/>
        </w:r>
        <w:r>
          <w:rPr>
            <w:noProof/>
            <w:webHidden/>
          </w:rPr>
          <w:fldChar w:fldCharType="begin"/>
        </w:r>
        <w:r>
          <w:rPr>
            <w:noProof/>
            <w:webHidden/>
          </w:rPr>
          <w:instrText xml:space="preserve"> PAGEREF _Toc115431709 \h </w:instrText>
        </w:r>
        <w:r>
          <w:rPr>
            <w:noProof/>
            <w:webHidden/>
          </w:rPr>
        </w:r>
        <w:r>
          <w:rPr>
            <w:noProof/>
            <w:webHidden/>
          </w:rPr>
          <w:fldChar w:fldCharType="separate"/>
        </w:r>
        <w:r w:rsidR="009A04B0">
          <w:rPr>
            <w:noProof/>
            <w:webHidden/>
          </w:rPr>
          <w:t>30</w:t>
        </w:r>
        <w:r>
          <w:rPr>
            <w:noProof/>
            <w:webHidden/>
          </w:rPr>
          <w:fldChar w:fldCharType="end"/>
        </w:r>
      </w:hyperlink>
    </w:p>
    <w:p w14:paraId="75C6E85E" w14:textId="3D3CF171" w:rsidR="00925EA5" w:rsidRDefault="00925EA5">
      <w:pPr>
        <w:pStyle w:val="TOC2"/>
        <w:rPr>
          <w:rFonts w:asciiTheme="minorHAnsi" w:eastAsiaTheme="minorEastAsia" w:hAnsiTheme="minorHAnsi" w:cstheme="minorBidi"/>
          <w:noProof/>
          <w:szCs w:val="22"/>
          <w:lang w:eastAsia="en-NZ"/>
        </w:rPr>
      </w:pPr>
      <w:hyperlink w:anchor="_Toc115431710" w:history="1">
        <w:r w:rsidRPr="00170C6C">
          <w:rPr>
            <w:rStyle w:val="Hyperlink"/>
            <w:noProof/>
          </w:rPr>
          <w:t>Seclusion and ethnicity</w:t>
        </w:r>
        <w:r>
          <w:rPr>
            <w:noProof/>
            <w:webHidden/>
          </w:rPr>
          <w:tab/>
        </w:r>
        <w:r>
          <w:rPr>
            <w:noProof/>
            <w:webHidden/>
          </w:rPr>
          <w:fldChar w:fldCharType="begin"/>
        </w:r>
        <w:r>
          <w:rPr>
            <w:noProof/>
            <w:webHidden/>
          </w:rPr>
          <w:instrText xml:space="preserve"> PAGEREF _Toc115431710 \h </w:instrText>
        </w:r>
        <w:r>
          <w:rPr>
            <w:noProof/>
            <w:webHidden/>
          </w:rPr>
        </w:r>
        <w:r>
          <w:rPr>
            <w:noProof/>
            <w:webHidden/>
          </w:rPr>
          <w:fldChar w:fldCharType="separate"/>
        </w:r>
        <w:r w:rsidR="009A04B0">
          <w:rPr>
            <w:noProof/>
            <w:webHidden/>
          </w:rPr>
          <w:t>33</w:t>
        </w:r>
        <w:r>
          <w:rPr>
            <w:noProof/>
            <w:webHidden/>
          </w:rPr>
          <w:fldChar w:fldCharType="end"/>
        </w:r>
      </w:hyperlink>
    </w:p>
    <w:p w14:paraId="6ACD4A1E" w14:textId="416E6966" w:rsidR="00925EA5" w:rsidRDefault="00925EA5">
      <w:pPr>
        <w:pStyle w:val="TOC2"/>
        <w:rPr>
          <w:rFonts w:asciiTheme="minorHAnsi" w:eastAsiaTheme="minorEastAsia" w:hAnsiTheme="minorHAnsi" w:cstheme="minorBidi"/>
          <w:noProof/>
          <w:szCs w:val="22"/>
          <w:lang w:eastAsia="en-NZ"/>
        </w:rPr>
      </w:pPr>
      <w:hyperlink w:anchor="_Toc115431711" w:history="1">
        <w:r w:rsidRPr="00170C6C">
          <w:rPr>
            <w:rStyle w:val="Hyperlink"/>
            <w:noProof/>
          </w:rPr>
          <w:t>Seclusion in forensic units</w:t>
        </w:r>
        <w:r>
          <w:rPr>
            <w:noProof/>
            <w:webHidden/>
          </w:rPr>
          <w:tab/>
        </w:r>
        <w:r>
          <w:rPr>
            <w:noProof/>
            <w:webHidden/>
          </w:rPr>
          <w:fldChar w:fldCharType="begin"/>
        </w:r>
        <w:r>
          <w:rPr>
            <w:noProof/>
            <w:webHidden/>
          </w:rPr>
          <w:instrText xml:space="preserve"> PAGEREF _Toc115431711 \h </w:instrText>
        </w:r>
        <w:r>
          <w:rPr>
            <w:noProof/>
            <w:webHidden/>
          </w:rPr>
        </w:r>
        <w:r>
          <w:rPr>
            <w:noProof/>
            <w:webHidden/>
          </w:rPr>
          <w:fldChar w:fldCharType="separate"/>
        </w:r>
        <w:r w:rsidR="009A04B0">
          <w:rPr>
            <w:noProof/>
            <w:webHidden/>
          </w:rPr>
          <w:t>36</w:t>
        </w:r>
        <w:r>
          <w:rPr>
            <w:noProof/>
            <w:webHidden/>
          </w:rPr>
          <w:fldChar w:fldCharType="end"/>
        </w:r>
      </w:hyperlink>
    </w:p>
    <w:p w14:paraId="60A1575C" w14:textId="5AEB3666" w:rsidR="00925EA5" w:rsidRDefault="00925EA5">
      <w:pPr>
        <w:pStyle w:val="TOC2"/>
        <w:rPr>
          <w:rFonts w:asciiTheme="minorHAnsi" w:eastAsiaTheme="minorEastAsia" w:hAnsiTheme="minorHAnsi" w:cstheme="minorBidi"/>
          <w:noProof/>
          <w:szCs w:val="22"/>
          <w:lang w:eastAsia="en-NZ"/>
        </w:rPr>
      </w:pPr>
      <w:hyperlink w:anchor="_Toc115431712" w:history="1">
        <w:r w:rsidRPr="00170C6C">
          <w:rPr>
            <w:rStyle w:val="Hyperlink"/>
            <w:noProof/>
          </w:rPr>
          <w:t>People with intellectual disabilities cared for in an intellectual disability forensic service</w:t>
        </w:r>
        <w:r>
          <w:rPr>
            <w:noProof/>
            <w:webHidden/>
          </w:rPr>
          <w:tab/>
        </w:r>
        <w:r>
          <w:rPr>
            <w:noProof/>
            <w:webHidden/>
          </w:rPr>
          <w:fldChar w:fldCharType="begin"/>
        </w:r>
        <w:r>
          <w:rPr>
            <w:noProof/>
            <w:webHidden/>
          </w:rPr>
          <w:instrText xml:space="preserve"> PAGEREF _Toc115431712 \h </w:instrText>
        </w:r>
        <w:r>
          <w:rPr>
            <w:noProof/>
            <w:webHidden/>
          </w:rPr>
        </w:r>
        <w:r>
          <w:rPr>
            <w:noProof/>
            <w:webHidden/>
          </w:rPr>
          <w:fldChar w:fldCharType="separate"/>
        </w:r>
        <w:r w:rsidR="009A04B0">
          <w:rPr>
            <w:noProof/>
            <w:webHidden/>
          </w:rPr>
          <w:t>38</w:t>
        </w:r>
        <w:r>
          <w:rPr>
            <w:noProof/>
            <w:webHidden/>
          </w:rPr>
          <w:fldChar w:fldCharType="end"/>
        </w:r>
      </w:hyperlink>
    </w:p>
    <w:p w14:paraId="28A14502" w14:textId="7571DDB0" w:rsidR="00925EA5" w:rsidRDefault="00925EA5">
      <w:pPr>
        <w:pStyle w:val="TOC2"/>
        <w:rPr>
          <w:rFonts w:asciiTheme="minorHAnsi" w:eastAsiaTheme="minorEastAsia" w:hAnsiTheme="minorHAnsi" w:cstheme="minorBidi"/>
          <w:noProof/>
          <w:szCs w:val="22"/>
          <w:lang w:eastAsia="en-NZ"/>
        </w:rPr>
      </w:pPr>
      <w:hyperlink w:anchor="_Toc115431713" w:history="1">
        <w:r w:rsidRPr="00170C6C">
          <w:rPr>
            <w:rStyle w:val="Hyperlink"/>
            <w:noProof/>
          </w:rPr>
          <w:t>Night safety procedures</w:t>
        </w:r>
        <w:r>
          <w:rPr>
            <w:noProof/>
            <w:webHidden/>
          </w:rPr>
          <w:tab/>
        </w:r>
        <w:r>
          <w:rPr>
            <w:noProof/>
            <w:webHidden/>
          </w:rPr>
          <w:fldChar w:fldCharType="begin"/>
        </w:r>
        <w:r>
          <w:rPr>
            <w:noProof/>
            <w:webHidden/>
          </w:rPr>
          <w:instrText xml:space="preserve"> PAGEREF _Toc115431713 \h </w:instrText>
        </w:r>
        <w:r>
          <w:rPr>
            <w:noProof/>
            <w:webHidden/>
          </w:rPr>
        </w:r>
        <w:r>
          <w:rPr>
            <w:noProof/>
            <w:webHidden/>
          </w:rPr>
          <w:fldChar w:fldCharType="separate"/>
        </w:r>
        <w:r w:rsidR="009A04B0">
          <w:rPr>
            <w:noProof/>
            <w:webHidden/>
          </w:rPr>
          <w:t>40</w:t>
        </w:r>
        <w:r>
          <w:rPr>
            <w:noProof/>
            <w:webHidden/>
          </w:rPr>
          <w:fldChar w:fldCharType="end"/>
        </w:r>
      </w:hyperlink>
    </w:p>
    <w:p w14:paraId="4DE1165F" w14:textId="78697041" w:rsidR="00925EA5" w:rsidRDefault="00925EA5">
      <w:pPr>
        <w:pStyle w:val="TOC1"/>
        <w:rPr>
          <w:rFonts w:asciiTheme="minorHAnsi" w:eastAsiaTheme="minorEastAsia" w:hAnsiTheme="minorHAnsi" w:cstheme="minorBidi"/>
          <w:noProof/>
          <w:sz w:val="22"/>
          <w:szCs w:val="22"/>
          <w:lang w:eastAsia="en-NZ"/>
        </w:rPr>
      </w:pPr>
      <w:hyperlink w:anchor="_Toc115431714" w:history="1">
        <w:r w:rsidRPr="00170C6C">
          <w:rPr>
            <w:rStyle w:val="Hyperlink"/>
            <w:noProof/>
          </w:rPr>
          <w:t>Special and restricted patients</w:t>
        </w:r>
        <w:r>
          <w:rPr>
            <w:noProof/>
            <w:webHidden/>
          </w:rPr>
          <w:tab/>
        </w:r>
        <w:r>
          <w:rPr>
            <w:noProof/>
            <w:webHidden/>
          </w:rPr>
          <w:fldChar w:fldCharType="begin"/>
        </w:r>
        <w:r>
          <w:rPr>
            <w:noProof/>
            <w:webHidden/>
          </w:rPr>
          <w:instrText xml:space="preserve"> PAGEREF _Toc115431714 \h </w:instrText>
        </w:r>
        <w:r>
          <w:rPr>
            <w:noProof/>
            <w:webHidden/>
          </w:rPr>
        </w:r>
        <w:r>
          <w:rPr>
            <w:noProof/>
            <w:webHidden/>
          </w:rPr>
          <w:fldChar w:fldCharType="separate"/>
        </w:r>
        <w:r w:rsidR="009A04B0">
          <w:rPr>
            <w:noProof/>
            <w:webHidden/>
          </w:rPr>
          <w:t>41</w:t>
        </w:r>
        <w:r>
          <w:rPr>
            <w:noProof/>
            <w:webHidden/>
          </w:rPr>
          <w:fldChar w:fldCharType="end"/>
        </w:r>
      </w:hyperlink>
    </w:p>
    <w:p w14:paraId="4F2420A3" w14:textId="45C79328" w:rsidR="00925EA5" w:rsidRDefault="00925EA5">
      <w:pPr>
        <w:pStyle w:val="TOC2"/>
        <w:rPr>
          <w:rFonts w:asciiTheme="minorHAnsi" w:eastAsiaTheme="minorEastAsia" w:hAnsiTheme="minorHAnsi" w:cstheme="minorBidi"/>
          <w:noProof/>
          <w:szCs w:val="22"/>
          <w:lang w:eastAsia="en-NZ"/>
        </w:rPr>
      </w:pPr>
      <w:hyperlink w:anchor="_Toc115431715" w:history="1">
        <w:r w:rsidRPr="00170C6C">
          <w:rPr>
            <w:rStyle w:val="Hyperlink"/>
            <w:noProof/>
          </w:rPr>
          <w:t>Extended forensic care special patients</w:t>
        </w:r>
        <w:r>
          <w:rPr>
            <w:noProof/>
            <w:webHidden/>
          </w:rPr>
          <w:tab/>
        </w:r>
        <w:r>
          <w:rPr>
            <w:noProof/>
            <w:webHidden/>
          </w:rPr>
          <w:fldChar w:fldCharType="begin"/>
        </w:r>
        <w:r>
          <w:rPr>
            <w:noProof/>
            <w:webHidden/>
          </w:rPr>
          <w:instrText xml:space="preserve"> PAGEREF _Toc115431715 \h </w:instrText>
        </w:r>
        <w:r>
          <w:rPr>
            <w:noProof/>
            <w:webHidden/>
          </w:rPr>
        </w:r>
        <w:r>
          <w:rPr>
            <w:noProof/>
            <w:webHidden/>
          </w:rPr>
          <w:fldChar w:fldCharType="separate"/>
        </w:r>
        <w:r w:rsidR="009A04B0">
          <w:rPr>
            <w:noProof/>
            <w:webHidden/>
          </w:rPr>
          <w:t>42</w:t>
        </w:r>
        <w:r>
          <w:rPr>
            <w:noProof/>
            <w:webHidden/>
          </w:rPr>
          <w:fldChar w:fldCharType="end"/>
        </w:r>
      </w:hyperlink>
    </w:p>
    <w:p w14:paraId="3804FD29" w14:textId="0C149559" w:rsidR="00925EA5" w:rsidRDefault="00925EA5">
      <w:pPr>
        <w:pStyle w:val="TOC2"/>
        <w:rPr>
          <w:rFonts w:asciiTheme="minorHAnsi" w:eastAsiaTheme="minorEastAsia" w:hAnsiTheme="minorHAnsi" w:cstheme="minorBidi"/>
          <w:noProof/>
          <w:szCs w:val="22"/>
          <w:lang w:eastAsia="en-NZ"/>
        </w:rPr>
      </w:pPr>
      <w:hyperlink w:anchor="_Toc115431716" w:history="1">
        <w:r w:rsidRPr="00170C6C">
          <w:rPr>
            <w:rStyle w:val="Hyperlink"/>
            <w:noProof/>
          </w:rPr>
          <w:t>Short-term forensic care special patients</w:t>
        </w:r>
        <w:r>
          <w:rPr>
            <w:noProof/>
            <w:webHidden/>
          </w:rPr>
          <w:tab/>
        </w:r>
        <w:r>
          <w:rPr>
            <w:noProof/>
            <w:webHidden/>
          </w:rPr>
          <w:fldChar w:fldCharType="begin"/>
        </w:r>
        <w:r>
          <w:rPr>
            <w:noProof/>
            <w:webHidden/>
          </w:rPr>
          <w:instrText xml:space="preserve"> PAGEREF _Toc115431716 \h </w:instrText>
        </w:r>
        <w:r>
          <w:rPr>
            <w:noProof/>
            <w:webHidden/>
          </w:rPr>
        </w:r>
        <w:r>
          <w:rPr>
            <w:noProof/>
            <w:webHidden/>
          </w:rPr>
          <w:fldChar w:fldCharType="separate"/>
        </w:r>
        <w:r w:rsidR="009A04B0">
          <w:rPr>
            <w:noProof/>
            <w:webHidden/>
          </w:rPr>
          <w:t>43</w:t>
        </w:r>
        <w:r>
          <w:rPr>
            <w:noProof/>
            <w:webHidden/>
          </w:rPr>
          <w:fldChar w:fldCharType="end"/>
        </w:r>
      </w:hyperlink>
    </w:p>
    <w:p w14:paraId="3270CF9C" w14:textId="2D34B570" w:rsidR="00925EA5" w:rsidRDefault="00925EA5">
      <w:pPr>
        <w:pStyle w:val="TOC2"/>
        <w:rPr>
          <w:rFonts w:asciiTheme="minorHAnsi" w:eastAsiaTheme="minorEastAsia" w:hAnsiTheme="minorHAnsi" w:cstheme="minorBidi"/>
          <w:noProof/>
          <w:szCs w:val="22"/>
          <w:lang w:eastAsia="en-NZ"/>
        </w:rPr>
      </w:pPr>
      <w:hyperlink w:anchor="_Toc115431717" w:history="1">
        <w:r w:rsidRPr="00170C6C">
          <w:rPr>
            <w:rStyle w:val="Hyperlink"/>
            <w:noProof/>
          </w:rPr>
          <w:t>Gender, age and ethnicity of special patients</w:t>
        </w:r>
        <w:r>
          <w:rPr>
            <w:noProof/>
            <w:webHidden/>
          </w:rPr>
          <w:tab/>
        </w:r>
        <w:r>
          <w:rPr>
            <w:noProof/>
            <w:webHidden/>
          </w:rPr>
          <w:fldChar w:fldCharType="begin"/>
        </w:r>
        <w:r>
          <w:rPr>
            <w:noProof/>
            <w:webHidden/>
          </w:rPr>
          <w:instrText xml:space="preserve"> PAGEREF _Toc115431717 \h </w:instrText>
        </w:r>
        <w:r>
          <w:rPr>
            <w:noProof/>
            <w:webHidden/>
          </w:rPr>
        </w:r>
        <w:r>
          <w:rPr>
            <w:noProof/>
            <w:webHidden/>
          </w:rPr>
          <w:fldChar w:fldCharType="separate"/>
        </w:r>
        <w:r w:rsidR="009A04B0">
          <w:rPr>
            <w:noProof/>
            <w:webHidden/>
          </w:rPr>
          <w:t>44</w:t>
        </w:r>
        <w:r>
          <w:rPr>
            <w:noProof/>
            <w:webHidden/>
          </w:rPr>
          <w:fldChar w:fldCharType="end"/>
        </w:r>
      </w:hyperlink>
    </w:p>
    <w:p w14:paraId="2CD9529D" w14:textId="4B64A133" w:rsidR="00925EA5" w:rsidRDefault="00925EA5">
      <w:pPr>
        <w:pStyle w:val="TOC2"/>
        <w:rPr>
          <w:rFonts w:asciiTheme="minorHAnsi" w:eastAsiaTheme="minorEastAsia" w:hAnsiTheme="minorHAnsi" w:cstheme="minorBidi"/>
          <w:noProof/>
          <w:szCs w:val="22"/>
          <w:lang w:eastAsia="en-NZ"/>
        </w:rPr>
      </w:pPr>
      <w:hyperlink w:anchor="_Toc115431718" w:history="1">
        <w:r w:rsidRPr="00170C6C">
          <w:rPr>
            <w:rStyle w:val="Hyperlink"/>
            <w:noProof/>
          </w:rPr>
          <w:t>Decisions about leave and change of legal status for special and restricted patients</w:t>
        </w:r>
        <w:r>
          <w:rPr>
            <w:noProof/>
            <w:webHidden/>
          </w:rPr>
          <w:tab/>
        </w:r>
        <w:r>
          <w:rPr>
            <w:noProof/>
            <w:webHidden/>
          </w:rPr>
          <w:fldChar w:fldCharType="begin"/>
        </w:r>
        <w:r>
          <w:rPr>
            <w:noProof/>
            <w:webHidden/>
          </w:rPr>
          <w:instrText xml:space="preserve"> PAGEREF _Toc115431718 \h </w:instrText>
        </w:r>
        <w:r>
          <w:rPr>
            <w:noProof/>
            <w:webHidden/>
          </w:rPr>
        </w:r>
        <w:r>
          <w:rPr>
            <w:noProof/>
            <w:webHidden/>
          </w:rPr>
          <w:fldChar w:fldCharType="separate"/>
        </w:r>
        <w:r w:rsidR="009A04B0">
          <w:rPr>
            <w:noProof/>
            <w:webHidden/>
          </w:rPr>
          <w:t>46</w:t>
        </w:r>
        <w:r>
          <w:rPr>
            <w:noProof/>
            <w:webHidden/>
          </w:rPr>
          <w:fldChar w:fldCharType="end"/>
        </w:r>
      </w:hyperlink>
    </w:p>
    <w:p w14:paraId="28431AB1" w14:textId="1AE33702" w:rsidR="00925EA5" w:rsidRDefault="00925EA5">
      <w:pPr>
        <w:pStyle w:val="TOC1"/>
        <w:rPr>
          <w:rFonts w:asciiTheme="minorHAnsi" w:eastAsiaTheme="minorEastAsia" w:hAnsiTheme="minorHAnsi" w:cstheme="minorBidi"/>
          <w:noProof/>
          <w:sz w:val="22"/>
          <w:szCs w:val="22"/>
          <w:lang w:eastAsia="en-NZ"/>
        </w:rPr>
      </w:pPr>
      <w:hyperlink w:anchor="_Toc115431719" w:history="1">
        <w:r w:rsidRPr="00170C6C">
          <w:rPr>
            <w:rStyle w:val="Hyperlink"/>
            <w:noProof/>
          </w:rPr>
          <w:t>Mental health and addiction adverse event reporting</w:t>
        </w:r>
        <w:r>
          <w:rPr>
            <w:noProof/>
            <w:webHidden/>
          </w:rPr>
          <w:tab/>
        </w:r>
        <w:r>
          <w:rPr>
            <w:noProof/>
            <w:webHidden/>
          </w:rPr>
          <w:fldChar w:fldCharType="begin"/>
        </w:r>
        <w:r>
          <w:rPr>
            <w:noProof/>
            <w:webHidden/>
          </w:rPr>
          <w:instrText xml:space="preserve"> PAGEREF _Toc115431719 \h </w:instrText>
        </w:r>
        <w:r>
          <w:rPr>
            <w:noProof/>
            <w:webHidden/>
          </w:rPr>
        </w:r>
        <w:r>
          <w:rPr>
            <w:noProof/>
            <w:webHidden/>
          </w:rPr>
          <w:fldChar w:fldCharType="separate"/>
        </w:r>
        <w:r w:rsidR="009A04B0">
          <w:rPr>
            <w:noProof/>
            <w:webHidden/>
          </w:rPr>
          <w:t>48</w:t>
        </w:r>
        <w:r>
          <w:rPr>
            <w:noProof/>
            <w:webHidden/>
          </w:rPr>
          <w:fldChar w:fldCharType="end"/>
        </w:r>
      </w:hyperlink>
    </w:p>
    <w:p w14:paraId="3163C0FC" w14:textId="450AA651" w:rsidR="00925EA5" w:rsidRDefault="00925EA5">
      <w:pPr>
        <w:pStyle w:val="TOC2"/>
        <w:rPr>
          <w:rFonts w:asciiTheme="minorHAnsi" w:eastAsiaTheme="minorEastAsia" w:hAnsiTheme="minorHAnsi" w:cstheme="minorBidi"/>
          <w:noProof/>
          <w:szCs w:val="22"/>
          <w:lang w:eastAsia="en-NZ"/>
        </w:rPr>
      </w:pPr>
      <w:hyperlink w:anchor="_Toc115431720" w:history="1">
        <w:r w:rsidRPr="00170C6C">
          <w:rPr>
            <w:rStyle w:val="Hyperlink"/>
            <w:noProof/>
          </w:rPr>
          <w:t>Adverse events reported by DHB mental health services</w:t>
        </w:r>
        <w:r>
          <w:rPr>
            <w:noProof/>
            <w:webHidden/>
          </w:rPr>
          <w:tab/>
        </w:r>
        <w:r>
          <w:rPr>
            <w:noProof/>
            <w:webHidden/>
          </w:rPr>
          <w:fldChar w:fldCharType="begin"/>
        </w:r>
        <w:r>
          <w:rPr>
            <w:noProof/>
            <w:webHidden/>
          </w:rPr>
          <w:instrText xml:space="preserve"> PAGEREF _Toc115431720 \h </w:instrText>
        </w:r>
        <w:r>
          <w:rPr>
            <w:noProof/>
            <w:webHidden/>
          </w:rPr>
        </w:r>
        <w:r>
          <w:rPr>
            <w:noProof/>
            <w:webHidden/>
          </w:rPr>
          <w:fldChar w:fldCharType="separate"/>
        </w:r>
        <w:r w:rsidR="009A04B0">
          <w:rPr>
            <w:noProof/>
            <w:webHidden/>
          </w:rPr>
          <w:t>48</w:t>
        </w:r>
        <w:r>
          <w:rPr>
            <w:noProof/>
            <w:webHidden/>
          </w:rPr>
          <w:fldChar w:fldCharType="end"/>
        </w:r>
      </w:hyperlink>
    </w:p>
    <w:p w14:paraId="5AEF3E5D" w14:textId="14EDFE04" w:rsidR="00925EA5" w:rsidRDefault="00925EA5">
      <w:pPr>
        <w:pStyle w:val="TOC2"/>
        <w:rPr>
          <w:rFonts w:asciiTheme="minorHAnsi" w:eastAsiaTheme="minorEastAsia" w:hAnsiTheme="minorHAnsi" w:cstheme="minorBidi"/>
          <w:noProof/>
          <w:szCs w:val="22"/>
          <w:lang w:eastAsia="en-NZ"/>
        </w:rPr>
      </w:pPr>
      <w:hyperlink w:anchor="_Toc115431721" w:history="1">
        <w:r w:rsidRPr="00170C6C">
          <w:rPr>
            <w:rStyle w:val="Hyperlink"/>
            <w:noProof/>
          </w:rPr>
          <w:t>Deaths reported to the Director of Mental Health</w:t>
        </w:r>
        <w:r>
          <w:rPr>
            <w:noProof/>
            <w:webHidden/>
          </w:rPr>
          <w:tab/>
        </w:r>
        <w:r>
          <w:rPr>
            <w:noProof/>
            <w:webHidden/>
          </w:rPr>
          <w:fldChar w:fldCharType="begin"/>
        </w:r>
        <w:r>
          <w:rPr>
            <w:noProof/>
            <w:webHidden/>
          </w:rPr>
          <w:instrText xml:space="preserve"> PAGEREF _Toc115431721 \h </w:instrText>
        </w:r>
        <w:r>
          <w:rPr>
            <w:noProof/>
            <w:webHidden/>
          </w:rPr>
        </w:r>
        <w:r>
          <w:rPr>
            <w:noProof/>
            <w:webHidden/>
          </w:rPr>
          <w:fldChar w:fldCharType="separate"/>
        </w:r>
        <w:r w:rsidR="009A04B0">
          <w:rPr>
            <w:noProof/>
            <w:webHidden/>
          </w:rPr>
          <w:t>50</w:t>
        </w:r>
        <w:r>
          <w:rPr>
            <w:noProof/>
            <w:webHidden/>
          </w:rPr>
          <w:fldChar w:fldCharType="end"/>
        </w:r>
      </w:hyperlink>
    </w:p>
    <w:p w14:paraId="2738662E" w14:textId="0ECEF934" w:rsidR="00925EA5" w:rsidRDefault="00925EA5">
      <w:pPr>
        <w:pStyle w:val="TOC2"/>
        <w:rPr>
          <w:rFonts w:asciiTheme="minorHAnsi" w:eastAsiaTheme="minorEastAsia" w:hAnsiTheme="minorHAnsi" w:cstheme="minorBidi"/>
          <w:noProof/>
          <w:szCs w:val="22"/>
          <w:lang w:eastAsia="en-NZ"/>
        </w:rPr>
      </w:pPr>
      <w:hyperlink w:anchor="_Toc115431722" w:history="1">
        <w:r w:rsidRPr="00170C6C">
          <w:rPr>
            <w:rStyle w:val="Hyperlink"/>
            <w:noProof/>
          </w:rPr>
          <w:t>Section 95 inquiries and section 99 inspections</w:t>
        </w:r>
        <w:r>
          <w:rPr>
            <w:noProof/>
            <w:webHidden/>
          </w:rPr>
          <w:tab/>
        </w:r>
        <w:r>
          <w:rPr>
            <w:noProof/>
            <w:webHidden/>
          </w:rPr>
          <w:fldChar w:fldCharType="begin"/>
        </w:r>
        <w:r>
          <w:rPr>
            <w:noProof/>
            <w:webHidden/>
          </w:rPr>
          <w:instrText xml:space="preserve"> PAGEREF _Toc115431722 \h </w:instrText>
        </w:r>
        <w:r>
          <w:rPr>
            <w:noProof/>
            <w:webHidden/>
          </w:rPr>
        </w:r>
        <w:r>
          <w:rPr>
            <w:noProof/>
            <w:webHidden/>
          </w:rPr>
          <w:fldChar w:fldCharType="separate"/>
        </w:r>
        <w:r w:rsidR="009A04B0">
          <w:rPr>
            <w:noProof/>
            <w:webHidden/>
          </w:rPr>
          <w:t>50</w:t>
        </w:r>
        <w:r>
          <w:rPr>
            <w:noProof/>
            <w:webHidden/>
          </w:rPr>
          <w:fldChar w:fldCharType="end"/>
        </w:r>
      </w:hyperlink>
    </w:p>
    <w:p w14:paraId="39B4B7DF" w14:textId="33015E87" w:rsidR="00925EA5" w:rsidRDefault="00925EA5">
      <w:pPr>
        <w:pStyle w:val="TOC1"/>
        <w:rPr>
          <w:rFonts w:asciiTheme="minorHAnsi" w:eastAsiaTheme="minorEastAsia" w:hAnsiTheme="minorHAnsi" w:cstheme="minorBidi"/>
          <w:noProof/>
          <w:sz w:val="22"/>
          <w:szCs w:val="22"/>
          <w:lang w:eastAsia="en-NZ"/>
        </w:rPr>
      </w:pPr>
      <w:hyperlink w:anchor="_Toc115431723" w:history="1">
        <w:r w:rsidRPr="00170C6C">
          <w:rPr>
            <w:rStyle w:val="Hyperlink"/>
            <w:noProof/>
          </w:rPr>
          <w:t>Electroconvulsive therapy</w:t>
        </w:r>
        <w:r>
          <w:rPr>
            <w:noProof/>
            <w:webHidden/>
          </w:rPr>
          <w:tab/>
        </w:r>
        <w:r>
          <w:rPr>
            <w:noProof/>
            <w:webHidden/>
          </w:rPr>
          <w:fldChar w:fldCharType="begin"/>
        </w:r>
        <w:r>
          <w:rPr>
            <w:noProof/>
            <w:webHidden/>
          </w:rPr>
          <w:instrText xml:space="preserve"> PAGEREF _Toc115431723 \h </w:instrText>
        </w:r>
        <w:r>
          <w:rPr>
            <w:noProof/>
            <w:webHidden/>
          </w:rPr>
        </w:r>
        <w:r>
          <w:rPr>
            <w:noProof/>
            <w:webHidden/>
          </w:rPr>
          <w:fldChar w:fldCharType="separate"/>
        </w:r>
        <w:r w:rsidR="009A04B0">
          <w:rPr>
            <w:noProof/>
            <w:webHidden/>
          </w:rPr>
          <w:t>52</w:t>
        </w:r>
        <w:r>
          <w:rPr>
            <w:noProof/>
            <w:webHidden/>
          </w:rPr>
          <w:fldChar w:fldCharType="end"/>
        </w:r>
      </w:hyperlink>
    </w:p>
    <w:p w14:paraId="64FEB296" w14:textId="0C7EE5FD" w:rsidR="00925EA5" w:rsidRDefault="00925EA5">
      <w:pPr>
        <w:pStyle w:val="TOC2"/>
        <w:rPr>
          <w:rFonts w:asciiTheme="minorHAnsi" w:eastAsiaTheme="minorEastAsia" w:hAnsiTheme="minorHAnsi" w:cstheme="minorBidi"/>
          <w:noProof/>
          <w:szCs w:val="22"/>
          <w:lang w:eastAsia="en-NZ"/>
        </w:rPr>
      </w:pPr>
      <w:hyperlink w:anchor="_Toc115431724" w:history="1">
        <w:r w:rsidRPr="00170C6C">
          <w:rPr>
            <w:rStyle w:val="Hyperlink"/>
            <w:noProof/>
          </w:rPr>
          <w:t>Number of people receiving ECT</w:t>
        </w:r>
        <w:r>
          <w:rPr>
            <w:noProof/>
            <w:webHidden/>
          </w:rPr>
          <w:tab/>
        </w:r>
        <w:r>
          <w:rPr>
            <w:noProof/>
            <w:webHidden/>
          </w:rPr>
          <w:fldChar w:fldCharType="begin"/>
        </w:r>
        <w:r>
          <w:rPr>
            <w:noProof/>
            <w:webHidden/>
          </w:rPr>
          <w:instrText xml:space="preserve"> PAGEREF _Toc115431724 \h </w:instrText>
        </w:r>
        <w:r>
          <w:rPr>
            <w:noProof/>
            <w:webHidden/>
          </w:rPr>
        </w:r>
        <w:r>
          <w:rPr>
            <w:noProof/>
            <w:webHidden/>
          </w:rPr>
          <w:fldChar w:fldCharType="separate"/>
        </w:r>
        <w:r w:rsidR="009A04B0">
          <w:rPr>
            <w:noProof/>
            <w:webHidden/>
          </w:rPr>
          <w:t>52</w:t>
        </w:r>
        <w:r>
          <w:rPr>
            <w:noProof/>
            <w:webHidden/>
          </w:rPr>
          <w:fldChar w:fldCharType="end"/>
        </w:r>
      </w:hyperlink>
    </w:p>
    <w:p w14:paraId="1A1616C3" w14:textId="59E1393D" w:rsidR="00925EA5" w:rsidRDefault="00925EA5">
      <w:pPr>
        <w:pStyle w:val="TOC2"/>
        <w:rPr>
          <w:rFonts w:asciiTheme="minorHAnsi" w:eastAsiaTheme="minorEastAsia" w:hAnsiTheme="minorHAnsi" w:cstheme="minorBidi"/>
          <w:noProof/>
          <w:szCs w:val="22"/>
          <w:lang w:eastAsia="en-NZ"/>
        </w:rPr>
      </w:pPr>
      <w:hyperlink w:anchor="_Toc115431725" w:history="1">
        <w:r w:rsidRPr="00170C6C">
          <w:rPr>
            <w:rStyle w:val="Hyperlink"/>
            <w:noProof/>
          </w:rPr>
          <w:t>ECT by region</w:t>
        </w:r>
        <w:r>
          <w:rPr>
            <w:noProof/>
            <w:webHidden/>
          </w:rPr>
          <w:tab/>
        </w:r>
        <w:r>
          <w:rPr>
            <w:noProof/>
            <w:webHidden/>
          </w:rPr>
          <w:fldChar w:fldCharType="begin"/>
        </w:r>
        <w:r>
          <w:rPr>
            <w:noProof/>
            <w:webHidden/>
          </w:rPr>
          <w:instrText xml:space="preserve"> PAGEREF _Toc115431725 \h </w:instrText>
        </w:r>
        <w:r>
          <w:rPr>
            <w:noProof/>
            <w:webHidden/>
          </w:rPr>
        </w:r>
        <w:r>
          <w:rPr>
            <w:noProof/>
            <w:webHidden/>
          </w:rPr>
          <w:fldChar w:fldCharType="separate"/>
        </w:r>
        <w:r w:rsidR="009A04B0">
          <w:rPr>
            <w:noProof/>
            <w:webHidden/>
          </w:rPr>
          <w:t>53</w:t>
        </w:r>
        <w:r>
          <w:rPr>
            <w:noProof/>
            <w:webHidden/>
          </w:rPr>
          <w:fldChar w:fldCharType="end"/>
        </w:r>
      </w:hyperlink>
    </w:p>
    <w:p w14:paraId="5C73EA64" w14:textId="1797426E" w:rsidR="00925EA5" w:rsidRDefault="00925EA5">
      <w:pPr>
        <w:pStyle w:val="TOC2"/>
        <w:rPr>
          <w:rFonts w:asciiTheme="minorHAnsi" w:eastAsiaTheme="minorEastAsia" w:hAnsiTheme="minorHAnsi" w:cstheme="minorBidi"/>
          <w:noProof/>
          <w:szCs w:val="22"/>
          <w:lang w:eastAsia="en-NZ"/>
        </w:rPr>
      </w:pPr>
      <w:hyperlink w:anchor="_Toc115431726" w:history="1">
        <w:r w:rsidRPr="00170C6C">
          <w:rPr>
            <w:rStyle w:val="Hyperlink"/>
            <w:noProof/>
          </w:rPr>
          <w:t>Age and gender of people receiving ECT</w:t>
        </w:r>
        <w:r>
          <w:rPr>
            <w:noProof/>
            <w:webHidden/>
          </w:rPr>
          <w:tab/>
        </w:r>
        <w:r>
          <w:rPr>
            <w:noProof/>
            <w:webHidden/>
          </w:rPr>
          <w:fldChar w:fldCharType="begin"/>
        </w:r>
        <w:r>
          <w:rPr>
            <w:noProof/>
            <w:webHidden/>
          </w:rPr>
          <w:instrText xml:space="preserve"> PAGEREF _Toc115431726 \h </w:instrText>
        </w:r>
        <w:r>
          <w:rPr>
            <w:noProof/>
            <w:webHidden/>
          </w:rPr>
        </w:r>
        <w:r>
          <w:rPr>
            <w:noProof/>
            <w:webHidden/>
          </w:rPr>
          <w:fldChar w:fldCharType="separate"/>
        </w:r>
        <w:r w:rsidR="009A04B0">
          <w:rPr>
            <w:noProof/>
            <w:webHidden/>
          </w:rPr>
          <w:t>56</w:t>
        </w:r>
        <w:r>
          <w:rPr>
            <w:noProof/>
            <w:webHidden/>
          </w:rPr>
          <w:fldChar w:fldCharType="end"/>
        </w:r>
      </w:hyperlink>
    </w:p>
    <w:p w14:paraId="65F3D6F7" w14:textId="3C1F9D7A" w:rsidR="00925EA5" w:rsidRDefault="00925EA5">
      <w:pPr>
        <w:pStyle w:val="TOC2"/>
        <w:rPr>
          <w:rFonts w:asciiTheme="minorHAnsi" w:eastAsiaTheme="minorEastAsia" w:hAnsiTheme="minorHAnsi" w:cstheme="minorBidi"/>
          <w:noProof/>
          <w:szCs w:val="22"/>
          <w:lang w:eastAsia="en-NZ"/>
        </w:rPr>
      </w:pPr>
      <w:hyperlink w:anchor="_Toc115431727" w:history="1">
        <w:r w:rsidRPr="00170C6C">
          <w:rPr>
            <w:rStyle w:val="Hyperlink"/>
            <w:noProof/>
          </w:rPr>
          <w:t>Ethnicity of people treated with ECT</w:t>
        </w:r>
        <w:r>
          <w:rPr>
            <w:noProof/>
            <w:webHidden/>
          </w:rPr>
          <w:tab/>
        </w:r>
        <w:r>
          <w:rPr>
            <w:noProof/>
            <w:webHidden/>
          </w:rPr>
          <w:fldChar w:fldCharType="begin"/>
        </w:r>
        <w:r>
          <w:rPr>
            <w:noProof/>
            <w:webHidden/>
          </w:rPr>
          <w:instrText xml:space="preserve"> PAGEREF _Toc115431727 \h </w:instrText>
        </w:r>
        <w:r>
          <w:rPr>
            <w:noProof/>
            <w:webHidden/>
          </w:rPr>
        </w:r>
        <w:r>
          <w:rPr>
            <w:noProof/>
            <w:webHidden/>
          </w:rPr>
          <w:fldChar w:fldCharType="separate"/>
        </w:r>
        <w:r w:rsidR="009A04B0">
          <w:rPr>
            <w:noProof/>
            <w:webHidden/>
          </w:rPr>
          <w:t>56</w:t>
        </w:r>
        <w:r>
          <w:rPr>
            <w:noProof/>
            <w:webHidden/>
          </w:rPr>
          <w:fldChar w:fldCharType="end"/>
        </w:r>
      </w:hyperlink>
    </w:p>
    <w:p w14:paraId="568ABD5C" w14:textId="42439FEA" w:rsidR="00925EA5" w:rsidRDefault="00925EA5">
      <w:pPr>
        <w:pStyle w:val="TOC2"/>
        <w:rPr>
          <w:rFonts w:asciiTheme="minorHAnsi" w:eastAsiaTheme="minorEastAsia" w:hAnsiTheme="minorHAnsi" w:cstheme="minorBidi"/>
          <w:noProof/>
          <w:szCs w:val="22"/>
          <w:lang w:eastAsia="en-NZ"/>
        </w:rPr>
      </w:pPr>
      <w:hyperlink w:anchor="_Toc115431728" w:history="1">
        <w:r w:rsidRPr="00170C6C">
          <w:rPr>
            <w:rStyle w:val="Hyperlink"/>
            <w:noProof/>
          </w:rPr>
          <w:t>Consent to ECT treatment</w:t>
        </w:r>
        <w:r>
          <w:rPr>
            <w:noProof/>
            <w:webHidden/>
          </w:rPr>
          <w:tab/>
        </w:r>
        <w:r>
          <w:rPr>
            <w:noProof/>
            <w:webHidden/>
          </w:rPr>
          <w:fldChar w:fldCharType="begin"/>
        </w:r>
        <w:r>
          <w:rPr>
            <w:noProof/>
            <w:webHidden/>
          </w:rPr>
          <w:instrText xml:space="preserve"> PAGEREF _Toc115431728 \h </w:instrText>
        </w:r>
        <w:r>
          <w:rPr>
            <w:noProof/>
            <w:webHidden/>
          </w:rPr>
        </w:r>
        <w:r>
          <w:rPr>
            <w:noProof/>
            <w:webHidden/>
          </w:rPr>
          <w:fldChar w:fldCharType="separate"/>
        </w:r>
        <w:r w:rsidR="009A04B0">
          <w:rPr>
            <w:noProof/>
            <w:webHidden/>
          </w:rPr>
          <w:t>57</w:t>
        </w:r>
        <w:r>
          <w:rPr>
            <w:noProof/>
            <w:webHidden/>
          </w:rPr>
          <w:fldChar w:fldCharType="end"/>
        </w:r>
      </w:hyperlink>
    </w:p>
    <w:p w14:paraId="238F6763" w14:textId="2A650B2E" w:rsidR="00925EA5" w:rsidRDefault="00925EA5">
      <w:pPr>
        <w:pStyle w:val="TOC1"/>
        <w:rPr>
          <w:rFonts w:asciiTheme="minorHAnsi" w:eastAsiaTheme="minorEastAsia" w:hAnsiTheme="minorHAnsi" w:cstheme="minorBidi"/>
          <w:noProof/>
          <w:sz w:val="22"/>
          <w:szCs w:val="22"/>
          <w:lang w:eastAsia="en-NZ"/>
        </w:rPr>
      </w:pPr>
      <w:hyperlink w:anchor="_Toc115431729" w:history="1">
        <w:r w:rsidRPr="00170C6C">
          <w:rPr>
            <w:rStyle w:val="Hyperlink"/>
            <w:noProof/>
          </w:rPr>
          <w:t>Substance use treatment</w:t>
        </w:r>
        <w:r>
          <w:rPr>
            <w:noProof/>
            <w:webHidden/>
          </w:rPr>
          <w:tab/>
        </w:r>
        <w:r>
          <w:rPr>
            <w:noProof/>
            <w:webHidden/>
          </w:rPr>
          <w:fldChar w:fldCharType="begin"/>
        </w:r>
        <w:r>
          <w:rPr>
            <w:noProof/>
            <w:webHidden/>
          </w:rPr>
          <w:instrText xml:space="preserve"> PAGEREF _Toc115431729 \h </w:instrText>
        </w:r>
        <w:r>
          <w:rPr>
            <w:noProof/>
            <w:webHidden/>
          </w:rPr>
        </w:r>
        <w:r>
          <w:rPr>
            <w:noProof/>
            <w:webHidden/>
          </w:rPr>
          <w:fldChar w:fldCharType="separate"/>
        </w:r>
        <w:r w:rsidR="009A04B0">
          <w:rPr>
            <w:noProof/>
            <w:webHidden/>
          </w:rPr>
          <w:t>59</w:t>
        </w:r>
        <w:r>
          <w:rPr>
            <w:noProof/>
            <w:webHidden/>
          </w:rPr>
          <w:fldChar w:fldCharType="end"/>
        </w:r>
      </w:hyperlink>
    </w:p>
    <w:p w14:paraId="4F7E0932" w14:textId="76D41D72" w:rsidR="00925EA5" w:rsidRDefault="00925EA5">
      <w:pPr>
        <w:pStyle w:val="TOC2"/>
        <w:rPr>
          <w:rFonts w:asciiTheme="minorHAnsi" w:eastAsiaTheme="minorEastAsia" w:hAnsiTheme="minorHAnsi" w:cstheme="minorBidi"/>
          <w:noProof/>
          <w:szCs w:val="22"/>
          <w:lang w:eastAsia="en-NZ"/>
        </w:rPr>
      </w:pPr>
      <w:hyperlink w:anchor="_Toc115431730" w:history="1">
        <w:r w:rsidRPr="00170C6C">
          <w:rPr>
            <w:rStyle w:val="Hyperlink"/>
            <w:noProof/>
          </w:rPr>
          <w:t>Opioid substitution treatment</w:t>
        </w:r>
        <w:r>
          <w:rPr>
            <w:noProof/>
            <w:webHidden/>
          </w:rPr>
          <w:tab/>
        </w:r>
        <w:r>
          <w:rPr>
            <w:noProof/>
            <w:webHidden/>
          </w:rPr>
          <w:fldChar w:fldCharType="begin"/>
        </w:r>
        <w:r>
          <w:rPr>
            <w:noProof/>
            <w:webHidden/>
          </w:rPr>
          <w:instrText xml:space="preserve"> PAGEREF _Toc115431730 \h </w:instrText>
        </w:r>
        <w:r>
          <w:rPr>
            <w:noProof/>
            <w:webHidden/>
          </w:rPr>
        </w:r>
        <w:r>
          <w:rPr>
            <w:noProof/>
            <w:webHidden/>
          </w:rPr>
          <w:fldChar w:fldCharType="separate"/>
        </w:r>
        <w:r w:rsidR="009A04B0">
          <w:rPr>
            <w:noProof/>
            <w:webHidden/>
          </w:rPr>
          <w:t>59</w:t>
        </w:r>
        <w:r>
          <w:rPr>
            <w:noProof/>
            <w:webHidden/>
          </w:rPr>
          <w:fldChar w:fldCharType="end"/>
        </w:r>
      </w:hyperlink>
    </w:p>
    <w:p w14:paraId="3133A0E7" w14:textId="70FC6088" w:rsidR="00925EA5" w:rsidRDefault="00925EA5">
      <w:pPr>
        <w:pStyle w:val="TOC2"/>
        <w:rPr>
          <w:rFonts w:asciiTheme="minorHAnsi" w:eastAsiaTheme="minorEastAsia" w:hAnsiTheme="minorHAnsi" w:cstheme="minorBidi"/>
          <w:noProof/>
          <w:szCs w:val="22"/>
          <w:lang w:eastAsia="en-NZ"/>
        </w:rPr>
      </w:pPr>
      <w:hyperlink w:anchor="_Toc115431731" w:history="1">
        <w:r w:rsidRPr="00170C6C">
          <w:rPr>
            <w:rStyle w:val="Hyperlink"/>
            <w:noProof/>
          </w:rPr>
          <w:t>Substance Addiction (Compulsory Assessment and Treatment) Act 2017</w:t>
        </w:r>
        <w:r>
          <w:rPr>
            <w:noProof/>
            <w:webHidden/>
          </w:rPr>
          <w:tab/>
        </w:r>
        <w:r>
          <w:rPr>
            <w:noProof/>
            <w:webHidden/>
          </w:rPr>
          <w:fldChar w:fldCharType="begin"/>
        </w:r>
        <w:r>
          <w:rPr>
            <w:noProof/>
            <w:webHidden/>
          </w:rPr>
          <w:instrText xml:space="preserve"> PAGEREF _Toc115431731 \h </w:instrText>
        </w:r>
        <w:r>
          <w:rPr>
            <w:noProof/>
            <w:webHidden/>
          </w:rPr>
        </w:r>
        <w:r>
          <w:rPr>
            <w:noProof/>
            <w:webHidden/>
          </w:rPr>
          <w:fldChar w:fldCharType="separate"/>
        </w:r>
        <w:r w:rsidR="009A04B0">
          <w:rPr>
            <w:noProof/>
            <w:webHidden/>
          </w:rPr>
          <w:t>64</w:t>
        </w:r>
        <w:r>
          <w:rPr>
            <w:noProof/>
            <w:webHidden/>
          </w:rPr>
          <w:fldChar w:fldCharType="end"/>
        </w:r>
      </w:hyperlink>
    </w:p>
    <w:p w14:paraId="24B07A50" w14:textId="130DF6DE" w:rsidR="00925EA5" w:rsidRDefault="00925EA5">
      <w:pPr>
        <w:pStyle w:val="TOC2"/>
        <w:rPr>
          <w:rFonts w:asciiTheme="minorHAnsi" w:eastAsiaTheme="minorEastAsia" w:hAnsiTheme="minorHAnsi" w:cstheme="minorBidi"/>
          <w:noProof/>
          <w:szCs w:val="22"/>
          <w:lang w:eastAsia="en-NZ"/>
        </w:rPr>
      </w:pPr>
      <w:hyperlink w:anchor="_Toc115431732" w:history="1">
        <w:r w:rsidRPr="00170C6C">
          <w:rPr>
            <w:rStyle w:val="Hyperlink"/>
            <w:noProof/>
          </w:rPr>
          <w:t>Land Transport Act 1998</w:t>
        </w:r>
        <w:r>
          <w:rPr>
            <w:noProof/>
            <w:webHidden/>
          </w:rPr>
          <w:tab/>
        </w:r>
        <w:r>
          <w:rPr>
            <w:noProof/>
            <w:webHidden/>
          </w:rPr>
          <w:fldChar w:fldCharType="begin"/>
        </w:r>
        <w:r>
          <w:rPr>
            <w:noProof/>
            <w:webHidden/>
          </w:rPr>
          <w:instrText xml:space="preserve"> PAGEREF _Toc115431732 \h </w:instrText>
        </w:r>
        <w:r>
          <w:rPr>
            <w:noProof/>
            <w:webHidden/>
          </w:rPr>
        </w:r>
        <w:r>
          <w:rPr>
            <w:noProof/>
            <w:webHidden/>
          </w:rPr>
          <w:fldChar w:fldCharType="separate"/>
        </w:r>
        <w:r w:rsidR="009A04B0">
          <w:rPr>
            <w:noProof/>
            <w:webHidden/>
          </w:rPr>
          <w:t>65</w:t>
        </w:r>
        <w:r>
          <w:rPr>
            <w:noProof/>
            <w:webHidden/>
          </w:rPr>
          <w:fldChar w:fldCharType="end"/>
        </w:r>
      </w:hyperlink>
    </w:p>
    <w:p w14:paraId="215111FA" w14:textId="1EE35BDF" w:rsidR="00925EA5" w:rsidRDefault="00925EA5">
      <w:pPr>
        <w:pStyle w:val="TOC1"/>
        <w:rPr>
          <w:rFonts w:asciiTheme="minorHAnsi" w:eastAsiaTheme="minorEastAsia" w:hAnsiTheme="minorHAnsi" w:cstheme="minorBidi"/>
          <w:noProof/>
          <w:sz w:val="22"/>
          <w:szCs w:val="22"/>
          <w:lang w:eastAsia="en-NZ"/>
        </w:rPr>
      </w:pPr>
      <w:hyperlink w:anchor="_Toc115431733" w:history="1">
        <w:r w:rsidRPr="00170C6C">
          <w:rPr>
            <w:rStyle w:val="Hyperlink"/>
            <w:noProof/>
          </w:rPr>
          <w:t>Appendix: Additional statistics – Ministry of Justice</w:t>
        </w:r>
        <w:r>
          <w:rPr>
            <w:noProof/>
            <w:webHidden/>
          </w:rPr>
          <w:tab/>
        </w:r>
        <w:r>
          <w:rPr>
            <w:noProof/>
            <w:webHidden/>
          </w:rPr>
          <w:fldChar w:fldCharType="begin"/>
        </w:r>
        <w:r>
          <w:rPr>
            <w:noProof/>
            <w:webHidden/>
          </w:rPr>
          <w:instrText xml:space="preserve"> PAGEREF _Toc115431733 \h </w:instrText>
        </w:r>
        <w:r>
          <w:rPr>
            <w:noProof/>
            <w:webHidden/>
          </w:rPr>
        </w:r>
        <w:r>
          <w:rPr>
            <w:noProof/>
            <w:webHidden/>
          </w:rPr>
          <w:fldChar w:fldCharType="separate"/>
        </w:r>
        <w:r w:rsidR="009A04B0">
          <w:rPr>
            <w:noProof/>
            <w:webHidden/>
          </w:rPr>
          <w:t>66</w:t>
        </w:r>
        <w:r>
          <w:rPr>
            <w:noProof/>
            <w:webHidden/>
          </w:rPr>
          <w:fldChar w:fldCharType="end"/>
        </w:r>
      </w:hyperlink>
    </w:p>
    <w:p w14:paraId="133A9219" w14:textId="3E2B5F2A" w:rsidR="00C86248" w:rsidRDefault="00925EA5">
      <w:r>
        <w:rPr>
          <w:rFonts w:ascii="Segoe UI Semibold" w:hAnsi="Segoe UI Semibold"/>
          <w:b/>
          <w:sz w:val="24"/>
        </w:rPr>
        <w:fldChar w:fldCharType="end"/>
      </w:r>
    </w:p>
    <w:p w14:paraId="49038387" w14:textId="77777777" w:rsidR="003A5FEA" w:rsidRDefault="003A5FEA" w:rsidP="001D3E4E">
      <w:pPr>
        <w:pStyle w:val="TOC1"/>
        <w:keepNext/>
      </w:pPr>
      <w:r>
        <w:t>List of Figures</w:t>
      </w:r>
    </w:p>
    <w:p w14:paraId="085594D8" w14:textId="7D804257" w:rsidR="00F10DDC" w:rsidRDefault="003A5FEA">
      <w:pPr>
        <w:pStyle w:val="TOC3"/>
        <w:rPr>
          <w:rFonts w:asciiTheme="minorHAnsi" w:eastAsiaTheme="minorEastAsia" w:hAnsiTheme="minorHAnsi" w:cstheme="minorBidi"/>
          <w:noProof/>
          <w:sz w:val="22"/>
          <w:szCs w:val="22"/>
          <w:lang w:val="en-AU" w:eastAsia="en-AU"/>
        </w:rPr>
      </w:pPr>
      <w:r>
        <w:fldChar w:fldCharType="begin"/>
      </w:r>
      <w:r>
        <w:instrText xml:space="preserve"> TOC \t "Figure,3" </w:instrText>
      </w:r>
      <w:r>
        <w:fldChar w:fldCharType="separate"/>
      </w:r>
      <w:r w:rsidR="00F10DDC">
        <w:rPr>
          <w:noProof/>
        </w:rPr>
        <w:t>Figure 1: Applications and outcomes for compulsory treatment orders and extensions, 2004/05–2020/21</w:t>
      </w:r>
      <w:r w:rsidR="00F10DDC">
        <w:rPr>
          <w:noProof/>
        </w:rPr>
        <w:tab/>
      </w:r>
      <w:r w:rsidR="00F10DDC">
        <w:rPr>
          <w:noProof/>
        </w:rPr>
        <w:fldChar w:fldCharType="begin"/>
      </w:r>
      <w:r w:rsidR="00F10DDC">
        <w:rPr>
          <w:noProof/>
        </w:rPr>
        <w:instrText xml:space="preserve"> PAGEREF _Toc115272542 \h </w:instrText>
      </w:r>
      <w:r w:rsidR="00F10DDC">
        <w:rPr>
          <w:noProof/>
        </w:rPr>
      </w:r>
      <w:r w:rsidR="00F10DDC">
        <w:rPr>
          <w:noProof/>
        </w:rPr>
        <w:fldChar w:fldCharType="separate"/>
      </w:r>
      <w:r w:rsidR="009A04B0">
        <w:rPr>
          <w:noProof/>
        </w:rPr>
        <w:t>3</w:t>
      </w:r>
      <w:r w:rsidR="00F10DDC">
        <w:rPr>
          <w:noProof/>
        </w:rPr>
        <w:fldChar w:fldCharType="end"/>
      </w:r>
    </w:p>
    <w:p w14:paraId="563BE5FA" w14:textId="4B2279FA" w:rsidR="00F10DDC" w:rsidRDefault="00F10DDC">
      <w:pPr>
        <w:pStyle w:val="TOC3"/>
        <w:rPr>
          <w:rFonts w:asciiTheme="minorHAnsi" w:eastAsiaTheme="minorEastAsia" w:hAnsiTheme="minorHAnsi" w:cstheme="minorBidi"/>
          <w:noProof/>
          <w:sz w:val="22"/>
          <w:szCs w:val="22"/>
          <w:lang w:val="en-AU" w:eastAsia="en-AU"/>
        </w:rPr>
      </w:pPr>
      <w:r>
        <w:rPr>
          <w:noProof/>
        </w:rPr>
        <w:t>Figure 2: Number of granted compulsory treatment orders and extensions, community and inpatient, 2004/05–2020/21</w:t>
      </w:r>
      <w:r>
        <w:rPr>
          <w:noProof/>
        </w:rPr>
        <w:tab/>
      </w:r>
      <w:r>
        <w:rPr>
          <w:noProof/>
        </w:rPr>
        <w:fldChar w:fldCharType="begin"/>
      </w:r>
      <w:r>
        <w:rPr>
          <w:noProof/>
        </w:rPr>
        <w:instrText xml:space="preserve"> PAGEREF _Toc115272543 \h </w:instrText>
      </w:r>
      <w:r>
        <w:rPr>
          <w:noProof/>
        </w:rPr>
      </w:r>
      <w:r>
        <w:rPr>
          <w:noProof/>
        </w:rPr>
        <w:fldChar w:fldCharType="separate"/>
      </w:r>
      <w:r w:rsidR="009A04B0">
        <w:rPr>
          <w:noProof/>
        </w:rPr>
        <w:t>4</w:t>
      </w:r>
      <w:r>
        <w:rPr>
          <w:noProof/>
        </w:rPr>
        <w:fldChar w:fldCharType="end"/>
      </w:r>
    </w:p>
    <w:p w14:paraId="52F29AE9" w14:textId="2AFB69DB" w:rsidR="00F10DDC" w:rsidRDefault="00F10DDC">
      <w:pPr>
        <w:pStyle w:val="TOC3"/>
        <w:rPr>
          <w:rFonts w:asciiTheme="minorHAnsi" w:eastAsiaTheme="minorEastAsia" w:hAnsiTheme="minorHAnsi" w:cstheme="minorBidi"/>
          <w:noProof/>
          <w:sz w:val="22"/>
          <w:szCs w:val="22"/>
          <w:lang w:val="en-AU" w:eastAsia="en-AU"/>
        </w:rPr>
      </w:pPr>
      <w:r>
        <w:rPr>
          <w:noProof/>
        </w:rPr>
        <w:t>Figure 3: Average number of people on a given day subject to a community treatment order (section 29) per 100,000 population, by DHB, 1 July 2020 to 30 June 2021</w:t>
      </w:r>
      <w:r>
        <w:rPr>
          <w:noProof/>
        </w:rPr>
        <w:tab/>
      </w:r>
      <w:r>
        <w:rPr>
          <w:noProof/>
        </w:rPr>
        <w:fldChar w:fldCharType="begin"/>
      </w:r>
      <w:r>
        <w:rPr>
          <w:noProof/>
        </w:rPr>
        <w:instrText xml:space="preserve"> PAGEREF _Toc115272544 \h </w:instrText>
      </w:r>
      <w:r>
        <w:rPr>
          <w:noProof/>
        </w:rPr>
      </w:r>
      <w:r>
        <w:rPr>
          <w:noProof/>
        </w:rPr>
        <w:fldChar w:fldCharType="separate"/>
      </w:r>
      <w:r w:rsidR="009A04B0">
        <w:rPr>
          <w:noProof/>
        </w:rPr>
        <w:t>6</w:t>
      </w:r>
      <w:r>
        <w:rPr>
          <w:noProof/>
        </w:rPr>
        <w:fldChar w:fldCharType="end"/>
      </w:r>
    </w:p>
    <w:p w14:paraId="402DB67C" w14:textId="71AFB0E0" w:rsidR="00F10DDC" w:rsidRDefault="00F10DDC">
      <w:pPr>
        <w:pStyle w:val="TOC3"/>
        <w:rPr>
          <w:rFonts w:asciiTheme="minorHAnsi" w:eastAsiaTheme="minorEastAsia" w:hAnsiTheme="minorHAnsi" w:cstheme="minorBidi"/>
          <w:noProof/>
          <w:sz w:val="22"/>
          <w:szCs w:val="22"/>
          <w:lang w:val="en-AU" w:eastAsia="en-AU"/>
        </w:rPr>
      </w:pPr>
      <w:r>
        <w:rPr>
          <w:noProof/>
        </w:rPr>
        <w:t>Figure 4: Average number of people on a given day subject to an inpatient treatment order (section 30) per 100,000 population, by DHB, 1 July 2020 to 30 June 2021</w:t>
      </w:r>
      <w:r>
        <w:rPr>
          <w:noProof/>
        </w:rPr>
        <w:tab/>
      </w:r>
      <w:r>
        <w:rPr>
          <w:noProof/>
        </w:rPr>
        <w:fldChar w:fldCharType="begin"/>
      </w:r>
      <w:r>
        <w:rPr>
          <w:noProof/>
        </w:rPr>
        <w:instrText xml:space="preserve"> PAGEREF _Toc115272545 \h </w:instrText>
      </w:r>
      <w:r>
        <w:rPr>
          <w:noProof/>
        </w:rPr>
      </w:r>
      <w:r>
        <w:rPr>
          <w:noProof/>
        </w:rPr>
        <w:fldChar w:fldCharType="separate"/>
      </w:r>
      <w:r w:rsidR="009A04B0">
        <w:rPr>
          <w:noProof/>
        </w:rPr>
        <w:t>6</w:t>
      </w:r>
      <w:r>
        <w:rPr>
          <w:noProof/>
        </w:rPr>
        <w:fldChar w:fldCharType="end"/>
      </w:r>
    </w:p>
    <w:p w14:paraId="34BE84B8" w14:textId="2A9A91ED" w:rsidR="00F10DDC" w:rsidRDefault="00F10DDC">
      <w:pPr>
        <w:pStyle w:val="TOC3"/>
        <w:rPr>
          <w:rFonts w:asciiTheme="minorHAnsi" w:eastAsiaTheme="minorEastAsia" w:hAnsiTheme="minorHAnsi" w:cstheme="minorBidi"/>
          <w:noProof/>
          <w:sz w:val="22"/>
          <w:szCs w:val="22"/>
          <w:lang w:val="en-AU" w:eastAsia="en-AU"/>
        </w:rPr>
      </w:pPr>
      <w:r>
        <w:rPr>
          <w:noProof/>
        </w:rPr>
        <w:t>Figure 5: Rate of people subject to compulsory treatment order applications (including extensions) per 100,000 population, by age group, 2004/05–2020/21</w:t>
      </w:r>
      <w:r>
        <w:rPr>
          <w:noProof/>
        </w:rPr>
        <w:tab/>
      </w:r>
      <w:r>
        <w:rPr>
          <w:noProof/>
        </w:rPr>
        <w:fldChar w:fldCharType="begin"/>
      </w:r>
      <w:r>
        <w:rPr>
          <w:noProof/>
        </w:rPr>
        <w:instrText xml:space="preserve"> PAGEREF _Toc115272546 \h </w:instrText>
      </w:r>
      <w:r>
        <w:rPr>
          <w:noProof/>
        </w:rPr>
      </w:r>
      <w:r>
        <w:rPr>
          <w:noProof/>
        </w:rPr>
        <w:fldChar w:fldCharType="separate"/>
      </w:r>
      <w:r w:rsidR="009A04B0">
        <w:rPr>
          <w:noProof/>
        </w:rPr>
        <w:t>7</w:t>
      </w:r>
      <w:r>
        <w:rPr>
          <w:noProof/>
        </w:rPr>
        <w:fldChar w:fldCharType="end"/>
      </w:r>
    </w:p>
    <w:p w14:paraId="0BF6603D" w14:textId="696C65AF" w:rsidR="00F10DDC" w:rsidRDefault="00F10DDC">
      <w:pPr>
        <w:pStyle w:val="TOC3"/>
        <w:rPr>
          <w:rFonts w:asciiTheme="minorHAnsi" w:eastAsiaTheme="minorEastAsia" w:hAnsiTheme="minorHAnsi" w:cstheme="minorBidi"/>
          <w:noProof/>
          <w:sz w:val="22"/>
          <w:szCs w:val="22"/>
          <w:lang w:val="en-AU" w:eastAsia="en-AU"/>
        </w:rPr>
      </w:pPr>
      <w:r>
        <w:rPr>
          <w:noProof/>
        </w:rPr>
        <w:t>Figure 6: Rate of people subject to compulsory treatment order applications (including extensions) per 100,000 population, by gender, 2004/05–2020/21</w:t>
      </w:r>
      <w:r>
        <w:rPr>
          <w:noProof/>
        </w:rPr>
        <w:tab/>
      </w:r>
      <w:r>
        <w:rPr>
          <w:noProof/>
        </w:rPr>
        <w:fldChar w:fldCharType="begin"/>
      </w:r>
      <w:r>
        <w:rPr>
          <w:noProof/>
        </w:rPr>
        <w:instrText xml:space="preserve"> PAGEREF _Toc115272547 \h </w:instrText>
      </w:r>
      <w:r>
        <w:rPr>
          <w:noProof/>
        </w:rPr>
      </w:r>
      <w:r>
        <w:rPr>
          <w:noProof/>
        </w:rPr>
        <w:fldChar w:fldCharType="separate"/>
      </w:r>
      <w:r w:rsidR="009A04B0">
        <w:rPr>
          <w:noProof/>
        </w:rPr>
        <w:t>8</w:t>
      </w:r>
      <w:r>
        <w:rPr>
          <w:noProof/>
        </w:rPr>
        <w:fldChar w:fldCharType="end"/>
      </w:r>
    </w:p>
    <w:p w14:paraId="05D6AC07" w14:textId="70C67A65" w:rsidR="00F10DDC" w:rsidRDefault="00F10DDC">
      <w:pPr>
        <w:pStyle w:val="TOC3"/>
        <w:rPr>
          <w:rFonts w:asciiTheme="minorHAnsi" w:eastAsiaTheme="minorEastAsia" w:hAnsiTheme="minorHAnsi" w:cstheme="minorBidi"/>
          <w:noProof/>
          <w:sz w:val="22"/>
          <w:szCs w:val="22"/>
          <w:lang w:val="en-AU" w:eastAsia="en-AU"/>
        </w:rPr>
      </w:pPr>
      <w:r>
        <w:rPr>
          <w:noProof/>
        </w:rPr>
        <w:t>Figure 7: Rate ratio of Māori to non-Māori subject to a community treatment order (section 29) under the Mental Health Act per 100,000 population, by DHB, 1 July 2020 to 30 June 2021</w:t>
      </w:r>
      <w:r>
        <w:rPr>
          <w:noProof/>
        </w:rPr>
        <w:tab/>
      </w:r>
      <w:r>
        <w:rPr>
          <w:noProof/>
        </w:rPr>
        <w:fldChar w:fldCharType="begin"/>
      </w:r>
      <w:r>
        <w:rPr>
          <w:noProof/>
        </w:rPr>
        <w:instrText xml:space="preserve"> PAGEREF _Toc115272548 \h </w:instrText>
      </w:r>
      <w:r>
        <w:rPr>
          <w:noProof/>
        </w:rPr>
      </w:r>
      <w:r>
        <w:rPr>
          <w:noProof/>
        </w:rPr>
        <w:fldChar w:fldCharType="separate"/>
      </w:r>
      <w:r w:rsidR="009A04B0">
        <w:rPr>
          <w:noProof/>
        </w:rPr>
        <w:t>11</w:t>
      </w:r>
      <w:r>
        <w:rPr>
          <w:noProof/>
        </w:rPr>
        <w:fldChar w:fldCharType="end"/>
      </w:r>
    </w:p>
    <w:p w14:paraId="17922DEF" w14:textId="3B21C986" w:rsidR="00F10DDC" w:rsidRDefault="00F10DDC">
      <w:pPr>
        <w:pStyle w:val="TOC3"/>
        <w:rPr>
          <w:rFonts w:asciiTheme="minorHAnsi" w:eastAsiaTheme="minorEastAsia" w:hAnsiTheme="minorHAnsi" w:cstheme="minorBidi"/>
          <w:noProof/>
          <w:sz w:val="22"/>
          <w:szCs w:val="22"/>
          <w:lang w:val="en-AU" w:eastAsia="en-AU"/>
        </w:rPr>
      </w:pPr>
      <w:r>
        <w:rPr>
          <w:noProof/>
        </w:rPr>
        <w:t>Figure 8: Rate ratio of Māori to non-Māori subject to an inpatient treatment order (section 30) under the Mental Health Act per 100,000 population, by DHB, 1 July 2020 to 30 June 2021</w:t>
      </w:r>
      <w:r>
        <w:rPr>
          <w:noProof/>
        </w:rPr>
        <w:tab/>
      </w:r>
      <w:r>
        <w:rPr>
          <w:noProof/>
        </w:rPr>
        <w:fldChar w:fldCharType="begin"/>
      </w:r>
      <w:r>
        <w:rPr>
          <w:noProof/>
        </w:rPr>
        <w:instrText xml:space="preserve"> PAGEREF _Toc115272549 \h </w:instrText>
      </w:r>
      <w:r>
        <w:rPr>
          <w:noProof/>
        </w:rPr>
      </w:r>
      <w:r>
        <w:rPr>
          <w:noProof/>
        </w:rPr>
        <w:fldChar w:fldCharType="separate"/>
      </w:r>
      <w:r w:rsidR="009A04B0">
        <w:rPr>
          <w:noProof/>
        </w:rPr>
        <w:t>12</w:t>
      </w:r>
      <w:r>
        <w:rPr>
          <w:noProof/>
        </w:rPr>
        <w:fldChar w:fldCharType="end"/>
      </w:r>
    </w:p>
    <w:p w14:paraId="5DF8F5CD" w14:textId="312B91E9" w:rsidR="00F10DDC" w:rsidRDefault="00F10DDC">
      <w:pPr>
        <w:pStyle w:val="TOC3"/>
        <w:rPr>
          <w:rFonts w:asciiTheme="minorHAnsi" w:eastAsiaTheme="minorEastAsia" w:hAnsiTheme="minorHAnsi" w:cstheme="minorBidi"/>
          <w:noProof/>
          <w:sz w:val="22"/>
          <w:szCs w:val="22"/>
          <w:lang w:val="en-AU" w:eastAsia="en-AU"/>
        </w:rPr>
      </w:pPr>
      <w:r>
        <w:rPr>
          <w:noProof/>
        </w:rPr>
        <w:t>Figure 9: Age-standardised rates of people subject to community (section 29) and inpatient (section 30) treatment orders under the Mental Health Act, by gender and ethnicity, 1 July 2020 to 30 June 2021</w:t>
      </w:r>
      <w:r>
        <w:rPr>
          <w:noProof/>
        </w:rPr>
        <w:tab/>
      </w:r>
      <w:r>
        <w:rPr>
          <w:noProof/>
        </w:rPr>
        <w:fldChar w:fldCharType="begin"/>
      </w:r>
      <w:r>
        <w:rPr>
          <w:noProof/>
        </w:rPr>
        <w:instrText xml:space="preserve"> PAGEREF _Toc115272550 \h </w:instrText>
      </w:r>
      <w:r>
        <w:rPr>
          <w:noProof/>
        </w:rPr>
      </w:r>
      <w:r>
        <w:rPr>
          <w:noProof/>
        </w:rPr>
        <w:fldChar w:fldCharType="separate"/>
      </w:r>
      <w:r w:rsidR="009A04B0">
        <w:rPr>
          <w:noProof/>
        </w:rPr>
        <w:t>13</w:t>
      </w:r>
      <w:r>
        <w:rPr>
          <w:noProof/>
        </w:rPr>
        <w:fldChar w:fldCharType="end"/>
      </w:r>
    </w:p>
    <w:p w14:paraId="32FA9A5B" w14:textId="03D3F641" w:rsidR="00F10DDC" w:rsidRDefault="00F10DDC">
      <w:pPr>
        <w:pStyle w:val="TOC3"/>
        <w:rPr>
          <w:rFonts w:asciiTheme="minorHAnsi" w:eastAsiaTheme="minorEastAsia" w:hAnsiTheme="minorHAnsi" w:cstheme="minorBidi"/>
          <w:noProof/>
          <w:sz w:val="22"/>
          <w:szCs w:val="22"/>
          <w:lang w:val="en-AU" w:eastAsia="en-AU"/>
        </w:rPr>
      </w:pPr>
      <w:r>
        <w:rPr>
          <w:noProof/>
        </w:rPr>
        <w:lastRenderedPageBreak/>
        <w:t>Figure 10: Length of time spent subject to community treatment orders (section 29) under the Mental Health Act, by ethnicity, 1 January 2009 to 30 June 2021</w:t>
      </w:r>
      <w:r>
        <w:rPr>
          <w:noProof/>
        </w:rPr>
        <w:tab/>
      </w:r>
      <w:r>
        <w:rPr>
          <w:noProof/>
        </w:rPr>
        <w:fldChar w:fldCharType="begin"/>
      </w:r>
      <w:r>
        <w:rPr>
          <w:noProof/>
        </w:rPr>
        <w:instrText xml:space="preserve"> PAGEREF _Toc115272551 \h </w:instrText>
      </w:r>
      <w:r>
        <w:rPr>
          <w:noProof/>
        </w:rPr>
      </w:r>
      <w:r>
        <w:rPr>
          <w:noProof/>
        </w:rPr>
        <w:fldChar w:fldCharType="separate"/>
      </w:r>
      <w:r w:rsidR="009A04B0">
        <w:rPr>
          <w:noProof/>
        </w:rPr>
        <w:t>14</w:t>
      </w:r>
      <w:r>
        <w:rPr>
          <w:noProof/>
        </w:rPr>
        <w:fldChar w:fldCharType="end"/>
      </w:r>
    </w:p>
    <w:p w14:paraId="53006994" w14:textId="4D248CC1" w:rsidR="00F10DDC" w:rsidRDefault="00F10DDC">
      <w:pPr>
        <w:pStyle w:val="TOC3"/>
        <w:rPr>
          <w:rFonts w:asciiTheme="minorHAnsi" w:eastAsiaTheme="minorEastAsia" w:hAnsiTheme="minorHAnsi" w:cstheme="minorBidi"/>
          <w:noProof/>
          <w:sz w:val="22"/>
          <w:szCs w:val="22"/>
          <w:lang w:val="en-AU" w:eastAsia="en-AU"/>
        </w:rPr>
      </w:pPr>
      <w:r>
        <w:rPr>
          <w:noProof/>
        </w:rPr>
        <w:t>Figure 11: Length of time spent subject to inpatient treatment orders (section 30) under the Mental Health Act, by ethnicity, 1 January 2009 to 30 June 2021</w:t>
      </w:r>
      <w:r>
        <w:rPr>
          <w:noProof/>
        </w:rPr>
        <w:tab/>
      </w:r>
      <w:r>
        <w:rPr>
          <w:noProof/>
        </w:rPr>
        <w:fldChar w:fldCharType="begin"/>
      </w:r>
      <w:r>
        <w:rPr>
          <w:noProof/>
        </w:rPr>
        <w:instrText xml:space="preserve"> PAGEREF _Toc115272552 \h </w:instrText>
      </w:r>
      <w:r>
        <w:rPr>
          <w:noProof/>
        </w:rPr>
      </w:r>
      <w:r>
        <w:rPr>
          <w:noProof/>
        </w:rPr>
        <w:fldChar w:fldCharType="separate"/>
      </w:r>
      <w:r w:rsidR="009A04B0">
        <w:rPr>
          <w:noProof/>
        </w:rPr>
        <w:t>14</w:t>
      </w:r>
      <w:r>
        <w:rPr>
          <w:noProof/>
        </w:rPr>
        <w:fldChar w:fldCharType="end"/>
      </w:r>
    </w:p>
    <w:p w14:paraId="51DF2868" w14:textId="2DE35CBA" w:rsidR="00F10DDC" w:rsidRDefault="00F10DDC">
      <w:pPr>
        <w:pStyle w:val="TOC3"/>
        <w:rPr>
          <w:rFonts w:asciiTheme="minorHAnsi" w:eastAsiaTheme="minorEastAsia" w:hAnsiTheme="minorHAnsi" w:cstheme="minorBidi"/>
          <w:noProof/>
          <w:sz w:val="22"/>
          <w:szCs w:val="22"/>
          <w:lang w:val="en-AU" w:eastAsia="en-AU"/>
        </w:rPr>
      </w:pPr>
      <w:r>
        <w:rPr>
          <w:noProof/>
        </w:rPr>
        <w:t>Figure 12: Rate ratio of Māori to non-Māori subject to indefinite community treatment orders per 100,000 population, by DHB, 1 July 2020 to 30 June 2021</w:t>
      </w:r>
      <w:r>
        <w:rPr>
          <w:noProof/>
        </w:rPr>
        <w:tab/>
      </w:r>
      <w:r>
        <w:rPr>
          <w:noProof/>
        </w:rPr>
        <w:fldChar w:fldCharType="begin"/>
      </w:r>
      <w:r>
        <w:rPr>
          <w:noProof/>
        </w:rPr>
        <w:instrText xml:space="preserve"> PAGEREF _Toc115272553 \h </w:instrText>
      </w:r>
      <w:r>
        <w:rPr>
          <w:noProof/>
        </w:rPr>
      </w:r>
      <w:r>
        <w:rPr>
          <w:noProof/>
        </w:rPr>
        <w:fldChar w:fldCharType="separate"/>
      </w:r>
      <w:r w:rsidR="009A04B0">
        <w:rPr>
          <w:noProof/>
        </w:rPr>
        <w:t>15</w:t>
      </w:r>
      <w:r>
        <w:rPr>
          <w:noProof/>
        </w:rPr>
        <w:fldChar w:fldCharType="end"/>
      </w:r>
    </w:p>
    <w:p w14:paraId="791E0F38" w14:textId="09E1496D" w:rsidR="00F10DDC" w:rsidRDefault="00F10DDC">
      <w:pPr>
        <w:pStyle w:val="TOC3"/>
        <w:rPr>
          <w:rFonts w:asciiTheme="minorHAnsi" w:eastAsiaTheme="minorEastAsia" w:hAnsiTheme="minorHAnsi" w:cstheme="minorBidi"/>
          <w:noProof/>
          <w:sz w:val="22"/>
          <w:szCs w:val="22"/>
          <w:lang w:val="en-AU" w:eastAsia="en-AU"/>
        </w:rPr>
      </w:pPr>
      <w:r>
        <w:rPr>
          <w:noProof/>
        </w:rPr>
        <w:t>Figure 13: Rate ratio of Māori to non-Māori subject to indefinite inpatient treatment orders per 100,000 population, by DHB, 1 July 2020 to 30 June 2021</w:t>
      </w:r>
      <w:r>
        <w:rPr>
          <w:noProof/>
        </w:rPr>
        <w:tab/>
      </w:r>
      <w:r>
        <w:rPr>
          <w:noProof/>
        </w:rPr>
        <w:fldChar w:fldCharType="begin"/>
      </w:r>
      <w:r>
        <w:rPr>
          <w:noProof/>
        </w:rPr>
        <w:instrText xml:space="preserve"> PAGEREF _Toc115272554 \h </w:instrText>
      </w:r>
      <w:r>
        <w:rPr>
          <w:noProof/>
        </w:rPr>
      </w:r>
      <w:r>
        <w:rPr>
          <w:noProof/>
        </w:rPr>
        <w:fldChar w:fldCharType="separate"/>
      </w:r>
      <w:r w:rsidR="009A04B0">
        <w:rPr>
          <w:noProof/>
        </w:rPr>
        <w:t>16</w:t>
      </w:r>
      <w:r>
        <w:rPr>
          <w:noProof/>
        </w:rPr>
        <w:fldChar w:fldCharType="end"/>
      </w:r>
    </w:p>
    <w:p w14:paraId="113AD7B3" w14:textId="4E8E4E06" w:rsidR="00F10DDC" w:rsidRDefault="00F10DDC">
      <w:pPr>
        <w:pStyle w:val="TOC3"/>
        <w:rPr>
          <w:rFonts w:asciiTheme="minorHAnsi" w:eastAsiaTheme="minorEastAsia" w:hAnsiTheme="minorHAnsi" w:cstheme="minorBidi"/>
          <w:noProof/>
          <w:sz w:val="22"/>
          <w:szCs w:val="22"/>
          <w:lang w:val="en-AU" w:eastAsia="en-AU"/>
        </w:rPr>
      </w:pPr>
      <w:r>
        <w:rPr>
          <w:noProof/>
        </w:rPr>
        <w:t>Figure 14: Average national percentage of family and whānau consultation for particular assessment or treatment events, sections 10, 12, 14, and 76, 77 and 78, 1 July 2020 to 30 June 2021</w:t>
      </w:r>
      <w:r>
        <w:rPr>
          <w:noProof/>
        </w:rPr>
        <w:tab/>
      </w:r>
      <w:r>
        <w:rPr>
          <w:noProof/>
        </w:rPr>
        <w:fldChar w:fldCharType="begin"/>
      </w:r>
      <w:r>
        <w:rPr>
          <w:noProof/>
        </w:rPr>
        <w:instrText xml:space="preserve"> PAGEREF _Toc115272555 \h </w:instrText>
      </w:r>
      <w:r>
        <w:rPr>
          <w:noProof/>
        </w:rPr>
      </w:r>
      <w:r>
        <w:rPr>
          <w:noProof/>
        </w:rPr>
        <w:fldChar w:fldCharType="separate"/>
      </w:r>
      <w:r w:rsidR="009A04B0">
        <w:rPr>
          <w:noProof/>
        </w:rPr>
        <w:t>17</w:t>
      </w:r>
      <w:r>
        <w:rPr>
          <w:noProof/>
        </w:rPr>
        <w:fldChar w:fldCharType="end"/>
      </w:r>
    </w:p>
    <w:p w14:paraId="1971A75A" w14:textId="69C944E2" w:rsidR="00F10DDC" w:rsidRDefault="00F10DDC">
      <w:pPr>
        <w:pStyle w:val="TOC3"/>
        <w:rPr>
          <w:rFonts w:asciiTheme="minorHAnsi" w:eastAsiaTheme="minorEastAsia" w:hAnsiTheme="minorHAnsi" w:cstheme="minorBidi"/>
          <w:noProof/>
          <w:sz w:val="22"/>
          <w:szCs w:val="22"/>
          <w:lang w:val="en-AU" w:eastAsia="en-AU"/>
        </w:rPr>
      </w:pPr>
      <w:r>
        <w:rPr>
          <w:noProof/>
        </w:rPr>
        <w:t>Figure 15: Average percentage of family and whānau consultation across all assessment and treatment events, by DHB, 1 July 2020 to 30 June 2021</w:t>
      </w:r>
      <w:r>
        <w:rPr>
          <w:noProof/>
        </w:rPr>
        <w:tab/>
      </w:r>
      <w:r>
        <w:rPr>
          <w:noProof/>
        </w:rPr>
        <w:fldChar w:fldCharType="begin"/>
      </w:r>
      <w:r>
        <w:rPr>
          <w:noProof/>
        </w:rPr>
        <w:instrText xml:space="preserve"> PAGEREF _Toc115272556 \h </w:instrText>
      </w:r>
      <w:r>
        <w:rPr>
          <w:noProof/>
        </w:rPr>
      </w:r>
      <w:r>
        <w:rPr>
          <w:noProof/>
        </w:rPr>
        <w:fldChar w:fldCharType="separate"/>
      </w:r>
      <w:r w:rsidR="009A04B0">
        <w:rPr>
          <w:noProof/>
        </w:rPr>
        <w:t>18</w:t>
      </w:r>
      <w:r>
        <w:rPr>
          <w:noProof/>
        </w:rPr>
        <w:fldChar w:fldCharType="end"/>
      </w:r>
    </w:p>
    <w:p w14:paraId="382DD973" w14:textId="4D964253" w:rsidR="00F10DDC" w:rsidRDefault="00F10DDC">
      <w:pPr>
        <w:pStyle w:val="TOC3"/>
        <w:rPr>
          <w:rFonts w:asciiTheme="minorHAnsi" w:eastAsiaTheme="minorEastAsia" w:hAnsiTheme="minorHAnsi" w:cstheme="minorBidi"/>
          <w:noProof/>
          <w:sz w:val="22"/>
          <w:szCs w:val="22"/>
          <w:lang w:val="en-AU" w:eastAsia="en-AU"/>
        </w:rPr>
      </w:pPr>
      <w:r>
        <w:rPr>
          <w:noProof/>
        </w:rPr>
        <w:t>Figure 16: Reasons for not consulting families and whānau, 1 July 2020 to 30 June 2021</w:t>
      </w:r>
      <w:r>
        <w:rPr>
          <w:noProof/>
        </w:rPr>
        <w:tab/>
      </w:r>
      <w:r>
        <w:rPr>
          <w:noProof/>
        </w:rPr>
        <w:fldChar w:fldCharType="begin"/>
      </w:r>
      <w:r>
        <w:rPr>
          <w:noProof/>
        </w:rPr>
        <w:instrText xml:space="preserve"> PAGEREF _Toc115272557 \h </w:instrText>
      </w:r>
      <w:r>
        <w:rPr>
          <w:noProof/>
        </w:rPr>
      </w:r>
      <w:r>
        <w:rPr>
          <w:noProof/>
        </w:rPr>
        <w:fldChar w:fldCharType="separate"/>
      </w:r>
      <w:r w:rsidR="009A04B0">
        <w:rPr>
          <w:noProof/>
        </w:rPr>
        <w:t>18</w:t>
      </w:r>
      <w:r>
        <w:rPr>
          <w:noProof/>
        </w:rPr>
        <w:fldChar w:fldCharType="end"/>
      </w:r>
    </w:p>
    <w:p w14:paraId="51FBDBA1" w14:textId="4C8771F6" w:rsidR="00F10DDC" w:rsidRDefault="00F10DDC">
      <w:pPr>
        <w:pStyle w:val="TOC3"/>
        <w:rPr>
          <w:rFonts w:asciiTheme="minorHAnsi" w:eastAsiaTheme="minorEastAsia" w:hAnsiTheme="minorHAnsi" w:cstheme="minorBidi"/>
          <w:noProof/>
          <w:sz w:val="22"/>
          <w:szCs w:val="22"/>
          <w:lang w:val="en-AU" w:eastAsia="en-AU"/>
        </w:rPr>
      </w:pPr>
      <w:r>
        <w:rPr>
          <w:noProof/>
        </w:rPr>
        <w:t>Figure 17: Number of people subject to indefinite community treatment orders per 100,000 population, by DHB, orders open at 30 June 2021</w:t>
      </w:r>
      <w:r>
        <w:rPr>
          <w:noProof/>
        </w:rPr>
        <w:tab/>
      </w:r>
      <w:r>
        <w:rPr>
          <w:noProof/>
        </w:rPr>
        <w:fldChar w:fldCharType="begin"/>
      </w:r>
      <w:r>
        <w:rPr>
          <w:noProof/>
        </w:rPr>
        <w:instrText xml:space="preserve"> PAGEREF _Toc115272558 \h </w:instrText>
      </w:r>
      <w:r>
        <w:rPr>
          <w:noProof/>
        </w:rPr>
      </w:r>
      <w:r>
        <w:rPr>
          <w:noProof/>
        </w:rPr>
        <w:fldChar w:fldCharType="separate"/>
      </w:r>
      <w:r w:rsidR="009A04B0">
        <w:rPr>
          <w:noProof/>
        </w:rPr>
        <w:t>20</w:t>
      </w:r>
      <w:r>
        <w:rPr>
          <w:noProof/>
        </w:rPr>
        <w:fldChar w:fldCharType="end"/>
      </w:r>
    </w:p>
    <w:p w14:paraId="46259AEF" w14:textId="4226EA83" w:rsidR="00F10DDC" w:rsidRDefault="00F10DDC">
      <w:pPr>
        <w:pStyle w:val="TOC3"/>
        <w:rPr>
          <w:rFonts w:asciiTheme="minorHAnsi" w:eastAsiaTheme="minorEastAsia" w:hAnsiTheme="minorHAnsi" w:cstheme="minorBidi"/>
          <w:noProof/>
          <w:sz w:val="22"/>
          <w:szCs w:val="22"/>
          <w:lang w:val="en-AU" w:eastAsia="en-AU"/>
        </w:rPr>
      </w:pPr>
      <w:r>
        <w:rPr>
          <w:noProof/>
        </w:rPr>
        <w:t>Figure 18: Rate ratio of Māori to non-Māori subject to indefinite community treatment orders per 100,000 population, by DHB, orders open at 30 June 2021</w:t>
      </w:r>
      <w:r>
        <w:rPr>
          <w:noProof/>
        </w:rPr>
        <w:tab/>
      </w:r>
      <w:r>
        <w:rPr>
          <w:noProof/>
        </w:rPr>
        <w:fldChar w:fldCharType="begin"/>
      </w:r>
      <w:r>
        <w:rPr>
          <w:noProof/>
        </w:rPr>
        <w:instrText xml:space="preserve"> PAGEREF _Toc115272559 \h </w:instrText>
      </w:r>
      <w:r>
        <w:rPr>
          <w:noProof/>
        </w:rPr>
      </w:r>
      <w:r>
        <w:rPr>
          <w:noProof/>
        </w:rPr>
        <w:fldChar w:fldCharType="separate"/>
      </w:r>
      <w:r w:rsidR="009A04B0">
        <w:rPr>
          <w:noProof/>
        </w:rPr>
        <w:t>21</w:t>
      </w:r>
      <w:r>
        <w:rPr>
          <w:noProof/>
        </w:rPr>
        <w:fldChar w:fldCharType="end"/>
      </w:r>
    </w:p>
    <w:p w14:paraId="2BB5AECC" w14:textId="079EA31C" w:rsidR="00F10DDC" w:rsidRDefault="00F10DDC">
      <w:pPr>
        <w:pStyle w:val="TOC3"/>
        <w:rPr>
          <w:rFonts w:asciiTheme="minorHAnsi" w:eastAsiaTheme="minorEastAsia" w:hAnsiTheme="minorHAnsi" w:cstheme="minorBidi"/>
          <w:noProof/>
          <w:sz w:val="22"/>
          <w:szCs w:val="22"/>
          <w:lang w:val="en-AU" w:eastAsia="en-AU"/>
        </w:rPr>
      </w:pPr>
      <w:r>
        <w:rPr>
          <w:noProof/>
        </w:rPr>
        <w:t>Figure 19: Number of people subject to indefinite community treatment orders, by gender and ethnicity, 1 July 2020 to 30 June 2021</w:t>
      </w:r>
      <w:r>
        <w:rPr>
          <w:noProof/>
        </w:rPr>
        <w:tab/>
      </w:r>
      <w:r>
        <w:rPr>
          <w:noProof/>
        </w:rPr>
        <w:fldChar w:fldCharType="begin"/>
      </w:r>
      <w:r>
        <w:rPr>
          <w:noProof/>
        </w:rPr>
        <w:instrText xml:space="preserve"> PAGEREF _Toc115272560 \h </w:instrText>
      </w:r>
      <w:r>
        <w:rPr>
          <w:noProof/>
        </w:rPr>
      </w:r>
      <w:r>
        <w:rPr>
          <w:noProof/>
        </w:rPr>
        <w:fldChar w:fldCharType="separate"/>
      </w:r>
      <w:r w:rsidR="009A04B0">
        <w:rPr>
          <w:noProof/>
        </w:rPr>
        <w:t>22</w:t>
      </w:r>
      <w:r>
        <w:rPr>
          <w:noProof/>
        </w:rPr>
        <w:fldChar w:fldCharType="end"/>
      </w:r>
    </w:p>
    <w:p w14:paraId="73FF9821" w14:textId="26C79986" w:rsidR="00F10DDC" w:rsidRDefault="00F10DDC">
      <w:pPr>
        <w:pStyle w:val="TOC3"/>
        <w:rPr>
          <w:rFonts w:asciiTheme="minorHAnsi" w:eastAsiaTheme="minorEastAsia" w:hAnsiTheme="minorHAnsi" w:cstheme="minorBidi"/>
          <w:noProof/>
          <w:sz w:val="22"/>
          <w:szCs w:val="22"/>
          <w:lang w:val="en-AU" w:eastAsia="en-AU"/>
        </w:rPr>
      </w:pPr>
      <w:r>
        <w:rPr>
          <w:noProof/>
        </w:rPr>
        <w:t>Figure 20: Number of people subject to indefinite inpatient treatment orders per 100,000 population, by DHB, 1 July 2020 to 30 June 2021</w:t>
      </w:r>
      <w:r>
        <w:rPr>
          <w:noProof/>
        </w:rPr>
        <w:tab/>
      </w:r>
      <w:r>
        <w:rPr>
          <w:noProof/>
        </w:rPr>
        <w:fldChar w:fldCharType="begin"/>
      </w:r>
      <w:r>
        <w:rPr>
          <w:noProof/>
        </w:rPr>
        <w:instrText xml:space="preserve"> PAGEREF _Toc115272561 \h </w:instrText>
      </w:r>
      <w:r>
        <w:rPr>
          <w:noProof/>
        </w:rPr>
      </w:r>
      <w:r>
        <w:rPr>
          <w:noProof/>
        </w:rPr>
        <w:fldChar w:fldCharType="separate"/>
      </w:r>
      <w:r w:rsidR="009A04B0">
        <w:rPr>
          <w:noProof/>
        </w:rPr>
        <w:t>23</w:t>
      </w:r>
      <w:r>
        <w:rPr>
          <w:noProof/>
        </w:rPr>
        <w:fldChar w:fldCharType="end"/>
      </w:r>
    </w:p>
    <w:p w14:paraId="2F7C29E4" w14:textId="4E599F86" w:rsidR="00F10DDC" w:rsidRDefault="00F10DDC">
      <w:pPr>
        <w:pStyle w:val="TOC3"/>
        <w:rPr>
          <w:rFonts w:asciiTheme="minorHAnsi" w:eastAsiaTheme="minorEastAsia" w:hAnsiTheme="minorHAnsi" w:cstheme="minorBidi"/>
          <w:noProof/>
          <w:sz w:val="22"/>
          <w:szCs w:val="22"/>
          <w:lang w:val="en-AU" w:eastAsia="en-AU"/>
        </w:rPr>
      </w:pPr>
      <w:r>
        <w:rPr>
          <w:noProof/>
        </w:rPr>
        <w:t>Figure 21: Rate ratio of Māori to non-Māori subject to indefinite inpatient treatment orders per 100,000 population, by DHB, orders open at 30 June 2021</w:t>
      </w:r>
      <w:r>
        <w:rPr>
          <w:noProof/>
        </w:rPr>
        <w:tab/>
      </w:r>
      <w:r>
        <w:rPr>
          <w:noProof/>
        </w:rPr>
        <w:fldChar w:fldCharType="begin"/>
      </w:r>
      <w:r>
        <w:rPr>
          <w:noProof/>
        </w:rPr>
        <w:instrText xml:space="preserve"> PAGEREF _Toc115272562 \h </w:instrText>
      </w:r>
      <w:r>
        <w:rPr>
          <w:noProof/>
        </w:rPr>
      </w:r>
      <w:r>
        <w:rPr>
          <w:noProof/>
        </w:rPr>
        <w:fldChar w:fldCharType="separate"/>
      </w:r>
      <w:r w:rsidR="009A04B0">
        <w:rPr>
          <w:noProof/>
        </w:rPr>
        <w:t>24</w:t>
      </w:r>
      <w:r>
        <w:rPr>
          <w:noProof/>
        </w:rPr>
        <w:fldChar w:fldCharType="end"/>
      </w:r>
    </w:p>
    <w:p w14:paraId="495FEC11" w14:textId="299F07D1" w:rsidR="00F10DDC" w:rsidRDefault="00F10DDC">
      <w:pPr>
        <w:pStyle w:val="TOC3"/>
        <w:rPr>
          <w:rFonts w:asciiTheme="minorHAnsi" w:eastAsiaTheme="minorEastAsia" w:hAnsiTheme="minorHAnsi" w:cstheme="minorBidi"/>
          <w:noProof/>
          <w:sz w:val="22"/>
          <w:szCs w:val="22"/>
          <w:lang w:val="en-AU" w:eastAsia="en-AU"/>
        </w:rPr>
      </w:pPr>
      <w:r>
        <w:rPr>
          <w:noProof/>
        </w:rPr>
        <w:t>Figure 22: Number of M</w:t>
      </w:r>
      <w:r w:rsidRPr="00F17C06">
        <w:rPr>
          <w:rFonts w:cs="Segoe UI"/>
          <w:noProof/>
        </w:rPr>
        <w:t>ā</w:t>
      </w:r>
      <w:r>
        <w:rPr>
          <w:noProof/>
        </w:rPr>
        <w:t>ori and non-M</w:t>
      </w:r>
      <w:r w:rsidRPr="00F17C06">
        <w:rPr>
          <w:rFonts w:cs="Segoe UI"/>
          <w:noProof/>
        </w:rPr>
        <w:t>ā</w:t>
      </w:r>
      <w:r>
        <w:rPr>
          <w:noProof/>
        </w:rPr>
        <w:t>ori subject to indefinite inpatient treatment orders, by gender, 1 July 2020 to 30 June 2021</w:t>
      </w:r>
      <w:r>
        <w:rPr>
          <w:noProof/>
        </w:rPr>
        <w:tab/>
      </w:r>
      <w:r>
        <w:rPr>
          <w:noProof/>
        </w:rPr>
        <w:fldChar w:fldCharType="begin"/>
      </w:r>
      <w:r>
        <w:rPr>
          <w:noProof/>
        </w:rPr>
        <w:instrText xml:space="preserve"> PAGEREF _Toc115272563 \h </w:instrText>
      </w:r>
      <w:r>
        <w:rPr>
          <w:noProof/>
        </w:rPr>
      </w:r>
      <w:r>
        <w:rPr>
          <w:noProof/>
        </w:rPr>
        <w:fldChar w:fldCharType="separate"/>
      </w:r>
      <w:r w:rsidR="009A04B0">
        <w:rPr>
          <w:noProof/>
        </w:rPr>
        <w:t>25</w:t>
      </w:r>
      <w:r>
        <w:rPr>
          <w:noProof/>
        </w:rPr>
        <w:fldChar w:fldCharType="end"/>
      </w:r>
    </w:p>
    <w:p w14:paraId="7FF012A7" w14:textId="55D9234F" w:rsidR="00F10DDC" w:rsidRDefault="00F10DDC">
      <w:pPr>
        <w:pStyle w:val="TOC3"/>
        <w:rPr>
          <w:rFonts w:asciiTheme="minorHAnsi" w:eastAsiaTheme="minorEastAsia" w:hAnsiTheme="minorHAnsi" w:cstheme="minorBidi"/>
          <w:noProof/>
          <w:sz w:val="22"/>
          <w:szCs w:val="22"/>
          <w:lang w:val="en-AU" w:eastAsia="en-AU"/>
        </w:rPr>
      </w:pPr>
      <w:r>
        <w:rPr>
          <w:noProof/>
        </w:rPr>
        <w:t>Figure 23: Number of people secluded in adult inpatient services nationally, 2007–2020/2021</w:t>
      </w:r>
      <w:r>
        <w:rPr>
          <w:noProof/>
        </w:rPr>
        <w:tab/>
      </w:r>
      <w:r>
        <w:rPr>
          <w:noProof/>
        </w:rPr>
        <w:fldChar w:fldCharType="begin"/>
      </w:r>
      <w:r>
        <w:rPr>
          <w:noProof/>
        </w:rPr>
        <w:instrText xml:space="preserve"> PAGEREF _Toc115272564 \h </w:instrText>
      </w:r>
      <w:r>
        <w:rPr>
          <w:noProof/>
        </w:rPr>
      </w:r>
      <w:r>
        <w:rPr>
          <w:noProof/>
        </w:rPr>
        <w:fldChar w:fldCharType="separate"/>
      </w:r>
      <w:r w:rsidR="009A04B0">
        <w:rPr>
          <w:noProof/>
        </w:rPr>
        <w:t>27</w:t>
      </w:r>
      <w:r>
        <w:rPr>
          <w:noProof/>
        </w:rPr>
        <w:fldChar w:fldCharType="end"/>
      </w:r>
    </w:p>
    <w:p w14:paraId="38087FA3" w14:textId="70536D63" w:rsidR="00F10DDC" w:rsidRDefault="00F10DDC">
      <w:pPr>
        <w:pStyle w:val="TOC3"/>
        <w:rPr>
          <w:rFonts w:asciiTheme="minorHAnsi" w:eastAsiaTheme="minorEastAsia" w:hAnsiTheme="minorHAnsi" w:cstheme="minorBidi"/>
          <w:noProof/>
          <w:sz w:val="22"/>
          <w:szCs w:val="22"/>
          <w:lang w:val="en-AU" w:eastAsia="en-AU"/>
        </w:rPr>
      </w:pPr>
      <w:r>
        <w:rPr>
          <w:noProof/>
        </w:rPr>
        <w:t>Figure 24: Number of seclusion hours in adult inpatient services nationally, 2007–2020/21</w:t>
      </w:r>
      <w:r>
        <w:rPr>
          <w:noProof/>
        </w:rPr>
        <w:tab/>
      </w:r>
      <w:r>
        <w:rPr>
          <w:noProof/>
        </w:rPr>
        <w:fldChar w:fldCharType="begin"/>
      </w:r>
      <w:r>
        <w:rPr>
          <w:noProof/>
        </w:rPr>
        <w:instrText xml:space="preserve"> PAGEREF _Toc115272565 \h </w:instrText>
      </w:r>
      <w:r>
        <w:rPr>
          <w:noProof/>
        </w:rPr>
      </w:r>
      <w:r>
        <w:rPr>
          <w:noProof/>
        </w:rPr>
        <w:fldChar w:fldCharType="separate"/>
      </w:r>
      <w:r w:rsidR="009A04B0">
        <w:rPr>
          <w:noProof/>
        </w:rPr>
        <w:t>27</w:t>
      </w:r>
      <w:r>
        <w:rPr>
          <w:noProof/>
        </w:rPr>
        <w:fldChar w:fldCharType="end"/>
      </w:r>
    </w:p>
    <w:p w14:paraId="39156A81" w14:textId="32B6CD51" w:rsidR="00F10DDC" w:rsidRDefault="00F10DDC">
      <w:pPr>
        <w:pStyle w:val="TOC3"/>
        <w:rPr>
          <w:rFonts w:asciiTheme="minorHAnsi" w:eastAsiaTheme="minorEastAsia" w:hAnsiTheme="minorHAnsi" w:cstheme="minorBidi"/>
          <w:noProof/>
          <w:sz w:val="22"/>
          <w:szCs w:val="22"/>
          <w:lang w:val="en-AU" w:eastAsia="en-AU"/>
        </w:rPr>
      </w:pPr>
      <w:r>
        <w:rPr>
          <w:noProof/>
        </w:rPr>
        <w:t>Figure 25: Number of people secluded across all inpatient services (adult, forensic, intellectual disability and youth), by age group, 1 July 2020 to 30 June 2021</w:t>
      </w:r>
      <w:r>
        <w:rPr>
          <w:noProof/>
        </w:rPr>
        <w:tab/>
      </w:r>
      <w:r>
        <w:rPr>
          <w:noProof/>
        </w:rPr>
        <w:fldChar w:fldCharType="begin"/>
      </w:r>
      <w:r>
        <w:rPr>
          <w:noProof/>
        </w:rPr>
        <w:instrText xml:space="preserve"> PAGEREF _Toc115272566 \h </w:instrText>
      </w:r>
      <w:r>
        <w:rPr>
          <w:noProof/>
        </w:rPr>
      </w:r>
      <w:r>
        <w:rPr>
          <w:noProof/>
        </w:rPr>
        <w:fldChar w:fldCharType="separate"/>
      </w:r>
      <w:r w:rsidR="009A04B0">
        <w:rPr>
          <w:noProof/>
        </w:rPr>
        <w:t>29</w:t>
      </w:r>
      <w:r>
        <w:rPr>
          <w:noProof/>
        </w:rPr>
        <w:fldChar w:fldCharType="end"/>
      </w:r>
    </w:p>
    <w:p w14:paraId="05A3ABFC" w14:textId="60965786" w:rsidR="00F10DDC" w:rsidRDefault="00F10DDC">
      <w:pPr>
        <w:pStyle w:val="TOC3"/>
        <w:rPr>
          <w:rFonts w:asciiTheme="minorHAnsi" w:eastAsiaTheme="minorEastAsia" w:hAnsiTheme="minorHAnsi" w:cstheme="minorBidi"/>
          <w:noProof/>
          <w:sz w:val="22"/>
          <w:szCs w:val="22"/>
          <w:lang w:val="en-AU" w:eastAsia="en-AU"/>
        </w:rPr>
      </w:pPr>
      <w:r>
        <w:rPr>
          <w:noProof/>
        </w:rPr>
        <w:t>Figure 26: Number of seclusion events across all inpatient services (adult, forensic, intellectual disability and youth), by length of event, 1 July 2020 to 30 June 2021</w:t>
      </w:r>
      <w:r>
        <w:rPr>
          <w:noProof/>
        </w:rPr>
        <w:tab/>
      </w:r>
      <w:r>
        <w:rPr>
          <w:noProof/>
        </w:rPr>
        <w:fldChar w:fldCharType="begin"/>
      </w:r>
      <w:r>
        <w:rPr>
          <w:noProof/>
        </w:rPr>
        <w:instrText xml:space="preserve"> PAGEREF _Toc115272567 \h </w:instrText>
      </w:r>
      <w:r>
        <w:rPr>
          <w:noProof/>
        </w:rPr>
      </w:r>
      <w:r>
        <w:rPr>
          <w:noProof/>
        </w:rPr>
        <w:fldChar w:fldCharType="separate"/>
      </w:r>
      <w:r w:rsidR="009A04B0">
        <w:rPr>
          <w:noProof/>
        </w:rPr>
        <w:t>29</w:t>
      </w:r>
      <w:r>
        <w:rPr>
          <w:noProof/>
        </w:rPr>
        <w:fldChar w:fldCharType="end"/>
      </w:r>
    </w:p>
    <w:p w14:paraId="7309A335" w14:textId="17EF96A3" w:rsidR="00F10DDC" w:rsidRDefault="00F10DDC">
      <w:pPr>
        <w:pStyle w:val="TOC3"/>
        <w:rPr>
          <w:rFonts w:asciiTheme="minorHAnsi" w:eastAsiaTheme="minorEastAsia" w:hAnsiTheme="minorHAnsi" w:cstheme="minorBidi"/>
          <w:noProof/>
          <w:sz w:val="22"/>
          <w:szCs w:val="22"/>
          <w:lang w:val="en-AU" w:eastAsia="en-AU"/>
        </w:rPr>
      </w:pPr>
      <w:r>
        <w:rPr>
          <w:noProof/>
        </w:rPr>
        <w:lastRenderedPageBreak/>
        <w:t>Figure 27: Number of seclusion events across all inpatient services (adult, forensic, intellectual disability and youth), by ethnicity and length of event, 1 July 2020 to 30 June 2021</w:t>
      </w:r>
      <w:r>
        <w:rPr>
          <w:noProof/>
        </w:rPr>
        <w:tab/>
      </w:r>
      <w:r>
        <w:rPr>
          <w:noProof/>
        </w:rPr>
        <w:fldChar w:fldCharType="begin"/>
      </w:r>
      <w:r>
        <w:rPr>
          <w:noProof/>
        </w:rPr>
        <w:instrText xml:space="preserve"> PAGEREF _Toc115272568 \h </w:instrText>
      </w:r>
      <w:r>
        <w:rPr>
          <w:noProof/>
        </w:rPr>
      </w:r>
      <w:r>
        <w:rPr>
          <w:noProof/>
        </w:rPr>
        <w:fldChar w:fldCharType="separate"/>
      </w:r>
      <w:r w:rsidR="009A04B0">
        <w:rPr>
          <w:noProof/>
        </w:rPr>
        <w:t>30</w:t>
      </w:r>
      <w:r>
        <w:rPr>
          <w:noProof/>
        </w:rPr>
        <w:fldChar w:fldCharType="end"/>
      </w:r>
    </w:p>
    <w:p w14:paraId="53C71F17" w14:textId="119DB0B6" w:rsidR="00F10DDC" w:rsidRDefault="00F10DDC">
      <w:pPr>
        <w:pStyle w:val="TOC3"/>
        <w:rPr>
          <w:rFonts w:asciiTheme="minorHAnsi" w:eastAsiaTheme="minorEastAsia" w:hAnsiTheme="minorHAnsi" w:cstheme="minorBidi"/>
          <w:noProof/>
          <w:sz w:val="22"/>
          <w:szCs w:val="22"/>
          <w:lang w:val="en-AU" w:eastAsia="en-AU"/>
        </w:rPr>
      </w:pPr>
      <w:r>
        <w:rPr>
          <w:noProof/>
        </w:rPr>
        <w:t>Figure 28: Number of people secluded in adult inpatient services per 100,000 population, by DHB, 1 July 2020 to 30 June 2021</w:t>
      </w:r>
      <w:r>
        <w:rPr>
          <w:noProof/>
        </w:rPr>
        <w:tab/>
      </w:r>
      <w:r>
        <w:rPr>
          <w:noProof/>
        </w:rPr>
        <w:fldChar w:fldCharType="begin"/>
      </w:r>
      <w:r>
        <w:rPr>
          <w:noProof/>
        </w:rPr>
        <w:instrText xml:space="preserve"> PAGEREF _Toc115272569 \h </w:instrText>
      </w:r>
      <w:r>
        <w:rPr>
          <w:noProof/>
        </w:rPr>
      </w:r>
      <w:r>
        <w:rPr>
          <w:noProof/>
        </w:rPr>
        <w:fldChar w:fldCharType="separate"/>
      </w:r>
      <w:r w:rsidR="009A04B0">
        <w:rPr>
          <w:noProof/>
        </w:rPr>
        <w:t>31</w:t>
      </w:r>
      <w:r>
        <w:rPr>
          <w:noProof/>
        </w:rPr>
        <w:fldChar w:fldCharType="end"/>
      </w:r>
    </w:p>
    <w:p w14:paraId="1900927E" w14:textId="788EF02E" w:rsidR="00F10DDC" w:rsidRDefault="00F10DDC">
      <w:pPr>
        <w:pStyle w:val="TOC3"/>
        <w:rPr>
          <w:rFonts w:asciiTheme="minorHAnsi" w:eastAsiaTheme="minorEastAsia" w:hAnsiTheme="minorHAnsi" w:cstheme="minorBidi"/>
          <w:noProof/>
          <w:sz w:val="22"/>
          <w:szCs w:val="22"/>
          <w:lang w:val="en-AU" w:eastAsia="en-AU"/>
        </w:rPr>
      </w:pPr>
      <w:r>
        <w:rPr>
          <w:noProof/>
        </w:rPr>
        <w:t>Figure 29: Number of seclusion events in adult inpatient services per 100,000 population, by DHB, 1 July 2020 to 30 June 2021</w:t>
      </w:r>
      <w:r>
        <w:rPr>
          <w:noProof/>
        </w:rPr>
        <w:tab/>
      </w:r>
      <w:r>
        <w:rPr>
          <w:noProof/>
        </w:rPr>
        <w:fldChar w:fldCharType="begin"/>
      </w:r>
      <w:r>
        <w:rPr>
          <w:noProof/>
        </w:rPr>
        <w:instrText xml:space="preserve"> PAGEREF _Toc115272570 \h </w:instrText>
      </w:r>
      <w:r>
        <w:rPr>
          <w:noProof/>
        </w:rPr>
      </w:r>
      <w:r>
        <w:rPr>
          <w:noProof/>
        </w:rPr>
        <w:fldChar w:fldCharType="separate"/>
      </w:r>
      <w:r w:rsidR="009A04B0">
        <w:rPr>
          <w:noProof/>
        </w:rPr>
        <w:t>32</w:t>
      </w:r>
      <w:r>
        <w:rPr>
          <w:noProof/>
        </w:rPr>
        <w:fldChar w:fldCharType="end"/>
      </w:r>
    </w:p>
    <w:p w14:paraId="4600BD25" w14:textId="2261C124" w:rsidR="00F10DDC" w:rsidRDefault="00F10DDC">
      <w:pPr>
        <w:pStyle w:val="TOC3"/>
        <w:rPr>
          <w:rFonts w:asciiTheme="minorHAnsi" w:eastAsiaTheme="minorEastAsia" w:hAnsiTheme="minorHAnsi" w:cstheme="minorBidi"/>
          <w:noProof/>
          <w:sz w:val="22"/>
          <w:szCs w:val="22"/>
          <w:lang w:val="en-AU" w:eastAsia="en-AU"/>
        </w:rPr>
      </w:pPr>
      <w:r>
        <w:rPr>
          <w:noProof/>
        </w:rPr>
        <w:t>Table 8: Percentage of admissions to adult inpatient services with seclusion recorded during admission, by DHB, 1 July 2020 to 30 June 2021</w:t>
      </w:r>
      <w:r>
        <w:rPr>
          <w:noProof/>
        </w:rPr>
        <w:tab/>
      </w:r>
      <w:r>
        <w:rPr>
          <w:noProof/>
        </w:rPr>
        <w:fldChar w:fldCharType="begin"/>
      </w:r>
      <w:r>
        <w:rPr>
          <w:noProof/>
        </w:rPr>
        <w:instrText xml:space="preserve"> PAGEREF _Toc115272571 \h </w:instrText>
      </w:r>
      <w:r>
        <w:rPr>
          <w:noProof/>
        </w:rPr>
      </w:r>
      <w:r>
        <w:rPr>
          <w:noProof/>
        </w:rPr>
        <w:fldChar w:fldCharType="separate"/>
      </w:r>
      <w:r w:rsidR="009A04B0">
        <w:rPr>
          <w:noProof/>
        </w:rPr>
        <w:t>32</w:t>
      </w:r>
      <w:r>
        <w:rPr>
          <w:noProof/>
        </w:rPr>
        <w:fldChar w:fldCharType="end"/>
      </w:r>
    </w:p>
    <w:p w14:paraId="25651853" w14:textId="49FDF4B2" w:rsidR="00F10DDC" w:rsidRDefault="00F10DDC">
      <w:pPr>
        <w:pStyle w:val="TOC3"/>
        <w:rPr>
          <w:rFonts w:asciiTheme="minorHAnsi" w:eastAsiaTheme="minorEastAsia" w:hAnsiTheme="minorHAnsi" w:cstheme="minorBidi"/>
          <w:noProof/>
          <w:sz w:val="22"/>
          <w:szCs w:val="22"/>
          <w:lang w:val="en-AU" w:eastAsia="en-AU"/>
        </w:rPr>
      </w:pPr>
      <w:r>
        <w:rPr>
          <w:noProof/>
        </w:rPr>
        <w:t>Figure 30: Number of people secluded in adult inpatient services, by ethnicity, 1 July 2020 to 30 June 2021</w:t>
      </w:r>
      <w:r>
        <w:rPr>
          <w:noProof/>
        </w:rPr>
        <w:tab/>
      </w:r>
      <w:r>
        <w:rPr>
          <w:noProof/>
        </w:rPr>
        <w:fldChar w:fldCharType="begin"/>
      </w:r>
      <w:r>
        <w:rPr>
          <w:noProof/>
        </w:rPr>
        <w:instrText xml:space="preserve"> PAGEREF _Toc115272572 \h </w:instrText>
      </w:r>
      <w:r>
        <w:rPr>
          <w:noProof/>
        </w:rPr>
      </w:r>
      <w:r>
        <w:rPr>
          <w:noProof/>
        </w:rPr>
        <w:fldChar w:fldCharType="separate"/>
      </w:r>
      <w:r w:rsidR="009A04B0">
        <w:rPr>
          <w:noProof/>
        </w:rPr>
        <w:t>33</w:t>
      </w:r>
      <w:r>
        <w:rPr>
          <w:noProof/>
        </w:rPr>
        <w:fldChar w:fldCharType="end"/>
      </w:r>
    </w:p>
    <w:p w14:paraId="3262E080" w14:textId="7A07B017" w:rsidR="00F10DDC" w:rsidRDefault="00F10DDC">
      <w:pPr>
        <w:pStyle w:val="TOC3"/>
        <w:rPr>
          <w:rFonts w:asciiTheme="minorHAnsi" w:eastAsiaTheme="minorEastAsia" w:hAnsiTheme="minorHAnsi" w:cstheme="minorBidi"/>
          <w:noProof/>
          <w:sz w:val="22"/>
          <w:szCs w:val="22"/>
          <w:lang w:val="en-AU" w:eastAsia="en-AU"/>
        </w:rPr>
      </w:pPr>
      <w:r>
        <w:rPr>
          <w:noProof/>
        </w:rPr>
        <w:t>Figure 31: Seclusion indicators for adult inpatient services, by ethnicity, 1 July 2020 to 30 June 2021</w:t>
      </w:r>
      <w:r>
        <w:rPr>
          <w:noProof/>
        </w:rPr>
        <w:tab/>
      </w:r>
      <w:r>
        <w:rPr>
          <w:noProof/>
        </w:rPr>
        <w:fldChar w:fldCharType="begin"/>
      </w:r>
      <w:r>
        <w:rPr>
          <w:noProof/>
        </w:rPr>
        <w:instrText xml:space="preserve"> PAGEREF _Toc115272573 \h </w:instrText>
      </w:r>
      <w:r>
        <w:rPr>
          <w:noProof/>
        </w:rPr>
      </w:r>
      <w:r>
        <w:rPr>
          <w:noProof/>
        </w:rPr>
        <w:fldChar w:fldCharType="separate"/>
      </w:r>
      <w:r w:rsidR="009A04B0">
        <w:rPr>
          <w:noProof/>
        </w:rPr>
        <w:t>34</w:t>
      </w:r>
      <w:r>
        <w:rPr>
          <w:noProof/>
        </w:rPr>
        <w:fldChar w:fldCharType="end"/>
      </w:r>
    </w:p>
    <w:p w14:paraId="164B58C2" w14:textId="2C320E98" w:rsidR="00F10DDC" w:rsidRDefault="00F10DDC">
      <w:pPr>
        <w:pStyle w:val="TOC3"/>
        <w:rPr>
          <w:rFonts w:asciiTheme="minorHAnsi" w:eastAsiaTheme="minorEastAsia" w:hAnsiTheme="minorHAnsi" w:cstheme="minorBidi"/>
          <w:noProof/>
          <w:sz w:val="22"/>
          <w:szCs w:val="22"/>
          <w:lang w:val="en-AU" w:eastAsia="en-AU"/>
        </w:rPr>
      </w:pPr>
      <w:r>
        <w:rPr>
          <w:noProof/>
        </w:rPr>
        <w:t>Figure 32: Percentage of people with inpatient admissions that spent time in seclusion in adult inpatient services, by ethnicity and gender, 1 July 2020 to 30 June 2021</w:t>
      </w:r>
      <w:r>
        <w:rPr>
          <w:noProof/>
        </w:rPr>
        <w:tab/>
      </w:r>
      <w:r>
        <w:rPr>
          <w:noProof/>
        </w:rPr>
        <w:fldChar w:fldCharType="begin"/>
      </w:r>
      <w:r>
        <w:rPr>
          <w:noProof/>
        </w:rPr>
        <w:instrText xml:space="preserve"> PAGEREF _Toc115272574 \h </w:instrText>
      </w:r>
      <w:r>
        <w:rPr>
          <w:noProof/>
        </w:rPr>
      </w:r>
      <w:r>
        <w:rPr>
          <w:noProof/>
        </w:rPr>
        <w:fldChar w:fldCharType="separate"/>
      </w:r>
      <w:r w:rsidR="009A04B0">
        <w:rPr>
          <w:noProof/>
        </w:rPr>
        <w:t>34</w:t>
      </w:r>
      <w:r>
        <w:rPr>
          <w:noProof/>
        </w:rPr>
        <w:fldChar w:fldCharType="end"/>
      </w:r>
    </w:p>
    <w:p w14:paraId="6398BE2D" w14:textId="58814387" w:rsidR="00F10DDC" w:rsidRDefault="00F10DDC">
      <w:pPr>
        <w:pStyle w:val="TOC3"/>
        <w:rPr>
          <w:rFonts w:asciiTheme="minorHAnsi" w:eastAsiaTheme="minorEastAsia" w:hAnsiTheme="minorHAnsi" w:cstheme="minorBidi"/>
          <w:noProof/>
          <w:sz w:val="22"/>
          <w:szCs w:val="22"/>
          <w:lang w:val="en-AU" w:eastAsia="en-AU"/>
        </w:rPr>
      </w:pPr>
      <w:r>
        <w:rPr>
          <w:noProof/>
        </w:rPr>
        <w:t>Figure 33: Number of Māori and non-Māori aged 20–64 years secluded in adult inpatient services, 2007–2020/21</w:t>
      </w:r>
      <w:r>
        <w:rPr>
          <w:noProof/>
        </w:rPr>
        <w:tab/>
      </w:r>
      <w:r>
        <w:rPr>
          <w:noProof/>
        </w:rPr>
        <w:fldChar w:fldCharType="begin"/>
      </w:r>
      <w:r>
        <w:rPr>
          <w:noProof/>
        </w:rPr>
        <w:instrText xml:space="preserve"> PAGEREF _Toc115272575 \h </w:instrText>
      </w:r>
      <w:r>
        <w:rPr>
          <w:noProof/>
        </w:rPr>
      </w:r>
      <w:r>
        <w:rPr>
          <w:noProof/>
        </w:rPr>
        <w:fldChar w:fldCharType="separate"/>
      </w:r>
      <w:r w:rsidR="009A04B0">
        <w:rPr>
          <w:noProof/>
        </w:rPr>
        <w:t>35</w:t>
      </w:r>
      <w:r>
        <w:rPr>
          <w:noProof/>
        </w:rPr>
        <w:fldChar w:fldCharType="end"/>
      </w:r>
    </w:p>
    <w:p w14:paraId="75C4AAEC" w14:textId="4A9AD231" w:rsidR="00F10DDC" w:rsidRDefault="00F10DDC">
      <w:pPr>
        <w:pStyle w:val="TOC3"/>
        <w:rPr>
          <w:rFonts w:asciiTheme="minorHAnsi" w:eastAsiaTheme="minorEastAsia" w:hAnsiTheme="minorHAnsi" w:cstheme="minorBidi"/>
          <w:noProof/>
          <w:sz w:val="22"/>
          <w:szCs w:val="22"/>
          <w:lang w:val="en-AU" w:eastAsia="en-AU"/>
        </w:rPr>
      </w:pPr>
      <w:r>
        <w:rPr>
          <w:noProof/>
        </w:rPr>
        <w:t>Figure 34: Seclusion indicators for forensic mental health services nationally, by ethnicity, 1 July 2020 to 30 June 2021</w:t>
      </w:r>
      <w:r>
        <w:rPr>
          <w:noProof/>
        </w:rPr>
        <w:tab/>
      </w:r>
      <w:r>
        <w:rPr>
          <w:noProof/>
        </w:rPr>
        <w:fldChar w:fldCharType="begin"/>
      </w:r>
      <w:r>
        <w:rPr>
          <w:noProof/>
        </w:rPr>
        <w:instrText xml:space="preserve"> PAGEREF _Toc115272576 \h </w:instrText>
      </w:r>
      <w:r>
        <w:rPr>
          <w:noProof/>
        </w:rPr>
      </w:r>
      <w:r>
        <w:rPr>
          <w:noProof/>
        </w:rPr>
        <w:fldChar w:fldCharType="separate"/>
      </w:r>
      <w:r w:rsidR="009A04B0">
        <w:rPr>
          <w:noProof/>
        </w:rPr>
        <w:t>37</w:t>
      </w:r>
      <w:r>
        <w:rPr>
          <w:noProof/>
        </w:rPr>
        <w:fldChar w:fldCharType="end"/>
      </w:r>
    </w:p>
    <w:p w14:paraId="14DE1320" w14:textId="00CA03B3" w:rsidR="00F10DDC" w:rsidRDefault="00F10DDC">
      <w:pPr>
        <w:pStyle w:val="TOC3"/>
        <w:rPr>
          <w:rFonts w:asciiTheme="minorHAnsi" w:eastAsiaTheme="minorEastAsia" w:hAnsiTheme="minorHAnsi" w:cstheme="minorBidi"/>
          <w:noProof/>
          <w:sz w:val="22"/>
          <w:szCs w:val="22"/>
          <w:lang w:val="en-AU" w:eastAsia="en-AU"/>
        </w:rPr>
      </w:pPr>
      <w:r>
        <w:rPr>
          <w:noProof/>
        </w:rPr>
        <w:t>Figure 35: Total number of special patients, by DHB, 1 July 2020 to 30 June 2021</w:t>
      </w:r>
      <w:r>
        <w:rPr>
          <w:noProof/>
        </w:rPr>
        <w:tab/>
      </w:r>
      <w:r>
        <w:rPr>
          <w:noProof/>
        </w:rPr>
        <w:fldChar w:fldCharType="begin"/>
      </w:r>
      <w:r>
        <w:rPr>
          <w:noProof/>
        </w:rPr>
        <w:instrText xml:space="preserve"> PAGEREF _Toc115272577 \h </w:instrText>
      </w:r>
      <w:r>
        <w:rPr>
          <w:noProof/>
        </w:rPr>
      </w:r>
      <w:r>
        <w:rPr>
          <w:noProof/>
        </w:rPr>
        <w:fldChar w:fldCharType="separate"/>
      </w:r>
      <w:r w:rsidR="009A04B0">
        <w:rPr>
          <w:noProof/>
        </w:rPr>
        <w:t>42</w:t>
      </w:r>
      <w:r>
        <w:rPr>
          <w:noProof/>
        </w:rPr>
        <w:fldChar w:fldCharType="end"/>
      </w:r>
    </w:p>
    <w:p w14:paraId="269081FA" w14:textId="5791DFC2" w:rsidR="00F10DDC" w:rsidRDefault="00F10DDC">
      <w:pPr>
        <w:pStyle w:val="TOC3"/>
        <w:rPr>
          <w:rFonts w:asciiTheme="minorHAnsi" w:eastAsiaTheme="minorEastAsia" w:hAnsiTheme="minorHAnsi" w:cstheme="minorBidi"/>
          <w:noProof/>
          <w:sz w:val="22"/>
          <w:szCs w:val="22"/>
          <w:lang w:val="en-AU" w:eastAsia="en-AU"/>
        </w:rPr>
      </w:pPr>
      <w:r>
        <w:rPr>
          <w:noProof/>
        </w:rPr>
        <w:t>Figure 36: Percentage of court orders given for extended forensic care relative to short-term forensic care legal statuses, by DHB, 1 July 2020 to 30 June 2021</w:t>
      </w:r>
      <w:r>
        <w:rPr>
          <w:noProof/>
        </w:rPr>
        <w:tab/>
      </w:r>
      <w:r>
        <w:rPr>
          <w:noProof/>
        </w:rPr>
        <w:fldChar w:fldCharType="begin"/>
      </w:r>
      <w:r>
        <w:rPr>
          <w:noProof/>
        </w:rPr>
        <w:instrText xml:space="preserve"> PAGEREF _Toc115272578 \h </w:instrText>
      </w:r>
      <w:r>
        <w:rPr>
          <w:noProof/>
        </w:rPr>
      </w:r>
      <w:r>
        <w:rPr>
          <w:noProof/>
        </w:rPr>
        <w:fldChar w:fldCharType="separate"/>
      </w:r>
      <w:r w:rsidR="009A04B0">
        <w:rPr>
          <w:noProof/>
        </w:rPr>
        <w:t>44</w:t>
      </w:r>
      <w:r>
        <w:rPr>
          <w:noProof/>
        </w:rPr>
        <w:fldChar w:fldCharType="end"/>
      </w:r>
    </w:p>
    <w:p w14:paraId="10D71503" w14:textId="07921C13" w:rsidR="00F10DDC" w:rsidRDefault="00F10DDC">
      <w:pPr>
        <w:pStyle w:val="TOC3"/>
        <w:rPr>
          <w:rFonts w:asciiTheme="minorHAnsi" w:eastAsiaTheme="minorEastAsia" w:hAnsiTheme="minorHAnsi" w:cstheme="minorBidi"/>
          <w:noProof/>
          <w:sz w:val="22"/>
          <w:szCs w:val="22"/>
          <w:lang w:val="en-AU" w:eastAsia="en-AU"/>
        </w:rPr>
      </w:pPr>
      <w:r>
        <w:rPr>
          <w:noProof/>
        </w:rPr>
        <w:t>Figure 37: Number of special patients, by gender, 1 July 2020 to 30 June 2021</w:t>
      </w:r>
      <w:r>
        <w:rPr>
          <w:noProof/>
        </w:rPr>
        <w:tab/>
      </w:r>
      <w:r>
        <w:rPr>
          <w:noProof/>
        </w:rPr>
        <w:fldChar w:fldCharType="begin"/>
      </w:r>
      <w:r>
        <w:rPr>
          <w:noProof/>
        </w:rPr>
        <w:instrText xml:space="preserve"> PAGEREF _Toc115272579 \h </w:instrText>
      </w:r>
      <w:r>
        <w:rPr>
          <w:noProof/>
        </w:rPr>
      </w:r>
      <w:r>
        <w:rPr>
          <w:noProof/>
        </w:rPr>
        <w:fldChar w:fldCharType="separate"/>
      </w:r>
      <w:r w:rsidR="009A04B0">
        <w:rPr>
          <w:noProof/>
        </w:rPr>
        <w:t>44</w:t>
      </w:r>
      <w:r>
        <w:rPr>
          <w:noProof/>
        </w:rPr>
        <w:fldChar w:fldCharType="end"/>
      </w:r>
    </w:p>
    <w:p w14:paraId="264DC89E" w14:textId="72EA5309" w:rsidR="00F10DDC" w:rsidRDefault="00F10DDC">
      <w:pPr>
        <w:pStyle w:val="TOC3"/>
        <w:rPr>
          <w:rFonts w:asciiTheme="minorHAnsi" w:eastAsiaTheme="minorEastAsia" w:hAnsiTheme="minorHAnsi" w:cstheme="minorBidi"/>
          <w:noProof/>
          <w:sz w:val="22"/>
          <w:szCs w:val="22"/>
          <w:lang w:val="en-AU" w:eastAsia="en-AU"/>
        </w:rPr>
      </w:pPr>
      <w:r>
        <w:rPr>
          <w:noProof/>
        </w:rPr>
        <w:t>Figure 38: Total number of special patients, by age group, 1 July 2020 to 30 June 2021</w:t>
      </w:r>
      <w:r>
        <w:rPr>
          <w:noProof/>
        </w:rPr>
        <w:tab/>
      </w:r>
      <w:r>
        <w:rPr>
          <w:noProof/>
        </w:rPr>
        <w:fldChar w:fldCharType="begin"/>
      </w:r>
      <w:r>
        <w:rPr>
          <w:noProof/>
        </w:rPr>
        <w:instrText xml:space="preserve"> PAGEREF _Toc115272580 \h </w:instrText>
      </w:r>
      <w:r>
        <w:rPr>
          <w:noProof/>
        </w:rPr>
      </w:r>
      <w:r>
        <w:rPr>
          <w:noProof/>
        </w:rPr>
        <w:fldChar w:fldCharType="separate"/>
      </w:r>
      <w:r w:rsidR="009A04B0">
        <w:rPr>
          <w:noProof/>
        </w:rPr>
        <w:t>45</w:t>
      </w:r>
      <w:r>
        <w:rPr>
          <w:noProof/>
        </w:rPr>
        <w:fldChar w:fldCharType="end"/>
      </w:r>
    </w:p>
    <w:p w14:paraId="1116158A" w14:textId="375A4D4B" w:rsidR="00F10DDC" w:rsidRDefault="00F10DDC">
      <w:pPr>
        <w:pStyle w:val="TOC3"/>
        <w:rPr>
          <w:rFonts w:asciiTheme="minorHAnsi" w:eastAsiaTheme="minorEastAsia" w:hAnsiTheme="minorHAnsi" w:cstheme="minorBidi"/>
          <w:noProof/>
          <w:sz w:val="22"/>
          <w:szCs w:val="22"/>
          <w:lang w:val="en-AU" w:eastAsia="en-AU"/>
        </w:rPr>
      </w:pPr>
      <w:r>
        <w:rPr>
          <w:noProof/>
        </w:rPr>
        <w:t>Figure 39: Percentage of special patients, by ethnicity, 1 July 2020 to 30 June 2021</w:t>
      </w:r>
      <w:r>
        <w:rPr>
          <w:noProof/>
        </w:rPr>
        <w:tab/>
      </w:r>
      <w:r>
        <w:rPr>
          <w:noProof/>
        </w:rPr>
        <w:fldChar w:fldCharType="begin"/>
      </w:r>
      <w:r>
        <w:rPr>
          <w:noProof/>
        </w:rPr>
        <w:instrText xml:space="preserve"> PAGEREF _Toc115272581 \h </w:instrText>
      </w:r>
      <w:r>
        <w:rPr>
          <w:noProof/>
        </w:rPr>
      </w:r>
      <w:r>
        <w:rPr>
          <w:noProof/>
        </w:rPr>
        <w:fldChar w:fldCharType="separate"/>
      </w:r>
      <w:r w:rsidR="009A04B0">
        <w:rPr>
          <w:noProof/>
        </w:rPr>
        <w:t>45</w:t>
      </w:r>
      <w:r>
        <w:rPr>
          <w:noProof/>
        </w:rPr>
        <w:fldChar w:fldCharType="end"/>
      </w:r>
    </w:p>
    <w:p w14:paraId="17451532" w14:textId="18649FE7" w:rsidR="00F10DDC" w:rsidRDefault="00F10DDC">
      <w:pPr>
        <w:pStyle w:val="TOC3"/>
        <w:rPr>
          <w:rFonts w:asciiTheme="minorHAnsi" w:eastAsiaTheme="minorEastAsia" w:hAnsiTheme="minorHAnsi" w:cstheme="minorBidi"/>
          <w:noProof/>
          <w:sz w:val="22"/>
          <w:szCs w:val="22"/>
          <w:lang w:val="en-AU" w:eastAsia="en-AU"/>
        </w:rPr>
      </w:pPr>
      <w:r>
        <w:rPr>
          <w:noProof/>
        </w:rPr>
        <w:t>Figure 40: Number of special patients, by ethnicity and special patient type, 1 July 2020 to 30 June 2021</w:t>
      </w:r>
      <w:r>
        <w:rPr>
          <w:noProof/>
        </w:rPr>
        <w:tab/>
      </w:r>
      <w:r>
        <w:rPr>
          <w:noProof/>
        </w:rPr>
        <w:fldChar w:fldCharType="begin"/>
      </w:r>
      <w:r>
        <w:rPr>
          <w:noProof/>
        </w:rPr>
        <w:instrText xml:space="preserve"> PAGEREF _Toc115272582 \h </w:instrText>
      </w:r>
      <w:r>
        <w:rPr>
          <w:noProof/>
        </w:rPr>
      </w:r>
      <w:r>
        <w:rPr>
          <w:noProof/>
        </w:rPr>
        <w:fldChar w:fldCharType="separate"/>
      </w:r>
      <w:r w:rsidR="009A04B0">
        <w:rPr>
          <w:noProof/>
        </w:rPr>
        <w:t>46</w:t>
      </w:r>
      <w:r>
        <w:rPr>
          <w:noProof/>
        </w:rPr>
        <w:fldChar w:fldCharType="end"/>
      </w:r>
    </w:p>
    <w:p w14:paraId="504ACC45" w14:textId="137C8F71" w:rsidR="00F10DDC" w:rsidRDefault="00F10DDC">
      <w:pPr>
        <w:pStyle w:val="TOC3"/>
        <w:rPr>
          <w:rFonts w:asciiTheme="minorHAnsi" w:eastAsiaTheme="minorEastAsia" w:hAnsiTheme="minorHAnsi" w:cstheme="minorBidi"/>
          <w:noProof/>
          <w:sz w:val="22"/>
          <w:szCs w:val="22"/>
          <w:lang w:val="en-AU" w:eastAsia="en-AU"/>
        </w:rPr>
      </w:pPr>
      <w:r>
        <w:rPr>
          <w:noProof/>
        </w:rPr>
        <w:t>Figure 41: Number of people treated with ECT per 100,000 population, 2005–2020/21</w:t>
      </w:r>
      <w:r>
        <w:rPr>
          <w:noProof/>
        </w:rPr>
        <w:tab/>
      </w:r>
      <w:r>
        <w:rPr>
          <w:noProof/>
        </w:rPr>
        <w:fldChar w:fldCharType="begin"/>
      </w:r>
      <w:r>
        <w:rPr>
          <w:noProof/>
        </w:rPr>
        <w:instrText xml:space="preserve"> PAGEREF _Toc115272583 \h </w:instrText>
      </w:r>
      <w:r>
        <w:rPr>
          <w:noProof/>
        </w:rPr>
      </w:r>
      <w:r>
        <w:rPr>
          <w:noProof/>
        </w:rPr>
        <w:fldChar w:fldCharType="separate"/>
      </w:r>
      <w:r w:rsidR="009A04B0">
        <w:rPr>
          <w:noProof/>
        </w:rPr>
        <w:t>52</w:t>
      </w:r>
      <w:r>
        <w:rPr>
          <w:noProof/>
        </w:rPr>
        <w:fldChar w:fldCharType="end"/>
      </w:r>
    </w:p>
    <w:p w14:paraId="608B5A3E" w14:textId="51A02790" w:rsidR="00F10DDC" w:rsidRDefault="00F10DDC">
      <w:pPr>
        <w:pStyle w:val="TOC3"/>
        <w:rPr>
          <w:rFonts w:asciiTheme="minorHAnsi" w:eastAsiaTheme="minorEastAsia" w:hAnsiTheme="minorHAnsi" w:cstheme="minorBidi"/>
          <w:noProof/>
          <w:sz w:val="22"/>
          <w:szCs w:val="22"/>
          <w:lang w:val="en-AU" w:eastAsia="en-AU"/>
        </w:rPr>
      </w:pPr>
      <w:r>
        <w:rPr>
          <w:noProof/>
        </w:rPr>
        <w:t>Figure 42: Number of people per 100,000 population treated with ECT, by DHB of domicile, 1 July 2020 to 30 June 2021</w:t>
      </w:r>
      <w:r>
        <w:rPr>
          <w:noProof/>
        </w:rPr>
        <w:tab/>
      </w:r>
      <w:r>
        <w:rPr>
          <w:noProof/>
        </w:rPr>
        <w:fldChar w:fldCharType="begin"/>
      </w:r>
      <w:r>
        <w:rPr>
          <w:noProof/>
        </w:rPr>
        <w:instrText xml:space="preserve"> PAGEREF _Toc115272584 \h </w:instrText>
      </w:r>
      <w:r>
        <w:rPr>
          <w:noProof/>
        </w:rPr>
      </w:r>
      <w:r>
        <w:rPr>
          <w:noProof/>
        </w:rPr>
        <w:fldChar w:fldCharType="separate"/>
      </w:r>
      <w:r w:rsidR="009A04B0">
        <w:rPr>
          <w:noProof/>
        </w:rPr>
        <w:t>54</w:t>
      </w:r>
      <w:r>
        <w:rPr>
          <w:noProof/>
        </w:rPr>
        <w:fldChar w:fldCharType="end"/>
      </w:r>
    </w:p>
    <w:p w14:paraId="5D11DAEE" w14:textId="012A0B0F" w:rsidR="00F10DDC" w:rsidRDefault="00F10DDC">
      <w:pPr>
        <w:pStyle w:val="TOC3"/>
        <w:rPr>
          <w:rFonts w:asciiTheme="minorHAnsi" w:eastAsiaTheme="minorEastAsia" w:hAnsiTheme="minorHAnsi" w:cstheme="minorBidi"/>
          <w:noProof/>
          <w:sz w:val="22"/>
          <w:szCs w:val="22"/>
          <w:lang w:val="en-AU" w:eastAsia="en-AU"/>
        </w:rPr>
      </w:pPr>
      <w:r>
        <w:rPr>
          <w:noProof/>
        </w:rPr>
        <w:t>Figure 43: Number of ECT treatments per 100,000 population, by DHB of domicile, 1 July 2020 to 30 June 2021</w:t>
      </w:r>
      <w:r>
        <w:rPr>
          <w:noProof/>
        </w:rPr>
        <w:tab/>
      </w:r>
      <w:r>
        <w:rPr>
          <w:noProof/>
        </w:rPr>
        <w:fldChar w:fldCharType="begin"/>
      </w:r>
      <w:r>
        <w:rPr>
          <w:noProof/>
        </w:rPr>
        <w:instrText xml:space="preserve"> PAGEREF _Toc115272585 \h </w:instrText>
      </w:r>
      <w:r>
        <w:rPr>
          <w:noProof/>
        </w:rPr>
      </w:r>
      <w:r>
        <w:rPr>
          <w:noProof/>
        </w:rPr>
        <w:fldChar w:fldCharType="separate"/>
      </w:r>
      <w:r w:rsidR="009A04B0">
        <w:rPr>
          <w:noProof/>
        </w:rPr>
        <w:t>54</w:t>
      </w:r>
      <w:r>
        <w:rPr>
          <w:noProof/>
        </w:rPr>
        <w:fldChar w:fldCharType="end"/>
      </w:r>
    </w:p>
    <w:p w14:paraId="1108D792" w14:textId="4E19A063" w:rsidR="00F10DDC" w:rsidRDefault="00F10DDC">
      <w:pPr>
        <w:pStyle w:val="TOC3"/>
        <w:rPr>
          <w:rFonts w:asciiTheme="minorHAnsi" w:eastAsiaTheme="minorEastAsia" w:hAnsiTheme="minorHAnsi" w:cstheme="minorBidi"/>
          <w:noProof/>
          <w:sz w:val="22"/>
          <w:szCs w:val="22"/>
          <w:lang w:val="en-AU" w:eastAsia="en-AU"/>
        </w:rPr>
      </w:pPr>
      <w:r>
        <w:rPr>
          <w:noProof/>
        </w:rPr>
        <w:t>Figure 44: Rate of people treated with ECT per 100,000 population, by DHB of domicile, 1 July 2020 to 30 June 2021</w:t>
      </w:r>
      <w:r>
        <w:rPr>
          <w:noProof/>
        </w:rPr>
        <w:tab/>
      </w:r>
      <w:r>
        <w:rPr>
          <w:noProof/>
        </w:rPr>
        <w:fldChar w:fldCharType="begin"/>
      </w:r>
      <w:r>
        <w:rPr>
          <w:noProof/>
        </w:rPr>
        <w:instrText xml:space="preserve"> PAGEREF _Toc115272586 \h </w:instrText>
      </w:r>
      <w:r>
        <w:rPr>
          <w:noProof/>
        </w:rPr>
      </w:r>
      <w:r>
        <w:rPr>
          <w:noProof/>
        </w:rPr>
        <w:fldChar w:fldCharType="separate"/>
      </w:r>
      <w:r w:rsidR="009A04B0">
        <w:rPr>
          <w:noProof/>
        </w:rPr>
        <w:t>55</w:t>
      </w:r>
      <w:r>
        <w:rPr>
          <w:noProof/>
        </w:rPr>
        <w:fldChar w:fldCharType="end"/>
      </w:r>
    </w:p>
    <w:p w14:paraId="1B42C03A" w14:textId="2CCC2B03" w:rsidR="00F10DDC" w:rsidRDefault="00F10DDC">
      <w:pPr>
        <w:pStyle w:val="TOC3"/>
        <w:rPr>
          <w:rFonts w:asciiTheme="minorHAnsi" w:eastAsiaTheme="minorEastAsia" w:hAnsiTheme="minorHAnsi" w:cstheme="minorBidi"/>
          <w:noProof/>
          <w:sz w:val="22"/>
          <w:szCs w:val="22"/>
          <w:lang w:val="en-AU" w:eastAsia="en-AU"/>
        </w:rPr>
      </w:pPr>
      <w:r>
        <w:rPr>
          <w:noProof/>
        </w:rPr>
        <w:t>Figure 45: Number of people treated with ECT, by age group and gender, 1 July 2020 to 30 June 2021</w:t>
      </w:r>
      <w:r>
        <w:rPr>
          <w:noProof/>
        </w:rPr>
        <w:tab/>
      </w:r>
      <w:r>
        <w:rPr>
          <w:noProof/>
        </w:rPr>
        <w:fldChar w:fldCharType="begin"/>
      </w:r>
      <w:r>
        <w:rPr>
          <w:noProof/>
        </w:rPr>
        <w:instrText xml:space="preserve"> PAGEREF _Toc115272587 \h </w:instrText>
      </w:r>
      <w:r>
        <w:rPr>
          <w:noProof/>
        </w:rPr>
      </w:r>
      <w:r>
        <w:rPr>
          <w:noProof/>
        </w:rPr>
        <w:fldChar w:fldCharType="separate"/>
      </w:r>
      <w:r w:rsidR="009A04B0">
        <w:rPr>
          <w:noProof/>
        </w:rPr>
        <w:t>56</w:t>
      </w:r>
      <w:r>
        <w:rPr>
          <w:noProof/>
        </w:rPr>
        <w:fldChar w:fldCharType="end"/>
      </w:r>
    </w:p>
    <w:p w14:paraId="6AD52FC8" w14:textId="60DC0EDD" w:rsidR="00F10DDC" w:rsidRDefault="00F10DDC">
      <w:pPr>
        <w:pStyle w:val="TOC3"/>
        <w:rPr>
          <w:rFonts w:asciiTheme="minorHAnsi" w:eastAsiaTheme="minorEastAsia" w:hAnsiTheme="minorHAnsi" w:cstheme="minorBidi"/>
          <w:noProof/>
          <w:sz w:val="22"/>
          <w:szCs w:val="22"/>
          <w:lang w:val="en-AU" w:eastAsia="en-AU"/>
        </w:rPr>
      </w:pPr>
      <w:r>
        <w:rPr>
          <w:noProof/>
        </w:rPr>
        <w:lastRenderedPageBreak/>
        <w:t>Figure 46: Percentage of people receiving opioid substitution treatment from specialist services and general practice, by DHB, 1 July 2020 to 30 June 2021</w:t>
      </w:r>
      <w:r>
        <w:rPr>
          <w:noProof/>
        </w:rPr>
        <w:tab/>
      </w:r>
      <w:r>
        <w:rPr>
          <w:noProof/>
        </w:rPr>
        <w:fldChar w:fldCharType="begin"/>
      </w:r>
      <w:r>
        <w:rPr>
          <w:noProof/>
        </w:rPr>
        <w:instrText xml:space="preserve"> PAGEREF _Toc115272588 \h </w:instrText>
      </w:r>
      <w:r>
        <w:rPr>
          <w:noProof/>
        </w:rPr>
      </w:r>
      <w:r>
        <w:rPr>
          <w:noProof/>
        </w:rPr>
        <w:fldChar w:fldCharType="separate"/>
      </w:r>
      <w:r w:rsidR="009A04B0">
        <w:rPr>
          <w:noProof/>
        </w:rPr>
        <w:t>61</w:t>
      </w:r>
      <w:r>
        <w:rPr>
          <w:noProof/>
        </w:rPr>
        <w:fldChar w:fldCharType="end"/>
      </w:r>
    </w:p>
    <w:p w14:paraId="0F970D23" w14:textId="42727624" w:rsidR="00F10DDC" w:rsidRDefault="00F10DDC">
      <w:pPr>
        <w:pStyle w:val="TOC3"/>
        <w:rPr>
          <w:rFonts w:asciiTheme="minorHAnsi" w:eastAsiaTheme="minorEastAsia" w:hAnsiTheme="minorHAnsi" w:cstheme="minorBidi"/>
          <w:noProof/>
          <w:sz w:val="22"/>
          <w:szCs w:val="22"/>
          <w:lang w:val="en-AU" w:eastAsia="en-AU"/>
        </w:rPr>
      </w:pPr>
      <w:r>
        <w:rPr>
          <w:noProof/>
        </w:rPr>
        <w:t>Figure 47: Number of people receiving opioid substitution treatment from a specialist service, general practice or prison service, 2008/09–2020/21</w:t>
      </w:r>
      <w:r>
        <w:rPr>
          <w:noProof/>
        </w:rPr>
        <w:tab/>
      </w:r>
      <w:r>
        <w:rPr>
          <w:noProof/>
        </w:rPr>
        <w:fldChar w:fldCharType="begin"/>
      </w:r>
      <w:r>
        <w:rPr>
          <w:noProof/>
        </w:rPr>
        <w:instrText xml:space="preserve"> PAGEREF _Toc115272589 \h </w:instrText>
      </w:r>
      <w:r>
        <w:rPr>
          <w:noProof/>
        </w:rPr>
      </w:r>
      <w:r>
        <w:rPr>
          <w:noProof/>
        </w:rPr>
        <w:fldChar w:fldCharType="separate"/>
      </w:r>
      <w:r w:rsidR="009A04B0">
        <w:rPr>
          <w:noProof/>
        </w:rPr>
        <w:t>61</w:t>
      </w:r>
      <w:r>
        <w:rPr>
          <w:noProof/>
        </w:rPr>
        <w:fldChar w:fldCharType="end"/>
      </w:r>
    </w:p>
    <w:p w14:paraId="30DFA665" w14:textId="5F069DC3" w:rsidR="00F10DDC" w:rsidRDefault="00F10DDC">
      <w:pPr>
        <w:pStyle w:val="TOC3"/>
        <w:rPr>
          <w:rFonts w:asciiTheme="minorHAnsi" w:eastAsiaTheme="minorEastAsia" w:hAnsiTheme="minorHAnsi" w:cstheme="minorBidi"/>
          <w:noProof/>
          <w:sz w:val="22"/>
          <w:szCs w:val="22"/>
          <w:lang w:val="en-AU" w:eastAsia="en-AU"/>
        </w:rPr>
      </w:pPr>
      <w:r>
        <w:rPr>
          <w:noProof/>
        </w:rPr>
        <w:t>Figure 48: Number of people prescribed suboxone, 2008/09–2020/21</w:t>
      </w:r>
      <w:r>
        <w:rPr>
          <w:noProof/>
        </w:rPr>
        <w:tab/>
      </w:r>
      <w:r>
        <w:rPr>
          <w:noProof/>
        </w:rPr>
        <w:fldChar w:fldCharType="begin"/>
      </w:r>
      <w:r>
        <w:rPr>
          <w:noProof/>
        </w:rPr>
        <w:instrText xml:space="preserve"> PAGEREF _Toc115272590 \h </w:instrText>
      </w:r>
      <w:r>
        <w:rPr>
          <w:noProof/>
        </w:rPr>
      </w:r>
      <w:r>
        <w:rPr>
          <w:noProof/>
        </w:rPr>
        <w:fldChar w:fldCharType="separate"/>
      </w:r>
      <w:r w:rsidR="009A04B0">
        <w:rPr>
          <w:noProof/>
        </w:rPr>
        <w:t>62</w:t>
      </w:r>
      <w:r>
        <w:rPr>
          <w:noProof/>
        </w:rPr>
        <w:fldChar w:fldCharType="end"/>
      </w:r>
    </w:p>
    <w:p w14:paraId="0EFF50C1" w14:textId="5CF5C8B0" w:rsidR="00F10DDC" w:rsidRDefault="00F10DDC">
      <w:pPr>
        <w:pStyle w:val="TOC3"/>
        <w:rPr>
          <w:rFonts w:asciiTheme="minorHAnsi" w:eastAsiaTheme="minorEastAsia" w:hAnsiTheme="minorHAnsi" w:cstheme="minorBidi"/>
          <w:noProof/>
          <w:sz w:val="22"/>
          <w:szCs w:val="22"/>
          <w:lang w:val="en-AU" w:eastAsia="en-AU"/>
        </w:rPr>
      </w:pPr>
      <w:r>
        <w:rPr>
          <w:noProof/>
        </w:rPr>
        <w:t>Figure 49: Number of opioid substitution treatment clients, by age group, 2008/09–2020/21</w:t>
      </w:r>
      <w:r>
        <w:rPr>
          <w:noProof/>
        </w:rPr>
        <w:tab/>
      </w:r>
      <w:r>
        <w:rPr>
          <w:noProof/>
        </w:rPr>
        <w:fldChar w:fldCharType="begin"/>
      </w:r>
      <w:r>
        <w:rPr>
          <w:noProof/>
        </w:rPr>
        <w:instrText xml:space="preserve"> PAGEREF _Toc115272591 \h </w:instrText>
      </w:r>
      <w:r>
        <w:rPr>
          <w:noProof/>
        </w:rPr>
      </w:r>
      <w:r>
        <w:rPr>
          <w:noProof/>
        </w:rPr>
        <w:fldChar w:fldCharType="separate"/>
      </w:r>
      <w:r w:rsidR="009A04B0">
        <w:rPr>
          <w:noProof/>
        </w:rPr>
        <w:t>63</w:t>
      </w:r>
      <w:r>
        <w:rPr>
          <w:noProof/>
        </w:rPr>
        <w:fldChar w:fldCharType="end"/>
      </w:r>
    </w:p>
    <w:p w14:paraId="73C9AA57" w14:textId="752359B8" w:rsidR="00F10DDC" w:rsidRDefault="00F10DDC">
      <w:pPr>
        <w:pStyle w:val="TOC3"/>
        <w:rPr>
          <w:rFonts w:asciiTheme="minorHAnsi" w:eastAsiaTheme="minorEastAsia" w:hAnsiTheme="minorHAnsi" w:cstheme="minorBidi"/>
          <w:noProof/>
          <w:sz w:val="22"/>
          <w:szCs w:val="22"/>
          <w:lang w:val="en-AU" w:eastAsia="en-AU"/>
        </w:rPr>
      </w:pPr>
      <w:r>
        <w:rPr>
          <w:noProof/>
        </w:rPr>
        <w:t>Figure 50: Percentage of exits from opioid substitution treatment programmes, by reason (voluntary, involuntary or death), 2008/09–2020/21</w:t>
      </w:r>
      <w:r>
        <w:rPr>
          <w:noProof/>
        </w:rPr>
        <w:tab/>
      </w:r>
      <w:r>
        <w:rPr>
          <w:noProof/>
        </w:rPr>
        <w:fldChar w:fldCharType="begin"/>
      </w:r>
      <w:r>
        <w:rPr>
          <w:noProof/>
        </w:rPr>
        <w:instrText xml:space="preserve"> PAGEREF _Toc115272592 \h </w:instrText>
      </w:r>
      <w:r>
        <w:rPr>
          <w:noProof/>
        </w:rPr>
      </w:r>
      <w:r>
        <w:rPr>
          <w:noProof/>
        </w:rPr>
        <w:fldChar w:fldCharType="separate"/>
      </w:r>
      <w:r w:rsidR="009A04B0">
        <w:rPr>
          <w:noProof/>
        </w:rPr>
        <w:t>64</w:t>
      </w:r>
      <w:r>
        <w:rPr>
          <w:noProof/>
        </w:rPr>
        <w:fldChar w:fldCharType="end"/>
      </w:r>
    </w:p>
    <w:p w14:paraId="05CC63FD" w14:textId="1A98CE95" w:rsidR="003A5FEA" w:rsidRDefault="003A5FEA" w:rsidP="003A5FEA">
      <w:r>
        <w:fldChar w:fldCharType="end"/>
      </w:r>
    </w:p>
    <w:p w14:paraId="0D248541" w14:textId="77777777" w:rsidR="002B76A7" w:rsidRDefault="002B76A7" w:rsidP="002B76A7">
      <w:pPr>
        <w:pStyle w:val="TOC1"/>
        <w:keepNext/>
      </w:pPr>
      <w:r>
        <w:t>List of Tables</w:t>
      </w:r>
    </w:p>
    <w:p w14:paraId="6773247A" w14:textId="76EBA7EA" w:rsidR="00F10DDC" w:rsidRDefault="002B76A7">
      <w:pPr>
        <w:pStyle w:val="TOC3"/>
        <w:rPr>
          <w:rFonts w:asciiTheme="minorHAnsi" w:eastAsiaTheme="minorEastAsia" w:hAnsiTheme="minorHAnsi" w:cstheme="minorBidi"/>
          <w:noProof/>
          <w:sz w:val="22"/>
          <w:szCs w:val="22"/>
          <w:lang w:val="en-AU" w:eastAsia="en-AU"/>
        </w:rPr>
      </w:pPr>
      <w:r>
        <w:rPr>
          <w:sz w:val="20"/>
        </w:rPr>
        <w:fldChar w:fldCharType="begin"/>
      </w:r>
      <w:r>
        <w:instrText xml:space="preserve"> TOC \t "Table,3" </w:instrText>
      </w:r>
      <w:r>
        <w:rPr>
          <w:sz w:val="20"/>
        </w:rPr>
        <w:fldChar w:fldCharType="separate"/>
      </w:r>
      <w:r w:rsidR="00F10DDC">
        <w:rPr>
          <w:noProof/>
        </w:rPr>
        <w:t>Table 1: Average number of people each month required to undergo assessment under section 11, 13 or 14(4) of the Mental Health Act per 100,000 population, by DHB, 1 July 2020 to 30 June 2021</w:t>
      </w:r>
      <w:r w:rsidR="00F10DDC">
        <w:rPr>
          <w:noProof/>
        </w:rPr>
        <w:tab/>
      </w:r>
      <w:r w:rsidR="00F10DDC">
        <w:rPr>
          <w:noProof/>
        </w:rPr>
        <w:fldChar w:fldCharType="begin"/>
      </w:r>
      <w:r w:rsidR="00F10DDC">
        <w:rPr>
          <w:noProof/>
        </w:rPr>
        <w:instrText xml:space="preserve"> PAGEREF _Toc115272593 \h </w:instrText>
      </w:r>
      <w:r w:rsidR="00F10DDC">
        <w:rPr>
          <w:noProof/>
        </w:rPr>
      </w:r>
      <w:r w:rsidR="00F10DDC">
        <w:rPr>
          <w:noProof/>
        </w:rPr>
        <w:fldChar w:fldCharType="separate"/>
      </w:r>
      <w:r w:rsidR="009A04B0">
        <w:rPr>
          <w:noProof/>
        </w:rPr>
        <w:t>5</w:t>
      </w:r>
      <w:r w:rsidR="00F10DDC">
        <w:rPr>
          <w:noProof/>
        </w:rPr>
        <w:fldChar w:fldCharType="end"/>
      </w:r>
    </w:p>
    <w:p w14:paraId="474B3E07" w14:textId="0E822AE4" w:rsidR="00F10DDC" w:rsidRDefault="00F10DDC">
      <w:pPr>
        <w:pStyle w:val="TOC3"/>
        <w:rPr>
          <w:rFonts w:asciiTheme="minorHAnsi" w:eastAsiaTheme="minorEastAsia" w:hAnsiTheme="minorHAnsi" w:cstheme="minorBidi"/>
          <w:noProof/>
          <w:sz w:val="22"/>
          <w:szCs w:val="22"/>
          <w:lang w:val="en-AU" w:eastAsia="en-AU"/>
        </w:rPr>
      </w:pPr>
      <w:r>
        <w:rPr>
          <w:noProof/>
        </w:rPr>
        <w:t>Table 2: Average number of people on a given day subject to section 29, 30 or 31 of the Mental Health Act per 100,000 population, by DHB, 1 July 2020 to 30 June 2021</w:t>
      </w:r>
      <w:r>
        <w:rPr>
          <w:noProof/>
        </w:rPr>
        <w:tab/>
      </w:r>
      <w:r>
        <w:rPr>
          <w:noProof/>
        </w:rPr>
        <w:fldChar w:fldCharType="begin"/>
      </w:r>
      <w:r>
        <w:rPr>
          <w:noProof/>
        </w:rPr>
        <w:instrText xml:space="preserve"> PAGEREF _Toc115272594 \h </w:instrText>
      </w:r>
      <w:r>
        <w:rPr>
          <w:noProof/>
        </w:rPr>
      </w:r>
      <w:r>
        <w:rPr>
          <w:noProof/>
        </w:rPr>
        <w:fldChar w:fldCharType="separate"/>
      </w:r>
      <w:r w:rsidR="009A04B0">
        <w:rPr>
          <w:noProof/>
        </w:rPr>
        <w:t>5</w:t>
      </w:r>
      <w:r>
        <w:rPr>
          <w:noProof/>
        </w:rPr>
        <w:fldChar w:fldCharType="end"/>
      </w:r>
    </w:p>
    <w:p w14:paraId="2C9766FD" w14:textId="42DDC6CB" w:rsidR="00F10DDC" w:rsidRDefault="00F10DDC">
      <w:pPr>
        <w:pStyle w:val="TOC3"/>
        <w:rPr>
          <w:rFonts w:asciiTheme="minorHAnsi" w:eastAsiaTheme="minorEastAsia" w:hAnsiTheme="minorHAnsi" w:cstheme="minorBidi"/>
          <w:noProof/>
          <w:sz w:val="22"/>
          <w:szCs w:val="22"/>
          <w:lang w:val="en-AU" w:eastAsia="en-AU"/>
        </w:rPr>
      </w:pPr>
      <w:r>
        <w:rPr>
          <w:noProof/>
        </w:rPr>
        <w:t>Table 3: Number and rate of people required to undergo assessment under section 11, 13 or 14(4) of the Mental Health Act, by ethnicity, 1 July 2020 to 30 June 2021</w:t>
      </w:r>
      <w:r>
        <w:rPr>
          <w:noProof/>
        </w:rPr>
        <w:tab/>
      </w:r>
      <w:r>
        <w:rPr>
          <w:noProof/>
        </w:rPr>
        <w:fldChar w:fldCharType="begin"/>
      </w:r>
      <w:r>
        <w:rPr>
          <w:noProof/>
        </w:rPr>
        <w:instrText xml:space="preserve"> PAGEREF _Toc115272595 \h </w:instrText>
      </w:r>
      <w:r>
        <w:rPr>
          <w:noProof/>
        </w:rPr>
      </w:r>
      <w:r>
        <w:rPr>
          <w:noProof/>
        </w:rPr>
        <w:fldChar w:fldCharType="separate"/>
      </w:r>
      <w:r w:rsidR="009A04B0">
        <w:rPr>
          <w:noProof/>
        </w:rPr>
        <w:t>10</w:t>
      </w:r>
      <w:r>
        <w:rPr>
          <w:noProof/>
        </w:rPr>
        <w:fldChar w:fldCharType="end"/>
      </w:r>
    </w:p>
    <w:p w14:paraId="4756C696" w14:textId="5B31359F" w:rsidR="00F10DDC" w:rsidRDefault="00F10DDC">
      <w:pPr>
        <w:pStyle w:val="TOC3"/>
        <w:rPr>
          <w:rFonts w:asciiTheme="minorHAnsi" w:eastAsiaTheme="minorEastAsia" w:hAnsiTheme="minorHAnsi" w:cstheme="minorBidi"/>
          <w:noProof/>
          <w:sz w:val="22"/>
          <w:szCs w:val="22"/>
          <w:lang w:val="en-AU" w:eastAsia="en-AU"/>
        </w:rPr>
      </w:pPr>
      <w:r>
        <w:rPr>
          <w:noProof/>
        </w:rPr>
        <w:t>Table 4: Number and rate of people subject to a compulsory treatment order under section 29 or 30 of the Mental Health Act, by ethnicity, 1 July 2020 to 30 June 2021</w:t>
      </w:r>
      <w:r>
        <w:rPr>
          <w:noProof/>
        </w:rPr>
        <w:tab/>
      </w:r>
      <w:r>
        <w:rPr>
          <w:noProof/>
        </w:rPr>
        <w:fldChar w:fldCharType="begin"/>
      </w:r>
      <w:r>
        <w:rPr>
          <w:noProof/>
        </w:rPr>
        <w:instrText xml:space="preserve"> PAGEREF _Toc115272596 \h </w:instrText>
      </w:r>
      <w:r>
        <w:rPr>
          <w:noProof/>
        </w:rPr>
      </w:r>
      <w:r>
        <w:rPr>
          <w:noProof/>
        </w:rPr>
        <w:fldChar w:fldCharType="separate"/>
      </w:r>
      <w:r w:rsidR="009A04B0">
        <w:rPr>
          <w:noProof/>
        </w:rPr>
        <w:t>10</w:t>
      </w:r>
      <w:r>
        <w:rPr>
          <w:noProof/>
        </w:rPr>
        <w:fldChar w:fldCharType="end"/>
      </w:r>
    </w:p>
    <w:p w14:paraId="670D37B0" w14:textId="621379AD" w:rsidR="00F10DDC" w:rsidRDefault="00F10DDC">
      <w:pPr>
        <w:pStyle w:val="TOC3"/>
        <w:rPr>
          <w:rFonts w:asciiTheme="minorHAnsi" w:eastAsiaTheme="minorEastAsia" w:hAnsiTheme="minorHAnsi" w:cstheme="minorBidi"/>
          <w:noProof/>
          <w:sz w:val="22"/>
          <w:szCs w:val="22"/>
          <w:lang w:val="en-AU" w:eastAsia="en-AU"/>
        </w:rPr>
      </w:pPr>
      <w:r>
        <w:rPr>
          <w:noProof/>
        </w:rPr>
        <w:t>Table 5: Age-standardised rates of people subject to community (section 29) and inpatient (section 30) treatment orders under the Mental Health Act, by gender and ethnicity, 1 July 2020 to 30 June 2021</w:t>
      </w:r>
      <w:r>
        <w:rPr>
          <w:noProof/>
        </w:rPr>
        <w:tab/>
      </w:r>
      <w:r>
        <w:rPr>
          <w:noProof/>
        </w:rPr>
        <w:fldChar w:fldCharType="begin"/>
      </w:r>
      <w:r>
        <w:rPr>
          <w:noProof/>
        </w:rPr>
        <w:instrText xml:space="preserve"> PAGEREF _Toc115272597 \h </w:instrText>
      </w:r>
      <w:r>
        <w:rPr>
          <w:noProof/>
        </w:rPr>
      </w:r>
      <w:r>
        <w:rPr>
          <w:noProof/>
        </w:rPr>
        <w:fldChar w:fldCharType="separate"/>
      </w:r>
      <w:r w:rsidR="009A04B0">
        <w:rPr>
          <w:noProof/>
        </w:rPr>
        <w:t>12</w:t>
      </w:r>
      <w:r>
        <w:rPr>
          <w:noProof/>
        </w:rPr>
        <w:fldChar w:fldCharType="end"/>
      </w:r>
    </w:p>
    <w:p w14:paraId="011E5AEB" w14:textId="646AE7A6" w:rsidR="00F10DDC" w:rsidRDefault="00F10DDC">
      <w:pPr>
        <w:pStyle w:val="TOC3"/>
        <w:rPr>
          <w:rFonts w:asciiTheme="minorHAnsi" w:eastAsiaTheme="minorEastAsia" w:hAnsiTheme="minorHAnsi" w:cstheme="minorBidi"/>
          <w:noProof/>
          <w:sz w:val="22"/>
          <w:szCs w:val="22"/>
          <w:lang w:val="en-AU" w:eastAsia="en-AU"/>
        </w:rPr>
      </w:pPr>
      <w:r>
        <w:rPr>
          <w:noProof/>
        </w:rPr>
        <w:t>Table 6: Rate ratio of Māori to non-Māori subject to indefinite community treatment orders per 100,000 population, by DHB, orders open at 30 June 2021</w:t>
      </w:r>
      <w:r>
        <w:rPr>
          <w:noProof/>
        </w:rPr>
        <w:tab/>
      </w:r>
      <w:r>
        <w:rPr>
          <w:noProof/>
        </w:rPr>
        <w:fldChar w:fldCharType="begin"/>
      </w:r>
      <w:r>
        <w:rPr>
          <w:noProof/>
        </w:rPr>
        <w:instrText xml:space="preserve"> PAGEREF _Toc115272598 \h </w:instrText>
      </w:r>
      <w:r>
        <w:rPr>
          <w:noProof/>
        </w:rPr>
      </w:r>
      <w:r>
        <w:rPr>
          <w:noProof/>
        </w:rPr>
        <w:fldChar w:fldCharType="separate"/>
      </w:r>
      <w:r w:rsidR="009A04B0">
        <w:rPr>
          <w:noProof/>
        </w:rPr>
        <w:t>21</w:t>
      </w:r>
      <w:r>
        <w:rPr>
          <w:noProof/>
        </w:rPr>
        <w:fldChar w:fldCharType="end"/>
      </w:r>
    </w:p>
    <w:p w14:paraId="0492A624" w14:textId="3055DD2C" w:rsidR="00F10DDC" w:rsidRDefault="00F10DDC">
      <w:pPr>
        <w:pStyle w:val="TOC3"/>
        <w:rPr>
          <w:rFonts w:asciiTheme="minorHAnsi" w:eastAsiaTheme="minorEastAsia" w:hAnsiTheme="minorHAnsi" w:cstheme="minorBidi"/>
          <w:noProof/>
          <w:sz w:val="22"/>
          <w:szCs w:val="22"/>
          <w:lang w:val="en-AU" w:eastAsia="en-AU"/>
        </w:rPr>
      </w:pPr>
      <w:r>
        <w:rPr>
          <w:noProof/>
        </w:rPr>
        <w:t>Table 7: Rate ratio of Māori to non-Māori subject to indefinite inpatient treatment orders per 100,000 population, by DHB, orders open at 30 June 2021</w:t>
      </w:r>
      <w:r>
        <w:rPr>
          <w:noProof/>
        </w:rPr>
        <w:tab/>
      </w:r>
      <w:r>
        <w:rPr>
          <w:noProof/>
        </w:rPr>
        <w:fldChar w:fldCharType="begin"/>
      </w:r>
      <w:r>
        <w:rPr>
          <w:noProof/>
        </w:rPr>
        <w:instrText xml:space="preserve"> PAGEREF _Toc115272599 \h </w:instrText>
      </w:r>
      <w:r>
        <w:rPr>
          <w:noProof/>
        </w:rPr>
      </w:r>
      <w:r>
        <w:rPr>
          <w:noProof/>
        </w:rPr>
        <w:fldChar w:fldCharType="separate"/>
      </w:r>
      <w:r w:rsidR="009A04B0">
        <w:rPr>
          <w:noProof/>
        </w:rPr>
        <w:t>24</w:t>
      </w:r>
      <w:r>
        <w:rPr>
          <w:noProof/>
        </w:rPr>
        <w:fldChar w:fldCharType="end"/>
      </w:r>
    </w:p>
    <w:p w14:paraId="08FC7279" w14:textId="0E1D47C2" w:rsidR="00F10DDC" w:rsidRDefault="00F10DDC">
      <w:pPr>
        <w:pStyle w:val="TOC3"/>
        <w:rPr>
          <w:rFonts w:asciiTheme="minorHAnsi" w:eastAsiaTheme="minorEastAsia" w:hAnsiTheme="minorHAnsi" w:cstheme="minorBidi"/>
          <w:noProof/>
          <w:sz w:val="22"/>
          <w:szCs w:val="22"/>
          <w:lang w:val="en-AU" w:eastAsia="en-AU"/>
        </w:rPr>
      </w:pPr>
      <w:r>
        <w:rPr>
          <w:noProof/>
        </w:rPr>
        <w:t>Table 9: Seclusion indicators for forensic mental health services, by DHB, 1 July 2020 to 30 June 2021</w:t>
      </w:r>
      <w:r>
        <w:rPr>
          <w:noProof/>
        </w:rPr>
        <w:tab/>
      </w:r>
      <w:r>
        <w:rPr>
          <w:noProof/>
        </w:rPr>
        <w:fldChar w:fldCharType="begin"/>
      </w:r>
      <w:r>
        <w:rPr>
          <w:noProof/>
        </w:rPr>
        <w:instrText xml:space="preserve"> PAGEREF _Toc115272600 \h </w:instrText>
      </w:r>
      <w:r>
        <w:rPr>
          <w:noProof/>
        </w:rPr>
      </w:r>
      <w:r>
        <w:rPr>
          <w:noProof/>
        </w:rPr>
        <w:fldChar w:fldCharType="separate"/>
      </w:r>
      <w:r w:rsidR="009A04B0">
        <w:rPr>
          <w:noProof/>
        </w:rPr>
        <w:t>36</w:t>
      </w:r>
      <w:r>
        <w:rPr>
          <w:noProof/>
        </w:rPr>
        <w:fldChar w:fldCharType="end"/>
      </w:r>
    </w:p>
    <w:p w14:paraId="57C03E31" w14:textId="5AE39134" w:rsidR="00F10DDC" w:rsidRDefault="00F10DDC">
      <w:pPr>
        <w:pStyle w:val="TOC3"/>
        <w:rPr>
          <w:rFonts w:asciiTheme="minorHAnsi" w:eastAsiaTheme="minorEastAsia" w:hAnsiTheme="minorHAnsi" w:cstheme="minorBidi"/>
          <w:noProof/>
          <w:sz w:val="22"/>
          <w:szCs w:val="22"/>
          <w:lang w:val="en-AU" w:eastAsia="en-AU"/>
        </w:rPr>
      </w:pPr>
      <w:r>
        <w:rPr>
          <w:noProof/>
        </w:rPr>
        <w:t>Table 10: Seclusion indicators for people with intellectual disabilities, by DHB, 1 July 2020 to 30 June 2021</w:t>
      </w:r>
      <w:r>
        <w:rPr>
          <w:noProof/>
        </w:rPr>
        <w:tab/>
      </w:r>
      <w:r>
        <w:rPr>
          <w:noProof/>
        </w:rPr>
        <w:fldChar w:fldCharType="begin"/>
      </w:r>
      <w:r>
        <w:rPr>
          <w:noProof/>
        </w:rPr>
        <w:instrText xml:space="preserve"> PAGEREF _Toc115272601 \h </w:instrText>
      </w:r>
      <w:r>
        <w:rPr>
          <w:noProof/>
        </w:rPr>
      </w:r>
      <w:r>
        <w:rPr>
          <w:noProof/>
        </w:rPr>
        <w:fldChar w:fldCharType="separate"/>
      </w:r>
      <w:r w:rsidR="009A04B0">
        <w:rPr>
          <w:noProof/>
        </w:rPr>
        <w:t>38</w:t>
      </w:r>
      <w:r>
        <w:rPr>
          <w:noProof/>
        </w:rPr>
        <w:fldChar w:fldCharType="end"/>
      </w:r>
    </w:p>
    <w:p w14:paraId="051EBB26" w14:textId="1288E447" w:rsidR="00F10DDC" w:rsidRDefault="00F10DDC">
      <w:pPr>
        <w:pStyle w:val="TOC3"/>
        <w:rPr>
          <w:rFonts w:asciiTheme="minorHAnsi" w:eastAsiaTheme="minorEastAsia" w:hAnsiTheme="minorHAnsi" w:cstheme="minorBidi"/>
          <w:noProof/>
          <w:sz w:val="22"/>
          <w:szCs w:val="22"/>
          <w:lang w:val="en-AU" w:eastAsia="en-AU"/>
        </w:rPr>
      </w:pPr>
      <w:r>
        <w:rPr>
          <w:noProof/>
        </w:rPr>
        <w:t>Table 11: Length of seclusion for people with intellectual disabilities, by DHB, 1 July 2020 to 30 June 2021</w:t>
      </w:r>
      <w:r>
        <w:rPr>
          <w:noProof/>
        </w:rPr>
        <w:tab/>
      </w:r>
      <w:r>
        <w:rPr>
          <w:noProof/>
        </w:rPr>
        <w:fldChar w:fldCharType="begin"/>
      </w:r>
      <w:r>
        <w:rPr>
          <w:noProof/>
        </w:rPr>
        <w:instrText xml:space="preserve"> PAGEREF _Toc115272602 \h </w:instrText>
      </w:r>
      <w:r>
        <w:rPr>
          <w:noProof/>
        </w:rPr>
      </w:r>
      <w:r>
        <w:rPr>
          <w:noProof/>
        </w:rPr>
        <w:fldChar w:fldCharType="separate"/>
      </w:r>
      <w:r w:rsidR="009A04B0">
        <w:rPr>
          <w:noProof/>
        </w:rPr>
        <w:t>39</w:t>
      </w:r>
      <w:r>
        <w:rPr>
          <w:noProof/>
        </w:rPr>
        <w:fldChar w:fldCharType="end"/>
      </w:r>
    </w:p>
    <w:p w14:paraId="06FE423A" w14:textId="240E3EF2" w:rsidR="00F10DDC" w:rsidRDefault="00F10DDC">
      <w:pPr>
        <w:pStyle w:val="TOC3"/>
        <w:rPr>
          <w:rFonts w:asciiTheme="minorHAnsi" w:eastAsiaTheme="minorEastAsia" w:hAnsiTheme="minorHAnsi" w:cstheme="minorBidi"/>
          <w:noProof/>
          <w:sz w:val="22"/>
          <w:szCs w:val="22"/>
          <w:lang w:val="en-AU" w:eastAsia="en-AU"/>
        </w:rPr>
      </w:pPr>
      <w:r>
        <w:rPr>
          <w:noProof/>
        </w:rPr>
        <w:t>Table 12: Seclusion indicators for M</w:t>
      </w:r>
      <w:r w:rsidRPr="003C5105">
        <w:rPr>
          <w:rFonts w:cs="Segoe UI"/>
          <w:noProof/>
        </w:rPr>
        <w:t>ā</w:t>
      </w:r>
      <w:r>
        <w:rPr>
          <w:noProof/>
        </w:rPr>
        <w:t>ori and non-M</w:t>
      </w:r>
      <w:r w:rsidRPr="003C5105">
        <w:rPr>
          <w:rFonts w:cs="Segoe UI"/>
          <w:noProof/>
        </w:rPr>
        <w:t>ā</w:t>
      </w:r>
      <w:r>
        <w:rPr>
          <w:noProof/>
        </w:rPr>
        <w:t>ori with intellectual disabilities, 1 July 2020 to 30 June 2021</w:t>
      </w:r>
      <w:r>
        <w:rPr>
          <w:noProof/>
        </w:rPr>
        <w:tab/>
      </w:r>
      <w:r>
        <w:rPr>
          <w:noProof/>
        </w:rPr>
        <w:fldChar w:fldCharType="begin"/>
      </w:r>
      <w:r>
        <w:rPr>
          <w:noProof/>
        </w:rPr>
        <w:instrText xml:space="preserve"> PAGEREF _Toc115272603 \h </w:instrText>
      </w:r>
      <w:r>
        <w:rPr>
          <w:noProof/>
        </w:rPr>
      </w:r>
      <w:r>
        <w:rPr>
          <w:noProof/>
        </w:rPr>
        <w:fldChar w:fldCharType="separate"/>
      </w:r>
      <w:r w:rsidR="009A04B0">
        <w:rPr>
          <w:noProof/>
        </w:rPr>
        <w:t>39</w:t>
      </w:r>
      <w:r>
        <w:rPr>
          <w:noProof/>
        </w:rPr>
        <w:fldChar w:fldCharType="end"/>
      </w:r>
    </w:p>
    <w:p w14:paraId="633F5EFE" w14:textId="597249BC" w:rsidR="00F10DDC" w:rsidRDefault="00F10DDC">
      <w:pPr>
        <w:pStyle w:val="TOC3"/>
        <w:rPr>
          <w:rFonts w:asciiTheme="minorHAnsi" w:eastAsiaTheme="minorEastAsia" w:hAnsiTheme="minorHAnsi" w:cstheme="minorBidi"/>
          <w:noProof/>
          <w:sz w:val="22"/>
          <w:szCs w:val="22"/>
          <w:lang w:val="en-AU" w:eastAsia="en-AU"/>
        </w:rPr>
      </w:pPr>
      <w:r>
        <w:rPr>
          <w:noProof/>
        </w:rPr>
        <w:lastRenderedPageBreak/>
        <w:t>Table 13: Total number of special patients, by type and DHB, 1 July 2020 to 30 June 2021</w:t>
      </w:r>
      <w:r>
        <w:rPr>
          <w:noProof/>
        </w:rPr>
        <w:tab/>
      </w:r>
      <w:r>
        <w:rPr>
          <w:noProof/>
        </w:rPr>
        <w:fldChar w:fldCharType="begin"/>
      </w:r>
      <w:r>
        <w:rPr>
          <w:noProof/>
        </w:rPr>
        <w:instrText xml:space="preserve"> PAGEREF _Toc115272604 \h </w:instrText>
      </w:r>
      <w:r>
        <w:rPr>
          <w:noProof/>
        </w:rPr>
      </w:r>
      <w:r>
        <w:rPr>
          <w:noProof/>
        </w:rPr>
        <w:fldChar w:fldCharType="separate"/>
      </w:r>
      <w:r w:rsidR="009A04B0">
        <w:rPr>
          <w:noProof/>
        </w:rPr>
        <w:t>43</w:t>
      </w:r>
      <w:r>
        <w:rPr>
          <w:noProof/>
        </w:rPr>
        <w:fldChar w:fldCharType="end"/>
      </w:r>
    </w:p>
    <w:p w14:paraId="112C31C2" w14:textId="23BC7586" w:rsidR="00F10DDC" w:rsidRDefault="00F10DDC">
      <w:pPr>
        <w:pStyle w:val="TOC3"/>
        <w:rPr>
          <w:rFonts w:asciiTheme="minorHAnsi" w:eastAsiaTheme="minorEastAsia" w:hAnsiTheme="minorHAnsi" w:cstheme="minorBidi"/>
          <w:noProof/>
          <w:sz w:val="22"/>
          <w:szCs w:val="22"/>
          <w:lang w:val="en-AU" w:eastAsia="en-AU"/>
        </w:rPr>
      </w:pPr>
      <w:r>
        <w:rPr>
          <w:noProof/>
        </w:rPr>
        <w:t>Table 14: Number of section 50 long leave, revocation and reclassification applications received by the Minister of Health for special and restricted patients, 1 July 2020 to 30 June 2021</w:t>
      </w:r>
      <w:r>
        <w:rPr>
          <w:noProof/>
        </w:rPr>
        <w:tab/>
      </w:r>
      <w:r>
        <w:rPr>
          <w:noProof/>
        </w:rPr>
        <w:fldChar w:fldCharType="begin"/>
      </w:r>
      <w:r>
        <w:rPr>
          <w:noProof/>
        </w:rPr>
        <w:instrText xml:space="preserve"> PAGEREF _Toc115272605 \h </w:instrText>
      </w:r>
      <w:r>
        <w:rPr>
          <w:noProof/>
        </w:rPr>
      </w:r>
      <w:r>
        <w:rPr>
          <w:noProof/>
        </w:rPr>
        <w:fldChar w:fldCharType="separate"/>
      </w:r>
      <w:r w:rsidR="009A04B0">
        <w:rPr>
          <w:noProof/>
        </w:rPr>
        <w:t>47</w:t>
      </w:r>
      <w:r>
        <w:rPr>
          <w:noProof/>
        </w:rPr>
        <w:fldChar w:fldCharType="end"/>
      </w:r>
    </w:p>
    <w:p w14:paraId="677DA023" w14:textId="52E9F3D6" w:rsidR="00F10DDC" w:rsidRDefault="00F10DDC">
      <w:pPr>
        <w:pStyle w:val="TOC3"/>
        <w:rPr>
          <w:rFonts w:asciiTheme="minorHAnsi" w:eastAsiaTheme="minorEastAsia" w:hAnsiTheme="minorHAnsi" w:cstheme="minorBidi"/>
          <w:noProof/>
          <w:sz w:val="22"/>
          <w:szCs w:val="22"/>
          <w:lang w:val="en-AU" w:eastAsia="en-AU"/>
        </w:rPr>
      </w:pPr>
      <w:r>
        <w:rPr>
          <w:noProof/>
        </w:rPr>
        <w:t>Table 15: Number of mental health adverse events that DHBs reported to the HQSC, by type of event, 1 July 2020 to 30 June 2021</w:t>
      </w:r>
      <w:r>
        <w:rPr>
          <w:noProof/>
        </w:rPr>
        <w:tab/>
      </w:r>
      <w:r>
        <w:rPr>
          <w:noProof/>
        </w:rPr>
        <w:fldChar w:fldCharType="begin"/>
      </w:r>
      <w:r>
        <w:rPr>
          <w:noProof/>
        </w:rPr>
        <w:instrText xml:space="preserve"> PAGEREF _Toc115272606 \h </w:instrText>
      </w:r>
      <w:r>
        <w:rPr>
          <w:noProof/>
        </w:rPr>
      </w:r>
      <w:r>
        <w:rPr>
          <w:noProof/>
        </w:rPr>
        <w:fldChar w:fldCharType="separate"/>
      </w:r>
      <w:r w:rsidR="009A04B0">
        <w:rPr>
          <w:noProof/>
        </w:rPr>
        <w:t>49</w:t>
      </w:r>
      <w:r>
        <w:rPr>
          <w:noProof/>
        </w:rPr>
        <w:fldChar w:fldCharType="end"/>
      </w:r>
    </w:p>
    <w:p w14:paraId="5975558D" w14:textId="45FFBDB2" w:rsidR="00F10DDC" w:rsidRDefault="00F10DDC">
      <w:pPr>
        <w:pStyle w:val="TOC3"/>
        <w:rPr>
          <w:rFonts w:asciiTheme="minorHAnsi" w:eastAsiaTheme="minorEastAsia" w:hAnsiTheme="minorHAnsi" w:cstheme="minorBidi"/>
          <w:noProof/>
          <w:sz w:val="22"/>
          <w:szCs w:val="22"/>
          <w:lang w:val="en-AU" w:eastAsia="en-AU"/>
        </w:rPr>
      </w:pPr>
      <w:r>
        <w:rPr>
          <w:noProof/>
        </w:rPr>
        <w:t>Table 16: Number of mental health adverse events that DHBs reported to the HQSC, by DHB, 1 July 2020 to 30 June 2021</w:t>
      </w:r>
      <w:r>
        <w:rPr>
          <w:noProof/>
        </w:rPr>
        <w:tab/>
      </w:r>
      <w:r>
        <w:rPr>
          <w:noProof/>
        </w:rPr>
        <w:fldChar w:fldCharType="begin"/>
      </w:r>
      <w:r>
        <w:rPr>
          <w:noProof/>
        </w:rPr>
        <w:instrText xml:space="preserve"> PAGEREF _Toc115272607 \h </w:instrText>
      </w:r>
      <w:r>
        <w:rPr>
          <w:noProof/>
        </w:rPr>
      </w:r>
      <w:r>
        <w:rPr>
          <w:noProof/>
        </w:rPr>
        <w:fldChar w:fldCharType="separate"/>
      </w:r>
      <w:r w:rsidR="009A04B0">
        <w:rPr>
          <w:noProof/>
        </w:rPr>
        <w:t>49</w:t>
      </w:r>
      <w:r>
        <w:rPr>
          <w:noProof/>
        </w:rPr>
        <w:fldChar w:fldCharType="end"/>
      </w:r>
    </w:p>
    <w:p w14:paraId="055FDF36" w14:textId="1D6F3CA4" w:rsidR="00F10DDC" w:rsidRDefault="00F10DDC">
      <w:pPr>
        <w:pStyle w:val="TOC3"/>
        <w:rPr>
          <w:rFonts w:asciiTheme="minorHAnsi" w:eastAsiaTheme="minorEastAsia" w:hAnsiTheme="minorHAnsi" w:cstheme="minorBidi"/>
          <w:noProof/>
          <w:sz w:val="22"/>
          <w:szCs w:val="22"/>
          <w:lang w:val="en-AU" w:eastAsia="en-AU"/>
        </w:rPr>
      </w:pPr>
      <w:r>
        <w:rPr>
          <w:noProof/>
        </w:rPr>
        <w:t>Table 17: Outcomes of reportable death notifications under section 132 of the Mental Health Act, 1 July 2020 to 30 June 2021</w:t>
      </w:r>
      <w:r>
        <w:rPr>
          <w:noProof/>
        </w:rPr>
        <w:tab/>
      </w:r>
      <w:r>
        <w:rPr>
          <w:noProof/>
        </w:rPr>
        <w:fldChar w:fldCharType="begin"/>
      </w:r>
      <w:r>
        <w:rPr>
          <w:noProof/>
        </w:rPr>
        <w:instrText xml:space="preserve"> PAGEREF _Toc115272608 \h </w:instrText>
      </w:r>
      <w:r>
        <w:rPr>
          <w:noProof/>
        </w:rPr>
      </w:r>
      <w:r>
        <w:rPr>
          <w:noProof/>
        </w:rPr>
        <w:fldChar w:fldCharType="separate"/>
      </w:r>
      <w:r w:rsidR="009A04B0">
        <w:rPr>
          <w:noProof/>
        </w:rPr>
        <w:t>50</w:t>
      </w:r>
      <w:r>
        <w:rPr>
          <w:noProof/>
        </w:rPr>
        <w:fldChar w:fldCharType="end"/>
      </w:r>
    </w:p>
    <w:p w14:paraId="4A02DE0D" w14:textId="030D2C00" w:rsidR="00F10DDC" w:rsidRDefault="00F10DDC">
      <w:pPr>
        <w:pStyle w:val="TOC3"/>
        <w:rPr>
          <w:rFonts w:asciiTheme="minorHAnsi" w:eastAsiaTheme="minorEastAsia" w:hAnsiTheme="minorHAnsi" w:cstheme="minorBidi"/>
          <w:noProof/>
          <w:sz w:val="22"/>
          <w:szCs w:val="22"/>
          <w:lang w:val="en-AU" w:eastAsia="en-AU"/>
        </w:rPr>
      </w:pPr>
      <w:r>
        <w:rPr>
          <w:noProof/>
        </w:rPr>
        <w:t>Table 18: Number of completed section 95 inquiries and section 99 inspections reports received or completed by the Director of Mental Health, 2010/11–2020/21</w:t>
      </w:r>
      <w:r>
        <w:rPr>
          <w:noProof/>
        </w:rPr>
        <w:tab/>
      </w:r>
      <w:r>
        <w:rPr>
          <w:noProof/>
        </w:rPr>
        <w:fldChar w:fldCharType="begin"/>
      </w:r>
      <w:r>
        <w:rPr>
          <w:noProof/>
        </w:rPr>
        <w:instrText xml:space="preserve"> PAGEREF _Toc115272609 \h </w:instrText>
      </w:r>
      <w:r>
        <w:rPr>
          <w:noProof/>
        </w:rPr>
      </w:r>
      <w:r>
        <w:rPr>
          <w:noProof/>
        </w:rPr>
        <w:fldChar w:fldCharType="separate"/>
      </w:r>
      <w:r w:rsidR="009A04B0">
        <w:rPr>
          <w:noProof/>
        </w:rPr>
        <w:t>51</w:t>
      </w:r>
      <w:r>
        <w:rPr>
          <w:noProof/>
        </w:rPr>
        <w:fldChar w:fldCharType="end"/>
      </w:r>
    </w:p>
    <w:p w14:paraId="6B0D84D8" w14:textId="41F40615" w:rsidR="00F10DDC" w:rsidRDefault="00F10DDC">
      <w:pPr>
        <w:pStyle w:val="TOC3"/>
        <w:rPr>
          <w:rFonts w:asciiTheme="minorHAnsi" w:eastAsiaTheme="minorEastAsia" w:hAnsiTheme="minorHAnsi" w:cstheme="minorBidi"/>
          <w:noProof/>
          <w:sz w:val="22"/>
          <w:szCs w:val="22"/>
          <w:lang w:val="en-AU" w:eastAsia="en-AU"/>
        </w:rPr>
      </w:pPr>
      <w:r>
        <w:rPr>
          <w:noProof/>
        </w:rPr>
        <w:t>Table 19: ECT indicators, by DHB of domicile, 1 July 2020 to 30 June 2021</w:t>
      </w:r>
      <w:r>
        <w:rPr>
          <w:noProof/>
        </w:rPr>
        <w:tab/>
      </w:r>
      <w:r>
        <w:rPr>
          <w:noProof/>
        </w:rPr>
        <w:fldChar w:fldCharType="begin"/>
      </w:r>
      <w:r>
        <w:rPr>
          <w:noProof/>
        </w:rPr>
        <w:instrText xml:space="preserve"> PAGEREF _Toc115272610 \h </w:instrText>
      </w:r>
      <w:r>
        <w:rPr>
          <w:noProof/>
        </w:rPr>
      </w:r>
      <w:r>
        <w:rPr>
          <w:noProof/>
        </w:rPr>
        <w:fldChar w:fldCharType="separate"/>
      </w:r>
      <w:r w:rsidR="009A04B0">
        <w:rPr>
          <w:noProof/>
        </w:rPr>
        <w:t>53</w:t>
      </w:r>
      <w:r>
        <w:rPr>
          <w:noProof/>
        </w:rPr>
        <w:fldChar w:fldCharType="end"/>
      </w:r>
    </w:p>
    <w:p w14:paraId="00AE306F" w14:textId="3D44A9F2" w:rsidR="00F10DDC" w:rsidRDefault="00F10DDC">
      <w:pPr>
        <w:pStyle w:val="TOC3"/>
        <w:rPr>
          <w:rFonts w:asciiTheme="minorHAnsi" w:eastAsiaTheme="minorEastAsia" w:hAnsiTheme="minorHAnsi" w:cstheme="minorBidi"/>
          <w:noProof/>
          <w:sz w:val="22"/>
          <w:szCs w:val="22"/>
          <w:lang w:val="en-AU" w:eastAsia="en-AU"/>
        </w:rPr>
      </w:pPr>
      <w:r>
        <w:rPr>
          <w:noProof/>
        </w:rPr>
        <w:t>Table 20: Number and rate per 100,000 population of people treated with ECT, by ethnicity, 1 July 2020 to 30 June 2021</w:t>
      </w:r>
      <w:r>
        <w:rPr>
          <w:noProof/>
        </w:rPr>
        <w:tab/>
      </w:r>
      <w:r>
        <w:rPr>
          <w:noProof/>
        </w:rPr>
        <w:fldChar w:fldCharType="begin"/>
      </w:r>
      <w:r>
        <w:rPr>
          <w:noProof/>
        </w:rPr>
        <w:instrText xml:space="preserve"> PAGEREF _Toc115272611 \h </w:instrText>
      </w:r>
      <w:r>
        <w:rPr>
          <w:noProof/>
        </w:rPr>
      </w:r>
      <w:r>
        <w:rPr>
          <w:noProof/>
        </w:rPr>
        <w:fldChar w:fldCharType="separate"/>
      </w:r>
      <w:r w:rsidR="009A04B0">
        <w:rPr>
          <w:noProof/>
        </w:rPr>
        <w:t>57</w:t>
      </w:r>
      <w:r>
        <w:rPr>
          <w:noProof/>
        </w:rPr>
        <w:fldChar w:fldCharType="end"/>
      </w:r>
    </w:p>
    <w:p w14:paraId="3584BD69" w14:textId="25E67B5A" w:rsidR="00F10DDC" w:rsidRDefault="00F10DDC">
      <w:pPr>
        <w:pStyle w:val="TOC3"/>
        <w:rPr>
          <w:rFonts w:asciiTheme="minorHAnsi" w:eastAsiaTheme="minorEastAsia" w:hAnsiTheme="minorHAnsi" w:cstheme="minorBidi"/>
          <w:noProof/>
          <w:sz w:val="22"/>
          <w:szCs w:val="22"/>
          <w:lang w:val="en-AU" w:eastAsia="en-AU"/>
        </w:rPr>
      </w:pPr>
      <w:r>
        <w:rPr>
          <w:noProof/>
        </w:rPr>
        <w:t>Table 21: ECT administered under second opinion without consent, by DHB of service, 1 July 2020 to 30 June 2021</w:t>
      </w:r>
      <w:r>
        <w:rPr>
          <w:noProof/>
        </w:rPr>
        <w:tab/>
      </w:r>
      <w:r>
        <w:rPr>
          <w:noProof/>
        </w:rPr>
        <w:fldChar w:fldCharType="begin"/>
      </w:r>
      <w:r>
        <w:rPr>
          <w:noProof/>
        </w:rPr>
        <w:instrText xml:space="preserve"> PAGEREF _Toc115272612 \h </w:instrText>
      </w:r>
      <w:r>
        <w:rPr>
          <w:noProof/>
        </w:rPr>
      </w:r>
      <w:r>
        <w:rPr>
          <w:noProof/>
        </w:rPr>
        <w:fldChar w:fldCharType="separate"/>
      </w:r>
      <w:r w:rsidR="009A04B0">
        <w:rPr>
          <w:noProof/>
        </w:rPr>
        <w:t>58</w:t>
      </w:r>
      <w:r>
        <w:rPr>
          <w:noProof/>
        </w:rPr>
        <w:fldChar w:fldCharType="end"/>
      </w:r>
    </w:p>
    <w:p w14:paraId="406329A1" w14:textId="0987699D" w:rsidR="00F10DDC" w:rsidRDefault="00F10DDC">
      <w:pPr>
        <w:pStyle w:val="TOC3"/>
        <w:rPr>
          <w:rFonts w:asciiTheme="minorHAnsi" w:eastAsiaTheme="minorEastAsia" w:hAnsiTheme="minorHAnsi" w:cstheme="minorBidi"/>
          <w:noProof/>
          <w:sz w:val="22"/>
          <w:szCs w:val="22"/>
          <w:lang w:val="en-AU" w:eastAsia="en-AU"/>
        </w:rPr>
      </w:pPr>
      <w:r>
        <w:rPr>
          <w:noProof/>
        </w:rPr>
        <w:t>Table A1: Applications for compulsory treatment orders or extensions, 2004/05–2020/21</w:t>
      </w:r>
      <w:r>
        <w:rPr>
          <w:noProof/>
        </w:rPr>
        <w:tab/>
      </w:r>
      <w:r>
        <w:rPr>
          <w:noProof/>
        </w:rPr>
        <w:fldChar w:fldCharType="begin"/>
      </w:r>
      <w:r>
        <w:rPr>
          <w:noProof/>
        </w:rPr>
        <w:instrText xml:space="preserve"> PAGEREF _Toc115272613 \h </w:instrText>
      </w:r>
      <w:r>
        <w:rPr>
          <w:noProof/>
        </w:rPr>
      </w:r>
      <w:r>
        <w:rPr>
          <w:noProof/>
        </w:rPr>
        <w:fldChar w:fldCharType="separate"/>
      </w:r>
      <w:r w:rsidR="009A04B0">
        <w:rPr>
          <w:noProof/>
        </w:rPr>
        <w:t>66</w:t>
      </w:r>
      <w:r>
        <w:rPr>
          <w:noProof/>
        </w:rPr>
        <w:fldChar w:fldCharType="end"/>
      </w:r>
    </w:p>
    <w:p w14:paraId="3740EB8B" w14:textId="2206DE69" w:rsidR="00F10DDC" w:rsidRDefault="00F10DDC">
      <w:pPr>
        <w:pStyle w:val="TOC3"/>
        <w:rPr>
          <w:rFonts w:asciiTheme="minorHAnsi" w:eastAsiaTheme="minorEastAsia" w:hAnsiTheme="minorHAnsi" w:cstheme="minorBidi"/>
          <w:noProof/>
          <w:sz w:val="22"/>
          <w:szCs w:val="22"/>
          <w:lang w:val="en-AU" w:eastAsia="en-AU"/>
        </w:rPr>
      </w:pPr>
      <w:r>
        <w:rPr>
          <w:noProof/>
        </w:rPr>
        <w:t>Table A2: Types of compulsory treatment orders made on granted applications, 2004/05–2020/21</w:t>
      </w:r>
      <w:r>
        <w:rPr>
          <w:noProof/>
        </w:rPr>
        <w:tab/>
      </w:r>
      <w:r>
        <w:rPr>
          <w:noProof/>
        </w:rPr>
        <w:fldChar w:fldCharType="begin"/>
      </w:r>
      <w:r>
        <w:rPr>
          <w:noProof/>
        </w:rPr>
        <w:instrText xml:space="preserve"> PAGEREF _Toc115272614 \h </w:instrText>
      </w:r>
      <w:r>
        <w:rPr>
          <w:noProof/>
        </w:rPr>
      </w:r>
      <w:r>
        <w:rPr>
          <w:noProof/>
        </w:rPr>
        <w:fldChar w:fldCharType="separate"/>
      </w:r>
      <w:r w:rsidR="009A04B0">
        <w:rPr>
          <w:noProof/>
        </w:rPr>
        <w:t>67</w:t>
      </w:r>
      <w:r>
        <w:rPr>
          <w:noProof/>
        </w:rPr>
        <w:fldChar w:fldCharType="end"/>
      </w:r>
    </w:p>
    <w:p w14:paraId="4A6797B1" w14:textId="5098F61B" w:rsidR="002B76A7" w:rsidRDefault="002B76A7" w:rsidP="003A5FEA">
      <w:r>
        <w:fldChar w:fldCharType="end"/>
      </w:r>
    </w:p>
    <w:p w14:paraId="03333094" w14:textId="77777777" w:rsidR="001D3E4E" w:rsidRDefault="001D3E4E" w:rsidP="003A5FEA">
      <w:pPr>
        <w:sectPr w:rsidR="001D3E4E" w:rsidSect="0078658E">
          <w:headerReference w:type="even" r:id="rId22"/>
          <w:headerReference w:type="default" r:id="rId23"/>
          <w:footerReference w:type="even" r:id="rId24"/>
          <w:footerReference w:type="default" r:id="rId25"/>
          <w:pgSz w:w="11907" w:h="16840" w:code="9"/>
          <w:pgMar w:top="1418" w:right="1701" w:bottom="1134" w:left="1843" w:header="284" w:footer="425" w:gutter="284"/>
          <w:pgNumType w:fmt="lowerRoman"/>
          <w:cols w:space="720"/>
        </w:sectPr>
      </w:pPr>
    </w:p>
    <w:p w14:paraId="4609813D" w14:textId="77777777" w:rsidR="00D728CA" w:rsidRDefault="00D728CA" w:rsidP="00D728CA">
      <w:pPr>
        <w:pStyle w:val="Heading1"/>
        <w:spacing w:before="0"/>
      </w:pPr>
      <w:bookmarkStart w:id="4" w:name="_Toc115431693"/>
      <w:r w:rsidRPr="00D728CA">
        <w:lastRenderedPageBreak/>
        <w:t>Use of the Mental Health Act</w:t>
      </w:r>
      <w:bookmarkEnd w:id="4"/>
    </w:p>
    <w:p w14:paraId="1788EFEA" w14:textId="77777777" w:rsidR="00D728CA" w:rsidRPr="00D728CA" w:rsidRDefault="00D728CA" w:rsidP="00D728CA">
      <w:pPr>
        <w:rPr>
          <w:w w:val="105"/>
        </w:rPr>
      </w:pPr>
      <w:r w:rsidRPr="00D728CA">
        <w:rPr>
          <w:w w:val="105"/>
        </w:rPr>
        <w:t>In summary, in the period 1 July 2020 to 30 June 2021:</w:t>
      </w:r>
    </w:p>
    <w:p w14:paraId="7B68AAA9" w14:textId="6FFF2F85" w:rsidR="00D728CA" w:rsidRPr="00D728CA" w:rsidRDefault="00D728CA" w:rsidP="00D728CA">
      <w:pPr>
        <w:pStyle w:val="Bullet"/>
        <w:rPr>
          <w:w w:val="105"/>
        </w:rPr>
      </w:pPr>
      <w:r w:rsidRPr="00D728CA">
        <w:rPr>
          <w:w w:val="105"/>
        </w:rPr>
        <w:t>11,149 people (6.0% of specialist mental health and addiction service users) were subject to the Mental Health (Compulsory Assessment and Treatment) Act 1992 (the Mental Health Act)</w:t>
      </w:r>
      <w:r>
        <w:rPr>
          <w:rStyle w:val="FootnoteReference"/>
          <w:w w:val="105"/>
        </w:rPr>
        <w:footnoteReference w:id="2"/>
      </w:r>
      <w:r w:rsidRPr="00D728CA">
        <w:rPr>
          <w:w w:val="105"/>
        </w:rPr>
        <w:t xml:space="preserve"> </w:t>
      </w:r>
    </w:p>
    <w:p w14:paraId="7968209C" w14:textId="7B2AB79A" w:rsidR="00D728CA" w:rsidRPr="00D728CA" w:rsidRDefault="00D728CA" w:rsidP="00D728CA">
      <w:pPr>
        <w:pStyle w:val="Bullet"/>
        <w:rPr>
          <w:w w:val="105"/>
        </w:rPr>
      </w:pPr>
      <w:r w:rsidRPr="00D728CA">
        <w:rPr>
          <w:w w:val="105"/>
        </w:rPr>
        <w:t>about 5,645 people were subject to either compulsory assessment or compulsory treatment under the Mental Health Act on the last day of this period</w:t>
      </w:r>
    </w:p>
    <w:p w14:paraId="2AB7ED65" w14:textId="188579A8" w:rsidR="00D728CA" w:rsidRPr="00D728CA" w:rsidRDefault="00D728CA" w:rsidP="00D728CA">
      <w:pPr>
        <w:pStyle w:val="Bullet"/>
        <w:rPr>
          <w:w w:val="105"/>
        </w:rPr>
      </w:pPr>
      <w:r w:rsidRPr="00D728CA">
        <w:rPr>
          <w:w w:val="105"/>
        </w:rPr>
        <w:t>males were more likely to be subject to the Mental Health Act than females</w:t>
      </w:r>
    </w:p>
    <w:p w14:paraId="6D1B04BE" w14:textId="2D909C5E" w:rsidR="00D728CA" w:rsidRPr="00D728CA" w:rsidRDefault="00D728CA" w:rsidP="00D728CA">
      <w:pPr>
        <w:pStyle w:val="Bullet"/>
        <w:rPr>
          <w:w w:val="105"/>
        </w:rPr>
      </w:pPr>
      <w:r w:rsidRPr="00D728CA">
        <w:rPr>
          <w:w w:val="105"/>
        </w:rPr>
        <w:t>people aged 25–34 years were the most likely age group to be subject to compulsory treatment, and people aged 65 years or over were the least likely</w:t>
      </w:r>
    </w:p>
    <w:p w14:paraId="27CE47F6" w14:textId="26D9A3D1" w:rsidR="009A42D5" w:rsidRDefault="00D728CA" w:rsidP="00D728CA">
      <w:pPr>
        <w:pStyle w:val="Bullet"/>
        <w:rPr>
          <w:rFonts w:eastAsia="Arial Unicode MS"/>
        </w:rPr>
      </w:pPr>
      <w:r w:rsidRPr="00D728CA">
        <w:rPr>
          <w:w w:val="105"/>
        </w:rPr>
        <w:t>Māori were more likely to be assessed or treated under the Mental Health Act than Pacific peoples and other ethnicities.</w:t>
      </w:r>
      <w:r>
        <w:rPr>
          <w:rStyle w:val="FootnoteReference"/>
          <w:w w:val="105"/>
        </w:rPr>
        <w:footnoteReference w:id="3"/>
      </w:r>
      <w:r w:rsidRPr="00D728CA">
        <w:rPr>
          <w:w w:val="105"/>
          <w:vertAlign w:val="superscript"/>
        </w:rPr>
        <w:t>,</w:t>
      </w:r>
      <w:r>
        <w:rPr>
          <w:w w:val="105"/>
          <w:vertAlign w:val="superscript"/>
        </w:rPr>
        <w:t xml:space="preserve"> </w:t>
      </w:r>
      <w:r>
        <w:rPr>
          <w:rStyle w:val="FootnoteReference"/>
          <w:w w:val="105"/>
        </w:rPr>
        <w:footnoteReference w:id="4"/>
      </w:r>
    </w:p>
    <w:p w14:paraId="0EDA88D2" w14:textId="77777777" w:rsidR="00D662F8" w:rsidRPr="00E53A9F" w:rsidRDefault="00D662F8" w:rsidP="0043478F">
      <w:pPr>
        <w:rPr>
          <w:rStyle w:val="Hyperlink"/>
        </w:rPr>
      </w:pPr>
    </w:p>
    <w:p w14:paraId="79EF2189" w14:textId="77777777" w:rsidR="00D728CA" w:rsidRDefault="00D728CA" w:rsidP="00BB4198">
      <w:pPr>
        <w:pStyle w:val="Heading1"/>
        <w:sectPr w:rsidR="00D728CA" w:rsidSect="00D728CA">
          <w:footerReference w:type="even" r:id="rId26"/>
          <w:footerReference w:type="default" r:id="rId27"/>
          <w:pgSz w:w="11907" w:h="16840" w:code="9"/>
          <w:pgMar w:top="1418" w:right="1701" w:bottom="1134" w:left="1843" w:header="284" w:footer="425" w:gutter="284"/>
          <w:pgNumType w:start="1"/>
          <w:cols w:space="720"/>
        </w:sectPr>
      </w:pPr>
      <w:bookmarkStart w:id="5" w:name="_bookmark4"/>
      <w:bookmarkEnd w:id="5"/>
    </w:p>
    <w:p w14:paraId="7F838428" w14:textId="540280C4" w:rsidR="009A42D5" w:rsidRPr="0043478F" w:rsidRDefault="00D728CA" w:rsidP="00F10DDC">
      <w:pPr>
        <w:pStyle w:val="Heading1"/>
        <w:spacing w:before="0"/>
      </w:pPr>
      <w:bookmarkStart w:id="6" w:name="_Toc115431694"/>
      <w:r w:rsidRPr="00D728CA">
        <w:lastRenderedPageBreak/>
        <w:t>The Mental Health Act process</w:t>
      </w:r>
      <w:bookmarkEnd w:id="6"/>
    </w:p>
    <w:p w14:paraId="710EEA10" w14:textId="1AD27DBA" w:rsidR="00D728CA" w:rsidRDefault="00D728CA" w:rsidP="00D728CA">
      <w:pPr>
        <w:pStyle w:val="Heading2"/>
      </w:pPr>
      <w:bookmarkStart w:id="7" w:name="_Toc115431695"/>
      <w:r>
        <w:t>Court applications in 2020/21</w:t>
      </w:r>
      <w:r>
        <w:rPr>
          <w:rStyle w:val="FootnoteReference"/>
        </w:rPr>
        <w:footnoteReference w:id="5"/>
      </w:r>
      <w:bookmarkEnd w:id="7"/>
      <w:r>
        <w:t xml:space="preserve"> </w:t>
      </w:r>
    </w:p>
    <w:p w14:paraId="64364C11" w14:textId="77777777" w:rsidR="00D728CA" w:rsidRDefault="00D728CA" w:rsidP="00D728CA">
      <w:r>
        <w:t>Clinicians made 5,902 applications for compulsory treatment orders or extensions under the Mental Health Act. Of these applications, the courts granted 5,241 (88.8%).</w:t>
      </w:r>
    </w:p>
    <w:p w14:paraId="12110384" w14:textId="77777777" w:rsidR="00D728CA" w:rsidRDefault="00D728CA" w:rsidP="00D728CA"/>
    <w:p w14:paraId="31C0A28A" w14:textId="77777777" w:rsidR="00D728CA" w:rsidRDefault="00D728CA" w:rsidP="00D728CA">
      <w:r>
        <w:t>Approximately 1,330 applications were filed for a judge’s review of the patient’s condition, in line with section 16 of the Mental Health Act. Of these applications, judges issued an order to release a person from compulsory status in 29 cases (2.2%) and dismissed 731 applications (54.6%). The remaining applications were withdrawn.</w:t>
      </w:r>
    </w:p>
    <w:p w14:paraId="46285BD4" w14:textId="77777777" w:rsidR="00D728CA" w:rsidRDefault="00D728CA" w:rsidP="00D728CA">
      <w:pPr>
        <w:pStyle w:val="Heading2"/>
      </w:pPr>
      <w:bookmarkStart w:id="8" w:name="_Toc115431696"/>
      <w:r>
        <w:t>Compulsory assessment and treatment in 2020/21</w:t>
      </w:r>
      <w:bookmarkEnd w:id="8"/>
    </w:p>
    <w:p w14:paraId="1557A9BD" w14:textId="5F097DAF" w:rsidR="00D728CA" w:rsidRDefault="00D728CA" w:rsidP="00D728CA">
      <w:r>
        <w:t>On the last day of the 2020/21 financial year, a total of 5,645 people were subject to either compulsory assessment or compulsory treatment under the Mental Health Act.</w:t>
      </w:r>
      <w:r>
        <w:rPr>
          <w:rStyle w:val="FootnoteReference"/>
        </w:rPr>
        <w:footnoteReference w:id="6"/>
      </w:r>
      <w:r>
        <w:t xml:space="preserve"> </w:t>
      </w:r>
    </w:p>
    <w:p w14:paraId="5F176357" w14:textId="77777777" w:rsidR="00D728CA" w:rsidRDefault="00D728CA" w:rsidP="00D728CA"/>
    <w:p w14:paraId="76995B1C" w14:textId="59B55E12" w:rsidR="009A42D5" w:rsidRDefault="00D728CA" w:rsidP="00D728CA">
      <w:r>
        <w:t>On average within each month, the assessment provisions of the Mental Health Act were applied as follows.</w:t>
      </w:r>
    </w:p>
    <w:p w14:paraId="1DE6AF02" w14:textId="35D4AABB" w:rsidR="00D728CA" w:rsidRDefault="00D728CA" w:rsidP="00D728CA"/>
    <w:tbl>
      <w:tblPr>
        <w:tblW w:w="813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758"/>
        <w:gridCol w:w="3544"/>
        <w:gridCol w:w="2835"/>
      </w:tblGrid>
      <w:tr w:rsidR="00D728CA" w:rsidRPr="000C5A1A" w14:paraId="7F747D1A" w14:textId="77777777" w:rsidTr="00D728CA">
        <w:trPr>
          <w:cantSplit/>
        </w:trPr>
        <w:tc>
          <w:tcPr>
            <w:tcW w:w="1758" w:type="dxa"/>
            <w:tcBorders>
              <w:top w:val="single" w:sz="4" w:space="0" w:color="A6A6A6" w:themeColor="background1" w:themeShade="A6"/>
              <w:bottom w:val="single" w:sz="4" w:space="0" w:color="A6A6A6" w:themeColor="background1" w:themeShade="A6"/>
            </w:tcBorders>
            <w:shd w:val="clear" w:color="auto" w:fill="auto"/>
          </w:tcPr>
          <w:p w14:paraId="72CE47EC" w14:textId="77777777" w:rsidR="00D728CA" w:rsidRPr="00EC625C" w:rsidRDefault="00D728CA" w:rsidP="001236DF">
            <w:pPr>
              <w:pStyle w:val="TableText"/>
              <w:rPr>
                <w:b/>
              </w:rPr>
            </w:pPr>
            <w:r w:rsidRPr="00EC625C">
              <w:rPr>
                <w:b/>
              </w:rPr>
              <w:t>Section 11</w:t>
            </w:r>
          </w:p>
        </w:tc>
        <w:tc>
          <w:tcPr>
            <w:tcW w:w="3544" w:type="dxa"/>
            <w:shd w:val="clear" w:color="auto" w:fill="auto"/>
          </w:tcPr>
          <w:p w14:paraId="6EAA19E0" w14:textId="77777777" w:rsidR="00D728CA" w:rsidRPr="000C5A1A" w:rsidRDefault="00D728CA" w:rsidP="001236DF">
            <w:pPr>
              <w:pStyle w:val="TableText"/>
              <w:ind w:right="113"/>
            </w:pPr>
            <w:r>
              <w:t>635</w:t>
            </w:r>
            <w:r w:rsidRPr="000C5A1A">
              <w:t xml:space="preserve"> people were subject to an initial assessment</w:t>
            </w:r>
            <w:r>
              <w:t>.</w:t>
            </w:r>
          </w:p>
        </w:tc>
        <w:tc>
          <w:tcPr>
            <w:tcW w:w="2835" w:type="dxa"/>
            <w:shd w:val="clear" w:color="auto" w:fill="auto"/>
          </w:tcPr>
          <w:p w14:paraId="0EAF8B02" w14:textId="77777777" w:rsidR="00D728CA" w:rsidRPr="000C5A1A" w:rsidRDefault="00D728CA" w:rsidP="001236DF">
            <w:pPr>
              <w:pStyle w:val="TableText"/>
            </w:pPr>
            <w:r>
              <w:t>12</w:t>
            </w:r>
            <w:r w:rsidRPr="000C5A1A">
              <w:t xml:space="preserve"> people per 100,000 population</w:t>
            </w:r>
          </w:p>
        </w:tc>
      </w:tr>
      <w:tr w:rsidR="00D728CA" w:rsidRPr="000C5A1A" w14:paraId="1113599B" w14:textId="77777777" w:rsidTr="00D728CA">
        <w:trPr>
          <w:cantSplit/>
        </w:trPr>
        <w:tc>
          <w:tcPr>
            <w:tcW w:w="1758" w:type="dxa"/>
            <w:tcBorders>
              <w:top w:val="single" w:sz="4" w:space="0" w:color="A6A6A6" w:themeColor="background1" w:themeShade="A6"/>
              <w:bottom w:val="single" w:sz="4" w:space="0" w:color="A6A6A6" w:themeColor="background1" w:themeShade="A6"/>
            </w:tcBorders>
            <w:shd w:val="clear" w:color="auto" w:fill="auto"/>
          </w:tcPr>
          <w:p w14:paraId="32F0432F" w14:textId="77777777" w:rsidR="00D728CA" w:rsidRPr="00EC625C" w:rsidRDefault="00D728CA" w:rsidP="001236DF">
            <w:pPr>
              <w:pStyle w:val="TableText"/>
              <w:rPr>
                <w:b/>
              </w:rPr>
            </w:pPr>
            <w:r w:rsidRPr="00EC625C">
              <w:rPr>
                <w:b/>
              </w:rPr>
              <w:t>Section 13</w:t>
            </w:r>
          </w:p>
        </w:tc>
        <w:tc>
          <w:tcPr>
            <w:tcW w:w="3544" w:type="dxa"/>
            <w:shd w:val="clear" w:color="auto" w:fill="auto"/>
          </w:tcPr>
          <w:p w14:paraId="464E3BEA" w14:textId="77777777" w:rsidR="00D728CA" w:rsidRPr="000C5A1A" w:rsidRDefault="00D728CA" w:rsidP="001236DF">
            <w:pPr>
              <w:pStyle w:val="TableText"/>
              <w:ind w:right="113"/>
            </w:pPr>
            <w:r>
              <w:t>666</w:t>
            </w:r>
            <w:r w:rsidRPr="000C5A1A">
              <w:t xml:space="preserve"> people were subject to a second period of assessment</w:t>
            </w:r>
            <w:r>
              <w:t>.</w:t>
            </w:r>
          </w:p>
        </w:tc>
        <w:tc>
          <w:tcPr>
            <w:tcW w:w="2835" w:type="dxa"/>
            <w:shd w:val="clear" w:color="auto" w:fill="auto"/>
          </w:tcPr>
          <w:p w14:paraId="425D51AE" w14:textId="77777777" w:rsidR="00D728CA" w:rsidRPr="000C5A1A" w:rsidRDefault="00D728CA" w:rsidP="001236DF">
            <w:pPr>
              <w:pStyle w:val="TableText"/>
            </w:pPr>
            <w:r>
              <w:t xml:space="preserve">13 </w:t>
            </w:r>
            <w:r w:rsidRPr="000C5A1A">
              <w:t>people per 100,000 population</w:t>
            </w:r>
          </w:p>
        </w:tc>
      </w:tr>
      <w:tr w:rsidR="00D728CA" w:rsidRPr="000C5A1A" w14:paraId="32B70219" w14:textId="77777777" w:rsidTr="00D728CA">
        <w:trPr>
          <w:cantSplit/>
        </w:trPr>
        <w:tc>
          <w:tcPr>
            <w:tcW w:w="1758" w:type="dxa"/>
            <w:tcBorders>
              <w:top w:val="single" w:sz="4" w:space="0" w:color="A6A6A6" w:themeColor="background1" w:themeShade="A6"/>
              <w:bottom w:val="single" w:sz="4" w:space="0" w:color="A6A6A6" w:themeColor="background1" w:themeShade="A6"/>
            </w:tcBorders>
            <w:shd w:val="clear" w:color="auto" w:fill="auto"/>
          </w:tcPr>
          <w:p w14:paraId="2E61372C" w14:textId="77777777" w:rsidR="00D728CA" w:rsidRPr="00EC625C" w:rsidRDefault="00D728CA" w:rsidP="001236DF">
            <w:pPr>
              <w:pStyle w:val="TableText"/>
              <w:rPr>
                <w:b/>
              </w:rPr>
            </w:pPr>
            <w:r w:rsidRPr="00EC625C">
              <w:rPr>
                <w:b/>
              </w:rPr>
              <w:t>Section 14(4)</w:t>
            </w:r>
          </w:p>
        </w:tc>
        <w:tc>
          <w:tcPr>
            <w:tcW w:w="3544" w:type="dxa"/>
            <w:shd w:val="clear" w:color="auto" w:fill="auto"/>
          </w:tcPr>
          <w:p w14:paraId="628E5EBC" w14:textId="77777777" w:rsidR="00D728CA" w:rsidRPr="00EC625C" w:rsidRDefault="00D728CA" w:rsidP="001236DF">
            <w:pPr>
              <w:pStyle w:val="TableText"/>
              <w:ind w:right="113"/>
              <w:rPr>
                <w:spacing w:val="-2"/>
              </w:rPr>
            </w:pPr>
            <w:r>
              <w:rPr>
                <w:spacing w:val="-2"/>
              </w:rPr>
              <w:t>465</w:t>
            </w:r>
            <w:r w:rsidRPr="00EC625C">
              <w:rPr>
                <w:spacing w:val="-2"/>
              </w:rPr>
              <w:t xml:space="preserve"> people were subject to an application for a compulsory treatment order.</w:t>
            </w:r>
          </w:p>
        </w:tc>
        <w:tc>
          <w:tcPr>
            <w:tcW w:w="2835" w:type="dxa"/>
            <w:shd w:val="clear" w:color="auto" w:fill="auto"/>
          </w:tcPr>
          <w:p w14:paraId="0AD544A4" w14:textId="77777777" w:rsidR="00D728CA" w:rsidRPr="000C5A1A" w:rsidRDefault="00D728CA" w:rsidP="001236DF">
            <w:pPr>
              <w:pStyle w:val="TableText"/>
            </w:pPr>
            <w:r>
              <w:t>9</w:t>
            </w:r>
            <w:r w:rsidRPr="000C5A1A">
              <w:t xml:space="preserve"> people per 100,000 population</w:t>
            </w:r>
          </w:p>
        </w:tc>
      </w:tr>
    </w:tbl>
    <w:p w14:paraId="3AA69AF4" w14:textId="1AF2593A" w:rsidR="00D728CA" w:rsidRDefault="00D728CA" w:rsidP="00D728CA">
      <w:pPr>
        <w:pStyle w:val="Source"/>
        <w:rPr>
          <w:rFonts w:eastAsia="Arial Unicode MS"/>
        </w:rPr>
      </w:pPr>
      <w:r w:rsidRPr="00D728CA">
        <w:rPr>
          <w:rFonts w:eastAsia="Arial Unicode MS"/>
        </w:rPr>
        <w:t>Sources: PRIMHD data (extracted 3 June 2022) and manual data from Auckland and Waikato District Health Boards (DHBs).</w:t>
      </w:r>
    </w:p>
    <w:p w14:paraId="5E55D139" w14:textId="1D4858AB" w:rsidR="00D728CA" w:rsidRDefault="00D728CA" w:rsidP="00D728CA">
      <w:pPr>
        <w:rPr>
          <w:rFonts w:eastAsia="Arial Unicode MS"/>
        </w:rPr>
      </w:pPr>
    </w:p>
    <w:p w14:paraId="069F059C" w14:textId="77777777" w:rsidR="00D728CA" w:rsidRDefault="00D728CA" w:rsidP="00D728CA">
      <w:pPr>
        <w:rPr>
          <w:rFonts w:eastAsia="Arial Unicode MS"/>
        </w:rPr>
        <w:sectPr w:rsidR="00D728CA" w:rsidSect="001236DF">
          <w:pgSz w:w="11907" w:h="16840" w:code="9"/>
          <w:pgMar w:top="1418" w:right="1701" w:bottom="1134" w:left="1843" w:header="284" w:footer="425" w:gutter="284"/>
          <w:cols w:space="720"/>
        </w:sectPr>
      </w:pPr>
    </w:p>
    <w:p w14:paraId="7B7E4D3E" w14:textId="57056FCE" w:rsidR="00D728CA" w:rsidRDefault="00D728CA" w:rsidP="00D728CA">
      <w:pPr>
        <w:rPr>
          <w:rFonts w:eastAsia="Arial Unicode MS"/>
        </w:rPr>
      </w:pPr>
      <w:r w:rsidRPr="00D728CA">
        <w:rPr>
          <w:rFonts w:eastAsia="Arial Unicode MS"/>
        </w:rPr>
        <w:lastRenderedPageBreak/>
        <w:t>In Aotearoa New Zealand, on an average day in the 2020/21 financial year, the treatment provisions of the Mental Health Act were applied as follows.</w:t>
      </w:r>
    </w:p>
    <w:p w14:paraId="263E6550" w14:textId="42C17C10" w:rsidR="00D728CA" w:rsidRDefault="00D728CA" w:rsidP="00D728CA">
      <w:pPr>
        <w:rPr>
          <w:rFonts w:eastAsia="Arial Unicode MS"/>
        </w:rPr>
      </w:pPr>
    </w:p>
    <w:tbl>
      <w:tblPr>
        <w:tblW w:w="813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758"/>
        <w:gridCol w:w="3544"/>
        <w:gridCol w:w="2835"/>
      </w:tblGrid>
      <w:tr w:rsidR="00D728CA" w:rsidRPr="000C5A1A" w14:paraId="213EDE63" w14:textId="77777777" w:rsidTr="001236DF">
        <w:trPr>
          <w:cantSplit/>
        </w:trPr>
        <w:tc>
          <w:tcPr>
            <w:tcW w:w="1758" w:type="dxa"/>
            <w:tcBorders>
              <w:top w:val="single" w:sz="4" w:space="0" w:color="A6A6A6" w:themeColor="background1" w:themeShade="A6"/>
              <w:bottom w:val="single" w:sz="4" w:space="0" w:color="A6A6A6" w:themeColor="background1" w:themeShade="A6"/>
            </w:tcBorders>
            <w:shd w:val="clear" w:color="auto" w:fill="auto"/>
          </w:tcPr>
          <w:p w14:paraId="7A017184" w14:textId="043702FD" w:rsidR="00D728CA" w:rsidRPr="00D728CA" w:rsidRDefault="00D728CA" w:rsidP="00D728CA">
            <w:pPr>
              <w:pStyle w:val="TableText"/>
              <w:rPr>
                <w:b/>
                <w:bCs/>
              </w:rPr>
            </w:pPr>
            <w:r w:rsidRPr="00D728CA">
              <w:rPr>
                <w:b/>
                <w:bCs/>
              </w:rPr>
              <w:t>Section 29</w:t>
            </w:r>
          </w:p>
        </w:tc>
        <w:tc>
          <w:tcPr>
            <w:tcW w:w="3544" w:type="dxa"/>
            <w:shd w:val="clear" w:color="auto" w:fill="auto"/>
          </w:tcPr>
          <w:p w14:paraId="246CDB14" w14:textId="212299C9" w:rsidR="00D728CA" w:rsidRPr="000C5A1A" w:rsidRDefault="00D728CA" w:rsidP="00D728CA">
            <w:pPr>
              <w:pStyle w:val="TableText"/>
              <w:ind w:right="113"/>
            </w:pPr>
            <w:r w:rsidRPr="00D22154">
              <w:t>4,608 people were subject to a community treatment order.</w:t>
            </w:r>
          </w:p>
        </w:tc>
        <w:tc>
          <w:tcPr>
            <w:tcW w:w="2835" w:type="dxa"/>
            <w:shd w:val="clear" w:color="auto" w:fill="auto"/>
          </w:tcPr>
          <w:p w14:paraId="7F1D4722" w14:textId="0BE4FA35" w:rsidR="00D728CA" w:rsidRPr="000C5A1A" w:rsidRDefault="00D728CA" w:rsidP="00D728CA">
            <w:pPr>
              <w:pStyle w:val="TableText"/>
            </w:pPr>
            <w:r w:rsidRPr="00D22154">
              <w:t>90 people per 100,000 population</w:t>
            </w:r>
          </w:p>
        </w:tc>
      </w:tr>
      <w:tr w:rsidR="00D728CA" w:rsidRPr="000C5A1A" w14:paraId="5838CB92" w14:textId="77777777" w:rsidTr="001236DF">
        <w:trPr>
          <w:cantSplit/>
        </w:trPr>
        <w:tc>
          <w:tcPr>
            <w:tcW w:w="1758" w:type="dxa"/>
            <w:tcBorders>
              <w:top w:val="single" w:sz="4" w:space="0" w:color="A6A6A6" w:themeColor="background1" w:themeShade="A6"/>
              <w:bottom w:val="single" w:sz="4" w:space="0" w:color="A6A6A6" w:themeColor="background1" w:themeShade="A6"/>
            </w:tcBorders>
            <w:shd w:val="clear" w:color="auto" w:fill="auto"/>
          </w:tcPr>
          <w:p w14:paraId="03E63956" w14:textId="68F30895" w:rsidR="00D728CA" w:rsidRPr="00D728CA" w:rsidRDefault="00D728CA" w:rsidP="00D728CA">
            <w:pPr>
              <w:pStyle w:val="TableText"/>
              <w:rPr>
                <w:b/>
                <w:bCs/>
              </w:rPr>
            </w:pPr>
            <w:r w:rsidRPr="00D728CA">
              <w:rPr>
                <w:b/>
                <w:bCs/>
              </w:rPr>
              <w:t>Section 30</w:t>
            </w:r>
          </w:p>
        </w:tc>
        <w:tc>
          <w:tcPr>
            <w:tcW w:w="3544" w:type="dxa"/>
            <w:shd w:val="clear" w:color="auto" w:fill="auto"/>
          </w:tcPr>
          <w:p w14:paraId="323242A7" w14:textId="6C6329B4" w:rsidR="00D728CA" w:rsidRPr="000C5A1A" w:rsidRDefault="00D728CA" w:rsidP="00D728CA">
            <w:pPr>
              <w:pStyle w:val="TableText"/>
              <w:ind w:right="113"/>
            </w:pPr>
            <w:r w:rsidRPr="00D22154">
              <w:t>673 people were subject to an inpatient treatment order.</w:t>
            </w:r>
          </w:p>
        </w:tc>
        <w:tc>
          <w:tcPr>
            <w:tcW w:w="2835" w:type="dxa"/>
            <w:shd w:val="clear" w:color="auto" w:fill="auto"/>
          </w:tcPr>
          <w:p w14:paraId="4D33D32A" w14:textId="4E5A77FB" w:rsidR="00D728CA" w:rsidRPr="000C5A1A" w:rsidRDefault="00D728CA" w:rsidP="00D728CA">
            <w:pPr>
              <w:pStyle w:val="TableText"/>
            </w:pPr>
            <w:r w:rsidRPr="00D22154">
              <w:t>13 people per 100,000 population</w:t>
            </w:r>
          </w:p>
        </w:tc>
      </w:tr>
      <w:tr w:rsidR="00D728CA" w:rsidRPr="000C5A1A" w14:paraId="3A0B1A87" w14:textId="77777777" w:rsidTr="001236DF">
        <w:trPr>
          <w:cantSplit/>
        </w:trPr>
        <w:tc>
          <w:tcPr>
            <w:tcW w:w="1758" w:type="dxa"/>
            <w:tcBorders>
              <w:top w:val="single" w:sz="4" w:space="0" w:color="A6A6A6" w:themeColor="background1" w:themeShade="A6"/>
              <w:bottom w:val="single" w:sz="4" w:space="0" w:color="A6A6A6" w:themeColor="background1" w:themeShade="A6"/>
            </w:tcBorders>
            <w:shd w:val="clear" w:color="auto" w:fill="auto"/>
          </w:tcPr>
          <w:p w14:paraId="15E68DA9" w14:textId="00B8DF36" w:rsidR="00D728CA" w:rsidRPr="00D728CA" w:rsidRDefault="00D728CA" w:rsidP="00D728CA">
            <w:pPr>
              <w:pStyle w:val="TableText"/>
              <w:rPr>
                <w:b/>
                <w:bCs/>
              </w:rPr>
            </w:pPr>
            <w:r w:rsidRPr="00D728CA">
              <w:rPr>
                <w:b/>
                <w:bCs/>
              </w:rPr>
              <w:t>Section 31</w:t>
            </w:r>
          </w:p>
        </w:tc>
        <w:tc>
          <w:tcPr>
            <w:tcW w:w="3544" w:type="dxa"/>
            <w:shd w:val="clear" w:color="auto" w:fill="auto"/>
          </w:tcPr>
          <w:p w14:paraId="48D55C45" w14:textId="140EA969" w:rsidR="00D728CA" w:rsidRPr="00EC625C" w:rsidRDefault="00D728CA" w:rsidP="00D728CA">
            <w:pPr>
              <w:pStyle w:val="TableText"/>
              <w:ind w:right="113"/>
              <w:rPr>
                <w:spacing w:val="-2"/>
              </w:rPr>
            </w:pPr>
            <w:r w:rsidRPr="00D22154">
              <w:t xml:space="preserve">146 people were on temporary leave from an inpatient unit. </w:t>
            </w:r>
          </w:p>
        </w:tc>
        <w:tc>
          <w:tcPr>
            <w:tcW w:w="2835" w:type="dxa"/>
            <w:shd w:val="clear" w:color="auto" w:fill="auto"/>
          </w:tcPr>
          <w:p w14:paraId="3C418EAB" w14:textId="5A2E7BE9" w:rsidR="00D728CA" w:rsidRPr="000C5A1A" w:rsidRDefault="00D728CA" w:rsidP="00D728CA">
            <w:pPr>
              <w:pStyle w:val="TableText"/>
            </w:pPr>
            <w:r w:rsidRPr="00D22154">
              <w:t>3 people per 100,000 population</w:t>
            </w:r>
          </w:p>
        </w:tc>
      </w:tr>
    </w:tbl>
    <w:p w14:paraId="4E26CBBB" w14:textId="77777777" w:rsidR="00D728CA" w:rsidRPr="00D728CA" w:rsidRDefault="00D728CA" w:rsidP="0016455D">
      <w:pPr>
        <w:pStyle w:val="Source"/>
        <w:rPr>
          <w:rFonts w:eastAsia="Arial Unicode MS"/>
        </w:rPr>
      </w:pPr>
      <w:r w:rsidRPr="00D728CA">
        <w:rPr>
          <w:rFonts w:eastAsia="Arial Unicode MS"/>
        </w:rPr>
        <w:t>Note: ‘On an average day’ is the average of the last day of each month.</w:t>
      </w:r>
    </w:p>
    <w:p w14:paraId="13C14F07" w14:textId="36B9BA3D" w:rsidR="00D728CA" w:rsidRDefault="00D728CA" w:rsidP="0016455D">
      <w:pPr>
        <w:pStyle w:val="Source"/>
        <w:rPr>
          <w:rFonts w:eastAsia="Arial Unicode MS"/>
        </w:rPr>
      </w:pPr>
      <w:r w:rsidRPr="00D728CA">
        <w:rPr>
          <w:rFonts w:eastAsia="Arial Unicode MS"/>
        </w:rPr>
        <w:t>Sources: PRIMHD data (extracted 3 June 2022) and manual data from Auckland and Lakes DHBs.</w:t>
      </w:r>
    </w:p>
    <w:p w14:paraId="0E2A74E1" w14:textId="0DD2907E" w:rsidR="0016455D" w:rsidRDefault="0016455D" w:rsidP="0016455D">
      <w:pPr>
        <w:rPr>
          <w:rFonts w:eastAsia="Arial Unicode MS"/>
        </w:rPr>
      </w:pPr>
    </w:p>
    <w:p w14:paraId="61FDE074" w14:textId="5DFCCE20" w:rsidR="0016455D" w:rsidRDefault="0016455D" w:rsidP="0016455D">
      <w:pPr>
        <w:rPr>
          <w:rFonts w:eastAsia="Arial Unicode MS"/>
        </w:rPr>
      </w:pPr>
      <w:r w:rsidRPr="0016455D">
        <w:rPr>
          <w:rFonts w:eastAsia="Arial Unicode MS"/>
        </w:rPr>
        <w:t>Figure 1 shows that the number of compulsory treatment orders and extensions that clinicians have applied for and that the courts have granted since 2004/05. It also shows the number of applications that were dismissed or withdrawn.</w:t>
      </w:r>
    </w:p>
    <w:p w14:paraId="467C8F8B" w14:textId="339BB33E" w:rsidR="0016455D" w:rsidRDefault="0016455D" w:rsidP="0016455D">
      <w:pPr>
        <w:rPr>
          <w:rFonts w:eastAsia="Arial Unicode MS"/>
        </w:rPr>
      </w:pPr>
    </w:p>
    <w:p w14:paraId="441B8E51" w14:textId="5049FE0C" w:rsidR="0016455D" w:rsidRDefault="0016455D" w:rsidP="0016455D">
      <w:pPr>
        <w:pStyle w:val="Figure"/>
      </w:pPr>
      <w:bookmarkStart w:id="9" w:name="_Ref85553600"/>
      <w:bookmarkStart w:id="10" w:name="_Toc85442559"/>
      <w:bookmarkStart w:id="11" w:name="_Toc85445899"/>
      <w:bookmarkStart w:id="12" w:name="_Toc87429950"/>
      <w:bookmarkStart w:id="13" w:name="_Toc88561382"/>
      <w:bookmarkStart w:id="14" w:name="_Toc115188840"/>
      <w:bookmarkStart w:id="15" w:name="_Toc115272542"/>
      <w:r>
        <w:t>Figure </w:t>
      </w:r>
      <w:fldSimple w:instr=" SEQ Figure \* ARABIC ">
        <w:r w:rsidR="009A04B0">
          <w:rPr>
            <w:noProof/>
          </w:rPr>
          <w:t>1</w:t>
        </w:r>
      </w:fldSimple>
      <w:bookmarkEnd w:id="9"/>
      <w:r>
        <w:t xml:space="preserve">: </w:t>
      </w:r>
      <w:r w:rsidRPr="00A54523">
        <w:t>Applications and outcomes for compulsory treatment orders and extensions, 2004</w:t>
      </w:r>
      <w:bookmarkEnd w:id="10"/>
      <w:bookmarkEnd w:id="11"/>
      <w:bookmarkEnd w:id="12"/>
      <w:bookmarkEnd w:id="13"/>
      <w:r w:rsidRPr="00A54523">
        <w:t>/05</w:t>
      </w:r>
      <w:r>
        <w:t>–</w:t>
      </w:r>
      <w:r w:rsidRPr="00A54523">
        <w:t>2020/21</w:t>
      </w:r>
      <w:bookmarkEnd w:id="14"/>
      <w:bookmarkEnd w:id="15"/>
    </w:p>
    <w:p w14:paraId="702F9091" w14:textId="77777777" w:rsidR="0016455D" w:rsidRDefault="0016455D" w:rsidP="0016455D">
      <w:r>
        <w:rPr>
          <w:noProof/>
        </w:rPr>
        <w:drawing>
          <wp:inline distT="0" distB="0" distL="0" distR="0" wp14:anchorId="3C16A344" wp14:editId="68048C2E">
            <wp:extent cx="5673090" cy="2924175"/>
            <wp:effectExtent l="0" t="0" r="0" b="0"/>
            <wp:docPr id="36" name="Chart 36" descr="This line graph shows that the total number of applications has gradually risen from around 4400 in 2004/05 to around 5900 in the 2020/21. The number of granted applications has risen at a similar rate from around 3800 in 2004/05 to 5200 in 2020/21, and the number of dismissed applications has ranged between 60 to 100 throughout this time. The number of withdrawn applications has risen from 496 to 608 from 2004/05 to 2020/21.">
              <a:extLst xmlns:a="http://schemas.openxmlformats.org/drawingml/2006/main">
                <a:ext uri="{FF2B5EF4-FFF2-40B4-BE49-F238E27FC236}">
                  <a16:creationId xmlns:a16="http://schemas.microsoft.com/office/drawing/2014/main" id="{10990F1E-3299-4CF8-81D1-2FEF138744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BC9EE07" w14:textId="77777777" w:rsidR="0016455D" w:rsidRPr="00200234" w:rsidRDefault="0016455D" w:rsidP="0016455D">
      <w:pPr>
        <w:pStyle w:val="Source"/>
        <w:rPr>
          <w:rFonts w:eastAsia="MS Gothic"/>
        </w:rPr>
      </w:pPr>
      <w:r w:rsidRPr="00200234">
        <w:rPr>
          <w:rFonts w:eastAsia="MS Gothic"/>
        </w:rPr>
        <w:t>Notes: This</w:t>
      </w:r>
      <w:r>
        <w:rPr>
          <w:rFonts w:eastAsia="MS Gothic"/>
        </w:rPr>
        <w:t xml:space="preserve"> figure represents data entered</w:t>
      </w:r>
      <w:r w:rsidRPr="00200234">
        <w:rPr>
          <w:rFonts w:eastAsia="MS Gothic"/>
        </w:rPr>
        <w:t xml:space="preserve"> into the case management system (CMS). The CMS is a live operational database. Figures are subject to minor changes at any time.</w:t>
      </w:r>
    </w:p>
    <w:p w14:paraId="3CBD7D5A" w14:textId="77777777" w:rsidR="0016455D" w:rsidRDefault="0016455D" w:rsidP="0016455D">
      <w:pPr>
        <w:pStyle w:val="Source"/>
        <w:rPr>
          <w:rFonts w:eastAsia="MS Gothic"/>
        </w:rPr>
      </w:pPr>
      <w:r w:rsidRPr="00200234">
        <w:rPr>
          <w:rFonts w:eastAsia="MS Gothic"/>
        </w:rPr>
        <w:t xml:space="preserve">Source: Ministry of Justice Integrated Sector Intelligence System as at </w:t>
      </w:r>
      <w:r>
        <w:rPr>
          <w:rFonts w:eastAsia="MS Gothic"/>
        </w:rPr>
        <w:t>9 May 2022.</w:t>
      </w:r>
    </w:p>
    <w:p w14:paraId="4C7EB472" w14:textId="77777777" w:rsidR="0016455D" w:rsidRDefault="0016455D" w:rsidP="0016455D">
      <w:pPr>
        <w:rPr>
          <w:rFonts w:eastAsia="MS Gothic"/>
        </w:rPr>
      </w:pPr>
    </w:p>
    <w:p w14:paraId="33DD4F95" w14:textId="77777777" w:rsidR="0016455D" w:rsidRDefault="0016455D" w:rsidP="0016455D">
      <w:pPr>
        <w:rPr>
          <w:rFonts w:eastAsia="MS Gothic"/>
        </w:rPr>
      </w:pPr>
      <w:r>
        <w:rPr>
          <w:rFonts w:eastAsia="MS Gothic"/>
        </w:rPr>
        <w:t xml:space="preserve">The gap between the number of community-based compulsory treatment orders and the number of inpatient compulsory treatment orders appears to be increasing slowly over time. </w:t>
      </w:r>
      <w:r>
        <w:t>Figure </w:t>
      </w:r>
      <w:r>
        <w:rPr>
          <w:noProof/>
        </w:rPr>
        <w:t>2</w:t>
      </w:r>
      <w:r>
        <w:rPr>
          <w:rFonts w:eastAsia="MS Gothic"/>
        </w:rPr>
        <w:t xml:space="preserve"> shows the number of applications for community and inpatient compulsory treatment orders that courts have granted since 2004/05.</w:t>
      </w:r>
    </w:p>
    <w:p w14:paraId="4C42DC9F" w14:textId="77777777" w:rsidR="0016455D" w:rsidRPr="008161EE" w:rsidRDefault="0016455D" w:rsidP="0016455D">
      <w:pPr>
        <w:rPr>
          <w:rFonts w:eastAsia="MS Gothic"/>
        </w:rPr>
      </w:pPr>
    </w:p>
    <w:p w14:paraId="484C734E" w14:textId="42A930D4" w:rsidR="0016455D" w:rsidRDefault="0016455D" w:rsidP="0016455D">
      <w:pPr>
        <w:pStyle w:val="Figure"/>
      </w:pPr>
      <w:bookmarkStart w:id="16" w:name="_Ref84315731"/>
      <w:bookmarkStart w:id="17" w:name="_Toc85442560"/>
      <w:bookmarkStart w:id="18" w:name="_Toc85445900"/>
      <w:bookmarkStart w:id="19" w:name="_Toc87429951"/>
      <w:bookmarkStart w:id="20" w:name="_Toc88561383"/>
      <w:bookmarkStart w:id="21" w:name="_Toc115188841"/>
      <w:bookmarkStart w:id="22" w:name="_Toc115272543"/>
      <w:r>
        <w:lastRenderedPageBreak/>
        <w:t>Figure </w:t>
      </w:r>
      <w:fldSimple w:instr=" SEQ Figure \* ARABIC ">
        <w:r w:rsidR="009A04B0">
          <w:rPr>
            <w:noProof/>
          </w:rPr>
          <w:t>2</w:t>
        </w:r>
      </w:fldSimple>
      <w:bookmarkEnd w:id="16"/>
      <w:r>
        <w:t xml:space="preserve">: </w:t>
      </w:r>
      <w:r w:rsidRPr="00E55454">
        <w:t>Number of granted compulsory treatment orders and extensions, community and inpatient, 2004</w:t>
      </w:r>
      <w:bookmarkEnd w:id="17"/>
      <w:bookmarkEnd w:id="18"/>
      <w:bookmarkEnd w:id="19"/>
      <w:bookmarkEnd w:id="20"/>
      <w:r w:rsidRPr="00E55454">
        <w:t>/05</w:t>
      </w:r>
      <w:r>
        <w:t>–</w:t>
      </w:r>
      <w:r w:rsidRPr="00E55454">
        <w:t>2020/21</w:t>
      </w:r>
      <w:bookmarkEnd w:id="21"/>
      <w:bookmarkEnd w:id="22"/>
    </w:p>
    <w:p w14:paraId="37F05320" w14:textId="77777777" w:rsidR="0016455D" w:rsidRDefault="0016455D" w:rsidP="0016455D">
      <w:r>
        <w:rPr>
          <w:noProof/>
        </w:rPr>
        <w:drawing>
          <wp:inline distT="0" distB="0" distL="0" distR="0" wp14:anchorId="166CF33C" wp14:editId="36E80917">
            <wp:extent cx="5655310" cy="2905125"/>
            <wp:effectExtent l="0" t="0" r="0" b="0"/>
            <wp:docPr id="42" name="Chart 42" descr="This line graph shows that the number of granted applications for community treatment orders has risen from around 1800 in 2004/05 to 3000 in 2020/21, with a slight dip in 2017/18 of 2600. The number of granted inpatient orders has risen from around 1600 in 2004/05 to 1900 in 2020/21.">
              <a:extLst xmlns:a="http://schemas.openxmlformats.org/drawingml/2006/main">
                <a:ext uri="{FF2B5EF4-FFF2-40B4-BE49-F238E27FC236}">
                  <a16:creationId xmlns:a16="http://schemas.microsoft.com/office/drawing/2014/main" id="{24CF580E-D83C-43E7-9B34-E60E618578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9B1B9A9" w14:textId="77777777" w:rsidR="0016455D" w:rsidRPr="00200234" w:rsidRDefault="0016455D" w:rsidP="0016455D">
      <w:pPr>
        <w:pStyle w:val="Note"/>
        <w:rPr>
          <w:rFonts w:eastAsia="MS Gothic"/>
        </w:rPr>
      </w:pPr>
      <w:r w:rsidRPr="00200234">
        <w:rPr>
          <w:rFonts w:eastAsia="MS Gothic"/>
        </w:rPr>
        <w:t xml:space="preserve">Notes: </w:t>
      </w:r>
      <w:r>
        <w:rPr>
          <w:rFonts w:eastAsia="MS Gothic"/>
        </w:rPr>
        <w:t xml:space="preserve">CTO = compulsory treatment order. </w:t>
      </w:r>
      <w:r w:rsidRPr="00200234">
        <w:rPr>
          <w:rFonts w:eastAsia="MS Gothic"/>
        </w:rPr>
        <w:t>This</w:t>
      </w:r>
      <w:r>
        <w:rPr>
          <w:rFonts w:eastAsia="MS Gothic"/>
        </w:rPr>
        <w:t xml:space="preserve"> figure represents data entered</w:t>
      </w:r>
      <w:r w:rsidRPr="00200234">
        <w:rPr>
          <w:rFonts w:eastAsia="MS Gothic"/>
        </w:rPr>
        <w:t xml:space="preserve"> into the case management system (CMS). The CMS is a live operational database. Figures are subject to minor changes at any time.</w:t>
      </w:r>
    </w:p>
    <w:p w14:paraId="522C435D" w14:textId="77777777" w:rsidR="0016455D" w:rsidRDefault="0016455D" w:rsidP="0016455D">
      <w:pPr>
        <w:pStyle w:val="Source"/>
        <w:rPr>
          <w:rFonts w:eastAsia="MS Gothic"/>
        </w:rPr>
      </w:pPr>
      <w:r w:rsidRPr="00200234">
        <w:rPr>
          <w:rFonts w:eastAsia="MS Gothic"/>
        </w:rPr>
        <w:t xml:space="preserve">Source: Ministry of Justice Integrated Sector Intelligence System as at </w:t>
      </w:r>
      <w:r>
        <w:rPr>
          <w:rFonts w:eastAsia="MS Gothic"/>
        </w:rPr>
        <w:t>9 May 2022.</w:t>
      </w:r>
    </w:p>
    <w:p w14:paraId="07211EC1" w14:textId="77777777" w:rsidR="0016455D" w:rsidRPr="00200234" w:rsidRDefault="0016455D" w:rsidP="0016455D">
      <w:pPr>
        <w:pStyle w:val="Heading2"/>
      </w:pPr>
      <w:bookmarkStart w:id="23" w:name="_Toc65141614"/>
      <w:bookmarkStart w:id="24" w:name="_Toc75176437"/>
      <w:bookmarkStart w:id="25" w:name="_Toc87429901"/>
      <w:bookmarkStart w:id="26" w:name="_Toc88826949"/>
      <w:bookmarkStart w:id="27" w:name="_Toc115188799"/>
      <w:bookmarkStart w:id="28" w:name="_Toc115431697"/>
      <w:r w:rsidRPr="00200234">
        <w:t xml:space="preserve">Comparing compulsory assessment and treatment among </w:t>
      </w:r>
      <w:bookmarkEnd w:id="23"/>
      <w:r w:rsidRPr="00200234">
        <w:t>DHBs</w:t>
      </w:r>
      <w:bookmarkEnd w:id="24"/>
      <w:bookmarkEnd w:id="25"/>
      <w:bookmarkEnd w:id="26"/>
      <w:bookmarkEnd w:id="27"/>
      <w:bookmarkEnd w:id="28"/>
    </w:p>
    <w:p w14:paraId="1CA58F08" w14:textId="77777777" w:rsidR="0016455D" w:rsidRPr="00200234" w:rsidRDefault="0016455D" w:rsidP="0016455D">
      <w:r>
        <w:t>Table </w:t>
      </w:r>
      <w:r>
        <w:rPr>
          <w:noProof/>
        </w:rPr>
        <w:t>1</w:t>
      </w:r>
      <w:r w:rsidRPr="00200234">
        <w:t xml:space="preserve"> show</w:t>
      </w:r>
      <w:r>
        <w:t>s</w:t>
      </w:r>
      <w:r w:rsidRPr="00200234">
        <w:t xml:space="preserve"> the average number of people per month </w:t>
      </w:r>
      <w:r>
        <w:t>from 1 July 2020 to 30 June 2021</w:t>
      </w:r>
      <w:r w:rsidRPr="00200234">
        <w:t xml:space="preserve"> who were required to undergo assessment under the Mental Health Act in each </w:t>
      </w:r>
      <w:r>
        <w:t>district health board (</w:t>
      </w:r>
      <w:r w:rsidRPr="00200234">
        <w:t>DHB</w:t>
      </w:r>
      <w:r>
        <w:t>)</w:t>
      </w:r>
      <w:r w:rsidRPr="00200234">
        <w:t xml:space="preserve">. </w:t>
      </w:r>
      <w:r w:rsidRPr="00B20D4C">
        <w:t>Table </w:t>
      </w:r>
      <w:r>
        <w:rPr>
          <w:noProof/>
        </w:rPr>
        <w:t>2</w:t>
      </w:r>
      <w:r>
        <w:t xml:space="preserve"> </w:t>
      </w:r>
      <w:r w:rsidRPr="00200234">
        <w:t>show</w:t>
      </w:r>
      <w:r>
        <w:t>s</w:t>
      </w:r>
      <w:r w:rsidRPr="00200234">
        <w:t xml:space="preserve"> the average number of people subject to a compulsory treatment order on a given day in </w:t>
      </w:r>
      <w:r>
        <w:t>the same period</w:t>
      </w:r>
      <w:r w:rsidRPr="00200234">
        <w:t xml:space="preserve"> in each DHB. </w:t>
      </w:r>
      <w:r>
        <w:t>The figures that follow</w:t>
      </w:r>
      <w:r w:rsidRPr="00200234">
        <w:t xml:space="preserve"> present the average number of people subject to a compulsory treatment order on a given day, focusing specifically on either community treatment orders</w:t>
      </w:r>
      <w:r>
        <w:t xml:space="preserve"> (Figure 3)</w:t>
      </w:r>
      <w:r w:rsidRPr="00200234">
        <w:t xml:space="preserve"> or inpatient treatment orders</w:t>
      </w:r>
      <w:r>
        <w:t xml:space="preserve"> (Figure 4)</w:t>
      </w:r>
      <w:r w:rsidRPr="00200234">
        <w:t>.</w:t>
      </w:r>
    </w:p>
    <w:p w14:paraId="77383301" w14:textId="1773D353" w:rsidR="0016455D" w:rsidRDefault="0016455D" w:rsidP="0016455D">
      <w:pPr>
        <w:rPr>
          <w:rFonts w:eastAsia="Arial Unicode MS"/>
        </w:rPr>
      </w:pPr>
    </w:p>
    <w:p w14:paraId="091649D1" w14:textId="51719080" w:rsidR="0016455D" w:rsidRDefault="0016455D" w:rsidP="0016455D">
      <w:pPr>
        <w:pStyle w:val="Table"/>
      </w:pPr>
      <w:bookmarkStart w:id="29" w:name="_Ref85553658"/>
      <w:bookmarkStart w:id="30" w:name="_Toc87429999"/>
      <w:bookmarkStart w:id="31" w:name="_Toc88561356"/>
      <w:bookmarkStart w:id="32" w:name="_Toc115188890"/>
      <w:bookmarkStart w:id="33" w:name="_Toc115272593"/>
      <w:r>
        <w:lastRenderedPageBreak/>
        <w:t>Table </w:t>
      </w:r>
      <w:fldSimple w:instr=" SEQ Table \* ARABIC ">
        <w:r w:rsidR="009A04B0">
          <w:rPr>
            <w:noProof/>
          </w:rPr>
          <w:t>1</w:t>
        </w:r>
      </w:fldSimple>
      <w:bookmarkEnd w:id="29"/>
      <w:r w:rsidRPr="00B20D4C">
        <w:t xml:space="preserve">: Average number of people each month required to undergo assessment under section 11, 13 </w:t>
      </w:r>
      <w:r>
        <w:t>or</w:t>
      </w:r>
      <w:r w:rsidRPr="00B20D4C">
        <w:t xml:space="preserve"> 14(4) of the Mental Health Act per 100,000 population, by DHB, 1 July 2020 to 30 </w:t>
      </w:r>
      <w:bookmarkEnd w:id="30"/>
      <w:bookmarkEnd w:id="31"/>
      <w:r w:rsidRPr="00B20D4C">
        <w:t>June 2021</w:t>
      </w:r>
      <w:bookmarkEnd w:id="32"/>
      <w:bookmarkEnd w:id="33"/>
    </w:p>
    <w:tbl>
      <w:tblPr>
        <w:tblW w:w="8082"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843"/>
        <w:gridCol w:w="638"/>
        <w:gridCol w:w="638"/>
        <w:gridCol w:w="850"/>
        <w:gridCol w:w="426"/>
        <w:gridCol w:w="1843"/>
        <w:gridCol w:w="567"/>
        <w:gridCol w:w="568"/>
        <w:gridCol w:w="709"/>
      </w:tblGrid>
      <w:tr w:rsidR="0016455D" w:rsidRPr="00200234" w14:paraId="6329EED1" w14:textId="77777777" w:rsidTr="001236DF">
        <w:trPr>
          <w:cantSplit/>
          <w:tblHeader/>
        </w:trPr>
        <w:tc>
          <w:tcPr>
            <w:tcW w:w="1843" w:type="dxa"/>
            <w:tcBorders>
              <w:top w:val="nil"/>
              <w:bottom w:val="nil"/>
            </w:tcBorders>
            <w:shd w:val="clear" w:color="auto" w:fill="D9D9D9" w:themeFill="background1" w:themeFillShade="D9"/>
          </w:tcPr>
          <w:p w14:paraId="371A998A" w14:textId="77777777" w:rsidR="0016455D" w:rsidRPr="00200234" w:rsidRDefault="0016455D" w:rsidP="001236DF">
            <w:pPr>
              <w:pStyle w:val="TableText"/>
              <w:keepNext/>
              <w:spacing w:before="55" w:after="55"/>
              <w:rPr>
                <w:rFonts w:cs="Segoe UI"/>
                <w:b/>
              </w:rPr>
            </w:pPr>
            <w:r w:rsidRPr="00200234">
              <w:rPr>
                <w:rFonts w:cs="Segoe UI"/>
                <w:b/>
              </w:rPr>
              <w:t>DHB</w:t>
            </w:r>
          </w:p>
        </w:tc>
        <w:tc>
          <w:tcPr>
            <w:tcW w:w="638" w:type="dxa"/>
            <w:tcBorders>
              <w:top w:val="nil"/>
              <w:bottom w:val="nil"/>
            </w:tcBorders>
            <w:shd w:val="clear" w:color="auto" w:fill="D9D9D9" w:themeFill="background1" w:themeFillShade="D9"/>
          </w:tcPr>
          <w:p w14:paraId="128108F8" w14:textId="77777777" w:rsidR="0016455D" w:rsidRPr="00200234" w:rsidRDefault="0016455D" w:rsidP="001236DF">
            <w:pPr>
              <w:pStyle w:val="TableText"/>
              <w:keepNext/>
              <w:spacing w:before="55" w:after="55"/>
              <w:jc w:val="center"/>
              <w:rPr>
                <w:rFonts w:cs="Segoe UI"/>
                <w:b/>
              </w:rPr>
            </w:pPr>
            <w:r w:rsidRPr="00200234">
              <w:rPr>
                <w:rFonts w:cs="Segoe UI"/>
                <w:b/>
              </w:rPr>
              <w:t>s 11</w:t>
            </w:r>
          </w:p>
        </w:tc>
        <w:tc>
          <w:tcPr>
            <w:tcW w:w="638" w:type="dxa"/>
            <w:tcBorders>
              <w:top w:val="nil"/>
              <w:bottom w:val="nil"/>
            </w:tcBorders>
            <w:shd w:val="clear" w:color="auto" w:fill="D9D9D9" w:themeFill="background1" w:themeFillShade="D9"/>
          </w:tcPr>
          <w:p w14:paraId="7B41D0A8" w14:textId="77777777" w:rsidR="0016455D" w:rsidRPr="00200234" w:rsidRDefault="0016455D" w:rsidP="001236DF">
            <w:pPr>
              <w:pStyle w:val="TableText"/>
              <w:keepNext/>
              <w:spacing w:before="55" w:after="55"/>
              <w:jc w:val="center"/>
              <w:rPr>
                <w:rFonts w:cs="Segoe UI"/>
                <w:b/>
              </w:rPr>
            </w:pPr>
            <w:r w:rsidRPr="00200234">
              <w:rPr>
                <w:rFonts w:cs="Segoe UI"/>
                <w:b/>
              </w:rPr>
              <w:t>s 13</w:t>
            </w:r>
          </w:p>
        </w:tc>
        <w:tc>
          <w:tcPr>
            <w:tcW w:w="850" w:type="dxa"/>
            <w:tcBorders>
              <w:top w:val="nil"/>
              <w:bottom w:val="nil"/>
            </w:tcBorders>
            <w:shd w:val="clear" w:color="auto" w:fill="D9D9D9" w:themeFill="background1" w:themeFillShade="D9"/>
          </w:tcPr>
          <w:p w14:paraId="26EEB093" w14:textId="77777777" w:rsidR="0016455D" w:rsidRPr="00200234" w:rsidRDefault="0016455D" w:rsidP="001236DF">
            <w:pPr>
              <w:pStyle w:val="TableText"/>
              <w:keepNext/>
              <w:spacing w:before="55" w:after="55"/>
              <w:jc w:val="center"/>
              <w:rPr>
                <w:rFonts w:cs="Segoe UI"/>
                <w:b/>
              </w:rPr>
            </w:pPr>
            <w:r w:rsidRPr="00200234">
              <w:rPr>
                <w:rFonts w:cs="Segoe UI"/>
                <w:b/>
              </w:rPr>
              <w:t>s 14(4)</w:t>
            </w:r>
          </w:p>
        </w:tc>
        <w:tc>
          <w:tcPr>
            <w:tcW w:w="426" w:type="dxa"/>
            <w:tcBorders>
              <w:top w:val="nil"/>
              <w:bottom w:val="nil"/>
            </w:tcBorders>
            <w:shd w:val="clear" w:color="auto" w:fill="auto"/>
          </w:tcPr>
          <w:p w14:paraId="2DF8AE7A" w14:textId="77777777" w:rsidR="0016455D" w:rsidRPr="00200234" w:rsidRDefault="0016455D" w:rsidP="001236DF">
            <w:pPr>
              <w:pStyle w:val="TableText"/>
              <w:keepNext/>
              <w:spacing w:before="55" w:after="55"/>
              <w:jc w:val="center"/>
              <w:rPr>
                <w:rFonts w:cs="Segoe UI"/>
                <w:b/>
              </w:rPr>
            </w:pPr>
          </w:p>
        </w:tc>
        <w:tc>
          <w:tcPr>
            <w:tcW w:w="1843" w:type="dxa"/>
            <w:tcBorders>
              <w:top w:val="nil"/>
              <w:bottom w:val="nil"/>
            </w:tcBorders>
            <w:shd w:val="clear" w:color="auto" w:fill="D9D9D9" w:themeFill="background1" w:themeFillShade="D9"/>
          </w:tcPr>
          <w:p w14:paraId="384A4534" w14:textId="77777777" w:rsidR="0016455D" w:rsidRPr="00200234" w:rsidRDefault="0016455D" w:rsidP="001236DF">
            <w:pPr>
              <w:pStyle w:val="TableText"/>
              <w:keepNext/>
              <w:spacing w:before="55" w:after="55"/>
              <w:rPr>
                <w:rFonts w:cs="Segoe UI"/>
                <w:b/>
              </w:rPr>
            </w:pPr>
            <w:r w:rsidRPr="00200234">
              <w:rPr>
                <w:rFonts w:cs="Segoe UI"/>
                <w:b/>
              </w:rPr>
              <w:t>DHB</w:t>
            </w:r>
          </w:p>
        </w:tc>
        <w:tc>
          <w:tcPr>
            <w:tcW w:w="567" w:type="dxa"/>
            <w:tcBorders>
              <w:top w:val="nil"/>
              <w:bottom w:val="nil"/>
            </w:tcBorders>
            <w:shd w:val="clear" w:color="auto" w:fill="D9D9D9" w:themeFill="background1" w:themeFillShade="D9"/>
          </w:tcPr>
          <w:p w14:paraId="144DAF4A" w14:textId="77777777" w:rsidR="0016455D" w:rsidRPr="00200234" w:rsidRDefault="0016455D" w:rsidP="001236DF">
            <w:pPr>
              <w:pStyle w:val="TableText"/>
              <w:keepNext/>
              <w:spacing w:before="55" w:after="55"/>
              <w:jc w:val="center"/>
              <w:rPr>
                <w:rFonts w:cs="Segoe UI"/>
                <w:b/>
              </w:rPr>
            </w:pPr>
            <w:r w:rsidRPr="00200234">
              <w:rPr>
                <w:rFonts w:cs="Segoe UI"/>
                <w:b/>
              </w:rPr>
              <w:t>s 11</w:t>
            </w:r>
          </w:p>
        </w:tc>
        <w:tc>
          <w:tcPr>
            <w:tcW w:w="568" w:type="dxa"/>
            <w:tcBorders>
              <w:top w:val="nil"/>
              <w:bottom w:val="nil"/>
            </w:tcBorders>
            <w:shd w:val="clear" w:color="auto" w:fill="D9D9D9" w:themeFill="background1" w:themeFillShade="D9"/>
          </w:tcPr>
          <w:p w14:paraId="034A63BB" w14:textId="77777777" w:rsidR="0016455D" w:rsidRPr="00200234" w:rsidRDefault="0016455D" w:rsidP="001236DF">
            <w:pPr>
              <w:pStyle w:val="TableText"/>
              <w:keepNext/>
              <w:spacing w:before="55" w:after="55"/>
              <w:jc w:val="center"/>
              <w:rPr>
                <w:rFonts w:cs="Segoe UI"/>
                <w:b/>
              </w:rPr>
            </w:pPr>
            <w:r w:rsidRPr="00200234">
              <w:rPr>
                <w:rFonts w:cs="Segoe UI"/>
                <w:b/>
              </w:rPr>
              <w:t>s 13</w:t>
            </w:r>
          </w:p>
        </w:tc>
        <w:tc>
          <w:tcPr>
            <w:tcW w:w="709" w:type="dxa"/>
            <w:tcBorders>
              <w:top w:val="nil"/>
              <w:bottom w:val="nil"/>
            </w:tcBorders>
            <w:shd w:val="clear" w:color="auto" w:fill="D9D9D9" w:themeFill="background1" w:themeFillShade="D9"/>
          </w:tcPr>
          <w:p w14:paraId="57E0B91A" w14:textId="77777777" w:rsidR="0016455D" w:rsidRPr="00200234" w:rsidRDefault="0016455D" w:rsidP="001236DF">
            <w:pPr>
              <w:pStyle w:val="TableText"/>
              <w:keepNext/>
              <w:spacing w:before="55" w:after="55"/>
              <w:jc w:val="center"/>
              <w:rPr>
                <w:rFonts w:cs="Segoe UI"/>
                <w:b/>
              </w:rPr>
            </w:pPr>
            <w:r w:rsidRPr="00200234">
              <w:rPr>
                <w:rFonts w:cs="Segoe UI"/>
                <w:b/>
              </w:rPr>
              <w:t>s 14(4)</w:t>
            </w:r>
          </w:p>
        </w:tc>
      </w:tr>
      <w:tr w:rsidR="0016455D" w:rsidRPr="00200234" w14:paraId="5F2FFC75" w14:textId="77777777" w:rsidTr="001236DF">
        <w:trPr>
          <w:cantSplit/>
        </w:trPr>
        <w:tc>
          <w:tcPr>
            <w:tcW w:w="1843" w:type="dxa"/>
            <w:tcBorders>
              <w:top w:val="nil"/>
            </w:tcBorders>
          </w:tcPr>
          <w:p w14:paraId="5ABBA6A2" w14:textId="77777777" w:rsidR="0016455D" w:rsidRPr="00200234" w:rsidRDefault="0016455D" w:rsidP="001236DF">
            <w:pPr>
              <w:pStyle w:val="TableText"/>
              <w:keepNext/>
              <w:spacing w:before="55" w:after="55"/>
              <w:rPr>
                <w:rFonts w:cs="Segoe UI"/>
              </w:rPr>
            </w:pPr>
            <w:r w:rsidRPr="00200234">
              <w:rPr>
                <w:rFonts w:cs="Segoe UI"/>
              </w:rPr>
              <w:t>Auckland</w:t>
            </w:r>
          </w:p>
        </w:tc>
        <w:tc>
          <w:tcPr>
            <w:tcW w:w="638" w:type="dxa"/>
            <w:tcBorders>
              <w:top w:val="nil"/>
            </w:tcBorders>
          </w:tcPr>
          <w:p w14:paraId="6BF48577" w14:textId="77777777" w:rsidR="0016455D" w:rsidRPr="00200234" w:rsidRDefault="0016455D" w:rsidP="001236DF">
            <w:pPr>
              <w:pStyle w:val="TableText"/>
              <w:keepNext/>
              <w:tabs>
                <w:tab w:val="decimal" w:pos="368"/>
              </w:tabs>
              <w:spacing w:before="55" w:after="55"/>
              <w:rPr>
                <w:rFonts w:cs="Segoe UI"/>
              </w:rPr>
            </w:pPr>
            <w:r w:rsidRPr="00F552E2">
              <w:t xml:space="preserve"> 16 </w:t>
            </w:r>
          </w:p>
        </w:tc>
        <w:tc>
          <w:tcPr>
            <w:tcW w:w="638" w:type="dxa"/>
            <w:tcBorders>
              <w:top w:val="nil"/>
            </w:tcBorders>
          </w:tcPr>
          <w:p w14:paraId="1EB126A9" w14:textId="77777777" w:rsidR="0016455D" w:rsidRPr="00200234" w:rsidRDefault="0016455D" w:rsidP="001236DF">
            <w:pPr>
              <w:pStyle w:val="TableText"/>
              <w:keepNext/>
              <w:tabs>
                <w:tab w:val="decimal" w:pos="368"/>
              </w:tabs>
              <w:spacing w:before="55" w:after="55"/>
              <w:rPr>
                <w:rFonts w:cs="Segoe UI"/>
              </w:rPr>
            </w:pPr>
            <w:r w:rsidRPr="00F552E2">
              <w:t xml:space="preserve"> 19 </w:t>
            </w:r>
          </w:p>
        </w:tc>
        <w:tc>
          <w:tcPr>
            <w:tcW w:w="850" w:type="dxa"/>
            <w:tcBorders>
              <w:top w:val="nil"/>
            </w:tcBorders>
          </w:tcPr>
          <w:p w14:paraId="0D24E1C3" w14:textId="77777777" w:rsidR="0016455D" w:rsidRPr="00200234" w:rsidRDefault="0016455D" w:rsidP="001236DF">
            <w:pPr>
              <w:pStyle w:val="TableText"/>
              <w:keepNext/>
              <w:tabs>
                <w:tab w:val="decimal" w:pos="454"/>
              </w:tabs>
              <w:spacing w:before="55" w:after="55"/>
              <w:rPr>
                <w:rFonts w:cs="Segoe UI"/>
              </w:rPr>
            </w:pPr>
            <w:r w:rsidRPr="00F552E2">
              <w:t xml:space="preserve"> 12 </w:t>
            </w:r>
          </w:p>
        </w:tc>
        <w:tc>
          <w:tcPr>
            <w:tcW w:w="426" w:type="dxa"/>
            <w:tcBorders>
              <w:top w:val="nil"/>
              <w:bottom w:val="nil"/>
            </w:tcBorders>
            <w:shd w:val="clear" w:color="auto" w:fill="auto"/>
          </w:tcPr>
          <w:p w14:paraId="5AF5AA70" w14:textId="77777777" w:rsidR="0016455D" w:rsidRPr="00200234" w:rsidRDefault="0016455D" w:rsidP="001236DF">
            <w:pPr>
              <w:pStyle w:val="TableText"/>
              <w:keepNext/>
              <w:tabs>
                <w:tab w:val="decimal" w:pos="636"/>
              </w:tabs>
              <w:spacing w:before="55" w:after="55"/>
              <w:rPr>
                <w:rFonts w:cs="Segoe UI"/>
              </w:rPr>
            </w:pPr>
          </w:p>
        </w:tc>
        <w:tc>
          <w:tcPr>
            <w:tcW w:w="1843" w:type="dxa"/>
            <w:tcBorders>
              <w:top w:val="nil"/>
            </w:tcBorders>
          </w:tcPr>
          <w:p w14:paraId="1D987829" w14:textId="77777777" w:rsidR="0016455D" w:rsidRPr="00200234" w:rsidRDefault="0016455D" w:rsidP="001236DF">
            <w:pPr>
              <w:pStyle w:val="TableText"/>
              <w:keepNext/>
              <w:spacing w:before="55" w:after="55"/>
              <w:jc w:val="both"/>
              <w:rPr>
                <w:rFonts w:cs="Segoe UI"/>
              </w:rPr>
            </w:pPr>
            <w:r w:rsidRPr="00200234">
              <w:rPr>
                <w:rFonts w:cs="Segoe UI"/>
              </w:rPr>
              <w:t>Northland</w:t>
            </w:r>
          </w:p>
        </w:tc>
        <w:tc>
          <w:tcPr>
            <w:tcW w:w="567" w:type="dxa"/>
            <w:tcBorders>
              <w:top w:val="nil"/>
            </w:tcBorders>
          </w:tcPr>
          <w:p w14:paraId="7D467ED4" w14:textId="77777777" w:rsidR="0016455D" w:rsidRPr="00200234" w:rsidRDefault="0016455D" w:rsidP="001236DF">
            <w:pPr>
              <w:pStyle w:val="TableText"/>
              <w:keepNext/>
              <w:tabs>
                <w:tab w:val="decimal" w:pos="368"/>
              </w:tabs>
              <w:spacing w:before="55" w:after="55"/>
              <w:rPr>
                <w:rFonts w:cs="Segoe UI"/>
              </w:rPr>
            </w:pPr>
            <w:r w:rsidRPr="009A0736">
              <w:t xml:space="preserve"> 16 </w:t>
            </w:r>
          </w:p>
        </w:tc>
        <w:tc>
          <w:tcPr>
            <w:tcW w:w="568" w:type="dxa"/>
            <w:tcBorders>
              <w:top w:val="nil"/>
            </w:tcBorders>
          </w:tcPr>
          <w:p w14:paraId="147C853A" w14:textId="77777777" w:rsidR="0016455D" w:rsidRPr="00200234" w:rsidRDefault="0016455D" w:rsidP="001236DF">
            <w:pPr>
              <w:pStyle w:val="TableText"/>
              <w:keepNext/>
              <w:tabs>
                <w:tab w:val="decimal" w:pos="368"/>
              </w:tabs>
              <w:spacing w:before="55" w:after="55"/>
              <w:rPr>
                <w:rFonts w:cs="Segoe UI"/>
              </w:rPr>
            </w:pPr>
            <w:r w:rsidRPr="009A0736">
              <w:t xml:space="preserve"> 19 </w:t>
            </w:r>
          </w:p>
        </w:tc>
        <w:tc>
          <w:tcPr>
            <w:tcW w:w="709" w:type="dxa"/>
            <w:tcBorders>
              <w:top w:val="nil"/>
            </w:tcBorders>
          </w:tcPr>
          <w:p w14:paraId="080FBF71" w14:textId="77777777" w:rsidR="0016455D" w:rsidRPr="00200234" w:rsidRDefault="0016455D" w:rsidP="001236DF">
            <w:pPr>
              <w:pStyle w:val="TableText"/>
              <w:keepNext/>
              <w:tabs>
                <w:tab w:val="decimal" w:pos="454"/>
              </w:tabs>
              <w:spacing w:before="55" w:after="55"/>
              <w:rPr>
                <w:rFonts w:cs="Segoe UI"/>
              </w:rPr>
            </w:pPr>
            <w:r w:rsidRPr="009A0736">
              <w:t xml:space="preserve"> 13 </w:t>
            </w:r>
          </w:p>
        </w:tc>
      </w:tr>
      <w:tr w:rsidR="0016455D" w:rsidRPr="00200234" w14:paraId="3E77A277" w14:textId="77777777" w:rsidTr="001236DF">
        <w:trPr>
          <w:cantSplit/>
        </w:trPr>
        <w:tc>
          <w:tcPr>
            <w:tcW w:w="1843" w:type="dxa"/>
          </w:tcPr>
          <w:p w14:paraId="4EF50D5D" w14:textId="77777777" w:rsidR="0016455D" w:rsidRPr="00200234" w:rsidRDefault="0016455D" w:rsidP="001236DF">
            <w:pPr>
              <w:pStyle w:val="TableText"/>
              <w:keepNext/>
              <w:spacing w:before="55" w:after="55"/>
              <w:rPr>
                <w:rFonts w:cs="Segoe UI"/>
              </w:rPr>
            </w:pPr>
            <w:r w:rsidRPr="00200234">
              <w:rPr>
                <w:rFonts w:cs="Segoe UI"/>
              </w:rPr>
              <w:t>Bay of Plenty</w:t>
            </w:r>
          </w:p>
        </w:tc>
        <w:tc>
          <w:tcPr>
            <w:tcW w:w="638" w:type="dxa"/>
          </w:tcPr>
          <w:p w14:paraId="2A0E821A" w14:textId="77777777" w:rsidR="0016455D" w:rsidRPr="00200234" w:rsidRDefault="0016455D" w:rsidP="001236DF">
            <w:pPr>
              <w:pStyle w:val="TableText"/>
              <w:keepNext/>
              <w:tabs>
                <w:tab w:val="decimal" w:pos="368"/>
              </w:tabs>
              <w:spacing w:before="55" w:after="55"/>
              <w:rPr>
                <w:rFonts w:cs="Segoe UI"/>
              </w:rPr>
            </w:pPr>
            <w:r w:rsidRPr="00F552E2">
              <w:t xml:space="preserve"> 15 </w:t>
            </w:r>
          </w:p>
        </w:tc>
        <w:tc>
          <w:tcPr>
            <w:tcW w:w="638" w:type="dxa"/>
          </w:tcPr>
          <w:p w14:paraId="09A1E6B5" w14:textId="77777777" w:rsidR="0016455D" w:rsidRPr="00200234" w:rsidRDefault="0016455D" w:rsidP="001236DF">
            <w:pPr>
              <w:pStyle w:val="TableText"/>
              <w:keepNext/>
              <w:tabs>
                <w:tab w:val="decimal" w:pos="368"/>
              </w:tabs>
              <w:spacing w:before="55" w:after="55"/>
              <w:rPr>
                <w:rFonts w:cs="Segoe UI"/>
              </w:rPr>
            </w:pPr>
            <w:r w:rsidRPr="00F552E2">
              <w:t xml:space="preserve"> 12 </w:t>
            </w:r>
          </w:p>
        </w:tc>
        <w:tc>
          <w:tcPr>
            <w:tcW w:w="850" w:type="dxa"/>
          </w:tcPr>
          <w:p w14:paraId="231C5744" w14:textId="77777777" w:rsidR="0016455D" w:rsidRPr="00200234" w:rsidRDefault="0016455D" w:rsidP="001236DF">
            <w:pPr>
              <w:pStyle w:val="TableText"/>
              <w:keepNext/>
              <w:tabs>
                <w:tab w:val="decimal" w:pos="454"/>
              </w:tabs>
              <w:spacing w:before="55" w:after="55"/>
              <w:rPr>
                <w:rFonts w:cs="Segoe UI"/>
              </w:rPr>
            </w:pPr>
            <w:r w:rsidRPr="00F552E2">
              <w:t xml:space="preserve"> 6 </w:t>
            </w:r>
          </w:p>
        </w:tc>
        <w:tc>
          <w:tcPr>
            <w:tcW w:w="426" w:type="dxa"/>
            <w:tcBorders>
              <w:top w:val="nil"/>
              <w:bottom w:val="nil"/>
            </w:tcBorders>
            <w:shd w:val="clear" w:color="auto" w:fill="auto"/>
          </w:tcPr>
          <w:p w14:paraId="114C974F" w14:textId="77777777" w:rsidR="0016455D" w:rsidRPr="00200234" w:rsidRDefault="0016455D" w:rsidP="001236DF">
            <w:pPr>
              <w:pStyle w:val="TableText"/>
              <w:keepNext/>
              <w:tabs>
                <w:tab w:val="decimal" w:pos="636"/>
              </w:tabs>
              <w:spacing w:before="55" w:after="55"/>
              <w:rPr>
                <w:rFonts w:cs="Segoe UI"/>
              </w:rPr>
            </w:pPr>
          </w:p>
        </w:tc>
        <w:tc>
          <w:tcPr>
            <w:tcW w:w="1843" w:type="dxa"/>
          </w:tcPr>
          <w:p w14:paraId="42556FBD" w14:textId="77777777" w:rsidR="0016455D" w:rsidRPr="00200234" w:rsidRDefault="0016455D" w:rsidP="001236DF">
            <w:pPr>
              <w:pStyle w:val="TableText"/>
              <w:keepNext/>
              <w:spacing w:before="55" w:after="55"/>
              <w:jc w:val="both"/>
              <w:rPr>
                <w:rFonts w:cs="Segoe UI"/>
              </w:rPr>
            </w:pPr>
            <w:r w:rsidRPr="00200234">
              <w:rPr>
                <w:rFonts w:cs="Segoe UI"/>
              </w:rPr>
              <w:t>South Canterbury</w:t>
            </w:r>
          </w:p>
        </w:tc>
        <w:tc>
          <w:tcPr>
            <w:tcW w:w="567" w:type="dxa"/>
          </w:tcPr>
          <w:p w14:paraId="62AC8EC8" w14:textId="77777777" w:rsidR="0016455D" w:rsidRPr="00200234" w:rsidRDefault="0016455D" w:rsidP="001236DF">
            <w:pPr>
              <w:pStyle w:val="TableText"/>
              <w:keepNext/>
              <w:tabs>
                <w:tab w:val="decimal" w:pos="368"/>
              </w:tabs>
              <w:spacing w:before="55" w:after="55"/>
              <w:rPr>
                <w:rFonts w:cs="Segoe UI"/>
              </w:rPr>
            </w:pPr>
            <w:r w:rsidRPr="009A0736">
              <w:t xml:space="preserve"> 8 </w:t>
            </w:r>
          </w:p>
        </w:tc>
        <w:tc>
          <w:tcPr>
            <w:tcW w:w="568" w:type="dxa"/>
          </w:tcPr>
          <w:p w14:paraId="10EE88CB" w14:textId="77777777" w:rsidR="0016455D" w:rsidRPr="00200234" w:rsidRDefault="0016455D" w:rsidP="001236DF">
            <w:pPr>
              <w:pStyle w:val="TableText"/>
              <w:keepNext/>
              <w:tabs>
                <w:tab w:val="decimal" w:pos="368"/>
              </w:tabs>
              <w:spacing w:before="55" w:after="55"/>
              <w:rPr>
                <w:rFonts w:cs="Segoe UI"/>
              </w:rPr>
            </w:pPr>
            <w:r w:rsidRPr="009A0736">
              <w:t xml:space="preserve"> 5 </w:t>
            </w:r>
          </w:p>
        </w:tc>
        <w:tc>
          <w:tcPr>
            <w:tcW w:w="709" w:type="dxa"/>
          </w:tcPr>
          <w:p w14:paraId="2A028A12" w14:textId="77777777" w:rsidR="0016455D" w:rsidRPr="00200234" w:rsidRDefault="0016455D" w:rsidP="001236DF">
            <w:pPr>
              <w:pStyle w:val="TableText"/>
              <w:keepNext/>
              <w:tabs>
                <w:tab w:val="decimal" w:pos="454"/>
              </w:tabs>
              <w:spacing w:before="55" w:after="55"/>
              <w:rPr>
                <w:rFonts w:cs="Segoe UI"/>
              </w:rPr>
            </w:pPr>
            <w:r w:rsidRPr="009A0736">
              <w:t xml:space="preserve"> 4 </w:t>
            </w:r>
          </w:p>
        </w:tc>
      </w:tr>
      <w:tr w:rsidR="0016455D" w:rsidRPr="00200234" w14:paraId="0C3A1C9E" w14:textId="77777777" w:rsidTr="001236DF">
        <w:trPr>
          <w:cantSplit/>
        </w:trPr>
        <w:tc>
          <w:tcPr>
            <w:tcW w:w="1843" w:type="dxa"/>
          </w:tcPr>
          <w:p w14:paraId="0EA0857A" w14:textId="77777777" w:rsidR="0016455D" w:rsidRPr="00200234" w:rsidRDefault="0016455D" w:rsidP="001236DF">
            <w:pPr>
              <w:pStyle w:val="TableText"/>
              <w:keepNext/>
              <w:spacing w:before="55" w:after="55"/>
              <w:rPr>
                <w:rFonts w:cs="Segoe UI"/>
              </w:rPr>
            </w:pPr>
            <w:r w:rsidRPr="00200234">
              <w:rPr>
                <w:rFonts w:cs="Segoe UI"/>
              </w:rPr>
              <w:t>Canterbury</w:t>
            </w:r>
          </w:p>
        </w:tc>
        <w:tc>
          <w:tcPr>
            <w:tcW w:w="638" w:type="dxa"/>
          </w:tcPr>
          <w:p w14:paraId="3F2D4F6B" w14:textId="77777777" w:rsidR="0016455D" w:rsidRPr="00200234" w:rsidRDefault="0016455D" w:rsidP="001236DF">
            <w:pPr>
              <w:pStyle w:val="TableText"/>
              <w:keepNext/>
              <w:tabs>
                <w:tab w:val="decimal" w:pos="368"/>
              </w:tabs>
              <w:spacing w:before="55" w:after="55"/>
              <w:rPr>
                <w:rFonts w:cs="Segoe UI"/>
              </w:rPr>
            </w:pPr>
            <w:r w:rsidRPr="00F552E2">
              <w:t xml:space="preserve"> 12 </w:t>
            </w:r>
          </w:p>
        </w:tc>
        <w:tc>
          <w:tcPr>
            <w:tcW w:w="638" w:type="dxa"/>
          </w:tcPr>
          <w:p w14:paraId="484C9B41" w14:textId="77777777" w:rsidR="0016455D" w:rsidRPr="00200234" w:rsidRDefault="0016455D" w:rsidP="001236DF">
            <w:pPr>
              <w:pStyle w:val="TableText"/>
              <w:keepNext/>
              <w:tabs>
                <w:tab w:val="decimal" w:pos="368"/>
              </w:tabs>
              <w:spacing w:before="55" w:after="55"/>
              <w:rPr>
                <w:rFonts w:cs="Segoe UI"/>
              </w:rPr>
            </w:pPr>
            <w:r w:rsidRPr="00F552E2">
              <w:t xml:space="preserve"> 13 </w:t>
            </w:r>
          </w:p>
        </w:tc>
        <w:tc>
          <w:tcPr>
            <w:tcW w:w="850" w:type="dxa"/>
          </w:tcPr>
          <w:p w14:paraId="3DECEF38" w14:textId="77777777" w:rsidR="0016455D" w:rsidRPr="00200234" w:rsidRDefault="0016455D" w:rsidP="001236DF">
            <w:pPr>
              <w:pStyle w:val="TableText"/>
              <w:keepNext/>
              <w:tabs>
                <w:tab w:val="decimal" w:pos="454"/>
              </w:tabs>
              <w:spacing w:before="55" w:after="55"/>
              <w:rPr>
                <w:rFonts w:cs="Segoe UI"/>
              </w:rPr>
            </w:pPr>
            <w:r w:rsidRPr="00F552E2">
              <w:t xml:space="preserve"> 10 </w:t>
            </w:r>
          </w:p>
        </w:tc>
        <w:tc>
          <w:tcPr>
            <w:tcW w:w="426" w:type="dxa"/>
            <w:tcBorders>
              <w:top w:val="nil"/>
              <w:bottom w:val="nil"/>
            </w:tcBorders>
            <w:shd w:val="clear" w:color="auto" w:fill="auto"/>
          </w:tcPr>
          <w:p w14:paraId="45A212AE" w14:textId="77777777" w:rsidR="0016455D" w:rsidRPr="00200234" w:rsidRDefault="0016455D" w:rsidP="001236DF">
            <w:pPr>
              <w:pStyle w:val="TableText"/>
              <w:keepNext/>
              <w:tabs>
                <w:tab w:val="decimal" w:pos="636"/>
              </w:tabs>
              <w:spacing w:before="55" w:after="55"/>
              <w:rPr>
                <w:rFonts w:cs="Segoe UI"/>
              </w:rPr>
            </w:pPr>
          </w:p>
        </w:tc>
        <w:tc>
          <w:tcPr>
            <w:tcW w:w="1843" w:type="dxa"/>
          </w:tcPr>
          <w:p w14:paraId="75B38728" w14:textId="77777777" w:rsidR="0016455D" w:rsidRPr="00200234" w:rsidRDefault="0016455D" w:rsidP="001236DF">
            <w:pPr>
              <w:pStyle w:val="TableText"/>
              <w:keepNext/>
              <w:spacing w:before="55" w:after="55"/>
              <w:jc w:val="both"/>
              <w:rPr>
                <w:rFonts w:cs="Segoe UI"/>
              </w:rPr>
            </w:pPr>
            <w:r w:rsidRPr="00200234">
              <w:rPr>
                <w:rFonts w:cs="Segoe UI"/>
              </w:rPr>
              <w:t>Southern</w:t>
            </w:r>
          </w:p>
        </w:tc>
        <w:tc>
          <w:tcPr>
            <w:tcW w:w="567" w:type="dxa"/>
          </w:tcPr>
          <w:p w14:paraId="03550398" w14:textId="77777777" w:rsidR="0016455D" w:rsidRPr="00200234" w:rsidRDefault="0016455D" w:rsidP="001236DF">
            <w:pPr>
              <w:pStyle w:val="TableText"/>
              <w:keepNext/>
              <w:tabs>
                <w:tab w:val="decimal" w:pos="368"/>
              </w:tabs>
              <w:spacing w:before="55" w:after="55"/>
              <w:rPr>
                <w:rFonts w:cs="Segoe UI"/>
              </w:rPr>
            </w:pPr>
            <w:r w:rsidRPr="009A0736">
              <w:t xml:space="preserve"> 12 </w:t>
            </w:r>
          </w:p>
        </w:tc>
        <w:tc>
          <w:tcPr>
            <w:tcW w:w="568" w:type="dxa"/>
          </w:tcPr>
          <w:p w14:paraId="6F778DA5" w14:textId="77777777" w:rsidR="0016455D" w:rsidRPr="00200234" w:rsidRDefault="0016455D" w:rsidP="001236DF">
            <w:pPr>
              <w:pStyle w:val="TableText"/>
              <w:keepNext/>
              <w:tabs>
                <w:tab w:val="decimal" w:pos="368"/>
              </w:tabs>
              <w:spacing w:before="55" w:after="55"/>
              <w:rPr>
                <w:rFonts w:cs="Segoe UI"/>
              </w:rPr>
            </w:pPr>
            <w:r w:rsidRPr="009A0736">
              <w:t xml:space="preserve"> 11 </w:t>
            </w:r>
          </w:p>
        </w:tc>
        <w:tc>
          <w:tcPr>
            <w:tcW w:w="709" w:type="dxa"/>
          </w:tcPr>
          <w:p w14:paraId="5881F252" w14:textId="77777777" w:rsidR="0016455D" w:rsidRPr="00200234" w:rsidRDefault="0016455D" w:rsidP="001236DF">
            <w:pPr>
              <w:pStyle w:val="TableText"/>
              <w:keepNext/>
              <w:tabs>
                <w:tab w:val="decimal" w:pos="454"/>
              </w:tabs>
              <w:spacing w:before="55" w:after="55"/>
              <w:rPr>
                <w:rFonts w:cs="Segoe UI"/>
              </w:rPr>
            </w:pPr>
            <w:r w:rsidRPr="009A0736">
              <w:t xml:space="preserve"> 7 </w:t>
            </w:r>
          </w:p>
        </w:tc>
      </w:tr>
      <w:tr w:rsidR="0016455D" w:rsidRPr="00200234" w14:paraId="4A18551A" w14:textId="77777777" w:rsidTr="001236DF">
        <w:trPr>
          <w:cantSplit/>
        </w:trPr>
        <w:tc>
          <w:tcPr>
            <w:tcW w:w="1843" w:type="dxa"/>
          </w:tcPr>
          <w:p w14:paraId="2C68914C" w14:textId="77777777" w:rsidR="0016455D" w:rsidRPr="00200234" w:rsidRDefault="0016455D" w:rsidP="001236DF">
            <w:pPr>
              <w:pStyle w:val="TableText"/>
              <w:keepNext/>
              <w:spacing w:before="55" w:after="55"/>
              <w:rPr>
                <w:rFonts w:cs="Segoe UI"/>
              </w:rPr>
            </w:pPr>
            <w:r w:rsidRPr="00200234">
              <w:rPr>
                <w:rFonts w:cs="Segoe UI"/>
              </w:rPr>
              <w:t>Capital &amp; Coast</w:t>
            </w:r>
          </w:p>
        </w:tc>
        <w:tc>
          <w:tcPr>
            <w:tcW w:w="638" w:type="dxa"/>
          </w:tcPr>
          <w:p w14:paraId="429AD76B" w14:textId="77777777" w:rsidR="0016455D" w:rsidRPr="00200234" w:rsidRDefault="0016455D" w:rsidP="001236DF">
            <w:pPr>
              <w:pStyle w:val="TableText"/>
              <w:keepNext/>
              <w:tabs>
                <w:tab w:val="decimal" w:pos="368"/>
              </w:tabs>
              <w:spacing w:before="55" w:after="55"/>
              <w:rPr>
                <w:rFonts w:cs="Segoe UI"/>
              </w:rPr>
            </w:pPr>
            <w:r w:rsidRPr="00F552E2">
              <w:t xml:space="preserve"> 12 </w:t>
            </w:r>
          </w:p>
        </w:tc>
        <w:tc>
          <w:tcPr>
            <w:tcW w:w="638" w:type="dxa"/>
          </w:tcPr>
          <w:p w14:paraId="4946F04C" w14:textId="77777777" w:rsidR="0016455D" w:rsidRPr="00200234" w:rsidRDefault="0016455D" w:rsidP="001236DF">
            <w:pPr>
              <w:pStyle w:val="TableText"/>
              <w:keepNext/>
              <w:tabs>
                <w:tab w:val="decimal" w:pos="368"/>
              </w:tabs>
              <w:spacing w:before="55" w:after="55"/>
              <w:rPr>
                <w:rFonts w:cs="Segoe UI"/>
              </w:rPr>
            </w:pPr>
            <w:r w:rsidRPr="00F552E2">
              <w:t xml:space="preserve"> 14 </w:t>
            </w:r>
          </w:p>
        </w:tc>
        <w:tc>
          <w:tcPr>
            <w:tcW w:w="850" w:type="dxa"/>
          </w:tcPr>
          <w:p w14:paraId="417D77F0" w14:textId="77777777" w:rsidR="0016455D" w:rsidRPr="00200234" w:rsidRDefault="0016455D" w:rsidP="001236DF">
            <w:pPr>
              <w:pStyle w:val="TableText"/>
              <w:keepNext/>
              <w:tabs>
                <w:tab w:val="decimal" w:pos="454"/>
              </w:tabs>
              <w:spacing w:before="55" w:after="55"/>
              <w:rPr>
                <w:rFonts w:cs="Segoe UI"/>
              </w:rPr>
            </w:pPr>
            <w:r w:rsidRPr="00F552E2">
              <w:t xml:space="preserve"> 10 </w:t>
            </w:r>
          </w:p>
        </w:tc>
        <w:tc>
          <w:tcPr>
            <w:tcW w:w="426" w:type="dxa"/>
            <w:tcBorders>
              <w:top w:val="nil"/>
              <w:bottom w:val="nil"/>
            </w:tcBorders>
            <w:shd w:val="clear" w:color="auto" w:fill="auto"/>
          </w:tcPr>
          <w:p w14:paraId="056F1459" w14:textId="77777777" w:rsidR="0016455D" w:rsidRPr="00200234" w:rsidRDefault="0016455D" w:rsidP="001236DF">
            <w:pPr>
              <w:pStyle w:val="TableText"/>
              <w:keepNext/>
              <w:tabs>
                <w:tab w:val="decimal" w:pos="636"/>
              </w:tabs>
              <w:spacing w:before="55" w:after="55"/>
              <w:rPr>
                <w:rFonts w:cs="Segoe UI"/>
              </w:rPr>
            </w:pPr>
          </w:p>
        </w:tc>
        <w:tc>
          <w:tcPr>
            <w:tcW w:w="1843" w:type="dxa"/>
          </w:tcPr>
          <w:p w14:paraId="116C4BDD" w14:textId="77777777" w:rsidR="0016455D" w:rsidRPr="00200234" w:rsidRDefault="0016455D" w:rsidP="001236DF">
            <w:pPr>
              <w:pStyle w:val="TableText"/>
              <w:keepNext/>
              <w:spacing w:before="55" w:after="55"/>
              <w:jc w:val="both"/>
              <w:rPr>
                <w:rFonts w:cs="Segoe UI"/>
              </w:rPr>
            </w:pPr>
            <w:r w:rsidRPr="00200234">
              <w:rPr>
                <w:rFonts w:cs="Segoe UI"/>
              </w:rPr>
              <w:t>Tairāwhiti</w:t>
            </w:r>
          </w:p>
        </w:tc>
        <w:tc>
          <w:tcPr>
            <w:tcW w:w="567" w:type="dxa"/>
          </w:tcPr>
          <w:p w14:paraId="02A7133D" w14:textId="77777777" w:rsidR="0016455D" w:rsidRPr="00200234" w:rsidRDefault="0016455D" w:rsidP="001236DF">
            <w:pPr>
              <w:pStyle w:val="TableText"/>
              <w:keepNext/>
              <w:tabs>
                <w:tab w:val="decimal" w:pos="368"/>
              </w:tabs>
              <w:spacing w:before="55" w:after="55"/>
              <w:rPr>
                <w:rFonts w:cs="Segoe UI"/>
              </w:rPr>
            </w:pPr>
            <w:r w:rsidRPr="009A0736">
              <w:t xml:space="preserve"> 19 </w:t>
            </w:r>
          </w:p>
        </w:tc>
        <w:tc>
          <w:tcPr>
            <w:tcW w:w="568" w:type="dxa"/>
          </w:tcPr>
          <w:p w14:paraId="5E99B63E" w14:textId="77777777" w:rsidR="0016455D" w:rsidRPr="00200234" w:rsidRDefault="0016455D" w:rsidP="001236DF">
            <w:pPr>
              <w:pStyle w:val="TableText"/>
              <w:keepNext/>
              <w:tabs>
                <w:tab w:val="decimal" w:pos="368"/>
              </w:tabs>
              <w:spacing w:before="55" w:after="55"/>
              <w:rPr>
                <w:rFonts w:cs="Segoe UI"/>
              </w:rPr>
            </w:pPr>
            <w:r w:rsidRPr="009A0736">
              <w:t xml:space="preserve"> 12 </w:t>
            </w:r>
          </w:p>
        </w:tc>
        <w:tc>
          <w:tcPr>
            <w:tcW w:w="709" w:type="dxa"/>
          </w:tcPr>
          <w:p w14:paraId="49F15360" w14:textId="77777777" w:rsidR="0016455D" w:rsidRPr="00200234" w:rsidRDefault="0016455D" w:rsidP="001236DF">
            <w:pPr>
              <w:pStyle w:val="TableText"/>
              <w:keepNext/>
              <w:tabs>
                <w:tab w:val="decimal" w:pos="454"/>
              </w:tabs>
              <w:spacing w:before="55" w:after="55"/>
              <w:rPr>
                <w:rFonts w:cs="Segoe UI"/>
              </w:rPr>
            </w:pPr>
            <w:r w:rsidRPr="009A0736">
              <w:t xml:space="preserve"> 7 </w:t>
            </w:r>
          </w:p>
        </w:tc>
      </w:tr>
      <w:tr w:rsidR="0016455D" w:rsidRPr="00200234" w14:paraId="0F3CE9CD" w14:textId="77777777" w:rsidTr="001236DF">
        <w:trPr>
          <w:cantSplit/>
        </w:trPr>
        <w:tc>
          <w:tcPr>
            <w:tcW w:w="1843" w:type="dxa"/>
          </w:tcPr>
          <w:p w14:paraId="2285AE5F" w14:textId="77777777" w:rsidR="0016455D" w:rsidRPr="00200234" w:rsidRDefault="0016455D" w:rsidP="001236DF">
            <w:pPr>
              <w:pStyle w:val="TableText"/>
              <w:keepNext/>
              <w:spacing w:before="55" w:after="55"/>
              <w:rPr>
                <w:rFonts w:cs="Segoe UI"/>
              </w:rPr>
            </w:pPr>
            <w:r w:rsidRPr="00200234">
              <w:rPr>
                <w:rFonts w:cs="Segoe UI"/>
              </w:rPr>
              <w:t>Counties Manukau</w:t>
            </w:r>
          </w:p>
        </w:tc>
        <w:tc>
          <w:tcPr>
            <w:tcW w:w="638" w:type="dxa"/>
          </w:tcPr>
          <w:p w14:paraId="7D7F49E0" w14:textId="77777777" w:rsidR="0016455D" w:rsidRPr="00200234" w:rsidRDefault="0016455D" w:rsidP="001236DF">
            <w:pPr>
              <w:pStyle w:val="TableText"/>
              <w:keepNext/>
              <w:tabs>
                <w:tab w:val="decimal" w:pos="368"/>
              </w:tabs>
              <w:spacing w:before="55" w:after="55"/>
              <w:rPr>
                <w:rFonts w:cs="Segoe UI"/>
              </w:rPr>
            </w:pPr>
            <w:r w:rsidRPr="00F552E2">
              <w:t xml:space="preserve"> 9 </w:t>
            </w:r>
          </w:p>
        </w:tc>
        <w:tc>
          <w:tcPr>
            <w:tcW w:w="638" w:type="dxa"/>
          </w:tcPr>
          <w:p w14:paraId="17420EA3" w14:textId="77777777" w:rsidR="0016455D" w:rsidRPr="00200234" w:rsidRDefault="0016455D" w:rsidP="001236DF">
            <w:pPr>
              <w:pStyle w:val="TableText"/>
              <w:keepNext/>
              <w:tabs>
                <w:tab w:val="decimal" w:pos="368"/>
              </w:tabs>
              <w:spacing w:before="55" w:after="55"/>
              <w:rPr>
                <w:rFonts w:cs="Segoe UI"/>
              </w:rPr>
            </w:pPr>
            <w:r w:rsidRPr="00F552E2">
              <w:t xml:space="preserve"> 11 </w:t>
            </w:r>
          </w:p>
        </w:tc>
        <w:tc>
          <w:tcPr>
            <w:tcW w:w="850" w:type="dxa"/>
          </w:tcPr>
          <w:p w14:paraId="5C384B38" w14:textId="77777777" w:rsidR="0016455D" w:rsidRPr="00200234" w:rsidRDefault="0016455D" w:rsidP="001236DF">
            <w:pPr>
              <w:pStyle w:val="TableText"/>
              <w:keepNext/>
              <w:tabs>
                <w:tab w:val="decimal" w:pos="454"/>
              </w:tabs>
              <w:spacing w:before="55" w:after="55"/>
              <w:rPr>
                <w:rFonts w:cs="Segoe UI"/>
              </w:rPr>
            </w:pPr>
            <w:r w:rsidRPr="00F552E2">
              <w:t xml:space="preserve"> 8 </w:t>
            </w:r>
          </w:p>
        </w:tc>
        <w:tc>
          <w:tcPr>
            <w:tcW w:w="426" w:type="dxa"/>
            <w:tcBorders>
              <w:top w:val="nil"/>
              <w:bottom w:val="nil"/>
            </w:tcBorders>
            <w:shd w:val="clear" w:color="auto" w:fill="auto"/>
          </w:tcPr>
          <w:p w14:paraId="76AA9289" w14:textId="77777777" w:rsidR="0016455D" w:rsidRPr="00200234" w:rsidRDefault="0016455D" w:rsidP="001236DF">
            <w:pPr>
              <w:pStyle w:val="TableText"/>
              <w:keepNext/>
              <w:tabs>
                <w:tab w:val="decimal" w:pos="636"/>
              </w:tabs>
              <w:spacing w:before="55" w:after="55"/>
              <w:rPr>
                <w:rFonts w:cs="Segoe UI"/>
              </w:rPr>
            </w:pPr>
          </w:p>
        </w:tc>
        <w:tc>
          <w:tcPr>
            <w:tcW w:w="1843" w:type="dxa"/>
          </w:tcPr>
          <w:p w14:paraId="08C480E4" w14:textId="77777777" w:rsidR="0016455D" w:rsidRPr="00200234" w:rsidRDefault="0016455D" w:rsidP="001236DF">
            <w:pPr>
              <w:pStyle w:val="TableText"/>
              <w:keepNext/>
              <w:spacing w:before="55" w:after="55"/>
              <w:jc w:val="both"/>
              <w:rPr>
                <w:rFonts w:cs="Segoe UI"/>
              </w:rPr>
            </w:pPr>
            <w:r w:rsidRPr="00200234">
              <w:rPr>
                <w:rFonts w:cs="Segoe UI"/>
              </w:rPr>
              <w:t>Taranaki</w:t>
            </w:r>
          </w:p>
        </w:tc>
        <w:tc>
          <w:tcPr>
            <w:tcW w:w="567" w:type="dxa"/>
          </w:tcPr>
          <w:p w14:paraId="75916CB0" w14:textId="77777777" w:rsidR="0016455D" w:rsidRPr="00200234" w:rsidRDefault="0016455D" w:rsidP="001236DF">
            <w:pPr>
              <w:pStyle w:val="TableText"/>
              <w:keepNext/>
              <w:tabs>
                <w:tab w:val="decimal" w:pos="368"/>
              </w:tabs>
              <w:spacing w:before="55" w:after="55"/>
              <w:rPr>
                <w:rFonts w:cs="Segoe UI"/>
              </w:rPr>
            </w:pPr>
            <w:r w:rsidRPr="009A0736">
              <w:t xml:space="preserve"> 17 </w:t>
            </w:r>
          </w:p>
        </w:tc>
        <w:tc>
          <w:tcPr>
            <w:tcW w:w="568" w:type="dxa"/>
          </w:tcPr>
          <w:p w14:paraId="67038F2D" w14:textId="77777777" w:rsidR="0016455D" w:rsidRPr="00200234" w:rsidRDefault="0016455D" w:rsidP="001236DF">
            <w:pPr>
              <w:pStyle w:val="TableText"/>
              <w:keepNext/>
              <w:tabs>
                <w:tab w:val="decimal" w:pos="368"/>
              </w:tabs>
              <w:spacing w:before="55" w:after="55"/>
              <w:rPr>
                <w:rFonts w:cs="Segoe UI"/>
              </w:rPr>
            </w:pPr>
            <w:r w:rsidRPr="009A0736">
              <w:t xml:space="preserve"> 13 </w:t>
            </w:r>
          </w:p>
        </w:tc>
        <w:tc>
          <w:tcPr>
            <w:tcW w:w="709" w:type="dxa"/>
          </w:tcPr>
          <w:p w14:paraId="0E989947" w14:textId="77777777" w:rsidR="0016455D" w:rsidRPr="00200234" w:rsidRDefault="0016455D" w:rsidP="001236DF">
            <w:pPr>
              <w:pStyle w:val="TableText"/>
              <w:keepNext/>
              <w:tabs>
                <w:tab w:val="decimal" w:pos="454"/>
              </w:tabs>
              <w:spacing w:before="55" w:after="55"/>
              <w:rPr>
                <w:rFonts w:cs="Segoe UI"/>
              </w:rPr>
            </w:pPr>
            <w:r w:rsidRPr="009A0736">
              <w:t xml:space="preserve"> 6 </w:t>
            </w:r>
          </w:p>
        </w:tc>
      </w:tr>
      <w:tr w:rsidR="0016455D" w:rsidRPr="00200234" w14:paraId="7F3F38EE" w14:textId="77777777" w:rsidTr="001236DF">
        <w:trPr>
          <w:cantSplit/>
        </w:trPr>
        <w:tc>
          <w:tcPr>
            <w:tcW w:w="1843" w:type="dxa"/>
          </w:tcPr>
          <w:p w14:paraId="2EE20902" w14:textId="77777777" w:rsidR="0016455D" w:rsidRPr="00200234" w:rsidRDefault="0016455D" w:rsidP="001236DF">
            <w:pPr>
              <w:pStyle w:val="TableText"/>
              <w:keepNext/>
              <w:spacing w:before="55" w:after="55"/>
              <w:rPr>
                <w:rFonts w:cs="Segoe UI"/>
              </w:rPr>
            </w:pPr>
            <w:r w:rsidRPr="00200234">
              <w:rPr>
                <w:rFonts w:cs="Segoe UI"/>
              </w:rPr>
              <w:t>Hawke</w:t>
            </w:r>
            <w:r>
              <w:rPr>
                <w:rFonts w:cs="Segoe UI"/>
              </w:rPr>
              <w:t>’</w:t>
            </w:r>
            <w:r w:rsidRPr="00200234">
              <w:rPr>
                <w:rFonts w:cs="Segoe UI"/>
              </w:rPr>
              <w:t>s Bay</w:t>
            </w:r>
          </w:p>
        </w:tc>
        <w:tc>
          <w:tcPr>
            <w:tcW w:w="638" w:type="dxa"/>
          </w:tcPr>
          <w:p w14:paraId="308059A9" w14:textId="77777777" w:rsidR="0016455D" w:rsidRPr="00200234" w:rsidRDefault="0016455D" w:rsidP="001236DF">
            <w:pPr>
              <w:pStyle w:val="TableText"/>
              <w:keepNext/>
              <w:tabs>
                <w:tab w:val="decimal" w:pos="368"/>
              </w:tabs>
              <w:spacing w:before="55" w:after="55"/>
              <w:rPr>
                <w:rFonts w:cs="Segoe UI"/>
              </w:rPr>
            </w:pPr>
            <w:r w:rsidRPr="00F552E2">
              <w:t xml:space="preserve"> 12 </w:t>
            </w:r>
          </w:p>
        </w:tc>
        <w:tc>
          <w:tcPr>
            <w:tcW w:w="638" w:type="dxa"/>
          </w:tcPr>
          <w:p w14:paraId="46FC6A42" w14:textId="77777777" w:rsidR="0016455D" w:rsidRPr="00200234" w:rsidRDefault="0016455D" w:rsidP="001236DF">
            <w:pPr>
              <w:pStyle w:val="TableText"/>
              <w:keepNext/>
              <w:tabs>
                <w:tab w:val="decimal" w:pos="368"/>
              </w:tabs>
              <w:spacing w:before="55" w:after="55"/>
              <w:rPr>
                <w:rFonts w:cs="Segoe UI"/>
              </w:rPr>
            </w:pPr>
            <w:r w:rsidRPr="00F552E2">
              <w:t xml:space="preserve"> 10 </w:t>
            </w:r>
          </w:p>
        </w:tc>
        <w:tc>
          <w:tcPr>
            <w:tcW w:w="850" w:type="dxa"/>
          </w:tcPr>
          <w:p w14:paraId="5C8532DA" w14:textId="77777777" w:rsidR="0016455D" w:rsidRPr="00200234" w:rsidRDefault="0016455D" w:rsidP="001236DF">
            <w:pPr>
              <w:pStyle w:val="TableText"/>
              <w:keepNext/>
              <w:tabs>
                <w:tab w:val="decimal" w:pos="454"/>
              </w:tabs>
              <w:spacing w:before="55" w:after="55"/>
              <w:rPr>
                <w:rFonts w:cs="Segoe UI"/>
              </w:rPr>
            </w:pPr>
            <w:r w:rsidRPr="00F552E2">
              <w:t xml:space="preserve"> 6 </w:t>
            </w:r>
          </w:p>
        </w:tc>
        <w:tc>
          <w:tcPr>
            <w:tcW w:w="426" w:type="dxa"/>
            <w:tcBorders>
              <w:top w:val="nil"/>
              <w:bottom w:val="nil"/>
            </w:tcBorders>
            <w:shd w:val="clear" w:color="auto" w:fill="auto"/>
          </w:tcPr>
          <w:p w14:paraId="7CFCBCF8" w14:textId="77777777" w:rsidR="0016455D" w:rsidRPr="00200234" w:rsidRDefault="0016455D" w:rsidP="001236DF">
            <w:pPr>
              <w:pStyle w:val="TableText"/>
              <w:keepNext/>
              <w:tabs>
                <w:tab w:val="decimal" w:pos="636"/>
              </w:tabs>
              <w:spacing w:before="55" w:after="55"/>
              <w:rPr>
                <w:rFonts w:cs="Segoe UI"/>
              </w:rPr>
            </w:pPr>
          </w:p>
        </w:tc>
        <w:tc>
          <w:tcPr>
            <w:tcW w:w="1843" w:type="dxa"/>
          </w:tcPr>
          <w:p w14:paraId="06EA65E4" w14:textId="77777777" w:rsidR="0016455D" w:rsidRPr="00200234" w:rsidRDefault="0016455D" w:rsidP="001236DF">
            <w:pPr>
              <w:pStyle w:val="TableText"/>
              <w:keepNext/>
              <w:spacing w:before="55" w:after="55"/>
              <w:jc w:val="both"/>
              <w:rPr>
                <w:rFonts w:cs="Segoe UI"/>
              </w:rPr>
            </w:pPr>
            <w:r w:rsidRPr="00200234">
              <w:rPr>
                <w:rFonts w:cs="Segoe UI"/>
              </w:rPr>
              <w:t>Waikato</w:t>
            </w:r>
          </w:p>
        </w:tc>
        <w:tc>
          <w:tcPr>
            <w:tcW w:w="567" w:type="dxa"/>
          </w:tcPr>
          <w:p w14:paraId="69538F9A" w14:textId="77777777" w:rsidR="0016455D" w:rsidRPr="00200234" w:rsidRDefault="0016455D" w:rsidP="001236DF">
            <w:pPr>
              <w:pStyle w:val="TableText"/>
              <w:keepNext/>
              <w:tabs>
                <w:tab w:val="decimal" w:pos="368"/>
              </w:tabs>
              <w:spacing w:before="55" w:after="55"/>
              <w:rPr>
                <w:rFonts w:cs="Segoe UI"/>
              </w:rPr>
            </w:pPr>
            <w:r w:rsidRPr="009A0736">
              <w:t xml:space="preserve"> 20 </w:t>
            </w:r>
          </w:p>
        </w:tc>
        <w:tc>
          <w:tcPr>
            <w:tcW w:w="568" w:type="dxa"/>
          </w:tcPr>
          <w:p w14:paraId="45B8F47E" w14:textId="77777777" w:rsidR="0016455D" w:rsidRPr="00200234" w:rsidRDefault="0016455D" w:rsidP="001236DF">
            <w:pPr>
              <w:pStyle w:val="TableText"/>
              <w:keepNext/>
              <w:tabs>
                <w:tab w:val="decimal" w:pos="368"/>
              </w:tabs>
              <w:spacing w:before="55" w:after="55"/>
              <w:rPr>
                <w:rFonts w:cs="Segoe UI"/>
              </w:rPr>
            </w:pPr>
            <w:r w:rsidRPr="009A0736">
              <w:t xml:space="preserve"> 19 </w:t>
            </w:r>
          </w:p>
        </w:tc>
        <w:tc>
          <w:tcPr>
            <w:tcW w:w="709" w:type="dxa"/>
          </w:tcPr>
          <w:p w14:paraId="63884EAD" w14:textId="77777777" w:rsidR="0016455D" w:rsidRPr="00200234" w:rsidRDefault="0016455D" w:rsidP="001236DF">
            <w:pPr>
              <w:pStyle w:val="TableText"/>
              <w:keepNext/>
              <w:tabs>
                <w:tab w:val="decimal" w:pos="454"/>
              </w:tabs>
              <w:spacing w:before="55" w:after="55"/>
              <w:rPr>
                <w:rFonts w:cs="Segoe UI"/>
              </w:rPr>
            </w:pPr>
            <w:r w:rsidRPr="009A0736">
              <w:t xml:space="preserve"> 13 </w:t>
            </w:r>
          </w:p>
        </w:tc>
      </w:tr>
      <w:tr w:rsidR="0016455D" w:rsidRPr="00200234" w14:paraId="213C1824" w14:textId="77777777" w:rsidTr="001236DF">
        <w:trPr>
          <w:cantSplit/>
        </w:trPr>
        <w:tc>
          <w:tcPr>
            <w:tcW w:w="1843" w:type="dxa"/>
          </w:tcPr>
          <w:p w14:paraId="37780CDB" w14:textId="77777777" w:rsidR="0016455D" w:rsidRPr="00200234" w:rsidRDefault="0016455D" w:rsidP="001236DF">
            <w:pPr>
              <w:pStyle w:val="TableText"/>
              <w:keepNext/>
              <w:spacing w:before="55" w:after="55"/>
              <w:rPr>
                <w:rFonts w:cs="Segoe UI"/>
              </w:rPr>
            </w:pPr>
            <w:r w:rsidRPr="00200234">
              <w:rPr>
                <w:rFonts w:cs="Segoe UI"/>
              </w:rPr>
              <w:t>Hutt Valley</w:t>
            </w:r>
          </w:p>
        </w:tc>
        <w:tc>
          <w:tcPr>
            <w:tcW w:w="638" w:type="dxa"/>
          </w:tcPr>
          <w:p w14:paraId="1391F3EB" w14:textId="77777777" w:rsidR="0016455D" w:rsidRPr="00200234" w:rsidRDefault="0016455D" w:rsidP="001236DF">
            <w:pPr>
              <w:pStyle w:val="TableText"/>
              <w:keepNext/>
              <w:tabs>
                <w:tab w:val="decimal" w:pos="368"/>
              </w:tabs>
              <w:spacing w:before="55" w:after="55"/>
              <w:rPr>
                <w:rFonts w:cs="Segoe UI"/>
              </w:rPr>
            </w:pPr>
            <w:r w:rsidRPr="00F552E2">
              <w:t xml:space="preserve"> 16 </w:t>
            </w:r>
          </w:p>
        </w:tc>
        <w:tc>
          <w:tcPr>
            <w:tcW w:w="638" w:type="dxa"/>
          </w:tcPr>
          <w:p w14:paraId="61474759" w14:textId="77777777" w:rsidR="0016455D" w:rsidRPr="00200234" w:rsidRDefault="0016455D" w:rsidP="001236DF">
            <w:pPr>
              <w:pStyle w:val="TableText"/>
              <w:keepNext/>
              <w:tabs>
                <w:tab w:val="decimal" w:pos="368"/>
              </w:tabs>
              <w:spacing w:before="55" w:after="55"/>
              <w:rPr>
                <w:rFonts w:cs="Segoe UI"/>
              </w:rPr>
            </w:pPr>
            <w:r w:rsidRPr="00F552E2">
              <w:t xml:space="preserve"> 17 </w:t>
            </w:r>
          </w:p>
        </w:tc>
        <w:tc>
          <w:tcPr>
            <w:tcW w:w="850" w:type="dxa"/>
          </w:tcPr>
          <w:p w14:paraId="06891E64" w14:textId="77777777" w:rsidR="0016455D" w:rsidRPr="00200234" w:rsidRDefault="0016455D" w:rsidP="001236DF">
            <w:pPr>
              <w:pStyle w:val="TableText"/>
              <w:keepNext/>
              <w:tabs>
                <w:tab w:val="decimal" w:pos="454"/>
              </w:tabs>
              <w:spacing w:before="55" w:after="55"/>
              <w:rPr>
                <w:rFonts w:cs="Segoe UI"/>
              </w:rPr>
            </w:pPr>
            <w:r w:rsidRPr="00F552E2">
              <w:t xml:space="preserve"> 9 </w:t>
            </w:r>
          </w:p>
        </w:tc>
        <w:tc>
          <w:tcPr>
            <w:tcW w:w="426" w:type="dxa"/>
            <w:tcBorders>
              <w:top w:val="nil"/>
              <w:bottom w:val="nil"/>
            </w:tcBorders>
            <w:shd w:val="clear" w:color="auto" w:fill="auto"/>
          </w:tcPr>
          <w:p w14:paraId="555F9BDF" w14:textId="77777777" w:rsidR="0016455D" w:rsidRPr="00200234" w:rsidRDefault="0016455D" w:rsidP="001236DF">
            <w:pPr>
              <w:pStyle w:val="TableText"/>
              <w:keepNext/>
              <w:tabs>
                <w:tab w:val="decimal" w:pos="636"/>
              </w:tabs>
              <w:spacing w:before="55" w:after="55"/>
              <w:rPr>
                <w:rFonts w:cs="Segoe UI"/>
              </w:rPr>
            </w:pPr>
          </w:p>
        </w:tc>
        <w:tc>
          <w:tcPr>
            <w:tcW w:w="1843" w:type="dxa"/>
          </w:tcPr>
          <w:p w14:paraId="4FEBA708" w14:textId="77777777" w:rsidR="0016455D" w:rsidRPr="00200234" w:rsidRDefault="0016455D" w:rsidP="001236DF">
            <w:pPr>
              <w:pStyle w:val="TableText"/>
              <w:keepNext/>
              <w:spacing w:before="55" w:after="55"/>
              <w:jc w:val="both"/>
              <w:rPr>
                <w:rFonts w:cs="Segoe UI"/>
              </w:rPr>
            </w:pPr>
            <w:r w:rsidRPr="00200234">
              <w:rPr>
                <w:rFonts w:cs="Segoe UI"/>
              </w:rPr>
              <w:t>Wairarapa</w:t>
            </w:r>
          </w:p>
        </w:tc>
        <w:tc>
          <w:tcPr>
            <w:tcW w:w="567" w:type="dxa"/>
          </w:tcPr>
          <w:p w14:paraId="1E73C2C3" w14:textId="77777777" w:rsidR="0016455D" w:rsidRPr="00200234" w:rsidRDefault="0016455D" w:rsidP="001236DF">
            <w:pPr>
              <w:pStyle w:val="TableText"/>
              <w:keepNext/>
              <w:tabs>
                <w:tab w:val="decimal" w:pos="368"/>
              </w:tabs>
              <w:spacing w:before="55" w:after="55"/>
              <w:rPr>
                <w:rFonts w:cs="Segoe UI"/>
              </w:rPr>
            </w:pPr>
            <w:r w:rsidRPr="009A0736">
              <w:t xml:space="preserve"> 7 </w:t>
            </w:r>
          </w:p>
        </w:tc>
        <w:tc>
          <w:tcPr>
            <w:tcW w:w="568" w:type="dxa"/>
          </w:tcPr>
          <w:p w14:paraId="5A03790C" w14:textId="77777777" w:rsidR="0016455D" w:rsidRPr="00200234" w:rsidRDefault="0016455D" w:rsidP="001236DF">
            <w:pPr>
              <w:pStyle w:val="TableText"/>
              <w:keepNext/>
              <w:tabs>
                <w:tab w:val="decimal" w:pos="368"/>
              </w:tabs>
              <w:spacing w:before="55" w:after="55"/>
              <w:rPr>
                <w:rFonts w:cs="Segoe UI"/>
              </w:rPr>
            </w:pPr>
            <w:r w:rsidRPr="009A0736">
              <w:t xml:space="preserve"> 4 </w:t>
            </w:r>
          </w:p>
        </w:tc>
        <w:tc>
          <w:tcPr>
            <w:tcW w:w="709" w:type="dxa"/>
          </w:tcPr>
          <w:p w14:paraId="5247A2C4" w14:textId="77777777" w:rsidR="0016455D" w:rsidRPr="00200234" w:rsidRDefault="0016455D" w:rsidP="001236DF">
            <w:pPr>
              <w:pStyle w:val="TableText"/>
              <w:keepNext/>
              <w:tabs>
                <w:tab w:val="decimal" w:pos="454"/>
              </w:tabs>
              <w:spacing w:before="55" w:after="55"/>
              <w:rPr>
                <w:rFonts w:cs="Segoe UI"/>
              </w:rPr>
            </w:pPr>
            <w:r w:rsidRPr="009A0736">
              <w:t xml:space="preserve"> 6 </w:t>
            </w:r>
          </w:p>
        </w:tc>
      </w:tr>
      <w:tr w:rsidR="0016455D" w:rsidRPr="00200234" w14:paraId="549D7B02" w14:textId="77777777" w:rsidTr="001236DF">
        <w:trPr>
          <w:cantSplit/>
        </w:trPr>
        <w:tc>
          <w:tcPr>
            <w:tcW w:w="1843" w:type="dxa"/>
          </w:tcPr>
          <w:p w14:paraId="1976D5E0" w14:textId="77777777" w:rsidR="0016455D" w:rsidRPr="00200234" w:rsidRDefault="0016455D" w:rsidP="001236DF">
            <w:pPr>
              <w:pStyle w:val="TableText"/>
              <w:keepNext/>
              <w:spacing w:before="55" w:after="55"/>
              <w:rPr>
                <w:rFonts w:cs="Segoe UI"/>
              </w:rPr>
            </w:pPr>
            <w:r w:rsidRPr="00200234">
              <w:rPr>
                <w:rFonts w:cs="Segoe UI"/>
              </w:rPr>
              <w:t>Lakes</w:t>
            </w:r>
          </w:p>
        </w:tc>
        <w:tc>
          <w:tcPr>
            <w:tcW w:w="638" w:type="dxa"/>
          </w:tcPr>
          <w:p w14:paraId="7EF7C012" w14:textId="77777777" w:rsidR="0016455D" w:rsidRPr="00200234" w:rsidRDefault="0016455D" w:rsidP="001236DF">
            <w:pPr>
              <w:pStyle w:val="TableText"/>
              <w:keepNext/>
              <w:tabs>
                <w:tab w:val="decimal" w:pos="368"/>
              </w:tabs>
              <w:spacing w:before="55" w:after="55"/>
              <w:rPr>
                <w:rFonts w:cs="Segoe UI"/>
              </w:rPr>
            </w:pPr>
            <w:r w:rsidRPr="00F552E2">
              <w:t xml:space="preserve"> 14 </w:t>
            </w:r>
          </w:p>
        </w:tc>
        <w:tc>
          <w:tcPr>
            <w:tcW w:w="638" w:type="dxa"/>
          </w:tcPr>
          <w:p w14:paraId="0190809B" w14:textId="77777777" w:rsidR="0016455D" w:rsidRPr="00200234" w:rsidRDefault="0016455D" w:rsidP="001236DF">
            <w:pPr>
              <w:pStyle w:val="TableText"/>
              <w:keepNext/>
              <w:tabs>
                <w:tab w:val="decimal" w:pos="368"/>
              </w:tabs>
              <w:spacing w:before="55" w:after="55"/>
              <w:rPr>
                <w:rFonts w:cs="Segoe UI"/>
              </w:rPr>
            </w:pPr>
            <w:r w:rsidRPr="00F552E2">
              <w:t xml:space="preserve"> 12 </w:t>
            </w:r>
          </w:p>
        </w:tc>
        <w:tc>
          <w:tcPr>
            <w:tcW w:w="850" w:type="dxa"/>
          </w:tcPr>
          <w:p w14:paraId="1FA27CC6" w14:textId="77777777" w:rsidR="0016455D" w:rsidRPr="00200234" w:rsidRDefault="0016455D" w:rsidP="001236DF">
            <w:pPr>
              <w:pStyle w:val="TableText"/>
              <w:keepNext/>
              <w:tabs>
                <w:tab w:val="decimal" w:pos="454"/>
              </w:tabs>
              <w:spacing w:before="55" w:after="55"/>
              <w:rPr>
                <w:rFonts w:cs="Segoe UI"/>
              </w:rPr>
            </w:pPr>
            <w:r w:rsidRPr="00F552E2">
              <w:t xml:space="preserve"> 7 </w:t>
            </w:r>
          </w:p>
        </w:tc>
        <w:tc>
          <w:tcPr>
            <w:tcW w:w="426" w:type="dxa"/>
            <w:tcBorders>
              <w:top w:val="nil"/>
              <w:bottom w:val="nil"/>
            </w:tcBorders>
            <w:shd w:val="clear" w:color="auto" w:fill="auto"/>
          </w:tcPr>
          <w:p w14:paraId="37996FD4" w14:textId="77777777" w:rsidR="0016455D" w:rsidRPr="00200234" w:rsidRDefault="0016455D" w:rsidP="001236DF">
            <w:pPr>
              <w:pStyle w:val="TableText"/>
              <w:keepNext/>
              <w:tabs>
                <w:tab w:val="decimal" w:pos="636"/>
              </w:tabs>
              <w:spacing w:before="55" w:after="55"/>
              <w:rPr>
                <w:rFonts w:cs="Segoe UI"/>
              </w:rPr>
            </w:pPr>
          </w:p>
        </w:tc>
        <w:tc>
          <w:tcPr>
            <w:tcW w:w="1843" w:type="dxa"/>
          </w:tcPr>
          <w:p w14:paraId="1463EA54" w14:textId="77777777" w:rsidR="0016455D" w:rsidRPr="00200234" w:rsidRDefault="0016455D" w:rsidP="001236DF">
            <w:pPr>
              <w:pStyle w:val="TableText"/>
              <w:keepNext/>
              <w:spacing w:before="55" w:after="55"/>
              <w:jc w:val="both"/>
              <w:rPr>
                <w:rFonts w:cs="Segoe UI"/>
              </w:rPr>
            </w:pPr>
            <w:r w:rsidRPr="00200234">
              <w:rPr>
                <w:rFonts w:cs="Segoe UI"/>
              </w:rPr>
              <w:t>Waitematā</w:t>
            </w:r>
          </w:p>
        </w:tc>
        <w:tc>
          <w:tcPr>
            <w:tcW w:w="567" w:type="dxa"/>
          </w:tcPr>
          <w:p w14:paraId="58214D44" w14:textId="77777777" w:rsidR="0016455D" w:rsidRPr="00200234" w:rsidRDefault="0016455D" w:rsidP="001236DF">
            <w:pPr>
              <w:pStyle w:val="TableText"/>
              <w:keepNext/>
              <w:tabs>
                <w:tab w:val="decimal" w:pos="368"/>
              </w:tabs>
              <w:spacing w:before="55" w:after="55"/>
              <w:rPr>
                <w:rFonts w:cs="Segoe UI"/>
              </w:rPr>
            </w:pPr>
            <w:r w:rsidRPr="009A0736">
              <w:t xml:space="preserve"> 10 </w:t>
            </w:r>
          </w:p>
        </w:tc>
        <w:tc>
          <w:tcPr>
            <w:tcW w:w="568" w:type="dxa"/>
          </w:tcPr>
          <w:p w14:paraId="109DFEC0" w14:textId="77777777" w:rsidR="0016455D" w:rsidRPr="00200234" w:rsidRDefault="0016455D" w:rsidP="001236DF">
            <w:pPr>
              <w:pStyle w:val="TableText"/>
              <w:keepNext/>
              <w:tabs>
                <w:tab w:val="decimal" w:pos="368"/>
              </w:tabs>
              <w:spacing w:before="55" w:after="55"/>
              <w:rPr>
                <w:rFonts w:cs="Segoe UI"/>
              </w:rPr>
            </w:pPr>
            <w:r w:rsidRPr="009A0736">
              <w:t xml:space="preserve"> 13 </w:t>
            </w:r>
          </w:p>
        </w:tc>
        <w:tc>
          <w:tcPr>
            <w:tcW w:w="709" w:type="dxa"/>
          </w:tcPr>
          <w:p w14:paraId="1842C573" w14:textId="77777777" w:rsidR="0016455D" w:rsidRPr="00200234" w:rsidRDefault="0016455D" w:rsidP="001236DF">
            <w:pPr>
              <w:pStyle w:val="TableText"/>
              <w:keepNext/>
              <w:tabs>
                <w:tab w:val="decimal" w:pos="454"/>
              </w:tabs>
              <w:spacing w:before="55" w:after="55"/>
              <w:rPr>
                <w:rFonts w:cs="Segoe UI"/>
              </w:rPr>
            </w:pPr>
            <w:r w:rsidRPr="009A0736">
              <w:t xml:space="preserve"> 10 </w:t>
            </w:r>
          </w:p>
        </w:tc>
      </w:tr>
      <w:tr w:rsidR="0016455D" w:rsidRPr="00200234" w14:paraId="77884210" w14:textId="77777777" w:rsidTr="001236DF">
        <w:trPr>
          <w:cantSplit/>
        </w:trPr>
        <w:tc>
          <w:tcPr>
            <w:tcW w:w="1843" w:type="dxa"/>
          </w:tcPr>
          <w:p w14:paraId="3884D857" w14:textId="77777777" w:rsidR="0016455D" w:rsidRPr="00200234" w:rsidRDefault="0016455D" w:rsidP="001236DF">
            <w:pPr>
              <w:pStyle w:val="TableText"/>
              <w:spacing w:before="55" w:after="55"/>
              <w:rPr>
                <w:rFonts w:cs="Segoe UI"/>
              </w:rPr>
            </w:pPr>
            <w:r w:rsidRPr="00200234">
              <w:rPr>
                <w:rFonts w:cs="Segoe UI"/>
              </w:rPr>
              <w:t>MidCentral</w:t>
            </w:r>
          </w:p>
        </w:tc>
        <w:tc>
          <w:tcPr>
            <w:tcW w:w="638" w:type="dxa"/>
          </w:tcPr>
          <w:p w14:paraId="5B6C4890" w14:textId="77777777" w:rsidR="0016455D" w:rsidRPr="00200234" w:rsidRDefault="0016455D" w:rsidP="001236DF">
            <w:pPr>
              <w:pStyle w:val="TableText"/>
              <w:tabs>
                <w:tab w:val="decimal" w:pos="368"/>
              </w:tabs>
              <w:spacing w:before="55" w:after="55"/>
              <w:rPr>
                <w:rFonts w:cs="Segoe UI"/>
              </w:rPr>
            </w:pPr>
            <w:r w:rsidRPr="00F552E2">
              <w:t xml:space="preserve"> 10 </w:t>
            </w:r>
          </w:p>
        </w:tc>
        <w:tc>
          <w:tcPr>
            <w:tcW w:w="638" w:type="dxa"/>
          </w:tcPr>
          <w:p w14:paraId="642896AD" w14:textId="77777777" w:rsidR="0016455D" w:rsidRPr="00200234" w:rsidRDefault="0016455D" w:rsidP="001236DF">
            <w:pPr>
              <w:pStyle w:val="TableText"/>
              <w:tabs>
                <w:tab w:val="decimal" w:pos="368"/>
              </w:tabs>
              <w:spacing w:before="55" w:after="55"/>
              <w:rPr>
                <w:rFonts w:cs="Segoe UI"/>
              </w:rPr>
            </w:pPr>
            <w:r w:rsidRPr="00F552E2">
              <w:t xml:space="preserve"> 9 </w:t>
            </w:r>
          </w:p>
        </w:tc>
        <w:tc>
          <w:tcPr>
            <w:tcW w:w="850" w:type="dxa"/>
          </w:tcPr>
          <w:p w14:paraId="042946F0" w14:textId="77777777" w:rsidR="0016455D" w:rsidRPr="00200234" w:rsidRDefault="0016455D" w:rsidP="001236DF">
            <w:pPr>
              <w:pStyle w:val="TableText"/>
              <w:tabs>
                <w:tab w:val="decimal" w:pos="454"/>
              </w:tabs>
              <w:spacing w:before="55" w:after="55"/>
              <w:rPr>
                <w:rFonts w:cs="Segoe UI"/>
              </w:rPr>
            </w:pPr>
            <w:r w:rsidRPr="00F552E2">
              <w:t xml:space="preserve"> 8 </w:t>
            </w:r>
          </w:p>
        </w:tc>
        <w:tc>
          <w:tcPr>
            <w:tcW w:w="426" w:type="dxa"/>
            <w:tcBorders>
              <w:top w:val="nil"/>
              <w:bottom w:val="nil"/>
            </w:tcBorders>
            <w:shd w:val="clear" w:color="auto" w:fill="auto"/>
          </w:tcPr>
          <w:p w14:paraId="3E9321BB" w14:textId="77777777" w:rsidR="0016455D" w:rsidRPr="00200234" w:rsidRDefault="0016455D" w:rsidP="001236DF">
            <w:pPr>
              <w:pStyle w:val="TableText"/>
              <w:tabs>
                <w:tab w:val="decimal" w:pos="636"/>
              </w:tabs>
              <w:spacing w:before="55" w:after="55"/>
              <w:rPr>
                <w:rFonts w:cs="Segoe UI"/>
              </w:rPr>
            </w:pPr>
          </w:p>
        </w:tc>
        <w:tc>
          <w:tcPr>
            <w:tcW w:w="1843" w:type="dxa"/>
          </w:tcPr>
          <w:p w14:paraId="2D81D3C8" w14:textId="77777777" w:rsidR="0016455D" w:rsidRPr="00200234" w:rsidRDefault="0016455D" w:rsidP="001236DF">
            <w:pPr>
              <w:pStyle w:val="TableText"/>
              <w:spacing w:before="55" w:after="55"/>
              <w:jc w:val="both"/>
              <w:rPr>
                <w:rFonts w:cs="Segoe UI"/>
              </w:rPr>
            </w:pPr>
            <w:r w:rsidRPr="00200234">
              <w:rPr>
                <w:rFonts w:cs="Segoe UI"/>
              </w:rPr>
              <w:t>West Coast</w:t>
            </w:r>
          </w:p>
        </w:tc>
        <w:tc>
          <w:tcPr>
            <w:tcW w:w="567" w:type="dxa"/>
          </w:tcPr>
          <w:p w14:paraId="68A6791E" w14:textId="77777777" w:rsidR="0016455D" w:rsidRPr="00200234" w:rsidRDefault="0016455D" w:rsidP="001236DF">
            <w:pPr>
              <w:pStyle w:val="TableText"/>
              <w:tabs>
                <w:tab w:val="decimal" w:pos="368"/>
              </w:tabs>
              <w:spacing w:before="55" w:after="55"/>
              <w:rPr>
                <w:rFonts w:cs="Segoe UI"/>
              </w:rPr>
            </w:pPr>
            <w:r w:rsidRPr="009A0736">
              <w:t xml:space="preserve"> 11 </w:t>
            </w:r>
          </w:p>
        </w:tc>
        <w:tc>
          <w:tcPr>
            <w:tcW w:w="568" w:type="dxa"/>
          </w:tcPr>
          <w:p w14:paraId="55816F74" w14:textId="77777777" w:rsidR="0016455D" w:rsidRPr="00200234" w:rsidRDefault="0016455D" w:rsidP="001236DF">
            <w:pPr>
              <w:pStyle w:val="TableText"/>
              <w:tabs>
                <w:tab w:val="decimal" w:pos="368"/>
              </w:tabs>
              <w:spacing w:before="55" w:after="55"/>
              <w:rPr>
                <w:rFonts w:cs="Segoe UI"/>
              </w:rPr>
            </w:pPr>
            <w:r w:rsidRPr="009A0736">
              <w:t xml:space="preserve"> 8 </w:t>
            </w:r>
          </w:p>
        </w:tc>
        <w:tc>
          <w:tcPr>
            <w:tcW w:w="709" w:type="dxa"/>
          </w:tcPr>
          <w:p w14:paraId="619DA322" w14:textId="77777777" w:rsidR="0016455D" w:rsidRPr="00200234" w:rsidRDefault="0016455D" w:rsidP="001236DF">
            <w:pPr>
              <w:pStyle w:val="TableText"/>
              <w:tabs>
                <w:tab w:val="decimal" w:pos="454"/>
              </w:tabs>
              <w:spacing w:before="55" w:after="55"/>
              <w:rPr>
                <w:rFonts w:cs="Segoe UI"/>
              </w:rPr>
            </w:pPr>
            <w:r w:rsidRPr="009A0736">
              <w:t xml:space="preserve"> 6 </w:t>
            </w:r>
          </w:p>
        </w:tc>
      </w:tr>
      <w:tr w:rsidR="0016455D" w:rsidRPr="00200234" w14:paraId="25FEEC92" w14:textId="77777777" w:rsidTr="001236DF">
        <w:trPr>
          <w:cantSplit/>
        </w:trPr>
        <w:tc>
          <w:tcPr>
            <w:tcW w:w="1843" w:type="dxa"/>
            <w:tcBorders>
              <w:bottom w:val="single" w:sz="4" w:space="0" w:color="A6A6A6" w:themeColor="background1" w:themeShade="A6"/>
            </w:tcBorders>
          </w:tcPr>
          <w:p w14:paraId="415B6389" w14:textId="77777777" w:rsidR="0016455D" w:rsidRPr="00200234" w:rsidRDefault="0016455D" w:rsidP="001236DF">
            <w:pPr>
              <w:pStyle w:val="TableText"/>
              <w:spacing w:before="55" w:after="55"/>
              <w:rPr>
                <w:rFonts w:cs="Segoe UI"/>
              </w:rPr>
            </w:pPr>
            <w:r w:rsidRPr="00200234">
              <w:rPr>
                <w:rFonts w:cs="Segoe UI"/>
              </w:rPr>
              <w:t>Nelson Marlborough</w:t>
            </w:r>
          </w:p>
        </w:tc>
        <w:tc>
          <w:tcPr>
            <w:tcW w:w="638" w:type="dxa"/>
            <w:tcBorders>
              <w:bottom w:val="single" w:sz="4" w:space="0" w:color="A6A6A6" w:themeColor="background1" w:themeShade="A6"/>
            </w:tcBorders>
          </w:tcPr>
          <w:p w14:paraId="6A066532" w14:textId="77777777" w:rsidR="0016455D" w:rsidRPr="00200234" w:rsidRDefault="0016455D" w:rsidP="001236DF">
            <w:pPr>
              <w:pStyle w:val="TableText"/>
              <w:tabs>
                <w:tab w:val="decimal" w:pos="368"/>
              </w:tabs>
              <w:spacing w:before="55" w:after="55"/>
              <w:rPr>
                <w:rFonts w:cs="Segoe UI"/>
              </w:rPr>
            </w:pPr>
            <w:r w:rsidRPr="00F552E2">
              <w:t xml:space="preserve"> 9 </w:t>
            </w:r>
          </w:p>
        </w:tc>
        <w:tc>
          <w:tcPr>
            <w:tcW w:w="638" w:type="dxa"/>
            <w:tcBorders>
              <w:bottom w:val="single" w:sz="4" w:space="0" w:color="A6A6A6" w:themeColor="background1" w:themeShade="A6"/>
            </w:tcBorders>
          </w:tcPr>
          <w:p w14:paraId="1265149F" w14:textId="77777777" w:rsidR="0016455D" w:rsidRPr="00200234" w:rsidRDefault="0016455D" w:rsidP="001236DF">
            <w:pPr>
              <w:pStyle w:val="TableText"/>
              <w:tabs>
                <w:tab w:val="decimal" w:pos="368"/>
              </w:tabs>
              <w:spacing w:before="55" w:after="55"/>
              <w:rPr>
                <w:rFonts w:cs="Segoe UI"/>
              </w:rPr>
            </w:pPr>
            <w:r w:rsidRPr="00F552E2">
              <w:t xml:space="preserve"> 10 </w:t>
            </w:r>
          </w:p>
        </w:tc>
        <w:tc>
          <w:tcPr>
            <w:tcW w:w="850" w:type="dxa"/>
            <w:tcBorders>
              <w:bottom w:val="single" w:sz="4" w:space="0" w:color="A6A6A6" w:themeColor="background1" w:themeShade="A6"/>
            </w:tcBorders>
          </w:tcPr>
          <w:p w14:paraId="4AD4C8FD" w14:textId="77777777" w:rsidR="0016455D" w:rsidRPr="00200234" w:rsidRDefault="0016455D" w:rsidP="001236DF">
            <w:pPr>
              <w:pStyle w:val="TableText"/>
              <w:tabs>
                <w:tab w:val="decimal" w:pos="454"/>
              </w:tabs>
              <w:spacing w:before="55" w:after="55"/>
              <w:rPr>
                <w:rFonts w:cs="Segoe UI"/>
              </w:rPr>
            </w:pPr>
            <w:r w:rsidRPr="00F552E2">
              <w:t xml:space="preserve"> 11 </w:t>
            </w:r>
          </w:p>
        </w:tc>
        <w:tc>
          <w:tcPr>
            <w:tcW w:w="426" w:type="dxa"/>
            <w:tcBorders>
              <w:top w:val="nil"/>
              <w:bottom w:val="nil"/>
            </w:tcBorders>
            <w:shd w:val="clear" w:color="auto" w:fill="auto"/>
          </w:tcPr>
          <w:p w14:paraId="602F78B6" w14:textId="77777777" w:rsidR="0016455D" w:rsidRPr="00200234" w:rsidRDefault="0016455D" w:rsidP="001236DF">
            <w:pPr>
              <w:pStyle w:val="TableText"/>
              <w:tabs>
                <w:tab w:val="decimal" w:pos="636"/>
              </w:tabs>
              <w:spacing w:before="55" w:after="55"/>
              <w:rPr>
                <w:rFonts w:cs="Segoe UI"/>
              </w:rPr>
            </w:pPr>
          </w:p>
        </w:tc>
        <w:tc>
          <w:tcPr>
            <w:tcW w:w="1843" w:type="dxa"/>
          </w:tcPr>
          <w:p w14:paraId="1836C00D" w14:textId="77777777" w:rsidR="0016455D" w:rsidRPr="00200234" w:rsidRDefault="0016455D" w:rsidP="001236DF">
            <w:pPr>
              <w:pStyle w:val="TableText"/>
              <w:spacing w:before="55" w:after="55"/>
              <w:jc w:val="both"/>
              <w:rPr>
                <w:rFonts w:cs="Segoe UI"/>
              </w:rPr>
            </w:pPr>
            <w:r w:rsidRPr="00200234">
              <w:rPr>
                <w:rFonts w:cs="Segoe UI"/>
              </w:rPr>
              <w:t>Whanganui</w:t>
            </w:r>
          </w:p>
        </w:tc>
        <w:tc>
          <w:tcPr>
            <w:tcW w:w="567" w:type="dxa"/>
          </w:tcPr>
          <w:p w14:paraId="077275B6" w14:textId="77777777" w:rsidR="0016455D" w:rsidRPr="00200234" w:rsidRDefault="0016455D" w:rsidP="001236DF">
            <w:pPr>
              <w:pStyle w:val="TableText"/>
              <w:tabs>
                <w:tab w:val="decimal" w:pos="368"/>
              </w:tabs>
              <w:spacing w:before="55" w:after="55"/>
              <w:rPr>
                <w:rFonts w:cs="Segoe UI"/>
              </w:rPr>
            </w:pPr>
            <w:r w:rsidRPr="009A0736">
              <w:t xml:space="preserve"> 11 </w:t>
            </w:r>
          </w:p>
        </w:tc>
        <w:tc>
          <w:tcPr>
            <w:tcW w:w="568" w:type="dxa"/>
          </w:tcPr>
          <w:p w14:paraId="4D1A896E" w14:textId="77777777" w:rsidR="0016455D" w:rsidRPr="00200234" w:rsidRDefault="0016455D" w:rsidP="001236DF">
            <w:pPr>
              <w:pStyle w:val="TableText"/>
              <w:tabs>
                <w:tab w:val="decimal" w:pos="368"/>
              </w:tabs>
              <w:spacing w:before="55" w:after="55"/>
              <w:rPr>
                <w:rFonts w:cs="Segoe UI"/>
              </w:rPr>
            </w:pPr>
            <w:r w:rsidRPr="009A0736">
              <w:t xml:space="preserve"> 13 </w:t>
            </w:r>
          </w:p>
        </w:tc>
        <w:tc>
          <w:tcPr>
            <w:tcW w:w="709" w:type="dxa"/>
          </w:tcPr>
          <w:p w14:paraId="0E17114A" w14:textId="77777777" w:rsidR="0016455D" w:rsidRPr="00200234" w:rsidRDefault="0016455D" w:rsidP="001236DF">
            <w:pPr>
              <w:pStyle w:val="TableText"/>
              <w:tabs>
                <w:tab w:val="decimal" w:pos="454"/>
              </w:tabs>
              <w:spacing w:before="55" w:after="55"/>
              <w:rPr>
                <w:rFonts w:cs="Segoe UI"/>
              </w:rPr>
            </w:pPr>
            <w:r w:rsidRPr="009A0736">
              <w:t xml:space="preserve"> 9 </w:t>
            </w:r>
          </w:p>
        </w:tc>
      </w:tr>
      <w:tr w:rsidR="0016455D" w:rsidRPr="00200234" w14:paraId="0CC102B1" w14:textId="77777777" w:rsidTr="001236DF">
        <w:trPr>
          <w:cantSplit/>
        </w:trPr>
        <w:tc>
          <w:tcPr>
            <w:tcW w:w="1843" w:type="dxa"/>
            <w:tcBorders>
              <w:bottom w:val="nil"/>
            </w:tcBorders>
          </w:tcPr>
          <w:p w14:paraId="3FC668B8" w14:textId="77777777" w:rsidR="0016455D" w:rsidRPr="00200234" w:rsidRDefault="0016455D" w:rsidP="001236DF">
            <w:pPr>
              <w:pStyle w:val="TableText"/>
              <w:spacing w:before="55" w:after="55"/>
              <w:rPr>
                <w:rFonts w:cs="Segoe UI"/>
              </w:rPr>
            </w:pPr>
          </w:p>
        </w:tc>
        <w:tc>
          <w:tcPr>
            <w:tcW w:w="638" w:type="dxa"/>
            <w:tcBorders>
              <w:bottom w:val="nil"/>
            </w:tcBorders>
          </w:tcPr>
          <w:p w14:paraId="39AC1FDA" w14:textId="77777777" w:rsidR="0016455D" w:rsidRPr="00200234" w:rsidRDefault="0016455D" w:rsidP="001236DF">
            <w:pPr>
              <w:pStyle w:val="TableText"/>
              <w:tabs>
                <w:tab w:val="decimal" w:pos="636"/>
              </w:tabs>
              <w:spacing w:before="55" w:after="55"/>
              <w:rPr>
                <w:rFonts w:cs="Segoe UI"/>
              </w:rPr>
            </w:pPr>
          </w:p>
        </w:tc>
        <w:tc>
          <w:tcPr>
            <w:tcW w:w="638" w:type="dxa"/>
            <w:tcBorders>
              <w:bottom w:val="nil"/>
            </w:tcBorders>
          </w:tcPr>
          <w:p w14:paraId="1B4ED334" w14:textId="77777777" w:rsidR="0016455D" w:rsidRPr="00200234" w:rsidRDefault="0016455D" w:rsidP="001236DF">
            <w:pPr>
              <w:pStyle w:val="TableText"/>
              <w:tabs>
                <w:tab w:val="decimal" w:pos="636"/>
              </w:tabs>
              <w:spacing w:before="55" w:after="55"/>
              <w:rPr>
                <w:rFonts w:cs="Segoe UI"/>
              </w:rPr>
            </w:pPr>
          </w:p>
        </w:tc>
        <w:tc>
          <w:tcPr>
            <w:tcW w:w="850" w:type="dxa"/>
            <w:tcBorders>
              <w:bottom w:val="nil"/>
            </w:tcBorders>
          </w:tcPr>
          <w:p w14:paraId="3A091FAC" w14:textId="77777777" w:rsidR="0016455D" w:rsidRPr="00200234" w:rsidRDefault="0016455D" w:rsidP="001236DF">
            <w:pPr>
              <w:pStyle w:val="TableText"/>
              <w:tabs>
                <w:tab w:val="decimal" w:pos="636"/>
              </w:tabs>
              <w:spacing w:before="55" w:after="55"/>
              <w:rPr>
                <w:rFonts w:cs="Segoe UI"/>
              </w:rPr>
            </w:pPr>
          </w:p>
        </w:tc>
        <w:tc>
          <w:tcPr>
            <w:tcW w:w="426" w:type="dxa"/>
            <w:tcBorders>
              <w:top w:val="nil"/>
              <w:bottom w:val="nil"/>
            </w:tcBorders>
            <w:shd w:val="clear" w:color="auto" w:fill="auto"/>
          </w:tcPr>
          <w:p w14:paraId="0B10E2A7" w14:textId="77777777" w:rsidR="0016455D" w:rsidRPr="00200234" w:rsidRDefault="0016455D" w:rsidP="001236DF">
            <w:pPr>
              <w:pStyle w:val="TableText"/>
              <w:tabs>
                <w:tab w:val="decimal" w:pos="636"/>
              </w:tabs>
              <w:spacing w:before="55" w:after="55"/>
              <w:rPr>
                <w:rFonts w:cs="Segoe UI"/>
              </w:rPr>
            </w:pPr>
          </w:p>
        </w:tc>
        <w:tc>
          <w:tcPr>
            <w:tcW w:w="1843" w:type="dxa"/>
          </w:tcPr>
          <w:p w14:paraId="21D3D9FE" w14:textId="77777777" w:rsidR="0016455D" w:rsidRPr="00200234" w:rsidRDefault="0016455D" w:rsidP="001236DF">
            <w:pPr>
              <w:pStyle w:val="TableText"/>
              <w:spacing w:before="55" w:after="55"/>
              <w:jc w:val="both"/>
              <w:rPr>
                <w:rFonts w:cs="Segoe UI"/>
              </w:rPr>
            </w:pPr>
            <w:r w:rsidRPr="00200234">
              <w:rPr>
                <w:rFonts w:cs="Segoe UI"/>
                <w:b/>
              </w:rPr>
              <w:t>National average</w:t>
            </w:r>
          </w:p>
        </w:tc>
        <w:tc>
          <w:tcPr>
            <w:tcW w:w="567" w:type="dxa"/>
          </w:tcPr>
          <w:p w14:paraId="575E9706" w14:textId="77777777" w:rsidR="0016455D" w:rsidRPr="00200234" w:rsidRDefault="0016455D" w:rsidP="001236DF">
            <w:pPr>
              <w:pStyle w:val="TableText"/>
              <w:tabs>
                <w:tab w:val="decimal" w:pos="368"/>
              </w:tabs>
              <w:spacing w:before="55" w:after="55"/>
              <w:rPr>
                <w:rFonts w:cs="Segoe UI"/>
              </w:rPr>
            </w:pPr>
            <w:r w:rsidRPr="00200234">
              <w:rPr>
                <w:rFonts w:cs="Segoe UI"/>
                <w:b/>
              </w:rPr>
              <w:t>1</w:t>
            </w:r>
            <w:r>
              <w:rPr>
                <w:rFonts w:cs="Segoe UI"/>
                <w:b/>
              </w:rPr>
              <w:t>2</w:t>
            </w:r>
          </w:p>
        </w:tc>
        <w:tc>
          <w:tcPr>
            <w:tcW w:w="568" w:type="dxa"/>
          </w:tcPr>
          <w:p w14:paraId="62D4B265" w14:textId="77777777" w:rsidR="0016455D" w:rsidRPr="00200234" w:rsidRDefault="0016455D" w:rsidP="001236DF">
            <w:pPr>
              <w:pStyle w:val="TableText"/>
              <w:tabs>
                <w:tab w:val="decimal" w:pos="368"/>
              </w:tabs>
              <w:spacing w:before="55" w:after="55"/>
              <w:rPr>
                <w:rFonts w:cs="Segoe UI"/>
              </w:rPr>
            </w:pPr>
            <w:r w:rsidRPr="00200234">
              <w:rPr>
                <w:rFonts w:cs="Segoe UI"/>
                <w:b/>
              </w:rPr>
              <w:t>13</w:t>
            </w:r>
          </w:p>
        </w:tc>
        <w:tc>
          <w:tcPr>
            <w:tcW w:w="709" w:type="dxa"/>
          </w:tcPr>
          <w:p w14:paraId="14CCB824" w14:textId="77777777" w:rsidR="0016455D" w:rsidRPr="00200234" w:rsidRDefault="0016455D" w:rsidP="001236DF">
            <w:pPr>
              <w:pStyle w:val="TableText"/>
              <w:tabs>
                <w:tab w:val="decimal" w:pos="454"/>
              </w:tabs>
              <w:spacing w:before="55" w:after="55"/>
              <w:rPr>
                <w:rFonts w:cs="Segoe UI"/>
              </w:rPr>
            </w:pPr>
            <w:r w:rsidRPr="00200234">
              <w:rPr>
                <w:rFonts w:cs="Segoe UI"/>
                <w:b/>
              </w:rPr>
              <w:t>9</w:t>
            </w:r>
          </w:p>
        </w:tc>
      </w:tr>
    </w:tbl>
    <w:p w14:paraId="6390E9F6" w14:textId="77777777" w:rsidR="0016455D" w:rsidRDefault="0016455D" w:rsidP="0016455D">
      <w:pPr>
        <w:pStyle w:val="Note"/>
      </w:pPr>
      <w:r w:rsidRPr="00200234">
        <w:t>Note</w:t>
      </w:r>
      <w:r>
        <w:t>s</w:t>
      </w:r>
      <w:r w:rsidRPr="00200234">
        <w:t>: Section 14(4) data may also include PRIMHD records for section 15(1) and 15(2). The</w:t>
      </w:r>
      <w:r>
        <w:t>se section 15</w:t>
      </w:r>
      <w:r w:rsidRPr="00200234">
        <w:t xml:space="preserve"> provisions describe similar circumstances in which a patient is waiting for a court decision on compulsory treatment. Volumes of section 14(4) may be higher in some DHBs due to reporting extension and indefinite order applications under section 14(4) in addition to original compulsory treatment order applications. This </w:t>
      </w:r>
      <w:r>
        <w:t>occurs because of</w:t>
      </w:r>
      <w:r w:rsidRPr="00200234">
        <w:t xml:space="preserve"> local </w:t>
      </w:r>
      <w:r>
        <w:t xml:space="preserve">differences in the approach to </w:t>
      </w:r>
      <w:r w:rsidRPr="00200234">
        <w:t>reporting.</w:t>
      </w:r>
    </w:p>
    <w:p w14:paraId="496C5BE8" w14:textId="77777777" w:rsidR="0016455D" w:rsidRDefault="0016455D" w:rsidP="0016455D">
      <w:pPr>
        <w:pStyle w:val="Source"/>
      </w:pPr>
      <w:r w:rsidRPr="00200234">
        <w:t>Source</w:t>
      </w:r>
      <w:r>
        <w:t>s</w:t>
      </w:r>
      <w:r w:rsidRPr="00200234">
        <w:t>: PRIMHD data</w:t>
      </w:r>
      <w:r>
        <w:t xml:space="preserve"> (extracted</w:t>
      </w:r>
      <w:r w:rsidRPr="00200234">
        <w:t xml:space="preserve"> </w:t>
      </w:r>
      <w:r>
        <w:t>3 June 2022) and manual data from Auckland and Waikato DHBs.</w:t>
      </w:r>
    </w:p>
    <w:p w14:paraId="5D0EAF71" w14:textId="77777777" w:rsidR="0016455D" w:rsidRDefault="0016455D" w:rsidP="0016455D"/>
    <w:p w14:paraId="176D6BED" w14:textId="29BC0082" w:rsidR="0016455D" w:rsidRDefault="0016455D" w:rsidP="0016455D">
      <w:pPr>
        <w:pStyle w:val="Table"/>
      </w:pPr>
      <w:bookmarkStart w:id="34" w:name="_Ref85553671"/>
      <w:bookmarkStart w:id="35" w:name="_Toc87430000"/>
      <w:bookmarkStart w:id="36" w:name="_Toc88561357"/>
      <w:bookmarkStart w:id="37" w:name="_Toc115188891"/>
      <w:bookmarkStart w:id="38" w:name="_Toc115272594"/>
      <w:r w:rsidRPr="00B20D4C">
        <w:t>Table </w:t>
      </w:r>
      <w:fldSimple w:instr=" SEQ Table \* ARABIC ">
        <w:r w:rsidR="009A04B0">
          <w:rPr>
            <w:noProof/>
          </w:rPr>
          <w:t>2</w:t>
        </w:r>
      </w:fldSimple>
      <w:bookmarkEnd w:id="34"/>
      <w:r w:rsidRPr="00B20D4C">
        <w:t xml:space="preserve">: Average number of people on a given day subject to section 29, 30 </w:t>
      </w:r>
      <w:r>
        <w:t>or</w:t>
      </w:r>
      <w:r w:rsidRPr="00B20D4C">
        <w:t xml:space="preserve"> 31 of the Mental Health Act per 100,000 population, by DHB, 1 </w:t>
      </w:r>
      <w:bookmarkEnd w:id="35"/>
      <w:bookmarkEnd w:id="36"/>
      <w:r w:rsidRPr="00B20D4C">
        <w:t>July 2020 to 30 June 2021</w:t>
      </w:r>
      <w:bookmarkEnd w:id="37"/>
      <w:bookmarkEnd w:id="38"/>
    </w:p>
    <w:tbl>
      <w:tblPr>
        <w:tblW w:w="8082"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843"/>
        <w:gridCol w:w="708"/>
        <w:gridCol w:w="709"/>
        <w:gridCol w:w="709"/>
        <w:gridCol w:w="426"/>
        <w:gridCol w:w="1843"/>
        <w:gridCol w:w="614"/>
        <w:gridCol w:w="615"/>
        <w:gridCol w:w="615"/>
      </w:tblGrid>
      <w:tr w:rsidR="0016455D" w:rsidRPr="00200234" w14:paraId="1703CEAB" w14:textId="77777777" w:rsidTr="001236DF">
        <w:trPr>
          <w:cantSplit/>
          <w:tblHeader/>
        </w:trPr>
        <w:tc>
          <w:tcPr>
            <w:tcW w:w="1843" w:type="dxa"/>
            <w:tcBorders>
              <w:top w:val="nil"/>
              <w:bottom w:val="nil"/>
              <w:right w:val="nil"/>
            </w:tcBorders>
            <w:shd w:val="clear" w:color="auto" w:fill="D9D9D9" w:themeFill="background1" w:themeFillShade="D9"/>
          </w:tcPr>
          <w:p w14:paraId="5BD22FD3" w14:textId="77777777" w:rsidR="0016455D" w:rsidRPr="00200234" w:rsidRDefault="0016455D" w:rsidP="001236DF">
            <w:pPr>
              <w:pStyle w:val="TableText"/>
              <w:spacing w:before="55" w:after="55"/>
              <w:rPr>
                <w:rFonts w:cs="Segoe UI"/>
                <w:b/>
              </w:rPr>
            </w:pPr>
            <w:r w:rsidRPr="00200234">
              <w:rPr>
                <w:rFonts w:cs="Segoe UI"/>
                <w:b/>
              </w:rPr>
              <w:t>DHB</w:t>
            </w:r>
          </w:p>
        </w:tc>
        <w:tc>
          <w:tcPr>
            <w:tcW w:w="708" w:type="dxa"/>
            <w:tcBorders>
              <w:top w:val="nil"/>
              <w:left w:val="nil"/>
              <w:bottom w:val="nil"/>
              <w:right w:val="nil"/>
            </w:tcBorders>
            <w:shd w:val="clear" w:color="auto" w:fill="D9D9D9" w:themeFill="background1" w:themeFillShade="D9"/>
          </w:tcPr>
          <w:p w14:paraId="29818B7E" w14:textId="77777777" w:rsidR="0016455D" w:rsidRPr="00200234" w:rsidRDefault="0016455D" w:rsidP="001236DF">
            <w:pPr>
              <w:pStyle w:val="TableText"/>
              <w:spacing w:before="55" w:after="55"/>
              <w:jc w:val="center"/>
              <w:rPr>
                <w:rFonts w:cs="Segoe UI"/>
                <w:b/>
              </w:rPr>
            </w:pPr>
            <w:r w:rsidRPr="00200234">
              <w:rPr>
                <w:rFonts w:cs="Segoe UI"/>
                <w:b/>
              </w:rPr>
              <w:t>s 29</w:t>
            </w:r>
          </w:p>
        </w:tc>
        <w:tc>
          <w:tcPr>
            <w:tcW w:w="709" w:type="dxa"/>
            <w:tcBorders>
              <w:top w:val="nil"/>
              <w:left w:val="nil"/>
              <w:bottom w:val="nil"/>
              <w:right w:val="nil"/>
            </w:tcBorders>
            <w:shd w:val="clear" w:color="auto" w:fill="D9D9D9" w:themeFill="background1" w:themeFillShade="D9"/>
          </w:tcPr>
          <w:p w14:paraId="69D13271" w14:textId="77777777" w:rsidR="0016455D" w:rsidRPr="00200234" w:rsidRDefault="0016455D" w:rsidP="001236DF">
            <w:pPr>
              <w:pStyle w:val="TableText"/>
              <w:spacing w:before="55" w:after="55"/>
              <w:jc w:val="center"/>
              <w:rPr>
                <w:rFonts w:cs="Segoe UI"/>
                <w:b/>
              </w:rPr>
            </w:pPr>
            <w:r w:rsidRPr="00200234">
              <w:rPr>
                <w:rFonts w:cs="Segoe UI"/>
                <w:b/>
              </w:rPr>
              <w:t>s 30</w:t>
            </w:r>
          </w:p>
        </w:tc>
        <w:tc>
          <w:tcPr>
            <w:tcW w:w="709" w:type="dxa"/>
            <w:tcBorders>
              <w:top w:val="nil"/>
              <w:left w:val="nil"/>
              <w:bottom w:val="nil"/>
            </w:tcBorders>
            <w:shd w:val="clear" w:color="auto" w:fill="D9D9D9" w:themeFill="background1" w:themeFillShade="D9"/>
          </w:tcPr>
          <w:p w14:paraId="198918CE" w14:textId="77777777" w:rsidR="0016455D" w:rsidRPr="00200234" w:rsidRDefault="0016455D" w:rsidP="001236DF">
            <w:pPr>
              <w:pStyle w:val="TableText"/>
              <w:spacing w:before="55" w:after="55"/>
              <w:jc w:val="center"/>
              <w:rPr>
                <w:rFonts w:cs="Segoe UI"/>
                <w:b/>
              </w:rPr>
            </w:pPr>
            <w:r w:rsidRPr="00200234">
              <w:rPr>
                <w:rFonts w:cs="Segoe UI"/>
                <w:b/>
              </w:rPr>
              <w:t>s 31</w:t>
            </w:r>
          </w:p>
        </w:tc>
        <w:tc>
          <w:tcPr>
            <w:tcW w:w="426" w:type="dxa"/>
            <w:tcBorders>
              <w:top w:val="nil"/>
              <w:bottom w:val="nil"/>
            </w:tcBorders>
            <w:shd w:val="clear" w:color="auto" w:fill="auto"/>
          </w:tcPr>
          <w:p w14:paraId="3B896510" w14:textId="77777777" w:rsidR="0016455D" w:rsidRPr="00200234" w:rsidRDefault="0016455D" w:rsidP="001236DF">
            <w:pPr>
              <w:pStyle w:val="TableText"/>
              <w:spacing w:before="55" w:after="55"/>
              <w:jc w:val="center"/>
              <w:rPr>
                <w:rFonts w:cs="Segoe UI"/>
                <w:b/>
              </w:rPr>
            </w:pPr>
          </w:p>
        </w:tc>
        <w:tc>
          <w:tcPr>
            <w:tcW w:w="1843" w:type="dxa"/>
            <w:tcBorders>
              <w:top w:val="nil"/>
              <w:bottom w:val="nil"/>
            </w:tcBorders>
            <w:shd w:val="clear" w:color="auto" w:fill="D9D9D9" w:themeFill="background1" w:themeFillShade="D9"/>
          </w:tcPr>
          <w:p w14:paraId="20F6E291" w14:textId="77777777" w:rsidR="0016455D" w:rsidRPr="00200234" w:rsidRDefault="0016455D" w:rsidP="001236DF">
            <w:pPr>
              <w:pStyle w:val="TableText"/>
              <w:spacing w:before="55" w:after="55"/>
              <w:rPr>
                <w:rFonts w:cs="Segoe UI"/>
                <w:b/>
              </w:rPr>
            </w:pPr>
            <w:r w:rsidRPr="00200234">
              <w:rPr>
                <w:rFonts w:cs="Segoe UI"/>
                <w:b/>
              </w:rPr>
              <w:t>DHB</w:t>
            </w:r>
          </w:p>
        </w:tc>
        <w:tc>
          <w:tcPr>
            <w:tcW w:w="614" w:type="dxa"/>
            <w:tcBorders>
              <w:top w:val="nil"/>
              <w:bottom w:val="nil"/>
            </w:tcBorders>
            <w:shd w:val="clear" w:color="auto" w:fill="D9D9D9" w:themeFill="background1" w:themeFillShade="D9"/>
          </w:tcPr>
          <w:p w14:paraId="3A5EA0A7" w14:textId="77777777" w:rsidR="0016455D" w:rsidRPr="00200234" w:rsidRDefault="0016455D" w:rsidP="001236DF">
            <w:pPr>
              <w:pStyle w:val="TableText"/>
              <w:spacing w:before="55" w:after="55"/>
              <w:jc w:val="center"/>
              <w:rPr>
                <w:rFonts w:cs="Segoe UI"/>
                <w:b/>
              </w:rPr>
            </w:pPr>
            <w:r w:rsidRPr="00200234">
              <w:rPr>
                <w:rFonts w:cs="Segoe UI"/>
                <w:b/>
              </w:rPr>
              <w:t>s 29</w:t>
            </w:r>
          </w:p>
        </w:tc>
        <w:tc>
          <w:tcPr>
            <w:tcW w:w="615" w:type="dxa"/>
            <w:tcBorders>
              <w:top w:val="nil"/>
              <w:bottom w:val="nil"/>
            </w:tcBorders>
            <w:shd w:val="clear" w:color="auto" w:fill="D9D9D9" w:themeFill="background1" w:themeFillShade="D9"/>
          </w:tcPr>
          <w:p w14:paraId="5B46078D" w14:textId="77777777" w:rsidR="0016455D" w:rsidRPr="00200234" w:rsidRDefault="0016455D" w:rsidP="001236DF">
            <w:pPr>
              <w:pStyle w:val="TableText"/>
              <w:spacing w:before="55" w:after="55"/>
              <w:jc w:val="center"/>
              <w:rPr>
                <w:rFonts w:cs="Segoe UI"/>
                <w:b/>
              </w:rPr>
            </w:pPr>
            <w:r w:rsidRPr="00200234">
              <w:rPr>
                <w:rFonts w:cs="Segoe UI"/>
                <w:b/>
              </w:rPr>
              <w:t>s 30</w:t>
            </w:r>
          </w:p>
        </w:tc>
        <w:tc>
          <w:tcPr>
            <w:tcW w:w="615" w:type="dxa"/>
            <w:tcBorders>
              <w:top w:val="nil"/>
              <w:bottom w:val="nil"/>
            </w:tcBorders>
            <w:shd w:val="clear" w:color="auto" w:fill="D9D9D9" w:themeFill="background1" w:themeFillShade="D9"/>
          </w:tcPr>
          <w:p w14:paraId="289C80BE" w14:textId="77777777" w:rsidR="0016455D" w:rsidRPr="00200234" w:rsidRDefault="0016455D" w:rsidP="001236DF">
            <w:pPr>
              <w:pStyle w:val="TableText"/>
              <w:spacing w:before="55" w:after="55"/>
              <w:jc w:val="center"/>
              <w:rPr>
                <w:rFonts w:cs="Segoe UI"/>
                <w:b/>
              </w:rPr>
            </w:pPr>
            <w:r w:rsidRPr="00200234">
              <w:rPr>
                <w:rFonts w:cs="Segoe UI"/>
                <w:b/>
              </w:rPr>
              <w:t>s 31</w:t>
            </w:r>
          </w:p>
        </w:tc>
      </w:tr>
      <w:tr w:rsidR="0016455D" w:rsidRPr="00200234" w14:paraId="7DDD4462" w14:textId="77777777" w:rsidTr="001236DF">
        <w:trPr>
          <w:cantSplit/>
        </w:trPr>
        <w:tc>
          <w:tcPr>
            <w:tcW w:w="1843" w:type="dxa"/>
            <w:tcBorders>
              <w:top w:val="nil"/>
              <w:right w:val="nil"/>
            </w:tcBorders>
          </w:tcPr>
          <w:p w14:paraId="081C4134" w14:textId="77777777" w:rsidR="0016455D" w:rsidRPr="00200234" w:rsidRDefault="0016455D" w:rsidP="001236DF">
            <w:pPr>
              <w:pStyle w:val="TableText"/>
              <w:spacing w:before="55" w:after="55"/>
              <w:rPr>
                <w:rFonts w:cs="Segoe UI"/>
              </w:rPr>
            </w:pPr>
            <w:r w:rsidRPr="00200234">
              <w:rPr>
                <w:rFonts w:cs="Segoe UI"/>
              </w:rPr>
              <w:t>Auckland</w:t>
            </w:r>
          </w:p>
        </w:tc>
        <w:tc>
          <w:tcPr>
            <w:tcW w:w="708" w:type="dxa"/>
            <w:tcBorders>
              <w:top w:val="nil"/>
              <w:left w:val="nil"/>
              <w:right w:val="nil"/>
            </w:tcBorders>
          </w:tcPr>
          <w:p w14:paraId="3EFE1B84" w14:textId="77777777" w:rsidR="0016455D" w:rsidRPr="00200234" w:rsidRDefault="0016455D" w:rsidP="001236DF">
            <w:pPr>
              <w:pStyle w:val="TableText"/>
              <w:tabs>
                <w:tab w:val="decimal" w:pos="510"/>
              </w:tabs>
              <w:spacing w:before="55" w:after="55"/>
              <w:rPr>
                <w:rFonts w:cs="Segoe UI"/>
              </w:rPr>
            </w:pPr>
            <w:r w:rsidRPr="00471546">
              <w:t xml:space="preserve"> 100 </w:t>
            </w:r>
          </w:p>
        </w:tc>
        <w:tc>
          <w:tcPr>
            <w:tcW w:w="709" w:type="dxa"/>
            <w:tcBorders>
              <w:top w:val="nil"/>
              <w:left w:val="nil"/>
              <w:right w:val="nil"/>
            </w:tcBorders>
          </w:tcPr>
          <w:p w14:paraId="35727690" w14:textId="77777777" w:rsidR="0016455D" w:rsidRPr="00200234" w:rsidRDefault="0016455D" w:rsidP="001236DF">
            <w:pPr>
              <w:pStyle w:val="TableText"/>
              <w:tabs>
                <w:tab w:val="decimal" w:pos="510"/>
              </w:tabs>
              <w:spacing w:before="55" w:after="55"/>
              <w:rPr>
                <w:rFonts w:cs="Segoe UI"/>
              </w:rPr>
            </w:pPr>
            <w:r w:rsidRPr="00471546">
              <w:t xml:space="preserve"> 13 </w:t>
            </w:r>
          </w:p>
        </w:tc>
        <w:tc>
          <w:tcPr>
            <w:tcW w:w="709" w:type="dxa"/>
            <w:tcBorders>
              <w:top w:val="nil"/>
              <w:left w:val="nil"/>
            </w:tcBorders>
          </w:tcPr>
          <w:p w14:paraId="033B4377" w14:textId="77777777" w:rsidR="0016455D" w:rsidRPr="00200234" w:rsidRDefault="0016455D" w:rsidP="001236DF">
            <w:pPr>
              <w:pStyle w:val="TableText"/>
              <w:tabs>
                <w:tab w:val="decimal" w:pos="454"/>
              </w:tabs>
              <w:spacing w:before="55" w:after="55"/>
              <w:rPr>
                <w:rFonts w:cs="Segoe UI"/>
              </w:rPr>
            </w:pPr>
            <w:r w:rsidRPr="00471546">
              <w:t xml:space="preserve"> 0 </w:t>
            </w:r>
          </w:p>
        </w:tc>
        <w:tc>
          <w:tcPr>
            <w:tcW w:w="426" w:type="dxa"/>
            <w:tcBorders>
              <w:top w:val="nil"/>
              <w:bottom w:val="nil"/>
            </w:tcBorders>
            <w:shd w:val="clear" w:color="auto" w:fill="auto"/>
          </w:tcPr>
          <w:p w14:paraId="1397D4D8" w14:textId="77777777" w:rsidR="0016455D" w:rsidRPr="00200234" w:rsidRDefault="0016455D" w:rsidP="001236DF">
            <w:pPr>
              <w:pStyle w:val="TableText"/>
              <w:tabs>
                <w:tab w:val="decimal" w:pos="636"/>
              </w:tabs>
              <w:spacing w:before="55" w:after="55"/>
              <w:rPr>
                <w:rFonts w:cs="Segoe UI"/>
              </w:rPr>
            </w:pPr>
          </w:p>
        </w:tc>
        <w:tc>
          <w:tcPr>
            <w:tcW w:w="1843" w:type="dxa"/>
            <w:tcBorders>
              <w:top w:val="nil"/>
            </w:tcBorders>
          </w:tcPr>
          <w:p w14:paraId="42CD272E" w14:textId="77777777" w:rsidR="0016455D" w:rsidRPr="00200234" w:rsidRDefault="0016455D" w:rsidP="001236DF">
            <w:pPr>
              <w:pStyle w:val="TableText"/>
              <w:spacing w:before="55" w:after="55"/>
              <w:jc w:val="both"/>
              <w:rPr>
                <w:rFonts w:cs="Segoe UI"/>
              </w:rPr>
            </w:pPr>
            <w:r w:rsidRPr="00200234">
              <w:rPr>
                <w:rFonts w:cs="Segoe UI"/>
              </w:rPr>
              <w:t>Northland</w:t>
            </w:r>
          </w:p>
        </w:tc>
        <w:tc>
          <w:tcPr>
            <w:tcW w:w="614" w:type="dxa"/>
            <w:tcBorders>
              <w:top w:val="nil"/>
            </w:tcBorders>
          </w:tcPr>
          <w:p w14:paraId="5364EFD8" w14:textId="77777777" w:rsidR="0016455D" w:rsidRPr="00200234" w:rsidRDefault="0016455D" w:rsidP="001236DF">
            <w:pPr>
              <w:pStyle w:val="TableText"/>
              <w:tabs>
                <w:tab w:val="decimal" w:pos="454"/>
              </w:tabs>
              <w:spacing w:before="55" w:after="55"/>
              <w:rPr>
                <w:rFonts w:cs="Segoe UI"/>
              </w:rPr>
            </w:pPr>
            <w:r w:rsidRPr="002F1F0B">
              <w:t xml:space="preserve"> 174 </w:t>
            </w:r>
          </w:p>
        </w:tc>
        <w:tc>
          <w:tcPr>
            <w:tcW w:w="615" w:type="dxa"/>
            <w:tcBorders>
              <w:top w:val="nil"/>
            </w:tcBorders>
          </w:tcPr>
          <w:p w14:paraId="62520D08" w14:textId="77777777" w:rsidR="0016455D" w:rsidRPr="00200234" w:rsidRDefault="0016455D" w:rsidP="001236DF">
            <w:pPr>
              <w:pStyle w:val="TableText"/>
              <w:tabs>
                <w:tab w:val="decimal" w:pos="454"/>
              </w:tabs>
              <w:spacing w:before="55" w:after="55"/>
              <w:rPr>
                <w:rFonts w:cs="Segoe UI"/>
              </w:rPr>
            </w:pPr>
            <w:r w:rsidRPr="002F1F0B">
              <w:t xml:space="preserve"> 8 </w:t>
            </w:r>
          </w:p>
        </w:tc>
        <w:tc>
          <w:tcPr>
            <w:tcW w:w="615" w:type="dxa"/>
            <w:tcBorders>
              <w:top w:val="nil"/>
            </w:tcBorders>
          </w:tcPr>
          <w:p w14:paraId="00CAC467" w14:textId="77777777" w:rsidR="0016455D" w:rsidRPr="00200234" w:rsidRDefault="0016455D" w:rsidP="001236DF">
            <w:pPr>
              <w:pStyle w:val="TableText"/>
              <w:spacing w:before="55" w:after="55"/>
              <w:jc w:val="center"/>
              <w:rPr>
                <w:rFonts w:cs="Segoe UI"/>
              </w:rPr>
            </w:pPr>
            <w:r w:rsidRPr="002F1F0B">
              <w:t xml:space="preserve"> 1 </w:t>
            </w:r>
          </w:p>
        </w:tc>
      </w:tr>
      <w:tr w:rsidR="0016455D" w:rsidRPr="00200234" w14:paraId="4E938FE9" w14:textId="77777777" w:rsidTr="001236DF">
        <w:trPr>
          <w:cantSplit/>
        </w:trPr>
        <w:tc>
          <w:tcPr>
            <w:tcW w:w="1843" w:type="dxa"/>
            <w:tcBorders>
              <w:top w:val="nil"/>
              <w:right w:val="nil"/>
            </w:tcBorders>
          </w:tcPr>
          <w:p w14:paraId="2C9560CF" w14:textId="77777777" w:rsidR="0016455D" w:rsidRPr="00200234" w:rsidRDefault="0016455D" w:rsidP="001236DF">
            <w:pPr>
              <w:pStyle w:val="TableText"/>
              <w:spacing w:before="55" w:after="55"/>
              <w:rPr>
                <w:rFonts w:cs="Segoe UI"/>
              </w:rPr>
            </w:pPr>
            <w:r w:rsidRPr="00200234">
              <w:rPr>
                <w:rFonts w:cs="Segoe UI"/>
              </w:rPr>
              <w:t>Bay of Plenty</w:t>
            </w:r>
          </w:p>
        </w:tc>
        <w:tc>
          <w:tcPr>
            <w:tcW w:w="708" w:type="dxa"/>
            <w:tcBorders>
              <w:top w:val="nil"/>
              <w:left w:val="nil"/>
              <w:right w:val="nil"/>
            </w:tcBorders>
          </w:tcPr>
          <w:p w14:paraId="79AFB84B" w14:textId="77777777" w:rsidR="0016455D" w:rsidRPr="00200234" w:rsidRDefault="0016455D" w:rsidP="001236DF">
            <w:pPr>
              <w:pStyle w:val="TableText"/>
              <w:tabs>
                <w:tab w:val="decimal" w:pos="510"/>
              </w:tabs>
              <w:spacing w:before="55" w:after="55"/>
              <w:rPr>
                <w:rFonts w:cs="Segoe UI"/>
              </w:rPr>
            </w:pPr>
            <w:r w:rsidRPr="00471546">
              <w:t xml:space="preserve"> 48 </w:t>
            </w:r>
          </w:p>
        </w:tc>
        <w:tc>
          <w:tcPr>
            <w:tcW w:w="709" w:type="dxa"/>
            <w:tcBorders>
              <w:top w:val="nil"/>
              <w:left w:val="nil"/>
              <w:right w:val="nil"/>
            </w:tcBorders>
          </w:tcPr>
          <w:p w14:paraId="653DFFF1" w14:textId="77777777" w:rsidR="0016455D" w:rsidRPr="00200234" w:rsidRDefault="0016455D" w:rsidP="001236DF">
            <w:pPr>
              <w:pStyle w:val="TableText"/>
              <w:tabs>
                <w:tab w:val="decimal" w:pos="510"/>
              </w:tabs>
              <w:spacing w:before="55" w:after="55"/>
              <w:rPr>
                <w:rFonts w:cs="Segoe UI"/>
              </w:rPr>
            </w:pPr>
            <w:r w:rsidRPr="00471546">
              <w:t xml:space="preserve"> 9 </w:t>
            </w:r>
          </w:p>
        </w:tc>
        <w:tc>
          <w:tcPr>
            <w:tcW w:w="709" w:type="dxa"/>
            <w:tcBorders>
              <w:top w:val="nil"/>
              <w:left w:val="nil"/>
            </w:tcBorders>
          </w:tcPr>
          <w:p w14:paraId="1690B392" w14:textId="77777777" w:rsidR="0016455D" w:rsidRPr="00200234" w:rsidRDefault="0016455D" w:rsidP="001236DF">
            <w:pPr>
              <w:pStyle w:val="TableText"/>
              <w:tabs>
                <w:tab w:val="decimal" w:pos="454"/>
              </w:tabs>
              <w:spacing w:before="55" w:after="55"/>
              <w:rPr>
                <w:rFonts w:cs="Segoe UI"/>
              </w:rPr>
            </w:pPr>
            <w:r w:rsidRPr="00471546">
              <w:t xml:space="preserve"> 4 </w:t>
            </w:r>
          </w:p>
        </w:tc>
        <w:tc>
          <w:tcPr>
            <w:tcW w:w="426" w:type="dxa"/>
            <w:tcBorders>
              <w:top w:val="nil"/>
              <w:bottom w:val="nil"/>
            </w:tcBorders>
            <w:shd w:val="clear" w:color="auto" w:fill="auto"/>
          </w:tcPr>
          <w:p w14:paraId="4845948C" w14:textId="77777777" w:rsidR="0016455D" w:rsidRPr="00200234" w:rsidRDefault="0016455D" w:rsidP="001236DF">
            <w:pPr>
              <w:pStyle w:val="TableText"/>
              <w:tabs>
                <w:tab w:val="decimal" w:pos="636"/>
              </w:tabs>
              <w:spacing w:before="55" w:after="55"/>
              <w:rPr>
                <w:rFonts w:cs="Segoe UI"/>
              </w:rPr>
            </w:pPr>
          </w:p>
        </w:tc>
        <w:tc>
          <w:tcPr>
            <w:tcW w:w="1843" w:type="dxa"/>
            <w:tcBorders>
              <w:top w:val="nil"/>
            </w:tcBorders>
          </w:tcPr>
          <w:p w14:paraId="306094A7" w14:textId="77777777" w:rsidR="0016455D" w:rsidRPr="00200234" w:rsidRDefault="0016455D" w:rsidP="001236DF">
            <w:pPr>
              <w:pStyle w:val="TableText"/>
              <w:spacing w:before="55" w:after="55"/>
              <w:jc w:val="both"/>
              <w:rPr>
                <w:rFonts w:cs="Segoe UI"/>
              </w:rPr>
            </w:pPr>
            <w:r w:rsidRPr="00200234">
              <w:rPr>
                <w:rFonts w:cs="Segoe UI"/>
              </w:rPr>
              <w:t>South Canterbury</w:t>
            </w:r>
          </w:p>
        </w:tc>
        <w:tc>
          <w:tcPr>
            <w:tcW w:w="614" w:type="dxa"/>
            <w:tcBorders>
              <w:top w:val="nil"/>
            </w:tcBorders>
          </w:tcPr>
          <w:p w14:paraId="0433A3B0" w14:textId="77777777" w:rsidR="0016455D" w:rsidRPr="00200234" w:rsidRDefault="0016455D" w:rsidP="001236DF">
            <w:pPr>
              <w:pStyle w:val="TableText"/>
              <w:tabs>
                <w:tab w:val="decimal" w:pos="454"/>
              </w:tabs>
              <w:spacing w:before="55" w:after="55"/>
              <w:rPr>
                <w:rFonts w:cs="Segoe UI"/>
              </w:rPr>
            </w:pPr>
            <w:r w:rsidRPr="002F1F0B">
              <w:t xml:space="preserve"> 82 </w:t>
            </w:r>
          </w:p>
        </w:tc>
        <w:tc>
          <w:tcPr>
            <w:tcW w:w="615" w:type="dxa"/>
            <w:tcBorders>
              <w:top w:val="nil"/>
            </w:tcBorders>
          </w:tcPr>
          <w:p w14:paraId="4C1B4252" w14:textId="77777777" w:rsidR="0016455D" w:rsidRPr="00200234" w:rsidRDefault="0016455D" w:rsidP="001236DF">
            <w:pPr>
              <w:pStyle w:val="TableText"/>
              <w:tabs>
                <w:tab w:val="decimal" w:pos="454"/>
              </w:tabs>
              <w:spacing w:before="55" w:after="55"/>
              <w:rPr>
                <w:rFonts w:cs="Segoe UI"/>
              </w:rPr>
            </w:pPr>
            <w:r w:rsidRPr="002F1F0B">
              <w:t xml:space="preserve"> 5 </w:t>
            </w:r>
          </w:p>
        </w:tc>
        <w:tc>
          <w:tcPr>
            <w:tcW w:w="615" w:type="dxa"/>
            <w:tcBorders>
              <w:top w:val="nil"/>
            </w:tcBorders>
          </w:tcPr>
          <w:p w14:paraId="4CCC2425" w14:textId="77777777" w:rsidR="0016455D" w:rsidRPr="00200234" w:rsidRDefault="0016455D" w:rsidP="001236DF">
            <w:pPr>
              <w:pStyle w:val="TableText"/>
              <w:spacing w:before="55" w:after="55"/>
              <w:jc w:val="center"/>
              <w:rPr>
                <w:rFonts w:cs="Segoe UI"/>
              </w:rPr>
            </w:pPr>
            <w:r w:rsidRPr="002F1F0B">
              <w:t xml:space="preserve"> 3 </w:t>
            </w:r>
          </w:p>
        </w:tc>
      </w:tr>
      <w:tr w:rsidR="0016455D" w:rsidRPr="00200234" w14:paraId="4C926139" w14:textId="77777777" w:rsidTr="001236DF">
        <w:trPr>
          <w:cantSplit/>
        </w:trPr>
        <w:tc>
          <w:tcPr>
            <w:tcW w:w="1843" w:type="dxa"/>
            <w:tcBorders>
              <w:top w:val="nil"/>
              <w:right w:val="nil"/>
            </w:tcBorders>
          </w:tcPr>
          <w:p w14:paraId="0E04A9C6" w14:textId="77777777" w:rsidR="0016455D" w:rsidRPr="00200234" w:rsidRDefault="0016455D" w:rsidP="001236DF">
            <w:pPr>
              <w:pStyle w:val="TableText"/>
              <w:spacing w:before="55" w:after="55"/>
              <w:rPr>
                <w:rFonts w:cs="Segoe UI"/>
              </w:rPr>
            </w:pPr>
            <w:r w:rsidRPr="00200234">
              <w:rPr>
                <w:rFonts w:cs="Segoe UI"/>
              </w:rPr>
              <w:t>Canterbury</w:t>
            </w:r>
          </w:p>
        </w:tc>
        <w:tc>
          <w:tcPr>
            <w:tcW w:w="708" w:type="dxa"/>
            <w:tcBorders>
              <w:top w:val="nil"/>
              <w:left w:val="nil"/>
              <w:right w:val="nil"/>
            </w:tcBorders>
          </w:tcPr>
          <w:p w14:paraId="63F1D962" w14:textId="77777777" w:rsidR="0016455D" w:rsidRPr="00200234" w:rsidRDefault="0016455D" w:rsidP="001236DF">
            <w:pPr>
              <w:pStyle w:val="TableText"/>
              <w:tabs>
                <w:tab w:val="decimal" w:pos="510"/>
              </w:tabs>
              <w:spacing w:before="55" w:after="55"/>
              <w:rPr>
                <w:rFonts w:cs="Segoe UI"/>
              </w:rPr>
            </w:pPr>
            <w:r w:rsidRPr="00471546">
              <w:t xml:space="preserve"> 71 </w:t>
            </w:r>
          </w:p>
        </w:tc>
        <w:tc>
          <w:tcPr>
            <w:tcW w:w="709" w:type="dxa"/>
            <w:tcBorders>
              <w:top w:val="nil"/>
              <w:left w:val="nil"/>
              <w:right w:val="nil"/>
            </w:tcBorders>
          </w:tcPr>
          <w:p w14:paraId="502D773E" w14:textId="77777777" w:rsidR="0016455D" w:rsidRPr="00200234" w:rsidRDefault="0016455D" w:rsidP="001236DF">
            <w:pPr>
              <w:pStyle w:val="TableText"/>
              <w:tabs>
                <w:tab w:val="decimal" w:pos="510"/>
              </w:tabs>
              <w:spacing w:before="55" w:after="55"/>
              <w:rPr>
                <w:rFonts w:cs="Segoe UI"/>
              </w:rPr>
            </w:pPr>
            <w:r w:rsidRPr="00471546">
              <w:t xml:space="preserve"> 16 </w:t>
            </w:r>
          </w:p>
        </w:tc>
        <w:tc>
          <w:tcPr>
            <w:tcW w:w="709" w:type="dxa"/>
            <w:tcBorders>
              <w:top w:val="nil"/>
              <w:left w:val="nil"/>
            </w:tcBorders>
          </w:tcPr>
          <w:p w14:paraId="7B445BEA" w14:textId="77777777" w:rsidR="0016455D" w:rsidRPr="00200234" w:rsidRDefault="0016455D" w:rsidP="001236DF">
            <w:pPr>
              <w:pStyle w:val="TableText"/>
              <w:tabs>
                <w:tab w:val="decimal" w:pos="454"/>
              </w:tabs>
              <w:spacing w:before="55" w:after="55"/>
              <w:rPr>
                <w:rFonts w:cs="Segoe UI"/>
              </w:rPr>
            </w:pPr>
            <w:r w:rsidRPr="00471546">
              <w:t xml:space="preserve"> 6 </w:t>
            </w:r>
          </w:p>
        </w:tc>
        <w:tc>
          <w:tcPr>
            <w:tcW w:w="426" w:type="dxa"/>
            <w:tcBorders>
              <w:top w:val="nil"/>
              <w:bottom w:val="nil"/>
            </w:tcBorders>
            <w:shd w:val="clear" w:color="auto" w:fill="auto"/>
          </w:tcPr>
          <w:p w14:paraId="08870A69" w14:textId="77777777" w:rsidR="0016455D" w:rsidRPr="00200234" w:rsidRDefault="0016455D" w:rsidP="001236DF">
            <w:pPr>
              <w:pStyle w:val="TableText"/>
              <w:tabs>
                <w:tab w:val="decimal" w:pos="636"/>
              </w:tabs>
              <w:spacing w:before="55" w:after="55"/>
              <w:rPr>
                <w:rFonts w:cs="Segoe UI"/>
              </w:rPr>
            </w:pPr>
          </w:p>
        </w:tc>
        <w:tc>
          <w:tcPr>
            <w:tcW w:w="1843" w:type="dxa"/>
            <w:tcBorders>
              <w:top w:val="nil"/>
            </w:tcBorders>
          </w:tcPr>
          <w:p w14:paraId="3FA70EEC" w14:textId="77777777" w:rsidR="0016455D" w:rsidRPr="00200234" w:rsidRDefault="0016455D" w:rsidP="001236DF">
            <w:pPr>
              <w:pStyle w:val="TableText"/>
              <w:spacing w:before="55" w:after="55"/>
              <w:jc w:val="both"/>
              <w:rPr>
                <w:rFonts w:cs="Segoe UI"/>
              </w:rPr>
            </w:pPr>
            <w:r w:rsidRPr="00200234">
              <w:rPr>
                <w:rFonts w:cs="Segoe UI"/>
              </w:rPr>
              <w:t>Southern</w:t>
            </w:r>
          </w:p>
        </w:tc>
        <w:tc>
          <w:tcPr>
            <w:tcW w:w="614" w:type="dxa"/>
            <w:tcBorders>
              <w:top w:val="nil"/>
            </w:tcBorders>
          </w:tcPr>
          <w:p w14:paraId="06F45718" w14:textId="77777777" w:rsidR="0016455D" w:rsidRPr="00200234" w:rsidRDefault="0016455D" w:rsidP="001236DF">
            <w:pPr>
              <w:pStyle w:val="TableText"/>
              <w:tabs>
                <w:tab w:val="decimal" w:pos="454"/>
              </w:tabs>
              <w:spacing w:before="55" w:after="55"/>
              <w:rPr>
                <w:rFonts w:cs="Segoe UI"/>
              </w:rPr>
            </w:pPr>
            <w:r w:rsidRPr="002F1F0B">
              <w:t xml:space="preserve"> 67 </w:t>
            </w:r>
          </w:p>
        </w:tc>
        <w:tc>
          <w:tcPr>
            <w:tcW w:w="615" w:type="dxa"/>
            <w:tcBorders>
              <w:top w:val="nil"/>
            </w:tcBorders>
          </w:tcPr>
          <w:p w14:paraId="66BDE1A6" w14:textId="77777777" w:rsidR="0016455D" w:rsidRPr="00200234" w:rsidRDefault="0016455D" w:rsidP="001236DF">
            <w:pPr>
              <w:pStyle w:val="TableText"/>
              <w:tabs>
                <w:tab w:val="decimal" w:pos="454"/>
              </w:tabs>
              <w:spacing w:before="55" w:after="55"/>
              <w:rPr>
                <w:rFonts w:cs="Segoe UI"/>
              </w:rPr>
            </w:pPr>
            <w:r w:rsidRPr="002F1F0B">
              <w:t xml:space="preserve"> 12 </w:t>
            </w:r>
          </w:p>
        </w:tc>
        <w:tc>
          <w:tcPr>
            <w:tcW w:w="615" w:type="dxa"/>
            <w:tcBorders>
              <w:top w:val="nil"/>
            </w:tcBorders>
          </w:tcPr>
          <w:p w14:paraId="1D868469" w14:textId="77777777" w:rsidR="0016455D" w:rsidRPr="00200234" w:rsidRDefault="0016455D" w:rsidP="001236DF">
            <w:pPr>
              <w:pStyle w:val="TableText"/>
              <w:spacing w:before="55" w:after="55"/>
              <w:jc w:val="center"/>
              <w:rPr>
                <w:rFonts w:cs="Segoe UI"/>
              </w:rPr>
            </w:pPr>
            <w:r w:rsidRPr="002F1F0B">
              <w:t xml:space="preserve"> 3 </w:t>
            </w:r>
          </w:p>
        </w:tc>
      </w:tr>
      <w:tr w:rsidR="0016455D" w:rsidRPr="00200234" w14:paraId="223AF402" w14:textId="77777777" w:rsidTr="001236DF">
        <w:trPr>
          <w:cantSplit/>
        </w:trPr>
        <w:tc>
          <w:tcPr>
            <w:tcW w:w="1843" w:type="dxa"/>
            <w:tcBorders>
              <w:top w:val="nil"/>
              <w:right w:val="nil"/>
            </w:tcBorders>
          </w:tcPr>
          <w:p w14:paraId="26A8A093" w14:textId="77777777" w:rsidR="0016455D" w:rsidRPr="00200234" w:rsidRDefault="0016455D" w:rsidP="001236DF">
            <w:pPr>
              <w:pStyle w:val="TableText"/>
              <w:spacing w:before="55" w:after="55"/>
              <w:rPr>
                <w:rFonts w:cs="Segoe UI"/>
              </w:rPr>
            </w:pPr>
            <w:r w:rsidRPr="00200234">
              <w:rPr>
                <w:rFonts w:cs="Segoe UI"/>
              </w:rPr>
              <w:t>Capital &amp; Coast</w:t>
            </w:r>
          </w:p>
        </w:tc>
        <w:tc>
          <w:tcPr>
            <w:tcW w:w="708" w:type="dxa"/>
            <w:tcBorders>
              <w:top w:val="nil"/>
              <w:left w:val="nil"/>
              <w:right w:val="nil"/>
            </w:tcBorders>
          </w:tcPr>
          <w:p w14:paraId="2E24EB37" w14:textId="77777777" w:rsidR="0016455D" w:rsidRPr="00200234" w:rsidRDefault="0016455D" w:rsidP="001236DF">
            <w:pPr>
              <w:pStyle w:val="TableText"/>
              <w:tabs>
                <w:tab w:val="decimal" w:pos="510"/>
              </w:tabs>
              <w:spacing w:before="55" w:after="55"/>
              <w:rPr>
                <w:rFonts w:cs="Segoe UI"/>
              </w:rPr>
            </w:pPr>
            <w:r w:rsidRPr="00471546">
              <w:t xml:space="preserve"> 167 </w:t>
            </w:r>
          </w:p>
        </w:tc>
        <w:tc>
          <w:tcPr>
            <w:tcW w:w="709" w:type="dxa"/>
            <w:tcBorders>
              <w:top w:val="nil"/>
              <w:left w:val="nil"/>
              <w:right w:val="nil"/>
            </w:tcBorders>
          </w:tcPr>
          <w:p w14:paraId="59605F37" w14:textId="77777777" w:rsidR="0016455D" w:rsidRPr="00200234" w:rsidRDefault="0016455D" w:rsidP="001236DF">
            <w:pPr>
              <w:pStyle w:val="TableText"/>
              <w:tabs>
                <w:tab w:val="decimal" w:pos="510"/>
              </w:tabs>
              <w:spacing w:before="55" w:after="55"/>
              <w:rPr>
                <w:rFonts w:cs="Segoe UI"/>
              </w:rPr>
            </w:pPr>
            <w:r w:rsidRPr="00471546">
              <w:t xml:space="preserve"> 38 </w:t>
            </w:r>
          </w:p>
        </w:tc>
        <w:tc>
          <w:tcPr>
            <w:tcW w:w="709" w:type="dxa"/>
            <w:tcBorders>
              <w:top w:val="nil"/>
              <w:left w:val="nil"/>
            </w:tcBorders>
          </w:tcPr>
          <w:p w14:paraId="6131B0B2" w14:textId="77777777" w:rsidR="0016455D" w:rsidRPr="00200234" w:rsidRDefault="0016455D" w:rsidP="001236DF">
            <w:pPr>
              <w:pStyle w:val="TableText"/>
              <w:tabs>
                <w:tab w:val="decimal" w:pos="454"/>
              </w:tabs>
              <w:spacing w:before="55" w:after="55"/>
              <w:rPr>
                <w:rFonts w:cs="Segoe UI"/>
              </w:rPr>
            </w:pPr>
            <w:r w:rsidRPr="00471546">
              <w:t xml:space="preserve"> 5 </w:t>
            </w:r>
          </w:p>
        </w:tc>
        <w:tc>
          <w:tcPr>
            <w:tcW w:w="426" w:type="dxa"/>
            <w:tcBorders>
              <w:top w:val="nil"/>
              <w:bottom w:val="nil"/>
            </w:tcBorders>
            <w:shd w:val="clear" w:color="auto" w:fill="auto"/>
          </w:tcPr>
          <w:p w14:paraId="4A549633" w14:textId="77777777" w:rsidR="0016455D" w:rsidRPr="00200234" w:rsidRDefault="0016455D" w:rsidP="001236DF">
            <w:pPr>
              <w:pStyle w:val="TableText"/>
              <w:tabs>
                <w:tab w:val="decimal" w:pos="636"/>
              </w:tabs>
              <w:spacing w:before="55" w:after="55"/>
              <w:rPr>
                <w:rFonts w:cs="Segoe UI"/>
              </w:rPr>
            </w:pPr>
          </w:p>
        </w:tc>
        <w:tc>
          <w:tcPr>
            <w:tcW w:w="1843" w:type="dxa"/>
            <w:tcBorders>
              <w:top w:val="nil"/>
            </w:tcBorders>
          </w:tcPr>
          <w:p w14:paraId="2A12EDD5" w14:textId="77777777" w:rsidR="0016455D" w:rsidRPr="00200234" w:rsidRDefault="0016455D" w:rsidP="001236DF">
            <w:pPr>
              <w:pStyle w:val="TableText"/>
              <w:spacing w:before="55" w:after="55"/>
              <w:jc w:val="both"/>
              <w:rPr>
                <w:rFonts w:cs="Segoe UI"/>
              </w:rPr>
            </w:pPr>
            <w:r w:rsidRPr="00200234">
              <w:rPr>
                <w:rFonts w:cs="Segoe UI"/>
              </w:rPr>
              <w:t>Tairāwhiti</w:t>
            </w:r>
          </w:p>
        </w:tc>
        <w:tc>
          <w:tcPr>
            <w:tcW w:w="614" w:type="dxa"/>
            <w:tcBorders>
              <w:top w:val="nil"/>
            </w:tcBorders>
          </w:tcPr>
          <w:p w14:paraId="333ACCE9" w14:textId="77777777" w:rsidR="0016455D" w:rsidRPr="00200234" w:rsidRDefault="0016455D" w:rsidP="001236DF">
            <w:pPr>
              <w:pStyle w:val="TableText"/>
              <w:tabs>
                <w:tab w:val="decimal" w:pos="454"/>
              </w:tabs>
              <w:spacing w:before="55" w:after="55"/>
              <w:rPr>
                <w:rFonts w:cs="Segoe UI"/>
              </w:rPr>
            </w:pPr>
            <w:r w:rsidRPr="002F1F0B">
              <w:t xml:space="preserve"> 72 </w:t>
            </w:r>
          </w:p>
        </w:tc>
        <w:tc>
          <w:tcPr>
            <w:tcW w:w="615" w:type="dxa"/>
            <w:tcBorders>
              <w:top w:val="nil"/>
            </w:tcBorders>
          </w:tcPr>
          <w:p w14:paraId="71D3D9E3" w14:textId="77777777" w:rsidR="0016455D" w:rsidRPr="00200234" w:rsidRDefault="0016455D" w:rsidP="001236DF">
            <w:pPr>
              <w:pStyle w:val="TableText"/>
              <w:tabs>
                <w:tab w:val="decimal" w:pos="454"/>
              </w:tabs>
              <w:spacing w:before="55" w:after="55"/>
              <w:rPr>
                <w:rFonts w:cs="Segoe UI"/>
              </w:rPr>
            </w:pPr>
            <w:r w:rsidRPr="002F1F0B">
              <w:t xml:space="preserve"> 4 </w:t>
            </w:r>
          </w:p>
        </w:tc>
        <w:tc>
          <w:tcPr>
            <w:tcW w:w="615" w:type="dxa"/>
            <w:tcBorders>
              <w:top w:val="nil"/>
            </w:tcBorders>
          </w:tcPr>
          <w:p w14:paraId="675AD219" w14:textId="77777777" w:rsidR="0016455D" w:rsidRPr="00200234" w:rsidRDefault="0016455D" w:rsidP="001236DF">
            <w:pPr>
              <w:pStyle w:val="TableText"/>
              <w:spacing w:before="55" w:after="55"/>
              <w:jc w:val="center"/>
              <w:rPr>
                <w:rFonts w:cs="Segoe UI"/>
              </w:rPr>
            </w:pPr>
            <w:r w:rsidRPr="002F1F0B">
              <w:t xml:space="preserve"> 3 </w:t>
            </w:r>
          </w:p>
        </w:tc>
      </w:tr>
      <w:tr w:rsidR="0016455D" w:rsidRPr="00200234" w14:paraId="17A14100" w14:textId="77777777" w:rsidTr="001236DF">
        <w:trPr>
          <w:cantSplit/>
        </w:trPr>
        <w:tc>
          <w:tcPr>
            <w:tcW w:w="1843" w:type="dxa"/>
            <w:tcBorders>
              <w:top w:val="nil"/>
              <w:right w:val="nil"/>
            </w:tcBorders>
          </w:tcPr>
          <w:p w14:paraId="4AAFABEB" w14:textId="77777777" w:rsidR="0016455D" w:rsidRPr="00200234" w:rsidRDefault="0016455D" w:rsidP="001236DF">
            <w:pPr>
              <w:pStyle w:val="TableText"/>
              <w:spacing w:before="55" w:after="55"/>
              <w:rPr>
                <w:rFonts w:cs="Segoe UI"/>
              </w:rPr>
            </w:pPr>
            <w:r w:rsidRPr="00200234">
              <w:rPr>
                <w:rFonts w:cs="Segoe UI"/>
              </w:rPr>
              <w:t>Counties Manukau</w:t>
            </w:r>
          </w:p>
        </w:tc>
        <w:tc>
          <w:tcPr>
            <w:tcW w:w="708" w:type="dxa"/>
            <w:tcBorders>
              <w:top w:val="nil"/>
              <w:left w:val="nil"/>
              <w:right w:val="nil"/>
            </w:tcBorders>
          </w:tcPr>
          <w:p w14:paraId="5063433E" w14:textId="77777777" w:rsidR="0016455D" w:rsidRPr="00200234" w:rsidRDefault="0016455D" w:rsidP="001236DF">
            <w:pPr>
              <w:pStyle w:val="TableText"/>
              <w:tabs>
                <w:tab w:val="decimal" w:pos="510"/>
              </w:tabs>
              <w:spacing w:before="55" w:after="55"/>
              <w:rPr>
                <w:rFonts w:cs="Segoe UI"/>
              </w:rPr>
            </w:pPr>
            <w:r w:rsidRPr="00471546">
              <w:t xml:space="preserve"> 75 </w:t>
            </w:r>
          </w:p>
        </w:tc>
        <w:tc>
          <w:tcPr>
            <w:tcW w:w="709" w:type="dxa"/>
            <w:tcBorders>
              <w:top w:val="nil"/>
              <w:left w:val="nil"/>
              <w:right w:val="nil"/>
            </w:tcBorders>
          </w:tcPr>
          <w:p w14:paraId="0B177872" w14:textId="77777777" w:rsidR="0016455D" w:rsidRPr="00200234" w:rsidRDefault="0016455D" w:rsidP="001236DF">
            <w:pPr>
              <w:pStyle w:val="TableText"/>
              <w:tabs>
                <w:tab w:val="decimal" w:pos="510"/>
              </w:tabs>
              <w:spacing w:before="55" w:after="55"/>
              <w:rPr>
                <w:rFonts w:cs="Segoe UI"/>
              </w:rPr>
            </w:pPr>
            <w:r w:rsidRPr="00471546">
              <w:t xml:space="preserve"> 12 </w:t>
            </w:r>
          </w:p>
        </w:tc>
        <w:tc>
          <w:tcPr>
            <w:tcW w:w="709" w:type="dxa"/>
            <w:tcBorders>
              <w:top w:val="nil"/>
              <w:left w:val="nil"/>
            </w:tcBorders>
          </w:tcPr>
          <w:p w14:paraId="1E745581" w14:textId="77777777" w:rsidR="0016455D" w:rsidRPr="00200234" w:rsidRDefault="0016455D" w:rsidP="001236DF">
            <w:pPr>
              <w:pStyle w:val="TableText"/>
              <w:tabs>
                <w:tab w:val="decimal" w:pos="454"/>
              </w:tabs>
              <w:spacing w:before="55" w:after="55"/>
              <w:rPr>
                <w:rFonts w:cs="Segoe UI"/>
              </w:rPr>
            </w:pPr>
            <w:r w:rsidRPr="00471546">
              <w:t xml:space="preserve"> 1 </w:t>
            </w:r>
          </w:p>
        </w:tc>
        <w:tc>
          <w:tcPr>
            <w:tcW w:w="426" w:type="dxa"/>
            <w:tcBorders>
              <w:top w:val="nil"/>
              <w:bottom w:val="nil"/>
            </w:tcBorders>
            <w:shd w:val="clear" w:color="auto" w:fill="auto"/>
          </w:tcPr>
          <w:p w14:paraId="7000F028" w14:textId="77777777" w:rsidR="0016455D" w:rsidRPr="00200234" w:rsidRDefault="0016455D" w:rsidP="001236DF">
            <w:pPr>
              <w:pStyle w:val="TableText"/>
              <w:tabs>
                <w:tab w:val="decimal" w:pos="636"/>
              </w:tabs>
              <w:spacing w:before="55" w:after="55"/>
              <w:rPr>
                <w:rFonts w:cs="Segoe UI"/>
              </w:rPr>
            </w:pPr>
          </w:p>
        </w:tc>
        <w:tc>
          <w:tcPr>
            <w:tcW w:w="1843" w:type="dxa"/>
            <w:tcBorders>
              <w:top w:val="nil"/>
            </w:tcBorders>
          </w:tcPr>
          <w:p w14:paraId="6F0A1482" w14:textId="77777777" w:rsidR="0016455D" w:rsidRPr="00200234" w:rsidRDefault="0016455D" w:rsidP="001236DF">
            <w:pPr>
              <w:pStyle w:val="TableText"/>
              <w:spacing w:before="55" w:after="55"/>
              <w:jc w:val="both"/>
              <w:rPr>
                <w:rFonts w:cs="Segoe UI"/>
              </w:rPr>
            </w:pPr>
            <w:r w:rsidRPr="00200234">
              <w:rPr>
                <w:rFonts w:cs="Segoe UI"/>
              </w:rPr>
              <w:t>Taranaki</w:t>
            </w:r>
          </w:p>
        </w:tc>
        <w:tc>
          <w:tcPr>
            <w:tcW w:w="614" w:type="dxa"/>
            <w:tcBorders>
              <w:top w:val="nil"/>
            </w:tcBorders>
          </w:tcPr>
          <w:p w14:paraId="70C1A14E" w14:textId="77777777" w:rsidR="0016455D" w:rsidRPr="00200234" w:rsidRDefault="0016455D" w:rsidP="001236DF">
            <w:pPr>
              <w:pStyle w:val="TableText"/>
              <w:tabs>
                <w:tab w:val="decimal" w:pos="454"/>
              </w:tabs>
              <w:spacing w:before="55" w:after="55"/>
              <w:rPr>
                <w:rFonts w:cs="Segoe UI"/>
              </w:rPr>
            </w:pPr>
            <w:r w:rsidRPr="002F1F0B">
              <w:t xml:space="preserve"> 90 </w:t>
            </w:r>
          </w:p>
        </w:tc>
        <w:tc>
          <w:tcPr>
            <w:tcW w:w="615" w:type="dxa"/>
            <w:tcBorders>
              <w:top w:val="nil"/>
            </w:tcBorders>
          </w:tcPr>
          <w:p w14:paraId="4F5624B2" w14:textId="77777777" w:rsidR="0016455D" w:rsidRPr="00200234" w:rsidRDefault="0016455D" w:rsidP="001236DF">
            <w:pPr>
              <w:pStyle w:val="TableText"/>
              <w:tabs>
                <w:tab w:val="decimal" w:pos="454"/>
              </w:tabs>
              <w:spacing w:before="55" w:after="55"/>
              <w:rPr>
                <w:rFonts w:cs="Segoe UI"/>
              </w:rPr>
            </w:pPr>
            <w:r w:rsidRPr="002F1F0B">
              <w:t xml:space="preserve"> 5 </w:t>
            </w:r>
          </w:p>
        </w:tc>
        <w:tc>
          <w:tcPr>
            <w:tcW w:w="615" w:type="dxa"/>
            <w:tcBorders>
              <w:top w:val="nil"/>
            </w:tcBorders>
          </w:tcPr>
          <w:p w14:paraId="36CAA824" w14:textId="77777777" w:rsidR="0016455D" w:rsidRPr="00200234" w:rsidRDefault="0016455D" w:rsidP="001236DF">
            <w:pPr>
              <w:pStyle w:val="TableText"/>
              <w:spacing w:before="55" w:after="55"/>
              <w:jc w:val="center"/>
              <w:rPr>
                <w:rFonts w:cs="Segoe UI"/>
              </w:rPr>
            </w:pPr>
            <w:r w:rsidRPr="002F1F0B">
              <w:t xml:space="preserve"> 1 </w:t>
            </w:r>
          </w:p>
        </w:tc>
      </w:tr>
      <w:tr w:rsidR="0016455D" w:rsidRPr="00200234" w14:paraId="1EDEC66F" w14:textId="77777777" w:rsidTr="001236DF">
        <w:trPr>
          <w:cantSplit/>
        </w:trPr>
        <w:tc>
          <w:tcPr>
            <w:tcW w:w="1843" w:type="dxa"/>
            <w:tcBorders>
              <w:top w:val="nil"/>
              <w:right w:val="nil"/>
            </w:tcBorders>
          </w:tcPr>
          <w:p w14:paraId="20476143" w14:textId="77777777" w:rsidR="0016455D" w:rsidRPr="00200234" w:rsidRDefault="0016455D" w:rsidP="001236DF">
            <w:pPr>
              <w:pStyle w:val="TableText"/>
              <w:spacing w:before="55" w:after="55"/>
              <w:rPr>
                <w:rFonts w:cs="Segoe UI"/>
              </w:rPr>
            </w:pPr>
            <w:r w:rsidRPr="00200234">
              <w:rPr>
                <w:rFonts w:cs="Segoe UI"/>
              </w:rPr>
              <w:t>Hawke</w:t>
            </w:r>
            <w:r>
              <w:rPr>
                <w:rFonts w:cs="Segoe UI"/>
              </w:rPr>
              <w:t>’</w:t>
            </w:r>
            <w:r w:rsidRPr="00200234">
              <w:rPr>
                <w:rFonts w:cs="Segoe UI"/>
              </w:rPr>
              <w:t>s Bay</w:t>
            </w:r>
          </w:p>
        </w:tc>
        <w:tc>
          <w:tcPr>
            <w:tcW w:w="708" w:type="dxa"/>
            <w:tcBorders>
              <w:top w:val="nil"/>
              <w:left w:val="nil"/>
              <w:right w:val="nil"/>
            </w:tcBorders>
          </w:tcPr>
          <w:p w14:paraId="6D6B0D05" w14:textId="77777777" w:rsidR="0016455D" w:rsidRPr="00200234" w:rsidRDefault="0016455D" w:rsidP="001236DF">
            <w:pPr>
              <w:pStyle w:val="TableText"/>
              <w:tabs>
                <w:tab w:val="decimal" w:pos="510"/>
              </w:tabs>
              <w:spacing w:before="55" w:after="55"/>
              <w:rPr>
                <w:rFonts w:cs="Segoe UI"/>
              </w:rPr>
            </w:pPr>
            <w:r w:rsidRPr="00471546">
              <w:t xml:space="preserve"> 181 </w:t>
            </w:r>
          </w:p>
        </w:tc>
        <w:tc>
          <w:tcPr>
            <w:tcW w:w="709" w:type="dxa"/>
            <w:tcBorders>
              <w:top w:val="nil"/>
              <w:left w:val="nil"/>
              <w:right w:val="nil"/>
            </w:tcBorders>
          </w:tcPr>
          <w:p w14:paraId="3EDF762C" w14:textId="77777777" w:rsidR="0016455D" w:rsidRPr="00200234" w:rsidRDefault="0016455D" w:rsidP="001236DF">
            <w:pPr>
              <w:pStyle w:val="TableText"/>
              <w:tabs>
                <w:tab w:val="decimal" w:pos="510"/>
              </w:tabs>
              <w:spacing w:before="55" w:after="55"/>
              <w:rPr>
                <w:rFonts w:cs="Segoe UI"/>
              </w:rPr>
            </w:pPr>
            <w:r w:rsidRPr="00471546">
              <w:t xml:space="preserve"> 23 </w:t>
            </w:r>
          </w:p>
        </w:tc>
        <w:tc>
          <w:tcPr>
            <w:tcW w:w="709" w:type="dxa"/>
            <w:tcBorders>
              <w:top w:val="nil"/>
              <w:left w:val="nil"/>
            </w:tcBorders>
          </w:tcPr>
          <w:p w14:paraId="1DC54B7B" w14:textId="77777777" w:rsidR="0016455D" w:rsidRPr="00200234" w:rsidRDefault="0016455D" w:rsidP="001236DF">
            <w:pPr>
              <w:pStyle w:val="TableText"/>
              <w:tabs>
                <w:tab w:val="decimal" w:pos="454"/>
              </w:tabs>
              <w:spacing w:before="55" w:after="55"/>
              <w:rPr>
                <w:rFonts w:cs="Segoe UI"/>
              </w:rPr>
            </w:pPr>
            <w:r w:rsidRPr="00471546">
              <w:t xml:space="preserve"> 18 </w:t>
            </w:r>
          </w:p>
        </w:tc>
        <w:tc>
          <w:tcPr>
            <w:tcW w:w="426" w:type="dxa"/>
            <w:tcBorders>
              <w:top w:val="nil"/>
              <w:bottom w:val="nil"/>
            </w:tcBorders>
            <w:shd w:val="clear" w:color="auto" w:fill="auto"/>
          </w:tcPr>
          <w:p w14:paraId="34ED6AD3" w14:textId="77777777" w:rsidR="0016455D" w:rsidRPr="00200234" w:rsidRDefault="0016455D" w:rsidP="001236DF">
            <w:pPr>
              <w:pStyle w:val="TableText"/>
              <w:tabs>
                <w:tab w:val="decimal" w:pos="636"/>
              </w:tabs>
              <w:spacing w:before="55" w:after="55"/>
              <w:rPr>
                <w:rFonts w:cs="Segoe UI"/>
              </w:rPr>
            </w:pPr>
          </w:p>
        </w:tc>
        <w:tc>
          <w:tcPr>
            <w:tcW w:w="1843" w:type="dxa"/>
            <w:tcBorders>
              <w:top w:val="nil"/>
            </w:tcBorders>
          </w:tcPr>
          <w:p w14:paraId="132802E3" w14:textId="77777777" w:rsidR="0016455D" w:rsidRPr="00200234" w:rsidRDefault="0016455D" w:rsidP="001236DF">
            <w:pPr>
              <w:pStyle w:val="TableText"/>
              <w:spacing w:before="55" w:after="55"/>
              <w:jc w:val="both"/>
              <w:rPr>
                <w:rFonts w:cs="Segoe UI"/>
              </w:rPr>
            </w:pPr>
            <w:r w:rsidRPr="00200234">
              <w:rPr>
                <w:rFonts w:cs="Segoe UI"/>
              </w:rPr>
              <w:t>Waikato</w:t>
            </w:r>
          </w:p>
        </w:tc>
        <w:tc>
          <w:tcPr>
            <w:tcW w:w="614" w:type="dxa"/>
            <w:tcBorders>
              <w:top w:val="nil"/>
            </w:tcBorders>
          </w:tcPr>
          <w:p w14:paraId="010376F7" w14:textId="77777777" w:rsidR="0016455D" w:rsidRPr="00200234" w:rsidRDefault="0016455D" w:rsidP="001236DF">
            <w:pPr>
              <w:pStyle w:val="TableText"/>
              <w:tabs>
                <w:tab w:val="decimal" w:pos="454"/>
              </w:tabs>
              <w:spacing w:before="55" w:after="55"/>
              <w:rPr>
                <w:rFonts w:cs="Segoe UI"/>
              </w:rPr>
            </w:pPr>
            <w:r w:rsidRPr="002F1F0B">
              <w:t xml:space="preserve"> 130 </w:t>
            </w:r>
          </w:p>
        </w:tc>
        <w:tc>
          <w:tcPr>
            <w:tcW w:w="615" w:type="dxa"/>
            <w:tcBorders>
              <w:top w:val="nil"/>
            </w:tcBorders>
          </w:tcPr>
          <w:p w14:paraId="7CF7938E" w14:textId="77777777" w:rsidR="0016455D" w:rsidRPr="00200234" w:rsidRDefault="0016455D" w:rsidP="001236DF">
            <w:pPr>
              <w:pStyle w:val="TableText"/>
              <w:tabs>
                <w:tab w:val="decimal" w:pos="454"/>
              </w:tabs>
              <w:spacing w:before="55" w:after="55"/>
              <w:rPr>
                <w:rFonts w:cs="Segoe UI"/>
              </w:rPr>
            </w:pPr>
            <w:r w:rsidRPr="002F1F0B">
              <w:t xml:space="preserve"> 16 </w:t>
            </w:r>
          </w:p>
        </w:tc>
        <w:tc>
          <w:tcPr>
            <w:tcW w:w="615" w:type="dxa"/>
            <w:tcBorders>
              <w:top w:val="nil"/>
            </w:tcBorders>
          </w:tcPr>
          <w:p w14:paraId="40E4A6C6" w14:textId="77777777" w:rsidR="0016455D" w:rsidRPr="00200234" w:rsidRDefault="0016455D" w:rsidP="001236DF">
            <w:pPr>
              <w:pStyle w:val="TableText"/>
              <w:spacing w:before="55" w:after="55"/>
              <w:jc w:val="center"/>
              <w:rPr>
                <w:rFonts w:cs="Segoe UI"/>
              </w:rPr>
            </w:pPr>
            <w:r w:rsidRPr="002F1F0B">
              <w:t xml:space="preserve"> 2 </w:t>
            </w:r>
          </w:p>
        </w:tc>
      </w:tr>
      <w:tr w:rsidR="0016455D" w:rsidRPr="00200234" w14:paraId="4A3288D3" w14:textId="77777777" w:rsidTr="001236DF">
        <w:trPr>
          <w:cantSplit/>
        </w:trPr>
        <w:tc>
          <w:tcPr>
            <w:tcW w:w="1843" w:type="dxa"/>
            <w:tcBorders>
              <w:top w:val="nil"/>
              <w:right w:val="nil"/>
            </w:tcBorders>
          </w:tcPr>
          <w:p w14:paraId="636F5542" w14:textId="77777777" w:rsidR="0016455D" w:rsidRPr="00200234" w:rsidRDefault="0016455D" w:rsidP="001236DF">
            <w:pPr>
              <w:pStyle w:val="TableText"/>
              <w:spacing w:before="55" w:after="55"/>
              <w:rPr>
                <w:rFonts w:cs="Segoe UI"/>
              </w:rPr>
            </w:pPr>
            <w:r w:rsidRPr="00200234">
              <w:rPr>
                <w:rFonts w:cs="Segoe UI"/>
              </w:rPr>
              <w:t>Hutt Valley</w:t>
            </w:r>
          </w:p>
        </w:tc>
        <w:tc>
          <w:tcPr>
            <w:tcW w:w="708" w:type="dxa"/>
            <w:tcBorders>
              <w:top w:val="nil"/>
              <w:left w:val="nil"/>
              <w:right w:val="nil"/>
            </w:tcBorders>
          </w:tcPr>
          <w:p w14:paraId="4126A303" w14:textId="77777777" w:rsidR="0016455D" w:rsidRPr="00200234" w:rsidRDefault="0016455D" w:rsidP="001236DF">
            <w:pPr>
              <w:pStyle w:val="TableText"/>
              <w:tabs>
                <w:tab w:val="decimal" w:pos="510"/>
              </w:tabs>
              <w:spacing w:before="55" w:after="55"/>
              <w:rPr>
                <w:rFonts w:cs="Segoe UI"/>
              </w:rPr>
            </w:pPr>
            <w:r w:rsidRPr="00471546">
              <w:t xml:space="preserve"> 80 </w:t>
            </w:r>
          </w:p>
        </w:tc>
        <w:tc>
          <w:tcPr>
            <w:tcW w:w="709" w:type="dxa"/>
            <w:tcBorders>
              <w:top w:val="nil"/>
              <w:left w:val="nil"/>
              <w:right w:val="nil"/>
            </w:tcBorders>
          </w:tcPr>
          <w:p w14:paraId="0248825C" w14:textId="77777777" w:rsidR="0016455D" w:rsidRPr="00200234" w:rsidRDefault="0016455D" w:rsidP="001236DF">
            <w:pPr>
              <w:pStyle w:val="TableText"/>
              <w:tabs>
                <w:tab w:val="decimal" w:pos="510"/>
              </w:tabs>
              <w:spacing w:before="55" w:after="55"/>
              <w:rPr>
                <w:rFonts w:cs="Segoe UI"/>
              </w:rPr>
            </w:pPr>
            <w:r w:rsidRPr="00471546">
              <w:t xml:space="preserve"> 8 </w:t>
            </w:r>
          </w:p>
        </w:tc>
        <w:tc>
          <w:tcPr>
            <w:tcW w:w="709" w:type="dxa"/>
            <w:tcBorders>
              <w:top w:val="nil"/>
              <w:left w:val="nil"/>
            </w:tcBorders>
          </w:tcPr>
          <w:p w14:paraId="32BDB5DA" w14:textId="77777777" w:rsidR="0016455D" w:rsidRPr="00200234" w:rsidRDefault="0016455D" w:rsidP="001236DF">
            <w:pPr>
              <w:pStyle w:val="TableText"/>
              <w:tabs>
                <w:tab w:val="decimal" w:pos="454"/>
              </w:tabs>
              <w:spacing w:before="55" w:after="55"/>
              <w:rPr>
                <w:rFonts w:cs="Segoe UI"/>
              </w:rPr>
            </w:pPr>
            <w:r w:rsidRPr="00471546">
              <w:t xml:space="preserve"> 2 </w:t>
            </w:r>
          </w:p>
        </w:tc>
        <w:tc>
          <w:tcPr>
            <w:tcW w:w="426" w:type="dxa"/>
            <w:tcBorders>
              <w:top w:val="nil"/>
              <w:bottom w:val="nil"/>
            </w:tcBorders>
            <w:shd w:val="clear" w:color="auto" w:fill="auto"/>
          </w:tcPr>
          <w:p w14:paraId="32F6290A" w14:textId="77777777" w:rsidR="0016455D" w:rsidRPr="00200234" w:rsidRDefault="0016455D" w:rsidP="001236DF">
            <w:pPr>
              <w:pStyle w:val="TableText"/>
              <w:tabs>
                <w:tab w:val="decimal" w:pos="636"/>
              </w:tabs>
              <w:spacing w:before="55" w:after="55"/>
              <w:rPr>
                <w:rFonts w:cs="Segoe UI"/>
              </w:rPr>
            </w:pPr>
          </w:p>
        </w:tc>
        <w:tc>
          <w:tcPr>
            <w:tcW w:w="1843" w:type="dxa"/>
            <w:tcBorders>
              <w:top w:val="nil"/>
            </w:tcBorders>
          </w:tcPr>
          <w:p w14:paraId="289141FF" w14:textId="77777777" w:rsidR="0016455D" w:rsidRPr="00CB00DB" w:rsidRDefault="0016455D" w:rsidP="001236DF">
            <w:pPr>
              <w:pStyle w:val="TableText"/>
              <w:spacing w:before="55" w:after="55"/>
              <w:jc w:val="both"/>
              <w:rPr>
                <w:rFonts w:cs="Segoe UI"/>
              </w:rPr>
            </w:pPr>
            <w:r w:rsidRPr="00CB00DB">
              <w:rPr>
                <w:rFonts w:cs="Segoe UI"/>
              </w:rPr>
              <w:t>Wairarapa</w:t>
            </w:r>
          </w:p>
        </w:tc>
        <w:tc>
          <w:tcPr>
            <w:tcW w:w="614" w:type="dxa"/>
            <w:tcBorders>
              <w:top w:val="nil"/>
            </w:tcBorders>
          </w:tcPr>
          <w:p w14:paraId="679D938C" w14:textId="77777777" w:rsidR="0016455D" w:rsidRPr="00CB00DB" w:rsidRDefault="0016455D" w:rsidP="001236DF">
            <w:pPr>
              <w:pStyle w:val="TableText"/>
              <w:tabs>
                <w:tab w:val="decimal" w:pos="454"/>
              </w:tabs>
              <w:spacing w:before="55" w:after="55"/>
              <w:rPr>
                <w:rFonts w:cs="Segoe UI"/>
              </w:rPr>
            </w:pPr>
            <w:r w:rsidRPr="002F1F0B">
              <w:t xml:space="preserve"> 78 </w:t>
            </w:r>
          </w:p>
        </w:tc>
        <w:tc>
          <w:tcPr>
            <w:tcW w:w="615" w:type="dxa"/>
            <w:tcBorders>
              <w:top w:val="nil"/>
            </w:tcBorders>
          </w:tcPr>
          <w:p w14:paraId="23325FBE" w14:textId="77777777" w:rsidR="0016455D" w:rsidRPr="00CB00DB" w:rsidRDefault="0016455D" w:rsidP="001236DF">
            <w:pPr>
              <w:pStyle w:val="TableText"/>
              <w:tabs>
                <w:tab w:val="decimal" w:pos="454"/>
              </w:tabs>
              <w:spacing w:before="55" w:after="55"/>
              <w:rPr>
                <w:rFonts w:cs="Segoe UI"/>
              </w:rPr>
            </w:pPr>
            <w:r w:rsidRPr="002F1F0B">
              <w:t xml:space="preserve"> 2 </w:t>
            </w:r>
          </w:p>
        </w:tc>
        <w:tc>
          <w:tcPr>
            <w:tcW w:w="615" w:type="dxa"/>
            <w:tcBorders>
              <w:top w:val="nil"/>
            </w:tcBorders>
          </w:tcPr>
          <w:p w14:paraId="5E8FB57E" w14:textId="77777777" w:rsidR="0016455D" w:rsidRPr="00CB00DB" w:rsidRDefault="0016455D" w:rsidP="001236DF">
            <w:pPr>
              <w:pStyle w:val="TableText"/>
              <w:spacing w:before="55" w:after="55"/>
              <w:jc w:val="center"/>
              <w:rPr>
                <w:rFonts w:cs="Segoe UI"/>
              </w:rPr>
            </w:pPr>
            <w:r w:rsidRPr="002F1F0B">
              <w:t xml:space="preserve"> 2 </w:t>
            </w:r>
          </w:p>
        </w:tc>
      </w:tr>
      <w:tr w:rsidR="0016455D" w:rsidRPr="00200234" w14:paraId="658B1A3B" w14:textId="77777777" w:rsidTr="001236DF">
        <w:trPr>
          <w:cantSplit/>
        </w:trPr>
        <w:tc>
          <w:tcPr>
            <w:tcW w:w="1843" w:type="dxa"/>
            <w:tcBorders>
              <w:top w:val="nil"/>
              <w:right w:val="nil"/>
            </w:tcBorders>
          </w:tcPr>
          <w:p w14:paraId="0FB7EFA1" w14:textId="77777777" w:rsidR="0016455D" w:rsidRPr="00200234" w:rsidRDefault="0016455D" w:rsidP="001236DF">
            <w:pPr>
              <w:pStyle w:val="TableText"/>
              <w:spacing w:before="55" w:after="55"/>
              <w:rPr>
                <w:rFonts w:cs="Segoe UI"/>
              </w:rPr>
            </w:pPr>
            <w:r w:rsidRPr="00200234">
              <w:rPr>
                <w:rFonts w:cs="Segoe UI"/>
              </w:rPr>
              <w:t>Lakes</w:t>
            </w:r>
          </w:p>
        </w:tc>
        <w:tc>
          <w:tcPr>
            <w:tcW w:w="708" w:type="dxa"/>
            <w:tcBorders>
              <w:top w:val="nil"/>
              <w:left w:val="nil"/>
              <w:right w:val="nil"/>
            </w:tcBorders>
          </w:tcPr>
          <w:p w14:paraId="1E70B953" w14:textId="77777777" w:rsidR="0016455D" w:rsidRPr="00200234" w:rsidRDefault="0016455D" w:rsidP="001236DF">
            <w:pPr>
              <w:pStyle w:val="TableText"/>
              <w:tabs>
                <w:tab w:val="decimal" w:pos="510"/>
              </w:tabs>
              <w:spacing w:before="55" w:after="55"/>
              <w:rPr>
                <w:rFonts w:cs="Segoe UI"/>
              </w:rPr>
            </w:pPr>
            <w:r w:rsidRPr="00471546">
              <w:t xml:space="preserve"> 65 </w:t>
            </w:r>
          </w:p>
        </w:tc>
        <w:tc>
          <w:tcPr>
            <w:tcW w:w="709" w:type="dxa"/>
            <w:tcBorders>
              <w:top w:val="nil"/>
              <w:left w:val="nil"/>
              <w:right w:val="nil"/>
            </w:tcBorders>
          </w:tcPr>
          <w:p w14:paraId="658263B7" w14:textId="77777777" w:rsidR="0016455D" w:rsidRPr="00200234" w:rsidRDefault="0016455D" w:rsidP="001236DF">
            <w:pPr>
              <w:pStyle w:val="TableText"/>
              <w:tabs>
                <w:tab w:val="decimal" w:pos="510"/>
              </w:tabs>
              <w:spacing w:before="55" w:after="55"/>
              <w:rPr>
                <w:rFonts w:cs="Segoe UI"/>
              </w:rPr>
            </w:pPr>
            <w:r w:rsidRPr="00471546">
              <w:t xml:space="preserve"> 5 </w:t>
            </w:r>
          </w:p>
        </w:tc>
        <w:tc>
          <w:tcPr>
            <w:tcW w:w="709" w:type="dxa"/>
            <w:tcBorders>
              <w:top w:val="nil"/>
              <w:left w:val="nil"/>
            </w:tcBorders>
          </w:tcPr>
          <w:p w14:paraId="56385705" w14:textId="77777777" w:rsidR="0016455D" w:rsidRPr="00200234" w:rsidRDefault="0016455D" w:rsidP="001236DF">
            <w:pPr>
              <w:pStyle w:val="TableText"/>
              <w:tabs>
                <w:tab w:val="decimal" w:pos="454"/>
              </w:tabs>
              <w:spacing w:before="55" w:after="55"/>
              <w:rPr>
                <w:rFonts w:cs="Segoe UI"/>
              </w:rPr>
            </w:pPr>
            <w:r w:rsidRPr="00471546">
              <w:t xml:space="preserve"> 2 </w:t>
            </w:r>
          </w:p>
        </w:tc>
        <w:tc>
          <w:tcPr>
            <w:tcW w:w="426" w:type="dxa"/>
            <w:tcBorders>
              <w:top w:val="nil"/>
              <w:bottom w:val="nil"/>
            </w:tcBorders>
            <w:shd w:val="clear" w:color="auto" w:fill="auto"/>
          </w:tcPr>
          <w:p w14:paraId="4A6F381A" w14:textId="77777777" w:rsidR="0016455D" w:rsidRPr="00200234" w:rsidRDefault="0016455D" w:rsidP="001236DF">
            <w:pPr>
              <w:pStyle w:val="TableText"/>
              <w:tabs>
                <w:tab w:val="decimal" w:pos="636"/>
              </w:tabs>
              <w:spacing w:before="55" w:after="55"/>
              <w:rPr>
                <w:rFonts w:cs="Segoe UI"/>
              </w:rPr>
            </w:pPr>
          </w:p>
        </w:tc>
        <w:tc>
          <w:tcPr>
            <w:tcW w:w="1843" w:type="dxa"/>
            <w:tcBorders>
              <w:top w:val="nil"/>
            </w:tcBorders>
          </w:tcPr>
          <w:p w14:paraId="27C81CC2" w14:textId="77777777" w:rsidR="0016455D" w:rsidRPr="00200234" w:rsidRDefault="0016455D" w:rsidP="001236DF">
            <w:pPr>
              <w:pStyle w:val="TableText"/>
              <w:spacing w:before="55" w:after="55"/>
              <w:jc w:val="both"/>
              <w:rPr>
                <w:rFonts w:cs="Segoe UI"/>
              </w:rPr>
            </w:pPr>
            <w:r w:rsidRPr="00200234">
              <w:rPr>
                <w:rFonts w:cs="Segoe UI"/>
              </w:rPr>
              <w:t>Waitematā</w:t>
            </w:r>
          </w:p>
        </w:tc>
        <w:tc>
          <w:tcPr>
            <w:tcW w:w="614" w:type="dxa"/>
            <w:tcBorders>
              <w:top w:val="nil"/>
            </w:tcBorders>
          </w:tcPr>
          <w:p w14:paraId="4303F3C0" w14:textId="77777777" w:rsidR="0016455D" w:rsidRPr="00200234" w:rsidRDefault="0016455D" w:rsidP="001236DF">
            <w:pPr>
              <w:pStyle w:val="TableText"/>
              <w:tabs>
                <w:tab w:val="decimal" w:pos="454"/>
              </w:tabs>
              <w:spacing w:before="55" w:after="55"/>
              <w:rPr>
                <w:rFonts w:cs="Segoe UI"/>
              </w:rPr>
            </w:pPr>
            <w:r w:rsidRPr="002F1F0B">
              <w:t xml:space="preserve"> 84 </w:t>
            </w:r>
          </w:p>
        </w:tc>
        <w:tc>
          <w:tcPr>
            <w:tcW w:w="615" w:type="dxa"/>
            <w:tcBorders>
              <w:top w:val="nil"/>
            </w:tcBorders>
          </w:tcPr>
          <w:p w14:paraId="09AAEC36" w14:textId="77777777" w:rsidR="0016455D" w:rsidRPr="00200234" w:rsidRDefault="0016455D" w:rsidP="001236DF">
            <w:pPr>
              <w:pStyle w:val="TableText"/>
              <w:tabs>
                <w:tab w:val="decimal" w:pos="454"/>
              </w:tabs>
              <w:spacing w:before="55" w:after="55"/>
              <w:rPr>
                <w:rFonts w:cs="Segoe UI"/>
              </w:rPr>
            </w:pPr>
            <w:r w:rsidRPr="002F1F0B">
              <w:t xml:space="preserve"> 11 </w:t>
            </w:r>
          </w:p>
        </w:tc>
        <w:tc>
          <w:tcPr>
            <w:tcW w:w="615" w:type="dxa"/>
            <w:tcBorders>
              <w:top w:val="nil"/>
            </w:tcBorders>
          </w:tcPr>
          <w:p w14:paraId="7D3496D3" w14:textId="77777777" w:rsidR="0016455D" w:rsidRPr="00200234" w:rsidRDefault="0016455D" w:rsidP="001236DF">
            <w:pPr>
              <w:pStyle w:val="TableText"/>
              <w:spacing w:before="55" w:after="55"/>
              <w:jc w:val="center"/>
              <w:rPr>
                <w:rFonts w:cs="Segoe UI"/>
              </w:rPr>
            </w:pPr>
            <w:r w:rsidRPr="002F1F0B">
              <w:t xml:space="preserve"> 1 </w:t>
            </w:r>
          </w:p>
        </w:tc>
      </w:tr>
      <w:tr w:rsidR="0016455D" w:rsidRPr="00200234" w14:paraId="5D2D9699" w14:textId="77777777" w:rsidTr="001236DF">
        <w:trPr>
          <w:cantSplit/>
        </w:trPr>
        <w:tc>
          <w:tcPr>
            <w:tcW w:w="1843" w:type="dxa"/>
            <w:tcBorders>
              <w:top w:val="nil"/>
              <w:right w:val="nil"/>
            </w:tcBorders>
          </w:tcPr>
          <w:p w14:paraId="247A33C2" w14:textId="77777777" w:rsidR="0016455D" w:rsidRPr="00200234" w:rsidRDefault="0016455D" w:rsidP="001236DF">
            <w:pPr>
              <w:pStyle w:val="TableText"/>
              <w:spacing w:before="55" w:after="55"/>
              <w:rPr>
                <w:rFonts w:cs="Segoe UI"/>
              </w:rPr>
            </w:pPr>
            <w:r w:rsidRPr="00200234">
              <w:rPr>
                <w:rFonts w:cs="Segoe UI"/>
              </w:rPr>
              <w:t>MidCentral</w:t>
            </w:r>
          </w:p>
        </w:tc>
        <w:tc>
          <w:tcPr>
            <w:tcW w:w="708" w:type="dxa"/>
            <w:tcBorders>
              <w:top w:val="nil"/>
              <w:left w:val="nil"/>
              <w:right w:val="nil"/>
            </w:tcBorders>
          </w:tcPr>
          <w:p w14:paraId="7F2069A5" w14:textId="77777777" w:rsidR="0016455D" w:rsidRPr="00200234" w:rsidRDefault="0016455D" w:rsidP="001236DF">
            <w:pPr>
              <w:pStyle w:val="TableText"/>
              <w:tabs>
                <w:tab w:val="decimal" w:pos="510"/>
              </w:tabs>
              <w:spacing w:before="55" w:after="55"/>
              <w:rPr>
                <w:rFonts w:cs="Segoe UI"/>
              </w:rPr>
            </w:pPr>
            <w:r w:rsidRPr="00471546">
              <w:t xml:space="preserve"> 107 </w:t>
            </w:r>
          </w:p>
        </w:tc>
        <w:tc>
          <w:tcPr>
            <w:tcW w:w="709" w:type="dxa"/>
            <w:tcBorders>
              <w:top w:val="nil"/>
              <w:left w:val="nil"/>
              <w:right w:val="nil"/>
            </w:tcBorders>
          </w:tcPr>
          <w:p w14:paraId="1981ECC9" w14:textId="77777777" w:rsidR="0016455D" w:rsidRPr="00200234" w:rsidRDefault="0016455D" w:rsidP="001236DF">
            <w:pPr>
              <w:pStyle w:val="TableText"/>
              <w:tabs>
                <w:tab w:val="decimal" w:pos="510"/>
              </w:tabs>
              <w:spacing w:before="55" w:after="55"/>
              <w:rPr>
                <w:rFonts w:cs="Segoe UI"/>
              </w:rPr>
            </w:pPr>
            <w:r w:rsidRPr="00471546">
              <w:t xml:space="preserve"> 9 </w:t>
            </w:r>
          </w:p>
        </w:tc>
        <w:tc>
          <w:tcPr>
            <w:tcW w:w="709" w:type="dxa"/>
            <w:tcBorders>
              <w:top w:val="nil"/>
              <w:left w:val="nil"/>
            </w:tcBorders>
          </w:tcPr>
          <w:p w14:paraId="286588A7" w14:textId="77777777" w:rsidR="0016455D" w:rsidRPr="00200234" w:rsidRDefault="0016455D" w:rsidP="001236DF">
            <w:pPr>
              <w:pStyle w:val="TableText"/>
              <w:tabs>
                <w:tab w:val="decimal" w:pos="454"/>
              </w:tabs>
              <w:spacing w:before="55" w:after="55"/>
              <w:rPr>
                <w:rFonts w:cs="Segoe UI"/>
              </w:rPr>
            </w:pPr>
            <w:r w:rsidRPr="00471546">
              <w:t xml:space="preserve"> 2 </w:t>
            </w:r>
          </w:p>
        </w:tc>
        <w:tc>
          <w:tcPr>
            <w:tcW w:w="426" w:type="dxa"/>
            <w:tcBorders>
              <w:top w:val="nil"/>
              <w:bottom w:val="nil"/>
            </w:tcBorders>
            <w:shd w:val="clear" w:color="auto" w:fill="auto"/>
          </w:tcPr>
          <w:p w14:paraId="5A3839E5" w14:textId="77777777" w:rsidR="0016455D" w:rsidRPr="00200234" w:rsidRDefault="0016455D" w:rsidP="001236DF">
            <w:pPr>
              <w:pStyle w:val="TableText"/>
              <w:tabs>
                <w:tab w:val="decimal" w:pos="636"/>
              </w:tabs>
              <w:spacing w:before="55" w:after="55"/>
              <w:rPr>
                <w:rFonts w:cs="Segoe UI"/>
              </w:rPr>
            </w:pPr>
          </w:p>
        </w:tc>
        <w:tc>
          <w:tcPr>
            <w:tcW w:w="1843" w:type="dxa"/>
            <w:tcBorders>
              <w:top w:val="nil"/>
            </w:tcBorders>
          </w:tcPr>
          <w:p w14:paraId="3A11EE1E" w14:textId="77777777" w:rsidR="0016455D" w:rsidRPr="00200234" w:rsidRDefault="0016455D" w:rsidP="001236DF">
            <w:pPr>
              <w:pStyle w:val="TableText"/>
              <w:spacing w:before="55" w:after="55"/>
              <w:jc w:val="both"/>
              <w:rPr>
                <w:rFonts w:cs="Segoe UI"/>
              </w:rPr>
            </w:pPr>
            <w:r w:rsidRPr="00200234">
              <w:rPr>
                <w:rFonts w:cs="Segoe UI"/>
              </w:rPr>
              <w:t>West Coast</w:t>
            </w:r>
          </w:p>
        </w:tc>
        <w:tc>
          <w:tcPr>
            <w:tcW w:w="614" w:type="dxa"/>
            <w:tcBorders>
              <w:top w:val="nil"/>
            </w:tcBorders>
          </w:tcPr>
          <w:p w14:paraId="5CE8CC43" w14:textId="77777777" w:rsidR="0016455D" w:rsidRPr="00200234" w:rsidRDefault="0016455D" w:rsidP="001236DF">
            <w:pPr>
              <w:pStyle w:val="TableText"/>
              <w:tabs>
                <w:tab w:val="decimal" w:pos="454"/>
              </w:tabs>
              <w:spacing w:before="55" w:after="55"/>
              <w:rPr>
                <w:rFonts w:cs="Segoe UI"/>
              </w:rPr>
            </w:pPr>
            <w:r w:rsidRPr="002F1F0B">
              <w:t xml:space="preserve"> 80 </w:t>
            </w:r>
          </w:p>
        </w:tc>
        <w:tc>
          <w:tcPr>
            <w:tcW w:w="615" w:type="dxa"/>
            <w:tcBorders>
              <w:top w:val="nil"/>
            </w:tcBorders>
          </w:tcPr>
          <w:p w14:paraId="69F11E99" w14:textId="77777777" w:rsidR="0016455D" w:rsidRPr="00200234" w:rsidRDefault="0016455D" w:rsidP="001236DF">
            <w:pPr>
              <w:pStyle w:val="TableText"/>
              <w:tabs>
                <w:tab w:val="decimal" w:pos="454"/>
              </w:tabs>
              <w:spacing w:before="55" w:after="55"/>
              <w:rPr>
                <w:rFonts w:cs="Segoe UI"/>
              </w:rPr>
            </w:pPr>
            <w:r w:rsidRPr="002F1F0B">
              <w:t xml:space="preserve"> 9 </w:t>
            </w:r>
          </w:p>
        </w:tc>
        <w:tc>
          <w:tcPr>
            <w:tcW w:w="615" w:type="dxa"/>
            <w:tcBorders>
              <w:top w:val="nil"/>
            </w:tcBorders>
          </w:tcPr>
          <w:p w14:paraId="622FC1E0" w14:textId="77777777" w:rsidR="0016455D" w:rsidRPr="00200234" w:rsidRDefault="0016455D" w:rsidP="001236DF">
            <w:pPr>
              <w:pStyle w:val="TableText"/>
              <w:spacing w:before="55" w:after="55"/>
              <w:jc w:val="center"/>
              <w:rPr>
                <w:rFonts w:cs="Segoe UI"/>
              </w:rPr>
            </w:pPr>
            <w:r w:rsidRPr="002F1F0B">
              <w:t xml:space="preserve"> 4 </w:t>
            </w:r>
          </w:p>
        </w:tc>
      </w:tr>
      <w:tr w:rsidR="0016455D" w:rsidRPr="00200234" w14:paraId="64C71F93" w14:textId="77777777" w:rsidTr="001236DF">
        <w:trPr>
          <w:cantSplit/>
        </w:trPr>
        <w:tc>
          <w:tcPr>
            <w:tcW w:w="1843" w:type="dxa"/>
            <w:tcBorders>
              <w:top w:val="nil"/>
              <w:bottom w:val="single" w:sz="4" w:space="0" w:color="A6A6A6" w:themeColor="background1" w:themeShade="A6"/>
              <w:right w:val="nil"/>
            </w:tcBorders>
          </w:tcPr>
          <w:p w14:paraId="38F75ED3" w14:textId="77777777" w:rsidR="0016455D" w:rsidRPr="00200234" w:rsidRDefault="0016455D" w:rsidP="001236DF">
            <w:pPr>
              <w:pStyle w:val="TableText"/>
              <w:spacing w:before="55" w:after="55"/>
              <w:rPr>
                <w:rFonts w:cs="Segoe UI"/>
              </w:rPr>
            </w:pPr>
            <w:r w:rsidRPr="00200234">
              <w:rPr>
                <w:rFonts w:cs="Segoe UI"/>
              </w:rPr>
              <w:t>Nelson Marlborough</w:t>
            </w:r>
          </w:p>
        </w:tc>
        <w:tc>
          <w:tcPr>
            <w:tcW w:w="708" w:type="dxa"/>
            <w:tcBorders>
              <w:top w:val="nil"/>
              <w:left w:val="nil"/>
              <w:bottom w:val="single" w:sz="4" w:space="0" w:color="A6A6A6" w:themeColor="background1" w:themeShade="A6"/>
              <w:right w:val="nil"/>
            </w:tcBorders>
          </w:tcPr>
          <w:p w14:paraId="04FD8612" w14:textId="77777777" w:rsidR="0016455D" w:rsidRPr="00200234" w:rsidRDefault="0016455D" w:rsidP="001236DF">
            <w:pPr>
              <w:pStyle w:val="TableText"/>
              <w:tabs>
                <w:tab w:val="decimal" w:pos="510"/>
              </w:tabs>
              <w:spacing w:before="55" w:after="55"/>
              <w:rPr>
                <w:rFonts w:cs="Segoe UI"/>
              </w:rPr>
            </w:pPr>
            <w:r w:rsidRPr="00471546">
              <w:t xml:space="preserve"> 74 </w:t>
            </w:r>
          </w:p>
        </w:tc>
        <w:tc>
          <w:tcPr>
            <w:tcW w:w="709" w:type="dxa"/>
            <w:tcBorders>
              <w:top w:val="nil"/>
              <w:left w:val="nil"/>
              <w:bottom w:val="single" w:sz="4" w:space="0" w:color="A6A6A6" w:themeColor="background1" w:themeShade="A6"/>
              <w:right w:val="nil"/>
            </w:tcBorders>
          </w:tcPr>
          <w:p w14:paraId="0D0D039C" w14:textId="77777777" w:rsidR="0016455D" w:rsidRPr="00200234" w:rsidRDefault="0016455D" w:rsidP="001236DF">
            <w:pPr>
              <w:pStyle w:val="TableText"/>
              <w:tabs>
                <w:tab w:val="decimal" w:pos="510"/>
              </w:tabs>
              <w:spacing w:before="55" w:after="55"/>
              <w:rPr>
                <w:rFonts w:cs="Segoe UI"/>
              </w:rPr>
            </w:pPr>
            <w:r w:rsidRPr="00471546">
              <w:t xml:space="preserve"> 8 </w:t>
            </w:r>
          </w:p>
        </w:tc>
        <w:tc>
          <w:tcPr>
            <w:tcW w:w="709" w:type="dxa"/>
            <w:tcBorders>
              <w:top w:val="nil"/>
              <w:left w:val="nil"/>
              <w:bottom w:val="single" w:sz="4" w:space="0" w:color="A6A6A6" w:themeColor="background1" w:themeShade="A6"/>
            </w:tcBorders>
          </w:tcPr>
          <w:p w14:paraId="47502B72" w14:textId="77777777" w:rsidR="0016455D" w:rsidRPr="00200234" w:rsidRDefault="0016455D" w:rsidP="001236DF">
            <w:pPr>
              <w:pStyle w:val="TableText"/>
              <w:tabs>
                <w:tab w:val="decimal" w:pos="454"/>
              </w:tabs>
              <w:spacing w:before="55" w:after="55"/>
              <w:rPr>
                <w:rFonts w:cs="Segoe UI"/>
              </w:rPr>
            </w:pPr>
            <w:r w:rsidRPr="00471546">
              <w:t xml:space="preserve"> -   </w:t>
            </w:r>
          </w:p>
        </w:tc>
        <w:tc>
          <w:tcPr>
            <w:tcW w:w="426" w:type="dxa"/>
            <w:tcBorders>
              <w:top w:val="nil"/>
              <w:bottom w:val="nil"/>
            </w:tcBorders>
            <w:shd w:val="clear" w:color="auto" w:fill="auto"/>
          </w:tcPr>
          <w:p w14:paraId="699FA1F5" w14:textId="77777777" w:rsidR="0016455D" w:rsidRPr="00200234" w:rsidRDefault="0016455D" w:rsidP="001236DF">
            <w:pPr>
              <w:pStyle w:val="TableText"/>
              <w:tabs>
                <w:tab w:val="decimal" w:pos="636"/>
              </w:tabs>
              <w:spacing w:before="55" w:after="55"/>
              <w:rPr>
                <w:rFonts w:cs="Segoe UI"/>
              </w:rPr>
            </w:pPr>
          </w:p>
        </w:tc>
        <w:tc>
          <w:tcPr>
            <w:tcW w:w="1843" w:type="dxa"/>
            <w:tcBorders>
              <w:top w:val="nil"/>
            </w:tcBorders>
          </w:tcPr>
          <w:p w14:paraId="2C152346" w14:textId="77777777" w:rsidR="0016455D" w:rsidRPr="00200234" w:rsidRDefault="0016455D" w:rsidP="001236DF">
            <w:pPr>
              <w:pStyle w:val="TableText"/>
              <w:spacing w:before="55" w:after="55"/>
              <w:jc w:val="both"/>
              <w:rPr>
                <w:rFonts w:cs="Segoe UI"/>
              </w:rPr>
            </w:pPr>
            <w:r w:rsidRPr="00200234">
              <w:rPr>
                <w:rFonts w:cs="Segoe UI"/>
              </w:rPr>
              <w:t>Whanganui</w:t>
            </w:r>
          </w:p>
        </w:tc>
        <w:tc>
          <w:tcPr>
            <w:tcW w:w="614" w:type="dxa"/>
            <w:tcBorders>
              <w:top w:val="nil"/>
            </w:tcBorders>
          </w:tcPr>
          <w:p w14:paraId="41F70427" w14:textId="77777777" w:rsidR="0016455D" w:rsidRPr="00200234" w:rsidRDefault="0016455D" w:rsidP="001236DF">
            <w:pPr>
              <w:pStyle w:val="TableText"/>
              <w:tabs>
                <w:tab w:val="decimal" w:pos="454"/>
              </w:tabs>
              <w:spacing w:before="55" w:after="55"/>
              <w:rPr>
                <w:rFonts w:cs="Segoe UI"/>
              </w:rPr>
            </w:pPr>
            <w:r w:rsidRPr="002F1F0B">
              <w:t xml:space="preserve"> 136 </w:t>
            </w:r>
          </w:p>
        </w:tc>
        <w:tc>
          <w:tcPr>
            <w:tcW w:w="615" w:type="dxa"/>
            <w:tcBorders>
              <w:top w:val="nil"/>
            </w:tcBorders>
          </w:tcPr>
          <w:p w14:paraId="3C673033" w14:textId="77777777" w:rsidR="0016455D" w:rsidRPr="00200234" w:rsidRDefault="0016455D" w:rsidP="001236DF">
            <w:pPr>
              <w:pStyle w:val="TableText"/>
              <w:tabs>
                <w:tab w:val="decimal" w:pos="454"/>
              </w:tabs>
              <w:spacing w:before="55" w:after="55"/>
              <w:rPr>
                <w:rFonts w:cs="Segoe UI"/>
              </w:rPr>
            </w:pPr>
            <w:r w:rsidRPr="002F1F0B">
              <w:t xml:space="preserve"> 22 </w:t>
            </w:r>
          </w:p>
        </w:tc>
        <w:tc>
          <w:tcPr>
            <w:tcW w:w="615" w:type="dxa"/>
            <w:tcBorders>
              <w:top w:val="nil"/>
            </w:tcBorders>
          </w:tcPr>
          <w:p w14:paraId="5DB0DACF" w14:textId="77777777" w:rsidR="0016455D" w:rsidRPr="00200234" w:rsidRDefault="0016455D" w:rsidP="001236DF">
            <w:pPr>
              <w:pStyle w:val="TableText"/>
              <w:spacing w:before="55" w:after="55"/>
              <w:jc w:val="center"/>
              <w:rPr>
                <w:rFonts w:cs="Segoe UI"/>
              </w:rPr>
            </w:pPr>
            <w:r w:rsidRPr="002F1F0B">
              <w:t xml:space="preserve"> 3 </w:t>
            </w:r>
          </w:p>
        </w:tc>
      </w:tr>
      <w:tr w:rsidR="0016455D" w:rsidRPr="00200234" w14:paraId="204F3922" w14:textId="77777777" w:rsidTr="001236DF">
        <w:trPr>
          <w:cantSplit/>
        </w:trPr>
        <w:tc>
          <w:tcPr>
            <w:tcW w:w="1843" w:type="dxa"/>
            <w:tcBorders>
              <w:top w:val="single" w:sz="4" w:space="0" w:color="A6A6A6" w:themeColor="background1" w:themeShade="A6"/>
              <w:bottom w:val="nil"/>
              <w:right w:val="nil"/>
            </w:tcBorders>
          </w:tcPr>
          <w:p w14:paraId="46132537" w14:textId="77777777" w:rsidR="0016455D" w:rsidRPr="00200234" w:rsidRDefault="0016455D" w:rsidP="001236DF">
            <w:pPr>
              <w:pStyle w:val="TableText"/>
              <w:spacing w:before="55" w:after="55"/>
              <w:rPr>
                <w:rFonts w:cs="Segoe UI"/>
              </w:rPr>
            </w:pPr>
          </w:p>
        </w:tc>
        <w:tc>
          <w:tcPr>
            <w:tcW w:w="708" w:type="dxa"/>
            <w:tcBorders>
              <w:top w:val="single" w:sz="4" w:space="0" w:color="A6A6A6" w:themeColor="background1" w:themeShade="A6"/>
              <w:left w:val="nil"/>
              <w:bottom w:val="nil"/>
              <w:right w:val="nil"/>
            </w:tcBorders>
          </w:tcPr>
          <w:p w14:paraId="67878E83" w14:textId="77777777" w:rsidR="0016455D" w:rsidRPr="00200234" w:rsidRDefault="0016455D" w:rsidP="001236DF">
            <w:pPr>
              <w:pStyle w:val="TableText"/>
              <w:tabs>
                <w:tab w:val="decimal" w:pos="636"/>
              </w:tabs>
              <w:spacing w:before="55" w:after="55"/>
              <w:rPr>
                <w:rFonts w:cs="Segoe UI"/>
              </w:rPr>
            </w:pPr>
          </w:p>
        </w:tc>
        <w:tc>
          <w:tcPr>
            <w:tcW w:w="709" w:type="dxa"/>
            <w:tcBorders>
              <w:top w:val="single" w:sz="4" w:space="0" w:color="A6A6A6" w:themeColor="background1" w:themeShade="A6"/>
              <w:left w:val="nil"/>
              <w:bottom w:val="nil"/>
              <w:right w:val="nil"/>
            </w:tcBorders>
          </w:tcPr>
          <w:p w14:paraId="56732822" w14:textId="77777777" w:rsidR="0016455D" w:rsidRPr="00200234" w:rsidRDefault="0016455D" w:rsidP="001236DF">
            <w:pPr>
              <w:pStyle w:val="TableText"/>
              <w:tabs>
                <w:tab w:val="decimal" w:pos="636"/>
              </w:tabs>
              <w:spacing w:before="55" w:after="55"/>
              <w:rPr>
                <w:rFonts w:cs="Segoe UI"/>
              </w:rPr>
            </w:pPr>
          </w:p>
        </w:tc>
        <w:tc>
          <w:tcPr>
            <w:tcW w:w="709" w:type="dxa"/>
            <w:tcBorders>
              <w:top w:val="single" w:sz="4" w:space="0" w:color="A6A6A6" w:themeColor="background1" w:themeShade="A6"/>
              <w:left w:val="nil"/>
              <w:bottom w:val="nil"/>
            </w:tcBorders>
          </w:tcPr>
          <w:p w14:paraId="1AD77373" w14:textId="77777777" w:rsidR="0016455D" w:rsidRPr="00200234" w:rsidRDefault="0016455D" w:rsidP="001236DF">
            <w:pPr>
              <w:pStyle w:val="TableText"/>
              <w:tabs>
                <w:tab w:val="decimal" w:pos="636"/>
              </w:tabs>
              <w:spacing w:before="55" w:after="55"/>
              <w:rPr>
                <w:rFonts w:cs="Segoe UI"/>
              </w:rPr>
            </w:pPr>
          </w:p>
        </w:tc>
        <w:tc>
          <w:tcPr>
            <w:tcW w:w="426" w:type="dxa"/>
            <w:tcBorders>
              <w:top w:val="nil"/>
              <w:bottom w:val="nil"/>
            </w:tcBorders>
            <w:shd w:val="clear" w:color="auto" w:fill="auto"/>
          </w:tcPr>
          <w:p w14:paraId="5674C71C" w14:textId="77777777" w:rsidR="0016455D" w:rsidRPr="00200234" w:rsidRDefault="0016455D" w:rsidP="001236DF">
            <w:pPr>
              <w:pStyle w:val="TableText"/>
              <w:tabs>
                <w:tab w:val="decimal" w:pos="636"/>
              </w:tabs>
              <w:spacing w:before="55" w:after="55"/>
              <w:rPr>
                <w:rFonts w:cs="Segoe UI"/>
              </w:rPr>
            </w:pPr>
          </w:p>
        </w:tc>
        <w:tc>
          <w:tcPr>
            <w:tcW w:w="1843" w:type="dxa"/>
            <w:tcBorders>
              <w:top w:val="nil"/>
            </w:tcBorders>
          </w:tcPr>
          <w:p w14:paraId="59077030" w14:textId="77777777" w:rsidR="0016455D" w:rsidRPr="00200234" w:rsidRDefault="0016455D" w:rsidP="001236DF">
            <w:pPr>
              <w:pStyle w:val="TableText"/>
              <w:spacing w:before="55" w:after="55"/>
              <w:jc w:val="both"/>
              <w:rPr>
                <w:rFonts w:cs="Segoe UI"/>
                <w:b/>
              </w:rPr>
            </w:pPr>
            <w:r w:rsidRPr="00200234">
              <w:rPr>
                <w:rFonts w:cs="Segoe UI"/>
                <w:b/>
              </w:rPr>
              <w:t>National average</w:t>
            </w:r>
          </w:p>
        </w:tc>
        <w:tc>
          <w:tcPr>
            <w:tcW w:w="614" w:type="dxa"/>
            <w:tcBorders>
              <w:top w:val="nil"/>
            </w:tcBorders>
          </w:tcPr>
          <w:p w14:paraId="0D67B450" w14:textId="77777777" w:rsidR="0016455D" w:rsidRPr="00200234" w:rsidRDefault="0016455D" w:rsidP="001236DF">
            <w:pPr>
              <w:pStyle w:val="TableText"/>
              <w:tabs>
                <w:tab w:val="decimal" w:pos="454"/>
              </w:tabs>
              <w:spacing w:before="55" w:after="55"/>
              <w:rPr>
                <w:rFonts w:cs="Segoe UI"/>
                <w:b/>
              </w:rPr>
            </w:pPr>
            <w:r>
              <w:rPr>
                <w:rFonts w:cs="Segoe UI"/>
                <w:b/>
              </w:rPr>
              <w:t>90</w:t>
            </w:r>
          </w:p>
        </w:tc>
        <w:tc>
          <w:tcPr>
            <w:tcW w:w="615" w:type="dxa"/>
            <w:tcBorders>
              <w:top w:val="nil"/>
            </w:tcBorders>
          </w:tcPr>
          <w:p w14:paraId="5E7D107E" w14:textId="77777777" w:rsidR="0016455D" w:rsidRPr="00200234" w:rsidRDefault="0016455D" w:rsidP="001236DF">
            <w:pPr>
              <w:pStyle w:val="TableText"/>
              <w:tabs>
                <w:tab w:val="decimal" w:pos="454"/>
              </w:tabs>
              <w:spacing w:before="55" w:after="55"/>
              <w:rPr>
                <w:rFonts w:cs="Segoe UI"/>
                <w:b/>
              </w:rPr>
            </w:pPr>
            <w:r>
              <w:rPr>
                <w:rFonts w:cs="Segoe UI"/>
                <w:b/>
              </w:rPr>
              <w:t>13</w:t>
            </w:r>
          </w:p>
        </w:tc>
        <w:tc>
          <w:tcPr>
            <w:tcW w:w="615" w:type="dxa"/>
            <w:tcBorders>
              <w:top w:val="nil"/>
            </w:tcBorders>
          </w:tcPr>
          <w:p w14:paraId="7EEE8AC9" w14:textId="77777777" w:rsidR="0016455D" w:rsidRPr="00200234" w:rsidRDefault="0016455D" w:rsidP="001236DF">
            <w:pPr>
              <w:pStyle w:val="TableText"/>
              <w:spacing w:before="55" w:after="55"/>
              <w:jc w:val="center"/>
              <w:rPr>
                <w:rFonts w:cs="Segoe UI"/>
                <w:b/>
              </w:rPr>
            </w:pPr>
            <w:r>
              <w:rPr>
                <w:rFonts w:cs="Segoe UI"/>
                <w:b/>
              </w:rPr>
              <w:t>3</w:t>
            </w:r>
          </w:p>
        </w:tc>
      </w:tr>
    </w:tbl>
    <w:p w14:paraId="1A4F876C" w14:textId="77777777" w:rsidR="0016455D" w:rsidRPr="00200234" w:rsidRDefault="0016455D" w:rsidP="0016455D">
      <w:pPr>
        <w:pStyle w:val="Note"/>
      </w:pPr>
      <w:r w:rsidRPr="00200234">
        <w:t xml:space="preserve">Note: </w:t>
      </w:r>
      <w:r>
        <w:t>‘</w:t>
      </w:r>
      <w:r w:rsidRPr="00200234">
        <w:t>On a given day</w:t>
      </w:r>
      <w:r>
        <w:t>’</w:t>
      </w:r>
      <w:r w:rsidRPr="00200234">
        <w:t xml:space="preserve"> is the average of the last day of each month.</w:t>
      </w:r>
    </w:p>
    <w:p w14:paraId="780B0B4E" w14:textId="77777777" w:rsidR="0016455D" w:rsidRDefault="0016455D" w:rsidP="0016455D">
      <w:pPr>
        <w:pStyle w:val="Source"/>
      </w:pPr>
      <w:r w:rsidRPr="00200234">
        <w:t>Sources: PRIMHD data</w:t>
      </w:r>
      <w:r>
        <w:t xml:space="preserve"> (extracted</w:t>
      </w:r>
      <w:r w:rsidRPr="00200234">
        <w:t xml:space="preserve"> </w:t>
      </w:r>
      <w:r>
        <w:t>3 June 2022)</w:t>
      </w:r>
      <w:r w:rsidRPr="00200234">
        <w:t xml:space="preserve"> and manual data from </w:t>
      </w:r>
      <w:r>
        <w:t>Auckland and Lakes DHBs</w:t>
      </w:r>
      <w:r w:rsidRPr="00200234">
        <w:t>.</w:t>
      </w:r>
    </w:p>
    <w:p w14:paraId="2317CF06" w14:textId="1E1116FA" w:rsidR="0016455D" w:rsidRDefault="0016455D" w:rsidP="0016455D">
      <w:pPr>
        <w:pStyle w:val="Figure"/>
      </w:pPr>
      <w:bookmarkStart w:id="39" w:name="_Ref65671612"/>
      <w:bookmarkStart w:id="40" w:name="_Toc63764742"/>
      <w:bookmarkStart w:id="41" w:name="_Toc75176471"/>
      <w:bookmarkStart w:id="42" w:name="_Toc85442561"/>
      <w:bookmarkStart w:id="43" w:name="_Toc85445903"/>
      <w:bookmarkStart w:id="44" w:name="_Toc87429952"/>
      <w:bookmarkStart w:id="45" w:name="_Toc88561384"/>
      <w:bookmarkStart w:id="46" w:name="_Toc115188842"/>
      <w:bookmarkStart w:id="47" w:name="_Toc115272544"/>
      <w:r>
        <w:lastRenderedPageBreak/>
        <w:t>Figure </w:t>
      </w:r>
      <w:fldSimple w:instr=" SEQ Figure \* ARABIC ">
        <w:r w:rsidR="009A04B0">
          <w:rPr>
            <w:noProof/>
          </w:rPr>
          <w:t>3</w:t>
        </w:r>
      </w:fldSimple>
      <w:bookmarkEnd w:id="39"/>
      <w:r w:rsidRPr="00B20D4C">
        <w:t xml:space="preserve">: Average number of people on a given day subject to a community treatment order (section 29) per 100,000 population, by DHB, 1 </w:t>
      </w:r>
      <w:bookmarkEnd w:id="40"/>
      <w:bookmarkEnd w:id="41"/>
      <w:bookmarkEnd w:id="42"/>
      <w:bookmarkEnd w:id="43"/>
      <w:bookmarkEnd w:id="44"/>
      <w:bookmarkEnd w:id="45"/>
      <w:r w:rsidRPr="00B20D4C">
        <w:t>July 2020 to 30 June 2021</w:t>
      </w:r>
      <w:bookmarkEnd w:id="46"/>
      <w:bookmarkEnd w:id="47"/>
    </w:p>
    <w:p w14:paraId="636DE5AE" w14:textId="77777777" w:rsidR="0016455D" w:rsidRPr="00B20D4C" w:rsidRDefault="0016455D" w:rsidP="0016455D">
      <w:r>
        <w:rPr>
          <w:noProof/>
        </w:rPr>
        <w:drawing>
          <wp:inline distT="0" distB="0" distL="0" distR="0" wp14:anchorId="65AE5AC2" wp14:editId="1AA94789">
            <wp:extent cx="5731510" cy="3257550"/>
            <wp:effectExtent l="0" t="0" r="2540" b="0"/>
            <wp:docPr id="5" name="Chart 5" descr="This graph shows that the average number of people subject to a community treatment order in each DHB was highest in Hawke's Bay, Northland, and Capital &amp; Coast. It was lowest in Bay of Plenty, Lakes, and Southern.">
              <a:extLst xmlns:a="http://schemas.openxmlformats.org/drawingml/2006/main">
                <a:ext uri="{FF2B5EF4-FFF2-40B4-BE49-F238E27FC236}">
                  <a16:creationId xmlns:a16="http://schemas.microsoft.com/office/drawing/2014/main" id="{00000000-0008-0000-1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A112F83" w14:textId="77777777" w:rsidR="0016455D" w:rsidRPr="00200234" w:rsidRDefault="0016455D" w:rsidP="0016455D">
      <w:pPr>
        <w:pStyle w:val="Note"/>
        <w:rPr>
          <w:rStyle w:val="FootnoteTextChar"/>
          <w:rFonts w:eastAsia="MS Gothic"/>
        </w:rPr>
      </w:pPr>
      <w:r w:rsidRPr="00200234">
        <w:rPr>
          <w:rStyle w:val="FootnoteTextChar"/>
          <w:rFonts w:eastAsia="MS Gothic"/>
        </w:rPr>
        <w:t xml:space="preserve">Notes: </w:t>
      </w:r>
      <w:r>
        <w:rPr>
          <w:rStyle w:val="FootnoteTextChar"/>
          <w:rFonts w:eastAsia="MS Gothic"/>
        </w:rPr>
        <w:t>‘</w:t>
      </w:r>
      <w:r w:rsidRPr="00200234">
        <w:rPr>
          <w:rStyle w:val="FootnoteTextChar"/>
          <w:rFonts w:eastAsia="MS Gothic"/>
        </w:rPr>
        <w:t>On a given day</w:t>
      </w:r>
      <w:r>
        <w:rPr>
          <w:rStyle w:val="FootnoteTextChar"/>
          <w:rFonts w:eastAsia="MS Gothic"/>
        </w:rPr>
        <w:t>’</w:t>
      </w:r>
      <w:r w:rsidRPr="00200234">
        <w:rPr>
          <w:rStyle w:val="FootnoteTextChar"/>
          <w:rFonts w:eastAsia="MS Gothic"/>
        </w:rPr>
        <w:t xml:space="preserve"> is the average of the last day of each month. This graph shows confidence intervals (for 99</w:t>
      </w:r>
      <w:r>
        <w:rPr>
          <w:rStyle w:val="FootnoteTextChar"/>
          <w:rFonts w:eastAsia="MS Gothic"/>
        </w:rPr>
        <w:t>%</w:t>
      </w:r>
      <w:r w:rsidRPr="00200234">
        <w:rPr>
          <w:rStyle w:val="FootnoteTextChar"/>
          <w:rFonts w:eastAsia="MS Gothic"/>
        </w:rPr>
        <w:t xml:space="preserve"> confidence) to help in interpreting the data. Where a DHB region</w:t>
      </w:r>
      <w:r>
        <w:rPr>
          <w:rStyle w:val="FootnoteTextChar"/>
          <w:rFonts w:eastAsia="MS Gothic"/>
        </w:rPr>
        <w:t>’</w:t>
      </w:r>
      <w:r w:rsidRPr="00200234">
        <w:rPr>
          <w:rStyle w:val="FootnoteTextChar"/>
          <w:rFonts w:eastAsia="MS Gothic"/>
        </w:rPr>
        <w:t>s confidence interval crosses the national average, this means the DHB</w:t>
      </w:r>
      <w:r>
        <w:rPr>
          <w:rStyle w:val="FootnoteTextChar"/>
          <w:rFonts w:eastAsia="MS Gothic"/>
        </w:rPr>
        <w:t>’</w:t>
      </w:r>
      <w:r w:rsidRPr="00200234">
        <w:rPr>
          <w:rStyle w:val="FootnoteTextChar"/>
          <w:rFonts w:eastAsia="MS Gothic"/>
        </w:rPr>
        <w:t>s rate was not statistically different from the national average.</w:t>
      </w:r>
    </w:p>
    <w:p w14:paraId="50586C43" w14:textId="77777777" w:rsidR="0016455D" w:rsidRDefault="0016455D" w:rsidP="0016455D">
      <w:pPr>
        <w:pStyle w:val="Source"/>
        <w:rPr>
          <w:rStyle w:val="FootnoteTextChar"/>
          <w:rFonts w:eastAsia="MS Gothic"/>
        </w:rPr>
      </w:pPr>
      <w:r w:rsidRPr="00200234">
        <w:rPr>
          <w:rStyle w:val="FootnoteTextChar"/>
          <w:rFonts w:eastAsia="MS Gothic"/>
        </w:rPr>
        <w:t>Source</w:t>
      </w:r>
      <w:r>
        <w:rPr>
          <w:rStyle w:val="FootnoteTextChar"/>
          <w:rFonts w:eastAsia="MS Gothic"/>
        </w:rPr>
        <w:t>s</w:t>
      </w:r>
      <w:r w:rsidRPr="00200234">
        <w:rPr>
          <w:rStyle w:val="FootnoteTextChar"/>
          <w:rFonts w:eastAsia="MS Gothic"/>
        </w:rPr>
        <w:t>: PRIMHD data</w:t>
      </w:r>
      <w:r>
        <w:rPr>
          <w:rStyle w:val="FootnoteTextChar"/>
          <w:rFonts w:eastAsia="MS Gothic"/>
        </w:rPr>
        <w:t xml:space="preserve"> (extracted</w:t>
      </w:r>
      <w:r w:rsidRPr="00200234">
        <w:rPr>
          <w:rStyle w:val="FootnoteTextChar"/>
          <w:rFonts w:eastAsia="MS Gothic"/>
        </w:rPr>
        <w:t xml:space="preserve"> </w:t>
      </w:r>
      <w:r>
        <w:rPr>
          <w:rStyle w:val="FootnoteTextChar"/>
          <w:rFonts w:eastAsia="MS Gothic"/>
        </w:rPr>
        <w:t>3 June 2022) and manual data from Auckland and Lakes DHBs.</w:t>
      </w:r>
    </w:p>
    <w:p w14:paraId="6B3E1E9A" w14:textId="77777777" w:rsidR="0016455D" w:rsidRPr="00AE7C03" w:rsidRDefault="0016455D" w:rsidP="0016455D">
      <w:pPr>
        <w:rPr>
          <w:rFonts w:eastAsia="MS Gothic"/>
        </w:rPr>
      </w:pPr>
    </w:p>
    <w:p w14:paraId="4928F919" w14:textId="5157CD8D" w:rsidR="0016455D" w:rsidRDefault="0016455D" w:rsidP="0016455D">
      <w:pPr>
        <w:pStyle w:val="Figure"/>
        <w:rPr>
          <w:noProof/>
        </w:rPr>
      </w:pPr>
      <w:bookmarkStart w:id="48" w:name="_Ref84315824"/>
      <w:bookmarkStart w:id="49" w:name="_Toc63764744"/>
      <w:bookmarkStart w:id="50" w:name="_Toc75176472"/>
      <w:bookmarkStart w:id="51" w:name="_Toc85442562"/>
      <w:bookmarkStart w:id="52" w:name="_Toc85445904"/>
      <w:bookmarkStart w:id="53" w:name="_Toc87429953"/>
      <w:bookmarkStart w:id="54" w:name="_Toc88561385"/>
      <w:bookmarkStart w:id="55" w:name="_Toc115188843"/>
      <w:bookmarkStart w:id="56" w:name="_Toc115272545"/>
      <w:r w:rsidRPr="00653DF9">
        <w:t>Figure </w:t>
      </w:r>
      <w:fldSimple w:instr=" SEQ Figure \* ARABIC ">
        <w:r w:rsidR="009A04B0">
          <w:rPr>
            <w:noProof/>
          </w:rPr>
          <w:t>4</w:t>
        </w:r>
      </w:fldSimple>
      <w:bookmarkEnd w:id="48"/>
      <w:r w:rsidRPr="00653DF9">
        <w:t>: Average number of people on a given day subject to an inpatient treatment order (section 30) per 100,000 population, by DHB, 1 </w:t>
      </w:r>
      <w:bookmarkEnd w:id="49"/>
      <w:bookmarkEnd w:id="50"/>
      <w:bookmarkEnd w:id="51"/>
      <w:bookmarkEnd w:id="52"/>
      <w:bookmarkEnd w:id="53"/>
      <w:bookmarkEnd w:id="54"/>
      <w:r w:rsidRPr="00653DF9">
        <w:t>July 2020 to 30 June 2021</w:t>
      </w:r>
      <w:bookmarkEnd w:id="55"/>
      <w:bookmarkEnd w:id="56"/>
      <w:r w:rsidRPr="00653DF9">
        <w:rPr>
          <w:noProof/>
        </w:rPr>
        <w:t xml:space="preserve"> </w:t>
      </w:r>
    </w:p>
    <w:p w14:paraId="43E9175D" w14:textId="77777777" w:rsidR="0016455D" w:rsidRPr="004C1878" w:rsidRDefault="0016455D" w:rsidP="00F10DDC">
      <w:r>
        <w:rPr>
          <w:noProof/>
        </w:rPr>
        <w:drawing>
          <wp:inline distT="0" distB="0" distL="0" distR="0" wp14:anchorId="6719D671" wp14:editId="4F2EBE21">
            <wp:extent cx="5731510" cy="3114675"/>
            <wp:effectExtent l="0" t="0" r="2540" b="0"/>
            <wp:docPr id="6" name="Chart 6" descr="This graph shows the average number of people subject to an inpatient treatment order in a DHB was highest in Capital &amp; Coast, and the second highest in Hawke's Bay. It was lowest in Wairarapa, Tairāwhiti, Taranaki, South Canterbury, and Lakes. ">
              <a:extLst xmlns:a="http://schemas.openxmlformats.org/drawingml/2006/main">
                <a:ext uri="{FF2B5EF4-FFF2-40B4-BE49-F238E27FC236}">
                  <a16:creationId xmlns:a16="http://schemas.microsoft.com/office/drawing/2014/main" id="{00000000-0008-0000-1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32181C" w14:textId="77777777" w:rsidR="0016455D" w:rsidRPr="007D4CB8" w:rsidRDefault="0016455D" w:rsidP="0016455D">
      <w:pPr>
        <w:pStyle w:val="Note"/>
        <w:rPr>
          <w:rFonts w:eastAsia="MS Gothic"/>
        </w:rPr>
      </w:pPr>
      <w:r w:rsidRPr="007D4CB8">
        <w:rPr>
          <w:rFonts w:eastAsia="MS Gothic"/>
        </w:rPr>
        <w:t>Notes: ‘On a given day’ is the average of the last day of each month. This graph shows confidence intervals (for 99% confidence) to help in interpreting the data. Where a DHB region’s confidence interval crosses the national average, this means the DHB’s rate was not statistically different from the national average.</w:t>
      </w:r>
    </w:p>
    <w:p w14:paraId="7CD3D564" w14:textId="16B01F63" w:rsidR="0016455D" w:rsidRDefault="0016455D" w:rsidP="0016455D">
      <w:pPr>
        <w:pStyle w:val="Note"/>
        <w:rPr>
          <w:rFonts w:eastAsia="MS Gothic"/>
        </w:rPr>
      </w:pPr>
      <w:r w:rsidRPr="007D4CB8">
        <w:rPr>
          <w:rFonts w:eastAsia="MS Gothic"/>
        </w:rPr>
        <w:t>Sources: PRIMHD data (extracted 3 June 2022) and manual data from Auckland and Lakes DHBs.</w:t>
      </w:r>
    </w:p>
    <w:p w14:paraId="145FD55D" w14:textId="77777777" w:rsidR="0016455D" w:rsidRPr="00200234" w:rsidRDefault="0016455D" w:rsidP="0016455D">
      <w:pPr>
        <w:pStyle w:val="Heading2"/>
      </w:pPr>
      <w:bookmarkStart w:id="57" w:name="_Toc65141615"/>
      <w:bookmarkStart w:id="58" w:name="_Toc75176438"/>
      <w:bookmarkStart w:id="59" w:name="_Toc87429902"/>
      <w:bookmarkStart w:id="60" w:name="_Toc88826950"/>
      <w:bookmarkStart w:id="61" w:name="_Toc115188800"/>
      <w:bookmarkStart w:id="62" w:name="_Toc115431698"/>
      <w:r w:rsidRPr="00200234">
        <w:lastRenderedPageBreak/>
        <w:t xml:space="preserve">Compulsory treatment by age and </w:t>
      </w:r>
      <w:r>
        <w:t>gender</w:t>
      </w:r>
      <w:bookmarkEnd w:id="57"/>
      <w:bookmarkEnd w:id="58"/>
      <w:bookmarkEnd w:id="59"/>
      <w:bookmarkEnd w:id="60"/>
      <w:bookmarkEnd w:id="61"/>
      <w:bookmarkEnd w:id="62"/>
    </w:p>
    <w:p w14:paraId="3B88FB45" w14:textId="77777777" w:rsidR="0016455D" w:rsidRPr="00ED4FA1" w:rsidRDefault="0016455D" w:rsidP="0016455D">
      <w:r>
        <w:t xml:space="preserve">Of people aged 15 years and over, those </w:t>
      </w:r>
      <w:r w:rsidRPr="00ED4FA1">
        <w:t xml:space="preserve">aged </w:t>
      </w:r>
      <w:r w:rsidRPr="001005E1">
        <w:t>25–34 years</w:t>
      </w:r>
      <w:r w:rsidRPr="00ED4FA1">
        <w:t xml:space="preserve"> were the </w:t>
      </w:r>
      <w:r>
        <w:t>age group</w:t>
      </w:r>
      <w:r w:rsidRPr="00054B68">
        <w:t xml:space="preserve"> </w:t>
      </w:r>
      <w:r w:rsidRPr="00ED4FA1">
        <w:t>most likely</w:t>
      </w:r>
      <w:r>
        <w:t xml:space="preserve"> </w:t>
      </w:r>
      <w:r w:rsidRPr="00ED4FA1">
        <w:t>to be subject to a compulsory treatment order (</w:t>
      </w:r>
      <w:r>
        <w:t>351 people</w:t>
      </w:r>
      <w:r w:rsidRPr="00ED4FA1">
        <w:t xml:space="preserve"> per 100,000</w:t>
      </w:r>
      <w:r>
        <w:t xml:space="preserve"> population</w:t>
      </w:r>
      <w:r w:rsidRPr="00ED4FA1">
        <w:t xml:space="preserve">), while people </w:t>
      </w:r>
      <w:r>
        <w:t>aged</w:t>
      </w:r>
      <w:r w:rsidRPr="00ED4FA1">
        <w:t xml:space="preserve"> </w:t>
      </w:r>
      <w:r>
        <w:t>65</w:t>
      </w:r>
      <w:r w:rsidRPr="00ED4FA1">
        <w:t xml:space="preserve"> years </w:t>
      </w:r>
      <w:r>
        <w:t xml:space="preserve">or over </w:t>
      </w:r>
      <w:r w:rsidRPr="00ED4FA1">
        <w:t>were the least likely (</w:t>
      </w:r>
      <w:r>
        <w:t>129</w:t>
      </w:r>
      <w:r w:rsidRPr="00ED4FA1">
        <w:t xml:space="preserve"> per 100,000)</w:t>
      </w:r>
      <w:r>
        <w:t>.</w:t>
      </w:r>
      <w:r>
        <w:rPr>
          <w:rStyle w:val="FootnoteReference"/>
        </w:rPr>
        <w:footnoteReference w:id="7"/>
      </w:r>
      <w:r w:rsidRPr="00ED4FA1">
        <w:t xml:space="preserve"> </w:t>
      </w:r>
      <w:r>
        <w:t>Figure </w:t>
      </w:r>
      <w:r>
        <w:rPr>
          <w:noProof/>
        </w:rPr>
        <w:t>5</w:t>
      </w:r>
      <w:r>
        <w:t xml:space="preserve"> shows the rate of people subject to compulsory treatment applications per 100,000 population by age group.</w:t>
      </w:r>
    </w:p>
    <w:p w14:paraId="111C5F89" w14:textId="77777777" w:rsidR="0016455D" w:rsidRDefault="0016455D" w:rsidP="0016455D"/>
    <w:p w14:paraId="0889B99A" w14:textId="77777777" w:rsidR="0016455D" w:rsidRPr="00ED4FA1" w:rsidRDefault="0016455D" w:rsidP="0016455D">
      <w:r>
        <w:t>M</w:t>
      </w:r>
      <w:r w:rsidRPr="00ED4FA1">
        <w:t>ales were more likely to be subject to a compulsory treatment order</w:t>
      </w:r>
      <w:r>
        <w:t xml:space="preserve"> application</w:t>
      </w:r>
      <w:r w:rsidRPr="00ED4FA1">
        <w:t xml:space="preserve"> (</w:t>
      </w:r>
      <w:r>
        <w:t>117</w:t>
      </w:r>
      <w:r w:rsidRPr="00ED4FA1">
        <w:t xml:space="preserve"> per 100,000</w:t>
      </w:r>
      <w:r>
        <w:t xml:space="preserve"> population</w:t>
      </w:r>
      <w:r w:rsidRPr="00ED4FA1">
        <w:t>) than females (</w:t>
      </w:r>
      <w:r>
        <w:t>86</w:t>
      </w:r>
      <w:r w:rsidRPr="00ED4FA1">
        <w:t xml:space="preserve"> per 100,000) (</w:t>
      </w:r>
      <w:r>
        <w:t>Figure </w:t>
      </w:r>
      <w:r>
        <w:rPr>
          <w:noProof/>
        </w:rPr>
        <w:t>6</w:t>
      </w:r>
      <w:r w:rsidRPr="00ED4FA1">
        <w:t>).</w:t>
      </w:r>
      <w:r w:rsidRPr="00200234">
        <w:rPr>
          <w:rStyle w:val="FootnoteReference"/>
          <w:rFonts w:cs="Segoe UI"/>
        </w:rPr>
        <w:footnoteReference w:id="8"/>
      </w:r>
    </w:p>
    <w:p w14:paraId="26A21094" w14:textId="77777777" w:rsidR="0016455D" w:rsidRPr="00200234" w:rsidRDefault="0016455D" w:rsidP="0016455D"/>
    <w:p w14:paraId="3262CA1E" w14:textId="4FF6A2A7" w:rsidR="0016455D" w:rsidRDefault="0016455D" w:rsidP="0016455D">
      <w:pPr>
        <w:pStyle w:val="Figure"/>
        <w:spacing w:before="0" w:after="0"/>
      </w:pPr>
      <w:bookmarkStart w:id="63" w:name="_Ref65671847"/>
      <w:bookmarkStart w:id="64" w:name="_Toc65574434"/>
      <w:bookmarkStart w:id="65" w:name="_Toc75176473"/>
      <w:bookmarkStart w:id="66" w:name="_Toc85442563"/>
      <w:bookmarkStart w:id="67" w:name="_Toc85445905"/>
      <w:bookmarkStart w:id="68" w:name="_Toc87429954"/>
      <w:bookmarkStart w:id="69" w:name="_Toc88561386"/>
      <w:bookmarkStart w:id="70" w:name="_Toc115188844"/>
      <w:bookmarkStart w:id="71" w:name="_Toc115272546"/>
      <w:r>
        <w:t>Figure </w:t>
      </w:r>
      <w:fldSimple w:instr=" SEQ Figure \* ARABIC ">
        <w:r w:rsidR="009A04B0">
          <w:rPr>
            <w:noProof/>
          </w:rPr>
          <w:t>5</w:t>
        </w:r>
      </w:fldSimple>
      <w:bookmarkEnd w:id="63"/>
      <w:r w:rsidRPr="001005E1">
        <w:t>: Rate of people subject to compulsory treatment order applications (including extensions) per 100,000 population, by age group, 2004/05–20</w:t>
      </w:r>
      <w:bookmarkEnd w:id="64"/>
      <w:r w:rsidRPr="001005E1">
        <w:t>20</w:t>
      </w:r>
      <w:bookmarkEnd w:id="65"/>
      <w:bookmarkEnd w:id="66"/>
      <w:bookmarkEnd w:id="67"/>
      <w:bookmarkEnd w:id="68"/>
      <w:bookmarkEnd w:id="69"/>
      <w:r w:rsidRPr="001005E1">
        <w:t>/</w:t>
      </w:r>
      <w:r>
        <w:t>21</w:t>
      </w:r>
      <w:bookmarkEnd w:id="70"/>
      <w:bookmarkEnd w:id="71"/>
    </w:p>
    <w:p w14:paraId="12F0BE43" w14:textId="77777777" w:rsidR="0016455D" w:rsidRPr="00200234" w:rsidRDefault="0016455D" w:rsidP="0016455D">
      <w:r>
        <w:rPr>
          <w:noProof/>
          <w:lang w:eastAsia="en-NZ"/>
        </w:rPr>
        <mc:AlternateContent>
          <mc:Choice Requires="wps">
            <w:drawing>
              <wp:anchor distT="45720" distB="45720" distL="114300" distR="114300" simplePos="0" relativeHeight="251659264" behindDoc="0" locked="0" layoutInCell="1" allowOverlap="1" wp14:anchorId="17A65858" wp14:editId="31FEB719">
                <wp:simplePos x="0" y="0"/>
                <wp:positionH relativeFrom="column">
                  <wp:posOffset>4621058</wp:posOffset>
                </wp:positionH>
                <wp:positionV relativeFrom="paragraph">
                  <wp:posOffset>280301</wp:posOffset>
                </wp:positionV>
                <wp:extent cx="762173"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173" cy="1404620"/>
                        </a:xfrm>
                        <a:prstGeom prst="rect">
                          <a:avLst/>
                        </a:prstGeom>
                        <a:noFill/>
                        <a:ln w="9525">
                          <a:noFill/>
                          <a:miter lim="800000"/>
                          <a:headEnd/>
                          <a:tailEnd/>
                        </a:ln>
                      </wps:spPr>
                      <wps:txbx>
                        <w:txbxContent>
                          <w:p w14:paraId="618FFB2F" w14:textId="77777777" w:rsidR="001236DF" w:rsidRPr="0004309A" w:rsidRDefault="001236DF" w:rsidP="0016455D">
                            <w:pPr>
                              <w:rPr>
                                <w:sz w:val="16"/>
                                <w:szCs w:val="14"/>
                              </w:rPr>
                            </w:pPr>
                            <w:r w:rsidRPr="0004309A">
                              <w:rPr>
                                <w:sz w:val="18"/>
                                <w:szCs w:val="16"/>
                              </w:rPr>
                              <w:t>Age group (in years)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A65858" id="_x0000_t202" coordsize="21600,21600" o:spt="202" path="m,l,21600r21600,l21600,xe">
                <v:stroke joinstyle="miter"/>
                <v:path gradientshapeok="t" o:connecttype="rect"/>
              </v:shapetype>
              <v:shape id="Text Box 2" o:spid="_x0000_s1026" type="#_x0000_t202" style="position:absolute;margin-left:363.85pt;margin-top:22.05pt;width:6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" filled="f" stroked="f">
                <v:textbox style="mso-fit-shape-to-text:t">
                  <w:txbxContent>
                    <w:p w14:paraId="618FFB2F" w14:textId="77777777" w:rsidR="001236DF" w:rsidRPr="0004309A" w:rsidRDefault="001236DF" w:rsidP="0016455D">
                      <w:pPr>
                        <w:rPr>
                          <w:sz w:val="16"/>
                          <w:szCs w:val="14"/>
                        </w:rPr>
                      </w:pPr>
                      <w:r w:rsidRPr="0004309A">
                        <w:rPr>
                          <w:sz w:val="18"/>
                          <w:szCs w:val="16"/>
                        </w:rPr>
                        <w:t>Age group (in years)</w:t>
                      </w:r>
                    </w:p>
                  </w:txbxContent>
                </v:textbox>
              </v:shape>
            </w:pict>
          </mc:Fallback>
        </mc:AlternateContent>
      </w:r>
      <w:r>
        <w:rPr>
          <w:noProof/>
        </w:rPr>
        <w:drawing>
          <wp:inline distT="0" distB="0" distL="0" distR="0" wp14:anchorId="560F1BF6" wp14:editId="6845518B">
            <wp:extent cx="5380074" cy="2881423"/>
            <wp:effectExtent l="0" t="0" r="0" b="0"/>
            <wp:docPr id="7" name="Chart 7" descr="This graph shows that the people 25-34 had the highest compulsory treatment order rate, followed by those aged 15-24, 35-44, 45-54, 55-64, over 65 and under 14. ">
              <a:extLst xmlns:a="http://schemas.openxmlformats.org/drawingml/2006/main">
                <a:ext uri="{FF2B5EF4-FFF2-40B4-BE49-F238E27FC236}">
                  <a16:creationId xmlns:a16="http://schemas.microsoft.com/office/drawing/2014/main" id="{52594EC2-3B76-4D20-80B0-3995449657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8BFD041" w14:textId="77777777" w:rsidR="0016455D" w:rsidRPr="00200234" w:rsidRDefault="0016455D" w:rsidP="0016455D">
      <w:pPr>
        <w:pStyle w:val="Note"/>
        <w:rPr>
          <w:rFonts w:eastAsia="MS Gothic"/>
        </w:rPr>
      </w:pPr>
      <w:r w:rsidRPr="00200234">
        <w:rPr>
          <w:rFonts w:eastAsia="MS Gothic"/>
        </w:rPr>
        <w:t>Notes: This</w:t>
      </w:r>
      <w:r>
        <w:rPr>
          <w:rFonts w:eastAsia="MS Gothic"/>
        </w:rPr>
        <w:t xml:space="preserve"> figure represents data entered</w:t>
      </w:r>
      <w:r w:rsidRPr="00200234">
        <w:rPr>
          <w:rFonts w:eastAsia="MS Gothic"/>
        </w:rPr>
        <w:t xml:space="preserve"> into the case management system (CMS). The CMS is a live operational database. Figures are subject to minor changes at any time.</w:t>
      </w:r>
    </w:p>
    <w:p w14:paraId="31A52521" w14:textId="77777777" w:rsidR="0016455D" w:rsidRDefault="0016455D" w:rsidP="0016455D">
      <w:pPr>
        <w:pStyle w:val="Source"/>
        <w:spacing w:before="0"/>
        <w:rPr>
          <w:rFonts w:eastAsia="MS Gothic"/>
        </w:rPr>
      </w:pPr>
      <w:r w:rsidRPr="00200234">
        <w:rPr>
          <w:rFonts w:eastAsia="MS Gothic"/>
        </w:rPr>
        <w:t xml:space="preserve">Source: Ministry of Justice Integrated Sector Intelligence System as at </w:t>
      </w:r>
      <w:r>
        <w:rPr>
          <w:rFonts w:eastAsia="MS Gothic"/>
        </w:rPr>
        <w:t>9 May 2022.</w:t>
      </w:r>
    </w:p>
    <w:p w14:paraId="278E42D3" w14:textId="77777777" w:rsidR="0016455D" w:rsidRPr="00A175D6" w:rsidRDefault="0016455D" w:rsidP="0016455D">
      <w:pPr>
        <w:rPr>
          <w:rFonts w:eastAsia="MS Gothic"/>
        </w:rPr>
      </w:pPr>
    </w:p>
    <w:p w14:paraId="0F52AFF3" w14:textId="1F5156BE" w:rsidR="0016455D" w:rsidRDefault="0016455D" w:rsidP="0016455D">
      <w:pPr>
        <w:pStyle w:val="Figure"/>
        <w:spacing w:before="0" w:after="0"/>
      </w:pPr>
      <w:bookmarkStart w:id="72" w:name="_Toc115188845"/>
      <w:bookmarkStart w:id="73" w:name="_Toc115272547"/>
      <w:r>
        <w:lastRenderedPageBreak/>
        <w:t>Figure </w:t>
      </w:r>
      <w:fldSimple w:instr=" SEQ Figure \* ARABIC ">
        <w:r w:rsidR="009A04B0">
          <w:rPr>
            <w:noProof/>
          </w:rPr>
          <w:t>6</w:t>
        </w:r>
      </w:fldSimple>
      <w:r w:rsidRPr="00200234">
        <w:t xml:space="preserve">: </w:t>
      </w:r>
      <w:r w:rsidRPr="006877E6">
        <w:t xml:space="preserve">Rate of people subject to compulsory treatment order applications (including extensions) per 100,000 population, by </w:t>
      </w:r>
      <w:r>
        <w:t>gender</w:t>
      </w:r>
      <w:r w:rsidRPr="006877E6">
        <w:t>, 2004/05–2020/21</w:t>
      </w:r>
      <w:bookmarkEnd w:id="72"/>
      <w:bookmarkEnd w:id="73"/>
    </w:p>
    <w:p w14:paraId="7234AF8D" w14:textId="77777777" w:rsidR="0016455D" w:rsidRPr="006877E6" w:rsidRDefault="0016455D" w:rsidP="0016455D">
      <w:r>
        <w:rPr>
          <w:noProof/>
        </w:rPr>
        <w:drawing>
          <wp:inline distT="0" distB="0" distL="0" distR="0" wp14:anchorId="419F33DE" wp14:editId="4A80DE3C">
            <wp:extent cx="5731510" cy="2476500"/>
            <wp:effectExtent l="0" t="0" r="2540" b="0"/>
            <wp:docPr id="55" name="Chart 55" descr="This graph shows that males have consistently had a higher rate of compulsory treatment order than females.">
              <a:extLst xmlns:a="http://schemas.openxmlformats.org/drawingml/2006/main">
                <a:ext uri="{FF2B5EF4-FFF2-40B4-BE49-F238E27FC236}">
                  <a16:creationId xmlns:a16="http://schemas.microsoft.com/office/drawing/2014/main" id="{ECC13A0A-1FAA-4FDE-AD67-34F73A94B9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A3FAFDA" w14:textId="77777777" w:rsidR="0016455D" w:rsidRPr="0016455D" w:rsidRDefault="0016455D" w:rsidP="0016455D">
      <w:pPr>
        <w:pStyle w:val="Note"/>
        <w:rPr>
          <w:rFonts w:eastAsia="MS Gothic"/>
        </w:rPr>
      </w:pPr>
      <w:r w:rsidRPr="0016455D">
        <w:rPr>
          <w:rFonts w:eastAsia="MS Gothic"/>
        </w:rPr>
        <w:t>Notes: This figure represents data entered into the case management system (CMS). The CMS is a live operational database. Figures are subject to minor changes at any time. Due to the design of the system, only 2 gender categories are represented here. The CMS includes an ‘other’ category; however, the size of this group is too small to appear on the figure.</w:t>
      </w:r>
    </w:p>
    <w:p w14:paraId="284A334F" w14:textId="77777777" w:rsidR="0016455D" w:rsidRPr="0016455D" w:rsidRDefault="0016455D" w:rsidP="0016455D">
      <w:pPr>
        <w:pStyle w:val="Note"/>
        <w:rPr>
          <w:rFonts w:eastAsia="MS Gothic"/>
        </w:rPr>
      </w:pPr>
      <w:r w:rsidRPr="0016455D">
        <w:rPr>
          <w:rFonts w:eastAsia="MS Gothic"/>
        </w:rPr>
        <w:t>Source: Ministry of Justice Integrated Sector Intelligence System as at 9 May 2022.</w:t>
      </w:r>
    </w:p>
    <w:p w14:paraId="7DB0CAB7" w14:textId="77777777" w:rsidR="0016455D" w:rsidRPr="0016455D" w:rsidRDefault="0016455D" w:rsidP="0016455D">
      <w:pPr>
        <w:rPr>
          <w:rFonts w:eastAsia="MS Gothic"/>
        </w:rPr>
      </w:pPr>
    </w:p>
    <w:p w14:paraId="4FE5B1B2" w14:textId="77777777" w:rsidR="0016455D" w:rsidRDefault="0016455D" w:rsidP="0016455D">
      <w:pPr>
        <w:rPr>
          <w:rFonts w:eastAsia="Arial Unicode MS"/>
        </w:rPr>
        <w:sectPr w:rsidR="0016455D" w:rsidSect="001236DF">
          <w:pgSz w:w="11907" w:h="16840" w:code="9"/>
          <w:pgMar w:top="1418" w:right="1701" w:bottom="1134" w:left="1843" w:header="284" w:footer="425" w:gutter="284"/>
          <w:cols w:space="720"/>
        </w:sectPr>
      </w:pPr>
    </w:p>
    <w:p w14:paraId="6AB5C405" w14:textId="3DB638E4" w:rsidR="0016455D" w:rsidRPr="00200234" w:rsidRDefault="0016455D" w:rsidP="0016455D">
      <w:pPr>
        <w:pStyle w:val="Heading1"/>
        <w:spacing w:before="0"/>
      </w:pPr>
      <w:bookmarkStart w:id="74" w:name="_Toc75176442"/>
      <w:bookmarkStart w:id="75" w:name="_Toc87429903"/>
      <w:bookmarkStart w:id="76" w:name="_Toc88826951"/>
      <w:bookmarkStart w:id="77" w:name="_Toc115188801"/>
      <w:bookmarkStart w:id="78" w:name="_Toc115431699"/>
      <w:r>
        <w:lastRenderedPageBreak/>
        <w:t>T</w:t>
      </w:r>
      <w:r w:rsidRPr="00200234">
        <w:t>āngata whai</w:t>
      </w:r>
      <w:r>
        <w:t xml:space="preserve"> </w:t>
      </w:r>
      <w:r w:rsidRPr="00200234">
        <w:t>ora</w:t>
      </w:r>
      <w:bookmarkEnd w:id="74"/>
      <w:bookmarkEnd w:id="75"/>
      <w:bookmarkEnd w:id="76"/>
      <w:bookmarkEnd w:id="77"/>
      <w:bookmarkEnd w:id="78"/>
    </w:p>
    <w:p w14:paraId="5A2DEBA0" w14:textId="77777777" w:rsidR="0016455D" w:rsidRDefault="0016455D" w:rsidP="0016455D">
      <w:r w:rsidRPr="00200234">
        <w:t>This section presents statistics on tāngata whai</w:t>
      </w:r>
      <w:r>
        <w:t xml:space="preserve"> </w:t>
      </w:r>
      <w:r w:rsidRPr="00200234">
        <w:t xml:space="preserve">ora (people seeking </w:t>
      </w:r>
      <w:r>
        <w:t>wellness</w:t>
      </w:r>
      <w:r w:rsidRPr="00200234">
        <w:t>) under the Mental Health Act</w:t>
      </w:r>
      <w:r>
        <w:t>.</w:t>
      </w:r>
      <w:r w:rsidRPr="00200234">
        <w:t xml:space="preserve"> This information underlines the need for mental health services to take meaningful actions to address the disparity in outcomes for Māori</w:t>
      </w:r>
      <w:r>
        <w:t xml:space="preserve"> and Pacific peoples</w:t>
      </w:r>
      <w:r w:rsidRPr="00200234">
        <w:t xml:space="preserve"> in </w:t>
      </w:r>
      <w:r>
        <w:t>Aotearoa</w:t>
      </w:r>
      <w:r w:rsidRPr="00200234">
        <w:t>.</w:t>
      </w:r>
    </w:p>
    <w:p w14:paraId="2EB543F9" w14:textId="77777777" w:rsidR="0016455D" w:rsidRPr="00200234" w:rsidRDefault="0016455D" w:rsidP="0016455D"/>
    <w:p w14:paraId="7AFD820B" w14:textId="77777777" w:rsidR="0016455D" w:rsidRPr="00200234" w:rsidRDefault="0016455D" w:rsidP="0016455D">
      <w:r w:rsidRPr="00200234">
        <w:t xml:space="preserve">In summary, </w:t>
      </w:r>
      <w:r>
        <w:t>in the period from 1 July 2020 to 30 June 2021</w:t>
      </w:r>
      <w:r w:rsidRPr="00200234">
        <w:t>:</w:t>
      </w:r>
    </w:p>
    <w:p w14:paraId="6A72D0FC" w14:textId="77777777" w:rsidR="0016455D" w:rsidRPr="00ED4FA1" w:rsidRDefault="0016455D" w:rsidP="0016455D">
      <w:pPr>
        <w:pStyle w:val="Bullet"/>
      </w:pPr>
      <w:r>
        <w:t>6.1%</w:t>
      </w:r>
      <w:r w:rsidRPr="00ED4FA1">
        <w:t xml:space="preserve"> of Māori accessed mental health and addiction services, compared with </w:t>
      </w:r>
      <w:r>
        <w:t>3.1% of non-Māori</w:t>
      </w:r>
    </w:p>
    <w:p w14:paraId="51C85074" w14:textId="77777777" w:rsidR="0016455D" w:rsidRDefault="0016455D" w:rsidP="0016455D">
      <w:pPr>
        <w:pStyle w:val="Bullet"/>
      </w:pPr>
      <w:r w:rsidRPr="00ED4FA1">
        <w:t xml:space="preserve">Māori were </w:t>
      </w:r>
      <w:r>
        <w:t>1.8</w:t>
      </w:r>
      <w:r w:rsidRPr="00ED4FA1">
        <w:t xml:space="preserve"> times more likely than </w:t>
      </w:r>
      <w:r>
        <w:t>Pacific peoples and 4.0 times more likely than other ethnicities</w:t>
      </w:r>
      <w:r w:rsidRPr="00ED4FA1">
        <w:t xml:space="preserve"> to be subject to a community treatment order</w:t>
      </w:r>
      <w:r w:rsidRPr="00B048AF">
        <w:rPr>
          <w:rStyle w:val="FootnoteReference"/>
        </w:rPr>
        <w:footnoteReference w:id="9"/>
      </w:r>
    </w:p>
    <w:p w14:paraId="0CC3441E" w14:textId="77777777" w:rsidR="0016455D" w:rsidRPr="00ED4FA1" w:rsidRDefault="0016455D" w:rsidP="0016455D">
      <w:pPr>
        <w:pStyle w:val="Bullet"/>
      </w:pPr>
      <w:r>
        <w:t>Māori were</w:t>
      </w:r>
      <w:r w:rsidRPr="00ED4FA1">
        <w:t xml:space="preserve"> </w:t>
      </w:r>
      <w:r>
        <w:t>1.6</w:t>
      </w:r>
      <w:r w:rsidRPr="00ED4FA1">
        <w:t xml:space="preserve"> times more likely </w:t>
      </w:r>
      <w:r>
        <w:t xml:space="preserve">than Pacific peoples </w:t>
      </w:r>
      <w:r w:rsidRPr="00ED4FA1">
        <w:t>to be subject to an inpatient treatment order</w:t>
      </w:r>
      <w:r>
        <w:t xml:space="preserve"> and 3.4 times more likely than other ethnicities</w:t>
      </w:r>
    </w:p>
    <w:p w14:paraId="3A18DB6F" w14:textId="77777777" w:rsidR="0016455D" w:rsidRDefault="0016455D" w:rsidP="0016455D">
      <w:pPr>
        <w:pStyle w:val="Bullet"/>
      </w:pPr>
      <w:r>
        <w:t>of all population groups, Māori men</w:t>
      </w:r>
      <w:r w:rsidRPr="00ED4FA1">
        <w:t xml:space="preserve"> were the most likely to be subject to community and inpatient treatment orders</w:t>
      </w:r>
    </w:p>
    <w:p w14:paraId="66A7156D" w14:textId="77777777" w:rsidR="0016455D" w:rsidRPr="00ED4FA1" w:rsidRDefault="0016455D" w:rsidP="0016455D">
      <w:pPr>
        <w:pStyle w:val="Bullet"/>
      </w:pPr>
      <w:r w:rsidRPr="00ED4FA1">
        <w:t>DHBs varied in their ratio of Māori</w:t>
      </w:r>
      <w:r>
        <w:t xml:space="preserve">, Pacific peoples and other ethnicities </w:t>
      </w:r>
      <w:r w:rsidRPr="00ED4FA1">
        <w:t>subject to community and inpatient treatment orders</w:t>
      </w:r>
    </w:p>
    <w:p w14:paraId="32EDEA37" w14:textId="77777777" w:rsidR="0016455D" w:rsidRPr="00ED4FA1" w:rsidRDefault="0016455D" w:rsidP="0016455D">
      <w:pPr>
        <w:pStyle w:val="Bullet"/>
      </w:pPr>
      <w:r w:rsidRPr="00ED4FA1">
        <w:t>on average, Māori</w:t>
      </w:r>
      <w:r>
        <w:t>, Pacific peoples</w:t>
      </w:r>
      <w:r w:rsidRPr="00ED4FA1">
        <w:t xml:space="preserve"> and </w:t>
      </w:r>
      <w:r>
        <w:t>other ethnicities</w:t>
      </w:r>
      <w:r w:rsidRPr="00ED4FA1">
        <w:t xml:space="preserve"> remained on community and inpatient treatment orders </w:t>
      </w:r>
      <w:r w:rsidRPr="0085286F">
        <w:t>for similar</w:t>
      </w:r>
      <w:r w:rsidRPr="00897273">
        <w:t xml:space="preserve"> </w:t>
      </w:r>
      <w:r w:rsidRPr="00ED4FA1">
        <w:t>lengths of time</w:t>
      </w:r>
    </w:p>
    <w:p w14:paraId="6C3EFDDE" w14:textId="77777777" w:rsidR="0016455D" w:rsidRPr="00ED4FA1" w:rsidRDefault="0016455D" w:rsidP="0016455D">
      <w:pPr>
        <w:pStyle w:val="Bullet"/>
      </w:pPr>
      <w:r w:rsidRPr="00ED4FA1">
        <w:t xml:space="preserve">Māori were </w:t>
      </w:r>
      <w:r>
        <w:t>3.0</w:t>
      </w:r>
      <w:r w:rsidRPr="00ED4FA1">
        <w:t xml:space="preserve"> times more likely to be subject to indefinite community treatment orders</w:t>
      </w:r>
      <w:r>
        <w:t xml:space="preserve"> than non-Māori, and 2.9 times more likely to be subject to indefinite inpatient treatment orders</w:t>
      </w:r>
      <w:r w:rsidRPr="00ED4FA1">
        <w:t xml:space="preserve"> than non-Māori</w:t>
      </w:r>
    </w:p>
    <w:p w14:paraId="479E2F33" w14:textId="77777777" w:rsidR="0016455D" w:rsidRDefault="0016455D" w:rsidP="0016455D">
      <w:pPr>
        <w:pStyle w:val="Bullet"/>
      </w:pPr>
      <w:r w:rsidRPr="00ED4FA1">
        <w:t xml:space="preserve">Māori made up </w:t>
      </w:r>
      <w:r>
        <w:t>about</w:t>
      </w:r>
      <w:r w:rsidRPr="00ED4FA1">
        <w:t xml:space="preserve"> </w:t>
      </w:r>
      <w:r>
        <w:t>17%</w:t>
      </w:r>
      <w:r w:rsidRPr="00ED4FA1">
        <w:t xml:space="preserve"> of </w:t>
      </w:r>
      <w:r>
        <w:t xml:space="preserve">Aotearoa </w:t>
      </w:r>
      <w:r w:rsidRPr="00ED4FA1">
        <w:t>New Zealand</w:t>
      </w:r>
      <w:r>
        <w:t>’</w:t>
      </w:r>
      <w:r w:rsidRPr="00ED4FA1">
        <w:t xml:space="preserve">s population, yet they accounted for </w:t>
      </w:r>
      <w:r>
        <w:t xml:space="preserve">28.3% </w:t>
      </w:r>
      <w:r w:rsidRPr="00ED4FA1">
        <w:t>of all mental health service users</w:t>
      </w:r>
    </w:p>
    <w:p w14:paraId="1A85939E" w14:textId="77777777" w:rsidR="0016455D" w:rsidRPr="00ED4FA1" w:rsidRDefault="0016455D" w:rsidP="0016455D">
      <w:pPr>
        <w:pStyle w:val="Bullet"/>
      </w:pPr>
      <w:r>
        <w:t>Pacific peoples made up about 7% of Aotearoa New Zealand’s population and accounted for 6.0% of all mental health service users</w:t>
      </w:r>
    </w:p>
    <w:p w14:paraId="117CD0F2" w14:textId="77777777" w:rsidR="0016455D" w:rsidRPr="00ED4FA1" w:rsidRDefault="0016455D" w:rsidP="0016455D">
      <w:pPr>
        <w:pStyle w:val="Bullet"/>
      </w:pPr>
      <w:r>
        <w:t>among service users, 30.3%</w:t>
      </w:r>
      <w:r w:rsidRPr="00ED4FA1">
        <w:t xml:space="preserve"> of Māori</w:t>
      </w:r>
      <w:r>
        <w:t>, 27.7% of Pacific peoples and 28.1% of other ethnicities</w:t>
      </w:r>
      <w:r w:rsidRPr="00ED4FA1">
        <w:t xml:space="preserve"> were under </w:t>
      </w:r>
      <w:r>
        <w:t>20</w:t>
      </w:r>
      <w:r w:rsidRPr="00ED4FA1">
        <w:t xml:space="preserve"> years of age</w:t>
      </w:r>
    </w:p>
    <w:p w14:paraId="7C687E65" w14:textId="67178F87" w:rsidR="0016455D" w:rsidRDefault="0016455D" w:rsidP="0016455D">
      <w:pPr>
        <w:pStyle w:val="Bullet"/>
      </w:pPr>
      <w:r w:rsidRPr="00ED4FA1">
        <w:t xml:space="preserve">among service users under a community treatment order, </w:t>
      </w:r>
      <w:r>
        <w:t>51%</w:t>
      </w:r>
      <w:r w:rsidRPr="00ED4FA1">
        <w:t xml:space="preserve"> of Māori </w:t>
      </w:r>
      <w:r>
        <w:t xml:space="preserve">and 53% of Pacific peoples </w:t>
      </w:r>
      <w:r w:rsidRPr="00ED4FA1">
        <w:t xml:space="preserve">were living in the most deprived </w:t>
      </w:r>
      <w:r>
        <w:t>areas</w:t>
      </w:r>
      <w:r w:rsidRPr="00ED4FA1">
        <w:t xml:space="preserve"> (</w:t>
      </w:r>
      <w:r>
        <w:t>quintile 5</w:t>
      </w:r>
      <w:r w:rsidRPr="00ED4FA1">
        <w:t xml:space="preserve">), compared with </w:t>
      </w:r>
      <w:r>
        <w:t>27%</w:t>
      </w:r>
      <w:r w:rsidRPr="00ED4FA1">
        <w:t xml:space="preserve"> of non-Māori</w:t>
      </w:r>
      <w:r>
        <w:t xml:space="preserve"> and non-Pacific peoples</w:t>
      </w:r>
      <w:r w:rsidRPr="00ED4FA1">
        <w:t>.</w:t>
      </w:r>
      <w:r w:rsidRPr="00B048AF">
        <w:rPr>
          <w:rStyle w:val="FootnoteReference"/>
        </w:rPr>
        <w:footnoteReference w:id="10"/>
      </w:r>
    </w:p>
    <w:p w14:paraId="5955EB05" w14:textId="77777777" w:rsidR="0016455D" w:rsidRDefault="0016455D" w:rsidP="0016455D">
      <w:pPr>
        <w:pStyle w:val="Bullet"/>
        <w:numPr>
          <w:ilvl w:val="0"/>
          <w:numId w:val="0"/>
        </w:numPr>
        <w:ind w:left="284" w:hanging="284"/>
        <w:sectPr w:rsidR="0016455D" w:rsidSect="00FB237A">
          <w:pgSz w:w="11907" w:h="16840" w:code="9"/>
          <w:pgMar w:top="1418" w:right="1701" w:bottom="1134" w:left="1843" w:header="284" w:footer="425" w:gutter="284"/>
          <w:cols w:space="720"/>
        </w:sectPr>
      </w:pPr>
    </w:p>
    <w:p w14:paraId="36E2125A" w14:textId="77777777" w:rsidR="0016455D" w:rsidRDefault="0016455D" w:rsidP="0016455D">
      <w:pPr>
        <w:pStyle w:val="Heading2"/>
        <w:spacing w:before="0"/>
      </w:pPr>
      <w:bookmarkStart w:id="79" w:name="_Toc87429904"/>
      <w:bookmarkStart w:id="80" w:name="_Toc88826952"/>
      <w:bookmarkStart w:id="81" w:name="_Toc115188802"/>
      <w:bookmarkStart w:id="82" w:name="_Toc115431700"/>
      <w:r>
        <w:lastRenderedPageBreak/>
        <w:t>Compulsory assessment</w:t>
      </w:r>
      <w:bookmarkEnd w:id="79"/>
      <w:bookmarkEnd w:id="80"/>
      <w:bookmarkEnd w:id="81"/>
      <w:bookmarkEnd w:id="82"/>
    </w:p>
    <w:p w14:paraId="19E6C770" w14:textId="77777777" w:rsidR="0016455D" w:rsidRDefault="0016455D" w:rsidP="0016455D">
      <w:r>
        <w:t xml:space="preserve">From 1 July 2020 to 30 June 2021, Māori were more likely to undergo compulsory assessment than other ethnicities. </w:t>
      </w:r>
      <w:r w:rsidRPr="00DE5DEE">
        <w:t>Table </w:t>
      </w:r>
      <w:r>
        <w:rPr>
          <w:noProof/>
        </w:rPr>
        <w:t>3</w:t>
      </w:r>
      <w:r>
        <w:t xml:space="preserve"> shows the number of people subject to compulsory mental health assessment on a national level by ethnicity and the rate per 100,000 population.</w:t>
      </w:r>
    </w:p>
    <w:p w14:paraId="457DC4C4" w14:textId="77777777" w:rsidR="0016455D" w:rsidRPr="00A0332F" w:rsidRDefault="0016455D" w:rsidP="0016455D"/>
    <w:p w14:paraId="04F26C12" w14:textId="5F972AD9" w:rsidR="0016455D" w:rsidRDefault="0016455D" w:rsidP="0016455D">
      <w:pPr>
        <w:pStyle w:val="Table"/>
      </w:pPr>
      <w:bookmarkStart w:id="83" w:name="_Ref85702326"/>
      <w:bookmarkStart w:id="84" w:name="_Toc87430001"/>
      <w:bookmarkStart w:id="85" w:name="_Toc88561358"/>
      <w:bookmarkStart w:id="86" w:name="_Toc115188892"/>
      <w:bookmarkStart w:id="87" w:name="_Toc115272595"/>
      <w:r w:rsidRPr="00DE5DEE">
        <w:t>Table </w:t>
      </w:r>
      <w:fldSimple w:instr=" SEQ Table \* ARABIC ">
        <w:r w:rsidR="009A04B0">
          <w:rPr>
            <w:noProof/>
          </w:rPr>
          <w:t>3</w:t>
        </w:r>
      </w:fldSimple>
      <w:bookmarkEnd w:id="83"/>
      <w:r w:rsidRPr="00DE5DEE">
        <w:t>: Number</w:t>
      </w:r>
      <w:r>
        <w:t xml:space="preserve"> and rate</w:t>
      </w:r>
      <w:r w:rsidRPr="00DE5DEE">
        <w:t xml:space="preserve"> of people required to undergo assessment under section 11, 13 </w:t>
      </w:r>
      <w:r>
        <w:t>or</w:t>
      </w:r>
      <w:r w:rsidRPr="00DE5DEE">
        <w:t xml:space="preserve"> 14(4) of the Mental Health Act, by ethnicity, 1 </w:t>
      </w:r>
      <w:bookmarkEnd w:id="84"/>
      <w:bookmarkEnd w:id="85"/>
      <w:r w:rsidRPr="00DE5DEE">
        <w:t>July 2020 to 30 June 2021</w:t>
      </w:r>
      <w:bookmarkEnd w:id="86"/>
      <w:bookmarkEnd w:id="87"/>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560"/>
        <w:gridCol w:w="1086"/>
        <w:gridCol w:w="1087"/>
        <w:gridCol w:w="1087"/>
        <w:gridCol w:w="1086"/>
        <w:gridCol w:w="1087"/>
        <w:gridCol w:w="1087"/>
      </w:tblGrid>
      <w:tr w:rsidR="0016455D" w:rsidRPr="00B048AF" w14:paraId="153D8894" w14:textId="77777777" w:rsidTr="00D40D3F">
        <w:trPr>
          <w:cantSplit/>
        </w:trPr>
        <w:tc>
          <w:tcPr>
            <w:tcW w:w="1560" w:type="dxa"/>
            <w:vMerge w:val="restart"/>
            <w:shd w:val="clear" w:color="auto" w:fill="D9D9D9" w:themeFill="background1" w:themeFillShade="D9"/>
            <w:noWrap/>
          </w:tcPr>
          <w:p w14:paraId="5FEAB48E" w14:textId="77777777" w:rsidR="0016455D" w:rsidRPr="00B048AF" w:rsidRDefault="0016455D" w:rsidP="001236DF">
            <w:pPr>
              <w:pStyle w:val="TableText"/>
              <w:rPr>
                <w:b/>
              </w:rPr>
            </w:pPr>
            <w:r w:rsidRPr="00B048AF">
              <w:rPr>
                <w:b/>
              </w:rPr>
              <w:t>Ethnicity</w:t>
            </w:r>
          </w:p>
        </w:tc>
        <w:tc>
          <w:tcPr>
            <w:tcW w:w="2173" w:type="dxa"/>
            <w:gridSpan w:val="2"/>
            <w:tcBorders>
              <w:top w:val="nil"/>
              <w:bottom w:val="nil"/>
              <w:right w:val="nil"/>
            </w:tcBorders>
            <w:shd w:val="clear" w:color="auto" w:fill="D9D9D9" w:themeFill="background1" w:themeFillShade="D9"/>
          </w:tcPr>
          <w:p w14:paraId="4A1D94DC" w14:textId="77777777" w:rsidR="0016455D" w:rsidRPr="00B048AF" w:rsidRDefault="0016455D" w:rsidP="001236DF">
            <w:pPr>
              <w:pStyle w:val="TableText"/>
              <w:jc w:val="center"/>
              <w:rPr>
                <w:b/>
                <w:bCs/>
                <w:color w:val="000000"/>
                <w:szCs w:val="18"/>
                <w:lang w:eastAsia="en-NZ"/>
              </w:rPr>
            </w:pPr>
            <w:r w:rsidRPr="00B048AF">
              <w:rPr>
                <w:b/>
                <w:bCs/>
                <w:color w:val="000000"/>
                <w:szCs w:val="18"/>
                <w:lang w:eastAsia="en-NZ"/>
              </w:rPr>
              <w:t>Section 11</w:t>
            </w:r>
          </w:p>
        </w:tc>
        <w:tc>
          <w:tcPr>
            <w:tcW w:w="2173" w:type="dxa"/>
            <w:gridSpan w:val="2"/>
            <w:tcBorders>
              <w:top w:val="nil"/>
              <w:left w:val="nil"/>
              <w:bottom w:val="nil"/>
              <w:right w:val="nil"/>
            </w:tcBorders>
            <w:shd w:val="clear" w:color="auto" w:fill="D9D9D9" w:themeFill="background1" w:themeFillShade="D9"/>
          </w:tcPr>
          <w:p w14:paraId="6BE49DA0" w14:textId="77777777" w:rsidR="0016455D" w:rsidRPr="00B048AF" w:rsidRDefault="0016455D" w:rsidP="001236DF">
            <w:pPr>
              <w:pStyle w:val="TableText"/>
              <w:jc w:val="center"/>
              <w:rPr>
                <w:b/>
                <w:bCs/>
                <w:color w:val="000000"/>
                <w:szCs w:val="18"/>
                <w:lang w:eastAsia="en-NZ"/>
              </w:rPr>
            </w:pPr>
            <w:r w:rsidRPr="00B048AF">
              <w:rPr>
                <w:b/>
                <w:bCs/>
                <w:color w:val="000000"/>
                <w:szCs w:val="18"/>
                <w:lang w:eastAsia="en-NZ"/>
              </w:rPr>
              <w:t>Section 13</w:t>
            </w:r>
          </w:p>
        </w:tc>
        <w:tc>
          <w:tcPr>
            <w:tcW w:w="2174" w:type="dxa"/>
            <w:gridSpan w:val="2"/>
            <w:tcBorders>
              <w:top w:val="nil"/>
              <w:left w:val="nil"/>
              <w:bottom w:val="nil"/>
            </w:tcBorders>
            <w:shd w:val="clear" w:color="auto" w:fill="D9D9D9" w:themeFill="background1" w:themeFillShade="D9"/>
          </w:tcPr>
          <w:p w14:paraId="3C7FFDEF" w14:textId="77777777" w:rsidR="0016455D" w:rsidRPr="00B048AF" w:rsidRDefault="0016455D" w:rsidP="001236DF">
            <w:pPr>
              <w:pStyle w:val="TableText"/>
              <w:jc w:val="center"/>
              <w:rPr>
                <w:b/>
                <w:bCs/>
                <w:color w:val="000000"/>
                <w:szCs w:val="18"/>
                <w:lang w:eastAsia="en-NZ"/>
              </w:rPr>
            </w:pPr>
            <w:r w:rsidRPr="00B048AF">
              <w:rPr>
                <w:b/>
                <w:bCs/>
                <w:color w:val="000000"/>
                <w:szCs w:val="18"/>
                <w:lang w:eastAsia="en-NZ"/>
              </w:rPr>
              <w:t>Section 14(4)</w:t>
            </w:r>
          </w:p>
        </w:tc>
      </w:tr>
      <w:tr w:rsidR="0016455D" w:rsidRPr="00B048AF" w14:paraId="5D277B2A" w14:textId="77777777" w:rsidTr="00D40D3F">
        <w:trPr>
          <w:cantSplit/>
        </w:trPr>
        <w:tc>
          <w:tcPr>
            <w:tcW w:w="1560" w:type="dxa"/>
            <w:vMerge/>
            <w:shd w:val="clear" w:color="auto" w:fill="D9D9D9" w:themeFill="background1" w:themeFillShade="D9"/>
            <w:noWrap/>
            <w:hideMark/>
          </w:tcPr>
          <w:p w14:paraId="74AD4591" w14:textId="77777777" w:rsidR="0016455D" w:rsidRPr="00B048AF" w:rsidRDefault="0016455D" w:rsidP="001236DF">
            <w:pPr>
              <w:pStyle w:val="TableText"/>
              <w:rPr>
                <w:b/>
              </w:rPr>
            </w:pPr>
          </w:p>
        </w:tc>
        <w:tc>
          <w:tcPr>
            <w:tcW w:w="1086" w:type="dxa"/>
            <w:tcBorders>
              <w:top w:val="nil"/>
              <w:right w:val="nil"/>
            </w:tcBorders>
            <w:shd w:val="clear" w:color="auto" w:fill="D9D9D9" w:themeFill="background1" w:themeFillShade="D9"/>
            <w:hideMark/>
          </w:tcPr>
          <w:p w14:paraId="3652C788" w14:textId="77777777" w:rsidR="0016455D" w:rsidRPr="00B048AF" w:rsidRDefault="0016455D" w:rsidP="001236DF">
            <w:pPr>
              <w:pStyle w:val="TableText"/>
              <w:spacing w:before="0"/>
              <w:jc w:val="center"/>
              <w:rPr>
                <w:b/>
                <w:bCs/>
                <w:color w:val="000000"/>
                <w:szCs w:val="18"/>
                <w:lang w:eastAsia="en-NZ"/>
              </w:rPr>
            </w:pPr>
            <w:r w:rsidRPr="00B048AF">
              <w:rPr>
                <w:b/>
                <w:bCs/>
                <w:color w:val="000000"/>
                <w:szCs w:val="18"/>
                <w:lang w:eastAsia="en-NZ"/>
              </w:rPr>
              <w:t>Number</w:t>
            </w:r>
          </w:p>
        </w:tc>
        <w:tc>
          <w:tcPr>
            <w:tcW w:w="1087" w:type="dxa"/>
            <w:tcBorders>
              <w:top w:val="nil"/>
              <w:left w:val="nil"/>
              <w:right w:val="nil"/>
            </w:tcBorders>
            <w:shd w:val="clear" w:color="auto" w:fill="D9D9D9" w:themeFill="background1" w:themeFillShade="D9"/>
            <w:hideMark/>
          </w:tcPr>
          <w:p w14:paraId="20BD8FFD" w14:textId="77777777" w:rsidR="0016455D" w:rsidRPr="00B048AF" w:rsidRDefault="0016455D" w:rsidP="001236DF">
            <w:pPr>
              <w:pStyle w:val="TableText"/>
              <w:spacing w:before="0"/>
              <w:jc w:val="center"/>
              <w:rPr>
                <w:b/>
                <w:bCs/>
                <w:color w:val="000000"/>
                <w:szCs w:val="18"/>
                <w:lang w:eastAsia="en-NZ"/>
              </w:rPr>
            </w:pPr>
            <w:r w:rsidRPr="00B048AF">
              <w:rPr>
                <w:b/>
                <w:bCs/>
                <w:color w:val="000000"/>
                <w:szCs w:val="18"/>
                <w:lang w:eastAsia="en-NZ"/>
              </w:rPr>
              <w:t>Rate</w:t>
            </w:r>
          </w:p>
        </w:tc>
        <w:tc>
          <w:tcPr>
            <w:tcW w:w="1087" w:type="dxa"/>
            <w:tcBorders>
              <w:top w:val="nil"/>
              <w:left w:val="nil"/>
              <w:right w:val="nil"/>
            </w:tcBorders>
            <w:shd w:val="clear" w:color="auto" w:fill="D9D9D9" w:themeFill="background1" w:themeFillShade="D9"/>
            <w:hideMark/>
          </w:tcPr>
          <w:p w14:paraId="23499FC0" w14:textId="77777777" w:rsidR="0016455D" w:rsidRPr="00B048AF" w:rsidRDefault="0016455D" w:rsidP="001236DF">
            <w:pPr>
              <w:pStyle w:val="TableText"/>
              <w:spacing w:before="0"/>
              <w:jc w:val="center"/>
              <w:rPr>
                <w:b/>
                <w:bCs/>
                <w:color w:val="000000"/>
                <w:szCs w:val="18"/>
                <w:lang w:eastAsia="en-NZ"/>
              </w:rPr>
            </w:pPr>
            <w:r w:rsidRPr="00B048AF">
              <w:rPr>
                <w:b/>
                <w:bCs/>
                <w:color w:val="000000"/>
                <w:szCs w:val="18"/>
                <w:lang w:eastAsia="en-NZ"/>
              </w:rPr>
              <w:t>Number</w:t>
            </w:r>
          </w:p>
        </w:tc>
        <w:tc>
          <w:tcPr>
            <w:tcW w:w="1086" w:type="dxa"/>
            <w:tcBorders>
              <w:top w:val="nil"/>
              <w:left w:val="nil"/>
              <w:right w:val="nil"/>
            </w:tcBorders>
            <w:shd w:val="clear" w:color="auto" w:fill="D9D9D9" w:themeFill="background1" w:themeFillShade="D9"/>
            <w:hideMark/>
          </w:tcPr>
          <w:p w14:paraId="5A823D20" w14:textId="77777777" w:rsidR="0016455D" w:rsidRPr="00B048AF" w:rsidRDefault="0016455D" w:rsidP="001236DF">
            <w:pPr>
              <w:pStyle w:val="TableText"/>
              <w:spacing w:before="0"/>
              <w:jc w:val="center"/>
              <w:rPr>
                <w:b/>
                <w:bCs/>
                <w:color w:val="000000"/>
                <w:szCs w:val="18"/>
                <w:lang w:eastAsia="en-NZ"/>
              </w:rPr>
            </w:pPr>
            <w:r w:rsidRPr="00B048AF">
              <w:rPr>
                <w:b/>
                <w:bCs/>
                <w:color w:val="000000"/>
                <w:szCs w:val="18"/>
                <w:lang w:eastAsia="en-NZ"/>
              </w:rPr>
              <w:t>Rate</w:t>
            </w:r>
          </w:p>
        </w:tc>
        <w:tc>
          <w:tcPr>
            <w:tcW w:w="1087" w:type="dxa"/>
            <w:tcBorders>
              <w:top w:val="nil"/>
              <w:left w:val="nil"/>
              <w:right w:val="nil"/>
            </w:tcBorders>
            <w:shd w:val="clear" w:color="auto" w:fill="D9D9D9" w:themeFill="background1" w:themeFillShade="D9"/>
            <w:hideMark/>
          </w:tcPr>
          <w:p w14:paraId="516FCD31" w14:textId="77777777" w:rsidR="0016455D" w:rsidRPr="00B048AF" w:rsidRDefault="0016455D" w:rsidP="001236DF">
            <w:pPr>
              <w:pStyle w:val="TableText"/>
              <w:spacing w:before="0"/>
              <w:jc w:val="center"/>
              <w:rPr>
                <w:b/>
                <w:bCs/>
                <w:color w:val="000000"/>
                <w:szCs w:val="18"/>
                <w:lang w:eastAsia="en-NZ"/>
              </w:rPr>
            </w:pPr>
            <w:r w:rsidRPr="00B048AF">
              <w:rPr>
                <w:b/>
                <w:bCs/>
                <w:color w:val="000000"/>
                <w:szCs w:val="18"/>
                <w:lang w:eastAsia="en-NZ"/>
              </w:rPr>
              <w:t>Number</w:t>
            </w:r>
          </w:p>
        </w:tc>
        <w:tc>
          <w:tcPr>
            <w:tcW w:w="1087" w:type="dxa"/>
            <w:tcBorders>
              <w:top w:val="nil"/>
              <w:left w:val="nil"/>
            </w:tcBorders>
            <w:shd w:val="clear" w:color="auto" w:fill="D9D9D9" w:themeFill="background1" w:themeFillShade="D9"/>
            <w:hideMark/>
          </w:tcPr>
          <w:p w14:paraId="491F9F1A" w14:textId="77777777" w:rsidR="0016455D" w:rsidRPr="00B048AF" w:rsidRDefault="0016455D" w:rsidP="001236DF">
            <w:pPr>
              <w:pStyle w:val="TableText"/>
              <w:spacing w:before="0"/>
              <w:jc w:val="center"/>
              <w:rPr>
                <w:b/>
                <w:bCs/>
                <w:color w:val="000000"/>
                <w:szCs w:val="18"/>
                <w:lang w:eastAsia="en-NZ"/>
              </w:rPr>
            </w:pPr>
            <w:r w:rsidRPr="00B048AF">
              <w:rPr>
                <w:b/>
                <w:bCs/>
                <w:color w:val="000000"/>
                <w:szCs w:val="18"/>
                <w:lang w:eastAsia="en-NZ"/>
              </w:rPr>
              <w:t>Rate</w:t>
            </w:r>
          </w:p>
        </w:tc>
      </w:tr>
      <w:tr w:rsidR="0016455D" w:rsidRPr="00C80867" w14:paraId="71B9058A" w14:textId="77777777" w:rsidTr="0016455D">
        <w:trPr>
          <w:cantSplit/>
        </w:trPr>
        <w:tc>
          <w:tcPr>
            <w:tcW w:w="1560" w:type="dxa"/>
            <w:shd w:val="clear" w:color="auto" w:fill="auto"/>
            <w:noWrap/>
            <w:hideMark/>
          </w:tcPr>
          <w:p w14:paraId="4EACE87A" w14:textId="77777777" w:rsidR="0016455D" w:rsidRPr="00C80867" w:rsidRDefault="0016455D" w:rsidP="001236DF">
            <w:pPr>
              <w:pStyle w:val="TableText"/>
              <w:rPr>
                <w:color w:val="000000"/>
                <w:szCs w:val="18"/>
                <w:lang w:eastAsia="en-NZ"/>
              </w:rPr>
            </w:pPr>
            <w:r w:rsidRPr="00C80867">
              <w:rPr>
                <w:color w:val="000000"/>
                <w:szCs w:val="18"/>
                <w:lang w:eastAsia="en-NZ"/>
              </w:rPr>
              <w:t>Māori</w:t>
            </w:r>
          </w:p>
        </w:tc>
        <w:tc>
          <w:tcPr>
            <w:tcW w:w="1086" w:type="dxa"/>
            <w:shd w:val="clear" w:color="auto" w:fill="auto"/>
            <w:noWrap/>
            <w:hideMark/>
          </w:tcPr>
          <w:p w14:paraId="5A5F7193" w14:textId="77777777" w:rsidR="0016455D" w:rsidRPr="00C80867" w:rsidRDefault="0016455D" w:rsidP="001236DF">
            <w:pPr>
              <w:pStyle w:val="TableText"/>
              <w:tabs>
                <w:tab w:val="decimal" w:pos="680"/>
              </w:tabs>
              <w:rPr>
                <w:szCs w:val="18"/>
                <w:lang w:eastAsia="en-NZ"/>
              </w:rPr>
            </w:pPr>
            <w:r w:rsidRPr="0027133F">
              <w:t>1</w:t>
            </w:r>
            <w:r>
              <w:t>,</w:t>
            </w:r>
            <w:r w:rsidRPr="0027133F">
              <w:t>991</w:t>
            </w:r>
          </w:p>
        </w:tc>
        <w:tc>
          <w:tcPr>
            <w:tcW w:w="1087" w:type="dxa"/>
            <w:shd w:val="clear" w:color="auto" w:fill="auto"/>
            <w:noWrap/>
            <w:hideMark/>
          </w:tcPr>
          <w:p w14:paraId="1A950BC4" w14:textId="77777777" w:rsidR="0016455D" w:rsidRPr="00C80867" w:rsidRDefault="0016455D" w:rsidP="001236DF">
            <w:pPr>
              <w:pStyle w:val="TableText"/>
              <w:tabs>
                <w:tab w:val="decimal" w:pos="567"/>
              </w:tabs>
              <w:rPr>
                <w:color w:val="000000"/>
                <w:szCs w:val="18"/>
                <w:lang w:eastAsia="en-NZ"/>
              </w:rPr>
            </w:pPr>
            <w:r w:rsidRPr="0027133F">
              <w:t xml:space="preserve"> 229.1 </w:t>
            </w:r>
          </w:p>
        </w:tc>
        <w:tc>
          <w:tcPr>
            <w:tcW w:w="1087" w:type="dxa"/>
            <w:shd w:val="clear" w:color="auto" w:fill="auto"/>
            <w:noWrap/>
            <w:hideMark/>
          </w:tcPr>
          <w:p w14:paraId="62F11F3D" w14:textId="77777777" w:rsidR="0016455D" w:rsidRPr="00C80867" w:rsidRDefault="0016455D" w:rsidP="001236DF">
            <w:pPr>
              <w:pStyle w:val="TableText"/>
              <w:tabs>
                <w:tab w:val="decimal" w:pos="680"/>
              </w:tabs>
              <w:rPr>
                <w:szCs w:val="18"/>
                <w:lang w:eastAsia="en-NZ"/>
              </w:rPr>
            </w:pPr>
            <w:r w:rsidRPr="00EF5353">
              <w:t>1</w:t>
            </w:r>
            <w:r>
              <w:t>,</w:t>
            </w:r>
            <w:r w:rsidRPr="00EF5353">
              <w:t>772</w:t>
            </w:r>
          </w:p>
        </w:tc>
        <w:tc>
          <w:tcPr>
            <w:tcW w:w="1086" w:type="dxa"/>
            <w:shd w:val="clear" w:color="auto" w:fill="auto"/>
            <w:noWrap/>
            <w:hideMark/>
          </w:tcPr>
          <w:p w14:paraId="57485A79" w14:textId="77777777" w:rsidR="0016455D" w:rsidRPr="00C80867" w:rsidRDefault="0016455D" w:rsidP="001236DF">
            <w:pPr>
              <w:pStyle w:val="TableText"/>
              <w:tabs>
                <w:tab w:val="decimal" w:pos="567"/>
              </w:tabs>
              <w:rPr>
                <w:color w:val="000000"/>
                <w:szCs w:val="18"/>
                <w:lang w:eastAsia="en-NZ"/>
              </w:rPr>
            </w:pPr>
            <w:r w:rsidRPr="00EF5353">
              <w:t xml:space="preserve"> 203.</w:t>
            </w:r>
            <w:r>
              <w:t>9</w:t>
            </w:r>
            <w:r w:rsidRPr="00EF5353">
              <w:t xml:space="preserve"> </w:t>
            </w:r>
          </w:p>
        </w:tc>
        <w:tc>
          <w:tcPr>
            <w:tcW w:w="1087" w:type="dxa"/>
            <w:shd w:val="clear" w:color="auto" w:fill="auto"/>
            <w:noWrap/>
            <w:hideMark/>
          </w:tcPr>
          <w:p w14:paraId="0DC3C2B4" w14:textId="77777777" w:rsidR="0016455D" w:rsidRPr="00C80867" w:rsidRDefault="0016455D" w:rsidP="001236DF">
            <w:pPr>
              <w:pStyle w:val="TableText"/>
              <w:tabs>
                <w:tab w:val="decimal" w:pos="680"/>
              </w:tabs>
              <w:rPr>
                <w:szCs w:val="18"/>
                <w:lang w:eastAsia="en-NZ"/>
              </w:rPr>
            </w:pPr>
            <w:r w:rsidRPr="00AD2B60">
              <w:t>1</w:t>
            </w:r>
            <w:r>
              <w:t>,</w:t>
            </w:r>
            <w:r w:rsidRPr="00AD2B60">
              <w:t>252</w:t>
            </w:r>
          </w:p>
        </w:tc>
        <w:tc>
          <w:tcPr>
            <w:tcW w:w="1087" w:type="dxa"/>
            <w:shd w:val="clear" w:color="auto" w:fill="auto"/>
            <w:noWrap/>
            <w:hideMark/>
          </w:tcPr>
          <w:p w14:paraId="2A1138B3" w14:textId="77777777" w:rsidR="0016455D" w:rsidRPr="00C80867" w:rsidRDefault="0016455D" w:rsidP="001236DF">
            <w:pPr>
              <w:pStyle w:val="TableText"/>
              <w:tabs>
                <w:tab w:val="decimal" w:pos="567"/>
              </w:tabs>
              <w:rPr>
                <w:color w:val="000000"/>
                <w:szCs w:val="18"/>
                <w:lang w:eastAsia="en-NZ"/>
              </w:rPr>
            </w:pPr>
            <w:r w:rsidRPr="00AD2B60">
              <w:t xml:space="preserve"> 144.1 </w:t>
            </w:r>
          </w:p>
        </w:tc>
      </w:tr>
      <w:tr w:rsidR="0016455D" w:rsidRPr="006858A3" w14:paraId="7908F860" w14:textId="77777777" w:rsidTr="0016455D">
        <w:trPr>
          <w:cantSplit/>
        </w:trPr>
        <w:tc>
          <w:tcPr>
            <w:tcW w:w="1560" w:type="dxa"/>
            <w:shd w:val="clear" w:color="auto" w:fill="auto"/>
            <w:noWrap/>
          </w:tcPr>
          <w:p w14:paraId="62166928" w14:textId="77777777" w:rsidR="0016455D" w:rsidRPr="006858A3" w:rsidRDefault="0016455D" w:rsidP="001236DF">
            <w:pPr>
              <w:pStyle w:val="TableText"/>
              <w:rPr>
                <w:color w:val="000000"/>
                <w:szCs w:val="18"/>
                <w:lang w:eastAsia="en-NZ"/>
              </w:rPr>
            </w:pPr>
            <w:r w:rsidRPr="006858A3">
              <w:rPr>
                <w:color w:val="000000"/>
                <w:szCs w:val="18"/>
                <w:lang w:eastAsia="en-NZ"/>
              </w:rPr>
              <w:t>Pacific people</w:t>
            </w:r>
            <w:r>
              <w:rPr>
                <w:color w:val="000000"/>
                <w:szCs w:val="18"/>
                <w:lang w:eastAsia="en-NZ"/>
              </w:rPr>
              <w:t>s</w:t>
            </w:r>
          </w:p>
        </w:tc>
        <w:tc>
          <w:tcPr>
            <w:tcW w:w="1086" w:type="dxa"/>
            <w:shd w:val="clear" w:color="auto" w:fill="auto"/>
            <w:noWrap/>
          </w:tcPr>
          <w:p w14:paraId="10CCFE46" w14:textId="77777777" w:rsidR="0016455D" w:rsidRPr="006858A3" w:rsidRDefault="0016455D" w:rsidP="001236DF">
            <w:pPr>
              <w:pStyle w:val="TableText"/>
              <w:tabs>
                <w:tab w:val="decimal" w:pos="680"/>
              </w:tabs>
              <w:rPr>
                <w:szCs w:val="18"/>
                <w:lang w:eastAsia="en-NZ"/>
              </w:rPr>
            </w:pPr>
            <w:r w:rsidRPr="0027133F">
              <w:t>381</w:t>
            </w:r>
          </w:p>
        </w:tc>
        <w:tc>
          <w:tcPr>
            <w:tcW w:w="1087" w:type="dxa"/>
            <w:shd w:val="clear" w:color="auto" w:fill="auto"/>
            <w:noWrap/>
          </w:tcPr>
          <w:p w14:paraId="234375A2" w14:textId="77777777" w:rsidR="0016455D" w:rsidRPr="006858A3" w:rsidRDefault="0016455D" w:rsidP="001236DF">
            <w:pPr>
              <w:pStyle w:val="TableText"/>
              <w:tabs>
                <w:tab w:val="decimal" w:pos="567"/>
              </w:tabs>
              <w:rPr>
                <w:color w:val="000000"/>
                <w:szCs w:val="18"/>
                <w:lang w:eastAsia="en-NZ"/>
              </w:rPr>
            </w:pPr>
            <w:r w:rsidRPr="0027133F">
              <w:t xml:space="preserve"> 109.1 </w:t>
            </w:r>
          </w:p>
        </w:tc>
        <w:tc>
          <w:tcPr>
            <w:tcW w:w="1087" w:type="dxa"/>
            <w:shd w:val="clear" w:color="auto" w:fill="auto"/>
            <w:noWrap/>
          </w:tcPr>
          <w:p w14:paraId="6E049626" w14:textId="77777777" w:rsidR="0016455D" w:rsidRPr="006858A3" w:rsidRDefault="0016455D" w:rsidP="001236DF">
            <w:pPr>
              <w:pStyle w:val="TableText"/>
              <w:tabs>
                <w:tab w:val="decimal" w:pos="680"/>
              </w:tabs>
              <w:rPr>
                <w:szCs w:val="18"/>
                <w:lang w:eastAsia="en-NZ"/>
              </w:rPr>
            </w:pPr>
            <w:r w:rsidRPr="00EF5353">
              <w:t>375</w:t>
            </w:r>
          </w:p>
        </w:tc>
        <w:tc>
          <w:tcPr>
            <w:tcW w:w="1086" w:type="dxa"/>
            <w:shd w:val="clear" w:color="auto" w:fill="auto"/>
            <w:noWrap/>
          </w:tcPr>
          <w:p w14:paraId="410128E4" w14:textId="77777777" w:rsidR="0016455D" w:rsidRPr="006858A3" w:rsidRDefault="0016455D" w:rsidP="001236DF">
            <w:pPr>
              <w:pStyle w:val="TableText"/>
              <w:tabs>
                <w:tab w:val="decimal" w:pos="567"/>
              </w:tabs>
              <w:rPr>
                <w:color w:val="000000"/>
                <w:szCs w:val="18"/>
                <w:lang w:eastAsia="en-NZ"/>
              </w:rPr>
            </w:pPr>
            <w:r w:rsidRPr="00EF5353">
              <w:t xml:space="preserve"> 107.3 </w:t>
            </w:r>
          </w:p>
        </w:tc>
        <w:tc>
          <w:tcPr>
            <w:tcW w:w="1087" w:type="dxa"/>
            <w:shd w:val="clear" w:color="auto" w:fill="auto"/>
            <w:noWrap/>
          </w:tcPr>
          <w:p w14:paraId="648A7AAF" w14:textId="77777777" w:rsidR="0016455D" w:rsidRPr="006858A3" w:rsidRDefault="0016455D" w:rsidP="001236DF">
            <w:pPr>
              <w:pStyle w:val="TableText"/>
              <w:tabs>
                <w:tab w:val="decimal" w:pos="680"/>
              </w:tabs>
              <w:rPr>
                <w:szCs w:val="18"/>
                <w:lang w:eastAsia="en-NZ"/>
              </w:rPr>
            </w:pPr>
            <w:r w:rsidRPr="00AD2B60">
              <w:t>306</w:t>
            </w:r>
          </w:p>
        </w:tc>
        <w:tc>
          <w:tcPr>
            <w:tcW w:w="1087" w:type="dxa"/>
            <w:shd w:val="clear" w:color="auto" w:fill="auto"/>
            <w:noWrap/>
          </w:tcPr>
          <w:p w14:paraId="2F916CD5" w14:textId="77777777" w:rsidR="0016455D" w:rsidRPr="006858A3" w:rsidRDefault="0016455D" w:rsidP="001236DF">
            <w:pPr>
              <w:pStyle w:val="TableText"/>
              <w:tabs>
                <w:tab w:val="decimal" w:pos="567"/>
              </w:tabs>
              <w:rPr>
                <w:color w:val="000000"/>
                <w:szCs w:val="18"/>
                <w:lang w:eastAsia="en-NZ"/>
              </w:rPr>
            </w:pPr>
            <w:r w:rsidRPr="00AD2B60">
              <w:t xml:space="preserve"> 87.6 </w:t>
            </w:r>
          </w:p>
        </w:tc>
      </w:tr>
      <w:tr w:rsidR="0016455D" w:rsidRPr="006858A3" w14:paraId="1F61DC80" w14:textId="77777777" w:rsidTr="0016455D">
        <w:trPr>
          <w:cantSplit/>
        </w:trPr>
        <w:tc>
          <w:tcPr>
            <w:tcW w:w="1560" w:type="dxa"/>
            <w:shd w:val="clear" w:color="auto" w:fill="auto"/>
            <w:noWrap/>
          </w:tcPr>
          <w:p w14:paraId="682D6246" w14:textId="77777777" w:rsidR="0016455D" w:rsidRPr="006858A3" w:rsidRDefault="0016455D" w:rsidP="001236DF">
            <w:pPr>
              <w:pStyle w:val="TableText"/>
              <w:rPr>
                <w:color w:val="000000"/>
                <w:szCs w:val="18"/>
                <w:lang w:eastAsia="en-NZ"/>
              </w:rPr>
            </w:pPr>
            <w:r w:rsidRPr="006858A3">
              <w:rPr>
                <w:color w:val="000000"/>
                <w:szCs w:val="18"/>
                <w:lang w:eastAsia="en-NZ"/>
              </w:rPr>
              <w:t>Other</w:t>
            </w:r>
          </w:p>
        </w:tc>
        <w:tc>
          <w:tcPr>
            <w:tcW w:w="1086" w:type="dxa"/>
            <w:shd w:val="clear" w:color="auto" w:fill="auto"/>
            <w:noWrap/>
          </w:tcPr>
          <w:p w14:paraId="30200ABF" w14:textId="77777777" w:rsidR="0016455D" w:rsidRPr="006858A3" w:rsidRDefault="0016455D" w:rsidP="001236DF">
            <w:pPr>
              <w:pStyle w:val="TableText"/>
              <w:tabs>
                <w:tab w:val="decimal" w:pos="680"/>
              </w:tabs>
              <w:rPr>
                <w:szCs w:val="18"/>
                <w:lang w:eastAsia="en-NZ"/>
              </w:rPr>
            </w:pPr>
            <w:r w:rsidRPr="0027133F">
              <w:t>3</w:t>
            </w:r>
            <w:r>
              <w:t>,</w:t>
            </w:r>
            <w:r w:rsidRPr="0027133F">
              <w:t>520</w:t>
            </w:r>
          </w:p>
        </w:tc>
        <w:tc>
          <w:tcPr>
            <w:tcW w:w="1087" w:type="dxa"/>
            <w:shd w:val="clear" w:color="auto" w:fill="auto"/>
            <w:noWrap/>
          </w:tcPr>
          <w:p w14:paraId="584909C4" w14:textId="77777777" w:rsidR="0016455D" w:rsidRPr="006858A3" w:rsidRDefault="0016455D" w:rsidP="001236DF">
            <w:pPr>
              <w:pStyle w:val="TableText"/>
              <w:tabs>
                <w:tab w:val="decimal" w:pos="567"/>
              </w:tabs>
              <w:rPr>
                <w:color w:val="000000"/>
                <w:szCs w:val="18"/>
                <w:lang w:eastAsia="en-NZ"/>
              </w:rPr>
            </w:pPr>
            <w:r w:rsidRPr="0027133F">
              <w:t xml:space="preserve"> 90.1 </w:t>
            </w:r>
          </w:p>
        </w:tc>
        <w:tc>
          <w:tcPr>
            <w:tcW w:w="1087" w:type="dxa"/>
            <w:shd w:val="clear" w:color="auto" w:fill="auto"/>
            <w:noWrap/>
          </w:tcPr>
          <w:p w14:paraId="05088FE1" w14:textId="77777777" w:rsidR="0016455D" w:rsidRPr="006858A3" w:rsidRDefault="0016455D" w:rsidP="001236DF">
            <w:pPr>
              <w:pStyle w:val="TableText"/>
              <w:tabs>
                <w:tab w:val="decimal" w:pos="680"/>
              </w:tabs>
              <w:rPr>
                <w:szCs w:val="18"/>
                <w:lang w:eastAsia="en-NZ"/>
              </w:rPr>
            </w:pPr>
            <w:r w:rsidRPr="00EF5353">
              <w:t>2</w:t>
            </w:r>
            <w:r>
              <w:t>,</w:t>
            </w:r>
            <w:r w:rsidRPr="00EF5353">
              <w:t>934</w:t>
            </w:r>
          </w:p>
        </w:tc>
        <w:tc>
          <w:tcPr>
            <w:tcW w:w="1086" w:type="dxa"/>
            <w:shd w:val="clear" w:color="auto" w:fill="auto"/>
            <w:noWrap/>
          </w:tcPr>
          <w:p w14:paraId="34845EE4" w14:textId="77777777" w:rsidR="0016455D" w:rsidRPr="006858A3" w:rsidRDefault="0016455D" w:rsidP="001236DF">
            <w:pPr>
              <w:pStyle w:val="TableText"/>
              <w:tabs>
                <w:tab w:val="decimal" w:pos="567"/>
              </w:tabs>
              <w:rPr>
                <w:color w:val="000000"/>
                <w:szCs w:val="18"/>
                <w:lang w:eastAsia="en-NZ"/>
              </w:rPr>
            </w:pPr>
            <w:r w:rsidRPr="00EF5353">
              <w:t xml:space="preserve"> 75.1 </w:t>
            </w:r>
          </w:p>
        </w:tc>
        <w:tc>
          <w:tcPr>
            <w:tcW w:w="1087" w:type="dxa"/>
            <w:shd w:val="clear" w:color="auto" w:fill="auto"/>
            <w:noWrap/>
          </w:tcPr>
          <w:p w14:paraId="5539147D" w14:textId="77777777" w:rsidR="0016455D" w:rsidRPr="006858A3" w:rsidRDefault="0016455D" w:rsidP="001236DF">
            <w:pPr>
              <w:pStyle w:val="TableText"/>
              <w:tabs>
                <w:tab w:val="decimal" w:pos="680"/>
              </w:tabs>
              <w:rPr>
                <w:szCs w:val="18"/>
                <w:lang w:eastAsia="en-NZ"/>
              </w:rPr>
            </w:pPr>
            <w:r w:rsidRPr="00AD2B60">
              <w:t>1</w:t>
            </w:r>
            <w:r>
              <w:t>,</w:t>
            </w:r>
            <w:r w:rsidRPr="00AD2B60">
              <w:t>944</w:t>
            </w:r>
          </w:p>
        </w:tc>
        <w:tc>
          <w:tcPr>
            <w:tcW w:w="1087" w:type="dxa"/>
            <w:shd w:val="clear" w:color="auto" w:fill="auto"/>
            <w:noWrap/>
          </w:tcPr>
          <w:p w14:paraId="09D3DA14" w14:textId="77777777" w:rsidR="0016455D" w:rsidRPr="006858A3" w:rsidRDefault="0016455D" w:rsidP="001236DF">
            <w:pPr>
              <w:pStyle w:val="TableText"/>
              <w:tabs>
                <w:tab w:val="decimal" w:pos="567"/>
              </w:tabs>
              <w:rPr>
                <w:color w:val="000000"/>
                <w:szCs w:val="18"/>
                <w:lang w:eastAsia="en-NZ"/>
              </w:rPr>
            </w:pPr>
            <w:r w:rsidRPr="00AD2B60">
              <w:t xml:space="preserve"> 49.8 </w:t>
            </w:r>
          </w:p>
        </w:tc>
      </w:tr>
      <w:tr w:rsidR="0016455D" w:rsidRPr="00AF2A7F" w14:paraId="570B825B" w14:textId="77777777" w:rsidTr="0016455D">
        <w:trPr>
          <w:cantSplit/>
        </w:trPr>
        <w:tc>
          <w:tcPr>
            <w:tcW w:w="1560" w:type="dxa"/>
            <w:shd w:val="clear" w:color="auto" w:fill="auto"/>
            <w:noWrap/>
            <w:hideMark/>
          </w:tcPr>
          <w:p w14:paraId="0854ECED" w14:textId="77777777" w:rsidR="0016455D" w:rsidRPr="00AF2A7F" w:rsidRDefault="0016455D" w:rsidP="001236DF">
            <w:pPr>
              <w:pStyle w:val="TableText"/>
              <w:rPr>
                <w:b/>
                <w:color w:val="000000"/>
                <w:szCs w:val="18"/>
                <w:lang w:eastAsia="en-NZ"/>
              </w:rPr>
            </w:pPr>
            <w:r w:rsidRPr="00AF2A7F">
              <w:rPr>
                <w:b/>
                <w:color w:val="000000"/>
                <w:szCs w:val="18"/>
                <w:lang w:eastAsia="en-NZ"/>
              </w:rPr>
              <w:t>National total</w:t>
            </w:r>
          </w:p>
        </w:tc>
        <w:tc>
          <w:tcPr>
            <w:tcW w:w="1086" w:type="dxa"/>
            <w:shd w:val="clear" w:color="auto" w:fill="auto"/>
            <w:noWrap/>
            <w:hideMark/>
          </w:tcPr>
          <w:p w14:paraId="3D11EC15" w14:textId="77777777" w:rsidR="0016455D" w:rsidRPr="00AF2A7F" w:rsidRDefault="0016455D" w:rsidP="001236DF">
            <w:pPr>
              <w:pStyle w:val="TableText"/>
              <w:tabs>
                <w:tab w:val="decimal" w:pos="680"/>
              </w:tabs>
              <w:rPr>
                <w:b/>
                <w:szCs w:val="18"/>
                <w:lang w:eastAsia="en-NZ"/>
              </w:rPr>
            </w:pPr>
            <w:r w:rsidRPr="00AF2A7F">
              <w:rPr>
                <w:b/>
                <w:szCs w:val="18"/>
                <w:lang w:eastAsia="en-NZ"/>
              </w:rPr>
              <w:t>5,892</w:t>
            </w:r>
          </w:p>
        </w:tc>
        <w:tc>
          <w:tcPr>
            <w:tcW w:w="1087" w:type="dxa"/>
            <w:shd w:val="clear" w:color="auto" w:fill="auto"/>
            <w:noWrap/>
            <w:hideMark/>
          </w:tcPr>
          <w:p w14:paraId="739AAD01" w14:textId="77777777" w:rsidR="0016455D" w:rsidRPr="00AF2A7F" w:rsidRDefault="0016455D" w:rsidP="001236DF">
            <w:pPr>
              <w:pStyle w:val="TableText"/>
              <w:tabs>
                <w:tab w:val="decimal" w:pos="567"/>
              </w:tabs>
              <w:rPr>
                <w:b/>
                <w:color w:val="000000"/>
                <w:szCs w:val="18"/>
                <w:lang w:eastAsia="en-NZ"/>
              </w:rPr>
            </w:pPr>
            <w:r w:rsidRPr="00AF2A7F">
              <w:rPr>
                <w:b/>
                <w:color w:val="000000"/>
                <w:szCs w:val="18"/>
                <w:lang w:eastAsia="en-NZ"/>
              </w:rPr>
              <w:t>–</w:t>
            </w:r>
          </w:p>
        </w:tc>
        <w:tc>
          <w:tcPr>
            <w:tcW w:w="1087" w:type="dxa"/>
            <w:shd w:val="clear" w:color="auto" w:fill="auto"/>
            <w:noWrap/>
            <w:hideMark/>
          </w:tcPr>
          <w:p w14:paraId="0FEBF53B" w14:textId="77777777" w:rsidR="0016455D" w:rsidRPr="00AF2A7F" w:rsidRDefault="0016455D" w:rsidP="001236DF">
            <w:pPr>
              <w:pStyle w:val="TableText"/>
              <w:tabs>
                <w:tab w:val="decimal" w:pos="680"/>
              </w:tabs>
              <w:rPr>
                <w:b/>
                <w:szCs w:val="18"/>
                <w:lang w:eastAsia="en-NZ"/>
              </w:rPr>
            </w:pPr>
            <w:r w:rsidRPr="00AF2A7F">
              <w:rPr>
                <w:b/>
                <w:szCs w:val="18"/>
                <w:lang w:eastAsia="en-NZ"/>
              </w:rPr>
              <w:t>5,081</w:t>
            </w:r>
          </w:p>
        </w:tc>
        <w:tc>
          <w:tcPr>
            <w:tcW w:w="1086" w:type="dxa"/>
            <w:shd w:val="clear" w:color="auto" w:fill="auto"/>
            <w:noWrap/>
            <w:hideMark/>
          </w:tcPr>
          <w:p w14:paraId="6A2B8144" w14:textId="77777777" w:rsidR="0016455D" w:rsidRPr="00AF2A7F" w:rsidRDefault="0016455D" w:rsidP="001236DF">
            <w:pPr>
              <w:pStyle w:val="TableText"/>
              <w:tabs>
                <w:tab w:val="decimal" w:pos="567"/>
              </w:tabs>
              <w:rPr>
                <w:b/>
                <w:color w:val="000000"/>
                <w:szCs w:val="18"/>
                <w:lang w:eastAsia="en-NZ"/>
              </w:rPr>
            </w:pPr>
            <w:r w:rsidRPr="00AF2A7F">
              <w:rPr>
                <w:b/>
                <w:color w:val="000000"/>
                <w:szCs w:val="18"/>
                <w:lang w:eastAsia="en-NZ"/>
              </w:rPr>
              <w:t>–</w:t>
            </w:r>
          </w:p>
        </w:tc>
        <w:tc>
          <w:tcPr>
            <w:tcW w:w="1087" w:type="dxa"/>
            <w:shd w:val="clear" w:color="auto" w:fill="auto"/>
            <w:noWrap/>
            <w:hideMark/>
          </w:tcPr>
          <w:p w14:paraId="220B0DAF" w14:textId="77777777" w:rsidR="0016455D" w:rsidRPr="00AF2A7F" w:rsidRDefault="0016455D" w:rsidP="001236DF">
            <w:pPr>
              <w:pStyle w:val="TableText"/>
              <w:tabs>
                <w:tab w:val="decimal" w:pos="680"/>
              </w:tabs>
              <w:rPr>
                <w:b/>
                <w:szCs w:val="18"/>
                <w:lang w:eastAsia="en-NZ"/>
              </w:rPr>
            </w:pPr>
            <w:r w:rsidRPr="00AF2A7F">
              <w:rPr>
                <w:b/>
                <w:szCs w:val="18"/>
                <w:lang w:eastAsia="en-NZ"/>
              </w:rPr>
              <w:t>3,502</w:t>
            </w:r>
          </w:p>
        </w:tc>
        <w:tc>
          <w:tcPr>
            <w:tcW w:w="1087" w:type="dxa"/>
            <w:shd w:val="clear" w:color="auto" w:fill="auto"/>
            <w:noWrap/>
            <w:hideMark/>
          </w:tcPr>
          <w:p w14:paraId="1D18AF58" w14:textId="77777777" w:rsidR="0016455D" w:rsidRPr="00AF2A7F" w:rsidRDefault="0016455D" w:rsidP="001236DF">
            <w:pPr>
              <w:pStyle w:val="TableText"/>
              <w:tabs>
                <w:tab w:val="decimal" w:pos="567"/>
              </w:tabs>
              <w:rPr>
                <w:b/>
                <w:color w:val="000000"/>
                <w:szCs w:val="18"/>
                <w:lang w:eastAsia="en-NZ"/>
              </w:rPr>
            </w:pPr>
            <w:r w:rsidRPr="00AF2A7F">
              <w:rPr>
                <w:b/>
                <w:color w:val="000000"/>
                <w:szCs w:val="18"/>
                <w:lang w:eastAsia="en-NZ"/>
              </w:rPr>
              <w:t>–</w:t>
            </w:r>
          </w:p>
        </w:tc>
      </w:tr>
    </w:tbl>
    <w:p w14:paraId="7DE96628" w14:textId="77777777" w:rsidR="00D40D3F" w:rsidRPr="00D40D3F" w:rsidRDefault="00D40D3F" w:rsidP="00D40D3F">
      <w:pPr>
        <w:pStyle w:val="Note"/>
      </w:pPr>
      <w:r w:rsidRPr="00D40D3F">
        <w:t xml:space="preserve">Notes: Section 14(4) data may also include PRIMHD records for section 15(1) and 15(2). These section 15 provisions describe similar circumstances in which a patient is waiting for a court decision on compulsory treatment. Volumes of section 14(4) in some DHBs may be higher due to reporting extensions and indefinite order applications under section 14(4) in addition to original compulsory treatment order applications. This occurs because of local differences in the approach to reporting. </w:t>
      </w:r>
    </w:p>
    <w:p w14:paraId="0DEA20C3" w14:textId="0866A4A7" w:rsidR="0016455D" w:rsidRDefault="00D40D3F" w:rsidP="00D40D3F">
      <w:pPr>
        <w:pStyle w:val="Note"/>
      </w:pPr>
      <w:r w:rsidRPr="00D40D3F">
        <w:t>Sources: PRIMHD data (extracted 3 June 2022) and manual data from Waikato DHB.</w:t>
      </w:r>
    </w:p>
    <w:p w14:paraId="715AE8AE" w14:textId="77777777" w:rsidR="00D40D3F" w:rsidRPr="00200234" w:rsidRDefault="00D40D3F" w:rsidP="00D40D3F">
      <w:pPr>
        <w:pStyle w:val="Heading2"/>
      </w:pPr>
      <w:bookmarkStart w:id="88" w:name="_Toc87429905"/>
      <w:bookmarkStart w:id="89" w:name="_Toc88826953"/>
      <w:bookmarkStart w:id="90" w:name="_Toc115188803"/>
      <w:bookmarkStart w:id="91" w:name="_Toc115431701"/>
      <w:r>
        <w:t>Compulsory</w:t>
      </w:r>
      <w:r w:rsidRPr="00200234">
        <w:t xml:space="preserve"> treatment orders</w:t>
      </w:r>
      <w:bookmarkEnd w:id="88"/>
      <w:bookmarkEnd w:id="89"/>
      <w:bookmarkEnd w:id="90"/>
      <w:bookmarkEnd w:id="91"/>
    </w:p>
    <w:p w14:paraId="479D5113" w14:textId="77777777" w:rsidR="00D40D3F" w:rsidRDefault="00D40D3F" w:rsidP="00D40D3F">
      <w:r>
        <w:t>Table </w:t>
      </w:r>
      <w:r>
        <w:rPr>
          <w:noProof/>
        </w:rPr>
        <w:t>4</w:t>
      </w:r>
      <w:r>
        <w:t xml:space="preserve"> shows that </w:t>
      </w:r>
      <w:r w:rsidRPr="00200234">
        <w:t>Māori were more likely to be subject to community and inpatient treatment orders tha</w:t>
      </w:r>
      <w:r>
        <w:t>n Pacific peoples and other ethnicities</w:t>
      </w:r>
      <w:r w:rsidRPr="00200234">
        <w:t xml:space="preserve">. </w:t>
      </w:r>
      <w:r>
        <w:t>These figures represent people who were subject to a compulsory treatment order during the 2020/21 financial year, rather than the number of individuals who had a compulsory treatment order issued in the same timeframe.</w:t>
      </w:r>
    </w:p>
    <w:p w14:paraId="793C1519" w14:textId="77777777" w:rsidR="00D40D3F" w:rsidRDefault="00D40D3F" w:rsidP="00D40D3F"/>
    <w:p w14:paraId="11026010" w14:textId="0A44D21D" w:rsidR="00D40D3F" w:rsidRDefault="00D40D3F" w:rsidP="00D40D3F">
      <w:pPr>
        <w:pStyle w:val="Table"/>
      </w:pPr>
      <w:bookmarkStart w:id="92" w:name="_Ref85700499"/>
      <w:bookmarkStart w:id="93" w:name="_Toc87430002"/>
      <w:bookmarkStart w:id="94" w:name="_Toc88561359"/>
      <w:bookmarkStart w:id="95" w:name="_Toc115188893"/>
      <w:bookmarkStart w:id="96" w:name="_Toc115272596"/>
      <w:r>
        <w:t>Table </w:t>
      </w:r>
      <w:fldSimple w:instr=" SEQ Table \* ARABIC ">
        <w:r w:rsidR="009A04B0">
          <w:rPr>
            <w:noProof/>
          </w:rPr>
          <w:t>4</w:t>
        </w:r>
      </w:fldSimple>
      <w:bookmarkEnd w:id="92"/>
      <w:r w:rsidRPr="00DE5DEE">
        <w:t xml:space="preserve">: Number </w:t>
      </w:r>
      <w:r>
        <w:t xml:space="preserve">and rate </w:t>
      </w:r>
      <w:r w:rsidRPr="00DE5DEE">
        <w:t xml:space="preserve">of people subject to a compulsory treatment order under section 29 or 30 of the Mental Health Act, by ethnicity, 1 </w:t>
      </w:r>
      <w:bookmarkEnd w:id="93"/>
      <w:bookmarkEnd w:id="94"/>
      <w:r w:rsidRPr="00DE5DEE">
        <w:t>July 2020 to 30 June 2021</w:t>
      </w:r>
      <w:bookmarkEnd w:id="95"/>
      <w:bookmarkEnd w:id="96"/>
    </w:p>
    <w:tbl>
      <w:tblPr>
        <w:tblW w:w="0" w:type="auto"/>
        <w:tblBorders>
          <w:bottom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1980"/>
        <w:gridCol w:w="1522"/>
        <w:gridCol w:w="1522"/>
        <w:gridCol w:w="1522"/>
        <w:gridCol w:w="1523"/>
      </w:tblGrid>
      <w:tr w:rsidR="00D40D3F" w:rsidRPr="00D40D3F" w14:paraId="3BB7DAFD" w14:textId="77777777" w:rsidTr="00D40D3F">
        <w:tc>
          <w:tcPr>
            <w:tcW w:w="1980" w:type="dxa"/>
            <w:vMerge w:val="restart"/>
            <w:shd w:val="clear" w:color="auto" w:fill="D9D9D9" w:themeFill="background1" w:themeFillShade="D9"/>
            <w:vAlign w:val="bottom"/>
          </w:tcPr>
          <w:p w14:paraId="50F84CBA" w14:textId="7407F7FB" w:rsidR="00D40D3F" w:rsidRPr="00D40D3F" w:rsidRDefault="00D40D3F" w:rsidP="00D40D3F">
            <w:pPr>
              <w:pStyle w:val="TableText"/>
              <w:rPr>
                <w:bCs/>
              </w:rPr>
            </w:pPr>
            <w:r w:rsidRPr="00D40D3F">
              <w:rPr>
                <w:bCs/>
              </w:rPr>
              <w:t>Ethnicity</w:t>
            </w:r>
          </w:p>
        </w:tc>
        <w:tc>
          <w:tcPr>
            <w:tcW w:w="3044" w:type="dxa"/>
            <w:gridSpan w:val="2"/>
            <w:tcBorders>
              <w:bottom w:val="nil"/>
            </w:tcBorders>
            <w:shd w:val="clear" w:color="auto" w:fill="D9D9D9" w:themeFill="background1" w:themeFillShade="D9"/>
          </w:tcPr>
          <w:p w14:paraId="1C3C6582" w14:textId="2A25A968" w:rsidR="00D40D3F" w:rsidRPr="00D40D3F" w:rsidRDefault="00D40D3F" w:rsidP="00D40D3F">
            <w:pPr>
              <w:pStyle w:val="TableText"/>
              <w:jc w:val="center"/>
              <w:rPr>
                <w:bCs/>
              </w:rPr>
            </w:pPr>
            <w:r w:rsidRPr="00D40D3F">
              <w:rPr>
                <w:bCs/>
              </w:rPr>
              <w:t>Section 29</w:t>
            </w:r>
          </w:p>
        </w:tc>
        <w:tc>
          <w:tcPr>
            <w:tcW w:w="3045" w:type="dxa"/>
            <w:gridSpan w:val="2"/>
            <w:tcBorders>
              <w:bottom w:val="nil"/>
            </w:tcBorders>
            <w:shd w:val="clear" w:color="auto" w:fill="D9D9D9" w:themeFill="background1" w:themeFillShade="D9"/>
          </w:tcPr>
          <w:p w14:paraId="5B1E7D40" w14:textId="53A2FE69" w:rsidR="00D40D3F" w:rsidRPr="00D40D3F" w:rsidRDefault="00D40D3F" w:rsidP="00D40D3F">
            <w:pPr>
              <w:pStyle w:val="TableText"/>
              <w:jc w:val="center"/>
              <w:rPr>
                <w:bCs/>
              </w:rPr>
            </w:pPr>
            <w:r w:rsidRPr="00D40D3F">
              <w:rPr>
                <w:bCs/>
              </w:rPr>
              <w:t>Section 30</w:t>
            </w:r>
          </w:p>
        </w:tc>
      </w:tr>
      <w:tr w:rsidR="00D40D3F" w14:paraId="2C5CACCC" w14:textId="77777777" w:rsidTr="00D40D3F">
        <w:tc>
          <w:tcPr>
            <w:tcW w:w="1980" w:type="dxa"/>
            <w:vMerge/>
            <w:tcBorders>
              <w:bottom w:val="nil"/>
            </w:tcBorders>
            <w:shd w:val="clear" w:color="auto" w:fill="D9D9D9" w:themeFill="background1" w:themeFillShade="D9"/>
          </w:tcPr>
          <w:p w14:paraId="5FF87A72" w14:textId="610ABD2B" w:rsidR="00D40D3F" w:rsidRPr="00D40D3F" w:rsidRDefault="00D40D3F" w:rsidP="00D40D3F">
            <w:pPr>
              <w:pStyle w:val="TableText"/>
              <w:rPr>
                <w:bCs/>
              </w:rPr>
            </w:pPr>
          </w:p>
        </w:tc>
        <w:tc>
          <w:tcPr>
            <w:tcW w:w="1522" w:type="dxa"/>
            <w:tcBorders>
              <w:top w:val="nil"/>
              <w:bottom w:val="nil"/>
            </w:tcBorders>
            <w:shd w:val="clear" w:color="auto" w:fill="D9D9D9" w:themeFill="background1" w:themeFillShade="D9"/>
          </w:tcPr>
          <w:p w14:paraId="5A7E59D4" w14:textId="0B49DCB8" w:rsidR="00D40D3F" w:rsidRPr="00D40D3F" w:rsidRDefault="00D40D3F" w:rsidP="00D40D3F">
            <w:pPr>
              <w:pStyle w:val="TableText"/>
              <w:jc w:val="center"/>
              <w:rPr>
                <w:bCs/>
              </w:rPr>
            </w:pPr>
            <w:r w:rsidRPr="00D40D3F">
              <w:rPr>
                <w:bCs/>
              </w:rPr>
              <w:t>Number</w:t>
            </w:r>
          </w:p>
        </w:tc>
        <w:tc>
          <w:tcPr>
            <w:tcW w:w="1522" w:type="dxa"/>
            <w:tcBorders>
              <w:top w:val="nil"/>
              <w:bottom w:val="nil"/>
            </w:tcBorders>
            <w:shd w:val="clear" w:color="auto" w:fill="D9D9D9" w:themeFill="background1" w:themeFillShade="D9"/>
          </w:tcPr>
          <w:p w14:paraId="3C4901DE" w14:textId="4FD26C20" w:rsidR="00D40D3F" w:rsidRPr="00D40D3F" w:rsidRDefault="00D40D3F" w:rsidP="00D40D3F">
            <w:pPr>
              <w:pStyle w:val="TableText"/>
              <w:jc w:val="center"/>
              <w:rPr>
                <w:bCs/>
              </w:rPr>
            </w:pPr>
            <w:r w:rsidRPr="00D40D3F">
              <w:rPr>
                <w:bCs/>
              </w:rPr>
              <w:t>Rate</w:t>
            </w:r>
          </w:p>
        </w:tc>
        <w:tc>
          <w:tcPr>
            <w:tcW w:w="1522" w:type="dxa"/>
            <w:tcBorders>
              <w:top w:val="nil"/>
              <w:bottom w:val="nil"/>
            </w:tcBorders>
            <w:shd w:val="clear" w:color="auto" w:fill="D9D9D9" w:themeFill="background1" w:themeFillShade="D9"/>
          </w:tcPr>
          <w:p w14:paraId="57D9720C" w14:textId="463F3961" w:rsidR="00D40D3F" w:rsidRPr="00D40D3F" w:rsidRDefault="00D40D3F" w:rsidP="00D40D3F">
            <w:pPr>
              <w:pStyle w:val="TableText"/>
              <w:jc w:val="center"/>
              <w:rPr>
                <w:bCs/>
              </w:rPr>
            </w:pPr>
            <w:r w:rsidRPr="00D40D3F">
              <w:rPr>
                <w:bCs/>
              </w:rPr>
              <w:t>Number</w:t>
            </w:r>
          </w:p>
        </w:tc>
        <w:tc>
          <w:tcPr>
            <w:tcW w:w="1523" w:type="dxa"/>
            <w:tcBorders>
              <w:top w:val="nil"/>
              <w:bottom w:val="nil"/>
            </w:tcBorders>
            <w:shd w:val="clear" w:color="auto" w:fill="D9D9D9" w:themeFill="background1" w:themeFillShade="D9"/>
          </w:tcPr>
          <w:p w14:paraId="4BF90C60" w14:textId="38610057" w:rsidR="00D40D3F" w:rsidRPr="00D40D3F" w:rsidRDefault="00D40D3F" w:rsidP="00D40D3F">
            <w:pPr>
              <w:pStyle w:val="TableText"/>
              <w:jc w:val="center"/>
              <w:rPr>
                <w:bCs/>
              </w:rPr>
            </w:pPr>
            <w:r w:rsidRPr="00D40D3F">
              <w:rPr>
                <w:bCs/>
              </w:rPr>
              <w:t>Rate</w:t>
            </w:r>
          </w:p>
        </w:tc>
      </w:tr>
      <w:tr w:rsidR="00D40D3F" w14:paraId="3354657A" w14:textId="77777777" w:rsidTr="00D40D3F">
        <w:tc>
          <w:tcPr>
            <w:tcW w:w="1980" w:type="dxa"/>
            <w:tcBorders>
              <w:top w:val="nil"/>
            </w:tcBorders>
          </w:tcPr>
          <w:p w14:paraId="7A5DD37D" w14:textId="4FC8A4EB" w:rsidR="00D40D3F" w:rsidRDefault="00D40D3F" w:rsidP="00D40D3F">
            <w:pPr>
              <w:pStyle w:val="TableText"/>
            </w:pPr>
            <w:r w:rsidRPr="00BC5461">
              <w:t>Māori</w:t>
            </w:r>
          </w:p>
        </w:tc>
        <w:tc>
          <w:tcPr>
            <w:tcW w:w="1522" w:type="dxa"/>
            <w:tcBorders>
              <w:top w:val="nil"/>
            </w:tcBorders>
          </w:tcPr>
          <w:p w14:paraId="7C876A40" w14:textId="2BA527FB" w:rsidR="00D40D3F" w:rsidRDefault="00D40D3F" w:rsidP="00D40D3F">
            <w:pPr>
              <w:pStyle w:val="TableText"/>
              <w:ind w:right="486"/>
              <w:jc w:val="right"/>
            </w:pPr>
            <w:r w:rsidRPr="00694D13">
              <w:t>2,671</w:t>
            </w:r>
          </w:p>
        </w:tc>
        <w:tc>
          <w:tcPr>
            <w:tcW w:w="1522" w:type="dxa"/>
            <w:tcBorders>
              <w:top w:val="nil"/>
            </w:tcBorders>
          </w:tcPr>
          <w:p w14:paraId="72042597" w14:textId="568ADD1E" w:rsidR="00D40D3F" w:rsidRDefault="00D40D3F" w:rsidP="00D40D3F">
            <w:pPr>
              <w:pStyle w:val="TableText"/>
              <w:ind w:right="486"/>
              <w:jc w:val="right"/>
            </w:pPr>
            <w:r w:rsidRPr="00EA1383">
              <w:t>307.3</w:t>
            </w:r>
          </w:p>
        </w:tc>
        <w:tc>
          <w:tcPr>
            <w:tcW w:w="1522" w:type="dxa"/>
            <w:tcBorders>
              <w:top w:val="nil"/>
            </w:tcBorders>
          </w:tcPr>
          <w:p w14:paraId="2422F3F0" w14:textId="02891FA6" w:rsidR="00D40D3F" w:rsidRDefault="00D40D3F" w:rsidP="00D40D3F">
            <w:pPr>
              <w:pStyle w:val="TableText"/>
              <w:ind w:right="486"/>
              <w:jc w:val="right"/>
            </w:pPr>
            <w:r w:rsidRPr="001F5BAD">
              <w:t>784</w:t>
            </w:r>
          </w:p>
        </w:tc>
        <w:tc>
          <w:tcPr>
            <w:tcW w:w="1523" w:type="dxa"/>
            <w:tcBorders>
              <w:top w:val="nil"/>
            </w:tcBorders>
          </w:tcPr>
          <w:p w14:paraId="6BF50F2F" w14:textId="1A7FFF10" w:rsidR="00D40D3F" w:rsidRDefault="00D40D3F" w:rsidP="00D40D3F">
            <w:pPr>
              <w:pStyle w:val="TableText"/>
              <w:ind w:right="486"/>
              <w:jc w:val="right"/>
            </w:pPr>
            <w:r w:rsidRPr="00681DB6">
              <w:t>90.2</w:t>
            </w:r>
          </w:p>
        </w:tc>
      </w:tr>
      <w:tr w:rsidR="00D40D3F" w14:paraId="60BB9A0D" w14:textId="77777777" w:rsidTr="00D40D3F">
        <w:tc>
          <w:tcPr>
            <w:tcW w:w="1980" w:type="dxa"/>
          </w:tcPr>
          <w:p w14:paraId="47C5C646" w14:textId="5F6BB7CA" w:rsidR="00D40D3F" w:rsidRDefault="00D40D3F" w:rsidP="00D40D3F">
            <w:pPr>
              <w:pStyle w:val="TableText"/>
            </w:pPr>
            <w:r w:rsidRPr="00BC5461">
              <w:t>Pacific peoples</w:t>
            </w:r>
          </w:p>
        </w:tc>
        <w:tc>
          <w:tcPr>
            <w:tcW w:w="1522" w:type="dxa"/>
          </w:tcPr>
          <w:p w14:paraId="095433D0" w14:textId="79FB974E" w:rsidR="00D40D3F" w:rsidRDefault="00D40D3F" w:rsidP="00D40D3F">
            <w:pPr>
              <w:pStyle w:val="TableText"/>
              <w:ind w:right="486"/>
              <w:jc w:val="right"/>
            </w:pPr>
            <w:r w:rsidRPr="00694D13">
              <w:t>639</w:t>
            </w:r>
          </w:p>
        </w:tc>
        <w:tc>
          <w:tcPr>
            <w:tcW w:w="1522" w:type="dxa"/>
          </w:tcPr>
          <w:p w14:paraId="7E5477DE" w14:textId="2851AB68" w:rsidR="00D40D3F" w:rsidRDefault="00D40D3F" w:rsidP="00D40D3F">
            <w:pPr>
              <w:pStyle w:val="TableText"/>
              <w:ind w:right="486"/>
              <w:jc w:val="right"/>
            </w:pPr>
            <w:r w:rsidRPr="00EA1383">
              <w:t>182.9</w:t>
            </w:r>
          </w:p>
        </w:tc>
        <w:tc>
          <w:tcPr>
            <w:tcW w:w="1522" w:type="dxa"/>
          </w:tcPr>
          <w:p w14:paraId="09878087" w14:textId="618FDBE0" w:rsidR="00D40D3F" w:rsidRDefault="00D40D3F" w:rsidP="00D40D3F">
            <w:pPr>
              <w:pStyle w:val="TableText"/>
              <w:ind w:right="486"/>
              <w:jc w:val="right"/>
            </w:pPr>
            <w:r w:rsidRPr="001F5BAD">
              <w:t>202</w:t>
            </w:r>
          </w:p>
        </w:tc>
        <w:tc>
          <w:tcPr>
            <w:tcW w:w="1523" w:type="dxa"/>
          </w:tcPr>
          <w:p w14:paraId="2E5A7EB4" w14:textId="400B8684" w:rsidR="00D40D3F" w:rsidRDefault="00D40D3F" w:rsidP="00D40D3F">
            <w:pPr>
              <w:pStyle w:val="TableText"/>
              <w:ind w:right="486"/>
              <w:jc w:val="right"/>
            </w:pPr>
            <w:r w:rsidRPr="00681DB6">
              <w:t>57.8</w:t>
            </w:r>
          </w:p>
        </w:tc>
      </w:tr>
      <w:tr w:rsidR="00D40D3F" w14:paraId="765817DF" w14:textId="77777777" w:rsidTr="00D40D3F">
        <w:tc>
          <w:tcPr>
            <w:tcW w:w="1980" w:type="dxa"/>
          </w:tcPr>
          <w:p w14:paraId="1811DCB0" w14:textId="4276BA37" w:rsidR="00D40D3F" w:rsidRDefault="00D40D3F" w:rsidP="00D40D3F">
            <w:pPr>
              <w:pStyle w:val="TableText"/>
            </w:pPr>
            <w:r w:rsidRPr="00BC5461">
              <w:t>Other</w:t>
            </w:r>
          </w:p>
        </w:tc>
        <w:tc>
          <w:tcPr>
            <w:tcW w:w="1522" w:type="dxa"/>
          </w:tcPr>
          <w:p w14:paraId="004BF800" w14:textId="43E88458" w:rsidR="00D40D3F" w:rsidRDefault="00D40D3F" w:rsidP="00D40D3F">
            <w:pPr>
              <w:pStyle w:val="TableText"/>
              <w:ind w:right="486"/>
              <w:jc w:val="right"/>
            </w:pPr>
            <w:r w:rsidRPr="00694D13">
              <w:t>3,507</w:t>
            </w:r>
          </w:p>
        </w:tc>
        <w:tc>
          <w:tcPr>
            <w:tcW w:w="1522" w:type="dxa"/>
          </w:tcPr>
          <w:p w14:paraId="7D75C3FB" w14:textId="602970A6" w:rsidR="00D40D3F" w:rsidRDefault="00D40D3F" w:rsidP="00D40D3F">
            <w:pPr>
              <w:pStyle w:val="TableText"/>
              <w:ind w:right="486"/>
              <w:jc w:val="right"/>
            </w:pPr>
            <w:r w:rsidRPr="00EA1383">
              <w:t>89.8</w:t>
            </w:r>
          </w:p>
        </w:tc>
        <w:tc>
          <w:tcPr>
            <w:tcW w:w="1522" w:type="dxa"/>
          </w:tcPr>
          <w:p w14:paraId="29EC65EE" w14:textId="66F2FF89" w:rsidR="00D40D3F" w:rsidRDefault="00D40D3F" w:rsidP="00D40D3F">
            <w:pPr>
              <w:pStyle w:val="TableText"/>
              <w:ind w:right="486"/>
              <w:jc w:val="right"/>
            </w:pPr>
            <w:r w:rsidRPr="001F5BAD">
              <w:t>1,215</w:t>
            </w:r>
          </w:p>
        </w:tc>
        <w:tc>
          <w:tcPr>
            <w:tcW w:w="1523" w:type="dxa"/>
          </w:tcPr>
          <w:p w14:paraId="6D0F12FB" w14:textId="1170413C" w:rsidR="00D40D3F" w:rsidRDefault="00D40D3F" w:rsidP="00D40D3F">
            <w:pPr>
              <w:pStyle w:val="TableText"/>
              <w:ind w:right="486"/>
              <w:jc w:val="right"/>
            </w:pPr>
            <w:r w:rsidRPr="00681DB6">
              <w:t>31.1</w:t>
            </w:r>
          </w:p>
        </w:tc>
      </w:tr>
      <w:tr w:rsidR="00D40D3F" w14:paraId="12477BF7" w14:textId="77777777" w:rsidTr="00D40D3F">
        <w:tc>
          <w:tcPr>
            <w:tcW w:w="1980" w:type="dxa"/>
          </w:tcPr>
          <w:p w14:paraId="2C98CD69" w14:textId="596A8982" w:rsidR="00D40D3F" w:rsidRDefault="00D40D3F" w:rsidP="00D40D3F">
            <w:pPr>
              <w:pStyle w:val="TableText"/>
            </w:pPr>
            <w:r w:rsidRPr="00D40D3F">
              <w:t>National total</w:t>
            </w:r>
          </w:p>
        </w:tc>
        <w:tc>
          <w:tcPr>
            <w:tcW w:w="1522" w:type="dxa"/>
          </w:tcPr>
          <w:p w14:paraId="7D0CF14F" w14:textId="4A2A0B4B" w:rsidR="00D40D3F" w:rsidRDefault="00D40D3F" w:rsidP="00D40D3F">
            <w:pPr>
              <w:pStyle w:val="TableText"/>
              <w:ind w:right="486"/>
              <w:jc w:val="right"/>
            </w:pPr>
            <w:r w:rsidRPr="00694D13">
              <w:t>6,817</w:t>
            </w:r>
          </w:p>
        </w:tc>
        <w:tc>
          <w:tcPr>
            <w:tcW w:w="1522" w:type="dxa"/>
          </w:tcPr>
          <w:p w14:paraId="74925E6E" w14:textId="30D36F2A" w:rsidR="00D40D3F" w:rsidRDefault="00D40D3F" w:rsidP="00D40D3F">
            <w:pPr>
              <w:pStyle w:val="TableText"/>
              <w:ind w:right="486"/>
              <w:jc w:val="right"/>
            </w:pPr>
            <w:r w:rsidRPr="00EA1383">
              <w:t>–</w:t>
            </w:r>
          </w:p>
        </w:tc>
        <w:tc>
          <w:tcPr>
            <w:tcW w:w="1522" w:type="dxa"/>
          </w:tcPr>
          <w:p w14:paraId="2E3D902F" w14:textId="13420F7A" w:rsidR="00D40D3F" w:rsidRDefault="00D40D3F" w:rsidP="00D40D3F">
            <w:pPr>
              <w:pStyle w:val="TableText"/>
              <w:ind w:right="486"/>
              <w:jc w:val="right"/>
            </w:pPr>
            <w:r w:rsidRPr="001F5BAD">
              <w:t>2,201</w:t>
            </w:r>
          </w:p>
        </w:tc>
        <w:tc>
          <w:tcPr>
            <w:tcW w:w="1523" w:type="dxa"/>
          </w:tcPr>
          <w:p w14:paraId="0AD1160C" w14:textId="3E5BD0D8" w:rsidR="00D40D3F" w:rsidRDefault="00D40D3F" w:rsidP="00D40D3F">
            <w:pPr>
              <w:pStyle w:val="TableText"/>
              <w:ind w:right="486"/>
              <w:jc w:val="right"/>
            </w:pPr>
            <w:r w:rsidRPr="00681DB6">
              <w:t>–</w:t>
            </w:r>
          </w:p>
        </w:tc>
      </w:tr>
    </w:tbl>
    <w:p w14:paraId="073F7826" w14:textId="77777777" w:rsidR="00D40D3F" w:rsidRPr="00200234" w:rsidRDefault="00D40D3F" w:rsidP="00D40D3F">
      <w:pPr>
        <w:pStyle w:val="Source"/>
      </w:pPr>
      <w:r w:rsidRPr="00200234">
        <w:t>Source</w:t>
      </w:r>
      <w:r>
        <w:t>s</w:t>
      </w:r>
      <w:r w:rsidRPr="00200234">
        <w:t>: PRIMHD data</w:t>
      </w:r>
      <w:r>
        <w:t xml:space="preserve"> (extracted</w:t>
      </w:r>
      <w:r w:rsidRPr="00200234">
        <w:t xml:space="preserve"> </w:t>
      </w:r>
      <w:r>
        <w:t>3 June 2022) and manual data from Auckland and Lakes DHBs.</w:t>
      </w:r>
    </w:p>
    <w:p w14:paraId="52DD1604" w14:textId="77777777" w:rsidR="00D40D3F" w:rsidRPr="00D40D3F" w:rsidRDefault="00D40D3F" w:rsidP="00D40D3F"/>
    <w:p w14:paraId="5A8B48A5" w14:textId="77777777" w:rsidR="00D40D3F" w:rsidRDefault="00D40D3F" w:rsidP="00D40D3F">
      <w:pPr>
        <w:keepNext/>
      </w:pPr>
    </w:p>
    <w:p w14:paraId="2FC4D237" w14:textId="77777777" w:rsidR="00D40D3F" w:rsidRDefault="00D40D3F" w:rsidP="00D40D3F">
      <w:pPr>
        <w:keepNext/>
        <w:sectPr w:rsidR="00D40D3F" w:rsidSect="00D40D3F">
          <w:pgSz w:w="11907" w:h="16840" w:code="9"/>
          <w:pgMar w:top="1418" w:right="1701" w:bottom="1134" w:left="1843" w:header="284" w:footer="425" w:gutter="284"/>
          <w:cols w:space="720"/>
        </w:sectPr>
      </w:pPr>
    </w:p>
    <w:p w14:paraId="0BF404DF" w14:textId="2C6EBFE7" w:rsidR="00D40D3F" w:rsidRDefault="00D40D3F" w:rsidP="00D40D3F">
      <w:pPr>
        <w:keepNext/>
      </w:pPr>
      <w:r>
        <w:lastRenderedPageBreak/>
        <w:t>The following figures</w:t>
      </w:r>
      <w:r w:rsidRPr="00200234">
        <w:t xml:space="preserve"> show the rate ratio of Māori to non-Māori subject to </w:t>
      </w:r>
      <w:r>
        <w:t>community treatment orders (Figure 7) and inpatient treatment</w:t>
      </w:r>
      <w:r w:rsidRPr="00200234">
        <w:t xml:space="preserve"> orders </w:t>
      </w:r>
      <w:r>
        <w:t xml:space="preserve">(Figure 8) per 100,000 people in the general population </w:t>
      </w:r>
      <w:r w:rsidRPr="00200234">
        <w:t>for each DHB.</w:t>
      </w:r>
      <w:r>
        <w:t xml:space="preserve"> Table 5 and Figure 9 then present the aged-standardised ratio for both community and inpatient treatment orders by ethnicity and gender.</w:t>
      </w:r>
    </w:p>
    <w:p w14:paraId="2B6BA97E" w14:textId="77777777" w:rsidR="00D40D3F" w:rsidRPr="00200234" w:rsidRDefault="00D40D3F" w:rsidP="00D40D3F">
      <w:pPr>
        <w:keepNext/>
      </w:pPr>
    </w:p>
    <w:p w14:paraId="5C520F61" w14:textId="77777777" w:rsidR="00D40D3F" w:rsidRPr="00200234" w:rsidRDefault="00D40D3F" w:rsidP="00D40D3F">
      <w:r w:rsidRPr="00200234">
        <w:t>It is difficult to interpret the range of rates because the proportions of different ethnic groups within a population vary greatly across DHBs, so it is hard to define a</w:t>
      </w:r>
      <w:r>
        <w:t xml:space="preserve"> standard</w:t>
      </w:r>
      <w:r w:rsidRPr="00200234">
        <w:t xml:space="preserve"> rate ratio for a given population or DHB. However, to help make the comparison, each figure includes a line of </w:t>
      </w:r>
      <w:r>
        <w:t>‘</w:t>
      </w:r>
      <w:r w:rsidRPr="00200234">
        <w:t>no difference</w:t>
      </w:r>
      <w:r>
        <w:t>’</w:t>
      </w:r>
      <w:r w:rsidRPr="00200234">
        <w:t xml:space="preserve"> to indicate where Māori and non-Māori would be subject to compulsory treatment orders at the same rate. The figures emphasise the need for in-depth, area-specific knowledge to understand why differences occur in each </w:t>
      </w:r>
      <w:r>
        <w:t>DHB region</w:t>
      </w:r>
      <w:r w:rsidRPr="00200234">
        <w:t xml:space="preserve"> and how to address them at a local level.</w:t>
      </w:r>
    </w:p>
    <w:p w14:paraId="5324D673" w14:textId="77777777" w:rsidR="00D40D3F" w:rsidRPr="00200234" w:rsidRDefault="00D40D3F" w:rsidP="00D40D3F"/>
    <w:p w14:paraId="4743EE4A" w14:textId="364EAAE8" w:rsidR="00D40D3F" w:rsidRDefault="00D40D3F" w:rsidP="00D40D3F">
      <w:pPr>
        <w:pStyle w:val="Figure"/>
      </w:pPr>
      <w:bookmarkStart w:id="97" w:name="_Ref65672076"/>
      <w:bookmarkStart w:id="98" w:name="_Toc63764750"/>
      <w:bookmarkStart w:id="99" w:name="_Toc75176479"/>
      <w:bookmarkStart w:id="100" w:name="_Toc85442569"/>
      <w:bookmarkStart w:id="101" w:name="_Toc85445915"/>
      <w:bookmarkStart w:id="102" w:name="_Toc87429956"/>
      <w:bookmarkStart w:id="103" w:name="_Toc88561388"/>
      <w:bookmarkStart w:id="104" w:name="_Toc115188846"/>
      <w:bookmarkStart w:id="105" w:name="_Toc115272548"/>
      <w:r>
        <w:t>Figure </w:t>
      </w:r>
      <w:fldSimple w:instr=" SEQ Figure \* ARABIC ">
        <w:r w:rsidR="009A04B0">
          <w:rPr>
            <w:noProof/>
          </w:rPr>
          <w:t>7</w:t>
        </w:r>
      </w:fldSimple>
      <w:bookmarkEnd w:id="97"/>
      <w:r w:rsidRPr="00200234">
        <w:t xml:space="preserve">: </w:t>
      </w:r>
      <w:r w:rsidRPr="00DE5DEE">
        <w:t xml:space="preserve">Rate ratio of Māori to non-Māori subject to a community treatment order (section 29) under the Mental Health Act per 100,000 population, by DHB, 1 </w:t>
      </w:r>
      <w:bookmarkEnd w:id="98"/>
      <w:bookmarkEnd w:id="99"/>
      <w:bookmarkEnd w:id="100"/>
      <w:bookmarkEnd w:id="101"/>
      <w:bookmarkEnd w:id="102"/>
      <w:bookmarkEnd w:id="103"/>
      <w:r w:rsidRPr="00DE5DEE">
        <w:t>July 2020 to 30 June 2021</w:t>
      </w:r>
      <w:bookmarkEnd w:id="104"/>
      <w:bookmarkEnd w:id="105"/>
    </w:p>
    <w:p w14:paraId="14197809" w14:textId="77777777" w:rsidR="00D40D3F" w:rsidRPr="004F646D" w:rsidRDefault="00D40D3F" w:rsidP="00D40D3F">
      <w:r>
        <w:rPr>
          <w:noProof/>
        </w:rPr>
        <w:drawing>
          <wp:inline distT="0" distB="0" distL="0" distR="0" wp14:anchorId="4827F0F9" wp14:editId="1C5F271B">
            <wp:extent cx="5438775" cy="3419475"/>
            <wp:effectExtent l="0" t="0" r="0" b="0"/>
            <wp:docPr id="48" name="Chart 48" descr="This graph shows that the DHBs with the highest Māori to non-Māori ratios in community treatment orders were Auckland, Bay of Plenty, Waikato and Wairarapa with a ratios from about 4.1 to 1 and 4.8 to 1. The average across New Zealand was just lower than 3.5 to 1. The DHBs with the lowest ratios were Counties Manukau, West Coast, and Whanganui which had ratios between 2-3 to 1.">
              <a:extLst xmlns:a="http://schemas.openxmlformats.org/drawingml/2006/main">
                <a:ext uri="{FF2B5EF4-FFF2-40B4-BE49-F238E27FC236}">
                  <a16:creationId xmlns:a16="http://schemas.microsoft.com/office/drawing/2014/main" id="{00000000-0008-0000-1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01E9B02" w14:textId="77777777" w:rsidR="00D40D3F" w:rsidRPr="00200234" w:rsidRDefault="00D40D3F" w:rsidP="00D40D3F">
      <w:pPr>
        <w:pStyle w:val="Note"/>
        <w:rPr>
          <w:rFonts w:eastAsia="Calibri"/>
        </w:rPr>
      </w:pPr>
      <w:r w:rsidRPr="00200234">
        <w:rPr>
          <w:rFonts w:eastAsia="Calibri"/>
        </w:rPr>
        <w:t>Note</w:t>
      </w:r>
      <w:r>
        <w:rPr>
          <w:rFonts w:eastAsia="Calibri"/>
        </w:rPr>
        <w:t>s</w:t>
      </w:r>
      <w:r w:rsidRPr="00200234">
        <w:rPr>
          <w:rFonts w:eastAsia="Calibri"/>
        </w:rPr>
        <w:t>: Confidence intervals (for 99</w:t>
      </w:r>
      <w:r>
        <w:rPr>
          <w:rFonts w:eastAsia="Calibri"/>
        </w:rPr>
        <w:t>%</w:t>
      </w:r>
      <w:r w:rsidRPr="00200234">
        <w:rPr>
          <w:rFonts w:eastAsia="Calibri"/>
        </w:rPr>
        <w:t xml:space="preserve"> confidence) have been used to </w:t>
      </w:r>
      <w:r>
        <w:rPr>
          <w:rFonts w:eastAsia="Calibri"/>
        </w:rPr>
        <w:t>help with</w:t>
      </w:r>
      <w:r w:rsidRPr="00200234">
        <w:rPr>
          <w:rFonts w:eastAsia="Calibri"/>
        </w:rPr>
        <w:t xml:space="preserve"> interpretation. Where a DHB</w:t>
      </w:r>
      <w:r>
        <w:rPr>
          <w:rFonts w:eastAsia="Calibri"/>
        </w:rPr>
        <w:t>’</w:t>
      </w:r>
      <w:r w:rsidRPr="00200234">
        <w:rPr>
          <w:rFonts w:eastAsia="Calibri"/>
        </w:rPr>
        <w:t>s confidence interval crosses the national average, the DHB</w:t>
      </w:r>
      <w:r>
        <w:rPr>
          <w:rFonts w:eastAsia="Calibri"/>
        </w:rPr>
        <w:t>’</w:t>
      </w:r>
      <w:r w:rsidRPr="00200234">
        <w:rPr>
          <w:rFonts w:eastAsia="Calibri"/>
        </w:rPr>
        <w:t>s rate per 100,000 is not statistically different to the national average. These are age-standardised rates.</w:t>
      </w:r>
    </w:p>
    <w:p w14:paraId="212D55E0" w14:textId="52C1C5A2" w:rsidR="00D40D3F" w:rsidRDefault="00D40D3F" w:rsidP="00D40D3F">
      <w:pPr>
        <w:pStyle w:val="Source"/>
        <w:rPr>
          <w:rFonts w:eastAsia="Calibri"/>
        </w:rPr>
      </w:pPr>
      <w:r w:rsidRPr="00200234">
        <w:rPr>
          <w:rFonts w:eastAsia="Calibri"/>
        </w:rPr>
        <w:t>Sources: PRIMHD data</w:t>
      </w:r>
      <w:r>
        <w:rPr>
          <w:rFonts w:eastAsia="Calibri"/>
        </w:rPr>
        <w:t xml:space="preserve"> (extracted</w:t>
      </w:r>
      <w:r w:rsidRPr="00200234">
        <w:rPr>
          <w:rFonts w:eastAsia="Calibri"/>
        </w:rPr>
        <w:t xml:space="preserve"> </w:t>
      </w:r>
      <w:r>
        <w:rPr>
          <w:rFonts w:eastAsia="Calibri"/>
        </w:rPr>
        <w:t xml:space="preserve">3 June 2022) </w:t>
      </w:r>
      <w:r>
        <w:t>and manual data from Auckland and Lakes DHBs</w:t>
      </w:r>
      <w:r>
        <w:rPr>
          <w:rFonts w:eastAsia="Calibri"/>
        </w:rPr>
        <w:t>.</w:t>
      </w:r>
    </w:p>
    <w:p w14:paraId="6EC7A879" w14:textId="7C9714E0" w:rsidR="001236DF" w:rsidRDefault="001236DF" w:rsidP="001236DF">
      <w:pPr>
        <w:rPr>
          <w:rFonts w:eastAsia="Calibri"/>
        </w:rPr>
      </w:pPr>
    </w:p>
    <w:p w14:paraId="2E215310" w14:textId="67DE02C5" w:rsidR="001236DF" w:rsidRDefault="001236DF" w:rsidP="001236DF">
      <w:pPr>
        <w:pStyle w:val="Figure"/>
      </w:pPr>
      <w:bookmarkStart w:id="106" w:name="_Ref84330306"/>
      <w:bookmarkStart w:id="107" w:name="_Toc63764752"/>
      <w:bookmarkStart w:id="108" w:name="_Toc75176480"/>
      <w:bookmarkStart w:id="109" w:name="_Toc85442570"/>
      <w:bookmarkStart w:id="110" w:name="_Toc85445916"/>
      <w:bookmarkStart w:id="111" w:name="_Toc87429957"/>
      <w:bookmarkStart w:id="112" w:name="_Toc88561389"/>
      <w:bookmarkStart w:id="113" w:name="_Toc115188847"/>
      <w:bookmarkStart w:id="114" w:name="_Toc115272549"/>
      <w:r w:rsidRPr="0082407E">
        <w:lastRenderedPageBreak/>
        <w:t>Figure </w:t>
      </w:r>
      <w:fldSimple w:instr=" SEQ Figure \* ARABIC ">
        <w:r w:rsidR="009A04B0">
          <w:rPr>
            <w:noProof/>
          </w:rPr>
          <w:t>8</w:t>
        </w:r>
      </w:fldSimple>
      <w:bookmarkEnd w:id="106"/>
      <w:r w:rsidRPr="0082407E">
        <w:t xml:space="preserve">: Rate ratio of Māori to non-Māori subject to an inpatient treatment order (section 30) under the Mental Health Act per 100,000 population, by DHB, 1 </w:t>
      </w:r>
      <w:bookmarkEnd w:id="107"/>
      <w:bookmarkEnd w:id="108"/>
      <w:bookmarkEnd w:id="109"/>
      <w:bookmarkEnd w:id="110"/>
      <w:bookmarkEnd w:id="111"/>
      <w:bookmarkEnd w:id="112"/>
      <w:r w:rsidRPr="0082407E">
        <w:t>July 2020 to 30 June 2021</w:t>
      </w:r>
      <w:bookmarkEnd w:id="113"/>
      <w:bookmarkEnd w:id="114"/>
    </w:p>
    <w:p w14:paraId="4F7C6693" w14:textId="77777777" w:rsidR="001236DF" w:rsidRPr="002B295C" w:rsidRDefault="001236DF" w:rsidP="001236DF">
      <w:r>
        <w:rPr>
          <w:noProof/>
        </w:rPr>
        <w:drawing>
          <wp:inline distT="0" distB="0" distL="0" distR="0" wp14:anchorId="23B1E264" wp14:editId="27EFE4C5">
            <wp:extent cx="5358809" cy="3338623"/>
            <wp:effectExtent l="0" t="0" r="0" b="0"/>
            <wp:docPr id="8" name="Chart 8" descr="This graph shows that the DHB with the highest Māori to non-Māori ratio in inpatient treatment orders was Capital &amp; Coast with a ratio of about 7 to 1. The next highest was MidCentral with a ratio of about 4 to 1. The average across New Zealand was just lower than 3 to 1. The DHBs with the lowest ratios were Wairarapa (which didn't have a ratio) and Northland and Taranaki which both had ratios around 1.3 to 1.">
              <a:extLst xmlns:a="http://schemas.openxmlformats.org/drawingml/2006/main">
                <a:ext uri="{FF2B5EF4-FFF2-40B4-BE49-F238E27FC236}">
                  <a16:creationId xmlns:a16="http://schemas.microsoft.com/office/drawing/2014/main" id="{00000000-0008-0000-10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2780677" w14:textId="77777777" w:rsidR="001236DF" w:rsidRDefault="001236DF" w:rsidP="001236DF">
      <w:pPr>
        <w:pStyle w:val="Note"/>
        <w:rPr>
          <w:rFonts w:eastAsia="Calibri"/>
        </w:rPr>
      </w:pPr>
      <w:r w:rsidRPr="00200234">
        <w:rPr>
          <w:rFonts w:eastAsia="Calibri"/>
        </w:rPr>
        <w:t>Note</w:t>
      </w:r>
      <w:r>
        <w:rPr>
          <w:rFonts w:eastAsia="Calibri"/>
        </w:rPr>
        <w:t>s</w:t>
      </w:r>
      <w:r w:rsidRPr="00200234">
        <w:rPr>
          <w:rFonts w:eastAsia="Calibri"/>
        </w:rPr>
        <w:t>: Confidence intervals (for 99</w:t>
      </w:r>
      <w:r>
        <w:rPr>
          <w:rFonts w:eastAsia="Calibri"/>
        </w:rPr>
        <w:t>%</w:t>
      </w:r>
      <w:r w:rsidRPr="00200234">
        <w:rPr>
          <w:rFonts w:eastAsia="Calibri"/>
        </w:rPr>
        <w:t xml:space="preserve"> confidence) have been used to </w:t>
      </w:r>
      <w:r>
        <w:rPr>
          <w:rFonts w:eastAsia="Calibri"/>
        </w:rPr>
        <w:t>help with</w:t>
      </w:r>
      <w:r w:rsidRPr="00200234">
        <w:rPr>
          <w:rFonts w:eastAsia="Calibri"/>
        </w:rPr>
        <w:t xml:space="preserve"> interpretation. Where a DHB</w:t>
      </w:r>
      <w:r>
        <w:rPr>
          <w:rFonts w:eastAsia="Calibri"/>
        </w:rPr>
        <w:t>’</w:t>
      </w:r>
      <w:r w:rsidRPr="00200234">
        <w:rPr>
          <w:rFonts w:eastAsia="Calibri"/>
        </w:rPr>
        <w:t>s confidence interval crosses the national average, the DHB</w:t>
      </w:r>
      <w:r>
        <w:rPr>
          <w:rFonts w:eastAsia="Calibri"/>
        </w:rPr>
        <w:t>’</w:t>
      </w:r>
      <w:r w:rsidRPr="00200234">
        <w:rPr>
          <w:rFonts w:eastAsia="Calibri"/>
        </w:rPr>
        <w:t xml:space="preserve">s rate per 100,000 is not statistically different to the national average. These are age-standardised rates. </w:t>
      </w:r>
      <w:r w:rsidRPr="0082407E">
        <w:rPr>
          <w:rFonts w:eastAsia="Calibri"/>
        </w:rPr>
        <w:t>Because South Canterbury and West Coast DHBs ha</w:t>
      </w:r>
      <w:r>
        <w:rPr>
          <w:rFonts w:eastAsia="Calibri"/>
        </w:rPr>
        <w:t>d</w:t>
      </w:r>
      <w:r w:rsidRPr="0082407E">
        <w:rPr>
          <w:rFonts w:eastAsia="Calibri"/>
        </w:rPr>
        <w:t xml:space="preserve"> a small population, their rates </w:t>
      </w:r>
      <w:r>
        <w:rPr>
          <w:rFonts w:eastAsia="Calibri"/>
        </w:rPr>
        <w:t>were</w:t>
      </w:r>
      <w:r w:rsidRPr="0082407E">
        <w:rPr>
          <w:rFonts w:eastAsia="Calibri"/>
        </w:rPr>
        <w:t xml:space="preserve"> very volatile and error bars of the resulting calculations </w:t>
      </w:r>
      <w:r>
        <w:rPr>
          <w:rFonts w:eastAsia="Calibri"/>
        </w:rPr>
        <w:t>were</w:t>
      </w:r>
      <w:r w:rsidRPr="0082407E">
        <w:rPr>
          <w:rFonts w:eastAsia="Calibri"/>
        </w:rPr>
        <w:t xml:space="preserve"> large. Tairāwhiti DHB had an extremely high upper confidence interval limit. This graph does not include the data for South Canterbury, Tairāwhiti and West Coast DHBs to avoid skewing the overall results.</w:t>
      </w:r>
      <w:r>
        <w:rPr>
          <w:rFonts w:eastAsia="Calibri"/>
        </w:rPr>
        <w:t xml:space="preserve"> </w:t>
      </w:r>
    </w:p>
    <w:p w14:paraId="019D071C" w14:textId="77777777" w:rsidR="001236DF" w:rsidRPr="00200234" w:rsidRDefault="001236DF" w:rsidP="001236DF">
      <w:pPr>
        <w:pStyle w:val="Source"/>
        <w:rPr>
          <w:rFonts w:eastAsia="Calibri"/>
        </w:rPr>
      </w:pPr>
      <w:r w:rsidRPr="00200234">
        <w:rPr>
          <w:rFonts w:eastAsia="Calibri"/>
        </w:rPr>
        <w:t>Sources: PRIMHD data</w:t>
      </w:r>
      <w:r>
        <w:rPr>
          <w:rFonts w:eastAsia="Calibri"/>
        </w:rPr>
        <w:t xml:space="preserve"> (extracted 3 June 2022) </w:t>
      </w:r>
      <w:r>
        <w:t>and manual data from Auckland and Lakes DHBs</w:t>
      </w:r>
      <w:r>
        <w:rPr>
          <w:rFonts w:eastAsia="Calibri"/>
        </w:rPr>
        <w:t>.</w:t>
      </w:r>
    </w:p>
    <w:p w14:paraId="002664AA" w14:textId="77777777" w:rsidR="001236DF" w:rsidRPr="00200234" w:rsidRDefault="001236DF" w:rsidP="001236DF"/>
    <w:p w14:paraId="5BF076AB" w14:textId="4184A54E" w:rsidR="001236DF" w:rsidRDefault="001236DF" w:rsidP="001236DF">
      <w:pPr>
        <w:pStyle w:val="Table"/>
      </w:pPr>
      <w:bookmarkStart w:id="115" w:name="_Toc87430003"/>
      <w:bookmarkStart w:id="116" w:name="_Toc88561360"/>
      <w:bookmarkStart w:id="117" w:name="_Toc115188894"/>
      <w:bookmarkStart w:id="118" w:name="_Toc115272597"/>
      <w:r>
        <w:t>Table </w:t>
      </w:r>
      <w:fldSimple w:instr=" SEQ Table \* ARABIC ">
        <w:r w:rsidR="009A04B0">
          <w:rPr>
            <w:noProof/>
          </w:rPr>
          <w:t>5</w:t>
        </w:r>
      </w:fldSimple>
      <w:r w:rsidRPr="00BA739B">
        <w:t xml:space="preserve">: </w:t>
      </w:r>
      <w:r w:rsidRPr="00755D2C">
        <w:t xml:space="preserve">Age-standardised rates of </w:t>
      </w:r>
      <w:r>
        <w:t>people</w:t>
      </w:r>
      <w:r w:rsidRPr="00755D2C">
        <w:t xml:space="preserve"> subject to community</w:t>
      </w:r>
      <w:r>
        <w:t xml:space="preserve"> (section 29)</w:t>
      </w:r>
      <w:r w:rsidRPr="00755D2C">
        <w:t xml:space="preserve"> and inpatient</w:t>
      </w:r>
      <w:r>
        <w:t xml:space="preserve"> (section 30)</w:t>
      </w:r>
      <w:r w:rsidRPr="00755D2C">
        <w:t xml:space="preserve"> treatment orders under the Mental Health Act, by </w:t>
      </w:r>
      <w:r>
        <w:t>gender and ethnicity</w:t>
      </w:r>
      <w:r w:rsidRPr="00755D2C">
        <w:t xml:space="preserve">, 1 </w:t>
      </w:r>
      <w:bookmarkEnd w:id="115"/>
      <w:bookmarkEnd w:id="116"/>
      <w:r w:rsidRPr="00755D2C">
        <w:t>July 2020 to 30 June 2021</w:t>
      </w:r>
      <w:bookmarkEnd w:id="117"/>
      <w:bookmarkEnd w:id="118"/>
    </w:p>
    <w:tbl>
      <w:tblPr>
        <w:tblW w:w="0" w:type="auto"/>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1E0" w:firstRow="1" w:lastRow="1" w:firstColumn="1" w:lastColumn="1" w:noHBand="0" w:noVBand="0"/>
      </w:tblPr>
      <w:tblGrid>
        <w:gridCol w:w="3771"/>
        <w:gridCol w:w="1077"/>
        <w:gridCol w:w="1077"/>
        <w:gridCol w:w="1077"/>
        <w:gridCol w:w="1078"/>
      </w:tblGrid>
      <w:tr w:rsidR="001236DF" w:rsidRPr="00200234" w14:paraId="43FE5D49" w14:textId="77777777" w:rsidTr="001236DF">
        <w:trPr>
          <w:cantSplit/>
        </w:trPr>
        <w:tc>
          <w:tcPr>
            <w:tcW w:w="3771" w:type="dxa"/>
            <w:vMerge w:val="restart"/>
            <w:tcBorders>
              <w:top w:val="nil"/>
              <w:bottom w:val="nil"/>
              <w:right w:val="nil"/>
            </w:tcBorders>
            <w:shd w:val="clear" w:color="auto" w:fill="D9D9D9"/>
          </w:tcPr>
          <w:p w14:paraId="33056A34" w14:textId="77777777" w:rsidR="001236DF" w:rsidRPr="00200234" w:rsidRDefault="001236DF" w:rsidP="001236DF">
            <w:pPr>
              <w:pStyle w:val="TableText"/>
            </w:pPr>
          </w:p>
        </w:tc>
        <w:tc>
          <w:tcPr>
            <w:tcW w:w="2154" w:type="dxa"/>
            <w:gridSpan w:val="2"/>
            <w:tcBorders>
              <w:top w:val="nil"/>
              <w:left w:val="nil"/>
              <w:bottom w:val="nil"/>
              <w:right w:val="nil"/>
            </w:tcBorders>
            <w:shd w:val="clear" w:color="auto" w:fill="D9D9D9"/>
          </w:tcPr>
          <w:p w14:paraId="71C8266D" w14:textId="77777777" w:rsidR="001236DF" w:rsidRPr="00200234" w:rsidRDefault="001236DF" w:rsidP="001236DF">
            <w:pPr>
              <w:pStyle w:val="TableText"/>
              <w:jc w:val="center"/>
              <w:rPr>
                <w:b/>
              </w:rPr>
            </w:pPr>
            <w:r w:rsidRPr="00200234">
              <w:rPr>
                <w:b/>
              </w:rPr>
              <w:t>Community treatment orders</w:t>
            </w:r>
          </w:p>
        </w:tc>
        <w:tc>
          <w:tcPr>
            <w:tcW w:w="2155" w:type="dxa"/>
            <w:gridSpan w:val="2"/>
            <w:tcBorders>
              <w:top w:val="nil"/>
              <w:left w:val="nil"/>
              <w:bottom w:val="nil"/>
            </w:tcBorders>
            <w:shd w:val="clear" w:color="auto" w:fill="D9D9D9"/>
          </w:tcPr>
          <w:p w14:paraId="26772620" w14:textId="77777777" w:rsidR="001236DF" w:rsidRPr="00200234" w:rsidRDefault="001236DF" w:rsidP="001236DF">
            <w:pPr>
              <w:pStyle w:val="TableText"/>
              <w:jc w:val="center"/>
              <w:rPr>
                <w:b/>
              </w:rPr>
            </w:pPr>
            <w:r w:rsidRPr="00200234">
              <w:rPr>
                <w:b/>
              </w:rPr>
              <w:t>Inpatient treatment orders</w:t>
            </w:r>
          </w:p>
        </w:tc>
      </w:tr>
      <w:tr w:rsidR="001236DF" w:rsidRPr="00200234" w14:paraId="0E51D127" w14:textId="77777777" w:rsidTr="001236DF">
        <w:trPr>
          <w:cantSplit/>
        </w:trPr>
        <w:tc>
          <w:tcPr>
            <w:tcW w:w="3771" w:type="dxa"/>
            <w:vMerge/>
            <w:tcBorders>
              <w:top w:val="nil"/>
              <w:bottom w:val="nil"/>
              <w:right w:val="nil"/>
            </w:tcBorders>
            <w:shd w:val="clear" w:color="auto" w:fill="D9D9D9"/>
          </w:tcPr>
          <w:p w14:paraId="104D9430" w14:textId="77777777" w:rsidR="001236DF" w:rsidRPr="00200234" w:rsidRDefault="001236DF" w:rsidP="001236DF">
            <w:pPr>
              <w:pStyle w:val="TableText"/>
            </w:pPr>
          </w:p>
        </w:tc>
        <w:tc>
          <w:tcPr>
            <w:tcW w:w="1077" w:type="dxa"/>
            <w:tcBorders>
              <w:top w:val="nil"/>
              <w:left w:val="nil"/>
              <w:bottom w:val="nil"/>
              <w:right w:val="nil"/>
            </w:tcBorders>
            <w:shd w:val="clear" w:color="auto" w:fill="D9D9D9"/>
          </w:tcPr>
          <w:p w14:paraId="0B3AA0AD" w14:textId="77777777" w:rsidR="001236DF" w:rsidRPr="00200234" w:rsidRDefault="001236DF" w:rsidP="001236DF">
            <w:pPr>
              <w:pStyle w:val="TableText"/>
              <w:spacing w:before="0"/>
              <w:jc w:val="center"/>
              <w:rPr>
                <w:b/>
              </w:rPr>
            </w:pPr>
            <w:r w:rsidRPr="00200234">
              <w:rPr>
                <w:b/>
              </w:rPr>
              <w:t>Male</w:t>
            </w:r>
          </w:p>
        </w:tc>
        <w:tc>
          <w:tcPr>
            <w:tcW w:w="1077" w:type="dxa"/>
            <w:tcBorders>
              <w:top w:val="nil"/>
              <w:left w:val="nil"/>
              <w:bottom w:val="nil"/>
              <w:right w:val="nil"/>
            </w:tcBorders>
            <w:shd w:val="clear" w:color="auto" w:fill="D9D9D9"/>
          </w:tcPr>
          <w:p w14:paraId="6332B8E7" w14:textId="77777777" w:rsidR="001236DF" w:rsidRPr="00200234" w:rsidRDefault="001236DF" w:rsidP="001236DF">
            <w:pPr>
              <w:pStyle w:val="TableText"/>
              <w:spacing w:before="0"/>
              <w:jc w:val="center"/>
              <w:rPr>
                <w:b/>
              </w:rPr>
            </w:pPr>
            <w:r w:rsidRPr="00200234">
              <w:rPr>
                <w:b/>
              </w:rPr>
              <w:t>Female</w:t>
            </w:r>
          </w:p>
        </w:tc>
        <w:tc>
          <w:tcPr>
            <w:tcW w:w="1077" w:type="dxa"/>
            <w:tcBorders>
              <w:top w:val="nil"/>
              <w:left w:val="nil"/>
              <w:bottom w:val="nil"/>
              <w:right w:val="nil"/>
            </w:tcBorders>
            <w:shd w:val="clear" w:color="auto" w:fill="D9D9D9"/>
          </w:tcPr>
          <w:p w14:paraId="2BEC6EA1" w14:textId="77777777" w:rsidR="001236DF" w:rsidRPr="00200234" w:rsidRDefault="001236DF" w:rsidP="001236DF">
            <w:pPr>
              <w:pStyle w:val="TableText"/>
              <w:spacing w:before="0"/>
              <w:jc w:val="center"/>
              <w:rPr>
                <w:b/>
              </w:rPr>
            </w:pPr>
            <w:r w:rsidRPr="00200234">
              <w:rPr>
                <w:b/>
              </w:rPr>
              <w:t>Male</w:t>
            </w:r>
          </w:p>
        </w:tc>
        <w:tc>
          <w:tcPr>
            <w:tcW w:w="1078" w:type="dxa"/>
            <w:tcBorders>
              <w:top w:val="nil"/>
              <w:left w:val="nil"/>
              <w:bottom w:val="nil"/>
            </w:tcBorders>
            <w:shd w:val="clear" w:color="auto" w:fill="D9D9D9"/>
          </w:tcPr>
          <w:p w14:paraId="285CE1DE" w14:textId="77777777" w:rsidR="001236DF" w:rsidRPr="00200234" w:rsidRDefault="001236DF" w:rsidP="001236DF">
            <w:pPr>
              <w:pStyle w:val="TableText"/>
              <w:spacing w:before="0"/>
              <w:jc w:val="center"/>
              <w:rPr>
                <w:b/>
              </w:rPr>
            </w:pPr>
            <w:r w:rsidRPr="00200234">
              <w:rPr>
                <w:b/>
              </w:rPr>
              <w:t>Female</w:t>
            </w:r>
          </w:p>
        </w:tc>
      </w:tr>
      <w:tr w:rsidR="001236DF" w:rsidRPr="00200234" w14:paraId="6234C257" w14:textId="77777777" w:rsidTr="001236DF">
        <w:trPr>
          <w:cantSplit/>
        </w:trPr>
        <w:tc>
          <w:tcPr>
            <w:tcW w:w="3771" w:type="dxa"/>
            <w:tcBorders>
              <w:top w:val="nil"/>
              <w:right w:val="nil"/>
            </w:tcBorders>
          </w:tcPr>
          <w:p w14:paraId="73D16DED" w14:textId="77777777" w:rsidR="001236DF" w:rsidRPr="00200234" w:rsidRDefault="001236DF" w:rsidP="001236DF">
            <w:pPr>
              <w:pStyle w:val="TableText"/>
            </w:pPr>
            <w:r w:rsidRPr="00200234">
              <w:t>Māori</w:t>
            </w:r>
            <w:r>
              <w:t xml:space="preserve"> per 100,000 population</w:t>
            </w:r>
          </w:p>
        </w:tc>
        <w:tc>
          <w:tcPr>
            <w:tcW w:w="1077" w:type="dxa"/>
            <w:tcBorders>
              <w:top w:val="nil"/>
              <w:left w:val="nil"/>
              <w:right w:val="nil"/>
            </w:tcBorders>
          </w:tcPr>
          <w:p w14:paraId="4473161B" w14:textId="77777777" w:rsidR="001236DF" w:rsidRPr="00200234" w:rsidRDefault="001236DF" w:rsidP="001236DF">
            <w:pPr>
              <w:pStyle w:val="TableText"/>
              <w:jc w:val="center"/>
            </w:pPr>
            <w:r w:rsidRPr="00B25DE0">
              <w:t>418.3</w:t>
            </w:r>
          </w:p>
        </w:tc>
        <w:tc>
          <w:tcPr>
            <w:tcW w:w="1077" w:type="dxa"/>
            <w:tcBorders>
              <w:top w:val="nil"/>
              <w:left w:val="nil"/>
              <w:right w:val="nil"/>
            </w:tcBorders>
          </w:tcPr>
          <w:p w14:paraId="0E23F123" w14:textId="77777777" w:rsidR="001236DF" w:rsidRPr="00200234" w:rsidRDefault="001236DF" w:rsidP="001236DF">
            <w:pPr>
              <w:pStyle w:val="TableText"/>
              <w:jc w:val="center"/>
            </w:pPr>
            <w:r w:rsidRPr="00B25DE0">
              <w:t>236.6</w:t>
            </w:r>
          </w:p>
        </w:tc>
        <w:tc>
          <w:tcPr>
            <w:tcW w:w="1077" w:type="dxa"/>
            <w:tcBorders>
              <w:top w:val="nil"/>
              <w:left w:val="nil"/>
              <w:right w:val="nil"/>
            </w:tcBorders>
          </w:tcPr>
          <w:p w14:paraId="13E691B3" w14:textId="77777777" w:rsidR="001236DF" w:rsidRPr="00200234" w:rsidRDefault="001236DF" w:rsidP="001236DF">
            <w:pPr>
              <w:pStyle w:val="TableText"/>
              <w:jc w:val="center"/>
            </w:pPr>
            <w:r w:rsidRPr="00B7514B">
              <w:t>110.3</w:t>
            </w:r>
          </w:p>
        </w:tc>
        <w:tc>
          <w:tcPr>
            <w:tcW w:w="1078" w:type="dxa"/>
            <w:tcBorders>
              <w:top w:val="nil"/>
              <w:left w:val="nil"/>
            </w:tcBorders>
          </w:tcPr>
          <w:p w14:paraId="0F704C88" w14:textId="77777777" w:rsidR="001236DF" w:rsidRPr="00200234" w:rsidRDefault="001236DF" w:rsidP="001236DF">
            <w:pPr>
              <w:pStyle w:val="TableText"/>
              <w:jc w:val="center"/>
            </w:pPr>
            <w:r w:rsidRPr="00B7514B">
              <w:t>67.6</w:t>
            </w:r>
          </w:p>
        </w:tc>
      </w:tr>
      <w:tr w:rsidR="001236DF" w:rsidRPr="00200234" w14:paraId="15FCD24F" w14:textId="77777777" w:rsidTr="001236DF">
        <w:trPr>
          <w:cantSplit/>
        </w:trPr>
        <w:tc>
          <w:tcPr>
            <w:tcW w:w="3771" w:type="dxa"/>
            <w:tcBorders>
              <w:right w:val="nil"/>
            </w:tcBorders>
          </w:tcPr>
          <w:p w14:paraId="1D1061A5" w14:textId="77777777" w:rsidR="001236DF" w:rsidRPr="00200234" w:rsidRDefault="001236DF" w:rsidP="001236DF">
            <w:pPr>
              <w:pStyle w:val="TableText"/>
            </w:pPr>
            <w:r>
              <w:t>Pacific peoples per 100,000 population</w:t>
            </w:r>
          </w:p>
        </w:tc>
        <w:tc>
          <w:tcPr>
            <w:tcW w:w="1077" w:type="dxa"/>
            <w:tcBorders>
              <w:left w:val="nil"/>
              <w:right w:val="nil"/>
            </w:tcBorders>
          </w:tcPr>
          <w:p w14:paraId="187EA8D9" w14:textId="77777777" w:rsidR="001236DF" w:rsidRPr="00200234" w:rsidRDefault="001236DF" w:rsidP="001236DF">
            <w:pPr>
              <w:pStyle w:val="TableText"/>
              <w:jc w:val="center"/>
            </w:pPr>
            <w:r w:rsidRPr="00B25DE0">
              <w:t>245.5</w:t>
            </w:r>
          </w:p>
        </w:tc>
        <w:tc>
          <w:tcPr>
            <w:tcW w:w="1077" w:type="dxa"/>
            <w:tcBorders>
              <w:left w:val="nil"/>
              <w:right w:val="nil"/>
            </w:tcBorders>
          </w:tcPr>
          <w:p w14:paraId="4E203F42" w14:textId="77777777" w:rsidR="001236DF" w:rsidRPr="00200234" w:rsidRDefault="001236DF" w:rsidP="001236DF">
            <w:pPr>
              <w:pStyle w:val="TableText"/>
              <w:jc w:val="center"/>
            </w:pPr>
            <w:r w:rsidRPr="00B25DE0">
              <w:t>120.0</w:t>
            </w:r>
          </w:p>
        </w:tc>
        <w:tc>
          <w:tcPr>
            <w:tcW w:w="1077" w:type="dxa"/>
            <w:tcBorders>
              <w:left w:val="nil"/>
              <w:right w:val="nil"/>
            </w:tcBorders>
          </w:tcPr>
          <w:p w14:paraId="4627AA2E" w14:textId="77777777" w:rsidR="001236DF" w:rsidRPr="00200234" w:rsidRDefault="001236DF" w:rsidP="001236DF">
            <w:pPr>
              <w:pStyle w:val="TableText"/>
              <w:jc w:val="center"/>
            </w:pPr>
            <w:r w:rsidRPr="00B7514B">
              <w:t>76.1</w:t>
            </w:r>
          </w:p>
        </w:tc>
        <w:tc>
          <w:tcPr>
            <w:tcW w:w="1078" w:type="dxa"/>
            <w:tcBorders>
              <w:left w:val="nil"/>
            </w:tcBorders>
          </w:tcPr>
          <w:p w14:paraId="7AB8936E" w14:textId="77777777" w:rsidR="001236DF" w:rsidRPr="00200234" w:rsidRDefault="001236DF" w:rsidP="001236DF">
            <w:pPr>
              <w:pStyle w:val="TableText"/>
              <w:jc w:val="center"/>
            </w:pPr>
            <w:r w:rsidRPr="00B7514B">
              <w:t>38.0</w:t>
            </w:r>
          </w:p>
        </w:tc>
      </w:tr>
      <w:tr w:rsidR="001236DF" w:rsidRPr="00200234" w14:paraId="2A78FA7C" w14:textId="77777777" w:rsidTr="001236DF">
        <w:trPr>
          <w:cantSplit/>
        </w:trPr>
        <w:tc>
          <w:tcPr>
            <w:tcW w:w="3771" w:type="dxa"/>
            <w:tcBorders>
              <w:right w:val="nil"/>
            </w:tcBorders>
          </w:tcPr>
          <w:p w14:paraId="1F1CD12E" w14:textId="77777777" w:rsidR="001236DF" w:rsidRPr="00200234" w:rsidRDefault="001236DF" w:rsidP="001236DF">
            <w:pPr>
              <w:pStyle w:val="TableText"/>
            </w:pPr>
            <w:r>
              <w:t>Other ethnicities per 100,000 population</w:t>
            </w:r>
          </w:p>
        </w:tc>
        <w:tc>
          <w:tcPr>
            <w:tcW w:w="1077" w:type="dxa"/>
            <w:tcBorders>
              <w:left w:val="nil"/>
              <w:right w:val="nil"/>
            </w:tcBorders>
          </w:tcPr>
          <w:p w14:paraId="2F919932" w14:textId="77777777" w:rsidR="001236DF" w:rsidRPr="00200234" w:rsidRDefault="001236DF" w:rsidP="001236DF">
            <w:pPr>
              <w:pStyle w:val="TableText"/>
              <w:jc w:val="center"/>
            </w:pPr>
            <w:r w:rsidRPr="00B25DE0">
              <w:t>102.0</w:t>
            </w:r>
          </w:p>
        </w:tc>
        <w:tc>
          <w:tcPr>
            <w:tcW w:w="1077" w:type="dxa"/>
            <w:tcBorders>
              <w:left w:val="nil"/>
              <w:right w:val="nil"/>
            </w:tcBorders>
          </w:tcPr>
          <w:p w14:paraId="7FAED193" w14:textId="77777777" w:rsidR="001236DF" w:rsidRPr="00200234" w:rsidRDefault="001236DF" w:rsidP="001236DF">
            <w:pPr>
              <w:pStyle w:val="TableText"/>
              <w:jc w:val="center"/>
            </w:pPr>
            <w:r w:rsidRPr="00B25DE0">
              <w:t>59.2</w:t>
            </w:r>
          </w:p>
        </w:tc>
        <w:tc>
          <w:tcPr>
            <w:tcW w:w="1077" w:type="dxa"/>
            <w:tcBorders>
              <w:left w:val="nil"/>
              <w:right w:val="nil"/>
            </w:tcBorders>
          </w:tcPr>
          <w:p w14:paraId="70AB005E" w14:textId="77777777" w:rsidR="001236DF" w:rsidRPr="00200234" w:rsidRDefault="001236DF" w:rsidP="001236DF">
            <w:pPr>
              <w:pStyle w:val="TableText"/>
              <w:jc w:val="center"/>
            </w:pPr>
            <w:r w:rsidRPr="00B7514B">
              <w:t>35.1</w:t>
            </w:r>
          </w:p>
        </w:tc>
        <w:tc>
          <w:tcPr>
            <w:tcW w:w="1078" w:type="dxa"/>
            <w:tcBorders>
              <w:left w:val="nil"/>
            </w:tcBorders>
          </w:tcPr>
          <w:p w14:paraId="6B39FBAD" w14:textId="77777777" w:rsidR="001236DF" w:rsidRPr="00200234" w:rsidRDefault="001236DF" w:rsidP="001236DF">
            <w:pPr>
              <w:pStyle w:val="TableText"/>
              <w:jc w:val="center"/>
            </w:pPr>
            <w:r w:rsidRPr="00B7514B">
              <w:t>27.3</w:t>
            </w:r>
          </w:p>
        </w:tc>
      </w:tr>
      <w:tr w:rsidR="001236DF" w:rsidRPr="00200234" w14:paraId="11E0F3A2" w14:textId="77777777" w:rsidTr="001236DF">
        <w:trPr>
          <w:cantSplit/>
        </w:trPr>
        <w:tc>
          <w:tcPr>
            <w:tcW w:w="3771" w:type="dxa"/>
            <w:tcBorders>
              <w:right w:val="nil"/>
            </w:tcBorders>
          </w:tcPr>
          <w:p w14:paraId="7E2E2A67" w14:textId="77777777" w:rsidR="001236DF" w:rsidRPr="00200234" w:rsidRDefault="001236DF" w:rsidP="001236DF">
            <w:pPr>
              <w:pStyle w:val="TableText"/>
            </w:pPr>
            <w:r w:rsidRPr="00200234">
              <w:t>Māori</w:t>
            </w:r>
            <w:r>
              <w:t xml:space="preserve"> to Pacific peoples rate ratio</w:t>
            </w:r>
          </w:p>
        </w:tc>
        <w:tc>
          <w:tcPr>
            <w:tcW w:w="1077" w:type="dxa"/>
            <w:tcBorders>
              <w:left w:val="nil"/>
              <w:right w:val="nil"/>
            </w:tcBorders>
          </w:tcPr>
          <w:p w14:paraId="4C1DBCEF" w14:textId="77777777" w:rsidR="001236DF" w:rsidRPr="00200234" w:rsidRDefault="001236DF" w:rsidP="001236DF">
            <w:pPr>
              <w:pStyle w:val="TableText"/>
              <w:jc w:val="center"/>
            </w:pPr>
            <w:r w:rsidRPr="00B25DE0">
              <w:t>1.7:1</w:t>
            </w:r>
            <w:r>
              <w:t>.0</w:t>
            </w:r>
          </w:p>
        </w:tc>
        <w:tc>
          <w:tcPr>
            <w:tcW w:w="1077" w:type="dxa"/>
            <w:tcBorders>
              <w:left w:val="nil"/>
              <w:right w:val="nil"/>
            </w:tcBorders>
          </w:tcPr>
          <w:p w14:paraId="2BE5FF0F" w14:textId="77777777" w:rsidR="001236DF" w:rsidRPr="00200234" w:rsidRDefault="001236DF" w:rsidP="001236DF">
            <w:pPr>
              <w:pStyle w:val="TableText"/>
              <w:jc w:val="center"/>
            </w:pPr>
            <w:r w:rsidRPr="00B25DE0">
              <w:t>2</w:t>
            </w:r>
            <w:r>
              <w:t>.0</w:t>
            </w:r>
            <w:r w:rsidRPr="00B25DE0">
              <w:t>:1</w:t>
            </w:r>
            <w:r>
              <w:t>.0</w:t>
            </w:r>
          </w:p>
        </w:tc>
        <w:tc>
          <w:tcPr>
            <w:tcW w:w="1077" w:type="dxa"/>
            <w:tcBorders>
              <w:left w:val="nil"/>
              <w:right w:val="nil"/>
            </w:tcBorders>
          </w:tcPr>
          <w:p w14:paraId="31769AF2" w14:textId="77777777" w:rsidR="001236DF" w:rsidRPr="00200234" w:rsidRDefault="001236DF" w:rsidP="001236DF">
            <w:pPr>
              <w:pStyle w:val="TableText"/>
              <w:jc w:val="center"/>
            </w:pPr>
            <w:r w:rsidRPr="00B7514B">
              <w:t>1.4:1</w:t>
            </w:r>
            <w:r>
              <w:t>.0</w:t>
            </w:r>
          </w:p>
        </w:tc>
        <w:tc>
          <w:tcPr>
            <w:tcW w:w="1078" w:type="dxa"/>
            <w:tcBorders>
              <w:left w:val="nil"/>
            </w:tcBorders>
          </w:tcPr>
          <w:p w14:paraId="2E230E1B" w14:textId="77777777" w:rsidR="001236DF" w:rsidRPr="00200234" w:rsidRDefault="001236DF" w:rsidP="001236DF">
            <w:pPr>
              <w:pStyle w:val="TableText"/>
              <w:jc w:val="center"/>
            </w:pPr>
            <w:r w:rsidRPr="00B7514B">
              <w:t>1.8:1</w:t>
            </w:r>
            <w:r>
              <w:t>.0</w:t>
            </w:r>
          </w:p>
        </w:tc>
      </w:tr>
      <w:tr w:rsidR="001236DF" w:rsidRPr="00200234" w14:paraId="516CCB56" w14:textId="77777777" w:rsidTr="001236DF">
        <w:trPr>
          <w:cantSplit/>
        </w:trPr>
        <w:tc>
          <w:tcPr>
            <w:tcW w:w="3771" w:type="dxa"/>
            <w:tcBorders>
              <w:right w:val="nil"/>
            </w:tcBorders>
          </w:tcPr>
          <w:p w14:paraId="7DEF4ED0" w14:textId="77777777" w:rsidR="001236DF" w:rsidRPr="00200234" w:rsidRDefault="001236DF" w:rsidP="001236DF">
            <w:pPr>
              <w:pStyle w:val="TableText"/>
            </w:pPr>
            <w:r>
              <w:t>Pacific peoples to other ethnicities rate ratio</w:t>
            </w:r>
          </w:p>
        </w:tc>
        <w:tc>
          <w:tcPr>
            <w:tcW w:w="1077" w:type="dxa"/>
            <w:tcBorders>
              <w:left w:val="nil"/>
              <w:right w:val="nil"/>
            </w:tcBorders>
          </w:tcPr>
          <w:p w14:paraId="60AF6DE8" w14:textId="77777777" w:rsidR="001236DF" w:rsidRPr="00200234" w:rsidRDefault="001236DF" w:rsidP="001236DF">
            <w:pPr>
              <w:pStyle w:val="TableText"/>
              <w:jc w:val="center"/>
            </w:pPr>
            <w:r w:rsidRPr="00B25DE0">
              <w:t>2.4:1</w:t>
            </w:r>
            <w:r>
              <w:t>.0</w:t>
            </w:r>
          </w:p>
        </w:tc>
        <w:tc>
          <w:tcPr>
            <w:tcW w:w="1077" w:type="dxa"/>
            <w:tcBorders>
              <w:left w:val="nil"/>
              <w:right w:val="nil"/>
            </w:tcBorders>
          </w:tcPr>
          <w:p w14:paraId="4518504C" w14:textId="77777777" w:rsidR="001236DF" w:rsidRPr="00200234" w:rsidRDefault="001236DF" w:rsidP="001236DF">
            <w:pPr>
              <w:pStyle w:val="TableText"/>
              <w:jc w:val="center"/>
            </w:pPr>
            <w:r w:rsidRPr="00B25DE0">
              <w:t>2</w:t>
            </w:r>
            <w:r>
              <w:t>.0</w:t>
            </w:r>
            <w:r w:rsidRPr="00B25DE0">
              <w:t>:1</w:t>
            </w:r>
            <w:r>
              <w:t>.0</w:t>
            </w:r>
          </w:p>
        </w:tc>
        <w:tc>
          <w:tcPr>
            <w:tcW w:w="1077" w:type="dxa"/>
            <w:tcBorders>
              <w:left w:val="nil"/>
              <w:right w:val="nil"/>
            </w:tcBorders>
          </w:tcPr>
          <w:p w14:paraId="50CD467B" w14:textId="77777777" w:rsidR="001236DF" w:rsidRPr="00200234" w:rsidRDefault="001236DF" w:rsidP="001236DF">
            <w:pPr>
              <w:pStyle w:val="TableText"/>
              <w:jc w:val="center"/>
            </w:pPr>
            <w:r w:rsidRPr="00B7514B">
              <w:t>2.2:1</w:t>
            </w:r>
            <w:r>
              <w:t>.0</w:t>
            </w:r>
          </w:p>
        </w:tc>
        <w:tc>
          <w:tcPr>
            <w:tcW w:w="1078" w:type="dxa"/>
            <w:tcBorders>
              <w:left w:val="nil"/>
            </w:tcBorders>
          </w:tcPr>
          <w:p w14:paraId="6E15B279" w14:textId="77777777" w:rsidR="001236DF" w:rsidRPr="00200234" w:rsidRDefault="001236DF" w:rsidP="001236DF">
            <w:pPr>
              <w:pStyle w:val="TableText"/>
              <w:jc w:val="center"/>
            </w:pPr>
            <w:r w:rsidRPr="00B7514B">
              <w:t>1.4:1</w:t>
            </w:r>
            <w:r>
              <w:t>.0</w:t>
            </w:r>
          </w:p>
        </w:tc>
      </w:tr>
      <w:tr w:rsidR="001236DF" w:rsidRPr="00200234" w14:paraId="6706504F" w14:textId="77777777" w:rsidTr="001236DF">
        <w:trPr>
          <w:cantSplit/>
        </w:trPr>
        <w:tc>
          <w:tcPr>
            <w:tcW w:w="3771" w:type="dxa"/>
            <w:tcBorders>
              <w:right w:val="nil"/>
            </w:tcBorders>
          </w:tcPr>
          <w:p w14:paraId="55C173FD" w14:textId="77777777" w:rsidR="001236DF" w:rsidRDefault="001236DF" w:rsidP="001236DF">
            <w:pPr>
              <w:pStyle w:val="TableText"/>
            </w:pPr>
            <w:r>
              <w:t>Māori to other ethnicities rate ratio</w:t>
            </w:r>
          </w:p>
        </w:tc>
        <w:tc>
          <w:tcPr>
            <w:tcW w:w="1077" w:type="dxa"/>
            <w:tcBorders>
              <w:left w:val="nil"/>
              <w:right w:val="nil"/>
            </w:tcBorders>
          </w:tcPr>
          <w:p w14:paraId="798B9144" w14:textId="77777777" w:rsidR="001236DF" w:rsidRPr="00200234" w:rsidRDefault="001236DF" w:rsidP="001236DF">
            <w:pPr>
              <w:pStyle w:val="TableText"/>
              <w:jc w:val="center"/>
            </w:pPr>
            <w:r w:rsidRPr="00B25DE0">
              <w:t>4.1:1</w:t>
            </w:r>
            <w:r>
              <w:t>.0</w:t>
            </w:r>
          </w:p>
        </w:tc>
        <w:tc>
          <w:tcPr>
            <w:tcW w:w="1077" w:type="dxa"/>
            <w:tcBorders>
              <w:left w:val="nil"/>
              <w:right w:val="nil"/>
            </w:tcBorders>
          </w:tcPr>
          <w:p w14:paraId="7A50CE2B" w14:textId="77777777" w:rsidR="001236DF" w:rsidRPr="00200234" w:rsidRDefault="001236DF" w:rsidP="001236DF">
            <w:pPr>
              <w:pStyle w:val="TableText"/>
              <w:jc w:val="center"/>
            </w:pPr>
            <w:r w:rsidRPr="00B25DE0">
              <w:t>4</w:t>
            </w:r>
            <w:r>
              <w:t>.0</w:t>
            </w:r>
            <w:r w:rsidRPr="00B25DE0">
              <w:t>:1</w:t>
            </w:r>
            <w:r>
              <w:t>.0</w:t>
            </w:r>
          </w:p>
        </w:tc>
        <w:tc>
          <w:tcPr>
            <w:tcW w:w="1077" w:type="dxa"/>
            <w:tcBorders>
              <w:left w:val="nil"/>
              <w:right w:val="nil"/>
            </w:tcBorders>
          </w:tcPr>
          <w:p w14:paraId="09023A31" w14:textId="77777777" w:rsidR="001236DF" w:rsidRPr="00200234" w:rsidRDefault="001236DF" w:rsidP="001236DF">
            <w:pPr>
              <w:pStyle w:val="TableText"/>
              <w:jc w:val="center"/>
            </w:pPr>
            <w:r w:rsidRPr="00B7514B">
              <w:t>3.1:1</w:t>
            </w:r>
            <w:r>
              <w:t>.0</w:t>
            </w:r>
          </w:p>
        </w:tc>
        <w:tc>
          <w:tcPr>
            <w:tcW w:w="1078" w:type="dxa"/>
            <w:tcBorders>
              <w:left w:val="nil"/>
            </w:tcBorders>
          </w:tcPr>
          <w:p w14:paraId="357F12F0" w14:textId="77777777" w:rsidR="001236DF" w:rsidRPr="00200234" w:rsidRDefault="001236DF" w:rsidP="001236DF">
            <w:pPr>
              <w:pStyle w:val="TableText"/>
              <w:jc w:val="center"/>
            </w:pPr>
            <w:r w:rsidRPr="00B7514B">
              <w:t>2.5:1</w:t>
            </w:r>
            <w:r>
              <w:t>.0</w:t>
            </w:r>
          </w:p>
        </w:tc>
      </w:tr>
    </w:tbl>
    <w:p w14:paraId="7843DFB5" w14:textId="77777777" w:rsidR="001236DF" w:rsidRPr="00200234" w:rsidRDefault="001236DF" w:rsidP="001236DF">
      <w:pPr>
        <w:pStyle w:val="Note"/>
      </w:pPr>
      <w:r w:rsidRPr="00200234">
        <w:t>Note</w:t>
      </w:r>
      <w:r>
        <w:t>s</w:t>
      </w:r>
      <w:r w:rsidRPr="00200234">
        <w:t>: Rates per 100,000 are age</w:t>
      </w:r>
      <w:r>
        <w:t xml:space="preserve"> </w:t>
      </w:r>
      <w:r w:rsidRPr="00200234">
        <w:t xml:space="preserve">standardised. </w:t>
      </w:r>
      <w:r>
        <w:t>‘Other ethnicities’ are all ethnicities excluding Māori and Pacific peoples.</w:t>
      </w:r>
    </w:p>
    <w:p w14:paraId="5EEA0A01" w14:textId="77777777" w:rsidR="001236DF" w:rsidRPr="00200234" w:rsidRDefault="001236DF" w:rsidP="001236DF">
      <w:pPr>
        <w:pStyle w:val="Source"/>
      </w:pPr>
      <w:r w:rsidRPr="00200234">
        <w:t>Source: PRIMHD data</w:t>
      </w:r>
      <w:r>
        <w:t xml:space="preserve"> (extracted 3 June 2022)</w:t>
      </w:r>
      <w:r w:rsidRPr="00200234">
        <w:t>. Excludes manual data.</w:t>
      </w:r>
    </w:p>
    <w:p w14:paraId="538EADE4" w14:textId="77777777" w:rsidR="001236DF" w:rsidRPr="00200234" w:rsidRDefault="001236DF" w:rsidP="001236DF"/>
    <w:p w14:paraId="4B08DD5F" w14:textId="77777777" w:rsidR="001236DF" w:rsidRPr="001236DF" w:rsidRDefault="001236DF" w:rsidP="001236DF">
      <w:pPr>
        <w:rPr>
          <w:rFonts w:eastAsia="Calibri"/>
        </w:rPr>
      </w:pPr>
    </w:p>
    <w:p w14:paraId="2F6172DD" w14:textId="77775C79" w:rsidR="001236DF" w:rsidRDefault="001236DF" w:rsidP="001236DF">
      <w:pPr>
        <w:pStyle w:val="Figure"/>
      </w:pPr>
      <w:bookmarkStart w:id="119" w:name="_Ref65671957"/>
      <w:bookmarkStart w:id="120" w:name="_Toc63764754"/>
      <w:bookmarkStart w:id="121" w:name="_Toc75176481"/>
      <w:bookmarkStart w:id="122" w:name="_Toc85442571"/>
      <w:bookmarkStart w:id="123" w:name="_Toc85445918"/>
      <w:bookmarkStart w:id="124" w:name="_Toc87429958"/>
      <w:bookmarkStart w:id="125" w:name="_Toc88561390"/>
      <w:bookmarkStart w:id="126" w:name="_Toc115188848"/>
      <w:bookmarkStart w:id="127" w:name="_Toc115272550"/>
      <w:r>
        <w:lastRenderedPageBreak/>
        <w:t>Figure </w:t>
      </w:r>
      <w:fldSimple w:instr=" SEQ Figure \* ARABIC ">
        <w:r w:rsidR="009A04B0">
          <w:rPr>
            <w:noProof/>
          </w:rPr>
          <w:t>9</w:t>
        </w:r>
      </w:fldSimple>
      <w:bookmarkEnd w:id="119"/>
      <w:r w:rsidRPr="00755D2C">
        <w:t>: Age-standardised rates of</w:t>
      </w:r>
      <w:r>
        <w:t xml:space="preserve"> people </w:t>
      </w:r>
      <w:r w:rsidRPr="00755D2C">
        <w:t>subject to community</w:t>
      </w:r>
      <w:r>
        <w:t xml:space="preserve"> (section 29)</w:t>
      </w:r>
      <w:r w:rsidRPr="00755D2C">
        <w:t xml:space="preserve"> and inpatient </w:t>
      </w:r>
      <w:r>
        <w:t xml:space="preserve">(section 30) </w:t>
      </w:r>
      <w:r w:rsidRPr="00755D2C">
        <w:t xml:space="preserve">treatment orders under the Mental Health Act, by </w:t>
      </w:r>
      <w:r>
        <w:t>gender and ethnicity</w:t>
      </w:r>
      <w:r w:rsidRPr="00755D2C">
        <w:t xml:space="preserve">, 1 </w:t>
      </w:r>
      <w:bookmarkEnd w:id="120"/>
      <w:bookmarkEnd w:id="121"/>
      <w:bookmarkEnd w:id="122"/>
      <w:bookmarkEnd w:id="123"/>
      <w:bookmarkEnd w:id="124"/>
      <w:bookmarkEnd w:id="125"/>
      <w:r w:rsidRPr="00755D2C">
        <w:t>July 2020 to 30 June 2021</w:t>
      </w:r>
      <w:bookmarkEnd w:id="126"/>
      <w:bookmarkEnd w:id="127"/>
    </w:p>
    <w:p w14:paraId="48804D4B" w14:textId="77777777" w:rsidR="001236DF" w:rsidRPr="008060A5" w:rsidRDefault="001236DF" w:rsidP="001236DF">
      <w:r>
        <w:rPr>
          <w:noProof/>
        </w:rPr>
        <w:drawing>
          <wp:inline distT="0" distB="0" distL="0" distR="0" wp14:anchorId="52BCEF2D" wp14:editId="62A87E04">
            <wp:extent cx="5085682" cy="2925127"/>
            <wp:effectExtent l="0" t="0" r="1270" b="8890"/>
            <wp:docPr id="14" name="Chart 14" descr="This bar graph shows that Māori were more likely to be subject to community and inpatient treatment orders than Pacific peoples and other ethnicities and that males had higher rates than females for both orders. People were more likely to be subject to community treatment orders than inpatient orders.">
              <a:extLst xmlns:a="http://schemas.openxmlformats.org/drawingml/2006/main">
                <a:ext uri="{FF2B5EF4-FFF2-40B4-BE49-F238E27FC236}">
                  <a16:creationId xmlns:a16="http://schemas.microsoft.com/office/drawing/2014/main" id="{9943FD6A-E974-469D-A50F-B0E3C69A4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D221B3F" w14:textId="77777777" w:rsidR="001236DF" w:rsidRPr="00200234" w:rsidRDefault="001236DF" w:rsidP="001236DF">
      <w:pPr>
        <w:pStyle w:val="Note"/>
      </w:pPr>
      <w:r w:rsidRPr="00200234">
        <w:t>Note: Rates per 100,000 are age</w:t>
      </w:r>
      <w:r>
        <w:t xml:space="preserve"> </w:t>
      </w:r>
      <w:r w:rsidRPr="00200234">
        <w:t>standardised.</w:t>
      </w:r>
    </w:p>
    <w:p w14:paraId="207C3A66" w14:textId="77777777" w:rsidR="001236DF" w:rsidRDefault="001236DF" w:rsidP="001236DF">
      <w:pPr>
        <w:pStyle w:val="Source"/>
      </w:pPr>
      <w:r w:rsidRPr="00200234">
        <w:t>Source: PRIMHD data</w:t>
      </w:r>
      <w:r>
        <w:t xml:space="preserve"> (extracted</w:t>
      </w:r>
      <w:r w:rsidRPr="00200234">
        <w:t xml:space="preserve"> </w:t>
      </w:r>
      <w:r>
        <w:t>3 June 2022).</w:t>
      </w:r>
      <w:r w:rsidRPr="00200234">
        <w:t xml:space="preserve"> Excludes manual data.</w:t>
      </w:r>
    </w:p>
    <w:p w14:paraId="58D90DEE" w14:textId="77777777" w:rsidR="001236DF" w:rsidRPr="00200234" w:rsidRDefault="001236DF" w:rsidP="001236DF">
      <w:pPr>
        <w:pStyle w:val="Heading2"/>
      </w:pPr>
      <w:bookmarkStart w:id="128" w:name="_Toc65141620"/>
      <w:bookmarkStart w:id="129" w:name="_Toc75176444"/>
      <w:bookmarkStart w:id="130" w:name="_Toc87429906"/>
      <w:bookmarkStart w:id="131" w:name="_Toc88826954"/>
      <w:bookmarkStart w:id="132" w:name="_Toc115188804"/>
      <w:bookmarkStart w:id="133" w:name="_Toc115431702"/>
      <w:r w:rsidRPr="00200234">
        <w:t xml:space="preserve">Length of time </w:t>
      </w:r>
      <w:r>
        <w:t>people are</w:t>
      </w:r>
      <w:r w:rsidRPr="00200234">
        <w:t xml:space="preserve"> subject to compulsory treatment orders</w:t>
      </w:r>
      <w:bookmarkEnd w:id="128"/>
      <w:bookmarkEnd w:id="129"/>
      <w:bookmarkEnd w:id="130"/>
      <w:bookmarkEnd w:id="131"/>
      <w:bookmarkEnd w:id="132"/>
      <w:bookmarkEnd w:id="133"/>
    </w:p>
    <w:p w14:paraId="19F84A1E" w14:textId="77777777" w:rsidR="001236DF" w:rsidRDefault="001236DF" w:rsidP="001236DF">
      <w:r w:rsidRPr="00200234">
        <w:t>On average, Māori</w:t>
      </w:r>
      <w:r>
        <w:t>, Pacific peoples</w:t>
      </w:r>
      <w:r w:rsidRPr="00200234">
        <w:t xml:space="preserve"> and </w:t>
      </w:r>
      <w:r>
        <w:t>other ethnicities</w:t>
      </w:r>
      <w:r w:rsidRPr="00200234">
        <w:t xml:space="preserve"> remain on compulsory treatment orders for a similar amount of time. </w:t>
      </w:r>
    </w:p>
    <w:p w14:paraId="65400E87" w14:textId="77777777" w:rsidR="001236DF" w:rsidRDefault="001236DF" w:rsidP="001236DF"/>
    <w:p w14:paraId="657A42A2" w14:textId="77777777" w:rsidR="001236DF" w:rsidRPr="00FA153E" w:rsidRDefault="001236DF" w:rsidP="001236DF">
      <w:r w:rsidRPr="00200234">
        <w:t xml:space="preserve">For community treatment orders </w:t>
      </w:r>
      <w:r>
        <w:t>current at any time during the period from 1 January 2009 to 30 June 2021</w:t>
      </w:r>
      <w:r w:rsidRPr="00FA153E">
        <w:t>, 72.6</w:t>
      </w:r>
      <w:r>
        <w:t>%</w:t>
      </w:r>
      <w:r w:rsidRPr="00FA153E">
        <w:t xml:space="preserve"> of Māori, 73.6</w:t>
      </w:r>
      <w:r>
        <w:t>%</w:t>
      </w:r>
      <w:r w:rsidRPr="00FA153E">
        <w:t xml:space="preserve"> of Pacific peoples and 76.4</w:t>
      </w:r>
      <w:r>
        <w:t>%</w:t>
      </w:r>
      <w:r w:rsidRPr="00FA153E">
        <w:t xml:space="preserve"> of people from other ethnicities were subject to the order for less than a year</w:t>
      </w:r>
      <w:r w:rsidRPr="00200234">
        <w:t xml:space="preserve"> (</w:t>
      </w:r>
      <w:r w:rsidRPr="00FA153E">
        <w:t>Figure </w:t>
      </w:r>
      <w:r>
        <w:rPr>
          <w:noProof/>
        </w:rPr>
        <w:t>10</w:t>
      </w:r>
      <w:r w:rsidRPr="00200234">
        <w:t>)</w:t>
      </w:r>
      <w:r w:rsidRPr="00FA153E">
        <w:t>.</w:t>
      </w:r>
    </w:p>
    <w:p w14:paraId="1E5B28C8" w14:textId="77777777" w:rsidR="001236DF" w:rsidRPr="00FA153E" w:rsidRDefault="001236DF" w:rsidP="001236DF"/>
    <w:p w14:paraId="2A3831A9" w14:textId="0CF2B337" w:rsidR="001236DF" w:rsidRDefault="001236DF" w:rsidP="001236DF">
      <w:r w:rsidRPr="00FA153E">
        <w:t xml:space="preserve">For inpatient orders </w:t>
      </w:r>
      <w:r>
        <w:t>current at any time during the period from 2009 to 2020/21</w:t>
      </w:r>
      <w:r w:rsidRPr="00FA153E">
        <w:t>, 94.8</w:t>
      </w:r>
      <w:r>
        <w:t>%</w:t>
      </w:r>
      <w:r w:rsidRPr="00FA153E">
        <w:t xml:space="preserve"> of Māori, 95</w:t>
      </w:r>
      <w:r>
        <w:t>%</w:t>
      </w:r>
      <w:r w:rsidRPr="00FA153E">
        <w:t xml:space="preserve"> of Pacific peoples and 95.4</w:t>
      </w:r>
      <w:r>
        <w:t>%</w:t>
      </w:r>
      <w:r w:rsidRPr="00FA153E">
        <w:t xml:space="preserve"> of people from other ethnicities were subject to the order for less than a year</w:t>
      </w:r>
      <w:r>
        <w:t xml:space="preserve"> (Figure 11)</w:t>
      </w:r>
      <w:r w:rsidRPr="00FA153E">
        <w:t>.</w:t>
      </w:r>
    </w:p>
    <w:p w14:paraId="72DF360E" w14:textId="0EB38B12" w:rsidR="001236DF" w:rsidRDefault="001236DF" w:rsidP="001236DF">
      <w:pPr>
        <w:pStyle w:val="Figure"/>
      </w:pPr>
      <w:bookmarkStart w:id="134" w:name="_Ref65672142"/>
      <w:bookmarkStart w:id="135" w:name="_Toc63764756"/>
      <w:bookmarkStart w:id="136" w:name="_Toc75176482"/>
      <w:bookmarkStart w:id="137" w:name="_Toc85442572"/>
      <w:bookmarkStart w:id="138" w:name="_Toc85445919"/>
      <w:bookmarkStart w:id="139" w:name="_Toc87429959"/>
      <w:bookmarkStart w:id="140" w:name="_Toc88561391"/>
      <w:bookmarkStart w:id="141" w:name="_Toc115188849"/>
      <w:bookmarkStart w:id="142" w:name="_Toc115272551"/>
      <w:r w:rsidRPr="00FA153E">
        <w:lastRenderedPageBreak/>
        <w:t>Figure </w:t>
      </w:r>
      <w:fldSimple w:instr=" SEQ Figure \* ARABIC ">
        <w:r w:rsidR="009A04B0">
          <w:rPr>
            <w:noProof/>
          </w:rPr>
          <w:t>10</w:t>
        </w:r>
      </w:fldSimple>
      <w:bookmarkEnd w:id="134"/>
      <w:r w:rsidRPr="00FA153E">
        <w:t>: Length of time spent subject to community</w:t>
      </w:r>
      <w:r>
        <w:t xml:space="preserve"> treatment</w:t>
      </w:r>
      <w:r w:rsidRPr="00FA153E">
        <w:t xml:space="preserve"> orders (section 29) under the Mental Health Act</w:t>
      </w:r>
      <w:r>
        <w:t>, by ethnicity</w:t>
      </w:r>
      <w:r w:rsidRPr="00FA153E">
        <w:t xml:space="preserve">, </w:t>
      </w:r>
      <w:r>
        <w:t xml:space="preserve">1 January </w:t>
      </w:r>
      <w:r w:rsidRPr="00FA153E">
        <w:t>2009</w:t>
      </w:r>
      <w:bookmarkEnd w:id="135"/>
      <w:bookmarkEnd w:id="136"/>
      <w:bookmarkEnd w:id="137"/>
      <w:bookmarkEnd w:id="138"/>
      <w:bookmarkEnd w:id="139"/>
      <w:bookmarkEnd w:id="140"/>
      <w:r>
        <w:t xml:space="preserve"> to 30 June 2021</w:t>
      </w:r>
      <w:bookmarkEnd w:id="141"/>
      <w:bookmarkEnd w:id="142"/>
    </w:p>
    <w:p w14:paraId="78299904" w14:textId="77777777" w:rsidR="001236DF" w:rsidRPr="00483F59" w:rsidRDefault="001236DF" w:rsidP="001236DF">
      <w:r>
        <w:rPr>
          <w:noProof/>
        </w:rPr>
        <w:drawing>
          <wp:inline distT="0" distB="0" distL="0" distR="0" wp14:anchorId="6BDDED83" wp14:editId="5E9F4D1A">
            <wp:extent cx="4800600" cy="2847975"/>
            <wp:effectExtent l="0" t="0" r="0" b="0"/>
            <wp:docPr id="11" name="Chart 11" descr="This bar graph shows that around 75% of people were under community treatment orders for less than one year, though the rate was slightly lower for Māori and Pacific peoples than other ethnicities. Approximately 17 percent of people were subject to a community order for two years or more.">
              <a:extLst xmlns:a="http://schemas.openxmlformats.org/drawingml/2006/main">
                <a:ext uri="{FF2B5EF4-FFF2-40B4-BE49-F238E27FC236}">
                  <a16:creationId xmlns:a16="http://schemas.microsoft.com/office/drawing/2014/main" id="{69E02F65-2952-4835-9934-D862348226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EE017E0" w14:textId="77777777" w:rsidR="001236DF" w:rsidRDefault="001236DF" w:rsidP="001236DF">
      <w:pPr>
        <w:pStyle w:val="Note"/>
      </w:pPr>
      <w:r w:rsidRPr="00200234">
        <w:t>Note</w:t>
      </w:r>
      <w:r>
        <w:t>s</w:t>
      </w:r>
      <w:r w:rsidRPr="00200234">
        <w:t xml:space="preserve">: The data refers to treatment orders </w:t>
      </w:r>
      <w:r>
        <w:t>that were current at any point in the period</w:t>
      </w:r>
      <w:r w:rsidRPr="00FA153E">
        <w:t xml:space="preserve"> </w:t>
      </w:r>
      <w:r>
        <w:t xml:space="preserve">from 1 January </w:t>
      </w:r>
      <w:r w:rsidRPr="0035368A">
        <w:t>2009</w:t>
      </w:r>
      <w:r>
        <w:t xml:space="preserve"> to 30 June 2021. Some orders current in this period will have started before 2009. The duration for some orders starting in the most recent 2 years is not yet known as the orders are still current. </w:t>
      </w:r>
    </w:p>
    <w:p w14:paraId="2600DC18" w14:textId="77777777" w:rsidR="001236DF" w:rsidRDefault="001236DF" w:rsidP="001236DF">
      <w:pPr>
        <w:pStyle w:val="Source"/>
      </w:pPr>
      <w:r w:rsidRPr="00200234">
        <w:t>Source</w:t>
      </w:r>
      <w:r>
        <w:t>s</w:t>
      </w:r>
      <w:r w:rsidRPr="00200234">
        <w:t>: PRIMHD data</w:t>
      </w:r>
      <w:r>
        <w:t xml:space="preserve"> (extracted</w:t>
      </w:r>
      <w:r w:rsidRPr="00200234">
        <w:t xml:space="preserve"> </w:t>
      </w:r>
      <w:r>
        <w:t>3 June 2022) and manual data from Auckland and Lakes DHBs.</w:t>
      </w:r>
    </w:p>
    <w:p w14:paraId="0A0857F8" w14:textId="77777777" w:rsidR="001236DF" w:rsidRDefault="001236DF" w:rsidP="001236DF"/>
    <w:p w14:paraId="7D237100" w14:textId="37A3BB37" w:rsidR="001236DF" w:rsidRDefault="001236DF" w:rsidP="001236DF">
      <w:pPr>
        <w:pStyle w:val="Figure"/>
      </w:pPr>
      <w:bookmarkStart w:id="143" w:name="_Toc85442573"/>
      <w:bookmarkStart w:id="144" w:name="_Toc85445920"/>
      <w:bookmarkStart w:id="145" w:name="_Toc87429960"/>
      <w:bookmarkStart w:id="146" w:name="_Toc88561392"/>
      <w:bookmarkStart w:id="147" w:name="_Toc115188850"/>
      <w:bookmarkStart w:id="148" w:name="_Toc115272552"/>
      <w:r w:rsidRPr="0035368A">
        <w:t>Figure </w:t>
      </w:r>
      <w:fldSimple w:instr=" SEQ Figure \* ARABIC ">
        <w:r w:rsidR="009A04B0">
          <w:rPr>
            <w:noProof/>
          </w:rPr>
          <w:t>11</w:t>
        </w:r>
      </w:fldSimple>
      <w:r w:rsidRPr="0035368A">
        <w:t>: Length of time spent subject to inpatient treatment orders (section 30) under the Mental Health Act</w:t>
      </w:r>
      <w:r>
        <w:t>, by ethnicity</w:t>
      </w:r>
      <w:r w:rsidRPr="0035368A">
        <w:t xml:space="preserve">, </w:t>
      </w:r>
      <w:bookmarkEnd w:id="143"/>
      <w:bookmarkEnd w:id="144"/>
      <w:bookmarkEnd w:id="145"/>
      <w:bookmarkEnd w:id="146"/>
      <w:r>
        <w:t xml:space="preserve">1 January </w:t>
      </w:r>
      <w:r w:rsidRPr="00FA153E">
        <w:t>2009</w:t>
      </w:r>
      <w:r>
        <w:t xml:space="preserve"> to 30 June 2021</w:t>
      </w:r>
      <w:bookmarkEnd w:id="147"/>
      <w:bookmarkEnd w:id="148"/>
    </w:p>
    <w:p w14:paraId="53B2F7C6" w14:textId="77777777" w:rsidR="001236DF" w:rsidRPr="00104A5A" w:rsidRDefault="001236DF" w:rsidP="001236DF">
      <w:r>
        <w:rPr>
          <w:noProof/>
        </w:rPr>
        <w:drawing>
          <wp:inline distT="0" distB="0" distL="0" distR="0" wp14:anchorId="298B766C" wp14:editId="0935B6BD">
            <wp:extent cx="4724400" cy="2857500"/>
            <wp:effectExtent l="0" t="0" r="0" b="0"/>
            <wp:docPr id="9" name="Chart 9" descr="Approximately 95% of people were subject to inpatient treatment orders for less than a year. About 3 percent were subject to inpatient treatment orders for two years or more.">
              <a:extLst xmlns:a="http://schemas.openxmlformats.org/drawingml/2006/main">
                <a:ext uri="{FF2B5EF4-FFF2-40B4-BE49-F238E27FC236}">
                  <a16:creationId xmlns:a16="http://schemas.microsoft.com/office/drawing/2014/main" id="{D6CAF6C1-6202-441E-AEE7-C25FECC82A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3D83AA1" w14:textId="77777777" w:rsidR="001236DF" w:rsidRDefault="001236DF" w:rsidP="001236DF">
      <w:pPr>
        <w:pStyle w:val="Note"/>
      </w:pPr>
      <w:r w:rsidRPr="00200234">
        <w:t>Note</w:t>
      </w:r>
      <w:r>
        <w:t>s</w:t>
      </w:r>
      <w:r w:rsidRPr="00200234">
        <w:t xml:space="preserve">: The data refers to treatment orders </w:t>
      </w:r>
      <w:r>
        <w:t>that were current at any point in the period</w:t>
      </w:r>
      <w:r w:rsidRPr="00FA153E">
        <w:t xml:space="preserve"> </w:t>
      </w:r>
      <w:r>
        <w:t xml:space="preserve">from 1 January </w:t>
      </w:r>
      <w:r w:rsidRPr="0035368A">
        <w:t>2009</w:t>
      </w:r>
      <w:r>
        <w:t xml:space="preserve"> to 30 June 2021. Some orders current in this period will have started before 2009. The duration for some orders starting in the </w:t>
      </w:r>
      <w:r w:rsidRPr="00572A13">
        <w:t>most recent 2 years</w:t>
      </w:r>
      <w:r>
        <w:t xml:space="preserve"> is not yet known as the orders are still current. </w:t>
      </w:r>
    </w:p>
    <w:p w14:paraId="694DE1D7" w14:textId="77777777" w:rsidR="001236DF" w:rsidRDefault="001236DF" w:rsidP="001236DF">
      <w:pPr>
        <w:pStyle w:val="Source"/>
      </w:pPr>
      <w:r w:rsidRPr="00200234">
        <w:t>Source</w:t>
      </w:r>
      <w:r>
        <w:t>s</w:t>
      </w:r>
      <w:r w:rsidRPr="00200234">
        <w:t>: PRIMHD data</w:t>
      </w:r>
      <w:r>
        <w:t xml:space="preserve"> (extracted</w:t>
      </w:r>
      <w:r w:rsidRPr="00200234">
        <w:t xml:space="preserve"> </w:t>
      </w:r>
      <w:r>
        <w:t>3 June 2022) and manual data from Auckland and Lakes DHBs.</w:t>
      </w:r>
    </w:p>
    <w:p w14:paraId="55D1F635" w14:textId="77777777" w:rsidR="001236DF" w:rsidRDefault="001236DF" w:rsidP="001236DF"/>
    <w:p w14:paraId="48D5F24A" w14:textId="77777777" w:rsidR="001236DF" w:rsidRDefault="001236DF" w:rsidP="001236DF"/>
    <w:p w14:paraId="33CB54AE" w14:textId="77777777" w:rsidR="001236DF" w:rsidRDefault="001236DF" w:rsidP="001236DF">
      <w:pPr>
        <w:keepNext/>
      </w:pPr>
      <w:r w:rsidRPr="00200234">
        <w:lastRenderedPageBreak/>
        <w:t>The following figures show the rate ratio of Māori to non-Māori subject to indefinite community treatment orders (</w:t>
      </w:r>
      <w:r>
        <w:t>Figure </w:t>
      </w:r>
      <w:r>
        <w:rPr>
          <w:noProof/>
        </w:rPr>
        <w:t>12</w:t>
      </w:r>
      <w:r w:rsidRPr="00200234">
        <w:t>) and indefinite inpatient treatment orders (</w:t>
      </w:r>
      <w:r>
        <w:t>Figure </w:t>
      </w:r>
      <w:r>
        <w:rPr>
          <w:noProof/>
        </w:rPr>
        <w:t>13</w:t>
      </w:r>
      <w:r w:rsidRPr="00200234">
        <w:t>) for each DHB per 100,000 people</w:t>
      </w:r>
      <w:r>
        <w:t xml:space="preserve"> in the general population</w:t>
      </w:r>
      <w:r w:rsidRPr="00200234">
        <w:t>.</w:t>
      </w:r>
    </w:p>
    <w:p w14:paraId="1A7C5B2C" w14:textId="77777777" w:rsidR="001236DF" w:rsidRPr="00200234" w:rsidRDefault="001236DF" w:rsidP="001236DF">
      <w:pPr>
        <w:keepNext/>
      </w:pPr>
    </w:p>
    <w:p w14:paraId="2FC27729" w14:textId="21C1C266" w:rsidR="001236DF" w:rsidRDefault="001236DF" w:rsidP="001236DF">
      <w:pPr>
        <w:pStyle w:val="Figure"/>
      </w:pPr>
      <w:bookmarkStart w:id="149" w:name="_Ref65672180"/>
      <w:bookmarkStart w:id="150" w:name="_Toc63764757"/>
      <w:bookmarkStart w:id="151" w:name="_Toc75176483"/>
      <w:bookmarkStart w:id="152" w:name="_Toc85442574"/>
      <w:bookmarkStart w:id="153" w:name="_Toc85445921"/>
      <w:bookmarkStart w:id="154" w:name="_Toc87429961"/>
      <w:bookmarkStart w:id="155" w:name="_Toc88561393"/>
      <w:bookmarkStart w:id="156" w:name="_Toc115188851"/>
      <w:bookmarkStart w:id="157" w:name="_Toc115272553"/>
      <w:r>
        <w:t>Figure </w:t>
      </w:r>
      <w:fldSimple w:instr=" SEQ Figure \* ARABIC ">
        <w:r w:rsidR="009A04B0">
          <w:rPr>
            <w:noProof/>
          </w:rPr>
          <w:t>12</w:t>
        </w:r>
      </w:fldSimple>
      <w:bookmarkEnd w:id="149"/>
      <w:r w:rsidRPr="0035368A">
        <w:t xml:space="preserve">: Rate ratio of Māori to non-Māori subject to indefinite community treatment orders per 100,000 population, by DHB, 1 </w:t>
      </w:r>
      <w:bookmarkEnd w:id="150"/>
      <w:bookmarkEnd w:id="151"/>
      <w:bookmarkEnd w:id="152"/>
      <w:bookmarkEnd w:id="153"/>
      <w:bookmarkEnd w:id="154"/>
      <w:bookmarkEnd w:id="155"/>
      <w:r w:rsidRPr="0035368A">
        <w:t>July 2020 to 30 June 2021</w:t>
      </w:r>
      <w:bookmarkEnd w:id="156"/>
      <w:bookmarkEnd w:id="157"/>
    </w:p>
    <w:p w14:paraId="52622102" w14:textId="77777777" w:rsidR="001236DF" w:rsidRPr="00200234" w:rsidRDefault="001236DF" w:rsidP="001236DF">
      <w:r>
        <w:rPr>
          <w:noProof/>
        </w:rPr>
        <w:drawing>
          <wp:inline distT="0" distB="0" distL="0" distR="0" wp14:anchorId="54C7D95C" wp14:editId="7B347A09">
            <wp:extent cx="5178056" cy="3434316"/>
            <wp:effectExtent l="0" t="0" r="3810" b="0"/>
            <wp:docPr id="10" name="Chart 10" descr="This graph shows that the ratio of Māori to non-Māori under indefinite community treatment orders was highest in Bay of Plenty, Hawke's Bay, and Waikato at around 4.5 to 1. The New Zealand average was just under 3 to 1. The lowest ratios were in Tairāwhiti and West Coast, at around 1.6 to 1.">
              <a:extLst xmlns:a="http://schemas.openxmlformats.org/drawingml/2006/main">
                <a:ext uri="{FF2B5EF4-FFF2-40B4-BE49-F238E27FC236}">
                  <a16:creationId xmlns:a16="http://schemas.microsoft.com/office/drawing/2014/main" id="{8894E641-1F24-4830-B2F9-C408EC4D21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9991DA6" w14:textId="77777777" w:rsidR="001236DF" w:rsidRDefault="001236DF" w:rsidP="001236DF">
      <w:pPr>
        <w:pStyle w:val="Source"/>
      </w:pPr>
      <w:r w:rsidRPr="00200234">
        <w:t xml:space="preserve">Note: </w:t>
      </w:r>
      <w:r>
        <w:t>Because small numbers substantially increased the size of its error bar, Wairarapa DHB has been excluded from this figure.</w:t>
      </w:r>
      <w:r w:rsidRPr="0035368A">
        <w:t xml:space="preserve"> </w:t>
      </w:r>
    </w:p>
    <w:p w14:paraId="22132D91" w14:textId="77777777" w:rsidR="001236DF" w:rsidRDefault="001236DF" w:rsidP="001236DF">
      <w:pPr>
        <w:pStyle w:val="Source"/>
      </w:pPr>
      <w:r w:rsidRPr="00200234">
        <w:t>Sources: PRIMHD data</w:t>
      </w:r>
      <w:r>
        <w:t xml:space="preserve"> (extracted</w:t>
      </w:r>
      <w:r w:rsidRPr="00200234">
        <w:t xml:space="preserve"> </w:t>
      </w:r>
      <w:r>
        <w:t>3 June 2022) and manual data from Auckland and Lakes DHBs.</w:t>
      </w:r>
      <w:r w:rsidDel="00A17A69">
        <w:t xml:space="preserve"> </w:t>
      </w:r>
    </w:p>
    <w:p w14:paraId="5B67FAB6" w14:textId="3F09FE2B" w:rsidR="0016455D" w:rsidRDefault="0016455D" w:rsidP="0016455D">
      <w:pPr>
        <w:pStyle w:val="Bullet"/>
        <w:numPr>
          <w:ilvl w:val="0"/>
          <w:numId w:val="0"/>
        </w:numPr>
        <w:ind w:left="284" w:hanging="284"/>
      </w:pPr>
    </w:p>
    <w:p w14:paraId="061133FA" w14:textId="77777777" w:rsidR="001236DF" w:rsidRDefault="001236DF" w:rsidP="001236DF">
      <w:pPr>
        <w:pStyle w:val="Figure"/>
        <w:sectPr w:rsidR="001236DF" w:rsidSect="00D40D3F">
          <w:pgSz w:w="11907" w:h="16840" w:code="9"/>
          <w:pgMar w:top="1418" w:right="1701" w:bottom="1134" w:left="1843" w:header="284" w:footer="425" w:gutter="284"/>
          <w:cols w:space="720"/>
        </w:sectPr>
      </w:pPr>
      <w:bookmarkStart w:id="158" w:name="_Ref65672189"/>
      <w:bookmarkStart w:id="159" w:name="_Toc63764759"/>
      <w:bookmarkStart w:id="160" w:name="_Toc75176484"/>
      <w:bookmarkStart w:id="161" w:name="_Toc85442575"/>
      <w:bookmarkStart w:id="162" w:name="_Toc85445922"/>
      <w:bookmarkStart w:id="163" w:name="_Toc87429962"/>
      <w:bookmarkStart w:id="164" w:name="_Toc88561394"/>
      <w:bookmarkStart w:id="165" w:name="_Toc115188852"/>
    </w:p>
    <w:p w14:paraId="534810D7" w14:textId="235E0C2A" w:rsidR="001236DF" w:rsidRDefault="001236DF" w:rsidP="001236DF">
      <w:pPr>
        <w:pStyle w:val="Figure"/>
      </w:pPr>
      <w:bookmarkStart w:id="166" w:name="_Toc115272554"/>
      <w:r>
        <w:lastRenderedPageBreak/>
        <w:t>Figure </w:t>
      </w:r>
      <w:fldSimple w:instr=" SEQ Figure \* ARABIC ">
        <w:r w:rsidR="009A04B0">
          <w:rPr>
            <w:noProof/>
          </w:rPr>
          <w:t>13</w:t>
        </w:r>
      </w:fldSimple>
      <w:bookmarkEnd w:id="158"/>
      <w:r w:rsidRPr="00200234">
        <w:t xml:space="preserve">: </w:t>
      </w:r>
      <w:r w:rsidRPr="00B53A33">
        <w:t xml:space="preserve">Rate ratio of Māori to non-Māori subject to indefinite inpatient treatment orders per 100,000 population, by DHB, 1 </w:t>
      </w:r>
      <w:bookmarkEnd w:id="159"/>
      <w:bookmarkEnd w:id="160"/>
      <w:bookmarkEnd w:id="161"/>
      <w:bookmarkEnd w:id="162"/>
      <w:bookmarkEnd w:id="163"/>
      <w:bookmarkEnd w:id="164"/>
      <w:r w:rsidRPr="00B53A33">
        <w:t>July 2020 to 30 June 2021</w:t>
      </w:r>
      <w:bookmarkEnd w:id="165"/>
      <w:bookmarkEnd w:id="166"/>
    </w:p>
    <w:p w14:paraId="0EBAF295" w14:textId="77777777" w:rsidR="001236DF" w:rsidRPr="00B53A33" w:rsidRDefault="001236DF" w:rsidP="001236DF">
      <w:r>
        <w:rPr>
          <w:noProof/>
        </w:rPr>
        <w:drawing>
          <wp:inline distT="0" distB="0" distL="0" distR="0" wp14:anchorId="7F68CAC8" wp14:editId="6C54A665">
            <wp:extent cx="5295014" cy="3147237"/>
            <wp:effectExtent l="0" t="0" r="1270" b="0"/>
            <wp:docPr id="15" name="Chart 15" descr="This graph shows that the ratio of Māori to non-Māori under indefinite inpatient treatment orders was highest in Waikato at 7 to 1. The next highest were Capital &amp; Coast and MidCentral at around 5.8 and 5.4 to 1. The New Zealand average was just under 3 to 1. The lowest ratio was in Southern, with 0.6 to 1. The next lowest was Whanganui with a ratio of 1.3 to 1.">
              <a:extLst xmlns:a="http://schemas.openxmlformats.org/drawingml/2006/main">
                <a:ext uri="{FF2B5EF4-FFF2-40B4-BE49-F238E27FC236}">
                  <a16:creationId xmlns:a16="http://schemas.microsoft.com/office/drawing/2014/main" id="{021DE563-2B05-49B3-B19E-97551BF738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4F8F5E0" w14:textId="77777777" w:rsidR="001236DF" w:rsidRDefault="001236DF" w:rsidP="001236DF">
      <w:pPr>
        <w:pStyle w:val="Note"/>
      </w:pPr>
      <w:r w:rsidRPr="00200234">
        <w:t>Note</w:t>
      </w:r>
      <w:r>
        <w:t>s</w:t>
      </w:r>
      <w:r w:rsidRPr="00200234">
        <w:t xml:space="preserve">: </w:t>
      </w:r>
      <w:r>
        <w:t>Lakes, Northland, South Canterbury, Tairāwhiti and Wairarapa DHBs had no indefinite orders. In Nelson Marlborough, Taranaki and West Coast DHBs, the rate ratio was zero. These DHBs have been excluded from this graph. The ratios in this figure may be too small to be considered meaningful.</w:t>
      </w:r>
    </w:p>
    <w:p w14:paraId="4DFD719C" w14:textId="77777777" w:rsidR="001236DF" w:rsidRPr="00200234" w:rsidRDefault="001236DF" w:rsidP="001236DF">
      <w:pPr>
        <w:pStyle w:val="Source"/>
      </w:pPr>
      <w:r w:rsidRPr="00200234">
        <w:t>Sources: PRIMHD data</w:t>
      </w:r>
      <w:r>
        <w:t xml:space="preserve"> (extracted 3 June 2022)</w:t>
      </w:r>
      <w:r w:rsidRPr="00A17A69">
        <w:t xml:space="preserve"> </w:t>
      </w:r>
      <w:r>
        <w:t>and manual data from Auckland DHB.</w:t>
      </w:r>
    </w:p>
    <w:p w14:paraId="7E89E72F" w14:textId="77777777" w:rsidR="001236DF" w:rsidRPr="00200234" w:rsidRDefault="001236DF" w:rsidP="001236DF">
      <w:pPr>
        <w:pStyle w:val="Heading2"/>
      </w:pPr>
      <w:bookmarkStart w:id="167" w:name="_Toc65141621"/>
      <w:bookmarkStart w:id="168" w:name="_Toc75176445"/>
      <w:bookmarkStart w:id="169" w:name="_Toc87429907"/>
      <w:bookmarkStart w:id="170" w:name="_Toc88826955"/>
      <w:bookmarkStart w:id="171" w:name="_Toc115188805"/>
      <w:bookmarkStart w:id="172" w:name="_Toc115431703"/>
      <w:r w:rsidRPr="00200234">
        <w:t>Family and whānau consultation under the Mental Health Act</w:t>
      </w:r>
      <w:bookmarkEnd w:id="167"/>
      <w:bookmarkEnd w:id="168"/>
      <w:bookmarkEnd w:id="169"/>
      <w:bookmarkEnd w:id="170"/>
      <w:bookmarkEnd w:id="171"/>
      <w:bookmarkEnd w:id="172"/>
    </w:p>
    <w:p w14:paraId="0B76DF47" w14:textId="77777777" w:rsidR="001236DF" w:rsidRPr="00200234" w:rsidRDefault="001236DF" w:rsidP="001236DF">
      <w:r w:rsidRPr="00200234">
        <w:t>Section 7A of the Mental Health Act requires clinicians to consult family and whānau</w:t>
      </w:r>
      <w:r>
        <w:t>,</w:t>
      </w:r>
      <w:r w:rsidRPr="00200234">
        <w:t xml:space="preserve"> unless </w:t>
      </w:r>
      <w:r>
        <w:t>service providers and clinicians consider it is</w:t>
      </w:r>
      <w:r w:rsidRPr="00200234">
        <w:t xml:space="preserve"> not reasonably practicable or not in the interests of the person being assessed or receiving the treatment.</w:t>
      </w:r>
      <w:r>
        <w:t xml:space="preserve"> Clinicians are encouraged to consider that the term ‘whānau’ could include any set of relationships a patient or proposed patient recognises as their closest connections, with no limitation to blood ties.</w:t>
      </w:r>
    </w:p>
    <w:p w14:paraId="6A605B2A" w14:textId="77777777" w:rsidR="001236DF" w:rsidRPr="00200234" w:rsidRDefault="001236DF" w:rsidP="001236DF"/>
    <w:p w14:paraId="0D965931" w14:textId="77777777" w:rsidR="001236DF" w:rsidRPr="00200234" w:rsidRDefault="001236DF" w:rsidP="001236DF">
      <w:r w:rsidRPr="00200234">
        <w:t xml:space="preserve">In summary, </w:t>
      </w:r>
      <w:r>
        <w:t>from 1 July 2020 to 30 June 2021</w:t>
      </w:r>
      <w:r w:rsidRPr="00200234">
        <w:t>:</w:t>
      </w:r>
    </w:p>
    <w:p w14:paraId="5BE854BC" w14:textId="77777777" w:rsidR="001236DF" w:rsidRPr="00ED4FA1" w:rsidRDefault="001236DF" w:rsidP="001236DF">
      <w:pPr>
        <w:pStyle w:val="Bullet"/>
      </w:pPr>
      <w:r w:rsidRPr="00ED4FA1">
        <w:t xml:space="preserve">on average nationally, </w:t>
      </w:r>
      <w:r>
        <w:t>clinicians consulted 68.5%</w:t>
      </w:r>
      <w:r w:rsidRPr="00ED4FA1">
        <w:t xml:space="preserve"> of families and whānau about Mental Health Act assessment</w:t>
      </w:r>
      <w:r>
        <w:t xml:space="preserve"> or </w:t>
      </w:r>
      <w:r w:rsidRPr="00ED4FA1">
        <w:t>treatment events</w:t>
      </w:r>
    </w:p>
    <w:p w14:paraId="7B07A961" w14:textId="77777777" w:rsidR="001236DF" w:rsidRPr="00ED4FA1" w:rsidRDefault="001236DF" w:rsidP="001236DF">
      <w:pPr>
        <w:pStyle w:val="Bullet"/>
      </w:pPr>
      <w:r w:rsidRPr="00ED4FA1">
        <w:t xml:space="preserve">of all the steps in the Mental Health Act treatment process, </w:t>
      </w:r>
      <w:r>
        <w:t xml:space="preserve">clinicians were most likely to consult </w:t>
      </w:r>
      <w:r w:rsidRPr="00ED4FA1">
        <w:t xml:space="preserve">family and whānau </w:t>
      </w:r>
      <w:r>
        <w:t>at section 14, where a person is issued with a certificate of final assessment</w:t>
      </w:r>
    </w:p>
    <w:p w14:paraId="6FF9DC75" w14:textId="77777777" w:rsidR="001236DF" w:rsidRPr="00ED4FA1" w:rsidRDefault="001236DF" w:rsidP="001236DF">
      <w:pPr>
        <w:pStyle w:val="Bullet"/>
      </w:pPr>
      <w:r w:rsidRPr="00ED4FA1">
        <w:t xml:space="preserve">DHBs varied in </w:t>
      </w:r>
      <w:r>
        <w:t>the extent to which their clinicians</w:t>
      </w:r>
      <w:r w:rsidRPr="00ED4FA1">
        <w:t xml:space="preserve"> consult</w:t>
      </w:r>
      <w:r>
        <w:t>ed</w:t>
      </w:r>
      <w:r w:rsidRPr="00ED4FA1">
        <w:t xml:space="preserve"> with families and whānau</w:t>
      </w:r>
    </w:p>
    <w:p w14:paraId="5F8B55D6" w14:textId="77777777" w:rsidR="001236DF" w:rsidRPr="00ED4FA1" w:rsidRDefault="001236DF" w:rsidP="001236DF">
      <w:pPr>
        <w:pStyle w:val="Bullet"/>
      </w:pPr>
      <w:r w:rsidRPr="00ED4FA1">
        <w:t>the most common reason why families and whānau were not consulted was that</w:t>
      </w:r>
      <w:r>
        <w:t xml:space="preserve"> service providers and clinicians considered consultation was not reasonably practicable in the particular circumstance.</w:t>
      </w:r>
    </w:p>
    <w:p w14:paraId="0B425915" w14:textId="77777777" w:rsidR="001236DF" w:rsidRPr="00200234" w:rsidRDefault="001236DF" w:rsidP="001236DF">
      <w:r>
        <w:lastRenderedPageBreak/>
        <w:t>Figure </w:t>
      </w:r>
      <w:r>
        <w:rPr>
          <w:noProof/>
        </w:rPr>
        <w:t>14</w:t>
      </w:r>
      <w:r w:rsidRPr="00200234">
        <w:t xml:space="preserve"> shows the percentage of cases in which consultation with families and whānau occurred at </w:t>
      </w:r>
      <w:r>
        <w:t>4</w:t>
      </w:r>
      <w:r w:rsidRPr="00200234">
        <w:t xml:space="preserve"> points in the assessment and treatment process</w:t>
      </w:r>
      <w:r>
        <w:t>.</w:t>
      </w:r>
    </w:p>
    <w:p w14:paraId="0B6043EA" w14:textId="77777777" w:rsidR="001236DF" w:rsidRPr="00200234" w:rsidRDefault="001236DF" w:rsidP="001236DF"/>
    <w:p w14:paraId="071A0DDA" w14:textId="4573F922" w:rsidR="001236DF" w:rsidRDefault="001236DF" w:rsidP="001236DF">
      <w:pPr>
        <w:pStyle w:val="Figure"/>
      </w:pPr>
      <w:bookmarkStart w:id="173" w:name="_Ref65672317"/>
      <w:bookmarkStart w:id="174" w:name="_Toc63764761"/>
      <w:bookmarkStart w:id="175" w:name="_Toc75176485"/>
      <w:bookmarkStart w:id="176" w:name="_Toc85442576"/>
      <w:bookmarkStart w:id="177" w:name="_Toc85445923"/>
      <w:bookmarkStart w:id="178" w:name="_Toc87429963"/>
      <w:bookmarkStart w:id="179" w:name="_Toc88561395"/>
      <w:bookmarkStart w:id="180" w:name="_Toc115188853"/>
      <w:bookmarkStart w:id="181" w:name="_Toc115272555"/>
      <w:r>
        <w:t>Figure </w:t>
      </w:r>
      <w:fldSimple w:instr=" SEQ Figure \* ARABIC ">
        <w:r w:rsidR="009A04B0">
          <w:rPr>
            <w:noProof/>
          </w:rPr>
          <w:t>14</w:t>
        </w:r>
      </w:fldSimple>
      <w:bookmarkEnd w:id="173"/>
      <w:r w:rsidRPr="00200234">
        <w:t xml:space="preserve">: </w:t>
      </w:r>
      <w:r w:rsidRPr="00001562">
        <w:t>Average national percentage of family</w:t>
      </w:r>
      <w:r>
        <w:t xml:space="preserve"> and </w:t>
      </w:r>
      <w:r w:rsidRPr="00001562">
        <w:t>whānau consultation for particular assessment</w:t>
      </w:r>
      <w:r>
        <w:t xml:space="preserve"> or </w:t>
      </w:r>
      <w:r w:rsidRPr="00001562">
        <w:t>treatment events, sections 10, 12, 14</w:t>
      </w:r>
      <w:r>
        <w:t>,</w:t>
      </w:r>
      <w:r w:rsidRPr="00001562">
        <w:t xml:space="preserve"> and 76</w:t>
      </w:r>
      <w:r>
        <w:t>, 77 and 78</w:t>
      </w:r>
      <w:r w:rsidRPr="00001562">
        <w:t xml:space="preserve">, 1 </w:t>
      </w:r>
      <w:bookmarkEnd w:id="174"/>
      <w:bookmarkEnd w:id="175"/>
      <w:bookmarkEnd w:id="176"/>
      <w:bookmarkEnd w:id="177"/>
      <w:bookmarkEnd w:id="178"/>
      <w:bookmarkEnd w:id="179"/>
      <w:r w:rsidRPr="00001562">
        <w:t>July 2020 to 30 June 2021</w:t>
      </w:r>
      <w:bookmarkEnd w:id="180"/>
      <w:bookmarkEnd w:id="181"/>
    </w:p>
    <w:p w14:paraId="0D920D42" w14:textId="77777777" w:rsidR="001236DF" w:rsidRPr="00001562" w:rsidRDefault="001236DF" w:rsidP="001236DF">
      <w:r>
        <w:rPr>
          <w:noProof/>
        </w:rPr>
        <w:drawing>
          <wp:inline distT="0" distB="0" distL="0" distR="0" wp14:anchorId="30039E68" wp14:editId="617381A4">
            <wp:extent cx="4448175" cy="2657475"/>
            <wp:effectExtent l="0" t="0" r="0" b="0"/>
            <wp:docPr id="16" name="Chart 16" descr="This bar graph shows that family/whānau were consulted in 70% of section 10 events. For section 12 cases, family were consulted in 69% of the time. For section 14, they were consulted in 74.7% of cases. For section 76, 77 and 78 reviews, they were consulted in 58.8% of cases.">
              <a:extLst xmlns:a="http://schemas.openxmlformats.org/drawingml/2006/main">
                <a:ext uri="{FF2B5EF4-FFF2-40B4-BE49-F238E27FC236}">
                  <a16:creationId xmlns:a16="http://schemas.microsoft.com/office/drawing/2014/main" id="{BDC188D7-6A53-4E53-AD3E-27E51A5DCC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7136522" w14:textId="77777777" w:rsidR="001236DF" w:rsidRPr="004C772A" w:rsidRDefault="001236DF" w:rsidP="001236DF">
      <w:pPr>
        <w:pStyle w:val="Note"/>
      </w:pPr>
      <w:r w:rsidRPr="00200234">
        <w:t>Note</w:t>
      </w:r>
      <w:r>
        <w:t>: Previous reports described ‘sections 76/77/78’ as ‘section 76’. Section 76 relates to clinical reviews of people subject to compulsory treatment orders, whereas clinical review for special patients is covered in section 77 and for restricted patients is covered in section 78. The data for sections 77 and 78 was previously included under the title ‘section 76’, not excluded from the reporting completely.</w:t>
      </w:r>
    </w:p>
    <w:p w14:paraId="7E1BA01D" w14:textId="77777777" w:rsidR="001236DF" w:rsidRDefault="001236DF" w:rsidP="001236DF">
      <w:pPr>
        <w:pStyle w:val="Source"/>
      </w:pPr>
      <w:r w:rsidRPr="00200234">
        <w:t>Source: Office of the Director of Mental Health and Addiction Services records.</w:t>
      </w:r>
    </w:p>
    <w:p w14:paraId="04DA85C7" w14:textId="77777777" w:rsidR="001236DF" w:rsidRPr="00200234" w:rsidRDefault="001236DF" w:rsidP="001236DF"/>
    <w:p w14:paraId="4E4AE5E7" w14:textId="77777777" w:rsidR="001236DF" w:rsidRDefault="001236DF" w:rsidP="001236DF">
      <w:r w:rsidRPr="00200234">
        <w:t xml:space="preserve">On average nationally during </w:t>
      </w:r>
      <w:r>
        <w:t>this 12-month period,</w:t>
      </w:r>
      <w:r w:rsidRPr="00200234">
        <w:t xml:space="preserve"> </w:t>
      </w:r>
      <w:r>
        <w:t>66.8%</w:t>
      </w:r>
      <w:r w:rsidRPr="00200234">
        <w:t xml:space="preserve"> of cases included consultation with family and whānau across </w:t>
      </w:r>
      <w:r>
        <w:t xml:space="preserve">the </w:t>
      </w:r>
      <w:r w:rsidRPr="00200234">
        <w:t xml:space="preserve">assessment and treatment events. </w:t>
      </w:r>
      <w:r>
        <w:t xml:space="preserve">Tairāwhiti </w:t>
      </w:r>
      <w:r w:rsidRPr="00200234">
        <w:t xml:space="preserve">had the highest rate of consultation at </w:t>
      </w:r>
      <w:r>
        <w:t>85.5%</w:t>
      </w:r>
      <w:r w:rsidRPr="00200234">
        <w:t xml:space="preserve"> and </w:t>
      </w:r>
      <w:r>
        <w:t>Northland</w:t>
      </w:r>
      <w:r w:rsidRPr="00200234">
        <w:t xml:space="preserve"> had the lowest at </w:t>
      </w:r>
      <w:r>
        <w:t>47.5%</w:t>
      </w:r>
      <w:r w:rsidRPr="00200234">
        <w:t xml:space="preserve"> (</w:t>
      </w:r>
      <w:r>
        <w:t>Figure </w:t>
      </w:r>
      <w:r>
        <w:rPr>
          <w:noProof/>
        </w:rPr>
        <w:t>15</w:t>
      </w:r>
      <w:r w:rsidRPr="00200234">
        <w:t>).</w:t>
      </w:r>
      <w:r>
        <w:t xml:space="preserve"> </w:t>
      </w:r>
    </w:p>
    <w:p w14:paraId="2A62BB1E" w14:textId="77777777" w:rsidR="001236DF" w:rsidRDefault="001236DF" w:rsidP="001236DF"/>
    <w:p w14:paraId="28B12C77" w14:textId="77777777" w:rsidR="001236DF" w:rsidRPr="00200234" w:rsidRDefault="001236DF" w:rsidP="001236DF">
      <w:r>
        <w:t>As Figure 16 shows, where</w:t>
      </w:r>
      <w:r w:rsidRPr="00670ADB">
        <w:t xml:space="preserve"> </w:t>
      </w:r>
      <w:r w:rsidRPr="00ED4FA1">
        <w:t>families and whānau were not consulted</w:t>
      </w:r>
      <w:r>
        <w:t xml:space="preserve">, by far the </w:t>
      </w:r>
      <w:r w:rsidRPr="00ED4FA1">
        <w:t xml:space="preserve">most common reason </w:t>
      </w:r>
      <w:r>
        <w:t xml:space="preserve">(in 80.4% of cases) </w:t>
      </w:r>
      <w:r w:rsidRPr="00ED4FA1">
        <w:t>was that</w:t>
      </w:r>
      <w:r>
        <w:t xml:space="preserve"> service providers and clinicians considered consultation was not reasonably practicable in the particular circumstance.</w:t>
      </w:r>
    </w:p>
    <w:p w14:paraId="599094E3" w14:textId="77777777" w:rsidR="001236DF" w:rsidRDefault="001236DF" w:rsidP="001236DF">
      <w:pPr>
        <w:rPr>
          <w:lang w:eastAsia="en-US"/>
        </w:rPr>
      </w:pPr>
    </w:p>
    <w:p w14:paraId="6D3A0C3A" w14:textId="77777777" w:rsidR="001236DF" w:rsidRDefault="001236DF" w:rsidP="001236DF">
      <w:pPr>
        <w:rPr>
          <w:lang w:eastAsia="en-US"/>
        </w:rPr>
      </w:pPr>
    </w:p>
    <w:p w14:paraId="66F408C6" w14:textId="43135661" w:rsidR="001236DF" w:rsidRDefault="001236DF" w:rsidP="001236DF">
      <w:pPr>
        <w:pStyle w:val="Figure"/>
      </w:pPr>
      <w:bookmarkStart w:id="182" w:name="_Ref85450395"/>
      <w:bookmarkStart w:id="183" w:name="_Toc85442577"/>
      <w:bookmarkStart w:id="184" w:name="_Toc85445924"/>
      <w:bookmarkStart w:id="185" w:name="_Toc87429964"/>
      <w:bookmarkStart w:id="186" w:name="_Toc88561396"/>
      <w:bookmarkStart w:id="187" w:name="_Toc115188854"/>
      <w:bookmarkStart w:id="188" w:name="_Toc115272556"/>
      <w:r>
        <w:lastRenderedPageBreak/>
        <w:t>Figure </w:t>
      </w:r>
      <w:fldSimple w:instr=" SEQ Figure \* ARABIC ">
        <w:r w:rsidR="009A04B0">
          <w:rPr>
            <w:noProof/>
          </w:rPr>
          <w:t>15</w:t>
        </w:r>
      </w:fldSimple>
      <w:bookmarkEnd w:id="182"/>
      <w:r w:rsidRPr="00200234">
        <w:t xml:space="preserve">: </w:t>
      </w:r>
      <w:r w:rsidRPr="00247821">
        <w:t>Average percentage of family</w:t>
      </w:r>
      <w:r>
        <w:t xml:space="preserve"> and </w:t>
      </w:r>
      <w:r w:rsidRPr="00247821">
        <w:t>whānau consultation across all assessment</w:t>
      </w:r>
      <w:r>
        <w:t xml:space="preserve"> and </w:t>
      </w:r>
      <w:r w:rsidRPr="00247821">
        <w:t xml:space="preserve">treatment events, by DHB, 1 </w:t>
      </w:r>
      <w:bookmarkEnd w:id="183"/>
      <w:bookmarkEnd w:id="184"/>
      <w:bookmarkEnd w:id="185"/>
      <w:bookmarkEnd w:id="186"/>
      <w:r w:rsidRPr="00247821">
        <w:t>July 2020 to 30 June 2021</w:t>
      </w:r>
      <w:bookmarkEnd w:id="187"/>
      <w:bookmarkEnd w:id="188"/>
    </w:p>
    <w:p w14:paraId="3B018FF0" w14:textId="77777777" w:rsidR="001236DF" w:rsidRPr="00E02D27" w:rsidRDefault="001236DF" w:rsidP="001236DF">
      <w:pPr>
        <w:rPr>
          <w:rStyle w:val="NoteChar"/>
        </w:rPr>
      </w:pPr>
      <w:r>
        <w:rPr>
          <w:noProof/>
        </w:rPr>
        <w:drawing>
          <wp:inline distT="0" distB="0" distL="0" distR="0" wp14:anchorId="587616EA" wp14:editId="7BE983F3">
            <wp:extent cx="5486400" cy="3804920"/>
            <wp:effectExtent l="0" t="0" r="0" b="5080"/>
            <wp:docPr id="56" name="Chart 56" descr="This graph shows that the average family consultation rate across New Zealand was 68.5%. Tairāwhiti DHB had the highest consultation rate with 85.5%. Bay of Plenty, Canterbury, Hawke's Bay, Hutt Valley, Nelson Marlborough, South Canterbury, Taranaki and Waitematā had consultation rates higher than the average. MidCentral, Northland, and Waikato all had the lowest consultation rates, being 57.7%, 47.5% and 57% respectively. ">
              <a:extLst xmlns:a="http://schemas.openxmlformats.org/drawingml/2006/main">
                <a:ext uri="{FF2B5EF4-FFF2-40B4-BE49-F238E27FC236}">
                  <a16:creationId xmlns:a16="http://schemas.microsoft.com/office/drawing/2014/main" id="{B05C339B-3C09-42DB-8DC7-8BA90528B6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5FBB544" w14:textId="77777777" w:rsidR="001236DF" w:rsidRDefault="001236DF" w:rsidP="001236DF">
      <w:pPr>
        <w:pStyle w:val="Source"/>
      </w:pPr>
      <w:r w:rsidRPr="00200234">
        <w:rPr>
          <w:rStyle w:val="NoteChar"/>
          <w:rFonts w:eastAsiaTheme="minorHAnsi"/>
        </w:rPr>
        <w:t>Source: Office of the Director of Mental Health and Addiction Services records.</w:t>
      </w:r>
    </w:p>
    <w:p w14:paraId="6465CBB1" w14:textId="77777777" w:rsidR="001236DF" w:rsidRPr="00200234" w:rsidRDefault="001236DF" w:rsidP="001236DF"/>
    <w:p w14:paraId="304424E9" w14:textId="54D0931D" w:rsidR="001236DF" w:rsidRDefault="001236DF" w:rsidP="001236DF">
      <w:pPr>
        <w:pStyle w:val="Figure"/>
      </w:pPr>
      <w:bookmarkStart w:id="189" w:name="_Toc63764764"/>
      <w:bookmarkStart w:id="190" w:name="_Toc75176487"/>
      <w:bookmarkStart w:id="191" w:name="_Toc85442578"/>
      <w:bookmarkStart w:id="192" w:name="_Toc85445925"/>
      <w:bookmarkStart w:id="193" w:name="_Toc87429965"/>
      <w:bookmarkStart w:id="194" w:name="_Toc88561397"/>
      <w:bookmarkStart w:id="195" w:name="_Toc115188855"/>
      <w:bookmarkStart w:id="196" w:name="_Toc115272557"/>
      <w:r>
        <w:t>Figure </w:t>
      </w:r>
      <w:fldSimple w:instr=" SEQ Figure \* ARABIC ">
        <w:r w:rsidR="009A04B0">
          <w:rPr>
            <w:noProof/>
          </w:rPr>
          <w:t>16</w:t>
        </w:r>
      </w:fldSimple>
      <w:r w:rsidRPr="00200234">
        <w:t xml:space="preserve">: </w:t>
      </w:r>
      <w:r w:rsidRPr="00513103">
        <w:t xml:space="preserve">Reasons for not consulting families and whānau, 1 </w:t>
      </w:r>
      <w:bookmarkEnd w:id="189"/>
      <w:bookmarkEnd w:id="190"/>
      <w:bookmarkEnd w:id="191"/>
      <w:bookmarkEnd w:id="192"/>
      <w:bookmarkEnd w:id="193"/>
      <w:bookmarkEnd w:id="194"/>
      <w:r w:rsidRPr="00513103">
        <w:t>July 2020 to 30 June 2021</w:t>
      </w:r>
      <w:bookmarkEnd w:id="195"/>
      <w:bookmarkEnd w:id="196"/>
    </w:p>
    <w:p w14:paraId="4148CFCB" w14:textId="77777777" w:rsidR="001236DF" w:rsidRPr="00513103" w:rsidRDefault="001236DF" w:rsidP="001236DF">
      <w:r>
        <w:rPr>
          <w:noProof/>
        </w:rPr>
        <w:drawing>
          <wp:inline distT="0" distB="0" distL="0" distR="0" wp14:anchorId="28855921" wp14:editId="60381D61">
            <wp:extent cx="3905250" cy="2733675"/>
            <wp:effectExtent l="0" t="0" r="0" b="0"/>
            <wp:docPr id="17" name="Chart 17" descr="This bar chart shows that in 80% of cases where the family was not consulted, the reason was because it was not practicable. The reason was not recorded in 3.8% of cases. For 9.9% of cases it was not in the best interest of the patient.">
              <a:extLst xmlns:a="http://schemas.openxmlformats.org/drawingml/2006/main">
                <a:ext uri="{FF2B5EF4-FFF2-40B4-BE49-F238E27FC236}">
                  <a16:creationId xmlns:a16="http://schemas.microsoft.com/office/drawing/2014/main" id="{3E6B6D8E-6700-415F-A017-2506718177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1586DB9" w14:textId="77777777" w:rsidR="001236DF" w:rsidRPr="00513103" w:rsidRDefault="001236DF" w:rsidP="001236DF">
      <w:pPr>
        <w:pStyle w:val="Source"/>
        <w:rPr>
          <w:rStyle w:val="NoteChar"/>
          <w:rFonts w:eastAsiaTheme="minorHAnsi"/>
        </w:rPr>
      </w:pPr>
      <w:r w:rsidRPr="00513103">
        <w:rPr>
          <w:rStyle w:val="NoteChar"/>
          <w:rFonts w:eastAsiaTheme="minorHAnsi"/>
        </w:rPr>
        <w:t>Source: Office of the Director of Mental Health and Addiction Services records.</w:t>
      </w:r>
    </w:p>
    <w:p w14:paraId="6C9FF551" w14:textId="77777777" w:rsidR="001236DF" w:rsidRDefault="001236DF" w:rsidP="001236DF">
      <w:pPr>
        <w:rPr>
          <w:lang w:eastAsia="en-US"/>
        </w:rPr>
        <w:sectPr w:rsidR="001236DF" w:rsidSect="00D40D3F">
          <w:pgSz w:w="11907" w:h="16840" w:code="9"/>
          <w:pgMar w:top="1418" w:right="1701" w:bottom="1134" w:left="1843" w:header="284" w:footer="425" w:gutter="284"/>
          <w:cols w:space="720"/>
        </w:sectPr>
      </w:pPr>
    </w:p>
    <w:p w14:paraId="4F930801" w14:textId="77777777" w:rsidR="001236DF" w:rsidRPr="00200234" w:rsidRDefault="001236DF" w:rsidP="001236DF">
      <w:pPr>
        <w:pStyle w:val="Heading1"/>
        <w:spacing w:before="0"/>
      </w:pPr>
      <w:bookmarkStart w:id="197" w:name="_Toc65236597"/>
      <w:bookmarkStart w:id="198" w:name="_Toc65141616"/>
      <w:bookmarkStart w:id="199" w:name="_Toc75176439"/>
      <w:bookmarkStart w:id="200" w:name="_Toc87429908"/>
      <w:bookmarkStart w:id="201" w:name="_Toc88826956"/>
      <w:bookmarkStart w:id="202" w:name="_Toc115188806"/>
      <w:bookmarkStart w:id="203" w:name="_Toc115431704"/>
      <w:r w:rsidRPr="00200234">
        <w:lastRenderedPageBreak/>
        <w:t>Indefinite compulsory treatment orders</w:t>
      </w:r>
      <w:bookmarkEnd w:id="197"/>
      <w:bookmarkEnd w:id="198"/>
      <w:bookmarkEnd w:id="199"/>
      <w:bookmarkEnd w:id="200"/>
      <w:bookmarkEnd w:id="201"/>
      <w:bookmarkEnd w:id="202"/>
      <w:bookmarkEnd w:id="203"/>
    </w:p>
    <w:p w14:paraId="56A6F7A3" w14:textId="77777777" w:rsidR="001236DF" w:rsidRPr="00200234" w:rsidRDefault="001236DF" w:rsidP="001236DF">
      <w:r w:rsidRPr="00200234">
        <w:t xml:space="preserve">In summary, on </w:t>
      </w:r>
      <w:r>
        <w:t>30 June 2021</w:t>
      </w:r>
      <w:r w:rsidRPr="00200234">
        <w:t>:</w:t>
      </w:r>
      <w:r w:rsidRPr="0029060A">
        <w:rPr>
          <w:rStyle w:val="FootnoteReference"/>
        </w:rPr>
        <w:footnoteReference w:id="11"/>
      </w:r>
    </w:p>
    <w:p w14:paraId="5E7709EB" w14:textId="77777777" w:rsidR="001236DF" w:rsidRPr="00ED4FA1" w:rsidRDefault="001236DF" w:rsidP="001236DF">
      <w:pPr>
        <w:pStyle w:val="Bullet"/>
      </w:pPr>
      <w:r>
        <w:t>2,836</w:t>
      </w:r>
      <w:r w:rsidRPr="00ED4FA1">
        <w:t xml:space="preserve"> </w:t>
      </w:r>
      <w:r>
        <w:t>people</w:t>
      </w:r>
      <w:r w:rsidRPr="00ED4FA1">
        <w:t xml:space="preserve"> were subject to indefinite compulsory treatment orders</w:t>
      </w:r>
    </w:p>
    <w:p w14:paraId="17C4772E" w14:textId="77777777" w:rsidR="001236DF" w:rsidRPr="00ED4FA1" w:rsidRDefault="001236DF" w:rsidP="001236DF">
      <w:pPr>
        <w:pStyle w:val="Bullet"/>
      </w:pPr>
      <w:r>
        <w:t>2,668</w:t>
      </w:r>
      <w:r w:rsidRPr="00ED4FA1">
        <w:t xml:space="preserve"> </w:t>
      </w:r>
      <w:r>
        <w:t>people</w:t>
      </w:r>
      <w:r w:rsidRPr="00ED4FA1">
        <w:t xml:space="preserve"> (</w:t>
      </w:r>
      <w:r>
        <w:t>56.9%</w:t>
      </w:r>
      <w:r w:rsidRPr="00ED4FA1">
        <w:t xml:space="preserve"> of all </w:t>
      </w:r>
      <w:r>
        <w:t>individuals</w:t>
      </w:r>
      <w:r w:rsidRPr="00ED4FA1">
        <w:t xml:space="preserve"> on community treatment orders) were subject to indefinite community treatment orders</w:t>
      </w:r>
    </w:p>
    <w:p w14:paraId="671CEE62" w14:textId="77777777" w:rsidR="001236DF" w:rsidRPr="00ED4FA1" w:rsidRDefault="001236DF" w:rsidP="001236DF">
      <w:pPr>
        <w:pStyle w:val="Bullet"/>
      </w:pPr>
      <w:r>
        <w:t>192</w:t>
      </w:r>
      <w:r w:rsidRPr="00ED4FA1">
        <w:t xml:space="preserve"> </w:t>
      </w:r>
      <w:r>
        <w:t>people</w:t>
      </w:r>
      <w:r w:rsidRPr="00ED4FA1">
        <w:t xml:space="preserve"> were subject to indefinite inpatient treatment orders</w:t>
      </w:r>
      <w:r>
        <w:t xml:space="preserve"> </w:t>
      </w:r>
      <w:r>
        <w:rPr>
          <w:rFonts w:cs="Segoe UI"/>
        </w:rPr>
        <w:t>—</w:t>
      </w:r>
      <w:r w:rsidRPr="00ED4FA1">
        <w:t xml:space="preserve"> this represents </w:t>
      </w:r>
      <w:r>
        <w:t>26.9%</w:t>
      </w:r>
      <w:r w:rsidRPr="00ED4FA1">
        <w:t xml:space="preserve"> of all </w:t>
      </w:r>
      <w:r>
        <w:t>individuals</w:t>
      </w:r>
      <w:r w:rsidRPr="00ED4FA1">
        <w:t xml:space="preserve"> on inpatient treatment orders</w:t>
      </w:r>
    </w:p>
    <w:p w14:paraId="5BF21B2A" w14:textId="77777777" w:rsidR="001236DF" w:rsidRPr="00ED4FA1" w:rsidRDefault="001236DF" w:rsidP="001236DF">
      <w:pPr>
        <w:pStyle w:val="Bullet"/>
      </w:pPr>
      <w:bookmarkStart w:id="204" w:name="_Hlk84231012"/>
      <w:r w:rsidRPr="00ED4FA1">
        <w:t xml:space="preserve">the average period for which a </w:t>
      </w:r>
      <w:r>
        <w:t>person</w:t>
      </w:r>
      <w:r w:rsidRPr="00ED4FA1">
        <w:t xml:space="preserve"> was subject to an indefinite community treatment order was </w:t>
      </w:r>
      <w:r>
        <w:t>1,620</w:t>
      </w:r>
      <w:r w:rsidRPr="00ED4FA1">
        <w:t xml:space="preserve"> days</w:t>
      </w:r>
      <w:r>
        <w:t xml:space="preserve"> (about 4 and a half years),</w:t>
      </w:r>
      <w:r w:rsidRPr="00ED4FA1">
        <w:t xml:space="preserve"> and the maximum period was </w:t>
      </w:r>
      <w:r>
        <w:t>10,103</w:t>
      </w:r>
      <w:r w:rsidRPr="00ED4FA1">
        <w:t xml:space="preserve"> days (</w:t>
      </w:r>
      <w:r>
        <w:t>about</w:t>
      </w:r>
      <w:r w:rsidRPr="00ED4FA1">
        <w:t xml:space="preserve"> </w:t>
      </w:r>
      <w:r>
        <w:t>27 and a half</w:t>
      </w:r>
      <w:r w:rsidRPr="00ED4FA1">
        <w:t xml:space="preserve"> years)</w:t>
      </w:r>
    </w:p>
    <w:p w14:paraId="7208F3DF" w14:textId="77777777" w:rsidR="001236DF" w:rsidRDefault="001236DF" w:rsidP="001236DF">
      <w:pPr>
        <w:pStyle w:val="Bullet"/>
      </w:pPr>
      <w:r w:rsidRPr="00ED4FA1">
        <w:t xml:space="preserve">the average period for which a </w:t>
      </w:r>
      <w:r>
        <w:t>person</w:t>
      </w:r>
      <w:r w:rsidRPr="00ED4FA1">
        <w:t xml:space="preserve"> was subject to an indefinite inpatient treatment order was</w:t>
      </w:r>
      <w:r>
        <w:t xml:space="preserve"> 1,534</w:t>
      </w:r>
      <w:r w:rsidRPr="00ED4FA1">
        <w:t xml:space="preserve"> days</w:t>
      </w:r>
      <w:r>
        <w:t xml:space="preserve"> (about 4 years)</w:t>
      </w:r>
      <w:r w:rsidRPr="00ED4FA1">
        <w:t xml:space="preserve"> and the maximum period was </w:t>
      </w:r>
      <w:r>
        <w:t>7,931</w:t>
      </w:r>
      <w:r w:rsidRPr="00ED4FA1">
        <w:t xml:space="preserve"> days (</w:t>
      </w:r>
      <w:r>
        <w:t>about</w:t>
      </w:r>
      <w:r w:rsidRPr="00ED4FA1">
        <w:t xml:space="preserve"> </w:t>
      </w:r>
      <w:r>
        <w:t>22</w:t>
      </w:r>
      <w:r w:rsidRPr="00ED4FA1">
        <w:t xml:space="preserve"> years).</w:t>
      </w:r>
    </w:p>
    <w:p w14:paraId="5C809524" w14:textId="77777777" w:rsidR="001236DF" w:rsidRPr="00200234" w:rsidRDefault="001236DF" w:rsidP="001236DF">
      <w:pPr>
        <w:pStyle w:val="Heading2"/>
      </w:pPr>
      <w:bookmarkStart w:id="205" w:name="_Toc65236598"/>
      <w:bookmarkStart w:id="206" w:name="_Toc65141617"/>
      <w:bookmarkStart w:id="207" w:name="_Toc75176440"/>
      <w:bookmarkStart w:id="208" w:name="_Toc87429909"/>
      <w:bookmarkStart w:id="209" w:name="_Toc88826957"/>
      <w:bookmarkStart w:id="210" w:name="_Toc115188807"/>
      <w:bookmarkStart w:id="211" w:name="_Toc115431705"/>
      <w:bookmarkEnd w:id="204"/>
      <w:r w:rsidRPr="00200234">
        <w:t>Indefinite community treatment orders</w:t>
      </w:r>
      <w:bookmarkEnd w:id="205"/>
      <w:bookmarkEnd w:id="206"/>
      <w:bookmarkEnd w:id="207"/>
      <w:bookmarkEnd w:id="208"/>
      <w:bookmarkEnd w:id="209"/>
      <w:bookmarkEnd w:id="210"/>
      <w:bookmarkEnd w:id="211"/>
    </w:p>
    <w:p w14:paraId="4BE66BE8" w14:textId="77777777" w:rsidR="001236DF" w:rsidRDefault="001236DF" w:rsidP="001236DF">
      <w:r>
        <w:t>From 1 July 2020 to 30 June 2021</w:t>
      </w:r>
      <w:r w:rsidRPr="00200234">
        <w:t xml:space="preserve">, </w:t>
      </w:r>
      <w:r>
        <w:t>52.1</w:t>
      </w:r>
      <w:r w:rsidRPr="00200234">
        <w:t xml:space="preserve"> people per 100,000 population across </w:t>
      </w:r>
      <w:r>
        <w:t>Aotearoa</w:t>
      </w:r>
      <w:r w:rsidRPr="00200234">
        <w:t xml:space="preserve"> were subject to indefinite community treatment orders. </w:t>
      </w:r>
      <w:r>
        <w:t>Figure </w:t>
      </w:r>
      <w:r>
        <w:rPr>
          <w:noProof/>
        </w:rPr>
        <w:t>17</w:t>
      </w:r>
      <w:r w:rsidRPr="00200234">
        <w:t xml:space="preserve"> shows the rates of indefinite community treatment orders in each DHB, per 100,000 of the general population.</w:t>
      </w:r>
    </w:p>
    <w:p w14:paraId="4E8FD2BC" w14:textId="77777777" w:rsidR="001236DF" w:rsidRDefault="001236DF" w:rsidP="001236DF">
      <w:pPr>
        <w:rPr>
          <w:lang w:eastAsia="en-US"/>
        </w:rPr>
      </w:pPr>
    </w:p>
    <w:p w14:paraId="1A4C0678" w14:textId="77777777" w:rsidR="001236DF" w:rsidRDefault="001236DF" w:rsidP="001236DF">
      <w:pPr>
        <w:rPr>
          <w:lang w:eastAsia="en-US"/>
        </w:rPr>
      </w:pPr>
    </w:p>
    <w:p w14:paraId="71A0DE91" w14:textId="0A3F3FDC" w:rsidR="001236DF" w:rsidRDefault="001236DF" w:rsidP="001236DF">
      <w:pPr>
        <w:pStyle w:val="Figure"/>
      </w:pPr>
      <w:bookmarkStart w:id="212" w:name="_Ref65671888"/>
      <w:bookmarkStart w:id="213" w:name="_Toc65574436"/>
      <w:bookmarkStart w:id="214" w:name="_Toc63764746"/>
      <w:bookmarkStart w:id="215" w:name="_Toc75176475"/>
      <w:bookmarkStart w:id="216" w:name="_Toc85442565"/>
      <w:bookmarkStart w:id="217" w:name="_Toc85445907"/>
      <w:bookmarkStart w:id="218" w:name="_Toc87429966"/>
      <w:bookmarkStart w:id="219" w:name="_Toc88561398"/>
      <w:bookmarkStart w:id="220" w:name="_Toc115188856"/>
      <w:bookmarkStart w:id="221" w:name="_Toc115272558"/>
      <w:r>
        <w:lastRenderedPageBreak/>
        <w:t>Figure </w:t>
      </w:r>
      <w:fldSimple w:instr=" SEQ Figure \* ARABIC ">
        <w:r w:rsidR="009A04B0">
          <w:rPr>
            <w:noProof/>
          </w:rPr>
          <w:t>17</w:t>
        </w:r>
      </w:fldSimple>
      <w:bookmarkEnd w:id="212"/>
      <w:r w:rsidRPr="00AB49A6">
        <w:t xml:space="preserve">: Number of people subject to indefinite community treatment orders per 100,000 population, by DHB, orders open at </w:t>
      </w:r>
      <w:bookmarkEnd w:id="213"/>
      <w:bookmarkEnd w:id="214"/>
      <w:bookmarkEnd w:id="215"/>
      <w:bookmarkEnd w:id="216"/>
      <w:bookmarkEnd w:id="217"/>
      <w:bookmarkEnd w:id="218"/>
      <w:bookmarkEnd w:id="219"/>
      <w:r w:rsidRPr="00AB49A6">
        <w:t>30 June 2021</w:t>
      </w:r>
      <w:bookmarkEnd w:id="220"/>
      <w:bookmarkEnd w:id="221"/>
    </w:p>
    <w:p w14:paraId="43874AA0" w14:textId="77777777" w:rsidR="001236DF" w:rsidRPr="00200234" w:rsidRDefault="001236DF" w:rsidP="001236DF">
      <w:r>
        <w:rPr>
          <w:noProof/>
        </w:rPr>
        <w:drawing>
          <wp:inline distT="0" distB="0" distL="0" distR="0" wp14:anchorId="3473B134" wp14:editId="09A91AC6">
            <wp:extent cx="5314950" cy="3448050"/>
            <wp:effectExtent l="0" t="0" r="0" b="0"/>
            <wp:docPr id="18" name="Chart 18" descr="This graph shows that Northland and Capital &amp; Coast have the highest rate of people subject to an indefinite community treatment order at around 103 people per 100,000 population. Hawke's Bay has the lowest rate at 13.9 people, followed by Bay of Plenty and Lakes at around 30 people. The national average is 52.1.">
              <a:extLst xmlns:a="http://schemas.openxmlformats.org/drawingml/2006/main">
                <a:ext uri="{FF2B5EF4-FFF2-40B4-BE49-F238E27FC236}">
                  <a16:creationId xmlns:a16="http://schemas.microsoft.com/office/drawing/2014/main" id="{8F09C44C-453F-453C-BA48-231F8B4844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846AFF8" w14:textId="77777777" w:rsidR="001236DF" w:rsidRPr="00200234" w:rsidRDefault="001236DF" w:rsidP="001236DF">
      <w:pPr>
        <w:pStyle w:val="Source"/>
      </w:pPr>
      <w:r w:rsidRPr="00200234">
        <w:t>Source</w:t>
      </w:r>
      <w:r>
        <w:t>s</w:t>
      </w:r>
      <w:r w:rsidRPr="00200234">
        <w:t>: PRIMHD data</w:t>
      </w:r>
      <w:r>
        <w:t xml:space="preserve"> (extracted</w:t>
      </w:r>
      <w:r w:rsidRPr="00200234">
        <w:t xml:space="preserve"> </w:t>
      </w:r>
      <w:r>
        <w:t>3 June 2022) and manual data from Auckland and Lakes DHBs.</w:t>
      </w:r>
    </w:p>
    <w:p w14:paraId="0AD9A0C0" w14:textId="77777777" w:rsidR="001236DF" w:rsidRPr="00ED4FA1" w:rsidRDefault="001236DF" w:rsidP="001236DF"/>
    <w:p w14:paraId="59F8AF8E" w14:textId="77777777" w:rsidR="001236DF" w:rsidRPr="00200234" w:rsidRDefault="001236DF" w:rsidP="001236DF">
      <w:r>
        <w:t>N</w:t>
      </w:r>
      <w:r w:rsidRPr="00200234">
        <w:t>ationwide,</w:t>
      </w:r>
      <w:r>
        <w:t xml:space="preserve"> for orders open as of 30 June 2021,</w:t>
      </w:r>
      <w:r w:rsidRPr="00200234">
        <w:t xml:space="preserve"> Māori were </w:t>
      </w:r>
      <w:r>
        <w:t>2.9</w:t>
      </w:r>
      <w:r w:rsidRPr="00200234">
        <w:t xml:space="preserve"> times more likely to be subject to an indefinite community treatment order than non-Māori. </w:t>
      </w:r>
      <w:r>
        <w:t>Table </w:t>
      </w:r>
      <w:r>
        <w:rPr>
          <w:noProof/>
        </w:rPr>
        <w:t>6 and Figure 18</w:t>
      </w:r>
      <w:r w:rsidRPr="00200234">
        <w:t xml:space="preserve"> show the rate ratio of Māori to non-Māori</w:t>
      </w:r>
      <w:r w:rsidRPr="00BF6600">
        <w:t xml:space="preserve"> </w:t>
      </w:r>
      <w:r w:rsidRPr="00200234">
        <w:t>subject to indefinite community treatment orders in each DHB, per 100,000 people</w:t>
      </w:r>
      <w:r>
        <w:t xml:space="preserve"> in the general population</w:t>
      </w:r>
      <w:r w:rsidRPr="00200234">
        <w:t>.</w:t>
      </w:r>
    </w:p>
    <w:p w14:paraId="2F53A113" w14:textId="77777777" w:rsidR="001236DF" w:rsidRDefault="001236DF" w:rsidP="001236DF">
      <w:pPr>
        <w:rPr>
          <w:lang w:eastAsia="en-US"/>
        </w:rPr>
      </w:pPr>
    </w:p>
    <w:p w14:paraId="473FFB2E" w14:textId="77777777" w:rsidR="001236DF" w:rsidRDefault="001236DF" w:rsidP="001236DF">
      <w:pPr>
        <w:rPr>
          <w:lang w:eastAsia="en-US"/>
        </w:rPr>
      </w:pPr>
    </w:p>
    <w:p w14:paraId="7C93FFFB" w14:textId="2AB9A06E" w:rsidR="001236DF" w:rsidRDefault="001236DF" w:rsidP="001236DF">
      <w:pPr>
        <w:pStyle w:val="Table"/>
      </w:pPr>
      <w:bookmarkStart w:id="222" w:name="_Ref85448301"/>
      <w:bookmarkStart w:id="223" w:name="_Toc87430004"/>
      <w:bookmarkStart w:id="224" w:name="_Toc88561361"/>
      <w:bookmarkStart w:id="225" w:name="_Toc115188895"/>
      <w:bookmarkStart w:id="226" w:name="_Toc115272598"/>
      <w:r>
        <w:lastRenderedPageBreak/>
        <w:t>Table </w:t>
      </w:r>
      <w:fldSimple w:instr=" SEQ Table \* ARABIC ">
        <w:r w:rsidR="009A04B0">
          <w:rPr>
            <w:noProof/>
          </w:rPr>
          <w:t>6</w:t>
        </w:r>
      </w:fldSimple>
      <w:bookmarkEnd w:id="222"/>
      <w:r w:rsidRPr="004A4CE1">
        <w:t xml:space="preserve">: </w:t>
      </w:r>
      <w:r w:rsidRPr="00AB49A6">
        <w:t xml:space="preserve">Rate ratio of Māori to non-Māori subject to indefinite community treatment orders per 100,000 population, </w:t>
      </w:r>
      <w:r>
        <w:t xml:space="preserve">by DHB, </w:t>
      </w:r>
      <w:r w:rsidRPr="00AB49A6">
        <w:t xml:space="preserve">orders open at </w:t>
      </w:r>
      <w:bookmarkEnd w:id="223"/>
      <w:bookmarkEnd w:id="224"/>
      <w:r w:rsidRPr="00AB49A6">
        <w:t>30 June 2021</w:t>
      </w:r>
      <w:bookmarkEnd w:id="225"/>
      <w:bookmarkEnd w:id="226"/>
    </w:p>
    <w:tbl>
      <w:tblPr>
        <w:tblW w:w="8233" w:type="dxa"/>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4A0" w:firstRow="1" w:lastRow="0" w:firstColumn="1" w:lastColumn="0" w:noHBand="0" w:noVBand="1"/>
      </w:tblPr>
      <w:tblGrid>
        <w:gridCol w:w="1276"/>
        <w:gridCol w:w="709"/>
        <w:gridCol w:w="850"/>
        <w:gridCol w:w="1114"/>
        <w:gridCol w:w="370"/>
        <w:gridCol w:w="1331"/>
        <w:gridCol w:w="674"/>
        <w:gridCol w:w="764"/>
        <w:gridCol w:w="1145"/>
      </w:tblGrid>
      <w:tr w:rsidR="001236DF" w:rsidRPr="00891169" w14:paraId="61DC182D" w14:textId="77777777" w:rsidTr="001236DF">
        <w:trPr>
          <w:cantSplit/>
        </w:trPr>
        <w:tc>
          <w:tcPr>
            <w:tcW w:w="1276" w:type="dxa"/>
            <w:tcBorders>
              <w:top w:val="nil"/>
              <w:bottom w:val="nil"/>
            </w:tcBorders>
            <w:shd w:val="clear" w:color="000000" w:fill="D9D9D9"/>
            <w:noWrap/>
            <w:hideMark/>
          </w:tcPr>
          <w:p w14:paraId="54D02C14" w14:textId="77777777" w:rsidR="001236DF" w:rsidRPr="00891169" w:rsidRDefault="001236DF" w:rsidP="001236DF">
            <w:pPr>
              <w:pStyle w:val="TableText"/>
              <w:keepNext/>
              <w:rPr>
                <w:b/>
                <w:lang w:eastAsia="en-NZ"/>
              </w:rPr>
            </w:pPr>
            <w:r w:rsidRPr="00891169">
              <w:rPr>
                <w:b/>
                <w:lang w:eastAsia="en-NZ"/>
              </w:rPr>
              <w:t>DHB</w:t>
            </w:r>
          </w:p>
        </w:tc>
        <w:tc>
          <w:tcPr>
            <w:tcW w:w="709" w:type="dxa"/>
            <w:tcBorders>
              <w:top w:val="nil"/>
              <w:bottom w:val="nil"/>
            </w:tcBorders>
            <w:shd w:val="clear" w:color="000000" w:fill="D9D9D9"/>
            <w:hideMark/>
          </w:tcPr>
          <w:p w14:paraId="5137EAAF" w14:textId="77777777" w:rsidR="001236DF" w:rsidRPr="00891169" w:rsidRDefault="001236DF" w:rsidP="001236DF">
            <w:pPr>
              <w:pStyle w:val="TableText"/>
              <w:keepNext/>
              <w:jc w:val="center"/>
              <w:rPr>
                <w:b/>
                <w:lang w:eastAsia="en-NZ"/>
              </w:rPr>
            </w:pPr>
            <w:r w:rsidRPr="00891169">
              <w:rPr>
                <w:b/>
                <w:lang w:eastAsia="en-NZ"/>
              </w:rPr>
              <w:t>Māori</w:t>
            </w:r>
          </w:p>
        </w:tc>
        <w:tc>
          <w:tcPr>
            <w:tcW w:w="850" w:type="dxa"/>
            <w:tcBorders>
              <w:top w:val="nil"/>
              <w:bottom w:val="nil"/>
            </w:tcBorders>
            <w:shd w:val="clear" w:color="000000" w:fill="D9D9D9"/>
            <w:hideMark/>
          </w:tcPr>
          <w:p w14:paraId="6933193B" w14:textId="77777777" w:rsidR="001236DF" w:rsidRPr="00891169" w:rsidRDefault="001236DF" w:rsidP="001236DF">
            <w:pPr>
              <w:pStyle w:val="TableText"/>
              <w:keepNext/>
              <w:jc w:val="center"/>
              <w:rPr>
                <w:b/>
                <w:lang w:eastAsia="en-NZ"/>
              </w:rPr>
            </w:pPr>
            <w:r w:rsidRPr="00891169">
              <w:rPr>
                <w:b/>
                <w:lang w:eastAsia="en-NZ"/>
              </w:rPr>
              <w:t>Non-Māori</w:t>
            </w:r>
          </w:p>
        </w:tc>
        <w:tc>
          <w:tcPr>
            <w:tcW w:w="1114" w:type="dxa"/>
            <w:tcBorders>
              <w:top w:val="nil"/>
              <w:bottom w:val="nil"/>
            </w:tcBorders>
            <w:shd w:val="clear" w:color="000000" w:fill="D9D9D9"/>
            <w:hideMark/>
          </w:tcPr>
          <w:p w14:paraId="685BEE95" w14:textId="77777777" w:rsidR="001236DF" w:rsidRPr="00891169" w:rsidRDefault="001236DF" w:rsidP="001236DF">
            <w:pPr>
              <w:pStyle w:val="TableText"/>
              <w:keepNext/>
              <w:jc w:val="center"/>
              <w:rPr>
                <w:b/>
                <w:lang w:eastAsia="en-NZ"/>
              </w:rPr>
            </w:pPr>
            <w:r w:rsidRPr="00891169">
              <w:rPr>
                <w:b/>
                <w:lang w:eastAsia="en-NZ"/>
              </w:rPr>
              <w:t>Rate ratio Māori : non-Māori</w:t>
            </w:r>
          </w:p>
        </w:tc>
        <w:tc>
          <w:tcPr>
            <w:tcW w:w="370" w:type="dxa"/>
            <w:tcBorders>
              <w:top w:val="nil"/>
              <w:bottom w:val="nil"/>
            </w:tcBorders>
            <w:shd w:val="clear" w:color="auto" w:fill="auto"/>
          </w:tcPr>
          <w:p w14:paraId="29DCB787" w14:textId="77777777" w:rsidR="001236DF" w:rsidRPr="00891169" w:rsidRDefault="001236DF" w:rsidP="001236DF">
            <w:pPr>
              <w:pStyle w:val="TableText"/>
              <w:keepNext/>
              <w:rPr>
                <w:lang w:eastAsia="en-NZ"/>
              </w:rPr>
            </w:pPr>
          </w:p>
        </w:tc>
        <w:tc>
          <w:tcPr>
            <w:tcW w:w="1331" w:type="dxa"/>
            <w:tcBorders>
              <w:top w:val="nil"/>
              <w:bottom w:val="nil"/>
            </w:tcBorders>
            <w:shd w:val="clear" w:color="000000" w:fill="D9D9D9"/>
          </w:tcPr>
          <w:p w14:paraId="13797104" w14:textId="77777777" w:rsidR="001236DF" w:rsidRPr="00891169" w:rsidRDefault="001236DF" w:rsidP="001236DF">
            <w:pPr>
              <w:pStyle w:val="TableText"/>
              <w:keepNext/>
              <w:rPr>
                <w:b/>
                <w:lang w:eastAsia="en-NZ"/>
              </w:rPr>
            </w:pPr>
            <w:r w:rsidRPr="00891169">
              <w:rPr>
                <w:b/>
                <w:lang w:eastAsia="en-NZ"/>
              </w:rPr>
              <w:t xml:space="preserve">DHB </w:t>
            </w:r>
          </w:p>
        </w:tc>
        <w:tc>
          <w:tcPr>
            <w:tcW w:w="674" w:type="dxa"/>
            <w:tcBorders>
              <w:top w:val="nil"/>
              <w:bottom w:val="nil"/>
            </w:tcBorders>
            <w:shd w:val="clear" w:color="000000" w:fill="D9D9D9"/>
          </w:tcPr>
          <w:p w14:paraId="34F1580F" w14:textId="77777777" w:rsidR="001236DF" w:rsidRPr="00891169" w:rsidRDefault="001236DF" w:rsidP="001236DF">
            <w:pPr>
              <w:pStyle w:val="TableText"/>
              <w:keepNext/>
              <w:jc w:val="center"/>
              <w:rPr>
                <w:b/>
                <w:lang w:eastAsia="en-NZ"/>
              </w:rPr>
            </w:pPr>
            <w:r w:rsidRPr="00891169">
              <w:rPr>
                <w:b/>
                <w:lang w:eastAsia="en-NZ"/>
              </w:rPr>
              <w:t>Māori</w:t>
            </w:r>
          </w:p>
        </w:tc>
        <w:tc>
          <w:tcPr>
            <w:tcW w:w="764" w:type="dxa"/>
            <w:tcBorders>
              <w:top w:val="nil"/>
              <w:bottom w:val="nil"/>
            </w:tcBorders>
            <w:shd w:val="clear" w:color="000000" w:fill="D9D9D9"/>
          </w:tcPr>
          <w:p w14:paraId="29CBF45E" w14:textId="77777777" w:rsidR="001236DF" w:rsidRPr="00891169" w:rsidRDefault="001236DF" w:rsidP="001236DF">
            <w:pPr>
              <w:pStyle w:val="TableText"/>
              <w:keepNext/>
              <w:jc w:val="center"/>
              <w:rPr>
                <w:b/>
                <w:lang w:eastAsia="en-NZ"/>
              </w:rPr>
            </w:pPr>
            <w:r w:rsidRPr="00891169">
              <w:rPr>
                <w:b/>
                <w:lang w:eastAsia="en-NZ"/>
              </w:rPr>
              <w:t>Non-Māori</w:t>
            </w:r>
          </w:p>
        </w:tc>
        <w:tc>
          <w:tcPr>
            <w:tcW w:w="1145" w:type="dxa"/>
            <w:tcBorders>
              <w:top w:val="nil"/>
              <w:bottom w:val="nil"/>
            </w:tcBorders>
            <w:shd w:val="clear" w:color="000000" w:fill="D9D9D9"/>
          </w:tcPr>
          <w:p w14:paraId="106A877A" w14:textId="77777777" w:rsidR="001236DF" w:rsidRPr="00891169" w:rsidRDefault="001236DF" w:rsidP="001236DF">
            <w:pPr>
              <w:pStyle w:val="TableText"/>
              <w:keepNext/>
              <w:jc w:val="center"/>
              <w:rPr>
                <w:b/>
                <w:lang w:eastAsia="en-NZ"/>
              </w:rPr>
            </w:pPr>
            <w:r w:rsidRPr="00891169">
              <w:rPr>
                <w:b/>
                <w:lang w:eastAsia="en-NZ"/>
              </w:rPr>
              <w:t>Rate ratio Māori : non-Māori</w:t>
            </w:r>
          </w:p>
        </w:tc>
      </w:tr>
      <w:tr w:rsidR="001236DF" w:rsidRPr="000C5A1A" w14:paraId="4B4010AC" w14:textId="77777777" w:rsidTr="001236DF">
        <w:trPr>
          <w:cantSplit/>
        </w:trPr>
        <w:tc>
          <w:tcPr>
            <w:tcW w:w="1276" w:type="dxa"/>
            <w:tcBorders>
              <w:top w:val="nil"/>
              <w:bottom w:val="single" w:sz="4" w:space="0" w:color="A6A6A6"/>
            </w:tcBorders>
            <w:shd w:val="clear" w:color="auto" w:fill="auto"/>
            <w:noWrap/>
            <w:hideMark/>
          </w:tcPr>
          <w:p w14:paraId="539873C7" w14:textId="77777777" w:rsidR="001236DF" w:rsidRPr="000C5A1A" w:rsidRDefault="001236DF" w:rsidP="001236DF">
            <w:pPr>
              <w:pStyle w:val="TableText"/>
              <w:keepNext/>
              <w:rPr>
                <w:lang w:eastAsia="en-NZ"/>
              </w:rPr>
            </w:pPr>
            <w:r w:rsidRPr="000C5A1A">
              <w:rPr>
                <w:lang w:eastAsia="en-NZ"/>
              </w:rPr>
              <w:t>Auckland</w:t>
            </w:r>
          </w:p>
        </w:tc>
        <w:tc>
          <w:tcPr>
            <w:tcW w:w="709" w:type="dxa"/>
            <w:tcBorders>
              <w:top w:val="nil"/>
              <w:bottom w:val="single" w:sz="4" w:space="0" w:color="A6A6A6"/>
            </w:tcBorders>
            <w:shd w:val="clear" w:color="auto" w:fill="auto"/>
            <w:noWrap/>
            <w:vAlign w:val="center"/>
            <w:hideMark/>
          </w:tcPr>
          <w:p w14:paraId="1A9E75AF" w14:textId="77777777" w:rsidR="001236DF" w:rsidRPr="00810398" w:rsidRDefault="001236DF" w:rsidP="001236DF">
            <w:pPr>
              <w:pStyle w:val="TableText"/>
              <w:keepNext/>
              <w:tabs>
                <w:tab w:val="decimal" w:pos="454"/>
              </w:tabs>
              <w:jc w:val="center"/>
              <w:rPr>
                <w:lang w:eastAsia="en-NZ"/>
              </w:rPr>
            </w:pPr>
            <w:r w:rsidRPr="00B90BBA">
              <w:t>161</w:t>
            </w:r>
          </w:p>
        </w:tc>
        <w:tc>
          <w:tcPr>
            <w:tcW w:w="850" w:type="dxa"/>
            <w:tcBorders>
              <w:top w:val="nil"/>
              <w:bottom w:val="single" w:sz="4" w:space="0" w:color="A6A6A6"/>
            </w:tcBorders>
            <w:shd w:val="clear" w:color="auto" w:fill="auto"/>
            <w:noWrap/>
            <w:vAlign w:val="center"/>
            <w:hideMark/>
          </w:tcPr>
          <w:p w14:paraId="4C156CA0" w14:textId="77777777" w:rsidR="001236DF" w:rsidRPr="00810398" w:rsidRDefault="001236DF" w:rsidP="001236DF">
            <w:pPr>
              <w:pStyle w:val="TableText"/>
              <w:keepNext/>
              <w:tabs>
                <w:tab w:val="decimal" w:pos="445"/>
              </w:tabs>
              <w:jc w:val="center"/>
              <w:rPr>
                <w:lang w:eastAsia="en-NZ"/>
              </w:rPr>
            </w:pPr>
            <w:r w:rsidRPr="00B90BBA">
              <w:t>49</w:t>
            </w:r>
          </w:p>
        </w:tc>
        <w:tc>
          <w:tcPr>
            <w:tcW w:w="1114" w:type="dxa"/>
            <w:tcBorders>
              <w:top w:val="nil"/>
              <w:bottom w:val="single" w:sz="4" w:space="0" w:color="A6A6A6"/>
            </w:tcBorders>
            <w:shd w:val="clear" w:color="auto" w:fill="auto"/>
            <w:noWrap/>
            <w:vAlign w:val="center"/>
            <w:hideMark/>
          </w:tcPr>
          <w:p w14:paraId="6CF51CD9" w14:textId="77777777" w:rsidR="001236DF" w:rsidRPr="00810398" w:rsidRDefault="001236DF" w:rsidP="001236DF">
            <w:pPr>
              <w:pStyle w:val="TableText"/>
              <w:keepNext/>
              <w:jc w:val="center"/>
              <w:rPr>
                <w:lang w:eastAsia="en-NZ"/>
              </w:rPr>
            </w:pPr>
            <w:r w:rsidRPr="00B90BBA">
              <w:t>3.3</w:t>
            </w:r>
          </w:p>
        </w:tc>
        <w:tc>
          <w:tcPr>
            <w:tcW w:w="370" w:type="dxa"/>
            <w:tcBorders>
              <w:top w:val="nil"/>
              <w:bottom w:val="nil"/>
            </w:tcBorders>
            <w:shd w:val="clear" w:color="auto" w:fill="auto"/>
          </w:tcPr>
          <w:p w14:paraId="1260B229" w14:textId="77777777" w:rsidR="001236DF" w:rsidRPr="000C5A1A" w:rsidRDefault="001236DF" w:rsidP="001236DF">
            <w:pPr>
              <w:pStyle w:val="TableText"/>
              <w:keepNext/>
              <w:rPr>
                <w:lang w:eastAsia="en-NZ"/>
              </w:rPr>
            </w:pPr>
          </w:p>
        </w:tc>
        <w:tc>
          <w:tcPr>
            <w:tcW w:w="1331" w:type="dxa"/>
            <w:tcBorders>
              <w:top w:val="nil"/>
              <w:bottom w:val="single" w:sz="4" w:space="0" w:color="A6A6A6"/>
            </w:tcBorders>
          </w:tcPr>
          <w:p w14:paraId="229F9627" w14:textId="77777777" w:rsidR="001236DF" w:rsidRPr="00810398" w:rsidRDefault="001236DF" w:rsidP="001236DF">
            <w:pPr>
              <w:pStyle w:val="TableText"/>
              <w:keepNext/>
              <w:rPr>
                <w:lang w:eastAsia="en-NZ"/>
              </w:rPr>
            </w:pPr>
            <w:r w:rsidRPr="000C5A1A">
              <w:rPr>
                <w:lang w:eastAsia="en-NZ"/>
              </w:rPr>
              <w:t>Northland</w:t>
            </w:r>
          </w:p>
        </w:tc>
        <w:tc>
          <w:tcPr>
            <w:tcW w:w="674" w:type="dxa"/>
            <w:tcBorders>
              <w:top w:val="nil"/>
              <w:bottom w:val="single" w:sz="4" w:space="0" w:color="A6A6A6"/>
            </w:tcBorders>
            <w:vAlign w:val="center"/>
          </w:tcPr>
          <w:p w14:paraId="5F50260A" w14:textId="77777777" w:rsidR="001236DF" w:rsidRPr="00810398" w:rsidRDefault="001236DF" w:rsidP="001236DF">
            <w:pPr>
              <w:pStyle w:val="TableText"/>
              <w:keepNext/>
              <w:tabs>
                <w:tab w:val="decimal" w:pos="454"/>
              </w:tabs>
              <w:jc w:val="center"/>
              <w:rPr>
                <w:lang w:eastAsia="en-NZ"/>
              </w:rPr>
            </w:pPr>
            <w:r w:rsidRPr="00C72786">
              <w:t>194</w:t>
            </w:r>
          </w:p>
        </w:tc>
        <w:tc>
          <w:tcPr>
            <w:tcW w:w="764" w:type="dxa"/>
            <w:tcBorders>
              <w:top w:val="nil"/>
              <w:bottom w:val="single" w:sz="4" w:space="0" w:color="A6A6A6"/>
            </w:tcBorders>
            <w:vAlign w:val="center"/>
          </w:tcPr>
          <w:p w14:paraId="20D03F9A" w14:textId="77777777" w:rsidR="001236DF" w:rsidRPr="00810398" w:rsidRDefault="001236DF" w:rsidP="001236DF">
            <w:pPr>
              <w:pStyle w:val="TableText"/>
              <w:keepNext/>
              <w:jc w:val="center"/>
              <w:rPr>
                <w:lang w:eastAsia="en-NZ"/>
              </w:rPr>
            </w:pPr>
            <w:r w:rsidRPr="00C72786">
              <w:t>50</w:t>
            </w:r>
          </w:p>
        </w:tc>
        <w:tc>
          <w:tcPr>
            <w:tcW w:w="1145" w:type="dxa"/>
            <w:tcBorders>
              <w:top w:val="nil"/>
              <w:bottom w:val="single" w:sz="4" w:space="0" w:color="A6A6A6"/>
            </w:tcBorders>
            <w:vAlign w:val="center"/>
          </w:tcPr>
          <w:p w14:paraId="7024B4FC" w14:textId="77777777" w:rsidR="001236DF" w:rsidRPr="00810398" w:rsidRDefault="001236DF" w:rsidP="001236DF">
            <w:pPr>
              <w:pStyle w:val="TableText"/>
              <w:keepNext/>
              <w:jc w:val="center"/>
              <w:rPr>
                <w:lang w:eastAsia="en-NZ"/>
              </w:rPr>
            </w:pPr>
            <w:r w:rsidRPr="00C72786">
              <w:t>3.9</w:t>
            </w:r>
          </w:p>
        </w:tc>
      </w:tr>
      <w:tr w:rsidR="001236DF" w:rsidRPr="000C5A1A" w14:paraId="09E2E905" w14:textId="77777777" w:rsidTr="001236DF">
        <w:trPr>
          <w:cantSplit/>
        </w:trPr>
        <w:tc>
          <w:tcPr>
            <w:tcW w:w="1276" w:type="dxa"/>
            <w:tcBorders>
              <w:top w:val="single" w:sz="4" w:space="0" w:color="A6A6A6"/>
            </w:tcBorders>
            <w:shd w:val="clear" w:color="auto" w:fill="auto"/>
            <w:noWrap/>
            <w:vAlign w:val="center"/>
            <w:hideMark/>
          </w:tcPr>
          <w:p w14:paraId="73CC6A54" w14:textId="77777777" w:rsidR="001236DF" w:rsidRPr="000C5A1A" w:rsidRDefault="001236DF" w:rsidP="001236DF">
            <w:pPr>
              <w:pStyle w:val="TableText"/>
              <w:keepNext/>
              <w:rPr>
                <w:lang w:eastAsia="en-NZ"/>
              </w:rPr>
            </w:pPr>
            <w:r w:rsidRPr="000C5A1A">
              <w:rPr>
                <w:lang w:eastAsia="en-NZ"/>
              </w:rPr>
              <w:t>Bay of Plenty</w:t>
            </w:r>
          </w:p>
        </w:tc>
        <w:tc>
          <w:tcPr>
            <w:tcW w:w="709" w:type="dxa"/>
            <w:tcBorders>
              <w:top w:val="single" w:sz="4" w:space="0" w:color="A6A6A6"/>
            </w:tcBorders>
            <w:shd w:val="clear" w:color="auto" w:fill="auto"/>
            <w:noWrap/>
            <w:vAlign w:val="center"/>
            <w:hideMark/>
          </w:tcPr>
          <w:p w14:paraId="0417FC2D" w14:textId="77777777" w:rsidR="001236DF" w:rsidRPr="00810398" w:rsidRDefault="001236DF" w:rsidP="001236DF">
            <w:pPr>
              <w:pStyle w:val="TableText"/>
              <w:keepNext/>
              <w:tabs>
                <w:tab w:val="decimal" w:pos="454"/>
              </w:tabs>
              <w:jc w:val="center"/>
              <w:rPr>
                <w:lang w:eastAsia="en-NZ"/>
              </w:rPr>
            </w:pPr>
            <w:r w:rsidRPr="00B90BBA">
              <w:t>75</w:t>
            </w:r>
          </w:p>
        </w:tc>
        <w:tc>
          <w:tcPr>
            <w:tcW w:w="850" w:type="dxa"/>
            <w:tcBorders>
              <w:top w:val="single" w:sz="4" w:space="0" w:color="A6A6A6"/>
            </w:tcBorders>
            <w:shd w:val="clear" w:color="auto" w:fill="auto"/>
            <w:noWrap/>
            <w:vAlign w:val="center"/>
            <w:hideMark/>
          </w:tcPr>
          <w:p w14:paraId="2731EDF1" w14:textId="77777777" w:rsidR="001236DF" w:rsidRPr="00810398" w:rsidRDefault="001236DF" w:rsidP="001236DF">
            <w:pPr>
              <w:pStyle w:val="TableText"/>
              <w:keepNext/>
              <w:tabs>
                <w:tab w:val="decimal" w:pos="445"/>
              </w:tabs>
              <w:jc w:val="center"/>
              <w:rPr>
                <w:lang w:eastAsia="en-NZ"/>
              </w:rPr>
            </w:pPr>
            <w:r w:rsidRPr="00B90BBA">
              <w:t>16</w:t>
            </w:r>
          </w:p>
        </w:tc>
        <w:tc>
          <w:tcPr>
            <w:tcW w:w="1114" w:type="dxa"/>
            <w:tcBorders>
              <w:top w:val="single" w:sz="4" w:space="0" w:color="A6A6A6"/>
            </w:tcBorders>
            <w:shd w:val="clear" w:color="auto" w:fill="auto"/>
            <w:noWrap/>
            <w:vAlign w:val="center"/>
            <w:hideMark/>
          </w:tcPr>
          <w:p w14:paraId="4181F4BE" w14:textId="77777777" w:rsidR="001236DF" w:rsidRPr="00810398" w:rsidRDefault="001236DF" w:rsidP="001236DF">
            <w:pPr>
              <w:pStyle w:val="TableText"/>
              <w:keepNext/>
              <w:jc w:val="center"/>
              <w:rPr>
                <w:lang w:eastAsia="en-NZ"/>
              </w:rPr>
            </w:pPr>
            <w:r w:rsidRPr="00B90BBA">
              <w:t>4.8</w:t>
            </w:r>
          </w:p>
        </w:tc>
        <w:tc>
          <w:tcPr>
            <w:tcW w:w="370" w:type="dxa"/>
            <w:tcBorders>
              <w:top w:val="nil"/>
              <w:bottom w:val="nil"/>
            </w:tcBorders>
            <w:shd w:val="clear" w:color="auto" w:fill="auto"/>
          </w:tcPr>
          <w:p w14:paraId="3196EDB9" w14:textId="77777777" w:rsidR="001236DF" w:rsidRPr="000C5A1A" w:rsidRDefault="001236DF" w:rsidP="001236DF">
            <w:pPr>
              <w:pStyle w:val="TableText"/>
              <w:keepNext/>
              <w:rPr>
                <w:lang w:eastAsia="en-NZ"/>
              </w:rPr>
            </w:pPr>
          </w:p>
        </w:tc>
        <w:tc>
          <w:tcPr>
            <w:tcW w:w="1331" w:type="dxa"/>
            <w:tcBorders>
              <w:top w:val="single" w:sz="4" w:space="0" w:color="A6A6A6"/>
            </w:tcBorders>
          </w:tcPr>
          <w:p w14:paraId="062A9DBD" w14:textId="77777777" w:rsidR="001236DF" w:rsidRPr="00810398" w:rsidRDefault="001236DF" w:rsidP="001236DF">
            <w:pPr>
              <w:pStyle w:val="TableText"/>
              <w:keepNext/>
              <w:rPr>
                <w:lang w:eastAsia="en-NZ"/>
              </w:rPr>
            </w:pPr>
            <w:r w:rsidRPr="000C5A1A">
              <w:rPr>
                <w:lang w:eastAsia="en-NZ"/>
              </w:rPr>
              <w:t>South Canterbury</w:t>
            </w:r>
          </w:p>
        </w:tc>
        <w:tc>
          <w:tcPr>
            <w:tcW w:w="674" w:type="dxa"/>
            <w:tcBorders>
              <w:top w:val="single" w:sz="4" w:space="0" w:color="A6A6A6"/>
            </w:tcBorders>
            <w:vAlign w:val="center"/>
          </w:tcPr>
          <w:p w14:paraId="2BF212BC" w14:textId="77777777" w:rsidR="001236DF" w:rsidRPr="00810398" w:rsidRDefault="001236DF" w:rsidP="001236DF">
            <w:pPr>
              <w:pStyle w:val="TableText"/>
              <w:keepNext/>
              <w:tabs>
                <w:tab w:val="decimal" w:pos="454"/>
              </w:tabs>
              <w:jc w:val="center"/>
              <w:rPr>
                <w:lang w:eastAsia="en-NZ"/>
              </w:rPr>
            </w:pPr>
            <w:r w:rsidRPr="00C72786">
              <w:t>187</w:t>
            </w:r>
          </w:p>
        </w:tc>
        <w:tc>
          <w:tcPr>
            <w:tcW w:w="764" w:type="dxa"/>
            <w:tcBorders>
              <w:top w:val="single" w:sz="4" w:space="0" w:color="A6A6A6"/>
            </w:tcBorders>
            <w:vAlign w:val="center"/>
          </w:tcPr>
          <w:p w14:paraId="00C57D2F" w14:textId="77777777" w:rsidR="001236DF" w:rsidRPr="00810398" w:rsidRDefault="001236DF" w:rsidP="001236DF">
            <w:pPr>
              <w:pStyle w:val="TableText"/>
              <w:keepNext/>
              <w:jc w:val="center"/>
              <w:rPr>
                <w:lang w:eastAsia="en-NZ"/>
              </w:rPr>
            </w:pPr>
            <w:r w:rsidRPr="00C72786">
              <w:t>62</w:t>
            </w:r>
          </w:p>
        </w:tc>
        <w:tc>
          <w:tcPr>
            <w:tcW w:w="1145" w:type="dxa"/>
            <w:tcBorders>
              <w:top w:val="single" w:sz="4" w:space="0" w:color="A6A6A6"/>
            </w:tcBorders>
            <w:vAlign w:val="center"/>
          </w:tcPr>
          <w:p w14:paraId="3360211B" w14:textId="77777777" w:rsidR="001236DF" w:rsidRPr="00810398" w:rsidRDefault="001236DF" w:rsidP="001236DF">
            <w:pPr>
              <w:pStyle w:val="TableText"/>
              <w:keepNext/>
              <w:jc w:val="center"/>
              <w:rPr>
                <w:lang w:eastAsia="en-NZ"/>
              </w:rPr>
            </w:pPr>
            <w:r w:rsidRPr="00C72786">
              <w:t>3.0</w:t>
            </w:r>
          </w:p>
        </w:tc>
      </w:tr>
      <w:tr w:rsidR="001236DF" w:rsidRPr="000C5A1A" w14:paraId="6335A4F5" w14:textId="77777777" w:rsidTr="001236DF">
        <w:trPr>
          <w:cantSplit/>
        </w:trPr>
        <w:tc>
          <w:tcPr>
            <w:tcW w:w="1276" w:type="dxa"/>
            <w:shd w:val="clear" w:color="auto" w:fill="auto"/>
            <w:noWrap/>
            <w:hideMark/>
          </w:tcPr>
          <w:p w14:paraId="61122C7C" w14:textId="77777777" w:rsidR="001236DF" w:rsidRPr="000C5A1A" w:rsidRDefault="001236DF" w:rsidP="001236DF">
            <w:pPr>
              <w:pStyle w:val="TableText"/>
              <w:keepNext/>
              <w:rPr>
                <w:lang w:eastAsia="en-NZ"/>
              </w:rPr>
            </w:pPr>
            <w:r w:rsidRPr="000C5A1A">
              <w:rPr>
                <w:lang w:eastAsia="en-NZ"/>
              </w:rPr>
              <w:t>Canterbury</w:t>
            </w:r>
          </w:p>
        </w:tc>
        <w:tc>
          <w:tcPr>
            <w:tcW w:w="709" w:type="dxa"/>
            <w:shd w:val="clear" w:color="auto" w:fill="auto"/>
            <w:noWrap/>
            <w:vAlign w:val="center"/>
            <w:hideMark/>
          </w:tcPr>
          <w:p w14:paraId="11417411" w14:textId="77777777" w:rsidR="001236DF" w:rsidRPr="00810398" w:rsidRDefault="001236DF" w:rsidP="001236DF">
            <w:pPr>
              <w:pStyle w:val="TableText"/>
              <w:keepNext/>
              <w:tabs>
                <w:tab w:val="decimal" w:pos="454"/>
              </w:tabs>
              <w:jc w:val="center"/>
              <w:rPr>
                <w:lang w:eastAsia="en-NZ"/>
              </w:rPr>
            </w:pPr>
            <w:r w:rsidRPr="00B90BBA">
              <w:t>105</w:t>
            </w:r>
          </w:p>
        </w:tc>
        <w:tc>
          <w:tcPr>
            <w:tcW w:w="850" w:type="dxa"/>
            <w:shd w:val="clear" w:color="auto" w:fill="auto"/>
            <w:noWrap/>
            <w:vAlign w:val="center"/>
            <w:hideMark/>
          </w:tcPr>
          <w:p w14:paraId="170E7842" w14:textId="77777777" w:rsidR="001236DF" w:rsidRPr="00810398" w:rsidRDefault="001236DF" w:rsidP="001236DF">
            <w:pPr>
              <w:pStyle w:val="TableText"/>
              <w:keepNext/>
              <w:tabs>
                <w:tab w:val="decimal" w:pos="445"/>
              </w:tabs>
              <w:jc w:val="center"/>
              <w:rPr>
                <w:lang w:eastAsia="en-NZ"/>
              </w:rPr>
            </w:pPr>
            <w:r w:rsidRPr="00B90BBA">
              <w:t>38</w:t>
            </w:r>
          </w:p>
        </w:tc>
        <w:tc>
          <w:tcPr>
            <w:tcW w:w="1114" w:type="dxa"/>
            <w:shd w:val="clear" w:color="auto" w:fill="auto"/>
            <w:noWrap/>
            <w:vAlign w:val="center"/>
            <w:hideMark/>
          </w:tcPr>
          <w:p w14:paraId="21284BC7" w14:textId="77777777" w:rsidR="001236DF" w:rsidRPr="00810398" w:rsidRDefault="001236DF" w:rsidP="001236DF">
            <w:pPr>
              <w:pStyle w:val="TableText"/>
              <w:keepNext/>
              <w:jc w:val="center"/>
              <w:rPr>
                <w:lang w:eastAsia="en-NZ"/>
              </w:rPr>
            </w:pPr>
            <w:r w:rsidRPr="00B90BBA">
              <w:t>2.7</w:t>
            </w:r>
          </w:p>
        </w:tc>
        <w:tc>
          <w:tcPr>
            <w:tcW w:w="370" w:type="dxa"/>
            <w:tcBorders>
              <w:top w:val="nil"/>
              <w:bottom w:val="nil"/>
            </w:tcBorders>
            <w:shd w:val="clear" w:color="auto" w:fill="auto"/>
          </w:tcPr>
          <w:p w14:paraId="21EFD5EE" w14:textId="77777777" w:rsidR="001236DF" w:rsidRPr="000C5A1A" w:rsidRDefault="001236DF" w:rsidP="001236DF">
            <w:pPr>
              <w:pStyle w:val="TableText"/>
              <w:keepNext/>
              <w:rPr>
                <w:lang w:eastAsia="en-NZ"/>
              </w:rPr>
            </w:pPr>
          </w:p>
        </w:tc>
        <w:tc>
          <w:tcPr>
            <w:tcW w:w="1331" w:type="dxa"/>
          </w:tcPr>
          <w:p w14:paraId="08EECDA0" w14:textId="77777777" w:rsidR="001236DF" w:rsidRPr="00810398" w:rsidRDefault="001236DF" w:rsidP="001236DF">
            <w:pPr>
              <w:pStyle w:val="TableText"/>
              <w:keepNext/>
              <w:rPr>
                <w:lang w:eastAsia="en-NZ"/>
              </w:rPr>
            </w:pPr>
            <w:r w:rsidRPr="000C5A1A">
              <w:rPr>
                <w:lang w:eastAsia="en-NZ"/>
              </w:rPr>
              <w:t>Southern</w:t>
            </w:r>
          </w:p>
        </w:tc>
        <w:tc>
          <w:tcPr>
            <w:tcW w:w="674" w:type="dxa"/>
            <w:vAlign w:val="center"/>
          </w:tcPr>
          <w:p w14:paraId="4C533583" w14:textId="77777777" w:rsidR="001236DF" w:rsidRPr="00810398" w:rsidRDefault="001236DF" w:rsidP="001236DF">
            <w:pPr>
              <w:pStyle w:val="TableText"/>
              <w:keepNext/>
              <w:tabs>
                <w:tab w:val="decimal" w:pos="454"/>
              </w:tabs>
              <w:jc w:val="center"/>
              <w:rPr>
                <w:lang w:eastAsia="en-NZ"/>
              </w:rPr>
            </w:pPr>
            <w:r w:rsidRPr="00C72786">
              <w:t>85</w:t>
            </w:r>
          </w:p>
        </w:tc>
        <w:tc>
          <w:tcPr>
            <w:tcW w:w="764" w:type="dxa"/>
            <w:vAlign w:val="center"/>
          </w:tcPr>
          <w:p w14:paraId="2F38B9E2" w14:textId="77777777" w:rsidR="001236DF" w:rsidRPr="00810398" w:rsidRDefault="001236DF" w:rsidP="001236DF">
            <w:pPr>
              <w:pStyle w:val="TableText"/>
              <w:keepNext/>
              <w:jc w:val="center"/>
              <w:rPr>
                <w:lang w:eastAsia="en-NZ"/>
              </w:rPr>
            </w:pPr>
            <w:r w:rsidRPr="00C72786">
              <w:t>43</w:t>
            </w:r>
          </w:p>
        </w:tc>
        <w:tc>
          <w:tcPr>
            <w:tcW w:w="1145" w:type="dxa"/>
            <w:vAlign w:val="center"/>
          </w:tcPr>
          <w:p w14:paraId="2E3FDE08" w14:textId="77777777" w:rsidR="001236DF" w:rsidRPr="00810398" w:rsidRDefault="001236DF" w:rsidP="001236DF">
            <w:pPr>
              <w:pStyle w:val="TableText"/>
              <w:keepNext/>
              <w:jc w:val="center"/>
              <w:rPr>
                <w:lang w:eastAsia="en-NZ"/>
              </w:rPr>
            </w:pPr>
            <w:r w:rsidRPr="00C72786">
              <w:t>2.0</w:t>
            </w:r>
          </w:p>
        </w:tc>
      </w:tr>
      <w:tr w:rsidR="001236DF" w:rsidRPr="000C5A1A" w14:paraId="03D4EF0D" w14:textId="77777777" w:rsidTr="001236DF">
        <w:trPr>
          <w:cantSplit/>
        </w:trPr>
        <w:tc>
          <w:tcPr>
            <w:tcW w:w="1276" w:type="dxa"/>
            <w:shd w:val="clear" w:color="auto" w:fill="auto"/>
            <w:noWrap/>
            <w:hideMark/>
          </w:tcPr>
          <w:p w14:paraId="1C0632DB" w14:textId="77777777" w:rsidR="001236DF" w:rsidRPr="000C5A1A" w:rsidRDefault="001236DF" w:rsidP="001236DF">
            <w:pPr>
              <w:pStyle w:val="TableText"/>
              <w:keepNext/>
              <w:rPr>
                <w:lang w:eastAsia="en-NZ"/>
              </w:rPr>
            </w:pPr>
            <w:r>
              <w:rPr>
                <w:lang w:eastAsia="en-NZ"/>
              </w:rPr>
              <w:t>Capital &amp; Coast</w:t>
            </w:r>
          </w:p>
        </w:tc>
        <w:tc>
          <w:tcPr>
            <w:tcW w:w="709" w:type="dxa"/>
            <w:shd w:val="clear" w:color="auto" w:fill="auto"/>
            <w:noWrap/>
            <w:vAlign w:val="center"/>
            <w:hideMark/>
          </w:tcPr>
          <w:p w14:paraId="34D9CBF5" w14:textId="77777777" w:rsidR="001236DF" w:rsidRPr="00810398" w:rsidRDefault="001236DF" w:rsidP="001236DF">
            <w:pPr>
              <w:pStyle w:val="TableText"/>
              <w:keepNext/>
              <w:tabs>
                <w:tab w:val="decimal" w:pos="454"/>
              </w:tabs>
              <w:jc w:val="center"/>
              <w:rPr>
                <w:lang w:eastAsia="en-NZ"/>
              </w:rPr>
            </w:pPr>
            <w:r w:rsidRPr="00B90BBA">
              <w:t>236</w:t>
            </w:r>
          </w:p>
        </w:tc>
        <w:tc>
          <w:tcPr>
            <w:tcW w:w="850" w:type="dxa"/>
            <w:shd w:val="clear" w:color="auto" w:fill="auto"/>
            <w:noWrap/>
            <w:vAlign w:val="center"/>
            <w:hideMark/>
          </w:tcPr>
          <w:p w14:paraId="22724C06" w14:textId="77777777" w:rsidR="001236DF" w:rsidRPr="00810398" w:rsidRDefault="001236DF" w:rsidP="001236DF">
            <w:pPr>
              <w:pStyle w:val="TableText"/>
              <w:keepNext/>
              <w:tabs>
                <w:tab w:val="decimal" w:pos="445"/>
              </w:tabs>
              <w:jc w:val="center"/>
              <w:rPr>
                <w:lang w:eastAsia="en-NZ"/>
              </w:rPr>
            </w:pPr>
            <w:r w:rsidRPr="00B90BBA">
              <w:t>85</w:t>
            </w:r>
          </w:p>
        </w:tc>
        <w:tc>
          <w:tcPr>
            <w:tcW w:w="1114" w:type="dxa"/>
            <w:shd w:val="clear" w:color="auto" w:fill="auto"/>
            <w:noWrap/>
            <w:vAlign w:val="center"/>
            <w:hideMark/>
          </w:tcPr>
          <w:p w14:paraId="15DB49BD" w14:textId="77777777" w:rsidR="001236DF" w:rsidRPr="00810398" w:rsidRDefault="001236DF" w:rsidP="001236DF">
            <w:pPr>
              <w:pStyle w:val="TableText"/>
              <w:keepNext/>
              <w:jc w:val="center"/>
              <w:rPr>
                <w:lang w:eastAsia="en-NZ"/>
              </w:rPr>
            </w:pPr>
            <w:r w:rsidRPr="00B90BBA">
              <w:t>2.8</w:t>
            </w:r>
          </w:p>
        </w:tc>
        <w:tc>
          <w:tcPr>
            <w:tcW w:w="370" w:type="dxa"/>
            <w:tcBorders>
              <w:top w:val="nil"/>
              <w:bottom w:val="nil"/>
            </w:tcBorders>
            <w:shd w:val="clear" w:color="auto" w:fill="auto"/>
          </w:tcPr>
          <w:p w14:paraId="18A89D0C" w14:textId="77777777" w:rsidR="001236DF" w:rsidRPr="000C5A1A" w:rsidRDefault="001236DF" w:rsidP="001236DF">
            <w:pPr>
              <w:pStyle w:val="TableText"/>
              <w:keepNext/>
              <w:rPr>
                <w:lang w:eastAsia="en-NZ"/>
              </w:rPr>
            </w:pPr>
          </w:p>
        </w:tc>
        <w:tc>
          <w:tcPr>
            <w:tcW w:w="1331" w:type="dxa"/>
            <w:vAlign w:val="center"/>
          </w:tcPr>
          <w:p w14:paraId="179D907B" w14:textId="77777777" w:rsidR="001236DF" w:rsidRPr="00810398" w:rsidRDefault="001236DF" w:rsidP="001236DF">
            <w:pPr>
              <w:pStyle w:val="TableText"/>
              <w:keepNext/>
              <w:rPr>
                <w:lang w:eastAsia="en-NZ"/>
              </w:rPr>
            </w:pPr>
            <w:r w:rsidRPr="000C5A1A">
              <w:rPr>
                <w:lang w:eastAsia="en-NZ"/>
              </w:rPr>
              <w:t>Tairāwhiti</w:t>
            </w:r>
          </w:p>
        </w:tc>
        <w:tc>
          <w:tcPr>
            <w:tcW w:w="674" w:type="dxa"/>
            <w:vAlign w:val="center"/>
          </w:tcPr>
          <w:p w14:paraId="12BC7E3A" w14:textId="77777777" w:rsidR="001236DF" w:rsidRPr="00810398" w:rsidRDefault="001236DF" w:rsidP="001236DF">
            <w:pPr>
              <w:pStyle w:val="TableText"/>
              <w:keepNext/>
              <w:tabs>
                <w:tab w:val="decimal" w:pos="454"/>
              </w:tabs>
              <w:jc w:val="center"/>
              <w:rPr>
                <w:lang w:eastAsia="en-NZ"/>
              </w:rPr>
            </w:pPr>
            <w:r w:rsidRPr="00C72786">
              <w:t>43</w:t>
            </w:r>
          </w:p>
        </w:tc>
        <w:tc>
          <w:tcPr>
            <w:tcW w:w="764" w:type="dxa"/>
            <w:vAlign w:val="center"/>
          </w:tcPr>
          <w:p w14:paraId="64432BBE" w14:textId="77777777" w:rsidR="001236DF" w:rsidRPr="00810398" w:rsidRDefault="001236DF" w:rsidP="001236DF">
            <w:pPr>
              <w:pStyle w:val="TableText"/>
              <w:keepNext/>
              <w:jc w:val="center"/>
              <w:rPr>
                <w:lang w:eastAsia="en-NZ"/>
              </w:rPr>
            </w:pPr>
            <w:r w:rsidRPr="00C72786">
              <w:t>26</w:t>
            </w:r>
          </w:p>
        </w:tc>
        <w:tc>
          <w:tcPr>
            <w:tcW w:w="1145" w:type="dxa"/>
            <w:vAlign w:val="center"/>
          </w:tcPr>
          <w:p w14:paraId="7FF20C75" w14:textId="77777777" w:rsidR="001236DF" w:rsidRPr="00810398" w:rsidRDefault="001236DF" w:rsidP="001236DF">
            <w:pPr>
              <w:pStyle w:val="TableText"/>
              <w:keepNext/>
              <w:jc w:val="center"/>
              <w:rPr>
                <w:lang w:eastAsia="en-NZ"/>
              </w:rPr>
            </w:pPr>
            <w:r w:rsidRPr="00C72786">
              <w:t>1.6</w:t>
            </w:r>
          </w:p>
        </w:tc>
      </w:tr>
      <w:tr w:rsidR="001236DF" w:rsidRPr="000C5A1A" w14:paraId="08DB4C38" w14:textId="77777777" w:rsidTr="001236DF">
        <w:trPr>
          <w:cantSplit/>
        </w:trPr>
        <w:tc>
          <w:tcPr>
            <w:tcW w:w="1276" w:type="dxa"/>
            <w:shd w:val="clear" w:color="auto" w:fill="auto"/>
            <w:noWrap/>
            <w:hideMark/>
          </w:tcPr>
          <w:p w14:paraId="1AE373A8" w14:textId="77777777" w:rsidR="001236DF" w:rsidRPr="000C5A1A" w:rsidRDefault="001236DF" w:rsidP="001236DF">
            <w:pPr>
              <w:pStyle w:val="TableText"/>
              <w:keepNext/>
              <w:rPr>
                <w:lang w:eastAsia="en-NZ"/>
              </w:rPr>
            </w:pPr>
            <w:r w:rsidRPr="000C5A1A">
              <w:rPr>
                <w:lang w:eastAsia="en-NZ"/>
              </w:rPr>
              <w:t>Counties Manukau</w:t>
            </w:r>
          </w:p>
        </w:tc>
        <w:tc>
          <w:tcPr>
            <w:tcW w:w="709" w:type="dxa"/>
            <w:shd w:val="clear" w:color="auto" w:fill="auto"/>
            <w:noWrap/>
            <w:vAlign w:val="center"/>
            <w:hideMark/>
          </w:tcPr>
          <w:p w14:paraId="22D8B4C5" w14:textId="77777777" w:rsidR="001236DF" w:rsidRPr="00810398" w:rsidRDefault="001236DF" w:rsidP="001236DF">
            <w:pPr>
              <w:pStyle w:val="TableText"/>
              <w:keepNext/>
              <w:tabs>
                <w:tab w:val="decimal" w:pos="454"/>
              </w:tabs>
              <w:jc w:val="center"/>
              <w:rPr>
                <w:lang w:eastAsia="en-NZ"/>
              </w:rPr>
            </w:pPr>
            <w:r w:rsidRPr="00B90BBA">
              <w:t>86</w:t>
            </w:r>
          </w:p>
        </w:tc>
        <w:tc>
          <w:tcPr>
            <w:tcW w:w="850" w:type="dxa"/>
            <w:shd w:val="clear" w:color="auto" w:fill="auto"/>
            <w:noWrap/>
            <w:vAlign w:val="center"/>
            <w:hideMark/>
          </w:tcPr>
          <w:p w14:paraId="6E9BC101" w14:textId="77777777" w:rsidR="001236DF" w:rsidRPr="00810398" w:rsidRDefault="001236DF" w:rsidP="001236DF">
            <w:pPr>
              <w:pStyle w:val="TableText"/>
              <w:keepNext/>
              <w:tabs>
                <w:tab w:val="decimal" w:pos="445"/>
              </w:tabs>
              <w:jc w:val="center"/>
              <w:rPr>
                <w:lang w:eastAsia="en-NZ"/>
              </w:rPr>
            </w:pPr>
            <w:r w:rsidRPr="00B90BBA">
              <w:t>25</w:t>
            </w:r>
          </w:p>
        </w:tc>
        <w:tc>
          <w:tcPr>
            <w:tcW w:w="1114" w:type="dxa"/>
            <w:shd w:val="clear" w:color="auto" w:fill="auto"/>
            <w:noWrap/>
            <w:vAlign w:val="center"/>
            <w:hideMark/>
          </w:tcPr>
          <w:p w14:paraId="68484297" w14:textId="77777777" w:rsidR="001236DF" w:rsidRPr="00810398" w:rsidRDefault="001236DF" w:rsidP="001236DF">
            <w:pPr>
              <w:pStyle w:val="TableText"/>
              <w:keepNext/>
              <w:jc w:val="center"/>
              <w:rPr>
                <w:lang w:eastAsia="en-NZ"/>
              </w:rPr>
            </w:pPr>
            <w:r w:rsidRPr="00B90BBA">
              <w:t>3.4</w:t>
            </w:r>
          </w:p>
        </w:tc>
        <w:tc>
          <w:tcPr>
            <w:tcW w:w="370" w:type="dxa"/>
            <w:tcBorders>
              <w:top w:val="nil"/>
              <w:bottom w:val="nil"/>
            </w:tcBorders>
            <w:shd w:val="clear" w:color="auto" w:fill="auto"/>
            <w:vAlign w:val="center"/>
          </w:tcPr>
          <w:p w14:paraId="372F852E" w14:textId="77777777" w:rsidR="001236DF" w:rsidRPr="000C5A1A" w:rsidRDefault="001236DF" w:rsidP="001236DF">
            <w:pPr>
              <w:pStyle w:val="TableText"/>
              <w:keepNext/>
              <w:rPr>
                <w:lang w:eastAsia="en-NZ"/>
              </w:rPr>
            </w:pPr>
          </w:p>
        </w:tc>
        <w:tc>
          <w:tcPr>
            <w:tcW w:w="1331" w:type="dxa"/>
            <w:vAlign w:val="center"/>
          </w:tcPr>
          <w:p w14:paraId="351505E3" w14:textId="77777777" w:rsidR="001236DF" w:rsidRPr="00810398" w:rsidRDefault="001236DF" w:rsidP="001236DF">
            <w:pPr>
              <w:pStyle w:val="TableText"/>
              <w:keepNext/>
              <w:rPr>
                <w:lang w:eastAsia="en-NZ"/>
              </w:rPr>
            </w:pPr>
            <w:r w:rsidRPr="000C5A1A">
              <w:rPr>
                <w:lang w:eastAsia="en-NZ"/>
              </w:rPr>
              <w:t>Taranaki</w:t>
            </w:r>
          </w:p>
        </w:tc>
        <w:tc>
          <w:tcPr>
            <w:tcW w:w="674" w:type="dxa"/>
            <w:vAlign w:val="center"/>
          </w:tcPr>
          <w:p w14:paraId="028F9695" w14:textId="77777777" w:rsidR="001236DF" w:rsidRPr="00810398" w:rsidRDefault="001236DF" w:rsidP="001236DF">
            <w:pPr>
              <w:pStyle w:val="TableText"/>
              <w:keepNext/>
              <w:tabs>
                <w:tab w:val="decimal" w:pos="454"/>
              </w:tabs>
              <w:jc w:val="center"/>
              <w:rPr>
                <w:lang w:eastAsia="en-NZ"/>
              </w:rPr>
            </w:pPr>
            <w:r w:rsidRPr="00C72786">
              <w:t>140</w:t>
            </w:r>
          </w:p>
        </w:tc>
        <w:tc>
          <w:tcPr>
            <w:tcW w:w="764" w:type="dxa"/>
            <w:vAlign w:val="center"/>
          </w:tcPr>
          <w:p w14:paraId="59907FAF" w14:textId="77777777" w:rsidR="001236DF" w:rsidRPr="00810398" w:rsidRDefault="001236DF" w:rsidP="001236DF">
            <w:pPr>
              <w:pStyle w:val="TableText"/>
              <w:keepNext/>
              <w:jc w:val="center"/>
              <w:rPr>
                <w:lang w:eastAsia="en-NZ"/>
              </w:rPr>
            </w:pPr>
            <w:r w:rsidRPr="00C72786">
              <w:t>44</w:t>
            </w:r>
          </w:p>
        </w:tc>
        <w:tc>
          <w:tcPr>
            <w:tcW w:w="1145" w:type="dxa"/>
            <w:vAlign w:val="center"/>
          </w:tcPr>
          <w:p w14:paraId="177F4734" w14:textId="77777777" w:rsidR="001236DF" w:rsidRPr="00810398" w:rsidRDefault="001236DF" w:rsidP="001236DF">
            <w:pPr>
              <w:pStyle w:val="TableText"/>
              <w:keepNext/>
              <w:jc w:val="center"/>
              <w:rPr>
                <w:lang w:eastAsia="en-NZ"/>
              </w:rPr>
            </w:pPr>
            <w:r w:rsidRPr="00C72786">
              <w:t>3.2</w:t>
            </w:r>
          </w:p>
        </w:tc>
      </w:tr>
      <w:tr w:rsidR="001236DF" w:rsidRPr="000C5A1A" w14:paraId="1534A669" w14:textId="77777777" w:rsidTr="001236DF">
        <w:trPr>
          <w:cantSplit/>
        </w:trPr>
        <w:tc>
          <w:tcPr>
            <w:tcW w:w="1276" w:type="dxa"/>
            <w:shd w:val="clear" w:color="auto" w:fill="auto"/>
            <w:noWrap/>
            <w:hideMark/>
          </w:tcPr>
          <w:p w14:paraId="6007A7E7" w14:textId="77777777" w:rsidR="001236DF" w:rsidRPr="000C5A1A" w:rsidRDefault="001236DF" w:rsidP="001236DF">
            <w:pPr>
              <w:pStyle w:val="TableText"/>
              <w:keepNext/>
              <w:rPr>
                <w:lang w:eastAsia="en-NZ"/>
              </w:rPr>
            </w:pPr>
            <w:r w:rsidRPr="000C5A1A">
              <w:rPr>
                <w:lang w:eastAsia="en-NZ"/>
              </w:rPr>
              <w:t>Hawke</w:t>
            </w:r>
            <w:r>
              <w:rPr>
                <w:lang w:eastAsia="en-NZ"/>
              </w:rPr>
              <w:t>’</w:t>
            </w:r>
            <w:r w:rsidRPr="000C5A1A">
              <w:rPr>
                <w:lang w:eastAsia="en-NZ"/>
              </w:rPr>
              <w:t>s Bay</w:t>
            </w:r>
          </w:p>
        </w:tc>
        <w:tc>
          <w:tcPr>
            <w:tcW w:w="709" w:type="dxa"/>
            <w:shd w:val="clear" w:color="auto" w:fill="auto"/>
            <w:noWrap/>
            <w:vAlign w:val="center"/>
            <w:hideMark/>
          </w:tcPr>
          <w:p w14:paraId="20C14587" w14:textId="77777777" w:rsidR="001236DF" w:rsidRPr="00810398" w:rsidRDefault="001236DF" w:rsidP="001236DF">
            <w:pPr>
              <w:pStyle w:val="TableText"/>
              <w:keepNext/>
              <w:tabs>
                <w:tab w:val="decimal" w:pos="454"/>
              </w:tabs>
              <w:jc w:val="center"/>
              <w:rPr>
                <w:lang w:eastAsia="en-NZ"/>
              </w:rPr>
            </w:pPr>
            <w:r w:rsidRPr="00B90BBA">
              <w:t>32</w:t>
            </w:r>
          </w:p>
        </w:tc>
        <w:tc>
          <w:tcPr>
            <w:tcW w:w="850" w:type="dxa"/>
            <w:shd w:val="clear" w:color="auto" w:fill="auto"/>
            <w:noWrap/>
            <w:vAlign w:val="center"/>
            <w:hideMark/>
          </w:tcPr>
          <w:p w14:paraId="31950224" w14:textId="77777777" w:rsidR="001236DF" w:rsidRPr="00810398" w:rsidRDefault="001236DF" w:rsidP="001236DF">
            <w:pPr>
              <w:pStyle w:val="TableText"/>
              <w:keepNext/>
              <w:tabs>
                <w:tab w:val="decimal" w:pos="445"/>
              </w:tabs>
              <w:jc w:val="center"/>
              <w:rPr>
                <w:lang w:eastAsia="en-NZ"/>
              </w:rPr>
            </w:pPr>
            <w:r w:rsidRPr="00B90BBA">
              <w:t>7</w:t>
            </w:r>
          </w:p>
        </w:tc>
        <w:tc>
          <w:tcPr>
            <w:tcW w:w="1114" w:type="dxa"/>
            <w:shd w:val="clear" w:color="auto" w:fill="auto"/>
            <w:noWrap/>
            <w:vAlign w:val="center"/>
            <w:hideMark/>
          </w:tcPr>
          <w:p w14:paraId="3C7FFE76" w14:textId="77777777" w:rsidR="001236DF" w:rsidRPr="00810398" w:rsidRDefault="001236DF" w:rsidP="001236DF">
            <w:pPr>
              <w:pStyle w:val="TableText"/>
              <w:keepNext/>
              <w:jc w:val="center"/>
              <w:rPr>
                <w:lang w:eastAsia="en-NZ"/>
              </w:rPr>
            </w:pPr>
            <w:r w:rsidRPr="00B90BBA">
              <w:t>4.5</w:t>
            </w:r>
          </w:p>
        </w:tc>
        <w:tc>
          <w:tcPr>
            <w:tcW w:w="370" w:type="dxa"/>
            <w:tcBorders>
              <w:top w:val="nil"/>
              <w:bottom w:val="nil"/>
            </w:tcBorders>
            <w:shd w:val="clear" w:color="auto" w:fill="auto"/>
          </w:tcPr>
          <w:p w14:paraId="1551D77A" w14:textId="77777777" w:rsidR="001236DF" w:rsidRPr="000C5A1A" w:rsidRDefault="001236DF" w:rsidP="001236DF">
            <w:pPr>
              <w:pStyle w:val="TableText"/>
              <w:keepNext/>
              <w:rPr>
                <w:lang w:eastAsia="en-NZ"/>
              </w:rPr>
            </w:pPr>
          </w:p>
        </w:tc>
        <w:tc>
          <w:tcPr>
            <w:tcW w:w="1331" w:type="dxa"/>
          </w:tcPr>
          <w:p w14:paraId="7FC4184B" w14:textId="77777777" w:rsidR="001236DF" w:rsidRPr="00810398" w:rsidRDefault="001236DF" w:rsidP="001236DF">
            <w:pPr>
              <w:pStyle w:val="TableText"/>
              <w:keepNext/>
              <w:rPr>
                <w:lang w:eastAsia="en-NZ"/>
              </w:rPr>
            </w:pPr>
            <w:r w:rsidRPr="000C5A1A">
              <w:rPr>
                <w:lang w:eastAsia="en-NZ"/>
              </w:rPr>
              <w:t>Waikato</w:t>
            </w:r>
          </w:p>
        </w:tc>
        <w:tc>
          <w:tcPr>
            <w:tcW w:w="674" w:type="dxa"/>
            <w:vAlign w:val="center"/>
          </w:tcPr>
          <w:p w14:paraId="20E4DF32" w14:textId="77777777" w:rsidR="001236DF" w:rsidRPr="00810398" w:rsidRDefault="001236DF" w:rsidP="001236DF">
            <w:pPr>
              <w:pStyle w:val="TableText"/>
              <w:keepNext/>
              <w:tabs>
                <w:tab w:val="decimal" w:pos="454"/>
              </w:tabs>
              <w:jc w:val="center"/>
              <w:rPr>
                <w:lang w:eastAsia="en-NZ"/>
              </w:rPr>
            </w:pPr>
            <w:r w:rsidRPr="00C72786">
              <w:t>176</w:t>
            </w:r>
          </w:p>
        </w:tc>
        <w:tc>
          <w:tcPr>
            <w:tcW w:w="764" w:type="dxa"/>
            <w:vAlign w:val="center"/>
          </w:tcPr>
          <w:p w14:paraId="07535503" w14:textId="77777777" w:rsidR="001236DF" w:rsidRPr="00810398" w:rsidRDefault="001236DF" w:rsidP="001236DF">
            <w:pPr>
              <w:pStyle w:val="TableText"/>
              <w:keepNext/>
              <w:jc w:val="center"/>
              <w:rPr>
                <w:lang w:eastAsia="en-NZ"/>
              </w:rPr>
            </w:pPr>
            <w:r w:rsidRPr="00C72786">
              <w:t>38</w:t>
            </w:r>
          </w:p>
        </w:tc>
        <w:tc>
          <w:tcPr>
            <w:tcW w:w="1145" w:type="dxa"/>
            <w:vAlign w:val="center"/>
          </w:tcPr>
          <w:p w14:paraId="22F11162" w14:textId="77777777" w:rsidR="001236DF" w:rsidRPr="00810398" w:rsidRDefault="001236DF" w:rsidP="001236DF">
            <w:pPr>
              <w:pStyle w:val="TableText"/>
              <w:keepNext/>
              <w:jc w:val="center"/>
              <w:rPr>
                <w:lang w:eastAsia="en-NZ"/>
              </w:rPr>
            </w:pPr>
            <w:r w:rsidRPr="00C72786">
              <w:t>4.6</w:t>
            </w:r>
          </w:p>
        </w:tc>
      </w:tr>
      <w:tr w:rsidR="001236DF" w:rsidRPr="000C5A1A" w14:paraId="6D9DDAD0" w14:textId="77777777" w:rsidTr="001236DF">
        <w:trPr>
          <w:cantSplit/>
        </w:trPr>
        <w:tc>
          <w:tcPr>
            <w:tcW w:w="1276" w:type="dxa"/>
            <w:shd w:val="clear" w:color="auto" w:fill="auto"/>
            <w:noWrap/>
            <w:hideMark/>
          </w:tcPr>
          <w:p w14:paraId="1FE0BA67" w14:textId="77777777" w:rsidR="001236DF" w:rsidRPr="000C5A1A" w:rsidRDefault="001236DF" w:rsidP="001236DF">
            <w:pPr>
              <w:pStyle w:val="TableText"/>
              <w:keepNext/>
              <w:rPr>
                <w:lang w:eastAsia="en-NZ"/>
              </w:rPr>
            </w:pPr>
            <w:r w:rsidRPr="000C5A1A">
              <w:rPr>
                <w:lang w:eastAsia="en-NZ"/>
              </w:rPr>
              <w:t>Hutt Valley</w:t>
            </w:r>
          </w:p>
        </w:tc>
        <w:tc>
          <w:tcPr>
            <w:tcW w:w="709" w:type="dxa"/>
            <w:shd w:val="clear" w:color="auto" w:fill="auto"/>
            <w:noWrap/>
            <w:vAlign w:val="center"/>
            <w:hideMark/>
          </w:tcPr>
          <w:p w14:paraId="0B5BB400" w14:textId="77777777" w:rsidR="001236DF" w:rsidRPr="00810398" w:rsidRDefault="001236DF" w:rsidP="001236DF">
            <w:pPr>
              <w:pStyle w:val="TableText"/>
              <w:keepNext/>
              <w:tabs>
                <w:tab w:val="decimal" w:pos="454"/>
              </w:tabs>
              <w:jc w:val="center"/>
              <w:rPr>
                <w:lang w:eastAsia="en-NZ"/>
              </w:rPr>
            </w:pPr>
            <w:r w:rsidRPr="00B90BBA">
              <w:t>117</w:t>
            </w:r>
          </w:p>
        </w:tc>
        <w:tc>
          <w:tcPr>
            <w:tcW w:w="850" w:type="dxa"/>
            <w:shd w:val="clear" w:color="auto" w:fill="auto"/>
            <w:noWrap/>
            <w:vAlign w:val="center"/>
            <w:hideMark/>
          </w:tcPr>
          <w:p w14:paraId="5815086A" w14:textId="77777777" w:rsidR="001236DF" w:rsidRPr="00810398" w:rsidRDefault="001236DF" w:rsidP="001236DF">
            <w:pPr>
              <w:pStyle w:val="TableText"/>
              <w:keepNext/>
              <w:tabs>
                <w:tab w:val="decimal" w:pos="445"/>
              </w:tabs>
              <w:jc w:val="center"/>
              <w:rPr>
                <w:lang w:eastAsia="en-NZ"/>
              </w:rPr>
            </w:pPr>
            <w:r w:rsidRPr="00B90BBA">
              <w:t>33</w:t>
            </w:r>
          </w:p>
        </w:tc>
        <w:tc>
          <w:tcPr>
            <w:tcW w:w="1114" w:type="dxa"/>
            <w:shd w:val="clear" w:color="auto" w:fill="auto"/>
            <w:noWrap/>
            <w:vAlign w:val="center"/>
            <w:hideMark/>
          </w:tcPr>
          <w:p w14:paraId="39F0AEFD" w14:textId="77777777" w:rsidR="001236DF" w:rsidRPr="00810398" w:rsidRDefault="001236DF" w:rsidP="001236DF">
            <w:pPr>
              <w:pStyle w:val="TableText"/>
              <w:keepNext/>
              <w:jc w:val="center"/>
              <w:rPr>
                <w:lang w:eastAsia="en-NZ"/>
              </w:rPr>
            </w:pPr>
            <w:r w:rsidRPr="00B90BBA">
              <w:t>3.6</w:t>
            </w:r>
          </w:p>
        </w:tc>
        <w:tc>
          <w:tcPr>
            <w:tcW w:w="370" w:type="dxa"/>
            <w:tcBorders>
              <w:top w:val="nil"/>
              <w:bottom w:val="nil"/>
            </w:tcBorders>
            <w:shd w:val="clear" w:color="auto" w:fill="auto"/>
          </w:tcPr>
          <w:p w14:paraId="6175E9A3" w14:textId="77777777" w:rsidR="001236DF" w:rsidRPr="000C5A1A" w:rsidRDefault="001236DF" w:rsidP="001236DF">
            <w:pPr>
              <w:pStyle w:val="TableText"/>
              <w:keepNext/>
              <w:rPr>
                <w:lang w:eastAsia="en-NZ"/>
              </w:rPr>
            </w:pPr>
          </w:p>
        </w:tc>
        <w:tc>
          <w:tcPr>
            <w:tcW w:w="1331" w:type="dxa"/>
          </w:tcPr>
          <w:p w14:paraId="0391083B" w14:textId="77777777" w:rsidR="001236DF" w:rsidRPr="00810398" w:rsidRDefault="001236DF" w:rsidP="001236DF">
            <w:pPr>
              <w:pStyle w:val="TableText"/>
              <w:keepNext/>
              <w:rPr>
                <w:lang w:eastAsia="en-NZ"/>
              </w:rPr>
            </w:pPr>
            <w:r w:rsidRPr="000C5A1A">
              <w:rPr>
                <w:lang w:eastAsia="en-NZ"/>
              </w:rPr>
              <w:t>Wairarapa</w:t>
            </w:r>
          </w:p>
        </w:tc>
        <w:tc>
          <w:tcPr>
            <w:tcW w:w="674" w:type="dxa"/>
            <w:vAlign w:val="center"/>
          </w:tcPr>
          <w:p w14:paraId="6DF57621" w14:textId="77777777" w:rsidR="001236DF" w:rsidRPr="00810398" w:rsidRDefault="001236DF" w:rsidP="001236DF">
            <w:pPr>
              <w:pStyle w:val="TableText"/>
              <w:keepNext/>
              <w:tabs>
                <w:tab w:val="decimal" w:pos="454"/>
              </w:tabs>
              <w:jc w:val="center"/>
              <w:rPr>
                <w:lang w:eastAsia="en-NZ"/>
              </w:rPr>
            </w:pPr>
            <w:r w:rsidRPr="00C72786">
              <w:t>120</w:t>
            </w:r>
          </w:p>
        </w:tc>
        <w:tc>
          <w:tcPr>
            <w:tcW w:w="764" w:type="dxa"/>
            <w:vAlign w:val="center"/>
          </w:tcPr>
          <w:p w14:paraId="7CC1C0C1" w14:textId="77777777" w:rsidR="001236DF" w:rsidRPr="00810398" w:rsidRDefault="001236DF" w:rsidP="001236DF">
            <w:pPr>
              <w:pStyle w:val="TableText"/>
              <w:keepNext/>
              <w:jc w:val="center"/>
              <w:rPr>
                <w:lang w:eastAsia="en-NZ"/>
              </w:rPr>
            </w:pPr>
            <w:r w:rsidRPr="00C72786">
              <w:t>30</w:t>
            </w:r>
          </w:p>
        </w:tc>
        <w:tc>
          <w:tcPr>
            <w:tcW w:w="1145" w:type="dxa"/>
            <w:vAlign w:val="center"/>
          </w:tcPr>
          <w:p w14:paraId="300C9431" w14:textId="77777777" w:rsidR="001236DF" w:rsidRPr="00810398" w:rsidRDefault="001236DF" w:rsidP="001236DF">
            <w:pPr>
              <w:pStyle w:val="TableText"/>
              <w:keepNext/>
              <w:jc w:val="center"/>
              <w:rPr>
                <w:lang w:eastAsia="en-NZ"/>
              </w:rPr>
            </w:pPr>
            <w:r w:rsidRPr="00C72786">
              <w:t>4.0</w:t>
            </w:r>
          </w:p>
        </w:tc>
      </w:tr>
      <w:tr w:rsidR="001236DF" w:rsidRPr="000C5A1A" w14:paraId="4E8F81CF" w14:textId="77777777" w:rsidTr="001236DF">
        <w:trPr>
          <w:cantSplit/>
        </w:trPr>
        <w:tc>
          <w:tcPr>
            <w:tcW w:w="1276" w:type="dxa"/>
            <w:shd w:val="clear" w:color="auto" w:fill="auto"/>
            <w:noWrap/>
            <w:hideMark/>
          </w:tcPr>
          <w:p w14:paraId="5BE0548C" w14:textId="77777777" w:rsidR="001236DF" w:rsidRPr="000C5A1A" w:rsidRDefault="001236DF" w:rsidP="001236DF">
            <w:pPr>
              <w:pStyle w:val="TableText"/>
              <w:keepNext/>
              <w:rPr>
                <w:lang w:eastAsia="en-NZ"/>
              </w:rPr>
            </w:pPr>
            <w:r w:rsidRPr="000C5A1A">
              <w:rPr>
                <w:lang w:eastAsia="en-NZ"/>
              </w:rPr>
              <w:t>Lakes</w:t>
            </w:r>
          </w:p>
        </w:tc>
        <w:tc>
          <w:tcPr>
            <w:tcW w:w="709" w:type="dxa"/>
            <w:shd w:val="clear" w:color="auto" w:fill="auto"/>
            <w:noWrap/>
            <w:vAlign w:val="center"/>
            <w:hideMark/>
          </w:tcPr>
          <w:p w14:paraId="481869C8" w14:textId="77777777" w:rsidR="001236DF" w:rsidRPr="00810398" w:rsidRDefault="001236DF" w:rsidP="001236DF">
            <w:pPr>
              <w:pStyle w:val="TableText"/>
              <w:keepNext/>
              <w:tabs>
                <w:tab w:val="decimal" w:pos="454"/>
              </w:tabs>
              <w:jc w:val="center"/>
              <w:rPr>
                <w:lang w:eastAsia="en-NZ"/>
              </w:rPr>
            </w:pPr>
            <w:r w:rsidRPr="00B90BBA">
              <w:t>47</w:t>
            </w:r>
          </w:p>
        </w:tc>
        <w:tc>
          <w:tcPr>
            <w:tcW w:w="850" w:type="dxa"/>
            <w:shd w:val="clear" w:color="auto" w:fill="auto"/>
            <w:noWrap/>
            <w:vAlign w:val="center"/>
            <w:hideMark/>
          </w:tcPr>
          <w:p w14:paraId="6B9EFF36" w14:textId="77777777" w:rsidR="001236DF" w:rsidRPr="00810398" w:rsidRDefault="001236DF" w:rsidP="001236DF">
            <w:pPr>
              <w:pStyle w:val="TableText"/>
              <w:keepNext/>
              <w:tabs>
                <w:tab w:val="decimal" w:pos="445"/>
              </w:tabs>
              <w:jc w:val="center"/>
              <w:rPr>
                <w:lang w:eastAsia="en-NZ"/>
              </w:rPr>
            </w:pPr>
            <w:r w:rsidRPr="00B90BBA">
              <w:t>19</w:t>
            </w:r>
          </w:p>
        </w:tc>
        <w:tc>
          <w:tcPr>
            <w:tcW w:w="1114" w:type="dxa"/>
            <w:shd w:val="clear" w:color="auto" w:fill="auto"/>
            <w:noWrap/>
            <w:vAlign w:val="center"/>
            <w:hideMark/>
          </w:tcPr>
          <w:p w14:paraId="4DB1A77D" w14:textId="77777777" w:rsidR="001236DF" w:rsidRPr="00810398" w:rsidRDefault="001236DF" w:rsidP="001236DF">
            <w:pPr>
              <w:pStyle w:val="TableText"/>
              <w:keepNext/>
              <w:jc w:val="center"/>
              <w:rPr>
                <w:lang w:eastAsia="en-NZ"/>
              </w:rPr>
            </w:pPr>
            <w:r w:rsidRPr="00B90BBA">
              <w:t>2.5</w:t>
            </w:r>
          </w:p>
        </w:tc>
        <w:tc>
          <w:tcPr>
            <w:tcW w:w="370" w:type="dxa"/>
            <w:tcBorders>
              <w:top w:val="nil"/>
              <w:bottom w:val="nil"/>
            </w:tcBorders>
            <w:shd w:val="clear" w:color="auto" w:fill="auto"/>
          </w:tcPr>
          <w:p w14:paraId="33733D67" w14:textId="77777777" w:rsidR="001236DF" w:rsidRPr="000C5A1A" w:rsidRDefault="001236DF" w:rsidP="001236DF">
            <w:pPr>
              <w:pStyle w:val="TableText"/>
              <w:keepNext/>
              <w:rPr>
                <w:lang w:eastAsia="en-NZ"/>
              </w:rPr>
            </w:pPr>
          </w:p>
        </w:tc>
        <w:tc>
          <w:tcPr>
            <w:tcW w:w="1331" w:type="dxa"/>
          </w:tcPr>
          <w:p w14:paraId="67076DD6" w14:textId="77777777" w:rsidR="001236DF" w:rsidRPr="00810398" w:rsidRDefault="001236DF" w:rsidP="001236DF">
            <w:pPr>
              <w:pStyle w:val="TableText"/>
              <w:keepNext/>
              <w:rPr>
                <w:lang w:eastAsia="en-NZ"/>
              </w:rPr>
            </w:pPr>
            <w:r w:rsidRPr="000C5A1A">
              <w:rPr>
                <w:lang w:eastAsia="en-NZ"/>
              </w:rPr>
              <w:t>Waitematā</w:t>
            </w:r>
          </w:p>
        </w:tc>
        <w:tc>
          <w:tcPr>
            <w:tcW w:w="674" w:type="dxa"/>
            <w:vAlign w:val="center"/>
          </w:tcPr>
          <w:p w14:paraId="230D8748" w14:textId="77777777" w:rsidR="001236DF" w:rsidRPr="00810398" w:rsidRDefault="001236DF" w:rsidP="001236DF">
            <w:pPr>
              <w:pStyle w:val="TableText"/>
              <w:keepNext/>
              <w:tabs>
                <w:tab w:val="decimal" w:pos="454"/>
              </w:tabs>
              <w:jc w:val="center"/>
              <w:rPr>
                <w:lang w:eastAsia="en-NZ"/>
              </w:rPr>
            </w:pPr>
            <w:r w:rsidRPr="00C72786">
              <w:t>116</w:t>
            </w:r>
          </w:p>
        </w:tc>
        <w:tc>
          <w:tcPr>
            <w:tcW w:w="764" w:type="dxa"/>
            <w:vAlign w:val="center"/>
          </w:tcPr>
          <w:p w14:paraId="590B9525" w14:textId="77777777" w:rsidR="001236DF" w:rsidRPr="00810398" w:rsidRDefault="001236DF" w:rsidP="001236DF">
            <w:pPr>
              <w:pStyle w:val="TableText"/>
              <w:keepNext/>
              <w:jc w:val="center"/>
              <w:rPr>
                <w:lang w:eastAsia="en-NZ"/>
              </w:rPr>
            </w:pPr>
            <w:r w:rsidRPr="00C72786">
              <w:t>35</w:t>
            </w:r>
          </w:p>
        </w:tc>
        <w:tc>
          <w:tcPr>
            <w:tcW w:w="1145" w:type="dxa"/>
            <w:vAlign w:val="center"/>
          </w:tcPr>
          <w:p w14:paraId="2C658AED" w14:textId="77777777" w:rsidR="001236DF" w:rsidRPr="00810398" w:rsidRDefault="001236DF" w:rsidP="001236DF">
            <w:pPr>
              <w:pStyle w:val="TableText"/>
              <w:keepNext/>
              <w:jc w:val="center"/>
              <w:rPr>
                <w:lang w:eastAsia="en-NZ"/>
              </w:rPr>
            </w:pPr>
            <w:r w:rsidRPr="00C72786">
              <w:t>3.3</w:t>
            </w:r>
          </w:p>
        </w:tc>
      </w:tr>
      <w:tr w:rsidR="001236DF" w:rsidRPr="000C5A1A" w14:paraId="3534261F" w14:textId="77777777" w:rsidTr="001236DF">
        <w:trPr>
          <w:cantSplit/>
        </w:trPr>
        <w:tc>
          <w:tcPr>
            <w:tcW w:w="1276" w:type="dxa"/>
            <w:shd w:val="clear" w:color="auto" w:fill="auto"/>
            <w:noWrap/>
            <w:hideMark/>
          </w:tcPr>
          <w:p w14:paraId="7273C8A0" w14:textId="77777777" w:rsidR="001236DF" w:rsidRPr="000C5A1A" w:rsidRDefault="001236DF" w:rsidP="001236DF">
            <w:pPr>
              <w:pStyle w:val="TableText"/>
              <w:keepNext/>
              <w:rPr>
                <w:lang w:eastAsia="en-NZ"/>
              </w:rPr>
            </w:pPr>
            <w:r w:rsidRPr="000C5A1A">
              <w:rPr>
                <w:lang w:eastAsia="en-NZ"/>
              </w:rPr>
              <w:t>MidCentral</w:t>
            </w:r>
          </w:p>
        </w:tc>
        <w:tc>
          <w:tcPr>
            <w:tcW w:w="709" w:type="dxa"/>
            <w:shd w:val="clear" w:color="auto" w:fill="auto"/>
            <w:noWrap/>
            <w:vAlign w:val="center"/>
            <w:hideMark/>
          </w:tcPr>
          <w:p w14:paraId="5EE48794" w14:textId="77777777" w:rsidR="001236DF" w:rsidRPr="00810398" w:rsidRDefault="001236DF" w:rsidP="001236DF">
            <w:pPr>
              <w:pStyle w:val="TableText"/>
              <w:keepNext/>
              <w:tabs>
                <w:tab w:val="decimal" w:pos="454"/>
              </w:tabs>
              <w:jc w:val="center"/>
              <w:rPr>
                <w:lang w:eastAsia="en-NZ"/>
              </w:rPr>
            </w:pPr>
            <w:r w:rsidRPr="00B90BBA">
              <w:t>133</w:t>
            </w:r>
          </w:p>
        </w:tc>
        <w:tc>
          <w:tcPr>
            <w:tcW w:w="850" w:type="dxa"/>
            <w:shd w:val="clear" w:color="auto" w:fill="auto"/>
            <w:noWrap/>
            <w:vAlign w:val="center"/>
            <w:hideMark/>
          </w:tcPr>
          <w:p w14:paraId="00321083" w14:textId="77777777" w:rsidR="001236DF" w:rsidRPr="00810398" w:rsidRDefault="001236DF" w:rsidP="001236DF">
            <w:pPr>
              <w:pStyle w:val="TableText"/>
              <w:keepNext/>
              <w:tabs>
                <w:tab w:val="decimal" w:pos="445"/>
              </w:tabs>
              <w:jc w:val="center"/>
              <w:rPr>
                <w:lang w:eastAsia="en-NZ"/>
              </w:rPr>
            </w:pPr>
            <w:r w:rsidRPr="00B90BBA">
              <w:t>49</w:t>
            </w:r>
          </w:p>
        </w:tc>
        <w:tc>
          <w:tcPr>
            <w:tcW w:w="1114" w:type="dxa"/>
            <w:shd w:val="clear" w:color="auto" w:fill="auto"/>
            <w:noWrap/>
            <w:vAlign w:val="center"/>
            <w:hideMark/>
          </w:tcPr>
          <w:p w14:paraId="1BB0199B" w14:textId="77777777" w:rsidR="001236DF" w:rsidRPr="00810398" w:rsidRDefault="001236DF" w:rsidP="001236DF">
            <w:pPr>
              <w:pStyle w:val="TableText"/>
              <w:keepNext/>
              <w:jc w:val="center"/>
              <w:rPr>
                <w:lang w:eastAsia="en-NZ"/>
              </w:rPr>
            </w:pPr>
            <w:r w:rsidRPr="00B90BBA">
              <w:t>2.7</w:t>
            </w:r>
          </w:p>
        </w:tc>
        <w:tc>
          <w:tcPr>
            <w:tcW w:w="370" w:type="dxa"/>
            <w:tcBorders>
              <w:top w:val="nil"/>
              <w:bottom w:val="nil"/>
            </w:tcBorders>
            <w:shd w:val="clear" w:color="auto" w:fill="auto"/>
          </w:tcPr>
          <w:p w14:paraId="4DD302A3" w14:textId="77777777" w:rsidR="001236DF" w:rsidRPr="000C5A1A" w:rsidRDefault="001236DF" w:rsidP="001236DF">
            <w:pPr>
              <w:pStyle w:val="TableText"/>
              <w:keepNext/>
              <w:rPr>
                <w:lang w:eastAsia="en-NZ"/>
              </w:rPr>
            </w:pPr>
          </w:p>
        </w:tc>
        <w:tc>
          <w:tcPr>
            <w:tcW w:w="1331" w:type="dxa"/>
          </w:tcPr>
          <w:p w14:paraId="3318F956" w14:textId="77777777" w:rsidR="001236DF" w:rsidRPr="00810398" w:rsidRDefault="001236DF" w:rsidP="001236DF">
            <w:pPr>
              <w:pStyle w:val="TableText"/>
              <w:keepNext/>
              <w:rPr>
                <w:lang w:eastAsia="en-NZ"/>
              </w:rPr>
            </w:pPr>
            <w:r w:rsidRPr="000C5A1A">
              <w:rPr>
                <w:lang w:eastAsia="en-NZ"/>
              </w:rPr>
              <w:t>West Coast</w:t>
            </w:r>
          </w:p>
        </w:tc>
        <w:tc>
          <w:tcPr>
            <w:tcW w:w="674" w:type="dxa"/>
            <w:vAlign w:val="center"/>
          </w:tcPr>
          <w:p w14:paraId="60223514" w14:textId="77777777" w:rsidR="001236DF" w:rsidRPr="00810398" w:rsidRDefault="001236DF" w:rsidP="001236DF">
            <w:pPr>
              <w:pStyle w:val="TableText"/>
              <w:keepNext/>
              <w:tabs>
                <w:tab w:val="decimal" w:pos="454"/>
              </w:tabs>
              <w:jc w:val="center"/>
              <w:rPr>
                <w:lang w:eastAsia="en-NZ"/>
              </w:rPr>
            </w:pPr>
            <w:r w:rsidRPr="00C72786">
              <w:t>99</w:t>
            </w:r>
          </w:p>
        </w:tc>
        <w:tc>
          <w:tcPr>
            <w:tcW w:w="764" w:type="dxa"/>
            <w:vAlign w:val="center"/>
          </w:tcPr>
          <w:p w14:paraId="1B5B1C21" w14:textId="77777777" w:rsidR="001236DF" w:rsidRPr="00810398" w:rsidRDefault="001236DF" w:rsidP="001236DF">
            <w:pPr>
              <w:pStyle w:val="TableText"/>
              <w:keepNext/>
              <w:jc w:val="center"/>
              <w:rPr>
                <w:lang w:eastAsia="en-NZ"/>
              </w:rPr>
            </w:pPr>
            <w:r w:rsidRPr="00C72786">
              <w:t>64</w:t>
            </w:r>
          </w:p>
        </w:tc>
        <w:tc>
          <w:tcPr>
            <w:tcW w:w="1145" w:type="dxa"/>
            <w:vAlign w:val="center"/>
          </w:tcPr>
          <w:p w14:paraId="1152EBFE" w14:textId="77777777" w:rsidR="001236DF" w:rsidRPr="00810398" w:rsidRDefault="001236DF" w:rsidP="001236DF">
            <w:pPr>
              <w:pStyle w:val="TableText"/>
              <w:keepNext/>
              <w:jc w:val="center"/>
              <w:rPr>
                <w:lang w:eastAsia="en-NZ"/>
              </w:rPr>
            </w:pPr>
            <w:r w:rsidRPr="00C72786">
              <w:t>1.6</w:t>
            </w:r>
          </w:p>
        </w:tc>
      </w:tr>
      <w:tr w:rsidR="001236DF" w:rsidRPr="000C5A1A" w14:paraId="60BE9194" w14:textId="77777777" w:rsidTr="001236DF">
        <w:trPr>
          <w:cantSplit/>
        </w:trPr>
        <w:tc>
          <w:tcPr>
            <w:tcW w:w="1276" w:type="dxa"/>
            <w:tcBorders>
              <w:bottom w:val="single" w:sz="4" w:space="0" w:color="A6A6A6"/>
            </w:tcBorders>
            <w:shd w:val="clear" w:color="auto" w:fill="auto"/>
            <w:noWrap/>
            <w:hideMark/>
          </w:tcPr>
          <w:p w14:paraId="2CA74B9B" w14:textId="77777777" w:rsidR="001236DF" w:rsidRPr="000C5A1A" w:rsidRDefault="001236DF" w:rsidP="001236DF">
            <w:pPr>
              <w:pStyle w:val="TableText"/>
              <w:rPr>
                <w:lang w:eastAsia="en-NZ"/>
              </w:rPr>
            </w:pPr>
            <w:r w:rsidRPr="000C5A1A">
              <w:rPr>
                <w:lang w:eastAsia="en-NZ"/>
              </w:rPr>
              <w:t>Nelson Marlborough</w:t>
            </w:r>
          </w:p>
        </w:tc>
        <w:tc>
          <w:tcPr>
            <w:tcW w:w="709" w:type="dxa"/>
            <w:tcBorders>
              <w:bottom w:val="single" w:sz="4" w:space="0" w:color="A6A6A6"/>
            </w:tcBorders>
            <w:shd w:val="clear" w:color="auto" w:fill="auto"/>
            <w:noWrap/>
            <w:vAlign w:val="center"/>
            <w:hideMark/>
          </w:tcPr>
          <w:p w14:paraId="290C32B5" w14:textId="77777777" w:rsidR="001236DF" w:rsidRPr="00810398" w:rsidRDefault="001236DF" w:rsidP="001236DF">
            <w:pPr>
              <w:pStyle w:val="TableText"/>
              <w:tabs>
                <w:tab w:val="decimal" w:pos="454"/>
              </w:tabs>
              <w:jc w:val="center"/>
              <w:rPr>
                <w:lang w:eastAsia="en-NZ"/>
              </w:rPr>
            </w:pPr>
            <w:r w:rsidRPr="00B90BBA">
              <w:t>102</w:t>
            </w:r>
          </w:p>
        </w:tc>
        <w:tc>
          <w:tcPr>
            <w:tcW w:w="850" w:type="dxa"/>
            <w:tcBorders>
              <w:bottom w:val="single" w:sz="4" w:space="0" w:color="A6A6A6"/>
            </w:tcBorders>
            <w:shd w:val="clear" w:color="auto" w:fill="auto"/>
            <w:noWrap/>
            <w:vAlign w:val="center"/>
            <w:hideMark/>
          </w:tcPr>
          <w:p w14:paraId="54020279" w14:textId="77777777" w:rsidR="001236DF" w:rsidRPr="00810398" w:rsidRDefault="001236DF" w:rsidP="001236DF">
            <w:pPr>
              <w:pStyle w:val="TableText"/>
              <w:tabs>
                <w:tab w:val="decimal" w:pos="445"/>
              </w:tabs>
              <w:jc w:val="center"/>
              <w:rPr>
                <w:lang w:eastAsia="en-NZ"/>
              </w:rPr>
            </w:pPr>
            <w:r w:rsidRPr="00B90BBA">
              <w:t>40</w:t>
            </w:r>
          </w:p>
        </w:tc>
        <w:tc>
          <w:tcPr>
            <w:tcW w:w="1114" w:type="dxa"/>
            <w:tcBorders>
              <w:bottom w:val="single" w:sz="4" w:space="0" w:color="A6A6A6"/>
            </w:tcBorders>
            <w:shd w:val="clear" w:color="auto" w:fill="auto"/>
            <w:noWrap/>
            <w:vAlign w:val="center"/>
            <w:hideMark/>
          </w:tcPr>
          <w:p w14:paraId="6C25C90D" w14:textId="77777777" w:rsidR="001236DF" w:rsidRPr="00810398" w:rsidRDefault="001236DF" w:rsidP="001236DF">
            <w:pPr>
              <w:pStyle w:val="TableText"/>
              <w:jc w:val="center"/>
              <w:rPr>
                <w:lang w:eastAsia="en-NZ"/>
              </w:rPr>
            </w:pPr>
            <w:r w:rsidRPr="00B90BBA">
              <w:t>2.5</w:t>
            </w:r>
          </w:p>
        </w:tc>
        <w:tc>
          <w:tcPr>
            <w:tcW w:w="370" w:type="dxa"/>
            <w:tcBorders>
              <w:top w:val="nil"/>
              <w:bottom w:val="nil"/>
            </w:tcBorders>
            <w:shd w:val="clear" w:color="auto" w:fill="auto"/>
          </w:tcPr>
          <w:p w14:paraId="009EE38C" w14:textId="77777777" w:rsidR="001236DF" w:rsidRPr="000C5A1A" w:rsidRDefault="001236DF" w:rsidP="001236DF">
            <w:pPr>
              <w:pStyle w:val="TableText"/>
              <w:rPr>
                <w:lang w:eastAsia="en-NZ"/>
              </w:rPr>
            </w:pPr>
          </w:p>
        </w:tc>
        <w:tc>
          <w:tcPr>
            <w:tcW w:w="1331" w:type="dxa"/>
            <w:vAlign w:val="center"/>
          </w:tcPr>
          <w:p w14:paraId="6A8C3405" w14:textId="77777777" w:rsidR="001236DF" w:rsidRPr="00810398" w:rsidRDefault="001236DF" w:rsidP="001236DF">
            <w:pPr>
              <w:pStyle w:val="TableText"/>
              <w:rPr>
                <w:lang w:eastAsia="en-NZ"/>
              </w:rPr>
            </w:pPr>
            <w:r w:rsidRPr="000C5A1A">
              <w:rPr>
                <w:lang w:eastAsia="en-NZ"/>
              </w:rPr>
              <w:t>Whanganui</w:t>
            </w:r>
          </w:p>
        </w:tc>
        <w:tc>
          <w:tcPr>
            <w:tcW w:w="674" w:type="dxa"/>
            <w:vAlign w:val="center"/>
          </w:tcPr>
          <w:p w14:paraId="1FB48C92" w14:textId="77777777" w:rsidR="001236DF" w:rsidRPr="00810398" w:rsidRDefault="001236DF" w:rsidP="001236DF">
            <w:pPr>
              <w:pStyle w:val="TableText"/>
              <w:tabs>
                <w:tab w:val="decimal" w:pos="454"/>
              </w:tabs>
              <w:jc w:val="center"/>
              <w:rPr>
                <w:lang w:eastAsia="en-NZ"/>
              </w:rPr>
            </w:pPr>
            <w:r w:rsidRPr="00C72786">
              <w:t>169</w:t>
            </w:r>
          </w:p>
        </w:tc>
        <w:tc>
          <w:tcPr>
            <w:tcW w:w="764" w:type="dxa"/>
            <w:vAlign w:val="center"/>
          </w:tcPr>
          <w:p w14:paraId="6C81796E" w14:textId="77777777" w:rsidR="001236DF" w:rsidRPr="00810398" w:rsidRDefault="001236DF" w:rsidP="001236DF">
            <w:pPr>
              <w:pStyle w:val="TableText"/>
              <w:jc w:val="center"/>
              <w:rPr>
                <w:lang w:eastAsia="en-NZ"/>
              </w:rPr>
            </w:pPr>
            <w:r w:rsidRPr="00C72786">
              <w:t>69</w:t>
            </w:r>
          </w:p>
        </w:tc>
        <w:tc>
          <w:tcPr>
            <w:tcW w:w="1145" w:type="dxa"/>
            <w:vAlign w:val="center"/>
          </w:tcPr>
          <w:p w14:paraId="3E1C5A3C" w14:textId="77777777" w:rsidR="001236DF" w:rsidRPr="00810398" w:rsidRDefault="001236DF" w:rsidP="001236DF">
            <w:pPr>
              <w:pStyle w:val="TableText"/>
              <w:jc w:val="center"/>
              <w:rPr>
                <w:lang w:eastAsia="en-NZ"/>
              </w:rPr>
            </w:pPr>
            <w:r w:rsidRPr="00C72786">
              <w:t>2.5</w:t>
            </w:r>
          </w:p>
        </w:tc>
      </w:tr>
      <w:tr w:rsidR="001236DF" w:rsidRPr="000C5A1A" w14:paraId="56A3D2A7" w14:textId="77777777" w:rsidTr="001236DF">
        <w:trPr>
          <w:cantSplit/>
        </w:trPr>
        <w:tc>
          <w:tcPr>
            <w:tcW w:w="1276" w:type="dxa"/>
            <w:tcBorders>
              <w:bottom w:val="nil"/>
            </w:tcBorders>
            <w:shd w:val="clear" w:color="auto" w:fill="auto"/>
            <w:noWrap/>
            <w:hideMark/>
          </w:tcPr>
          <w:p w14:paraId="09E3B62F" w14:textId="77777777" w:rsidR="001236DF" w:rsidRPr="000C5A1A" w:rsidRDefault="001236DF" w:rsidP="001236DF">
            <w:pPr>
              <w:pStyle w:val="TableText"/>
              <w:rPr>
                <w:lang w:eastAsia="en-NZ"/>
              </w:rPr>
            </w:pPr>
          </w:p>
        </w:tc>
        <w:tc>
          <w:tcPr>
            <w:tcW w:w="709" w:type="dxa"/>
            <w:tcBorders>
              <w:bottom w:val="nil"/>
            </w:tcBorders>
            <w:shd w:val="clear" w:color="auto" w:fill="auto"/>
            <w:noWrap/>
            <w:hideMark/>
          </w:tcPr>
          <w:p w14:paraId="7FD0CD43" w14:textId="77777777" w:rsidR="001236DF" w:rsidRPr="00810398" w:rsidRDefault="001236DF" w:rsidP="001236DF">
            <w:pPr>
              <w:pStyle w:val="TableText"/>
              <w:tabs>
                <w:tab w:val="decimal" w:pos="454"/>
              </w:tabs>
              <w:rPr>
                <w:lang w:eastAsia="en-NZ"/>
              </w:rPr>
            </w:pPr>
          </w:p>
        </w:tc>
        <w:tc>
          <w:tcPr>
            <w:tcW w:w="850" w:type="dxa"/>
            <w:tcBorders>
              <w:bottom w:val="nil"/>
            </w:tcBorders>
            <w:shd w:val="clear" w:color="auto" w:fill="auto"/>
            <w:noWrap/>
            <w:hideMark/>
          </w:tcPr>
          <w:p w14:paraId="085F7948" w14:textId="77777777" w:rsidR="001236DF" w:rsidRPr="00810398" w:rsidRDefault="001236DF" w:rsidP="001236DF">
            <w:pPr>
              <w:pStyle w:val="TableText"/>
              <w:tabs>
                <w:tab w:val="decimal" w:pos="445"/>
              </w:tabs>
              <w:rPr>
                <w:lang w:eastAsia="en-NZ"/>
              </w:rPr>
            </w:pPr>
          </w:p>
        </w:tc>
        <w:tc>
          <w:tcPr>
            <w:tcW w:w="1114" w:type="dxa"/>
            <w:tcBorders>
              <w:bottom w:val="nil"/>
            </w:tcBorders>
            <w:shd w:val="clear" w:color="auto" w:fill="auto"/>
            <w:noWrap/>
            <w:hideMark/>
          </w:tcPr>
          <w:p w14:paraId="51BC6F09" w14:textId="77777777" w:rsidR="001236DF" w:rsidRPr="00810398" w:rsidRDefault="001236DF" w:rsidP="001236DF">
            <w:pPr>
              <w:pStyle w:val="TableText"/>
              <w:jc w:val="center"/>
              <w:rPr>
                <w:lang w:eastAsia="en-NZ"/>
              </w:rPr>
            </w:pPr>
          </w:p>
        </w:tc>
        <w:tc>
          <w:tcPr>
            <w:tcW w:w="370" w:type="dxa"/>
            <w:tcBorders>
              <w:top w:val="nil"/>
              <w:bottom w:val="nil"/>
            </w:tcBorders>
            <w:shd w:val="clear" w:color="auto" w:fill="auto"/>
          </w:tcPr>
          <w:p w14:paraId="44FC88BB" w14:textId="77777777" w:rsidR="001236DF" w:rsidRPr="00810398" w:rsidRDefault="001236DF" w:rsidP="001236DF">
            <w:pPr>
              <w:pStyle w:val="TableText"/>
              <w:rPr>
                <w:lang w:eastAsia="en-NZ"/>
              </w:rPr>
            </w:pPr>
          </w:p>
        </w:tc>
        <w:tc>
          <w:tcPr>
            <w:tcW w:w="1331" w:type="dxa"/>
          </w:tcPr>
          <w:p w14:paraId="27164D52" w14:textId="77777777" w:rsidR="001236DF" w:rsidRPr="00891169" w:rsidRDefault="001236DF" w:rsidP="001236DF">
            <w:pPr>
              <w:pStyle w:val="TableText"/>
              <w:rPr>
                <w:b/>
                <w:lang w:eastAsia="en-NZ"/>
              </w:rPr>
            </w:pPr>
            <w:r w:rsidRPr="00891169">
              <w:rPr>
                <w:b/>
                <w:lang w:eastAsia="en-NZ"/>
              </w:rPr>
              <w:t>National total</w:t>
            </w:r>
          </w:p>
        </w:tc>
        <w:tc>
          <w:tcPr>
            <w:tcW w:w="674" w:type="dxa"/>
          </w:tcPr>
          <w:p w14:paraId="1DA0FF09" w14:textId="77777777" w:rsidR="001236DF" w:rsidRPr="00AB49A6" w:rsidRDefault="001236DF" w:rsidP="001236DF">
            <w:pPr>
              <w:pStyle w:val="TableText"/>
              <w:tabs>
                <w:tab w:val="decimal" w:pos="454"/>
              </w:tabs>
              <w:rPr>
                <w:b/>
                <w:bCs/>
                <w:lang w:eastAsia="en-NZ"/>
              </w:rPr>
            </w:pPr>
            <w:r w:rsidRPr="00AB49A6">
              <w:rPr>
                <w:b/>
                <w:bCs/>
              </w:rPr>
              <w:t xml:space="preserve"> 115 </w:t>
            </w:r>
          </w:p>
        </w:tc>
        <w:tc>
          <w:tcPr>
            <w:tcW w:w="764" w:type="dxa"/>
          </w:tcPr>
          <w:p w14:paraId="4464B13E" w14:textId="77777777" w:rsidR="001236DF" w:rsidRPr="00AB49A6" w:rsidRDefault="001236DF" w:rsidP="001236DF">
            <w:pPr>
              <w:pStyle w:val="TableText"/>
              <w:jc w:val="center"/>
              <w:rPr>
                <w:b/>
                <w:bCs/>
                <w:lang w:eastAsia="en-NZ"/>
              </w:rPr>
            </w:pPr>
            <w:r w:rsidRPr="00AB49A6">
              <w:rPr>
                <w:b/>
                <w:bCs/>
              </w:rPr>
              <w:t xml:space="preserve"> 39 </w:t>
            </w:r>
          </w:p>
        </w:tc>
        <w:tc>
          <w:tcPr>
            <w:tcW w:w="1145" w:type="dxa"/>
          </w:tcPr>
          <w:p w14:paraId="65F08178" w14:textId="77777777" w:rsidR="001236DF" w:rsidRPr="00AB49A6" w:rsidRDefault="001236DF" w:rsidP="001236DF">
            <w:pPr>
              <w:pStyle w:val="TableText"/>
              <w:jc w:val="center"/>
              <w:rPr>
                <w:b/>
                <w:bCs/>
                <w:lang w:eastAsia="en-NZ"/>
              </w:rPr>
            </w:pPr>
            <w:r w:rsidRPr="00AB49A6">
              <w:rPr>
                <w:b/>
                <w:bCs/>
              </w:rPr>
              <w:t xml:space="preserve"> 2.9 </w:t>
            </w:r>
          </w:p>
        </w:tc>
      </w:tr>
    </w:tbl>
    <w:p w14:paraId="65D52662" w14:textId="77777777" w:rsidR="001236DF" w:rsidRDefault="001236DF" w:rsidP="001236DF">
      <w:pPr>
        <w:pStyle w:val="Source"/>
      </w:pPr>
      <w:r w:rsidRPr="00200234">
        <w:t>Source</w:t>
      </w:r>
      <w:r>
        <w:t>s</w:t>
      </w:r>
      <w:r w:rsidRPr="00200234">
        <w:t>: PRIMHD data</w:t>
      </w:r>
      <w:r>
        <w:t xml:space="preserve"> (extracted 3 June 2022) and manual data from Auckland and Lakes DHBs.</w:t>
      </w:r>
    </w:p>
    <w:p w14:paraId="3D2E7603" w14:textId="77777777" w:rsidR="001236DF" w:rsidRDefault="001236DF" w:rsidP="001236DF"/>
    <w:p w14:paraId="3A7226F5" w14:textId="1B522CD9" w:rsidR="001236DF" w:rsidRDefault="001236DF" w:rsidP="001236DF">
      <w:pPr>
        <w:pStyle w:val="Figure"/>
      </w:pPr>
      <w:bookmarkStart w:id="227" w:name="_Toc85442497"/>
      <w:bookmarkStart w:id="228" w:name="_Toc85445909"/>
      <w:bookmarkStart w:id="229" w:name="_Toc87429967"/>
      <w:bookmarkStart w:id="230" w:name="_Toc88561399"/>
      <w:bookmarkStart w:id="231" w:name="_Toc115188857"/>
      <w:bookmarkStart w:id="232" w:name="_Toc115272559"/>
      <w:r>
        <w:t>Fig</w:t>
      </w:r>
      <w:r w:rsidRPr="003E0D45">
        <w:t>ure </w:t>
      </w:r>
      <w:fldSimple w:instr=" SEQ Figure \* ARABIC ">
        <w:r w:rsidR="009A04B0">
          <w:rPr>
            <w:noProof/>
          </w:rPr>
          <w:t>18</w:t>
        </w:r>
      </w:fldSimple>
      <w:r w:rsidRPr="003E0D45">
        <w:t xml:space="preserve">: Rate ratio of Māori to non-Māori subject to indefinite community treatment orders per 100,000 population, </w:t>
      </w:r>
      <w:r>
        <w:t xml:space="preserve">by DHB, </w:t>
      </w:r>
      <w:r w:rsidRPr="003E0D45">
        <w:t xml:space="preserve">orders open at </w:t>
      </w:r>
      <w:bookmarkEnd w:id="227"/>
      <w:bookmarkEnd w:id="228"/>
      <w:bookmarkEnd w:id="229"/>
      <w:bookmarkEnd w:id="230"/>
      <w:r w:rsidRPr="003E0D45">
        <w:t>30 June 2021</w:t>
      </w:r>
      <w:bookmarkEnd w:id="231"/>
      <w:bookmarkEnd w:id="232"/>
    </w:p>
    <w:p w14:paraId="484D64FD" w14:textId="77777777" w:rsidR="001236DF" w:rsidRDefault="001236DF" w:rsidP="001236DF">
      <w:r>
        <w:rPr>
          <w:noProof/>
        </w:rPr>
        <w:drawing>
          <wp:inline distT="0" distB="0" distL="0" distR="0" wp14:anchorId="074F6781" wp14:editId="0133F368">
            <wp:extent cx="5116830" cy="3095625"/>
            <wp:effectExtent l="0" t="0" r="0" b="0"/>
            <wp:docPr id="19" name="Chart 19" descr="This graph shows that the ratio of Māori to non-Māori under indefinite community treatment orders was highest in Hawke's Bay, Waikato and Bay of Plenty at around 4.5 to 1. The New Zealand average was 2.9 to 1. The lowest ratios were in Tairāwhiti and West Coast at approximately 1.6 to 1.">
              <a:extLst xmlns:a="http://schemas.openxmlformats.org/drawingml/2006/main">
                <a:ext uri="{FF2B5EF4-FFF2-40B4-BE49-F238E27FC236}">
                  <a16:creationId xmlns:a16="http://schemas.microsoft.com/office/drawing/2014/main" id="{02598416-30CE-4EAC-AF83-DFDA5E9261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C280B89" w14:textId="77777777" w:rsidR="001236DF" w:rsidRDefault="001236DF" w:rsidP="001236DF">
      <w:pPr>
        <w:pStyle w:val="Source"/>
      </w:pPr>
      <w:r w:rsidRPr="00200234">
        <w:t>Source</w:t>
      </w:r>
      <w:r>
        <w:t>s</w:t>
      </w:r>
      <w:r w:rsidRPr="00200234">
        <w:t>: PRIMHD data</w:t>
      </w:r>
      <w:r>
        <w:t xml:space="preserve"> (extracted 3 June 2022) and manual data from Auckland and Lakes DHBs.</w:t>
      </w:r>
    </w:p>
    <w:p w14:paraId="22873CFE" w14:textId="77777777" w:rsidR="001236DF" w:rsidRDefault="001236DF" w:rsidP="001236DF">
      <w:pPr>
        <w:rPr>
          <w:lang w:eastAsia="en-US"/>
        </w:rPr>
      </w:pPr>
    </w:p>
    <w:p w14:paraId="40FA5CE6" w14:textId="77777777" w:rsidR="001236DF" w:rsidRDefault="001236DF" w:rsidP="001236DF">
      <w:pPr>
        <w:rPr>
          <w:lang w:eastAsia="en-US"/>
        </w:rPr>
      </w:pPr>
    </w:p>
    <w:p w14:paraId="00D351BA" w14:textId="77777777" w:rsidR="001236DF" w:rsidRDefault="001236DF" w:rsidP="001236DF">
      <w:pPr>
        <w:rPr>
          <w:lang w:eastAsia="en-US"/>
        </w:rPr>
      </w:pPr>
    </w:p>
    <w:p w14:paraId="182D08D3" w14:textId="77777777" w:rsidR="001236DF" w:rsidRDefault="001236DF" w:rsidP="001236DF">
      <w:pPr>
        <w:rPr>
          <w:lang w:eastAsia="en-US"/>
        </w:rPr>
      </w:pPr>
    </w:p>
    <w:p w14:paraId="4474C94D" w14:textId="77777777" w:rsidR="001236DF" w:rsidRDefault="001236DF" w:rsidP="001236DF">
      <w:pPr>
        <w:rPr>
          <w:lang w:eastAsia="en-US"/>
        </w:rPr>
      </w:pPr>
    </w:p>
    <w:p w14:paraId="146333F2" w14:textId="77777777" w:rsidR="001236DF" w:rsidRDefault="001236DF" w:rsidP="001236DF">
      <w:r>
        <w:t>From 1 July 2020 to 30 June 2021</w:t>
      </w:r>
      <w:r w:rsidRPr="00200234">
        <w:t xml:space="preserve">, </w:t>
      </w:r>
      <w:r>
        <w:t>68.6</w:t>
      </w:r>
      <w:r w:rsidRPr="00DF2A72">
        <w:t>%</w:t>
      </w:r>
      <w:r w:rsidRPr="00200234">
        <w:t xml:space="preserve"> of people subject to indefinite community treatment orders were male (</w:t>
      </w:r>
      <w:r>
        <w:t>Figure </w:t>
      </w:r>
      <w:r>
        <w:rPr>
          <w:noProof/>
        </w:rPr>
        <w:t>19</w:t>
      </w:r>
      <w:r w:rsidRPr="00200234">
        <w:t>). These trends are consistent with the higher rate of males subject to compulsory treatment order applications.</w:t>
      </w:r>
    </w:p>
    <w:p w14:paraId="3CCC9877" w14:textId="77777777" w:rsidR="001236DF" w:rsidRPr="00200234" w:rsidRDefault="001236DF" w:rsidP="001236DF">
      <w:bookmarkStart w:id="233" w:name="_Toc34653560"/>
    </w:p>
    <w:p w14:paraId="1001E6FF" w14:textId="41D40683" w:rsidR="001236DF" w:rsidRDefault="001236DF" w:rsidP="001236DF">
      <w:pPr>
        <w:pStyle w:val="Figure"/>
      </w:pPr>
      <w:bookmarkStart w:id="234" w:name="_Ref65671919"/>
      <w:bookmarkStart w:id="235" w:name="_Toc65574438"/>
      <w:bookmarkStart w:id="236" w:name="_Toc63764748"/>
      <w:bookmarkStart w:id="237" w:name="_Toc75176476"/>
      <w:bookmarkStart w:id="238" w:name="_Toc85442566"/>
      <w:bookmarkStart w:id="239" w:name="_Toc85445910"/>
      <w:bookmarkStart w:id="240" w:name="_Toc87429968"/>
      <w:bookmarkStart w:id="241" w:name="_Toc88561400"/>
      <w:bookmarkStart w:id="242" w:name="_Toc115188858"/>
      <w:bookmarkStart w:id="243" w:name="_Toc115272560"/>
      <w:bookmarkEnd w:id="233"/>
      <w:r>
        <w:t>Figure </w:t>
      </w:r>
      <w:fldSimple w:instr=" SEQ Figure \* ARABIC ">
        <w:r w:rsidR="009A04B0">
          <w:rPr>
            <w:noProof/>
          </w:rPr>
          <w:t>19</w:t>
        </w:r>
      </w:fldSimple>
      <w:bookmarkEnd w:id="234"/>
      <w:r w:rsidRPr="00200234">
        <w:t xml:space="preserve">: </w:t>
      </w:r>
      <w:r w:rsidRPr="00D62CEB">
        <w:t xml:space="preserve">Number of people subject to indefinite community treatment orders, by </w:t>
      </w:r>
      <w:r>
        <w:t>gender</w:t>
      </w:r>
      <w:r w:rsidRPr="00D62CEB">
        <w:t xml:space="preserve"> and ethnicity, </w:t>
      </w:r>
      <w:bookmarkEnd w:id="235"/>
      <w:bookmarkEnd w:id="236"/>
      <w:bookmarkEnd w:id="237"/>
      <w:bookmarkEnd w:id="238"/>
      <w:bookmarkEnd w:id="239"/>
      <w:bookmarkEnd w:id="240"/>
      <w:bookmarkEnd w:id="241"/>
      <w:r w:rsidRPr="00D62CEB">
        <w:t>1 July 2020 to 30 June 2021</w:t>
      </w:r>
      <w:bookmarkEnd w:id="242"/>
      <w:bookmarkEnd w:id="243"/>
    </w:p>
    <w:p w14:paraId="34078F57" w14:textId="77777777" w:rsidR="001236DF" w:rsidRPr="00EF299F" w:rsidRDefault="001236DF" w:rsidP="001236DF">
      <w:r>
        <w:rPr>
          <w:noProof/>
        </w:rPr>
        <w:drawing>
          <wp:inline distT="0" distB="0" distL="0" distR="0" wp14:anchorId="0BB7C119" wp14:editId="6C49BE1B">
            <wp:extent cx="4305300" cy="2743200"/>
            <wp:effectExtent l="0" t="0" r="0" b="0"/>
            <wp:docPr id="20" name="Chart 20" descr="This bar graph shows that 1,158 non-Māori males were subject to an indefinite community treatment order compared to 736 Māori males. 552 non-Māori females had an indefinite community treatment order compared to 315 Māori females. ">
              <a:extLst xmlns:a="http://schemas.openxmlformats.org/drawingml/2006/main">
                <a:ext uri="{FF2B5EF4-FFF2-40B4-BE49-F238E27FC236}">
                  <a16:creationId xmlns:a16="http://schemas.microsoft.com/office/drawing/2014/main" id="{DD97EC36-028C-471C-B13C-B7BF523F04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112DA1E" w14:textId="77777777" w:rsidR="001236DF" w:rsidRPr="00200234" w:rsidRDefault="001236DF" w:rsidP="001236DF">
      <w:pPr>
        <w:pStyle w:val="Source"/>
      </w:pPr>
      <w:r>
        <w:t>S</w:t>
      </w:r>
      <w:r w:rsidRPr="00200234">
        <w:t>ource</w:t>
      </w:r>
      <w:r>
        <w:t>s</w:t>
      </w:r>
      <w:r w:rsidRPr="00200234">
        <w:t>: PRIMHD data</w:t>
      </w:r>
      <w:r>
        <w:t xml:space="preserve"> (extracted</w:t>
      </w:r>
      <w:r w:rsidRPr="00200234">
        <w:t xml:space="preserve"> </w:t>
      </w:r>
      <w:r>
        <w:t>3 June 2022) and manual data from Auckland and Lakes DHBs.</w:t>
      </w:r>
    </w:p>
    <w:p w14:paraId="0A795B07" w14:textId="77777777" w:rsidR="001236DF" w:rsidRPr="00200234" w:rsidRDefault="001236DF" w:rsidP="001236DF">
      <w:pPr>
        <w:pStyle w:val="Heading2"/>
      </w:pPr>
      <w:bookmarkStart w:id="244" w:name="_Toc65236599"/>
      <w:bookmarkStart w:id="245" w:name="_Toc75176441"/>
      <w:bookmarkStart w:id="246" w:name="_Toc87429910"/>
      <w:bookmarkStart w:id="247" w:name="_Toc88826958"/>
      <w:bookmarkStart w:id="248" w:name="_Toc115188808"/>
      <w:bookmarkStart w:id="249" w:name="_Toc115431706"/>
      <w:r w:rsidRPr="00200234">
        <w:t>Indefinite inpatient treatment orders</w:t>
      </w:r>
      <w:bookmarkEnd w:id="244"/>
      <w:bookmarkEnd w:id="245"/>
      <w:bookmarkEnd w:id="246"/>
      <w:bookmarkEnd w:id="247"/>
      <w:bookmarkEnd w:id="248"/>
      <w:bookmarkEnd w:id="249"/>
    </w:p>
    <w:p w14:paraId="6CA5D5E9" w14:textId="77777777" w:rsidR="001236DF" w:rsidRDefault="001236DF" w:rsidP="001236DF">
      <w:r>
        <w:t>Across</w:t>
      </w:r>
      <w:r w:rsidRPr="00200234">
        <w:t xml:space="preserve"> </w:t>
      </w:r>
      <w:r>
        <w:t>Aotearoa,</w:t>
      </w:r>
      <w:r w:rsidRPr="00200234">
        <w:t xml:space="preserve"> </w:t>
      </w:r>
      <w:r>
        <w:t xml:space="preserve">3.7 </w:t>
      </w:r>
      <w:r w:rsidRPr="00200234">
        <w:t>people per 100,000</w:t>
      </w:r>
      <w:r>
        <w:t xml:space="preserve"> of the general population</w:t>
      </w:r>
      <w:r w:rsidRPr="00200234">
        <w:t xml:space="preserve"> were subject to indefinite inpatient treatment orders. </w:t>
      </w:r>
      <w:r w:rsidRPr="006C0D6E">
        <w:t>Figure </w:t>
      </w:r>
      <w:r>
        <w:rPr>
          <w:noProof/>
        </w:rPr>
        <w:t>20</w:t>
      </w:r>
      <w:r w:rsidRPr="00200234">
        <w:t xml:space="preserve"> shows the rates of indefinite inpatient treatment orders in each DHB, per 100,000 of the general population for </w:t>
      </w:r>
      <w:r>
        <w:t>the 12-month period from 1 July 2020 to 30 June 2021</w:t>
      </w:r>
      <w:r w:rsidRPr="00200234">
        <w:t>.</w:t>
      </w:r>
    </w:p>
    <w:p w14:paraId="310C3897" w14:textId="77777777" w:rsidR="001236DF" w:rsidRPr="00200234" w:rsidRDefault="001236DF" w:rsidP="001236DF"/>
    <w:p w14:paraId="3CE3D6E4" w14:textId="680DED26" w:rsidR="001236DF" w:rsidRDefault="001236DF" w:rsidP="001236DF">
      <w:r w:rsidRPr="00200234">
        <w:t>Some services may have higher rates of inpatient indefinite orders because they care for more patients with forensic and intellectual disability needs. Smaller services may be less likely to offer long-term inpatient care for people with complex needs.</w:t>
      </w:r>
    </w:p>
    <w:p w14:paraId="0362D1F7" w14:textId="66178212" w:rsidR="001236DF" w:rsidRDefault="001236DF" w:rsidP="001236DF">
      <w:pPr>
        <w:pStyle w:val="Figure"/>
      </w:pPr>
      <w:bookmarkStart w:id="250" w:name="_Ref65671941"/>
      <w:bookmarkStart w:id="251" w:name="_Toc75176477"/>
      <w:bookmarkStart w:id="252" w:name="_Toc85442567"/>
      <w:bookmarkStart w:id="253" w:name="_Toc85445911"/>
      <w:bookmarkStart w:id="254" w:name="_Toc87429969"/>
      <w:bookmarkStart w:id="255" w:name="_Toc88561401"/>
      <w:bookmarkStart w:id="256" w:name="_Toc115188859"/>
      <w:bookmarkStart w:id="257" w:name="_Toc115272561"/>
      <w:r w:rsidRPr="006C0D6E">
        <w:lastRenderedPageBreak/>
        <w:t>Figure </w:t>
      </w:r>
      <w:fldSimple w:instr=" SEQ Figure \* ARABIC ">
        <w:r w:rsidR="009A04B0">
          <w:rPr>
            <w:noProof/>
          </w:rPr>
          <w:t>20</w:t>
        </w:r>
      </w:fldSimple>
      <w:bookmarkEnd w:id="250"/>
      <w:r w:rsidRPr="006C0D6E">
        <w:t xml:space="preserve">: Number of people subject to indefinite inpatient treatment orders per 100,000 population, by DHB, 1 </w:t>
      </w:r>
      <w:bookmarkEnd w:id="251"/>
      <w:bookmarkEnd w:id="252"/>
      <w:bookmarkEnd w:id="253"/>
      <w:bookmarkEnd w:id="254"/>
      <w:bookmarkEnd w:id="255"/>
      <w:r w:rsidRPr="006C0D6E">
        <w:t>July 2020 to 30 June 2021</w:t>
      </w:r>
      <w:bookmarkEnd w:id="256"/>
      <w:bookmarkEnd w:id="257"/>
    </w:p>
    <w:p w14:paraId="011DA6E8" w14:textId="77777777" w:rsidR="001236DF" w:rsidRPr="006C0D6E" w:rsidRDefault="001236DF" w:rsidP="001236DF">
      <w:r>
        <w:rPr>
          <w:noProof/>
        </w:rPr>
        <w:drawing>
          <wp:inline distT="0" distB="0" distL="0" distR="0" wp14:anchorId="30331602" wp14:editId="2D648EDC">
            <wp:extent cx="5079206" cy="3448050"/>
            <wp:effectExtent l="0" t="0" r="7620" b="0"/>
            <wp:docPr id="57" name="Chart 57" descr="This bar graph shows that Capital &amp; Coast had the highest rate of people subject to indefinite inpatient treatment orders at 18.1 people per 100,000 population followed by Whanganui at 13.1 people. Counties Manukau, Hawke's Bay, and Northland had the lowest at around 1.2 people. The national average was approximately 3.7 people per 100,000 population.">
              <a:extLst xmlns:a="http://schemas.openxmlformats.org/drawingml/2006/main">
                <a:ext uri="{FF2B5EF4-FFF2-40B4-BE49-F238E27FC236}">
                  <a16:creationId xmlns:a16="http://schemas.microsoft.com/office/drawing/2014/main" id="{A38B5429-E9C3-48E0-BC89-AF6827B69E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998D245" w14:textId="77777777" w:rsidR="001236DF" w:rsidRPr="00200234" w:rsidRDefault="001236DF" w:rsidP="001236DF">
      <w:pPr>
        <w:pStyle w:val="Note"/>
      </w:pPr>
      <w:r w:rsidRPr="00200234">
        <w:t xml:space="preserve">Note: Wairarapa DHB </w:t>
      </w:r>
      <w:r>
        <w:t>did</w:t>
      </w:r>
      <w:r w:rsidRPr="00200234">
        <w:t xml:space="preserve"> not have an inpatient service</w:t>
      </w:r>
      <w:r>
        <w:t xml:space="preserve"> and Lakes, South Canterbury and Tairāwhiti DHBs</w:t>
      </w:r>
      <w:r w:rsidRPr="00200234">
        <w:t xml:space="preserve"> ha</w:t>
      </w:r>
      <w:r>
        <w:t>d</w:t>
      </w:r>
      <w:r w:rsidRPr="00200234">
        <w:t xml:space="preserve"> no indefinite inpatient treatment orders</w:t>
      </w:r>
      <w:r>
        <w:t xml:space="preserve"> so these DHBs have been excluded from this figure</w:t>
      </w:r>
      <w:r w:rsidRPr="00200234">
        <w:t>.</w:t>
      </w:r>
    </w:p>
    <w:p w14:paraId="26C77F8E" w14:textId="77777777" w:rsidR="001236DF" w:rsidRDefault="001236DF" w:rsidP="001236DF">
      <w:pPr>
        <w:pStyle w:val="Source"/>
      </w:pPr>
      <w:r w:rsidRPr="00200234">
        <w:t>Sources: PRIMHD data</w:t>
      </w:r>
      <w:r>
        <w:t xml:space="preserve"> (extracted</w:t>
      </w:r>
      <w:r w:rsidRPr="00200234">
        <w:t xml:space="preserve"> </w:t>
      </w:r>
      <w:r>
        <w:t>3 June 2022)</w:t>
      </w:r>
      <w:r w:rsidRPr="00200234">
        <w:t xml:space="preserve"> and manual data from </w:t>
      </w:r>
      <w:r>
        <w:t>Auckland DHB</w:t>
      </w:r>
      <w:r w:rsidRPr="00200234">
        <w:t>.</w:t>
      </w:r>
    </w:p>
    <w:p w14:paraId="4E752B66" w14:textId="77777777" w:rsidR="001236DF" w:rsidRPr="00200234" w:rsidRDefault="001236DF" w:rsidP="001236DF"/>
    <w:p w14:paraId="000EC678" w14:textId="2B2070EE" w:rsidR="001236DF" w:rsidRDefault="001236DF" w:rsidP="001236DF">
      <w:r w:rsidRPr="00200234">
        <w:t xml:space="preserve">Nationwide </w:t>
      </w:r>
      <w:r>
        <w:t>during this time</w:t>
      </w:r>
      <w:r w:rsidRPr="00200234">
        <w:t xml:space="preserve">, Māori were </w:t>
      </w:r>
      <w:r>
        <w:t>2.9</w:t>
      </w:r>
      <w:r w:rsidRPr="00200234">
        <w:t xml:space="preserve"> times more likely to be subject to an indefinite inpatient treatment order than non-Māori. </w:t>
      </w:r>
      <w:r>
        <w:t>Table </w:t>
      </w:r>
      <w:r>
        <w:rPr>
          <w:noProof/>
        </w:rPr>
        <w:t>7 and Figure 21</w:t>
      </w:r>
      <w:r w:rsidRPr="00200234">
        <w:t xml:space="preserve"> show the rate ratio of Māori to non-Māori subject to indefinite inpatient treatment orders in each DHB per 100,000 people</w:t>
      </w:r>
      <w:r>
        <w:t xml:space="preserve"> in the general population</w:t>
      </w:r>
      <w:r w:rsidRPr="00200234">
        <w:t>.</w:t>
      </w:r>
    </w:p>
    <w:p w14:paraId="16991954" w14:textId="0A6D6E35" w:rsidR="001236DF" w:rsidRDefault="001236DF" w:rsidP="001236DF"/>
    <w:p w14:paraId="0C2DA01D" w14:textId="1A54CFE1" w:rsidR="001236DF" w:rsidRDefault="001236DF" w:rsidP="001236DF">
      <w:pPr>
        <w:pStyle w:val="Table"/>
      </w:pPr>
      <w:bookmarkStart w:id="258" w:name="_Ref85448958"/>
      <w:bookmarkStart w:id="259" w:name="_Toc87430005"/>
      <w:bookmarkStart w:id="260" w:name="_Toc88561362"/>
      <w:bookmarkStart w:id="261" w:name="_Toc115188896"/>
      <w:bookmarkStart w:id="262" w:name="_Toc115272599"/>
      <w:r>
        <w:lastRenderedPageBreak/>
        <w:t>Table </w:t>
      </w:r>
      <w:fldSimple w:instr=" SEQ Table \* ARABIC ">
        <w:r w:rsidR="009A04B0">
          <w:rPr>
            <w:noProof/>
          </w:rPr>
          <w:t>7</w:t>
        </w:r>
      </w:fldSimple>
      <w:bookmarkEnd w:id="258"/>
      <w:r w:rsidRPr="00712EFD">
        <w:t xml:space="preserve">: </w:t>
      </w:r>
      <w:r w:rsidRPr="006C0D6E">
        <w:t>Rate ratio of Māori to non-Māori subject to indefinite inpatient treatment orders per 100,000 population,</w:t>
      </w:r>
      <w:r>
        <w:t xml:space="preserve"> by DHB,</w:t>
      </w:r>
      <w:r w:rsidRPr="006C0D6E">
        <w:t xml:space="preserve"> orders open at </w:t>
      </w:r>
      <w:bookmarkEnd w:id="259"/>
      <w:bookmarkEnd w:id="260"/>
      <w:r w:rsidRPr="006C0D6E">
        <w:t>30 June 2021</w:t>
      </w:r>
      <w:bookmarkEnd w:id="261"/>
      <w:bookmarkEnd w:id="262"/>
    </w:p>
    <w:tbl>
      <w:tblPr>
        <w:tblW w:w="8140" w:type="dxa"/>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4A0" w:firstRow="1" w:lastRow="0" w:firstColumn="1" w:lastColumn="0" w:noHBand="0" w:noVBand="1"/>
      </w:tblPr>
      <w:tblGrid>
        <w:gridCol w:w="1209"/>
        <w:gridCol w:w="776"/>
        <w:gridCol w:w="851"/>
        <w:gridCol w:w="1032"/>
        <w:gridCol w:w="396"/>
        <w:gridCol w:w="1350"/>
        <w:gridCol w:w="765"/>
        <w:gridCol w:w="709"/>
        <w:gridCol w:w="1052"/>
      </w:tblGrid>
      <w:tr w:rsidR="001236DF" w:rsidRPr="00891169" w14:paraId="0ABB9C2E" w14:textId="77777777" w:rsidTr="001236DF">
        <w:trPr>
          <w:cantSplit/>
        </w:trPr>
        <w:tc>
          <w:tcPr>
            <w:tcW w:w="1209" w:type="dxa"/>
            <w:tcBorders>
              <w:top w:val="nil"/>
              <w:bottom w:val="nil"/>
            </w:tcBorders>
            <w:shd w:val="clear" w:color="000000" w:fill="D9D9D9"/>
            <w:noWrap/>
            <w:hideMark/>
          </w:tcPr>
          <w:p w14:paraId="4D641FB9" w14:textId="77777777" w:rsidR="001236DF" w:rsidRPr="00891169" w:rsidRDefault="001236DF" w:rsidP="001236DF">
            <w:pPr>
              <w:pStyle w:val="TableText"/>
              <w:keepNext/>
              <w:rPr>
                <w:b/>
                <w:lang w:eastAsia="en-NZ"/>
              </w:rPr>
            </w:pPr>
            <w:r w:rsidRPr="00891169">
              <w:rPr>
                <w:b/>
                <w:lang w:eastAsia="en-NZ"/>
              </w:rPr>
              <w:t>DHB</w:t>
            </w:r>
          </w:p>
        </w:tc>
        <w:tc>
          <w:tcPr>
            <w:tcW w:w="776" w:type="dxa"/>
            <w:tcBorders>
              <w:top w:val="nil"/>
              <w:bottom w:val="nil"/>
            </w:tcBorders>
            <w:shd w:val="clear" w:color="000000" w:fill="D9D9D9"/>
            <w:hideMark/>
          </w:tcPr>
          <w:p w14:paraId="1521D5F9" w14:textId="77777777" w:rsidR="001236DF" w:rsidRPr="00891169" w:rsidRDefault="001236DF" w:rsidP="001236DF">
            <w:pPr>
              <w:pStyle w:val="TableText"/>
              <w:keepNext/>
              <w:jc w:val="center"/>
              <w:rPr>
                <w:b/>
                <w:lang w:eastAsia="en-NZ"/>
              </w:rPr>
            </w:pPr>
            <w:r w:rsidRPr="00891169">
              <w:rPr>
                <w:b/>
                <w:lang w:eastAsia="en-NZ"/>
              </w:rPr>
              <w:t>Māori</w:t>
            </w:r>
          </w:p>
        </w:tc>
        <w:tc>
          <w:tcPr>
            <w:tcW w:w="851" w:type="dxa"/>
            <w:tcBorders>
              <w:top w:val="nil"/>
              <w:bottom w:val="nil"/>
            </w:tcBorders>
            <w:shd w:val="clear" w:color="000000" w:fill="D9D9D9"/>
            <w:hideMark/>
          </w:tcPr>
          <w:p w14:paraId="4E1A7C29" w14:textId="77777777" w:rsidR="001236DF" w:rsidRPr="00891169" w:rsidRDefault="001236DF" w:rsidP="001236DF">
            <w:pPr>
              <w:pStyle w:val="TableText"/>
              <w:keepNext/>
              <w:jc w:val="center"/>
              <w:rPr>
                <w:b/>
                <w:lang w:eastAsia="en-NZ"/>
              </w:rPr>
            </w:pPr>
            <w:r w:rsidRPr="00891169">
              <w:rPr>
                <w:b/>
                <w:lang w:eastAsia="en-NZ"/>
              </w:rPr>
              <w:t>Non-Māori</w:t>
            </w:r>
          </w:p>
        </w:tc>
        <w:tc>
          <w:tcPr>
            <w:tcW w:w="1032" w:type="dxa"/>
            <w:tcBorders>
              <w:top w:val="nil"/>
              <w:bottom w:val="nil"/>
            </w:tcBorders>
            <w:shd w:val="clear" w:color="000000" w:fill="D9D9D9"/>
            <w:hideMark/>
          </w:tcPr>
          <w:p w14:paraId="691A0E67" w14:textId="77777777" w:rsidR="001236DF" w:rsidRPr="00891169" w:rsidRDefault="001236DF" w:rsidP="001236DF">
            <w:pPr>
              <w:pStyle w:val="TableText"/>
              <w:keepNext/>
              <w:jc w:val="center"/>
              <w:rPr>
                <w:b/>
                <w:lang w:eastAsia="en-NZ"/>
              </w:rPr>
            </w:pPr>
            <w:r w:rsidRPr="00891169">
              <w:rPr>
                <w:b/>
                <w:lang w:eastAsia="en-NZ"/>
              </w:rPr>
              <w:t>Rate ratio Māori : non-Māori</w:t>
            </w:r>
          </w:p>
        </w:tc>
        <w:tc>
          <w:tcPr>
            <w:tcW w:w="396" w:type="dxa"/>
            <w:tcBorders>
              <w:top w:val="nil"/>
              <w:bottom w:val="nil"/>
            </w:tcBorders>
            <w:shd w:val="clear" w:color="auto" w:fill="auto"/>
          </w:tcPr>
          <w:p w14:paraId="27A779A2" w14:textId="77777777" w:rsidR="001236DF" w:rsidRPr="00891169" w:rsidRDefault="001236DF" w:rsidP="001236DF">
            <w:pPr>
              <w:pStyle w:val="TableText"/>
              <w:keepNext/>
              <w:rPr>
                <w:b/>
                <w:lang w:eastAsia="en-NZ"/>
              </w:rPr>
            </w:pPr>
          </w:p>
        </w:tc>
        <w:tc>
          <w:tcPr>
            <w:tcW w:w="1350" w:type="dxa"/>
            <w:tcBorders>
              <w:top w:val="nil"/>
              <w:bottom w:val="nil"/>
            </w:tcBorders>
            <w:shd w:val="clear" w:color="000000" w:fill="D9D9D9"/>
          </w:tcPr>
          <w:p w14:paraId="5EF20B20" w14:textId="77777777" w:rsidR="001236DF" w:rsidRPr="00891169" w:rsidRDefault="001236DF" w:rsidP="001236DF">
            <w:pPr>
              <w:pStyle w:val="TableText"/>
              <w:keepNext/>
              <w:rPr>
                <w:b/>
                <w:lang w:eastAsia="en-NZ"/>
              </w:rPr>
            </w:pPr>
            <w:r w:rsidRPr="00891169">
              <w:rPr>
                <w:b/>
                <w:lang w:eastAsia="en-NZ"/>
              </w:rPr>
              <w:t>DHB</w:t>
            </w:r>
          </w:p>
        </w:tc>
        <w:tc>
          <w:tcPr>
            <w:tcW w:w="765" w:type="dxa"/>
            <w:tcBorders>
              <w:top w:val="nil"/>
              <w:bottom w:val="nil"/>
            </w:tcBorders>
            <w:shd w:val="clear" w:color="000000" w:fill="D9D9D9"/>
          </w:tcPr>
          <w:p w14:paraId="06A1AB36" w14:textId="77777777" w:rsidR="001236DF" w:rsidRPr="00891169" w:rsidRDefault="001236DF" w:rsidP="001236DF">
            <w:pPr>
              <w:pStyle w:val="TableText"/>
              <w:keepNext/>
              <w:jc w:val="center"/>
              <w:rPr>
                <w:b/>
                <w:lang w:eastAsia="en-NZ"/>
              </w:rPr>
            </w:pPr>
            <w:r w:rsidRPr="00891169">
              <w:rPr>
                <w:b/>
                <w:lang w:eastAsia="en-NZ"/>
              </w:rPr>
              <w:t>Māori</w:t>
            </w:r>
          </w:p>
        </w:tc>
        <w:tc>
          <w:tcPr>
            <w:tcW w:w="709" w:type="dxa"/>
            <w:tcBorders>
              <w:top w:val="nil"/>
              <w:bottom w:val="nil"/>
            </w:tcBorders>
            <w:shd w:val="clear" w:color="000000" w:fill="D9D9D9"/>
          </w:tcPr>
          <w:p w14:paraId="0331EF44" w14:textId="77777777" w:rsidR="001236DF" w:rsidRPr="00891169" w:rsidRDefault="001236DF" w:rsidP="001236DF">
            <w:pPr>
              <w:pStyle w:val="TableText"/>
              <w:keepNext/>
              <w:jc w:val="center"/>
              <w:rPr>
                <w:b/>
                <w:lang w:eastAsia="en-NZ"/>
              </w:rPr>
            </w:pPr>
            <w:r w:rsidRPr="00891169">
              <w:rPr>
                <w:b/>
                <w:lang w:eastAsia="en-NZ"/>
              </w:rPr>
              <w:t>Non-Māori</w:t>
            </w:r>
          </w:p>
        </w:tc>
        <w:tc>
          <w:tcPr>
            <w:tcW w:w="1052" w:type="dxa"/>
            <w:tcBorders>
              <w:top w:val="nil"/>
              <w:bottom w:val="nil"/>
            </w:tcBorders>
            <w:shd w:val="clear" w:color="000000" w:fill="D9D9D9"/>
          </w:tcPr>
          <w:p w14:paraId="2DB4C378" w14:textId="77777777" w:rsidR="001236DF" w:rsidRPr="00891169" w:rsidRDefault="001236DF" w:rsidP="001236DF">
            <w:pPr>
              <w:pStyle w:val="TableText"/>
              <w:keepNext/>
              <w:jc w:val="center"/>
              <w:rPr>
                <w:b/>
                <w:lang w:eastAsia="en-NZ"/>
              </w:rPr>
            </w:pPr>
            <w:r w:rsidRPr="00891169">
              <w:rPr>
                <w:b/>
                <w:lang w:eastAsia="en-NZ"/>
              </w:rPr>
              <w:t>Rate ratio Māori : non-Māori</w:t>
            </w:r>
          </w:p>
        </w:tc>
      </w:tr>
      <w:tr w:rsidR="001236DF" w:rsidRPr="000C5A1A" w14:paraId="31A867E4" w14:textId="77777777" w:rsidTr="001236DF">
        <w:trPr>
          <w:cantSplit/>
        </w:trPr>
        <w:tc>
          <w:tcPr>
            <w:tcW w:w="1209" w:type="dxa"/>
            <w:tcBorders>
              <w:top w:val="nil"/>
            </w:tcBorders>
            <w:shd w:val="clear" w:color="auto" w:fill="auto"/>
            <w:noWrap/>
            <w:hideMark/>
          </w:tcPr>
          <w:p w14:paraId="5A634310" w14:textId="77777777" w:rsidR="001236DF" w:rsidRPr="000C5A1A" w:rsidRDefault="001236DF" w:rsidP="001236DF">
            <w:pPr>
              <w:pStyle w:val="TableText"/>
              <w:keepNext/>
              <w:rPr>
                <w:lang w:eastAsia="en-NZ"/>
              </w:rPr>
            </w:pPr>
            <w:r w:rsidRPr="000C5A1A">
              <w:rPr>
                <w:lang w:eastAsia="en-NZ"/>
              </w:rPr>
              <w:t>Auckland</w:t>
            </w:r>
          </w:p>
        </w:tc>
        <w:tc>
          <w:tcPr>
            <w:tcW w:w="776" w:type="dxa"/>
            <w:tcBorders>
              <w:top w:val="nil"/>
            </w:tcBorders>
            <w:shd w:val="clear" w:color="auto" w:fill="auto"/>
            <w:noWrap/>
            <w:hideMark/>
          </w:tcPr>
          <w:p w14:paraId="2D10990D" w14:textId="77777777" w:rsidR="001236DF" w:rsidRPr="00810398" w:rsidRDefault="001236DF" w:rsidP="001236DF">
            <w:pPr>
              <w:pStyle w:val="TableText"/>
              <w:keepNext/>
              <w:tabs>
                <w:tab w:val="decimal" w:pos="397"/>
              </w:tabs>
              <w:rPr>
                <w:lang w:eastAsia="en-NZ"/>
              </w:rPr>
            </w:pPr>
            <w:r w:rsidRPr="00AF454A">
              <w:t xml:space="preserve"> 5 </w:t>
            </w:r>
          </w:p>
        </w:tc>
        <w:tc>
          <w:tcPr>
            <w:tcW w:w="851" w:type="dxa"/>
            <w:tcBorders>
              <w:top w:val="nil"/>
            </w:tcBorders>
            <w:shd w:val="clear" w:color="auto" w:fill="auto"/>
            <w:noWrap/>
            <w:hideMark/>
          </w:tcPr>
          <w:p w14:paraId="70CC5233" w14:textId="77777777" w:rsidR="001236DF" w:rsidRPr="00810398" w:rsidRDefault="001236DF" w:rsidP="001236DF">
            <w:pPr>
              <w:pStyle w:val="TableText"/>
              <w:keepNext/>
              <w:tabs>
                <w:tab w:val="decimal" w:pos="397"/>
              </w:tabs>
              <w:rPr>
                <w:lang w:eastAsia="en-NZ"/>
              </w:rPr>
            </w:pPr>
            <w:r w:rsidRPr="00AF454A">
              <w:t xml:space="preserve"> 2 </w:t>
            </w:r>
          </w:p>
        </w:tc>
        <w:tc>
          <w:tcPr>
            <w:tcW w:w="1032" w:type="dxa"/>
            <w:tcBorders>
              <w:top w:val="nil"/>
            </w:tcBorders>
            <w:shd w:val="clear" w:color="auto" w:fill="auto"/>
            <w:noWrap/>
            <w:hideMark/>
          </w:tcPr>
          <w:p w14:paraId="697A5D7E" w14:textId="77777777" w:rsidR="001236DF" w:rsidRPr="00810398" w:rsidRDefault="001236DF" w:rsidP="001236DF">
            <w:pPr>
              <w:pStyle w:val="TableText"/>
              <w:keepNext/>
              <w:tabs>
                <w:tab w:val="decimal" w:pos="458"/>
              </w:tabs>
              <w:rPr>
                <w:lang w:eastAsia="en-NZ"/>
              </w:rPr>
            </w:pPr>
            <w:r w:rsidRPr="00AF454A">
              <w:t xml:space="preserve"> 2.5 </w:t>
            </w:r>
          </w:p>
        </w:tc>
        <w:tc>
          <w:tcPr>
            <w:tcW w:w="396" w:type="dxa"/>
            <w:tcBorders>
              <w:top w:val="nil"/>
              <w:bottom w:val="nil"/>
            </w:tcBorders>
            <w:shd w:val="clear" w:color="auto" w:fill="auto"/>
          </w:tcPr>
          <w:p w14:paraId="1661AB6E" w14:textId="77777777" w:rsidR="001236DF" w:rsidRPr="000C5A1A" w:rsidRDefault="001236DF" w:rsidP="001236DF">
            <w:pPr>
              <w:pStyle w:val="TableText"/>
              <w:keepNext/>
              <w:rPr>
                <w:lang w:eastAsia="en-NZ"/>
              </w:rPr>
            </w:pPr>
          </w:p>
        </w:tc>
        <w:tc>
          <w:tcPr>
            <w:tcW w:w="1350" w:type="dxa"/>
            <w:tcBorders>
              <w:top w:val="nil"/>
            </w:tcBorders>
          </w:tcPr>
          <w:p w14:paraId="3BFA49B7" w14:textId="77777777" w:rsidR="001236DF" w:rsidRPr="00810398" w:rsidRDefault="001236DF" w:rsidP="001236DF">
            <w:pPr>
              <w:pStyle w:val="TableText"/>
              <w:keepNext/>
              <w:rPr>
                <w:lang w:eastAsia="en-NZ"/>
              </w:rPr>
            </w:pPr>
            <w:r>
              <w:rPr>
                <w:lang w:eastAsia="en-NZ"/>
              </w:rPr>
              <w:t>Nelson Marlborough</w:t>
            </w:r>
          </w:p>
        </w:tc>
        <w:tc>
          <w:tcPr>
            <w:tcW w:w="765" w:type="dxa"/>
            <w:tcBorders>
              <w:top w:val="nil"/>
            </w:tcBorders>
          </w:tcPr>
          <w:p w14:paraId="0BEAD883" w14:textId="77777777" w:rsidR="001236DF" w:rsidRPr="00810398" w:rsidRDefault="001236DF" w:rsidP="001236DF">
            <w:pPr>
              <w:pStyle w:val="TableText"/>
              <w:keepNext/>
              <w:tabs>
                <w:tab w:val="decimal" w:pos="397"/>
              </w:tabs>
              <w:rPr>
                <w:lang w:eastAsia="en-NZ"/>
              </w:rPr>
            </w:pPr>
            <w:r>
              <w:rPr>
                <w:lang w:eastAsia="en-NZ"/>
              </w:rPr>
              <w:t>–</w:t>
            </w:r>
          </w:p>
        </w:tc>
        <w:tc>
          <w:tcPr>
            <w:tcW w:w="709" w:type="dxa"/>
            <w:tcBorders>
              <w:top w:val="nil"/>
            </w:tcBorders>
          </w:tcPr>
          <w:p w14:paraId="4B80C3B3" w14:textId="77777777" w:rsidR="001236DF" w:rsidRPr="00810398" w:rsidRDefault="001236DF" w:rsidP="001236DF">
            <w:pPr>
              <w:pStyle w:val="TableText"/>
              <w:keepNext/>
              <w:tabs>
                <w:tab w:val="decimal" w:pos="397"/>
              </w:tabs>
              <w:rPr>
                <w:lang w:eastAsia="en-NZ"/>
              </w:rPr>
            </w:pPr>
            <w:r>
              <w:rPr>
                <w:lang w:eastAsia="en-NZ"/>
              </w:rPr>
              <w:t>3</w:t>
            </w:r>
          </w:p>
        </w:tc>
        <w:tc>
          <w:tcPr>
            <w:tcW w:w="1052" w:type="dxa"/>
            <w:tcBorders>
              <w:top w:val="nil"/>
            </w:tcBorders>
          </w:tcPr>
          <w:p w14:paraId="25E08704" w14:textId="77777777" w:rsidR="001236DF" w:rsidRPr="00810398" w:rsidRDefault="001236DF" w:rsidP="001236DF">
            <w:pPr>
              <w:pStyle w:val="TableText"/>
              <w:keepNext/>
              <w:jc w:val="center"/>
              <w:rPr>
                <w:lang w:eastAsia="en-NZ"/>
              </w:rPr>
            </w:pPr>
            <w:r>
              <w:rPr>
                <w:lang w:eastAsia="en-NZ"/>
              </w:rPr>
              <w:t>–</w:t>
            </w:r>
          </w:p>
        </w:tc>
      </w:tr>
      <w:tr w:rsidR="001236DF" w:rsidRPr="000C5A1A" w14:paraId="7B2F53C2" w14:textId="77777777" w:rsidTr="001236DF">
        <w:trPr>
          <w:cantSplit/>
        </w:trPr>
        <w:tc>
          <w:tcPr>
            <w:tcW w:w="1209" w:type="dxa"/>
            <w:shd w:val="clear" w:color="auto" w:fill="auto"/>
            <w:noWrap/>
          </w:tcPr>
          <w:p w14:paraId="24A65B97" w14:textId="77777777" w:rsidR="001236DF" w:rsidRPr="000C5A1A" w:rsidRDefault="001236DF" w:rsidP="001236DF">
            <w:pPr>
              <w:pStyle w:val="TableText"/>
              <w:keepNext/>
              <w:rPr>
                <w:lang w:eastAsia="en-NZ"/>
              </w:rPr>
            </w:pPr>
            <w:r w:rsidRPr="00F57321">
              <w:t>Bay of Plenty</w:t>
            </w:r>
          </w:p>
        </w:tc>
        <w:tc>
          <w:tcPr>
            <w:tcW w:w="776" w:type="dxa"/>
            <w:shd w:val="clear" w:color="auto" w:fill="auto"/>
            <w:noWrap/>
          </w:tcPr>
          <w:p w14:paraId="1D146774" w14:textId="77777777" w:rsidR="001236DF" w:rsidRPr="00AF454A" w:rsidRDefault="001236DF" w:rsidP="001236DF">
            <w:pPr>
              <w:pStyle w:val="TableText"/>
              <w:keepNext/>
              <w:tabs>
                <w:tab w:val="decimal" w:pos="397"/>
              </w:tabs>
            </w:pPr>
            <w:r w:rsidRPr="00F57321">
              <w:t xml:space="preserve"> 6 </w:t>
            </w:r>
          </w:p>
        </w:tc>
        <w:tc>
          <w:tcPr>
            <w:tcW w:w="851" w:type="dxa"/>
            <w:shd w:val="clear" w:color="auto" w:fill="auto"/>
            <w:noWrap/>
          </w:tcPr>
          <w:p w14:paraId="32D19E70" w14:textId="77777777" w:rsidR="001236DF" w:rsidRPr="00AF454A" w:rsidRDefault="001236DF" w:rsidP="001236DF">
            <w:pPr>
              <w:pStyle w:val="TableText"/>
              <w:keepNext/>
              <w:tabs>
                <w:tab w:val="decimal" w:pos="397"/>
              </w:tabs>
            </w:pPr>
            <w:r w:rsidRPr="00F57321">
              <w:t xml:space="preserve"> 2 </w:t>
            </w:r>
          </w:p>
        </w:tc>
        <w:tc>
          <w:tcPr>
            <w:tcW w:w="1032" w:type="dxa"/>
            <w:shd w:val="clear" w:color="auto" w:fill="auto"/>
            <w:noWrap/>
          </w:tcPr>
          <w:p w14:paraId="2EB80B9A" w14:textId="77777777" w:rsidR="001236DF" w:rsidRPr="00AF454A" w:rsidRDefault="001236DF" w:rsidP="001236DF">
            <w:pPr>
              <w:pStyle w:val="TableText"/>
              <w:keepNext/>
              <w:tabs>
                <w:tab w:val="decimal" w:pos="458"/>
              </w:tabs>
            </w:pPr>
            <w:r w:rsidRPr="00F57321">
              <w:t xml:space="preserve"> 3.8 </w:t>
            </w:r>
          </w:p>
        </w:tc>
        <w:tc>
          <w:tcPr>
            <w:tcW w:w="396" w:type="dxa"/>
            <w:tcBorders>
              <w:top w:val="nil"/>
              <w:bottom w:val="nil"/>
            </w:tcBorders>
            <w:shd w:val="clear" w:color="auto" w:fill="auto"/>
          </w:tcPr>
          <w:p w14:paraId="65A1CF69" w14:textId="77777777" w:rsidR="001236DF" w:rsidRPr="000C5A1A" w:rsidRDefault="001236DF" w:rsidP="001236DF">
            <w:pPr>
              <w:pStyle w:val="TableText"/>
              <w:keepNext/>
              <w:rPr>
                <w:lang w:eastAsia="en-NZ"/>
              </w:rPr>
            </w:pPr>
          </w:p>
        </w:tc>
        <w:tc>
          <w:tcPr>
            <w:tcW w:w="1350" w:type="dxa"/>
          </w:tcPr>
          <w:p w14:paraId="0B9EDF64" w14:textId="77777777" w:rsidR="001236DF" w:rsidRPr="000C5A1A" w:rsidRDefault="001236DF" w:rsidP="001236DF">
            <w:pPr>
              <w:pStyle w:val="TableText"/>
              <w:keepNext/>
              <w:rPr>
                <w:lang w:eastAsia="en-NZ"/>
              </w:rPr>
            </w:pPr>
            <w:r>
              <w:rPr>
                <w:lang w:eastAsia="en-NZ"/>
              </w:rPr>
              <w:t>Northland</w:t>
            </w:r>
          </w:p>
        </w:tc>
        <w:tc>
          <w:tcPr>
            <w:tcW w:w="765" w:type="dxa"/>
          </w:tcPr>
          <w:p w14:paraId="68ECB68C" w14:textId="77777777" w:rsidR="001236DF" w:rsidRDefault="001236DF" w:rsidP="001236DF">
            <w:pPr>
              <w:pStyle w:val="TableText"/>
              <w:keepNext/>
              <w:tabs>
                <w:tab w:val="decimal" w:pos="397"/>
              </w:tabs>
              <w:rPr>
                <w:lang w:eastAsia="en-NZ"/>
              </w:rPr>
            </w:pPr>
            <w:r>
              <w:rPr>
                <w:lang w:eastAsia="en-NZ"/>
              </w:rPr>
              <w:t>–</w:t>
            </w:r>
          </w:p>
        </w:tc>
        <w:tc>
          <w:tcPr>
            <w:tcW w:w="709" w:type="dxa"/>
          </w:tcPr>
          <w:p w14:paraId="5C24140A" w14:textId="77777777" w:rsidR="001236DF" w:rsidRDefault="001236DF" w:rsidP="001236DF">
            <w:pPr>
              <w:pStyle w:val="TableText"/>
              <w:keepNext/>
              <w:tabs>
                <w:tab w:val="decimal" w:pos="397"/>
              </w:tabs>
              <w:rPr>
                <w:lang w:eastAsia="en-NZ"/>
              </w:rPr>
            </w:pPr>
            <w:r>
              <w:rPr>
                <w:lang w:eastAsia="en-NZ"/>
              </w:rPr>
              <w:t>2</w:t>
            </w:r>
          </w:p>
        </w:tc>
        <w:tc>
          <w:tcPr>
            <w:tcW w:w="1052" w:type="dxa"/>
          </w:tcPr>
          <w:p w14:paraId="6F21B526" w14:textId="77777777" w:rsidR="001236DF" w:rsidRDefault="001236DF" w:rsidP="001236DF">
            <w:pPr>
              <w:pStyle w:val="TableText"/>
              <w:keepNext/>
              <w:jc w:val="center"/>
              <w:rPr>
                <w:lang w:eastAsia="en-NZ"/>
              </w:rPr>
            </w:pPr>
            <w:r>
              <w:rPr>
                <w:lang w:eastAsia="en-NZ"/>
              </w:rPr>
              <w:t>–</w:t>
            </w:r>
          </w:p>
        </w:tc>
      </w:tr>
      <w:tr w:rsidR="001236DF" w:rsidRPr="000C5A1A" w14:paraId="29E4DFD9" w14:textId="77777777" w:rsidTr="001236DF">
        <w:trPr>
          <w:cantSplit/>
        </w:trPr>
        <w:tc>
          <w:tcPr>
            <w:tcW w:w="1209" w:type="dxa"/>
            <w:shd w:val="clear" w:color="auto" w:fill="auto"/>
            <w:noWrap/>
          </w:tcPr>
          <w:p w14:paraId="61AD3B7A" w14:textId="77777777" w:rsidR="001236DF" w:rsidRPr="000C5A1A" w:rsidRDefault="001236DF" w:rsidP="001236DF">
            <w:pPr>
              <w:pStyle w:val="TableText"/>
              <w:keepNext/>
              <w:rPr>
                <w:lang w:eastAsia="en-NZ"/>
              </w:rPr>
            </w:pPr>
            <w:r w:rsidRPr="00F57321">
              <w:t>Canterbury</w:t>
            </w:r>
          </w:p>
        </w:tc>
        <w:tc>
          <w:tcPr>
            <w:tcW w:w="776" w:type="dxa"/>
            <w:shd w:val="clear" w:color="auto" w:fill="auto"/>
            <w:noWrap/>
          </w:tcPr>
          <w:p w14:paraId="4DCF96DA" w14:textId="77777777" w:rsidR="001236DF" w:rsidRPr="00810398" w:rsidRDefault="001236DF" w:rsidP="001236DF">
            <w:pPr>
              <w:pStyle w:val="TableText"/>
              <w:keepNext/>
              <w:tabs>
                <w:tab w:val="decimal" w:pos="397"/>
              </w:tabs>
              <w:rPr>
                <w:lang w:eastAsia="en-NZ"/>
              </w:rPr>
            </w:pPr>
            <w:r w:rsidRPr="00F57321">
              <w:t xml:space="preserve"> 8 </w:t>
            </w:r>
          </w:p>
        </w:tc>
        <w:tc>
          <w:tcPr>
            <w:tcW w:w="851" w:type="dxa"/>
            <w:shd w:val="clear" w:color="auto" w:fill="auto"/>
            <w:noWrap/>
          </w:tcPr>
          <w:p w14:paraId="2FDB19BD" w14:textId="77777777" w:rsidR="001236DF" w:rsidRPr="00810398" w:rsidRDefault="001236DF" w:rsidP="001236DF">
            <w:pPr>
              <w:pStyle w:val="TableText"/>
              <w:keepNext/>
              <w:tabs>
                <w:tab w:val="decimal" w:pos="397"/>
              </w:tabs>
              <w:rPr>
                <w:lang w:eastAsia="en-NZ"/>
              </w:rPr>
            </w:pPr>
            <w:r w:rsidRPr="00F57321">
              <w:t xml:space="preserve"> 3 </w:t>
            </w:r>
          </w:p>
        </w:tc>
        <w:tc>
          <w:tcPr>
            <w:tcW w:w="1032" w:type="dxa"/>
            <w:shd w:val="clear" w:color="auto" w:fill="auto"/>
            <w:noWrap/>
          </w:tcPr>
          <w:p w14:paraId="03773AC2" w14:textId="77777777" w:rsidR="001236DF" w:rsidRPr="00810398" w:rsidRDefault="001236DF" w:rsidP="001236DF">
            <w:pPr>
              <w:pStyle w:val="TableText"/>
              <w:keepNext/>
              <w:tabs>
                <w:tab w:val="decimal" w:pos="458"/>
              </w:tabs>
              <w:rPr>
                <w:lang w:eastAsia="en-NZ"/>
              </w:rPr>
            </w:pPr>
            <w:r w:rsidRPr="00F57321">
              <w:t xml:space="preserve"> 3.0 </w:t>
            </w:r>
          </w:p>
        </w:tc>
        <w:tc>
          <w:tcPr>
            <w:tcW w:w="396" w:type="dxa"/>
            <w:tcBorders>
              <w:top w:val="nil"/>
              <w:bottom w:val="nil"/>
            </w:tcBorders>
            <w:shd w:val="clear" w:color="auto" w:fill="auto"/>
          </w:tcPr>
          <w:p w14:paraId="1015E8D0" w14:textId="77777777" w:rsidR="001236DF" w:rsidRPr="000C5A1A" w:rsidRDefault="001236DF" w:rsidP="001236DF">
            <w:pPr>
              <w:pStyle w:val="TableText"/>
              <w:keepNext/>
              <w:rPr>
                <w:lang w:eastAsia="en-NZ"/>
              </w:rPr>
            </w:pPr>
          </w:p>
        </w:tc>
        <w:tc>
          <w:tcPr>
            <w:tcW w:w="1350" w:type="dxa"/>
          </w:tcPr>
          <w:p w14:paraId="33914037" w14:textId="77777777" w:rsidR="001236DF" w:rsidRPr="00810398" w:rsidRDefault="001236DF" w:rsidP="001236DF">
            <w:pPr>
              <w:pStyle w:val="TableText"/>
              <w:keepNext/>
              <w:rPr>
                <w:lang w:eastAsia="en-NZ"/>
              </w:rPr>
            </w:pPr>
            <w:r w:rsidRPr="000C5A1A">
              <w:rPr>
                <w:lang w:eastAsia="en-NZ"/>
              </w:rPr>
              <w:t>Southern</w:t>
            </w:r>
          </w:p>
        </w:tc>
        <w:tc>
          <w:tcPr>
            <w:tcW w:w="765" w:type="dxa"/>
          </w:tcPr>
          <w:p w14:paraId="665950D9" w14:textId="77777777" w:rsidR="001236DF" w:rsidRPr="00810398" w:rsidRDefault="001236DF" w:rsidP="001236DF">
            <w:pPr>
              <w:pStyle w:val="TableText"/>
              <w:keepNext/>
              <w:tabs>
                <w:tab w:val="decimal" w:pos="397"/>
              </w:tabs>
              <w:rPr>
                <w:lang w:eastAsia="en-NZ"/>
              </w:rPr>
            </w:pPr>
            <w:r>
              <w:rPr>
                <w:lang w:eastAsia="en-NZ"/>
              </w:rPr>
              <w:t>3</w:t>
            </w:r>
          </w:p>
        </w:tc>
        <w:tc>
          <w:tcPr>
            <w:tcW w:w="709" w:type="dxa"/>
          </w:tcPr>
          <w:p w14:paraId="0B7F90FE" w14:textId="77777777" w:rsidR="001236DF" w:rsidRPr="00810398" w:rsidRDefault="001236DF" w:rsidP="001236DF">
            <w:pPr>
              <w:pStyle w:val="TableText"/>
              <w:keepNext/>
              <w:tabs>
                <w:tab w:val="decimal" w:pos="397"/>
              </w:tabs>
              <w:rPr>
                <w:lang w:eastAsia="en-NZ"/>
              </w:rPr>
            </w:pPr>
            <w:r>
              <w:rPr>
                <w:lang w:eastAsia="en-NZ"/>
              </w:rPr>
              <w:t>4</w:t>
            </w:r>
          </w:p>
        </w:tc>
        <w:tc>
          <w:tcPr>
            <w:tcW w:w="1052" w:type="dxa"/>
          </w:tcPr>
          <w:p w14:paraId="37EA12ED" w14:textId="77777777" w:rsidR="001236DF" w:rsidRPr="00810398" w:rsidRDefault="001236DF" w:rsidP="001236DF">
            <w:pPr>
              <w:pStyle w:val="TableText"/>
              <w:keepNext/>
              <w:jc w:val="center"/>
              <w:rPr>
                <w:lang w:eastAsia="en-NZ"/>
              </w:rPr>
            </w:pPr>
            <w:r>
              <w:rPr>
                <w:lang w:eastAsia="en-NZ"/>
              </w:rPr>
              <w:t>0.6</w:t>
            </w:r>
          </w:p>
        </w:tc>
      </w:tr>
      <w:tr w:rsidR="001236DF" w:rsidRPr="000C5A1A" w14:paraId="1085AF9D" w14:textId="77777777" w:rsidTr="001236DF">
        <w:trPr>
          <w:cantSplit/>
        </w:trPr>
        <w:tc>
          <w:tcPr>
            <w:tcW w:w="1209" w:type="dxa"/>
            <w:shd w:val="clear" w:color="auto" w:fill="auto"/>
            <w:noWrap/>
          </w:tcPr>
          <w:p w14:paraId="4C6C41D3" w14:textId="77777777" w:rsidR="001236DF" w:rsidRPr="000C5A1A" w:rsidRDefault="001236DF" w:rsidP="001236DF">
            <w:pPr>
              <w:pStyle w:val="TableText"/>
              <w:keepNext/>
              <w:rPr>
                <w:lang w:eastAsia="en-NZ"/>
              </w:rPr>
            </w:pPr>
            <w:r w:rsidRPr="00F57321">
              <w:t xml:space="preserve">Capital &amp; Coast </w:t>
            </w:r>
          </w:p>
        </w:tc>
        <w:tc>
          <w:tcPr>
            <w:tcW w:w="776" w:type="dxa"/>
            <w:shd w:val="clear" w:color="auto" w:fill="auto"/>
            <w:noWrap/>
          </w:tcPr>
          <w:p w14:paraId="70262C1E" w14:textId="77777777" w:rsidR="001236DF" w:rsidRPr="00810398" w:rsidRDefault="001236DF" w:rsidP="001236DF">
            <w:pPr>
              <w:pStyle w:val="TableText"/>
              <w:keepNext/>
              <w:tabs>
                <w:tab w:val="decimal" w:pos="397"/>
              </w:tabs>
              <w:rPr>
                <w:lang w:eastAsia="en-NZ"/>
              </w:rPr>
            </w:pPr>
            <w:r w:rsidRPr="00F57321">
              <w:t xml:space="preserve"> 67 </w:t>
            </w:r>
          </w:p>
        </w:tc>
        <w:tc>
          <w:tcPr>
            <w:tcW w:w="851" w:type="dxa"/>
            <w:shd w:val="clear" w:color="auto" w:fill="auto"/>
            <w:noWrap/>
          </w:tcPr>
          <w:p w14:paraId="03776D65" w14:textId="77777777" w:rsidR="001236DF" w:rsidRPr="00810398" w:rsidRDefault="001236DF" w:rsidP="001236DF">
            <w:pPr>
              <w:pStyle w:val="TableText"/>
              <w:keepNext/>
              <w:tabs>
                <w:tab w:val="decimal" w:pos="397"/>
              </w:tabs>
              <w:rPr>
                <w:lang w:eastAsia="en-NZ"/>
              </w:rPr>
            </w:pPr>
            <w:r w:rsidRPr="00F57321">
              <w:t xml:space="preserve"> 11 </w:t>
            </w:r>
          </w:p>
        </w:tc>
        <w:tc>
          <w:tcPr>
            <w:tcW w:w="1032" w:type="dxa"/>
            <w:shd w:val="clear" w:color="auto" w:fill="auto"/>
            <w:noWrap/>
          </w:tcPr>
          <w:p w14:paraId="17AC5DC9" w14:textId="77777777" w:rsidR="001236DF" w:rsidRPr="00810398" w:rsidRDefault="001236DF" w:rsidP="001236DF">
            <w:pPr>
              <w:pStyle w:val="TableText"/>
              <w:keepNext/>
              <w:tabs>
                <w:tab w:val="decimal" w:pos="458"/>
              </w:tabs>
              <w:rPr>
                <w:lang w:eastAsia="en-NZ"/>
              </w:rPr>
            </w:pPr>
            <w:r w:rsidRPr="00F57321">
              <w:t xml:space="preserve"> 5.8 </w:t>
            </w:r>
          </w:p>
        </w:tc>
        <w:tc>
          <w:tcPr>
            <w:tcW w:w="396" w:type="dxa"/>
            <w:tcBorders>
              <w:top w:val="nil"/>
              <w:bottom w:val="nil"/>
            </w:tcBorders>
            <w:shd w:val="clear" w:color="auto" w:fill="auto"/>
          </w:tcPr>
          <w:p w14:paraId="4A96B44C" w14:textId="77777777" w:rsidR="001236DF" w:rsidRPr="000C5A1A" w:rsidRDefault="001236DF" w:rsidP="001236DF">
            <w:pPr>
              <w:pStyle w:val="TableText"/>
              <w:keepNext/>
              <w:rPr>
                <w:lang w:eastAsia="en-NZ"/>
              </w:rPr>
            </w:pPr>
          </w:p>
        </w:tc>
        <w:tc>
          <w:tcPr>
            <w:tcW w:w="1350" w:type="dxa"/>
          </w:tcPr>
          <w:p w14:paraId="128F9E01" w14:textId="77777777" w:rsidR="001236DF" w:rsidRPr="00810398" w:rsidRDefault="001236DF" w:rsidP="001236DF">
            <w:pPr>
              <w:pStyle w:val="TableText"/>
              <w:keepNext/>
              <w:rPr>
                <w:lang w:eastAsia="en-NZ"/>
              </w:rPr>
            </w:pPr>
            <w:r w:rsidRPr="000C5A1A">
              <w:rPr>
                <w:lang w:eastAsia="en-NZ"/>
              </w:rPr>
              <w:t>Taranaki</w:t>
            </w:r>
          </w:p>
        </w:tc>
        <w:tc>
          <w:tcPr>
            <w:tcW w:w="765" w:type="dxa"/>
          </w:tcPr>
          <w:p w14:paraId="2AAD5066" w14:textId="77777777" w:rsidR="001236DF" w:rsidRPr="00810398" w:rsidRDefault="001236DF" w:rsidP="001236DF">
            <w:pPr>
              <w:pStyle w:val="TableText"/>
              <w:keepNext/>
              <w:tabs>
                <w:tab w:val="decimal" w:pos="397"/>
              </w:tabs>
              <w:rPr>
                <w:lang w:eastAsia="en-NZ"/>
              </w:rPr>
            </w:pPr>
            <w:r>
              <w:rPr>
                <w:lang w:eastAsia="en-NZ"/>
              </w:rPr>
              <w:t>–</w:t>
            </w:r>
          </w:p>
        </w:tc>
        <w:tc>
          <w:tcPr>
            <w:tcW w:w="709" w:type="dxa"/>
          </w:tcPr>
          <w:p w14:paraId="55F23032" w14:textId="77777777" w:rsidR="001236DF" w:rsidRPr="00810398" w:rsidRDefault="001236DF" w:rsidP="001236DF">
            <w:pPr>
              <w:pStyle w:val="TableText"/>
              <w:keepNext/>
              <w:tabs>
                <w:tab w:val="decimal" w:pos="397"/>
              </w:tabs>
              <w:rPr>
                <w:lang w:eastAsia="en-NZ"/>
              </w:rPr>
            </w:pPr>
            <w:r>
              <w:rPr>
                <w:lang w:eastAsia="en-NZ"/>
              </w:rPr>
              <w:t>2</w:t>
            </w:r>
          </w:p>
        </w:tc>
        <w:tc>
          <w:tcPr>
            <w:tcW w:w="1052" w:type="dxa"/>
          </w:tcPr>
          <w:p w14:paraId="472FD185" w14:textId="77777777" w:rsidR="001236DF" w:rsidRPr="00810398" w:rsidRDefault="001236DF" w:rsidP="001236DF">
            <w:pPr>
              <w:pStyle w:val="TableText"/>
              <w:keepNext/>
              <w:jc w:val="center"/>
              <w:rPr>
                <w:lang w:eastAsia="en-NZ"/>
              </w:rPr>
            </w:pPr>
            <w:r>
              <w:rPr>
                <w:lang w:eastAsia="en-NZ"/>
              </w:rPr>
              <w:t>–</w:t>
            </w:r>
          </w:p>
        </w:tc>
      </w:tr>
      <w:tr w:rsidR="001236DF" w:rsidRPr="000C5A1A" w14:paraId="33085A15" w14:textId="77777777" w:rsidTr="001236DF">
        <w:trPr>
          <w:cantSplit/>
        </w:trPr>
        <w:tc>
          <w:tcPr>
            <w:tcW w:w="1209" w:type="dxa"/>
            <w:shd w:val="clear" w:color="auto" w:fill="auto"/>
            <w:noWrap/>
          </w:tcPr>
          <w:p w14:paraId="73AEDAC5" w14:textId="77777777" w:rsidR="001236DF" w:rsidRPr="000C5A1A" w:rsidRDefault="001236DF" w:rsidP="001236DF">
            <w:pPr>
              <w:pStyle w:val="TableText"/>
              <w:keepNext/>
              <w:rPr>
                <w:lang w:eastAsia="en-NZ"/>
              </w:rPr>
            </w:pPr>
            <w:r w:rsidRPr="00F57321">
              <w:t>Counties Manukau</w:t>
            </w:r>
          </w:p>
        </w:tc>
        <w:tc>
          <w:tcPr>
            <w:tcW w:w="776" w:type="dxa"/>
            <w:shd w:val="clear" w:color="auto" w:fill="auto"/>
            <w:noWrap/>
          </w:tcPr>
          <w:p w14:paraId="160BB560" w14:textId="77777777" w:rsidR="001236DF" w:rsidRPr="00810398" w:rsidRDefault="001236DF" w:rsidP="001236DF">
            <w:pPr>
              <w:pStyle w:val="TableText"/>
              <w:keepNext/>
              <w:tabs>
                <w:tab w:val="decimal" w:pos="397"/>
              </w:tabs>
              <w:rPr>
                <w:lang w:eastAsia="en-NZ"/>
              </w:rPr>
            </w:pPr>
            <w:r w:rsidRPr="00F57321">
              <w:t xml:space="preserve"> 2 </w:t>
            </w:r>
          </w:p>
        </w:tc>
        <w:tc>
          <w:tcPr>
            <w:tcW w:w="851" w:type="dxa"/>
            <w:shd w:val="clear" w:color="auto" w:fill="auto"/>
            <w:noWrap/>
          </w:tcPr>
          <w:p w14:paraId="5A39D673" w14:textId="77777777" w:rsidR="001236DF" w:rsidRPr="00810398" w:rsidRDefault="001236DF" w:rsidP="001236DF">
            <w:pPr>
              <w:pStyle w:val="TableText"/>
              <w:keepNext/>
              <w:tabs>
                <w:tab w:val="decimal" w:pos="397"/>
              </w:tabs>
              <w:rPr>
                <w:lang w:eastAsia="en-NZ"/>
              </w:rPr>
            </w:pPr>
            <w:r w:rsidRPr="00F57321">
              <w:t xml:space="preserve"> 1 </w:t>
            </w:r>
          </w:p>
        </w:tc>
        <w:tc>
          <w:tcPr>
            <w:tcW w:w="1032" w:type="dxa"/>
            <w:shd w:val="clear" w:color="auto" w:fill="auto"/>
            <w:noWrap/>
          </w:tcPr>
          <w:p w14:paraId="77E4EAEA" w14:textId="77777777" w:rsidR="001236DF" w:rsidRPr="00810398" w:rsidRDefault="001236DF" w:rsidP="001236DF">
            <w:pPr>
              <w:pStyle w:val="TableText"/>
              <w:keepNext/>
              <w:tabs>
                <w:tab w:val="decimal" w:pos="458"/>
              </w:tabs>
              <w:rPr>
                <w:lang w:eastAsia="en-NZ"/>
              </w:rPr>
            </w:pPr>
            <w:r w:rsidRPr="00F57321">
              <w:t xml:space="preserve"> 1.7 </w:t>
            </w:r>
          </w:p>
        </w:tc>
        <w:tc>
          <w:tcPr>
            <w:tcW w:w="396" w:type="dxa"/>
            <w:tcBorders>
              <w:top w:val="nil"/>
              <w:bottom w:val="nil"/>
            </w:tcBorders>
            <w:shd w:val="clear" w:color="auto" w:fill="auto"/>
          </w:tcPr>
          <w:p w14:paraId="24151DDA" w14:textId="77777777" w:rsidR="001236DF" w:rsidRPr="000C5A1A" w:rsidRDefault="001236DF" w:rsidP="001236DF">
            <w:pPr>
              <w:pStyle w:val="TableText"/>
              <w:keepNext/>
              <w:rPr>
                <w:lang w:eastAsia="en-NZ"/>
              </w:rPr>
            </w:pPr>
          </w:p>
        </w:tc>
        <w:tc>
          <w:tcPr>
            <w:tcW w:w="1350" w:type="dxa"/>
          </w:tcPr>
          <w:p w14:paraId="5926FE00" w14:textId="77777777" w:rsidR="001236DF" w:rsidRPr="00810398" w:rsidRDefault="001236DF" w:rsidP="001236DF">
            <w:pPr>
              <w:pStyle w:val="TableText"/>
              <w:keepNext/>
              <w:rPr>
                <w:lang w:eastAsia="en-NZ"/>
              </w:rPr>
            </w:pPr>
            <w:r w:rsidRPr="000C5A1A">
              <w:rPr>
                <w:lang w:eastAsia="en-NZ"/>
              </w:rPr>
              <w:t>Waikato</w:t>
            </w:r>
          </w:p>
        </w:tc>
        <w:tc>
          <w:tcPr>
            <w:tcW w:w="765" w:type="dxa"/>
          </w:tcPr>
          <w:p w14:paraId="47EB1C9E" w14:textId="77777777" w:rsidR="001236DF" w:rsidRPr="00810398" w:rsidRDefault="001236DF" w:rsidP="001236DF">
            <w:pPr>
              <w:pStyle w:val="TableText"/>
              <w:keepNext/>
              <w:tabs>
                <w:tab w:val="decimal" w:pos="397"/>
              </w:tabs>
              <w:rPr>
                <w:lang w:eastAsia="en-NZ"/>
              </w:rPr>
            </w:pPr>
            <w:r>
              <w:rPr>
                <w:lang w:eastAsia="en-NZ"/>
              </w:rPr>
              <w:t>15</w:t>
            </w:r>
          </w:p>
        </w:tc>
        <w:tc>
          <w:tcPr>
            <w:tcW w:w="709" w:type="dxa"/>
          </w:tcPr>
          <w:p w14:paraId="21B5B257" w14:textId="77777777" w:rsidR="001236DF" w:rsidRPr="00810398" w:rsidRDefault="001236DF" w:rsidP="001236DF">
            <w:pPr>
              <w:pStyle w:val="TableText"/>
              <w:keepNext/>
              <w:tabs>
                <w:tab w:val="decimal" w:pos="397"/>
              </w:tabs>
              <w:rPr>
                <w:lang w:eastAsia="en-NZ"/>
              </w:rPr>
            </w:pPr>
            <w:r>
              <w:rPr>
                <w:lang w:eastAsia="en-NZ"/>
              </w:rPr>
              <w:t>2</w:t>
            </w:r>
          </w:p>
        </w:tc>
        <w:tc>
          <w:tcPr>
            <w:tcW w:w="1052" w:type="dxa"/>
          </w:tcPr>
          <w:p w14:paraId="52877E62" w14:textId="77777777" w:rsidR="001236DF" w:rsidRPr="00810398" w:rsidRDefault="001236DF" w:rsidP="001236DF">
            <w:pPr>
              <w:pStyle w:val="TableText"/>
              <w:keepNext/>
              <w:jc w:val="center"/>
              <w:rPr>
                <w:lang w:eastAsia="en-NZ"/>
              </w:rPr>
            </w:pPr>
            <w:r>
              <w:rPr>
                <w:lang w:eastAsia="en-NZ"/>
              </w:rPr>
              <w:t>7.0</w:t>
            </w:r>
          </w:p>
        </w:tc>
      </w:tr>
      <w:tr w:rsidR="001236DF" w:rsidRPr="000C5A1A" w14:paraId="15B70EBA" w14:textId="77777777" w:rsidTr="001236DF">
        <w:trPr>
          <w:cantSplit/>
        </w:trPr>
        <w:tc>
          <w:tcPr>
            <w:tcW w:w="1209" w:type="dxa"/>
            <w:shd w:val="clear" w:color="auto" w:fill="auto"/>
            <w:noWrap/>
          </w:tcPr>
          <w:p w14:paraId="6274A15B" w14:textId="77777777" w:rsidR="001236DF" w:rsidRPr="000C5A1A" w:rsidRDefault="001236DF" w:rsidP="001236DF">
            <w:pPr>
              <w:pStyle w:val="TableText"/>
              <w:keepNext/>
              <w:rPr>
                <w:lang w:eastAsia="en-NZ"/>
              </w:rPr>
            </w:pPr>
            <w:r w:rsidRPr="00F57321">
              <w:t>Hawke’s Bay</w:t>
            </w:r>
          </w:p>
        </w:tc>
        <w:tc>
          <w:tcPr>
            <w:tcW w:w="776" w:type="dxa"/>
            <w:shd w:val="clear" w:color="auto" w:fill="auto"/>
            <w:noWrap/>
          </w:tcPr>
          <w:p w14:paraId="2F5F1612" w14:textId="77777777" w:rsidR="001236DF" w:rsidRPr="00810398" w:rsidRDefault="001236DF" w:rsidP="001236DF">
            <w:pPr>
              <w:pStyle w:val="TableText"/>
              <w:keepNext/>
              <w:tabs>
                <w:tab w:val="decimal" w:pos="397"/>
              </w:tabs>
              <w:rPr>
                <w:lang w:eastAsia="en-NZ"/>
              </w:rPr>
            </w:pPr>
            <w:r w:rsidRPr="00F57321">
              <w:t xml:space="preserve"> 2 </w:t>
            </w:r>
          </w:p>
        </w:tc>
        <w:tc>
          <w:tcPr>
            <w:tcW w:w="851" w:type="dxa"/>
            <w:shd w:val="clear" w:color="auto" w:fill="auto"/>
            <w:noWrap/>
          </w:tcPr>
          <w:p w14:paraId="6DDE8D99" w14:textId="77777777" w:rsidR="001236DF" w:rsidRPr="00810398" w:rsidRDefault="001236DF" w:rsidP="001236DF">
            <w:pPr>
              <w:pStyle w:val="TableText"/>
              <w:keepNext/>
              <w:tabs>
                <w:tab w:val="decimal" w:pos="397"/>
              </w:tabs>
              <w:rPr>
                <w:lang w:eastAsia="en-NZ"/>
              </w:rPr>
            </w:pPr>
            <w:r w:rsidRPr="00F57321">
              <w:t xml:space="preserve"> 1 </w:t>
            </w:r>
          </w:p>
        </w:tc>
        <w:tc>
          <w:tcPr>
            <w:tcW w:w="1032" w:type="dxa"/>
            <w:shd w:val="clear" w:color="auto" w:fill="auto"/>
            <w:noWrap/>
          </w:tcPr>
          <w:p w14:paraId="0DEB175A" w14:textId="77777777" w:rsidR="001236DF" w:rsidRPr="00810398" w:rsidRDefault="001236DF" w:rsidP="001236DF">
            <w:pPr>
              <w:pStyle w:val="TableText"/>
              <w:keepNext/>
              <w:tabs>
                <w:tab w:val="decimal" w:pos="458"/>
              </w:tabs>
              <w:rPr>
                <w:lang w:eastAsia="en-NZ"/>
              </w:rPr>
            </w:pPr>
            <w:r w:rsidRPr="00F57321">
              <w:t xml:space="preserve"> 2.5 </w:t>
            </w:r>
          </w:p>
        </w:tc>
        <w:tc>
          <w:tcPr>
            <w:tcW w:w="396" w:type="dxa"/>
            <w:tcBorders>
              <w:top w:val="nil"/>
              <w:bottom w:val="nil"/>
            </w:tcBorders>
            <w:shd w:val="clear" w:color="auto" w:fill="auto"/>
          </w:tcPr>
          <w:p w14:paraId="0EEB9969" w14:textId="77777777" w:rsidR="001236DF" w:rsidRPr="000C5A1A" w:rsidRDefault="001236DF" w:rsidP="001236DF">
            <w:pPr>
              <w:pStyle w:val="TableText"/>
              <w:keepNext/>
              <w:rPr>
                <w:lang w:eastAsia="en-NZ"/>
              </w:rPr>
            </w:pPr>
          </w:p>
        </w:tc>
        <w:tc>
          <w:tcPr>
            <w:tcW w:w="1350" w:type="dxa"/>
          </w:tcPr>
          <w:p w14:paraId="7F691015" w14:textId="77777777" w:rsidR="001236DF" w:rsidRPr="00810398" w:rsidRDefault="001236DF" w:rsidP="001236DF">
            <w:pPr>
              <w:pStyle w:val="TableText"/>
              <w:keepNext/>
              <w:rPr>
                <w:lang w:eastAsia="en-NZ"/>
              </w:rPr>
            </w:pPr>
            <w:r w:rsidRPr="000C5A1A">
              <w:rPr>
                <w:lang w:eastAsia="en-NZ"/>
              </w:rPr>
              <w:t>Waitematā</w:t>
            </w:r>
          </w:p>
        </w:tc>
        <w:tc>
          <w:tcPr>
            <w:tcW w:w="765" w:type="dxa"/>
          </w:tcPr>
          <w:p w14:paraId="7C9AE5A5" w14:textId="77777777" w:rsidR="001236DF" w:rsidRPr="00810398" w:rsidRDefault="001236DF" w:rsidP="001236DF">
            <w:pPr>
              <w:pStyle w:val="TableText"/>
              <w:keepNext/>
              <w:tabs>
                <w:tab w:val="decimal" w:pos="397"/>
              </w:tabs>
              <w:rPr>
                <w:lang w:eastAsia="en-NZ"/>
              </w:rPr>
            </w:pPr>
            <w:r>
              <w:rPr>
                <w:lang w:eastAsia="en-NZ"/>
              </w:rPr>
              <w:t>11</w:t>
            </w:r>
          </w:p>
        </w:tc>
        <w:tc>
          <w:tcPr>
            <w:tcW w:w="709" w:type="dxa"/>
          </w:tcPr>
          <w:p w14:paraId="5D68DA0F" w14:textId="77777777" w:rsidR="001236DF" w:rsidRPr="00810398" w:rsidRDefault="001236DF" w:rsidP="001236DF">
            <w:pPr>
              <w:pStyle w:val="TableText"/>
              <w:keepNext/>
              <w:tabs>
                <w:tab w:val="decimal" w:pos="397"/>
              </w:tabs>
              <w:rPr>
                <w:lang w:eastAsia="en-NZ"/>
              </w:rPr>
            </w:pPr>
            <w:r>
              <w:rPr>
                <w:lang w:eastAsia="en-NZ"/>
              </w:rPr>
              <w:t>3</w:t>
            </w:r>
          </w:p>
        </w:tc>
        <w:tc>
          <w:tcPr>
            <w:tcW w:w="1052" w:type="dxa"/>
          </w:tcPr>
          <w:p w14:paraId="1A8259AD" w14:textId="77777777" w:rsidR="001236DF" w:rsidRPr="00810398" w:rsidRDefault="001236DF" w:rsidP="001236DF">
            <w:pPr>
              <w:pStyle w:val="TableText"/>
              <w:keepNext/>
              <w:jc w:val="center"/>
              <w:rPr>
                <w:lang w:eastAsia="en-NZ"/>
              </w:rPr>
            </w:pPr>
            <w:r>
              <w:rPr>
                <w:lang w:eastAsia="en-NZ"/>
              </w:rPr>
              <w:t>3.7</w:t>
            </w:r>
          </w:p>
        </w:tc>
      </w:tr>
      <w:tr w:rsidR="001236DF" w:rsidRPr="000C5A1A" w14:paraId="56D84FB4" w14:textId="77777777" w:rsidTr="001236DF">
        <w:trPr>
          <w:cantSplit/>
        </w:trPr>
        <w:tc>
          <w:tcPr>
            <w:tcW w:w="1209" w:type="dxa"/>
            <w:shd w:val="clear" w:color="auto" w:fill="auto"/>
            <w:noWrap/>
          </w:tcPr>
          <w:p w14:paraId="2ABCB6FC" w14:textId="77777777" w:rsidR="001236DF" w:rsidRPr="000C5A1A" w:rsidRDefault="001236DF" w:rsidP="001236DF">
            <w:pPr>
              <w:pStyle w:val="TableText"/>
              <w:keepNext/>
              <w:rPr>
                <w:lang w:eastAsia="en-NZ"/>
              </w:rPr>
            </w:pPr>
            <w:r w:rsidRPr="00F57321">
              <w:t>Hutt Valley</w:t>
            </w:r>
          </w:p>
        </w:tc>
        <w:tc>
          <w:tcPr>
            <w:tcW w:w="776" w:type="dxa"/>
            <w:shd w:val="clear" w:color="auto" w:fill="auto"/>
            <w:noWrap/>
          </w:tcPr>
          <w:p w14:paraId="24C4AAFB" w14:textId="77777777" w:rsidR="001236DF" w:rsidRPr="00810398" w:rsidRDefault="001236DF" w:rsidP="001236DF">
            <w:pPr>
              <w:pStyle w:val="TableText"/>
              <w:keepNext/>
              <w:tabs>
                <w:tab w:val="decimal" w:pos="397"/>
              </w:tabs>
              <w:rPr>
                <w:lang w:eastAsia="en-NZ"/>
              </w:rPr>
            </w:pPr>
            <w:r w:rsidRPr="00F57321">
              <w:t xml:space="preserve"> 7 </w:t>
            </w:r>
          </w:p>
        </w:tc>
        <w:tc>
          <w:tcPr>
            <w:tcW w:w="851" w:type="dxa"/>
            <w:shd w:val="clear" w:color="auto" w:fill="auto"/>
            <w:noWrap/>
          </w:tcPr>
          <w:p w14:paraId="27E012F6" w14:textId="77777777" w:rsidR="001236DF" w:rsidRPr="00810398" w:rsidRDefault="001236DF" w:rsidP="001236DF">
            <w:pPr>
              <w:pStyle w:val="TableText"/>
              <w:keepNext/>
              <w:tabs>
                <w:tab w:val="decimal" w:pos="397"/>
              </w:tabs>
              <w:rPr>
                <w:lang w:eastAsia="en-NZ"/>
              </w:rPr>
            </w:pPr>
            <w:r w:rsidRPr="00F57321">
              <w:t xml:space="preserve"> 2 </w:t>
            </w:r>
          </w:p>
        </w:tc>
        <w:tc>
          <w:tcPr>
            <w:tcW w:w="1032" w:type="dxa"/>
            <w:shd w:val="clear" w:color="auto" w:fill="auto"/>
            <w:noWrap/>
          </w:tcPr>
          <w:p w14:paraId="5A442E8C" w14:textId="77777777" w:rsidR="001236DF" w:rsidRPr="00810398" w:rsidRDefault="001236DF" w:rsidP="001236DF">
            <w:pPr>
              <w:pStyle w:val="TableText"/>
              <w:keepNext/>
              <w:tabs>
                <w:tab w:val="decimal" w:pos="458"/>
              </w:tabs>
              <w:rPr>
                <w:lang w:eastAsia="en-NZ"/>
              </w:rPr>
            </w:pPr>
            <w:r w:rsidRPr="00F57321">
              <w:t xml:space="preserve"> 4.5 </w:t>
            </w:r>
          </w:p>
        </w:tc>
        <w:tc>
          <w:tcPr>
            <w:tcW w:w="396" w:type="dxa"/>
            <w:tcBorders>
              <w:top w:val="nil"/>
              <w:bottom w:val="nil"/>
            </w:tcBorders>
            <w:shd w:val="clear" w:color="auto" w:fill="auto"/>
          </w:tcPr>
          <w:p w14:paraId="04BAA022" w14:textId="77777777" w:rsidR="001236DF" w:rsidRPr="000C5A1A" w:rsidRDefault="001236DF" w:rsidP="001236DF">
            <w:pPr>
              <w:pStyle w:val="TableText"/>
              <w:keepNext/>
              <w:rPr>
                <w:lang w:eastAsia="en-NZ"/>
              </w:rPr>
            </w:pPr>
          </w:p>
        </w:tc>
        <w:tc>
          <w:tcPr>
            <w:tcW w:w="1350" w:type="dxa"/>
          </w:tcPr>
          <w:p w14:paraId="069DE1B7" w14:textId="77777777" w:rsidR="001236DF" w:rsidRPr="00810398" w:rsidRDefault="001236DF" w:rsidP="001236DF">
            <w:pPr>
              <w:pStyle w:val="TableText"/>
              <w:keepNext/>
              <w:rPr>
                <w:lang w:eastAsia="en-NZ"/>
              </w:rPr>
            </w:pPr>
            <w:r w:rsidRPr="000C5A1A">
              <w:rPr>
                <w:lang w:eastAsia="en-NZ"/>
              </w:rPr>
              <w:t>West Coast</w:t>
            </w:r>
          </w:p>
        </w:tc>
        <w:tc>
          <w:tcPr>
            <w:tcW w:w="765" w:type="dxa"/>
          </w:tcPr>
          <w:p w14:paraId="71E8E725" w14:textId="77777777" w:rsidR="001236DF" w:rsidRPr="00810398" w:rsidRDefault="001236DF" w:rsidP="001236DF">
            <w:pPr>
              <w:pStyle w:val="TableText"/>
              <w:keepNext/>
              <w:tabs>
                <w:tab w:val="decimal" w:pos="397"/>
              </w:tabs>
              <w:rPr>
                <w:lang w:eastAsia="en-NZ"/>
              </w:rPr>
            </w:pPr>
            <w:r>
              <w:rPr>
                <w:lang w:eastAsia="en-NZ"/>
              </w:rPr>
              <w:t>–</w:t>
            </w:r>
          </w:p>
        </w:tc>
        <w:tc>
          <w:tcPr>
            <w:tcW w:w="709" w:type="dxa"/>
          </w:tcPr>
          <w:p w14:paraId="0EF86317" w14:textId="77777777" w:rsidR="001236DF" w:rsidRPr="00810398" w:rsidRDefault="001236DF" w:rsidP="001236DF">
            <w:pPr>
              <w:pStyle w:val="TableText"/>
              <w:keepNext/>
              <w:tabs>
                <w:tab w:val="decimal" w:pos="397"/>
              </w:tabs>
              <w:rPr>
                <w:lang w:eastAsia="en-NZ"/>
              </w:rPr>
            </w:pPr>
            <w:r>
              <w:rPr>
                <w:lang w:eastAsia="en-NZ"/>
              </w:rPr>
              <w:t>4</w:t>
            </w:r>
          </w:p>
        </w:tc>
        <w:tc>
          <w:tcPr>
            <w:tcW w:w="1052" w:type="dxa"/>
          </w:tcPr>
          <w:p w14:paraId="69FE2B84" w14:textId="77777777" w:rsidR="001236DF" w:rsidRPr="00810398" w:rsidRDefault="001236DF" w:rsidP="001236DF">
            <w:pPr>
              <w:pStyle w:val="TableText"/>
              <w:keepNext/>
              <w:jc w:val="center"/>
              <w:rPr>
                <w:lang w:eastAsia="en-NZ"/>
              </w:rPr>
            </w:pPr>
            <w:r>
              <w:rPr>
                <w:lang w:eastAsia="en-NZ"/>
              </w:rPr>
              <w:t>–</w:t>
            </w:r>
          </w:p>
        </w:tc>
      </w:tr>
      <w:tr w:rsidR="001236DF" w:rsidRPr="000C5A1A" w14:paraId="54F44F6E" w14:textId="77777777" w:rsidTr="001236DF">
        <w:trPr>
          <w:cantSplit/>
        </w:trPr>
        <w:tc>
          <w:tcPr>
            <w:tcW w:w="1209" w:type="dxa"/>
            <w:tcBorders>
              <w:bottom w:val="single" w:sz="4" w:space="0" w:color="A6A6A6"/>
            </w:tcBorders>
            <w:shd w:val="clear" w:color="auto" w:fill="auto"/>
            <w:noWrap/>
          </w:tcPr>
          <w:p w14:paraId="437683AF" w14:textId="77777777" w:rsidR="001236DF" w:rsidRPr="000C5A1A" w:rsidRDefault="001236DF" w:rsidP="001236DF">
            <w:pPr>
              <w:pStyle w:val="TableText"/>
              <w:keepNext/>
              <w:rPr>
                <w:lang w:eastAsia="en-NZ"/>
              </w:rPr>
            </w:pPr>
            <w:r w:rsidRPr="00F57321">
              <w:t>MidCentral</w:t>
            </w:r>
          </w:p>
        </w:tc>
        <w:tc>
          <w:tcPr>
            <w:tcW w:w="776" w:type="dxa"/>
            <w:tcBorders>
              <w:bottom w:val="single" w:sz="4" w:space="0" w:color="A6A6A6"/>
            </w:tcBorders>
            <w:shd w:val="clear" w:color="auto" w:fill="auto"/>
            <w:noWrap/>
          </w:tcPr>
          <w:p w14:paraId="34A69B81" w14:textId="77777777" w:rsidR="001236DF" w:rsidRPr="00810398" w:rsidRDefault="001236DF" w:rsidP="001236DF">
            <w:pPr>
              <w:pStyle w:val="TableText"/>
              <w:keepNext/>
              <w:tabs>
                <w:tab w:val="decimal" w:pos="397"/>
              </w:tabs>
              <w:rPr>
                <w:lang w:eastAsia="en-NZ"/>
              </w:rPr>
            </w:pPr>
            <w:r w:rsidRPr="00F57321">
              <w:t xml:space="preserve"> 7 </w:t>
            </w:r>
          </w:p>
        </w:tc>
        <w:tc>
          <w:tcPr>
            <w:tcW w:w="851" w:type="dxa"/>
            <w:tcBorders>
              <w:bottom w:val="single" w:sz="4" w:space="0" w:color="A6A6A6"/>
            </w:tcBorders>
            <w:shd w:val="clear" w:color="auto" w:fill="auto"/>
            <w:noWrap/>
          </w:tcPr>
          <w:p w14:paraId="76A86FEA" w14:textId="77777777" w:rsidR="001236DF" w:rsidRPr="00810398" w:rsidRDefault="001236DF" w:rsidP="001236DF">
            <w:pPr>
              <w:pStyle w:val="TableText"/>
              <w:keepNext/>
              <w:tabs>
                <w:tab w:val="decimal" w:pos="397"/>
              </w:tabs>
              <w:rPr>
                <w:lang w:eastAsia="en-NZ"/>
              </w:rPr>
            </w:pPr>
            <w:r w:rsidRPr="00F57321">
              <w:t xml:space="preserve"> 1 </w:t>
            </w:r>
          </w:p>
        </w:tc>
        <w:tc>
          <w:tcPr>
            <w:tcW w:w="1032" w:type="dxa"/>
            <w:tcBorders>
              <w:bottom w:val="single" w:sz="4" w:space="0" w:color="A6A6A6"/>
            </w:tcBorders>
            <w:shd w:val="clear" w:color="auto" w:fill="auto"/>
            <w:noWrap/>
          </w:tcPr>
          <w:p w14:paraId="36DA4BDC" w14:textId="77777777" w:rsidR="001236DF" w:rsidRPr="00810398" w:rsidRDefault="001236DF" w:rsidP="001236DF">
            <w:pPr>
              <w:pStyle w:val="TableText"/>
              <w:keepNext/>
              <w:tabs>
                <w:tab w:val="decimal" w:pos="458"/>
              </w:tabs>
              <w:rPr>
                <w:lang w:eastAsia="en-NZ"/>
              </w:rPr>
            </w:pPr>
            <w:r w:rsidRPr="00F57321">
              <w:t xml:space="preserve"> 5.4 </w:t>
            </w:r>
          </w:p>
        </w:tc>
        <w:tc>
          <w:tcPr>
            <w:tcW w:w="396" w:type="dxa"/>
            <w:tcBorders>
              <w:top w:val="nil"/>
              <w:bottom w:val="nil"/>
            </w:tcBorders>
            <w:shd w:val="clear" w:color="auto" w:fill="auto"/>
          </w:tcPr>
          <w:p w14:paraId="6F9D0778" w14:textId="77777777" w:rsidR="001236DF" w:rsidRPr="000C5A1A" w:rsidRDefault="001236DF" w:rsidP="001236DF">
            <w:pPr>
              <w:pStyle w:val="TableText"/>
              <w:keepNext/>
              <w:rPr>
                <w:lang w:eastAsia="en-NZ"/>
              </w:rPr>
            </w:pPr>
          </w:p>
        </w:tc>
        <w:tc>
          <w:tcPr>
            <w:tcW w:w="1350" w:type="dxa"/>
          </w:tcPr>
          <w:p w14:paraId="76346A8C" w14:textId="77777777" w:rsidR="001236DF" w:rsidRPr="00810398" w:rsidRDefault="001236DF" w:rsidP="001236DF">
            <w:pPr>
              <w:pStyle w:val="TableText"/>
              <w:keepNext/>
              <w:rPr>
                <w:lang w:eastAsia="en-NZ"/>
              </w:rPr>
            </w:pPr>
            <w:r w:rsidRPr="000C5A1A">
              <w:rPr>
                <w:lang w:eastAsia="en-NZ"/>
              </w:rPr>
              <w:t>Whanganui</w:t>
            </w:r>
          </w:p>
        </w:tc>
        <w:tc>
          <w:tcPr>
            <w:tcW w:w="765" w:type="dxa"/>
          </w:tcPr>
          <w:p w14:paraId="53E862B0" w14:textId="77777777" w:rsidR="001236DF" w:rsidRPr="00810398" w:rsidRDefault="001236DF" w:rsidP="001236DF">
            <w:pPr>
              <w:pStyle w:val="TableText"/>
              <w:keepNext/>
              <w:tabs>
                <w:tab w:val="decimal" w:pos="397"/>
              </w:tabs>
              <w:rPr>
                <w:lang w:eastAsia="en-NZ"/>
              </w:rPr>
            </w:pPr>
            <w:r>
              <w:rPr>
                <w:lang w:eastAsia="en-NZ"/>
              </w:rPr>
              <w:t>15</w:t>
            </w:r>
          </w:p>
        </w:tc>
        <w:tc>
          <w:tcPr>
            <w:tcW w:w="709" w:type="dxa"/>
          </w:tcPr>
          <w:p w14:paraId="151ECE16" w14:textId="77777777" w:rsidR="001236DF" w:rsidRPr="00810398" w:rsidRDefault="001236DF" w:rsidP="001236DF">
            <w:pPr>
              <w:pStyle w:val="TableText"/>
              <w:keepNext/>
              <w:tabs>
                <w:tab w:val="decimal" w:pos="397"/>
              </w:tabs>
              <w:rPr>
                <w:lang w:eastAsia="en-NZ"/>
              </w:rPr>
            </w:pPr>
            <w:r>
              <w:rPr>
                <w:lang w:eastAsia="en-NZ"/>
              </w:rPr>
              <w:t>12</w:t>
            </w:r>
          </w:p>
        </w:tc>
        <w:tc>
          <w:tcPr>
            <w:tcW w:w="1052" w:type="dxa"/>
          </w:tcPr>
          <w:p w14:paraId="59D4D4CB" w14:textId="77777777" w:rsidR="001236DF" w:rsidRPr="00810398" w:rsidRDefault="001236DF" w:rsidP="001236DF">
            <w:pPr>
              <w:pStyle w:val="TableText"/>
              <w:keepNext/>
              <w:jc w:val="center"/>
              <w:rPr>
                <w:lang w:eastAsia="en-NZ"/>
              </w:rPr>
            </w:pPr>
            <w:r>
              <w:rPr>
                <w:lang w:eastAsia="en-NZ"/>
              </w:rPr>
              <w:t>1.3</w:t>
            </w:r>
          </w:p>
        </w:tc>
      </w:tr>
      <w:tr w:rsidR="001236DF" w:rsidRPr="000C5A1A" w14:paraId="7363F9D6" w14:textId="77777777" w:rsidTr="001236DF">
        <w:trPr>
          <w:cantSplit/>
        </w:trPr>
        <w:tc>
          <w:tcPr>
            <w:tcW w:w="1209" w:type="dxa"/>
            <w:tcBorders>
              <w:bottom w:val="nil"/>
            </w:tcBorders>
            <w:shd w:val="clear" w:color="auto" w:fill="auto"/>
            <w:noWrap/>
          </w:tcPr>
          <w:p w14:paraId="3B980714" w14:textId="77777777" w:rsidR="001236DF" w:rsidRPr="000C5A1A" w:rsidRDefault="001236DF" w:rsidP="001236DF">
            <w:pPr>
              <w:pStyle w:val="TableText"/>
              <w:keepNext/>
              <w:rPr>
                <w:lang w:eastAsia="en-NZ"/>
              </w:rPr>
            </w:pPr>
          </w:p>
        </w:tc>
        <w:tc>
          <w:tcPr>
            <w:tcW w:w="776" w:type="dxa"/>
            <w:tcBorders>
              <w:bottom w:val="nil"/>
            </w:tcBorders>
            <w:shd w:val="clear" w:color="auto" w:fill="auto"/>
            <w:noWrap/>
          </w:tcPr>
          <w:p w14:paraId="5254551E" w14:textId="77777777" w:rsidR="001236DF" w:rsidRPr="00810398" w:rsidRDefault="001236DF" w:rsidP="001236DF">
            <w:pPr>
              <w:pStyle w:val="TableText"/>
              <w:keepNext/>
              <w:tabs>
                <w:tab w:val="decimal" w:pos="397"/>
              </w:tabs>
              <w:rPr>
                <w:lang w:eastAsia="en-NZ"/>
              </w:rPr>
            </w:pPr>
          </w:p>
        </w:tc>
        <w:tc>
          <w:tcPr>
            <w:tcW w:w="851" w:type="dxa"/>
            <w:tcBorders>
              <w:bottom w:val="nil"/>
            </w:tcBorders>
            <w:shd w:val="clear" w:color="auto" w:fill="auto"/>
            <w:noWrap/>
          </w:tcPr>
          <w:p w14:paraId="08524B59" w14:textId="77777777" w:rsidR="001236DF" w:rsidRPr="00810398" w:rsidRDefault="001236DF" w:rsidP="001236DF">
            <w:pPr>
              <w:pStyle w:val="TableText"/>
              <w:keepNext/>
              <w:tabs>
                <w:tab w:val="decimal" w:pos="397"/>
              </w:tabs>
              <w:rPr>
                <w:lang w:eastAsia="en-NZ"/>
              </w:rPr>
            </w:pPr>
          </w:p>
        </w:tc>
        <w:tc>
          <w:tcPr>
            <w:tcW w:w="1032" w:type="dxa"/>
            <w:tcBorders>
              <w:bottom w:val="nil"/>
            </w:tcBorders>
            <w:shd w:val="clear" w:color="auto" w:fill="auto"/>
            <w:noWrap/>
          </w:tcPr>
          <w:p w14:paraId="58215AF0" w14:textId="77777777" w:rsidR="001236DF" w:rsidRPr="00810398" w:rsidRDefault="001236DF" w:rsidP="001236DF">
            <w:pPr>
              <w:pStyle w:val="TableText"/>
              <w:keepNext/>
              <w:tabs>
                <w:tab w:val="decimal" w:pos="458"/>
              </w:tabs>
              <w:rPr>
                <w:lang w:eastAsia="en-NZ"/>
              </w:rPr>
            </w:pPr>
          </w:p>
        </w:tc>
        <w:tc>
          <w:tcPr>
            <w:tcW w:w="396" w:type="dxa"/>
            <w:tcBorders>
              <w:top w:val="nil"/>
              <w:bottom w:val="nil"/>
            </w:tcBorders>
            <w:shd w:val="clear" w:color="auto" w:fill="auto"/>
          </w:tcPr>
          <w:p w14:paraId="12AA9F94" w14:textId="77777777" w:rsidR="001236DF" w:rsidRPr="000C5A1A" w:rsidRDefault="001236DF" w:rsidP="001236DF">
            <w:pPr>
              <w:pStyle w:val="TableText"/>
              <w:keepNext/>
              <w:rPr>
                <w:lang w:eastAsia="en-NZ"/>
              </w:rPr>
            </w:pPr>
          </w:p>
        </w:tc>
        <w:tc>
          <w:tcPr>
            <w:tcW w:w="1350" w:type="dxa"/>
          </w:tcPr>
          <w:p w14:paraId="36B8A3F1" w14:textId="77777777" w:rsidR="001236DF" w:rsidRPr="006C0D6E" w:rsidRDefault="001236DF" w:rsidP="001236DF">
            <w:pPr>
              <w:pStyle w:val="TableText"/>
              <w:keepNext/>
              <w:rPr>
                <w:b/>
                <w:bCs/>
                <w:lang w:eastAsia="en-NZ"/>
              </w:rPr>
            </w:pPr>
            <w:r w:rsidRPr="006C0D6E">
              <w:rPr>
                <w:b/>
                <w:bCs/>
                <w:lang w:eastAsia="en-NZ"/>
              </w:rPr>
              <w:t>National total</w:t>
            </w:r>
          </w:p>
        </w:tc>
        <w:tc>
          <w:tcPr>
            <w:tcW w:w="765" w:type="dxa"/>
          </w:tcPr>
          <w:p w14:paraId="647630B6" w14:textId="77777777" w:rsidR="001236DF" w:rsidRPr="006C0D6E" w:rsidRDefault="001236DF" w:rsidP="001236DF">
            <w:pPr>
              <w:pStyle w:val="TableText"/>
              <w:keepNext/>
              <w:tabs>
                <w:tab w:val="decimal" w:pos="397"/>
              </w:tabs>
              <w:rPr>
                <w:b/>
                <w:bCs/>
                <w:lang w:eastAsia="en-NZ"/>
              </w:rPr>
            </w:pPr>
            <w:r w:rsidRPr="006C0D6E">
              <w:rPr>
                <w:b/>
                <w:bCs/>
                <w:lang w:eastAsia="en-NZ"/>
              </w:rPr>
              <w:t>8</w:t>
            </w:r>
          </w:p>
        </w:tc>
        <w:tc>
          <w:tcPr>
            <w:tcW w:w="709" w:type="dxa"/>
          </w:tcPr>
          <w:p w14:paraId="25379FFE" w14:textId="77777777" w:rsidR="001236DF" w:rsidRPr="006C0D6E" w:rsidRDefault="001236DF" w:rsidP="001236DF">
            <w:pPr>
              <w:pStyle w:val="TableText"/>
              <w:keepNext/>
              <w:tabs>
                <w:tab w:val="decimal" w:pos="397"/>
              </w:tabs>
              <w:rPr>
                <w:b/>
                <w:bCs/>
                <w:lang w:eastAsia="en-NZ"/>
              </w:rPr>
            </w:pPr>
            <w:r w:rsidRPr="006C0D6E">
              <w:rPr>
                <w:b/>
                <w:bCs/>
                <w:lang w:eastAsia="en-NZ"/>
              </w:rPr>
              <w:t>3</w:t>
            </w:r>
          </w:p>
        </w:tc>
        <w:tc>
          <w:tcPr>
            <w:tcW w:w="1052" w:type="dxa"/>
          </w:tcPr>
          <w:p w14:paraId="6201A000" w14:textId="77777777" w:rsidR="001236DF" w:rsidRPr="006C0D6E" w:rsidRDefault="001236DF" w:rsidP="001236DF">
            <w:pPr>
              <w:pStyle w:val="TableText"/>
              <w:keepNext/>
              <w:jc w:val="center"/>
              <w:rPr>
                <w:b/>
                <w:bCs/>
                <w:lang w:eastAsia="en-NZ"/>
              </w:rPr>
            </w:pPr>
            <w:r w:rsidRPr="006C0D6E">
              <w:rPr>
                <w:b/>
                <w:bCs/>
                <w:lang w:eastAsia="en-NZ"/>
              </w:rPr>
              <w:t>2.9</w:t>
            </w:r>
          </w:p>
        </w:tc>
      </w:tr>
    </w:tbl>
    <w:p w14:paraId="5D747EC7" w14:textId="77777777" w:rsidR="001236DF" w:rsidRPr="00200234" w:rsidRDefault="001236DF" w:rsidP="001236DF">
      <w:pPr>
        <w:pStyle w:val="Note"/>
      </w:pPr>
      <w:r w:rsidRPr="00200234">
        <w:t xml:space="preserve">Note: </w:t>
      </w:r>
      <w:r>
        <w:t>Wairarapa DHB did not have an inpatient service and Lakes, South Canterbury and Tairāwhiti</w:t>
      </w:r>
      <w:r w:rsidRPr="00200234">
        <w:t xml:space="preserve"> </w:t>
      </w:r>
      <w:r>
        <w:t>DHBs had</w:t>
      </w:r>
      <w:r w:rsidRPr="00200234">
        <w:t xml:space="preserve"> no indefinite inpatient treatment orders and</w:t>
      </w:r>
      <w:r>
        <w:t xml:space="preserve"> so</w:t>
      </w:r>
      <w:r w:rsidRPr="00200234">
        <w:t xml:space="preserve"> are </w:t>
      </w:r>
      <w:r>
        <w:t>ex</w:t>
      </w:r>
      <w:r w:rsidRPr="00200234">
        <w:t xml:space="preserve">cluded </w:t>
      </w:r>
      <w:r>
        <w:t>from</w:t>
      </w:r>
      <w:r w:rsidRPr="00200234">
        <w:t xml:space="preserve"> this table.</w:t>
      </w:r>
    </w:p>
    <w:p w14:paraId="593071D5" w14:textId="77777777" w:rsidR="001236DF" w:rsidRDefault="001236DF" w:rsidP="001236DF">
      <w:pPr>
        <w:pStyle w:val="Source"/>
      </w:pPr>
      <w:r w:rsidRPr="00200234">
        <w:t>Sources: PRIMHD data</w:t>
      </w:r>
      <w:r>
        <w:t xml:space="preserve"> (extracted</w:t>
      </w:r>
      <w:r w:rsidRPr="00200234">
        <w:t xml:space="preserve"> </w:t>
      </w:r>
      <w:r>
        <w:t>3 June 2022)</w:t>
      </w:r>
      <w:r w:rsidRPr="00200234">
        <w:t xml:space="preserve"> and manual data </w:t>
      </w:r>
      <w:r>
        <w:t>from Auckland DHB</w:t>
      </w:r>
      <w:r w:rsidRPr="00200234">
        <w:t>.</w:t>
      </w:r>
    </w:p>
    <w:p w14:paraId="328BD48B" w14:textId="77777777" w:rsidR="001236DF" w:rsidRDefault="001236DF" w:rsidP="001236DF"/>
    <w:p w14:paraId="39659C02" w14:textId="0F0E1CE9" w:rsidR="001236DF" w:rsidRDefault="001236DF" w:rsidP="001236DF">
      <w:pPr>
        <w:pStyle w:val="Figure"/>
      </w:pPr>
      <w:bookmarkStart w:id="263" w:name="_Toc85442499"/>
      <w:bookmarkStart w:id="264" w:name="_Toc85445913"/>
      <w:bookmarkStart w:id="265" w:name="_Toc87429970"/>
      <w:bookmarkStart w:id="266" w:name="_Toc88561402"/>
      <w:bookmarkStart w:id="267" w:name="_Toc115188860"/>
      <w:bookmarkStart w:id="268" w:name="_Toc115272562"/>
      <w:r>
        <w:t>Figure </w:t>
      </w:r>
      <w:fldSimple w:instr=" SEQ Figure \* ARABIC ">
        <w:r w:rsidR="009A04B0">
          <w:rPr>
            <w:noProof/>
          </w:rPr>
          <w:t>21</w:t>
        </w:r>
      </w:fldSimple>
      <w:r w:rsidRPr="00200234">
        <w:t xml:space="preserve">: </w:t>
      </w:r>
      <w:r w:rsidRPr="00B21BE7">
        <w:t>Rate ratio of Māori to non-Māori subject to indefinite inpatient treatment orders per 100,000 population,</w:t>
      </w:r>
      <w:r>
        <w:t xml:space="preserve"> by DHB,</w:t>
      </w:r>
      <w:r w:rsidRPr="00B21BE7">
        <w:t xml:space="preserve"> orders open at </w:t>
      </w:r>
      <w:bookmarkEnd w:id="263"/>
      <w:bookmarkEnd w:id="264"/>
      <w:bookmarkEnd w:id="265"/>
      <w:bookmarkEnd w:id="266"/>
      <w:r w:rsidRPr="00B21BE7">
        <w:t>30 June 2021</w:t>
      </w:r>
      <w:bookmarkEnd w:id="267"/>
      <w:bookmarkEnd w:id="268"/>
    </w:p>
    <w:p w14:paraId="0A1EC575" w14:textId="77777777" w:rsidR="001236DF" w:rsidRPr="004275A0" w:rsidRDefault="001236DF" w:rsidP="001236DF">
      <w:r>
        <w:rPr>
          <w:noProof/>
        </w:rPr>
        <w:drawing>
          <wp:inline distT="0" distB="0" distL="0" distR="0" wp14:anchorId="35A0CCF3" wp14:editId="4EC25971">
            <wp:extent cx="4864735" cy="3019425"/>
            <wp:effectExtent l="0" t="0" r="0" b="0"/>
            <wp:docPr id="22" name="Chart 22" descr="This graph shows that the ratio of Māori to non-Māori under indefinite inpatient treatment orders was highest in Waikato at 7.0 to 1 with Capital &amp; Coast being the next highest at 5.8 to 1. The New Zealand average was 2.9 to 1. The lowest ratio was Southern at 0.6 to 1, and Whanganui at 1.3 to 1.">
              <a:extLst xmlns:a="http://schemas.openxmlformats.org/drawingml/2006/main">
                <a:ext uri="{FF2B5EF4-FFF2-40B4-BE49-F238E27FC236}">
                  <a16:creationId xmlns:a16="http://schemas.microsoft.com/office/drawing/2014/main" id="{449E53EC-79B6-42D2-995C-270A4A5975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989CCFA" w14:textId="77777777" w:rsidR="001236DF" w:rsidRPr="00200234" w:rsidRDefault="001236DF" w:rsidP="001236DF">
      <w:pPr>
        <w:pStyle w:val="Note"/>
      </w:pPr>
      <w:r w:rsidRPr="00200234">
        <w:t>Note</w:t>
      </w:r>
      <w:r>
        <w:t>s</w:t>
      </w:r>
      <w:r w:rsidRPr="00200234">
        <w:t xml:space="preserve">: Wairarapa DHB </w:t>
      </w:r>
      <w:r>
        <w:t>did</w:t>
      </w:r>
      <w:r w:rsidRPr="00200234">
        <w:t xml:space="preserve"> not have an inpatient service</w:t>
      </w:r>
      <w:r>
        <w:t xml:space="preserve"> and Lakes, South Canterbury and Tairāwhiti DHBs</w:t>
      </w:r>
      <w:r w:rsidRPr="00200234">
        <w:t xml:space="preserve"> ha</w:t>
      </w:r>
      <w:r>
        <w:t>d</w:t>
      </w:r>
      <w:r w:rsidRPr="00200234">
        <w:t xml:space="preserve"> no indefinite inpatient treatment orders</w:t>
      </w:r>
      <w:r>
        <w:t xml:space="preserve"> so these DHBs have been excluded from this figure</w:t>
      </w:r>
      <w:r w:rsidRPr="00200234">
        <w:t>.</w:t>
      </w:r>
      <w:r>
        <w:t xml:space="preserve"> Nelson Marlborough, Northland, Taranaki and West Coast DHBs had a rate ratio of zero so are also excluded.</w:t>
      </w:r>
    </w:p>
    <w:p w14:paraId="16898ADC" w14:textId="5AEB5167" w:rsidR="001236DF" w:rsidRDefault="001236DF" w:rsidP="001236DF">
      <w:pPr>
        <w:pStyle w:val="Source"/>
      </w:pPr>
      <w:r w:rsidRPr="00200234">
        <w:t>Sources: PRIMHD data</w:t>
      </w:r>
      <w:r>
        <w:t xml:space="preserve"> (extracted</w:t>
      </w:r>
      <w:r w:rsidRPr="00200234">
        <w:t xml:space="preserve"> </w:t>
      </w:r>
      <w:r>
        <w:t>3 June 2022)</w:t>
      </w:r>
      <w:r w:rsidRPr="00200234">
        <w:t xml:space="preserve"> and manual data </w:t>
      </w:r>
      <w:r>
        <w:t>from Auckland DHB.</w:t>
      </w:r>
    </w:p>
    <w:p w14:paraId="109EC41F" w14:textId="35D69BB9" w:rsidR="001236DF" w:rsidRDefault="001236DF" w:rsidP="001236DF"/>
    <w:p w14:paraId="0520E679" w14:textId="5A365066" w:rsidR="001236DF" w:rsidRDefault="001236DF" w:rsidP="001236DF"/>
    <w:p w14:paraId="70B74BD8" w14:textId="42E581CC" w:rsidR="001236DF" w:rsidRDefault="001236DF" w:rsidP="001236DF"/>
    <w:p w14:paraId="6B119BC9" w14:textId="77777777" w:rsidR="001236DF" w:rsidRDefault="001236DF" w:rsidP="001236DF">
      <w:pPr>
        <w:keepLines/>
      </w:pPr>
      <w:r>
        <w:lastRenderedPageBreak/>
        <w:t>Overall, 151 males were</w:t>
      </w:r>
      <w:r w:rsidRPr="00200234">
        <w:t xml:space="preserve"> subject to indefinite inpatient treatment orders</w:t>
      </w:r>
      <w:r>
        <w:t xml:space="preserve">, making up </w:t>
      </w:r>
      <w:r w:rsidRPr="00B52039">
        <w:t>77.4%</w:t>
      </w:r>
      <w:r w:rsidRPr="00200234">
        <w:t xml:space="preserve"> of</w:t>
      </w:r>
      <w:r>
        <w:t xml:space="preserve"> all</w:t>
      </w:r>
      <w:r w:rsidRPr="00200234">
        <w:t xml:space="preserve"> people </w:t>
      </w:r>
      <w:r>
        <w:t xml:space="preserve">under these orders </w:t>
      </w:r>
      <w:r w:rsidRPr="00200234">
        <w:t>(</w:t>
      </w:r>
      <w:r>
        <w:t>Figure </w:t>
      </w:r>
      <w:r>
        <w:rPr>
          <w:noProof/>
        </w:rPr>
        <w:t>22</w:t>
      </w:r>
      <w:r w:rsidRPr="00200234">
        <w:t>). Similar to the findings for indefinite community treatment orders, this trend is consistent with the higher rate of males subject to compulsory treatment order</w:t>
      </w:r>
      <w:r>
        <w:t>s</w:t>
      </w:r>
      <w:r w:rsidRPr="00200234">
        <w:t>.</w:t>
      </w:r>
    </w:p>
    <w:p w14:paraId="1D9263F6" w14:textId="77777777" w:rsidR="001236DF" w:rsidRPr="00200234" w:rsidRDefault="001236DF" w:rsidP="001236DF"/>
    <w:p w14:paraId="14118440" w14:textId="641422CC" w:rsidR="001236DF" w:rsidRDefault="001236DF" w:rsidP="001236DF">
      <w:pPr>
        <w:pStyle w:val="Figure"/>
      </w:pPr>
      <w:bookmarkStart w:id="269" w:name="_Ref65850760"/>
      <w:bookmarkStart w:id="270" w:name="_Toc65574442"/>
      <w:bookmarkStart w:id="271" w:name="_Toc75176478"/>
      <w:bookmarkStart w:id="272" w:name="_Toc85442568"/>
      <w:bookmarkStart w:id="273" w:name="_Toc85445914"/>
      <w:bookmarkStart w:id="274" w:name="_Toc87429971"/>
      <w:bookmarkStart w:id="275" w:name="_Toc88561403"/>
      <w:bookmarkStart w:id="276" w:name="_Toc115188861"/>
      <w:bookmarkStart w:id="277" w:name="_Toc115272563"/>
      <w:r>
        <w:t>Figure </w:t>
      </w:r>
      <w:fldSimple w:instr=" SEQ Figure \* ARABIC ">
        <w:r w:rsidR="009A04B0">
          <w:rPr>
            <w:noProof/>
          </w:rPr>
          <w:t>22</w:t>
        </w:r>
      </w:fldSimple>
      <w:bookmarkEnd w:id="269"/>
      <w:r w:rsidRPr="00200234">
        <w:t xml:space="preserve">: </w:t>
      </w:r>
      <w:r w:rsidRPr="00F34C94">
        <w:t xml:space="preserve">Number of </w:t>
      </w:r>
      <w:r>
        <w:t>M</w:t>
      </w:r>
      <w:r>
        <w:rPr>
          <w:rFonts w:cs="Segoe UI"/>
        </w:rPr>
        <w:t>ā</w:t>
      </w:r>
      <w:r>
        <w:t>ori and non-M</w:t>
      </w:r>
      <w:r>
        <w:rPr>
          <w:rFonts w:cs="Segoe UI"/>
        </w:rPr>
        <w:t>ā</w:t>
      </w:r>
      <w:r>
        <w:t>ori</w:t>
      </w:r>
      <w:r w:rsidRPr="00F34C94">
        <w:t xml:space="preserve"> subject to indefinite inpatient treatment orders, by </w:t>
      </w:r>
      <w:r>
        <w:t>gender</w:t>
      </w:r>
      <w:r w:rsidRPr="00F34C94">
        <w:t xml:space="preserve">, </w:t>
      </w:r>
      <w:bookmarkEnd w:id="270"/>
      <w:bookmarkEnd w:id="271"/>
      <w:bookmarkEnd w:id="272"/>
      <w:bookmarkEnd w:id="273"/>
      <w:bookmarkEnd w:id="274"/>
      <w:bookmarkEnd w:id="275"/>
      <w:r w:rsidRPr="00F34C94">
        <w:t>1 July 2020 to 30 June 2021</w:t>
      </w:r>
      <w:bookmarkEnd w:id="276"/>
      <w:bookmarkEnd w:id="277"/>
    </w:p>
    <w:p w14:paraId="7F0B4158" w14:textId="77777777" w:rsidR="001236DF" w:rsidRPr="00B570DD" w:rsidRDefault="001236DF" w:rsidP="001236DF">
      <w:r>
        <w:rPr>
          <w:noProof/>
        </w:rPr>
        <w:drawing>
          <wp:inline distT="0" distB="0" distL="0" distR="0" wp14:anchorId="655E9929" wp14:editId="63CF8965">
            <wp:extent cx="3886200" cy="2743200"/>
            <wp:effectExtent l="0" t="0" r="0" b="0"/>
            <wp:docPr id="23" name="Chart 23" descr="This bar graph shows that 92 non-Māori males were subject to an indefinite inpatient treatment order compared to 59 Māori males. 31 non-Māori females had an indefinite community treatment order compared to 13 Māori females. ">
              <a:extLst xmlns:a="http://schemas.openxmlformats.org/drawingml/2006/main">
                <a:ext uri="{FF2B5EF4-FFF2-40B4-BE49-F238E27FC236}">
                  <a16:creationId xmlns:a16="http://schemas.microsoft.com/office/drawing/2014/main" id="{71CB8760-B602-485F-9188-72CBB7AEF4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DD6D2B7" w14:textId="77777777" w:rsidR="001236DF" w:rsidRDefault="001236DF" w:rsidP="001236DF">
      <w:pPr>
        <w:pStyle w:val="Source"/>
      </w:pPr>
      <w:r w:rsidRPr="00200234">
        <w:t>Sources: PRIMHD data</w:t>
      </w:r>
      <w:r>
        <w:t xml:space="preserve"> (extracted</w:t>
      </w:r>
      <w:r w:rsidRPr="00200234">
        <w:t xml:space="preserve"> </w:t>
      </w:r>
      <w:r>
        <w:t>3 June 2022)</w:t>
      </w:r>
      <w:r w:rsidRPr="00200234">
        <w:t xml:space="preserve"> and manual data from </w:t>
      </w:r>
      <w:r>
        <w:t>Auckland DHB.</w:t>
      </w:r>
    </w:p>
    <w:p w14:paraId="79B15156" w14:textId="77777777" w:rsidR="001236DF" w:rsidRPr="001236DF" w:rsidRDefault="001236DF" w:rsidP="001236DF"/>
    <w:p w14:paraId="23298DB2" w14:textId="77777777" w:rsidR="001236DF" w:rsidRPr="00200234" w:rsidRDefault="001236DF" w:rsidP="001236DF"/>
    <w:p w14:paraId="51E097F9" w14:textId="77777777" w:rsidR="001236DF" w:rsidRPr="00200234" w:rsidRDefault="001236DF" w:rsidP="001236DF"/>
    <w:p w14:paraId="794FBF17" w14:textId="77777777" w:rsidR="001236DF" w:rsidRPr="00200234" w:rsidRDefault="001236DF" w:rsidP="001236DF"/>
    <w:p w14:paraId="6A8F0EF7" w14:textId="77777777" w:rsidR="001236DF" w:rsidRDefault="001236DF" w:rsidP="001236DF">
      <w:pPr>
        <w:rPr>
          <w:lang w:eastAsia="en-US"/>
        </w:rPr>
        <w:sectPr w:rsidR="001236DF" w:rsidSect="00D40D3F">
          <w:pgSz w:w="11907" w:h="16840" w:code="9"/>
          <w:pgMar w:top="1418" w:right="1701" w:bottom="1134" w:left="1843" w:header="284" w:footer="425" w:gutter="284"/>
          <w:cols w:space="720"/>
        </w:sectPr>
      </w:pPr>
    </w:p>
    <w:p w14:paraId="0D3E0B2D" w14:textId="77777777" w:rsidR="001236DF" w:rsidRPr="00200234" w:rsidRDefault="001236DF" w:rsidP="00B70C79">
      <w:pPr>
        <w:pStyle w:val="Heading1"/>
        <w:spacing w:before="0"/>
      </w:pPr>
      <w:bookmarkStart w:id="278" w:name="_Toc65141622"/>
      <w:bookmarkStart w:id="279" w:name="_Toc75176446"/>
      <w:bookmarkStart w:id="280" w:name="_Toc87429911"/>
      <w:bookmarkStart w:id="281" w:name="_Toc88826959"/>
      <w:bookmarkStart w:id="282" w:name="_Toc115188809"/>
      <w:bookmarkStart w:id="283" w:name="_Toc115431707"/>
      <w:r w:rsidRPr="00200234">
        <w:lastRenderedPageBreak/>
        <w:t>Seclusion</w:t>
      </w:r>
      <w:bookmarkEnd w:id="278"/>
      <w:bookmarkEnd w:id="279"/>
      <w:bookmarkEnd w:id="280"/>
      <w:bookmarkEnd w:id="281"/>
      <w:bookmarkEnd w:id="282"/>
      <w:bookmarkEnd w:id="283"/>
    </w:p>
    <w:p w14:paraId="203F70FA" w14:textId="77777777" w:rsidR="001236DF" w:rsidRPr="00200234" w:rsidRDefault="001236DF" w:rsidP="001236DF">
      <w:r w:rsidRPr="00200234">
        <w:t xml:space="preserve">The data captured in this section focuses on people under the Mental Health Act in adult inpatient wards who have been secluded. Standards New Zealand defines </w:t>
      </w:r>
      <w:r>
        <w:t>‘</w:t>
      </w:r>
      <w:r w:rsidRPr="00200234">
        <w:t>seclusion</w:t>
      </w:r>
      <w:r>
        <w:t>’</w:t>
      </w:r>
      <w:r w:rsidRPr="00200234">
        <w:t xml:space="preserve"> as a situation where a service user is </w:t>
      </w:r>
      <w:r>
        <w:t>‘</w:t>
      </w:r>
      <w:r w:rsidRPr="00200234">
        <w:t>placed alone in a room or area, at any time and for any duration, from which they cannot freely exit</w:t>
      </w:r>
      <w:r>
        <w:t>’</w:t>
      </w:r>
      <w:r w:rsidRPr="00200234">
        <w:t>.</w:t>
      </w:r>
      <w:r w:rsidRPr="00D90A5D">
        <w:rPr>
          <w:rStyle w:val="FootnoteReference"/>
        </w:rPr>
        <w:footnoteReference w:id="12"/>
      </w:r>
    </w:p>
    <w:p w14:paraId="3CDDE011" w14:textId="77777777" w:rsidR="001236DF" w:rsidRPr="00200234" w:rsidRDefault="001236DF" w:rsidP="001236DF"/>
    <w:p w14:paraId="26E9BD53" w14:textId="77777777" w:rsidR="001236DF" w:rsidRPr="00200234" w:rsidRDefault="001236DF" w:rsidP="001236DF">
      <w:r w:rsidRPr="00200234">
        <w:t xml:space="preserve">In summary, in adult inpatient services </w:t>
      </w:r>
      <w:r>
        <w:t>from 1 July 2020 to 30 June 2021</w:t>
      </w:r>
      <w:r w:rsidRPr="00200234">
        <w:t>:</w:t>
      </w:r>
      <w:r>
        <w:rPr>
          <w:rStyle w:val="FootnoteReference"/>
        </w:rPr>
        <w:footnoteReference w:id="13"/>
      </w:r>
    </w:p>
    <w:p w14:paraId="7010E820" w14:textId="77777777" w:rsidR="001236DF" w:rsidRPr="000C7606" w:rsidRDefault="001236DF" w:rsidP="001236DF">
      <w:pPr>
        <w:pStyle w:val="Bullet"/>
      </w:pPr>
      <w:r w:rsidRPr="00ED4FA1">
        <w:t>the total number of people who experienced seclusion while receiving mental health treatment in an adult inpatient service ha</w:t>
      </w:r>
      <w:r>
        <w:t>d</w:t>
      </w:r>
      <w:r w:rsidRPr="00ED4FA1">
        <w:t xml:space="preserve"> decreased by </w:t>
      </w:r>
      <w:r w:rsidRPr="000C7606">
        <w:t>24.2% since 2009</w:t>
      </w:r>
      <w:r w:rsidRPr="000C7606">
        <w:rPr>
          <w:rStyle w:val="FootnoteReference"/>
        </w:rPr>
        <w:footnoteReference w:id="14"/>
      </w:r>
      <w:r w:rsidRPr="000C7606">
        <w:t xml:space="preserve"> (Figure 23)</w:t>
      </w:r>
    </w:p>
    <w:p w14:paraId="53A5FEB2" w14:textId="77777777" w:rsidR="001236DF" w:rsidRPr="000C7606" w:rsidRDefault="001236DF" w:rsidP="001236DF">
      <w:pPr>
        <w:pStyle w:val="Bullet"/>
      </w:pPr>
      <w:r w:rsidRPr="000C7606">
        <w:t>the total number of hours spent in seclusion had decreased by 59.9% since 2009 (Figure 24)</w:t>
      </w:r>
    </w:p>
    <w:p w14:paraId="2228E23C" w14:textId="77777777" w:rsidR="001236DF" w:rsidRPr="000C7606" w:rsidRDefault="001236DF" w:rsidP="001236DF">
      <w:pPr>
        <w:pStyle w:val="Bullet"/>
      </w:pPr>
      <w:r w:rsidRPr="000C7606">
        <w:t>the number of people secluded decreased by 12.6% compared with the 2020 calendar year</w:t>
      </w:r>
    </w:p>
    <w:p w14:paraId="157BDD09" w14:textId="77777777" w:rsidR="001236DF" w:rsidRDefault="001236DF" w:rsidP="001236DF">
      <w:pPr>
        <w:pStyle w:val="Bullet"/>
      </w:pPr>
      <w:r w:rsidRPr="000C7606">
        <w:t>the number of hours spent in seclusion decreased by 22.5% compared</w:t>
      </w:r>
      <w:r>
        <w:t xml:space="preserve"> with the 2020 calendar year</w:t>
      </w:r>
    </w:p>
    <w:p w14:paraId="4BDB4F73" w14:textId="77777777" w:rsidR="001236DF" w:rsidRPr="00ED4FA1" w:rsidRDefault="001236DF" w:rsidP="001236DF">
      <w:pPr>
        <w:pStyle w:val="Bullet"/>
      </w:pPr>
      <w:r w:rsidRPr="000C7606">
        <w:t>77</w:t>
      </w:r>
      <w:r>
        <w:t>.0</w:t>
      </w:r>
      <w:r w:rsidRPr="000C7606">
        <w:t>%</w:t>
      </w:r>
      <w:r w:rsidRPr="00ED4FA1">
        <w:t xml:space="preserve"> of all seclusion events lasted for less than 24 hours, and </w:t>
      </w:r>
      <w:r w:rsidRPr="000C7606">
        <w:t>1</w:t>
      </w:r>
      <w:r>
        <w:t>1.6</w:t>
      </w:r>
      <w:r w:rsidRPr="000C7606">
        <w:t>%</w:t>
      </w:r>
      <w:r w:rsidRPr="00ED4FA1">
        <w:t xml:space="preserve"> lasted for longer than 48 hours</w:t>
      </w:r>
    </w:p>
    <w:p w14:paraId="3783DCEC" w14:textId="77777777" w:rsidR="001236DF" w:rsidRPr="00ED4FA1" w:rsidRDefault="001236DF" w:rsidP="001236DF">
      <w:pPr>
        <w:pStyle w:val="Bullet"/>
      </w:pPr>
      <w:r w:rsidRPr="00ED4FA1">
        <w:t xml:space="preserve">males were </w:t>
      </w:r>
      <w:r>
        <w:t>more than twice</w:t>
      </w:r>
      <w:r w:rsidRPr="00ED4FA1">
        <w:t xml:space="preserve"> as likely </w:t>
      </w:r>
      <w:r>
        <w:t>as</w:t>
      </w:r>
      <w:r w:rsidRPr="00ED4FA1">
        <w:t xml:space="preserve"> females to spend time in seclusion</w:t>
      </w:r>
    </w:p>
    <w:p w14:paraId="58BF2406" w14:textId="77777777" w:rsidR="001236DF" w:rsidRPr="00ED4FA1" w:rsidRDefault="001236DF" w:rsidP="001236DF">
      <w:pPr>
        <w:pStyle w:val="Bullet"/>
      </w:pPr>
      <w:r w:rsidRPr="00ED4FA1">
        <w:t xml:space="preserve">people aged </w:t>
      </w:r>
      <w:r w:rsidRPr="0019126D">
        <w:t>20–29</w:t>
      </w:r>
      <w:r w:rsidRPr="00ED4FA1">
        <w:t xml:space="preserve"> years were more likely to spend time in seclusion than </w:t>
      </w:r>
      <w:r>
        <w:t>people</w:t>
      </w:r>
      <w:r w:rsidRPr="00ED4FA1">
        <w:t xml:space="preserve"> in any other age group</w:t>
      </w:r>
    </w:p>
    <w:p w14:paraId="37D5CF4D" w14:textId="77777777" w:rsidR="001236DF" w:rsidRPr="00ED4FA1" w:rsidRDefault="001236DF" w:rsidP="001236DF">
      <w:pPr>
        <w:pStyle w:val="Bullet"/>
      </w:pPr>
      <w:r w:rsidRPr="00ED4FA1">
        <w:t>Māori were more likely than non-Māori to have been secluded, have more seclusion events (as a rate per 100,000 population) and have longer periods of seclusion on average</w:t>
      </w:r>
    </w:p>
    <w:p w14:paraId="207E7DA3" w14:textId="77777777" w:rsidR="001236DF" w:rsidRDefault="001236DF" w:rsidP="001236DF">
      <w:pPr>
        <w:pStyle w:val="Bullet"/>
      </w:pPr>
      <w:r w:rsidRPr="00ED4FA1">
        <w:t xml:space="preserve">inpatients had an average of </w:t>
      </w:r>
      <w:r>
        <w:t>7.5</w:t>
      </w:r>
      <w:r w:rsidRPr="00ED4FA1">
        <w:t xml:space="preserve"> seclusion events for every 1,000 bed nights they spent in adult inpatient units</w:t>
      </w:r>
    </w:p>
    <w:p w14:paraId="2FA6A6B0" w14:textId="77777777" w:rsidR="001236DF" w:rsidRPr="00200234" w:rsidRDefault="001236DF" w:rsidP="001236DF">
      <w:pPr>
        <w:pStyle w:val="Bullet"/>
      </w:pPr>
      <w:r>
        <w:t>of the 11,189 admissions to adult inpatient units, 928 admission events (8.3%) had seclusion recorded at some point during the stay</w:t>
      </w:r>
      <w:r w:rsidRPr="00ED4FA1">
        <w:t>.</w:t>
      </w:r>
    </w:p>
    <w:p w14:paraId="00665F33" w14:textId="77777777" w:rsidR="001236DF" w:rsidRDefault="001236DF" w:rsidP="001236DF">
      <w:pPr>
        <w:rPr>
          <w:lang w:eastAsia="en-US"/>
        </w:rPr>
      </w:pPr>
    </w:p>
    <w:p w14:paraId="3AA2F6F2" w14:textId="77777777" w:rsidR="001236DF" w:rsidRDefault="001236DF" w:rsidP="001236DF">
      <w:pPr>
        <w:rPr>
          <w:lang w:eastAsia="en-US"/>
        </w:rPr>
      </w:pPr>
    </w:p>
    <w:p w14:paraId="1650DC07" w14:textId="6714BFA5" w:rsidR="001236DF" w:rsidRDefault="001236DF" w:rsidP="001236DF">
      <w:pPr>
        <w:pStyle w:val="Figure"/>
      </w:pPr>
      <w:bookmarkStart w:id="284" w:name="_Toc63764766"/>
      <w:bookmarkStart w:id="285" w:name="_Toc75176488"/>
      <w:bookmarkStart w:id="286" w:name="_Toc85442579"/>
      <w:bookmarkStart w:id="287" w:name="_Toc85445926"/>
      <w:bookmarkStart w:id="288" w:name="_Toc87429972"/>
      <w:bookmarkStart w:id="289" w:name="_Toc88561404"/>
      <w:bookmarkStart w:id="290" w:name="_Toc115188862"/>
      <w:bookmarkStart w:id="291" w:name="_Toc115272564"/>
      <w:r w:rsidRPr="00140369">
        <w:lastRenderedPageBreak/>
        <w:t>Figure </w:t>
      </w:r>
      <w:fldSimple w:instr=" SEQ Figure \* ARABIC ">
        <w:r w:rsidR="009A04B0">
          <w:rPr>
            <w:noProof/>
          </w:rPr>
          <w:t>23</w:t>
        </w:r>
      </w:fldSimple>
      <w:r w:rsidRPr="00140369">
        <w:t>: Number of people secluded in adult inpatient services nationally, 2007–20</w:t>
      </w:r>
      <w:bookmarkEnd w:id="284"/>
      <w:r w:rsidRPr="00140369">
        <w:t>20</w:t>
      </w:r>
      <w:bookmarkEnd w:id="285"/>
      <w:bookmarkEnd w:id="286"/>
      <w:bookmarkEnd w:id="287"/>
      <w:bookmarkEnd w:id="288"/>
      <w:bookmarkEnd w:id="289"/>
      <w:r w:rsidRPr="00140369">
        <w:t>/2021</w:t>
      </w:r>
      <w:bookmarkEnd w:id="290"/>
      <w:bookmarkEnd w:id="291"/>
    </w:p>
    <w:p w14:paraId="3715C293" w14:textId="77777777" w:rsidR="001236DF" w:rsidRDefault="001236DF" w:rsidP="001236DF">
      <w:r>
        <w:rPr>
          <w:noProof/>
        </w:rPr>
        <w:drawing>
          <wp:inline distT="0" distB="0" distL="0" distR="0" wp14:anchorId="69C75CB7" wp14:editId="4C678568">
            <wp:extent cx="4901565" cy="3274828"/>
            <wp:effectExtent l="0" t="0" r="0" b="1905"/>
            <wp:docPr id="25" name="Chart 25" descr="This line graph shows that just under 1200 people were secluded in 2007, dropping to a low of under 740 people in 2014. In the 2020/21 financial year, it had dropped from 2020 to around 815 people from 933.">
              <a:extLst xmlns:a="http://schemas.openxmlformats.org/drawingml/2006/main">
                <a:ext uri="{FF2B5EF4-FFF2-40B4-BE49-F238E27FC236}">
                  <a16:creationId xmlns:a16="http://schemas.microsoft.com/office/drawing/2014/main" id="{DD91014E-9984-45F1-8E17-0987796D9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8D6468F" w14:textId="77777777" w:rsidR="001236DF" w:rsidRPr="00200234" w:rsidRDefault="001236DF" w:rsidP="001236DF">
      <w:pPr>
        <w:pStyle w:val="Note"/>
      </w:pPr>
      <w:r w:rsidRPr="00200234">
        <w:rPr>
          <w:szCs w:val="17"/>
        </w:rPr>
        <w:t>Note</w:t>
      </w:r>
      <w:r>
        <w:rPr>
          <w:szCs w:val="17"/>
        </w:rPr>
        <w:t>s</w:t>
      </w:r>
      <w:r w:rsidRPr="00200234">
        <w:rPr>
          <w:szCs w:val="17"/>
        </w:rPr>
        <w:t xml:space="preserve">: </w:t>
      </w:r>
      <w:r>
        <w:rPr>
          <w:szCs w:val="17"/>
        </w:rPr>
        <w:t>The data e</w:t>
      </w:r>
      <w:r w:rsidRPr="00200234">
        <w:rPr>
          <w:szCs w:val="17"/>
        </w:rPr>
        <w:t xml:space="preserve">xcludes forensic inpatient services. </w:t>
      </w:r>
      <w:r w:rsidRPr="00200234">
        <w:t>I</w:t>
      </w:r>
      <w:r>
        <w:t>t i</w:t>
      </w:r>
      <w:r w:rsidRPr="00200234">
        <w:t>ncludes patients who have a legal status under the Mental Health Act but are treated in regional intellectual disability secure services.</w:t>
      </w:r>
      <w:r>
        <w:t xml:space="preserve"> All years except 2020/21 are calendar years.</w:t>
      </w:r>
    </w:p>
    <w:p w14:paraId="2F5DCEE4" w14:textId="77777777" w:rsidR="001236DF" w:rsidRDefault="001236DF" w:rsidP="001236DF">
      <w:pPr>
        <w:pStyle w:val="Source"/>
      </w:pPr>
      <w:r w:rsidRPr="00200234">
        <w:t xml:space="preserve">Sources: </w:t>
      </w:r>
      <w:r w:rsidRPr="00140369">
        <w:t>PRIMHD data (extracted 3 June 2022) and manual data from Southern, Waikato and Waitematā DHBs.</w:t>
      </w:r>
    </w:p>
    <w:p w14:paraId="3CD6CCBB" w14:textId="77777777" w:rsidR="001236DF" w:rsidRPr="00200234" w:rsidRDefault="001236DF" w:rsidP="001236DF"/>
    <w:p w14:paraId="1778FBDA" w14:textId="4B5A1682" w:rsidR="001236DF" w:rsidRDefault="001236DF" w:rsidP="001236DF">
      <w:pPr>
        <w:pStyle w:val="Figure"/>
      </w:pPr>
      <w:bookmarkStart w:id="292" w:name="_Toc63764767"/>
      <w:bookmarkStart w:id="293" w:name="_Toc75176489"/>
      <w:bookmarkStart w:id="294" w:name="_Toc85442580"/>
      <w:bookmarkStart w:id="295" w:name="_Toc85445927"/>
      <w:bookmarkStart w:id="296" w:name="_Toc87429973"/>
      <w:bookmarkStart w:id="297" w:name="_Toc88561405"/>
      <w:bookmarkStart w:id="298" w:name="_Toc115188863"/>
      <w:bookmarkStart w:id="299" w:name="_Toc115272565"/>
      <w:r>
        <w:t>Figure </w:t>
      </w:r>
      <w:fldSimple w:instr=" SEQ Figure \* ARABIC ">
        <w:r w:rsidR="009A04B0">
          <w:rPr>
            <w:noProof/>
          </w:rPr>
          <w:t>24</w:t>
        </w:r>
      </w:fldSimple>
      <w:r w:rsidRPr="00200234">
        <w:t xml:space="preserve">: </w:t>
      </w:r>
      <w:r>
        <w:t>Number</w:t>
      </w:r>
      <w:r w:rsidRPr="00D9778B">
        <w:t xml:space="preserve"> of seclusion hours in adult inpatient services nationally, 2007–20</w:t>
      </w:r>
      <w:bookmarkEnd w:id="292"/>
      <w:r w:rsidRPr="00D9778B">
        <w:t>20</w:t>
      </w:r>
      <w:bookmarkEnd w:id="293"/>
      <w:bookmarkEnd w:id="294"/>
      <w:bookmarkEnd w:id="295"/>
      <w:bookmarkEnd w:id="296"/>
      <w:bookmarkEnd w:id="297"/>
      <w:r w:rsidRPr="00D9778B">
        <w:t>/21</w:t>
      </w:r>
      <w:bookmarkEnd w:id="298"/>
      <w:bookmarkEnd w:id="299"/>
    </w:p>
    <w:p w14:paraId="17628C7A" w14:textId="77777777" w:rsidR="001236DF" w:rsidRPr="00D9778B" w:rsidRDefault="001236DF" w:rsidP="001236DF">
      <w:r>
        <w:rPr>
          <w:noProof/>
        </w:rPr>
        <mc:AlternateContent>
          <mc:Choice Requires="wps">
            <w:drawing>
              <wp:anchor distT="0" distB="0" distL="114300" distR="114300" simplePos="0" relativeHeight="251661312" behindDoc="0" locked="0" layoutInCell="1" allowOverlap="1" wp14:anchorId="54273EBC" wp14:editId="009E9B93">
                <wp:simplePos x="0" y="0"/>
                <wp:positionH relativeFrom="column">
                  <wp:posOffset>1104900</wp:posOffset>
                </wp:positionH>
                <wp:positionV relativeFrom="paragraph">
                  <wp:posOffset>256540</wp:posOffset>
                </wp:positionV>
                <wp:extent cx="427967" cy="336367"/>
                <wp:effectExtent l="0" t="0" r="0" b="0"/>
                <wp:wrapNone/>
                <wp:docPr id="24" name="TextBox 1"/>
                <wp:cNvGraphicFramePr/>
                <a:graphic xmlns:a="http://schemas.openxmlformats.org/drawingml/2006/main">
                  <a:graphicData uri="http://schemas.microsoft.com/office/word/2010/wordprocessingShape">
                    <wps:wsp>
                      <wps:cNvSpPr txBox="1"/>
                      <wps:spPr>
                        <a:xfrm>
                          <a:off x="0" y="0"/>
                          <a:ext cx="427967" cy="336367"/>
                        </a:xfrm>
                        <a:prstGeom prst="rect">
                          <a:avLst/>
                        </a:prstGeom>
                      </wps:spPr>
                      <wps:txbx>
                        <w:txbxContent>
                          <w:p w14:paraId="18E86B92" w14:textId="77777777" w:rsidR="001236DF" w:rsidRDefault="001236DF" w:rsidP="001236DF">
                            <w:pPr>
                              <w:rPr>
                                <w:rFonts w:asciiTheme="minorHAnsi" w:hAnsi="Calibri" w:cstheme="minorBidi"/>
                                <w:sz w:val="22"/>
                                <w:szCs w:val="22"/>
                              </w:rPr>
                            </w:pPr>
                            <w:r>
                              <w:rPr>
                                <w:rFonts w:asciiTheme="minorHAnsi" w:hAnsi="Calibri" w:cstheme="minorBidi"/>
                                <w:sz w:val="22"/>
                                <w:szCs w:val="22"/>
                              </w:rPr>
                              <w:t xml:space="preserve"> </w:t>
                            </w:r>
                            <w:r>
                              <w:rPr>
                                <w:rFonts w:asciiTheme="minorHAnsi" w:hAnsi="Wingdings" w:cstheme="minorBidi"/>
                                <w:sz w:val="22"/>
                                <w:szCs w:val="22"/>
                              </w:rPr>
                              <w:sym w:font="Wingdings" w:char="F0E2"/>
                            </w:r>
                          </w:p>
                        </w:txbxContent>
                      </wps:txbx>
                      <wps:bodyPr wrap="square" rtlCol="0"/>
                    </wps:wsp>
                  </a:graphicData>
                </a:graphic>
              </wp:anchor>
            </w:drawing>
          </mc:Choice>
          <mc:Fallback>
            <w:pict>
              <v:shape w14:anchorId="54273EBC" id="TextBox 1" o:spid="_x0000_s1027" type="#_x0000_t202" style="position:absolute;margin-left:87pt;margin-top:20.2pt;width:33.7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" filled="f" stroked="f">
                <v:textbox>
                  <w:txbxContent>
                    <w:p w14:paraId="18E86B92" w14:textId="77777777" w:rsidR="001236DF" w:rsidRDefault="001236DF" w:rsidP="001236DF">
                      <w:pPr>
                        <w:rPr>
                          <w:rFonts w:asciiTheme="minorHAnsi" w:hAnsi="Calibri" w:cstheme="minorBidi"/>
                          <w:sz w:val="22"/>
                          <w:szCs w:val="22"/>
                        </w:rPr>
                      </w:pPr>
                      <w:r>
                        <w:rPr>
                          <w:rFonts w:asciiTheme="minorHAnsi" w:hAnsi="Calibri" w:cstheme="minorBidi"/>
                          <w:sz w:val="22"/>
                          <w:szCs w:val="22"/>
                        </w:rPr>
                        <w:t xml:space="preserve"> </w:t>
                      </w:r>
                      <w:r>
                        <w:rPr>
                          <w:rFonts w:asciiTheme="minorHAnsi" w:hAnsi="Wingdings" w:cstheme="minorBidi"/>
                          <w:sz w:val="22"/>
                          <w:szCs w:val="22"/>
                        </w:rPr>
                        <w:sym w:font="Wingdings" w:char="F0E2"/>
                      </w:r>
                    </w:p>
                  </w:txbxContent>
                </v:textbox>
              </v:shape>
            </w:pict>
          </mc:Fallback>
        </mc:AlternateContent>
      </w:r>
      <w:r>
        <w:rPr>
          <w:noProof/>
        </w:rPr>
        <w:drawing>
          <wp:inline distT="0" distB="0" distL="0" distR="0" wp14:anchorId="5FC311BE" wp14:editId="21C914AF">
            <wp:extent cx="4901609" cy="3019646"/>
            <wp:effectExtent l="0" t="0" r="0" b="0"/>
            <wp:docPr id="26" name="Chart 26" descr="This line graph shows that the number of hours spent in seclusion was about 78,000 in 2007, peaked at just over 90,000 in 2009, reached a low of just under 35,000 in 2016, and has been declining since 2019 to be 36,500 hours in 2020/21 financial year.">
              <a:extLst xmlns:a="http://schemas.openxmlformats.org/drawingml/2006/main">
                <a:ext uri="{FF2B5EF4-FFF2-40B4-BE49-F238E27FC236}">
                  <a16:creationId xmlns:a16="http://schemas.microsoft.com/office/drawing/2014/main" id="{470E2563-6CF7-4342-9465-93C73CCC99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AB3D33A" w14:textId="77777777" w:rsidR="001236DF" w:rsidRPr="00200234" w:rsidRDefault="001236DF" w:rsidP="001236DF">
      <w:pPr>
        <w:pStyle w:val="Note"/>
        <w:rPr>
          <w:rFonts w:cs="Segoe UI"/>
        </w:rPr>
      </w:pPr>
      <w:r w:rsidRPr="00200234">
        <w:rPr>
          <w:rFonts w:cs="Segoe UI"/>
          <w:szCs w:val="17"/>
        </w:rPr>
        <w:t>Note</w:t>
      </w:r>
      <w:r>
        <w:rPr>
          <w:rFonts w:cs="Segoe UI"/>
          <w:szCs w:val="17"/>
        </w:rPr>
        <w:t>s</w:t>
      </w:r>
      <w:r w:rsidRPr="00200234">
        <w:rPr>
          <w:rFonts w:cs="Segoe UI"/>
          <w:szCs w:val="17"/>
        </w:rPr>
        <w:t xml:space="preserve">: </w:t>
      </w:r>
      <w:r>
        <w:rPr>
          <w:rFonts w:cs="Segoe UI"/>
          <w:szCs w:val="17"/>
        </w:rPr>
        <w:t>The data e</w:t>
      </w:r>
      <w:r w:rsidRPr="00200234">
        <w:rPr>
          <w:rFonts w:cs="Segoe UI"/>
          <w:szCs w:val="17"/>
        </w:rPr>
        <w:t>xcludes forensic inpatient services</w:t>
      </w:r>
      <w:r>
        <w:rPr>
          <w:rFonts w:cs="Segoe UI"/>
          <w:szCs w:val="17"/>
        </w:rPr>
        <w:t xml:space="preserve">. </w:t>
      </w:r>
      <w:r w:rsidRPr="00200234">
        <w:rPr>
          <w:rFonts w:cs="Segoe UI"/>
        </w:rPr>
        <w:t>I</w:t>
      </w:r>
      <w:r>
        <w:rPr>
          <w:rFonts w:cs="Segoe UI"/>
        </w:rPr>
        <w:t>t i</w:t>
      </w:r>
      <w:r w:rsidRPr="00200234">
        <w:rPr>
          <w:rFonts w:cs="Segoe UI"/>
        </w:rPr>
        <w:t>ncludes patients who have a legal status under the Mental Health Act but are treated in regional intellectual disability secure services.</w:t>
      </w:r>
      <w:r>
        <w:rPr>
          <w:rFonts w:cs="Segoe UI"/>
        </w:rPr>
        <w:t xml:space="preserve"> All years except 2020/21 are calendar years.</w:t>
      </w:r>
    </w:p>
    <w:p w14:paraId="1FBB26AC" w14:textId="77777777" w:rsidR="001236DF" w:rsidRPr="00D23889" w:rsidRDefault="001236DF" w:rsidP="001236DF">
      <w:pPr>
        <w:pStyle w:val="Source"/>
      </w:pPr>
      <w:r w:rsidRPr="00200234">
        <w:t>Sources: PRIMHD data</w:t>
      </w:r>
      <w:r>
        <w:t xml:space="preserve"> (extracted</w:t>
      </w:r>
      <w:r w:rsidRPr="00200234">
        <w:t xml:space="preserve"> </w:t>
      </w:r>
      <w:r w:rsidRPr="00D9778B">
        <w:t>3 June 2022) and manual data from Southern, Waikato and Waitematā DHBs.</w:t>
      </w:r>
    </w:p>
    <w:p w14:paraId="71856AB3" w14:textId="77777777" w:rsidR="001236DF" w:rsidRPr="00200234" w:rsidRDefault="001236DF" w:rsidP="001236DF">
      <w:pPr>
        <w:pStyle w:val="Heading2"/>
      </w:pPr>
      <w:bookmarkStart w:id="300" w:name="_Toc87429912"/>
      <w:bookmarkStart w:id="301" w:name="_Toc88826960"/>
      <w:bookmarkStart w:id="302" w:name="_Toc115188810"/>
      <w:bookmarkStart w:id="303" w:name="_Toc115431708"/>
      <w:r w:rsidRPr="00200234">
        <w:lastRenderedPageBreak/>
        <w:t xml:space="preserve">Seclusion in </w:t>
      </w:r>
      <w:r>
        <w:t xml:space="preserve">Aotearoa </w:t>
      </w:r>
      <w:r w:rsidRPr="00200234">
        <w:t>mental health services</w:t>
      </w:r>
      <w:r w:rsidRPr="00D23889">
        <w:rPr>
          <w:rStyle w:val="FootnoteReference"/>
        </w:rPr>
        <w:footnoteReference w:id="15"/>
      </w:r>
      <w:bookmarkEnd w:id="300"/>
      <w:bookmarkEnd w:id="301"/>
      <w:bookmarkEnd w:id="302"/>
      <w:bookmarkEnd w:id="303"/>
    </w:p>
    <w:p w14:paraId="265B566E" w14:textId="77777777" w:rsidR="001236DF" w:rsidRPr="00ED4FA1" w:rsidRDefault="001236DF" w:rsidP="001236DF">
      <w:r w:rsidRPr="00ED4FA1">
        <w:t xml:space="preserve">Between 1 </w:t>
      </w:r>
      <w:r>
        <w:t>July 2020 and 30 June 2021</w:t>
      </w:r>
      <w:r w:rsidRPr="00ED4FA1">
        <w:t xml:space="preserve">, </w:t>
      </w:r>
      <w:r>
        <w:t xml:space="preserve">Aotearoa </w:t>
      </w:r>
      <w:r w:rsidRPr="00ED4FA1">
        <w:t xml:space="preserve">adult mental health services (excluding forensic and other regional rehabilitation services) accommodated </w:t>
      </w:r>
      <w:r>
        <w:t>8,596</w:t>
      </w:r>
      <w:r w:rsidRPr="009459E7">
        <w:t> </w:t>
      </w:r>
      <w:r w:rsidRPr="00ED4FA1">
        <w:t xml:space="preserve">people for a total of </w:t>
      </w:r>
      <w:r>
        <w:t>238,948</w:t>
      </w:r>
      <w:r w:rsidRPr="00ED4FA1">
        <w:t xml:space="preserve"> bed nights. Of these people, </w:t>
      </w:r>
      <w:r>
        <w:t>815 </w:t>
      </w:r>
      <w:r w:rsidRPr="00ED4FA1">
        <w:t>(</w:t>
      </w:r>
      <w:r>
        <w:t>9.5%</w:t>
      </w:r>
      <w:r w:rsidRPr="00ED4FA1">
        <w:t>) were secluded at some stage during the reporting period.</w:t>
      </w:r>
    </w:p>
    <w:p w14:paraId="190F881D" w14:textId="77777777" w:rsidR="001236DF" w:rsidRDefault="001236DF" w:rsidP="001236DF"/>
    <w:p w14:paraId="03E58553" w14:textId="77777777" w:rsidR="001236DF" w:rsidRDefault="001236DF" w:rsidP="001236DF">
      <w:r w:rsidRPr="00ED4FA1">
        <w:t xml:space="preserve">Among the adults who were secluded, many were secluded more than once (on average </w:t>
      </w:r>
      <w:r>
        <w:t>2.2</w:t>
      </w:r>
      <w:r w:rsidRPr="00ED4FA1">
        <w:t xml:space="preserve"> times). For this reason, the number of seclusion events in adult inpatient services (</w:t>
      </w:r>
      <w:r>
        <w:t>1,802</w:t>
      </w:r>
      <w:r w:rsidRPr="00ED4FA1">
        <w:t>) was higher than the number of people secluded.</w:t>
      </w:r>
    </w:p>
    <w:p w14:paraId="17386AE4" w14:textId="77777777" w:rsidR="001236DF" w:rsidRPr="00ED4FA1" w:rsidRDefault="001236DF" w:rsidP="001236DF"/>
    <w:p w14:paraId="6A6966F8" w14:textId="77777777" w:rsidR="001236DF" w:rsidRDefault="001236DF" w:rsidP="001236DF">
      <w:r>
        <w:t>T</w:t>
      </w:r>
      <w:r w:rsidRPr="00ED4FA1">
        <w:t xml:space="preserve">here were </w:t>
      </w:r>
      <w:r>
        <w:t>7.5</w:t>
      </w:r>
      <w:r w:rsidRPr="00ED4FA1">
        <w:t xml:space="preserve"> seclusion events per 1,000 bed nights in adult inpatient units. This means that nationally and on average for every 1,000 bed nights a person spent in an inpatient unit, the person would have </w:t>
      </w:r>
      <w:r>
        <w:t xml:space="preserve">7.5 </w:t>
      </w:r>
      <w:r w:rsidRPr="00ED4FA1">
        <w:t>seclusion events.</w:t>
      </w:r>
    </w:p>
    <w:p w14:paraId="68A0367F" w14:textId="77777777" w:rsidR="001236DF" w:rsidRPr="00ED4FA1" w:rsidRDefault="001236DF" w:rsidP="001236DF"/>
    <w:p w14:paraId="65579062" w14:textId="77777777" w:rsidR="001236DF" w:rsidRPr="00ED4FA1" w:rsidRDefault="001236DF" w:rsidP="001236DF">
      <w:r w:rsidRPr="00ED4FA1">
        <w:t xml:space="preserve">Across all inpatient services, including forensic, intellectual disability and youth services, </w:t>
      </w:r>
      <w:r>
        <w:t>1,054</w:t>
      </w:r>
      <w:r w:rsidRPr="00ED4FA1">
        <w:t xml:space="preserve"> people experienced at least one seclusion event. Of those secluded, </w:t>
      </w:r>
      <w:r w:rsidRPr="0022599E">
        <w:t>69.1% were male, and 30.9%</w:t>
      </w:r>
      <w:r w:rsidRPr="00ED4FA1">
        <w:t xml:space="preserve"> were female. The most common age group for those secluded </w:t>
      </w:r>
      <w:r w:rsidRPr="00935D12">
        <w:t>was 20–29</w:t>
      </w:r>
      <w:r w:rsidRPr="00ED4FA1">
        <w:t xml:space="preserve"> years. A total of </w:t>
      </w:r>
      <w:r>
        <w:t>104</w:t>
      </w:r>
      <w:r w:rsidRPr="00ED4FA1">
        <w:t xml:space="preserve"> young people (aged 19 years and under) were secluded in </w:t>
      </w:r>
      <w:r>
        <w:t>279</w:t>
      </w:r>
      <w:r w:rsidRPr="00ED4FA1">
        <w:t xml:space="preserve"> seclusion events</w:t>
      </w:r>
      <w:r>
        <w:t xml:space="preserve"> </w:t>
      </w:r>
      <w:r w:rsidRPr="00ED4FA1">
        <w:t xml:space="preserve">during the </w:t>
      </w:r>
      <w:r>
        <w:t>12-month period</w:t>
      </w:r>
      <w:r w:rsidRPr="00ED4FA1">
        <w:t xml:space="preserve"> </w:t>
      </w:r>
      <w:r>
        <w:t>(Figure 25)</w:t>
      </w:r>
      <w:r w:rsidRPr="00ED4FA1">
        <w:t>.</w:t>
      </w:r>
    </w:p>
    <w:p w14:paraId="6B4AEF2B" w14:textId="77777777" w:rsidR="001236DF" w:rsidRPr="00200234" w:rsidRDefault="001236DF" w:rsidP="001236DF"/>
    <w:p w14:paraId="7238AFC8" w14:textId="77777777" w:rsidR="00B70C79" w:rsidRDefault="00B70C79" w:rsidP="001236DF">
      <w:pPr>
        <w:pStyle w:val="Figure"/>
        <w:sectPr w:rsidR="00B70C79" w:rsidSect="00D40D3F">
          <w:pgSz w:w="11907" w:h="16840" w:code="9"/>
          <w:pgMar w:top="1418" w:right="1701" w:bottom="1134" w:left="1843" w:header="284" w:footer="425" w:gutter="284"/>
          <w:cols w:space="720"/>
        </w:sectPr>
      </w:pPr>
      <w:bookmarkStart w:id="304" w:name="_Toc63764768"/>
      <w:bookmarkStart w:id="305" w:name="_Toc75176490"/>
      <w:bookmarkStart w:id="306" w:name="_Toc85442581"/>
      <w:bookmarkStart w:id="307" w:name="_Toc85445928"/>
      <w:bookmarkStart w:id="308" w:name="_Toc87429974"/>
      <w:bookmarkStart w:id="309" w:name="_Toc88561406"/>
      <w:bookmarkStart w:id="310" w:name="_Toc115188864"/>
    </w:p>
    <w:p w14:paraId="34C63038" w14:textId="358A3150" w:rsidR="001236DF" w:rsidRDefault="001236DF" w:rsidP="001236DF">
      <w:pPr>
        <w:pStyle w:val="Figure"/>
      </w:pPr>
      <w:bookmarkStart w:id="311" w:name="_Toc115272566"/>
      <w:r>
        <w:lastRenderedPageBreak/>
        <w:t>Figure </w:t>
      </w:r>
      <w:fldSimple w:instr=" SEQ Figure \* ARABIC ">
        <w:r w:rsidR="009A04B0">
          <w:rPr>
            <w:noProof/>
          </w:rPr>
          <w:t>25</w:t>
        </w:r>
      </w:fldSimple>
      <w:r w:rsidRPr="00200234">
        <w:t xml:space="preserve">: </w:t>
      </w:r>
      <w:r w:rsidRPr="00160281">
        <w:t xml:space="preserve">Number of people secluded across all inpatient services (adult, forensic, intellectual disability and youth), by age group, 1 </w:t>
      </w:r>
      <w:bookmarkEnd w:id="304"/>
      <w:bookmarkEnd w:id="305"/>
      <w:bookmarkEnd w:id="306"/>
      <w:bookmarkEnd w:id="307"/>
      <w:bookmarkEnd w:id="308"/>
      <w:bookmarkEnd w:id="309"/>
      <w:r w:rsidRPr="00160281">
        <w:t>July 2020 to 30 June 2021</w:t>
      </w:r>
      <w:bookmarkEnd w:id="310"/>
      <w:bookmarkEnd w:id="311"/>
    </w:p>
    <w:p w14:paraId="3234A7E4" w14:textId="77777777" w:rsidR="001236DF" w:rsidRPr="00160281" w:rsidRDefault="001236DF" w:rsidP="001236DF">
      <w:r>
        <w:rPr>
          <w:noProof/>
        </w:rPr>
        <w:drawing>
          <wp:inline distT="0" distB="0" distL="0" distR="0" wp14:anchorId="7EACBFE9" wp14:editId="342E0B2C">
            <wp:extent cx="5487670" cy="2847975"/>
            <wp:effectExtent l="0" t="0" r="0" b="0"/>
            <wp:docPr id="27" name="Chart 27" descr="This bar graph shows that 104 people under 20 were secluded, 194 people between 20 and 24 were secluded, 176 people between 25 and 29, 156 people between 30 and 34, around 98 people in the 35-39 age group, and 84 in the 40-44 age group, 76 for both the 45-49 and 50-54 age groups, and around 48 people or less in the other age groups with the lowest being over 65s at 15 people.">
              <a:extLst xmlns:a="http://schemas.openxmlformats.org/drawingml/2006/main">
                <a:ext uri="{FF2B5EF4-FFF2-40B4-BE49-F238E27FC236}">
                  <a16:creationId xmlns:a16="http://schemas.microsoft.com/office/drawing/2014/main" id="{DD5A4EE1-2B25-46CE-B37E-6C782B828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9199D9C" w14:textId="77777777" w:rsidR="001236DF" w:rsidRPr="00200234" w:rsidRDefault="001236DF" w:rsidP="001236DF">
      <w:pPr>
        <w:pStyle w:val="Note"/>
      </w:pPr>
      <w:r w:rsidRPr="00200234">
        <w:t xml:space="preserve">Note: </w:t>
      </w:r>
      <w:r>
        <w:t>The data i</w:t>
      </w:r>
      <w:r w:rsidRPr="00200234">
        <w:t>ncludes patients who have a legal status under the Mental Health Act but are treated in regional intellectual disability secure services.</w:t>
      </w:r>
    </w:p>
    <w:p w14:paraId="56C043F6" w14:textId="77777777" w:rsidR="001236DF" w:rsidRDefault="001236DF" w:rsidP="001236DF">
      <w:pPr>
        <w:pStyle w:val="Source"/>
      </w:pPr>
      <w:bookmarkStart w:id="312" w:name="_Ref65672360"/>
      <w:bookmarkStart w:id="313" w:name="_Toc63764770"/>
      <w:bookmarkStart w:id="314" w:name="_Toc75176491"/>
      <w:bookmarkStart w:id="315" w:name="_Toc85442582"/>
      <w:bookmarkStart w:id="316" w:name="_Toc85445929"/>
      <w:bookmarkStart w:id="317" w:name="_Toc87429975"/>
      <w:bookmarkStart w:id="318" w:name="_Toc88561407"/>
      <w:r w:rsidRPr="00200234">
        <w:t>Sources: PRIMHD data</w:t>
      </w:r>
      <w:r>
        <w:t xml:space="preserve"> (</w:t>
      </w:r>
      <w:r w:rsidRPr="00160281">
        <w:t>extracted 3 June 2022) and manual data from Southern, Waikato and Waitematā DHBs.</w:t>
      </w:r>
    </w:p>
    <w:p w14:paraId="28FC097D" w14:textId="5CB8580E" w:rsidR="001236DF" w:rsidRDefault="001236DF" w:rsidP="001236DF">
      <w:pPr>
        <w:pStyle w:val="Figure"/>
        <w:spacing w:before="360"/>
      </w:pPr>
      <w:bookmarkStart w:id="319" w:name="_Toc115188865"/>
      <w:bookmarkStart w:id="320" w:name="_Toc115272567"/>
      <w:r w:rsidRPr="005E7A76">
        <w:t>Figure </w:t>
      </w:r>
      <w:fldSimple w:instr=" SEQ Figure \* ARABIC ">
        <w:r w:rsidR="009A04B0">
          <w:rPr>
            <w:noProof/>
          </w:rPr>
          <w:t>26</w:t>
        </w:r>
      </w:fldSimple>
      <w:bookmarkEnd w:id="312"/>
      <w:r w:rsidRPr="005E7A76">
        <w:t xml:space="preserve">: Number of seclusion events across all inpatient services (adult, forensic, intellectual disability and youth), by </w:t>
      </w:r>
      <w:r>
        <w:t>length</w:t>
      </w:r>
      <w:r w:rsidRPr="005E7A76">
        <w:t xml:space="preserve"> of event, 1 </w:t>
      </w:r>
      <w:bookmarkEnd w:id="313"/>
      <w:bookmarkEnd w:id="314"/>
      <w:bookmarkEnd w:id="315"/>
      <w:bookmarkEnd w:id="316"/>
      <w:bookmarkEnd w:id="317"/>
      <w:bookmarkEnd w:id="318"/>
      <w:r w:rsidRPr="005E7A76">
        <w:t>July 2020 to 30 June 2021</w:t>
      </w:r>
      <w:bookmarkEnd w:id="319"/>
      <w:bookmarkEnd w:id="320"/>
    </w:p>
    <w:p w14:paraId="6804C112" w14:textId="77777777" w:rsidR="001236DF" w:rsidRPr="004A18F7" w:rsidRDefault="001236DF" w:rsidP="001236DF">
      <w:r>
        <w:rPr>
          <w:noProof/>
        </w:rPr>
        <w:drawing>
          <wp:inline distT="0" distB="0" distL="0" distR="0" wp14:anchorId="16D9BC4F" wp14:editId="21EF7FE6">
            <wp:extent cx="5328745" cy="3137338"/>
            <wp:effectExtent l="0" t="0" r="5715" b="6350"/>
            <wp:docPr id="28" name="Chart 28" descr="This graph shows that just over 300 seclusion events lasted for more than 48 hours. About 170 lasted for between 24 and 35 hours. About 130 lasted for between 36 and 47 hours. Around 260 events lasted between 1 to 2 hours and 197 were between 2 to 3 hours. About 161 events were for less than an hour.  There 140 or fewer events for other durations, with the lowest being 28 events for between 23 to 24 hours.">
              <a:extLst xmlns:a="http://schemas.openxmlformats.org/drawingml/2006/main">
                <a:ext uri="{FF2B5EF4-FFF2-40B4-BE49-F238E27FC236}">
                  <a16:creationId xmlns:a16="http://schemas.microsoft.com/office/drawing/2014/main" id="{70C3EE32-2102-43BC-8788-93BD3B6067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196FC661" w14:textId="77777777" w:rsidR="001236DF" w:rsidRPr="00200234" w:rsidRDefault="001236DF" w:rsidP="001236DF">
      <w:pPr>
        <w:pStyle w:val="Note"/>
      </w:pPr>
      <w:r w:rsidRPr="00200234">
        <w:t>Note</w:t>
      </w:r>
      <w:r>
        <w:t>s</w:t>
      </w:r>
      <w:r w:rsidRPr="00200234">
        <w:t xml:space="preserve">: </w:t>
      </w:r>
      <w:r>
        <w:t>The data i</w:t>
      </w:r>
      <w:r w:rsidRPr="00200234">
        <w:t>ncludes patients who have a legal status under the Mental Health Act but are treated in regional intellectual disability secure services.</w:t>
      </w:r>
      <w:r>
        <w:t xml:space="preserve"> The lower limit is the lowest included time, for example 0–1 hours includes any time up to 59 minutes.</w:t>
      </w:r>
    </w:p>
    <w:p w14:paraId="701A2DDC" w14:textId="77777777" w:rsidR="001236DF" w:rsidRDefault="001236DF" w:rsidP="001236DF">
      <w:pPr>
        <w:pStyle w:val="Source"/>
      </w:pPr>
      <w:r w:rsidRPr="00200234">
        <w:t>Sources: PRIMHD data</w:t>
      </w:r>
      <w:r>
        <w:t xml:space="preserve"> (</w:t>
      </w:r>
      <w:r w:rsidRPr="005E7A76">
        <w:t>extracted 3 June 2022) and manual data from Southern, Waikato and Waitematā DHBs.</w:t>
      </w:r>
    </w:p>
    <w:p w14:paraId="375E3AB9" w14:textId="4903CB79" w:rsidR="001236DF" w:rsidRDefault="001236DF" w:rsidP="001236DF">
      <w:pPr>
        <w:pStyle w:val="Figure"/>
        <w:spacing w:before="360"/>
      </w:pPr>
      <w:bookmarkStart w:id="321" w:name="_Toc115188866"/>
      <w:bookmarkStart w:id="322" w:name="_Toc115272568"/>
      <w:r w:rsidRPr="005E7A76">
        <w:lastRenderedPageBreak/>
        <w:t>Figure </w:t>
      </w:r>
      <w:fldSimple w:instr=" SEQ Figure \* ARABIC ">
        <w:r w:rsidR="009A04B0">
          <w:rPr>
            <w:noProof/>
          </w:rPr>
          <w:t>27</w:t>
        </w:r>
      </w:fldSimple>
      <w:r w:rsidRPr="005E7A76">
        <w:t xml:space="preserve">: Number of seclusion events across all inpatient services (adult, forensic, intellectual disability and youth), by </w:t>
      </w:r>
      <w:r>
        <w:t>ethnicity and length</w:t>
      </w:r>
      <w:r w:rsidRPr="005E7A76">
        <w:t xml:space="preserve"> of event, 1 July 2020 to 30 June 2021</w:t>
      </w:r>
      <w:bookmarkEnd w:id="321"/>
      <w:bookmarkEnd w:id="322"/>
    </w:p>
    <w:p w14:paraId="34FF90F7" w14:textId="77777777" w:rsidR="001236DF" w:rsidRDefault="001236DF" w:rsidP="001236DF">
      <w:r>
        <w:rPr>
          <w:noProof/>
        </w:rPr>
        <w:drawing>
          <wp:inline distT="0" distB="0" distL="0" distR="0" wp14:anchorId="0FCF44C5" wp14:editId="3B86CB59">
            <wp:extent cx="5391807" cy="3090041"/>
            <wp:effectExtent l="0" t="0" r="0" b="0"/>
            <wp:docPr id="29" name="Chart 29" descr="This graph shows that although non-Māori and non-Pacific peoples tend to be secluded more often than those ethnicities, from 24 hours onwards, Māori are secluded more than them. Around 134 seclusion events for Māori, 39 for Pacific peoples, and 133 for other ethnicities were longer than 48 hours.">
              <a:extLst xmlns:a="http://schemas.openxmlformats.org/drawingml/2006/main">
                <a:ext uri="{FF2B5EF4-FFF2-40B4-BE49-F238E27FC236}">
                  <a16:creationId xmlns:a16="http://schemas.microsoft.com/office/drawing/2014/main" id="{762943D7-D2D7-4ADE-B3E9-B51E6FF547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4B6931B1" w14:textId="77777777" w:rsidR="001236DF" w:rsidRPr="00200234" w:rsidRDefault="001236DF" w:rsidP="001236DF">
      <w:pPr>
        <w:pStyle w:val="Note"/>
      </w:pPr>
      <w:r w:rsidRPr="00200234">
        <w:t>Note</w:t>
      </w:r>
      <w:r>
        <w:t>s</w:t>
      </w:r>
      <w:r w:rsidRPr="00200234">
        <w:t xml:space="preserve">: </w:t>
      </w:r>
      <w:r>
        <w:t>The data i</w:t>
      </w:r>
      <w:r w:rsidRPr="00200234">
        <w:t>ncludes patients who have a legal status under the Mental Health Act but are treated in regional intellectual disability secure services.</w:t>
      </w:r>
      <w:r>
        <w:t xml:space="preserve"> The lower limit is the lowest included time. For example, 0–1 hours includes any time up to 59 minutes.</w:t>
      </w:r>
    </w:p>
    <w:p w14:paraId="1DA4249A" w14:textId="77777777" w:rsidR="001236DF" w:rsidRDefault="001236DF" w:rsidP="001236DF">
      <w:pPr>
        <w:pStyle w:val="Source"/>
      </w:pPr>
      <w:r w:rsidRPr="00200234">
        <w:t>Sources: PRIMHD data</w:t>
      </w:r>
      <w:r>
        <w:t xml:space="preserve"> (</w:t>
      </w:r>
      <w:r w:rsidRPr="005E7A76">
        <w:t>extracted 3 June 2022) and manual data from Southern, Waikato and Waitematā DHBs.</w:t>
      </w:r>
    </w:p>
    <w:p w14:paraId="3D1CDE7E" w14:textId="77777777" w:rsidR="001236DF" w:rsidRPr="00200234" w:rsidRDefault="001236DF" w:rsidP="001236DF">
      <w:pPr>
        <w:pStyle w:val="Heading2"/>
      </w:pPr>
      <w:bookmarkStart w:id="323" w:name="_Toc65141624"/>
      <w:bookmarkStart w:id="324" w:name="_Toc75176448"/>
      <w:bookmarkStart w:id="325" w:name="_Toc87429913"/>
      <w:bookmarkStart w:id="326" w:name="_Toc88826961"/>
      <w:bookmarkStart w:id="327" w:name="_Toc115188811"/>
      <w:bookmarkStart w:id="328" w:name="_Toc115431709"/>
      <w:r w:rsidRPr="00200234">
        <w:t xml:space="preserve">Use of seclusion by </w:t>
      </w:r>
      <w:bookmarkEnd w:id="323"/>
      <w:r>
        <w:t>DHBs</w:t>
      </w:r>
      <w:bookmarkEnd w:id="324"/>
      <w:bookmarkEnd w:id="325"/>
      <w:bookmarkEnd w:id="326"/>
      <w:bookmarkEnd w:id="327"/>
      <w:bookmarkEnd w:id="328"/>
    </w:p>
    <w:p w14:paraId="17906A9B" w14:textId="77777777" w:rsidR="001236DF" w:rsidRPr="00200234" w:rsidRDefault="001236DF" w:rsidP="001236DF">
      <w:r w:rsidRPr="00200234">
        <w:t>All DHBs except for Wairarapa DHB (which ha</w:t>
      </w:r>
      <w:r>
        <w:t>d</w:t>
      </w:r>
      <w:r w:rsidRPr="00200234">
        <w:t xml:space="preserve"> no mental health inpatient service) use</w:t>
      </w:r>
      <w:r>
        <w:t>d</w:t>
      </w:r>
      <w:r w:rsidRPr="00200234">
        <w:t xml:space="preserve"> seclusion.</w:t>
      </w:r>
      <w:r w:rsidRPr="00D23889">
        <w:rPr>
          <w:rStyle w:val="FootnoteReference"/>
        </w:rPr>
        <w:footnoteReference w:id="16"/>
      </w:r>
    </w:p>
    <w:p w14:paraId="1A568631" w14:textId="77777777" w:rsidR="001236DF" w:rsidRPr="00200234" w:rsidRDefault="001236DF" w:rsidP="001236DF"/>
    <w:p w14:paraId="0466BD07" w14:textId="77777777" w:rsidR="001236DF" w:rsidRDefault="001236DF" w:rsidP="001236DF">
      <w:r>
        <w:t>At the</w:t>
      </w:r>
      <w:r w:rsidRPr="00200234">
        <w:t xml:space="preserve"> national </w:t>
      </w:r>
      <w:r>
        <w:t>level</w:t>
      </w:r>
      <w:r w:rsidRPr="00200234">
        <w:t xml:space="preserve"> </w:t>
      </w:r>
      <w:r>
        <w:t xml:space="preserve">from 1 July 2020 to 30 June 2021, the </w:t>
      </w:r>
      <w:r w:rsidRPr="00200234">
        <w:t>average number of people secluded in adult inpatient services</w:t>
      </w:r>
      <w:r>
        <w:t xml:space="preserve"> </w:t>
      </w:r>
      <w:r w:rsidRPr="00200234">
        <w:t xml:space="preserve">was </w:t>
      </w:r>
      <w:r>
        <w:t>27.0</w:t>
      </w:r>
      <w:r w:rsidRPr="00200234">
        <w:t xml:space="preserve"> per 100,000 population</w:t>
      </w:r>
      <w:r>
        <w:t>. Figure 28 shows how individual DHBs compare with this national average. Table 8 shows the seclusion rate for each DHB as a percentage of patients admitted to adult inpatient services who experienced seclusion during their admission.</w:t>
      </w:r>
    </w:p>
    <w:p w14:paraId="746E63FF" w14:textId="77777777" w:rsidR="001236DF" w:rsidRDefault="001236DF" w:rsidP="001236DF"/>
    <w:p w14:paraId="49FF1F27" w14:textId="77777777" w:rsidR="001236DF" w:rsidRDefault="001236DF" w:rsidP="001236DF">
      <w:r>
        <w:t xml:space="preserve">Nationally, </w:t>
      </w:r>
      <w:r w:rsidRPr="00200234">
        <w:t xml:space="preserve">the average number of seclusion events was </w:t>
      </w:r>
      <w:r>
        <w:t>59.6 </w:t>
      </w:r>
      <w:r w:rsidRPr="00200234">
        <w:t>per 100,000 population.</w:t>
      </w:r>
      <w:r>
        <w:t xml:space="preserve"> Figure 29 breaks this rate down by DHB. The average length of a seclusion event nationwide was 20.3 hours.</w:t>
      </w:r>
    </w:p>
    <w:p w14:paraId="5B5AFC33" w14:textId="77777777" w:rsidR="001236DF" w:rsidRPr="00200234" w:rsidRDefault="001236DF" w:rsidP="001236DF"/>
    <w:p w14:paraId="4C8A12FC" w14:textId="4E9786FC" w:rsidR="001236DF" w:rsidRDefault="001236DF" w:rsidP="001236DF">
      <w:pPr>
        <w:pStyle w:val="Figure"/>
      </w:pPr>
      <w:bookmarkStart w:id="329" w:name="_Toc63764772"/>
      <w:bookmarkStart w:id="330" w:name="_Toc75176492"/>
      <w:bookmarkStart w:id="331" w:name="_Toc85442583"/>
      <w:bookmarkStart w:id="332" w:name="_Toc85445930"/>
      <w:bookmarkStart w:id="333" w:name="_Toc87429976"/>
      <w:bookmarkStart w:id="334" w:name="_Toc88561408"/>
      <w:bookmarkStart w:id="335" w:name="_Toc115188867"/>
      <w:bookmarkStart w:id="336" w:name="_Toc115272569"/>
      <w:r>
        <w:lastRenderedPageBreak/>
        <w:t>Figure </w:t>
      </w:r>
      <w:fldSimple w:instr=" SEQ Figure \* ARABIC ">
        <w:r w:rsidR="009A04B0">
          <w:rPr>
            <w:noProof/>
          </w:rPr>
          <w:t>28</w:t>
        </w:r>
      </w:fldSimple>
      <w:r w:rsidRPr="00D24D40">
        <w:t xml:space="preserve">: Number of people secluded in adult inpatient services per 100,000 population, by DHB, 1 </w:t>
      </w:r>
      <w:bookmarkEnd w:id="329"/>
      <w:bookmarkEnd w:id="330"/>
      <w:bookmarkEnd w:id="331"/>
      <w:bookmarkEnd w:id="332"/>
      <w:bookmarkEnd w:id="333"/>
      <w:bookmarkEnd w:id="334"/>
      <w:r w:rsidRPr="00D24D40">
        <w:t>July 2020 to 30 June 2021</w:t>
      </w:r>
      <w:bookmarkEnd w:id="335"/>
      <w:bookmarkEnd w:id="336"/>
    </w:p>
    <w:p w14:paraId="68071AF2" w14:textId="77777777" w:rsidR="001236DF" w:rsidRPr="00D24D40" w:rsidRDefault="001236DF" w:rsidP="001236DF">
      <w:r>
        <w:rPr>
          <w:noProof/>
        </w:rPr>
        <w:drawing>
          <wp:inline distT="0" distB="0" distL="0" distR="0" wp14:anchorId="67308329" wp14:editId="4E1BBE49">
            <wp:extent cx="5249918" cy="3752850"/>
            <wp:effectExtent l="0" t="0" r="8255" b="0"/>
            <wp:docPr id="30" name="Chart 30" descr="This graph shows that the national average number of people secluded was about 27 per 100,000. The DHB with the highest number of secluded people was Bay of Plenty with 67.9, and then Tairāwhiti with 54.2 people per 100,000. The DHBs with the lowest numbers were Auckland and Waitematā with fewer than 10 people each per 100,000.">
              <a:extLst xmlns:a="http://schemas.openxmlformats.org/drawingml/2006/main">
                <a:ext uri="{FF2B5EF4-FFF2-40B4-BE49-F238E27FC236}">
                  <a16:creationId xmlns:a16="http://schemas.microsoft.com/office/drawing/2014/main" id="{00000000-0008-0000-1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3A1A81A" w14:textId="77777777" w:rsidR="001236DF" w:rsidRPr="00D24D40" w:rsidRDefault="001236DF" w:rsidP="001236DF">
      <w:pPr>
        <w:pStyle w:val="Note"/>
      </w:pPr>
      <w:r w:rsidRPr="00200234">
        <w:t xml:space="preserve">Notes: The </w:t>
      </w:r>
      <w:r w:rsidRPr="00D24D40">
        <w:t>graph uses confidence intervals (for 99</w:t>
      </w:r>
      <w:r>
        <w:t>%</w:t>
      </w:r>
      <w:r w:rsidRPr="00D24D40">
        <w:t xml:space="preserve"> confidence) to help in interpreting the data. Where a DHB region’s confidence interval crosses the national average, this means the DHB’s rate was not statistically significantly different from the national average. It includes patients who have a legal status under the Mental Health Act but are treated in </w:t>
      </w:r>
      <w:r w:rsidRPr="00200234">
        <w:t>regional intellectual disability secure services</w:t>
      </w:r>
      <w:r w:rsidRPr="00D24D40">
        <w:t>. Wairarapa DHB d</w:t>
      </w:r>
      <w:r>
        <w:t>id</w:t>
      </w:r>
      <w:r w:rsidRPr="00D24D40">
        <w:t xml:space="preserve"> not have an inpatient unit, so </w:t>
      </w:r>
      <w:r>
        <w:t>it has</w:t>
      </w:r>
      <w:r w:rsidRPr="00D24D40">
        <w:t xml:space="preserve"> been </w:t>
      </w:r>
      <w:r>
        <w:t>excluded</w:t>
      </w:r>
      <w:r w:rsidRPr="00D24D40">
        <w:t xml:space="preserve"> from this graph.</w:t>
      </w:r>
    </w:p>
    <w:p w14:paraId="1BBAE6C2" w14:textId="77777777" w:rsidR="001236DF" w:rsidRDefault="001236DF" w:rsidP="001236DF">
      <w:pPr>
        <w:pStyle w:val="Source"/>
      </w:pPr>
      <w:r w:rsidRPr="00D24D40">
        <w:t>Sources: PRIMHD data (extracted 3 June 2022) and manual data from Southern, Waikato and Waitematā DHBs.</w:t>
      </w:r>
    </w:p>
    <w:p w14:paraId="6C3356F2" w14:textId="77777777" w:rsidR="001236DF" w:rsidRPr="00D23889" w:rsidRDefault="001236DF" w:rsidP="001236DF"/>
    <w:p w14:paraId="089B8425" w14:textId="4733F717" w:rsidR="001236DF" w:rsidRDefault="001236DF" w:rsidP="001236DF">
      <w:pPr>
        <w:pStyle w:val="Figure"/>
      </w:pPr>
      <w:bookmarkStart w:id="337" w:name="_Toc63764774"/>
      <w:bookmarkStart w:id="338" w:name="_Toc75176493"/>
      <w:bookmarkStart w:id="339" w:name="_Toc85442584"/>
      <w:bookmarkStart w:id="340" w:name="_Toc85445931"/>
      <w:bookmarkStart w:id="341" w:name="_Toc87429977"/>
      <w:bookmarkStart w:id="342" w:name="_Toc88561409"/>
      <w:bookmarkStart w:id="343" w:name="_Toc115188868"/>
      <w:bookmarkStart w:id="344" w:name="_Toc115272570"/>
      <w:r>
        <w:lastRenderedPageBreak/>
        <w:t>Figure </w:t>
      </w:r>
      <w:fldSimple w:instr=" SEQ Figure \* ARABIC ">
        <w:r w:rsidR="009A04B0">
          <w:rPr>
            <w:noProof/>
          </w:rPr>
          <w:t>29</w:t>
        </w:r>
      </w:fldSimple>
      <w:r w:rsidRPr="00D24D40">
        <w:t xml:space="preserve">: Number of seclusion events in adult inpatient services per 100,000 population, by DHB, 1 </w:t>
      </w:r>
      <w:bookmarkEnd w:id="337"/>
      <w:bookmarkEnd w:id="338"/>
      <w:bookmarkEnd w:id="339"/>
      <w:bookmarkEnd w:id="340"/>
      <w:bookmarkEnd w:id="341"/>
      <w:bookmarkEnd w:id="342"/>
      <w:r w:rsidRPr="00D24D40">
        <w:t>July 2020 to 30 June 2021</w:t>
      </w:r>
      <w:bookmarkEnd w:id="343"/>
      <w:bookmarkEnd w:id="344"/>
    </w:p>
    <w:p w14:paraId="5129273A" w14:textId="77777777" w:rsidR="001236DF" w:rsidRPr="00D24D40" w:rsidRDefault="001236DF" w:rsidP="001236DF">
      <w:r>
        <w:rPr>
          <w:noProof/>
        </w:rPr>
        <w:drawing>
          <wp:inline distT="0" distB="0" distL="0" distR="0" wp14:anchorId="5793A7D1" wp14:editId="47AA2706">
            <wp:extent cx="5486400" cy="3468414"/>
            <wp:effectExtent l="0" t="0" r="0" b="0"/>
            <wp:docPr id="31" name="Chart 31" descr="This graph shows that the national average number of seclusion events was 60 per 100,000 people. The DHB with the highest number of seclusion events was Southern with 174.5 per 100,000 people. The next highest was Bay of Plenty with 146.1. The DHBs with the lowest numbers were Auckland, Waitematā and Whanganui with less than 15 each.">
              <a:extLst xmlns:a="http://schemas.openxmlformats.org/drawingml/2006/main">
                <a:ext uri="{FF2B5EF4-FFF2-40B4-BE49-F238E27FC236}">
                  <a16:creationId xmlns:a16="http://schemas.microsoft.com/office/drawing/2014/main" id="{00000000-0008-0000-1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2D2C738" w14:textId="77777777" w:rsidR="001236DF" w:rsidRPr="00D24D40" w:rsidRDefault="001236DF" w:rsidP="001236DF">
      <w:pPr>
        <w:pStyle w:val="Note"/>
      </w:pPr>
      <w:r w:rsidRPr="00200234">
        <w:t>Notes: The graph uses confidence intervals (for 99</w:t>
      </w:r>
      <w:r>
        <w:t>%</w:t>
      </w:r>
      <w:r w:rsidRPr="00200234">
        <w:t xml:space="preserve"> confidence) to help in interpreting the data. Where a DHB region</w:t>
      </w:r>
      <w:r>
        <w:t>’</w:t>
      </w:r>
      <w:r w:rsidRPr="00200234">
        <w:t xml:space="preserve">s confidence interval crosses the </w:t>
      </w:r>
      <w:r w:rsidRPr="00D24D40">
        <w:t xml:space="preserve">national average, this means the DHB’s rate was not statistically significantly different from the national average. It includes patients who have a legal status under the Mental Health Act but are treated in </w:t>
      </w:r>
      <w:r w:rsidRPr="00200234">
        <w:t>regional intellectual disability secure services</w:t>
      </w:r>
      <w:r w:rsidRPr="00D24D40">
        <w:t>. Wairarapa DHB d</w:t>
      </w:r>
      <w:r>
        <w:t>id</w:t>
      </w:r>
      <w:r w:rsidRPr="00D24D40">
        <w:t xml:space="preserve"> not have an inpatient unit, so </w:t>
      </w:r>
      <w:r>
        <w:t>it has</w:t>
      </w:r>
      <w:r w:rsidRPr="00D24D40">
        <w:t xml:space="preserve"> been </w:t>
      </w:r>
      <w:r>
        <w:t xml:space="preserve">excluded </w:t>
      </w:r>
      <w:r w:rsidRPr="00D24D40">
        <w:t>from this graph.</w:t>
      </w:r>
    </w:p>
    <w:p w14:paraId="5B317F71" w14:textId="77777777" w:rsidR="001236DF" w:rsidRDefault="001236DF" w:rsidP="001236DF">
      <w:pPr>
        <w:pStyle w:val="Source"/>
      </w:pPr>
      <w:r w:rsidRPr="00D24D40">
        <w:t>Sources: PRIMHD data (extracted 3 June 2022) and manual data from Southern, Waikato and Waitematā DHBs.</w:t>
      </w:r>
    </w:p>
    <w:p w14:paraId="14F2F290" w14:textId="77777777" w:rsidR="001236DF" w:rsidRDefault="001236DF" w:rsidP="001236DF"/>
    <w:p w14:paraId="47502FFD" w14:textId="65209E9F" w:rsidR="001236DF" w:rsidRDefault="001236DF" w:rsidP="001236DF">
      <w:pPr>
        <w:pStyle w:val="Figure"/>
      </w:pPr>
      <w:bookmarkStart w:id="345" w:name="_Toc115188897"/>
      <w:bookmarkStart w:id="346" w:name="_Toc115272571"/>
      <w:r>
        <w:t xml:space="preserve">Table </w:t>
      </w:r>
      <w:fldSimple w:instr=" SEQ Table \* ARABIC ">
        <w:r w:rsidR="009A04B0">
          <w:rPr>
            <w:noProof/>
          </w:rPr>
          <w:t>8</w:t>
        </w:r>
      </w:fldSimple>
      <w:r>
        <w:t>: Percentage of admissions to adult inpatient services with seclusion recorded during admission, by DHB, 1 July 2020 to 30 June 2021</w:t>
      </w:r>
      <w:bookmarkEnd w:id="345"/>
      <w:bookmarkEnd w:id="346"/>
    </w:p>
    <w:tbl>
      <w:tblPr>
        <w:tblW w:w="6747"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843"/>
        <w:gridCol w:w="1361"/>
        <w:gridCol w:w="425"/>
        <w:gridCol w:w="1559"/>
        <w:gridCol w:w="1559"/>
      </w:tblGrid>
      <w:tr w:rsidR="001236DF" w:rsidRPr="00200234" w14:paraId="171C0145" w14:textId="77777777" w:rsidTr="006273A4">
        <w:trPr>
          <w:cantSplit/>
          <w:trHeight w:val="349"/>
          <w:tblHeader/>
        </w:trPr>
        <w:tc>
          <w:tcPr>
            <w:tcW w:w="1843" w:type="dxa"/>
            <w:tcBorders>
              <w:top w:val="nil"/>
              <w:bottom w:val="nil"/>
            </w:tcBorders>
            <w:shd w:val="clear" w:color="auto" w:fill="D9D9D9" w:themeFill="background1" w:themeFillShade="D9"/>
          </w:tcPr>
          <w:p w14:paraId="6A4DE728" w14:textId="77777777" w:rsidR="001236DF" w:rsidRPr="00200234" w:rsidRDefault="001236DF" w:rsidP="001236DF">
            <w:pPr>
              <w:pStyle w:val="TableText"/>
              <w:keepNext/>
              <w:spacing w:before="55" w:after="55"/>
              <w:rPr>
                <w:rFonts w:cs="Segoe UI"/>
                <w:b/>
              </w:rPr>
            </w:pPr>
            <w:r w:rsidRPr="00200234">
              <w:rPr>
                <w:rFonts w:cs="Segoe UI"/>
                <w:b/>
              </w:rPr>
              <w:t>DHB</w:t>
            </w:r>
          </w:p>
        </w:tc>
        <w:tc>
          <w:tcPr>
            <w:tcW w:w="1361" w:type="dxa"/>
            <w:tcBorders>
              <w:top w:val="nil"/>
              <w:bottom w:val="nil"/>
            </w:tcBorders>
            <w:shd w:val="clear" w:color="auto" w:fill="D9D9D9" w:themeFill="background1" w:themeFillShade="D9"/>
          </w:tcPr>
          <w:p w14:paraId="49A9D919" w14:textId="77777777" w:rsidR="001236DF" w:rsidRPr="00200234" w:rsidRDefault="001236DF" w:rsidP="001236DF">
            <w:pPr>
              <w:pStyle w:val="TableText"/>
              <w:keepNext/>
              <w:spacing w:before="55" w:after="55"/>
              <w:jc w:val="center"/>
              <w:rPr>
                <w:rFonts w:cs="Segoe UI"/>
                <w:b/>
              </w:rPr>
            </w:pPr>
            <w:r>
              <w:rPr>
                <w:rFonts w:cs="Segoe UI"/>
                <w:b/>
              </w:rPr>
              <w:t>Percentage</w:t>
            </w:r>
          </w:p>
        </w:tc>
        <w:tc>
          <w:tcPr>
            <w:tcW w:w="425" w:type="dxa"/>
            <w:tcBorders>
              <w:top w:val="nil"/>
              <w:bottom w:val="nil"/>
            </w:tcBorders>
            <w:shd w:val="clear" w:color="auto" w:fill="auto"/>
          </w:tcPr>
          <w:p w14:paraId="13FA7FAF" w14:textId="77777777" w:rsidR="001236DF" w:rsidRPr="00200234" w:rsidRDefault="001236DF" w:rsidP="001236DF">
            <w:pPr>
              <w:pStyle w:val="TableText"/>
              <w:keepNext/>
              <w:spacing w:before="55" w:after="55"/>
              <w:jc w:val="center"/>
              <w:rPr>
                <w:rFonts w:cs="Segoe UI"/>
                <w:b/>
              </w:rPr>
            </w:pPr>
          </w:p>
        </w:tc>
        <w:tc>
          <w:tcPr>
            <w:tcW w:w="1559" w:type="dxa"/>
            <w:tcBorders>
              <w:top w:val="nil"/>
              <w:bottom w:val="nil"/>
            </w:tcBorders>
            <w:shd w:val="clear" w:color="auto" w:fill="D9D9D9" w:themeFill="background1" w:themeFillShade="D9"/>
          </w:tcPr>
          <w:p w14:paraId="0C0109C2" w14:textId="77777777" w:rsidR="001236DF" w:rsidRPr="00200234" w:rsidRDefault="001236DF" w:rsidP="001236DF">
            <w:pPr>
              <w:pStyle w:val="TableText"/>
              <w:keepNext/>
              <w:spacing w:before="55" w:after="55"/>
              <w:rPr>
                <w:rFonts w:cs="Segoe UI"/>
                <w:b/>
              </w:rPr>
            </w:pPr>
            <w:r w:rsidRPr="00200234">
              <w:rPr>
                <w:rFonts w:cs="Segoe UI"/>
                <w:b/>
              </w:rPr>
              <w:t>DHB</w:t>
            </w:r>
          </w:p>
        </w:tc>
        <w:tc>
          <w:tcPr>
            <w:tcW w:w="1559" w:type="dxa"/>
            <w:tcBorders>
              <w:top w:val="nil"/>
              <w:bottom w:val="nil"/>
            </w:tcBorders>
            <w:shd w:val="clear" w:color="auto" w:fill="D9D9D9" w:themeFill="background1" w:themeFillShade="D9"/>
          </w:tcPr>
          <w:p w14:paraId="1EE01F43" w14:textId="77777777" w:rsidR="001236DF" w:rsidRPr="00200234" w:rsidRDefault="001236DF" w:rsidP="001236DF">
            <w:pPr>
              <w:pStyle w:val="TableText"/>
              <w:keepNext/>
              <w:spacing w:before="55" w:after="55"/>
              <w:jc w:val="center"/>
              <w:rPr>
                <w:rFonts w:cs="Segoe UI"/>
                <w:b/>
              </w:rPr>
            </w:pPr>
            <w:r>
              <w:rPr>
                <w:rFonts w:cs="Segoe UI"/>
                <w:b/>
              </w:rPr>
              <w:t>Percentage</w:t>
            </w:r>
          </w:p>
        </w:tc>
      </w:tr>
      <w:tr w:rsidR="001236DF" w:rsidRPr="00200234" w14:paraId="65D7415D" w14:textId="77777777" w:rsidTr="006273A4">
        <w:trPr>
          <w:cantSplit/>
          <w:trHeight w:val="349"/>
        </w:trPr>
        <w:tc>
          <w:tcPr>
            <w:tcW w:w="1843" w:type="dxa"/>
            <w:tcBorders>
              <w:top w:val="nil"/>
            </w:tcBorders>
          </w:tcPr>
          <w:p w14:paraId="286962D3" w14:textId="77777777" w:rsidR="001236DF" w:rsidRPr="00200234" w:rsidRDefault="001236DF" w:rsidP="001236DF">
            <w:pPr>
              <w:pStyle w:val="TableText"/>
              <w:keepNext/>
              <w:spacing w:before="55" w:after="55"/>
              <w:rPr>
                <w:rFonts w:cs="Segoe UI"/>
              </w:rPr>
            </w:pPr>
            <w:r w:rsidRPr="00200234">
              <w:rPr>
                <w:rFonts w:cs="Segoe UI"/>
              </w:rPr>
              <w:t>Auckland</w:t>
            </w:r>
          </w:p>
        </w:tc>
        <w:tc>
          <w:tcPr>
            <w:tcW w:w="1361" w:type="dxa"/>
            <w:tcBorders>
              <w:top w:val="nil"/>
            </w:tcBorders>
          </w:tcPr>
          <w:p w14:paraId="6E00F950" w14:textId="77777777" w:rsidR="001236DF" w:rsidRPr="00200234" w:rsidRDefault="001236DF" w:rsidP="001236DF">
            <w:pPr>
              <w:pStyle w:val="TableText"/>
              <w:keepNext/>
              <w:tabs>
                <w:tab w:val="decimal" w:pos="368"/>
              </w:tabs>
              <w:spacing w:before="55" w:after="55"/>
              <w:jc w:val="center"/>
              <w:rPr>
                <w:rFonts w:cs="Segoe UI"/>
              </w:rPr>
            </w:pPr>
            <w:r w:rsidRPr="00F53578">
              <w:t>1.0%</w:t>
            </w:r>
          </w:p>
        </w:tc>
        <w:tc>
          <w:tcPr>
            <w:tcW w:w="425" w:type="dxa"/>
            <w:tcBorders>
              <w:top w:val="nil"/>
              <w:bottom w:val="nil"/>
            </w:tcBorders>
            <w:shd w:val="clear" w:color="auto" w:fill="auto"/>
          </w:tcPr>
          <w:p w14:paraId="366968E6" w14:textId="77777777" w:rsidR="001236DF" w:rsidRPr="00200234" w:rsidRDefault="001236DF" w:rsidP="001236DF">
            <w:pPr>
              <w:pStyle w:val="TableText"/>
              <w:keepNext/>
              <w:tabs>
                <w:tab w:val="decimal" w:pos="636"/>
              </w:tabs>
              <w:spacing w:before="55" w:after="55"/>
              <w:rPr>
                <w:rFonts w:cs="Segoe UI"/>
              </w:rPr>
            </w:pPr>
          </w:p>
        </w:tc>
        <w:tc>
          <w:tcPr>
            <w:tcW w:w="1559" w:type="dxa"/>
            <w:tcBorders>
              <w:top w:val="nil"/>
            </w:tcBorders>
          </w:tcPr>
          <w:p w14:paraId="04EA1CB2" w14:textId="77777777" w:rsidR="001236DF" w:rsidRPr="00200234" w:rsidRDefault="001236DF" w:rsidP="001236DF">
            <w:pPr>
              <w:pStyle w:val="TableText"/>
              <w:keepNext/>
              <w:spacing w:before="55" w:after="55"/>
              <w:jc w:val="both"/>
              <w:rPr>
                <w:rFonts w:cs="Segoe UI"/>
              </w:rPr>
            </w:pPr>
            <w:r w:rsidRPr="00200234">
              <w:rPr>
                <w:rFonts w:cs="Segoe UI"/>
              </w:rPr>
              <w:t>Northland</w:t>
            </w:r>
          </w:p>
        </w:tc>
        <w:tc>
          <w:tcPr>
            <w:tcW w:w="1559" w:type="dxa"/>
            <w:tcBorders>
              <w:top w:val="nil"/>
            </w:tcBorders>
          </w:tcPr>
          <w:p w14:paraId="245B83AD" w14:textId="77777777" w:rsidR="001236DF" w:rsidRPr="00200234" w:rsidRDefault="001236DF" w:rsidP="001236DF">
            <w:pPr>
              <w:pStyle w:val="TableText"/>
              <w:keepNext/>
              <w:tabs>
                <w:tab w:val="decimal" w:pos="368"/>
              </w:tabs>
              <w:spacing w:before="55" w:after="55"/>
              <w:jc w:val="center"/>
              <w:rPr>
                <w:rFonts w:cs="Segoe UI"/>
              </w:rPr>
            </w:pPr>
            <w:r w:rsidRPr="00E1166A">
              <w:t>3.2%</w:t>
            </w:r>
          </w:p>
        </w:tc>
      </w:tr>
      <w:tr w:rsidR="001236DF" w:rsidRPr="00200234" w14:paraId="49C6740C" w14:textId="77777777" w:rsidTr="006273A4">
        <w:trPr>
          <w:cantSplit/>
          <w:trHeight w:val="350"/>
        </w:trPr>
        <w:tc>
          <w:tcPr>
            <w:tcW w:w="1843" w:type="dxa"/>
          </w:tcPr>
          <w:p w14:paraId="0DF36B7F" w14:textId="77777777" w:rsidR="001236DF" w:rsidRPr="00200234" w:rsidRDefault="001236DF" w:rsidP="001236DF">
            <w:pPr>
              <w:pStyle w:val="TableText"/>
              <w:keepNext/>
              <w:spacing w:before="55" w:after="55"/>
              <w:rPr>
                <w:rFonts w:cs="Segoe UI"/>
              </w:rPr>
            </w:pPr>
            <w:r w:rsidRPr="00200234">
              <w:rPr>
                <w:rFonts w:cs="Segoe UI"/>
              </w:rPr>
              <w:t>Bay of Plenty</w:t>
            </w:r>
          </w:p>
        </w:tc>
        <w:tc>
          <w:tcPr>
            <w:tcW w:w="1361" w:type="dxa"/>
          </w:tcPr>
          <w:p w14:paraId="4E6FB164" w14:textId="77777777" w:rsidR="001236DF" w:rsidRPr="00200234" w:rsidRDefault="001236DF" w:rsidP="001236DF">
            <w:pPr>
              <w:pStyle w:val="TableText"/>
              <w:keepNext/>
              <w:tabs>
                <w:tab w:val="decimal" w:pos="368"/>
              </w:tabs>
              <w:spacing w:before="55" w:after="55"/>
              <w:jc w:val="center"/>
              <w:rPr>
                <w:rFonts w:cs="Segoe UI"/>
              </w:rPr>
            </w:pPr>
            <w:r w:rsidRPr="00F53578">
              <w:t>15.6%</w:t>
            </w:r>
          </w:p>
        </w:tc>
        <w:tc>
          <w:tcPr>
            <w:tcW w:w="425" w:type="dxa"/>
            <w:tcBorders>
              <w:top w:val="nil"/>
              <w:bottom w:val="nil"/>
            </w:tcBorders>
            <w:shd w:val="clear" w:color="auto" w:fill="auto"/>
          </w:tcPr>
          <w:p w14:paraId="2DF52365" w14:textId="77777777" w:rsidR="001236DF" w:rsidRPr="00200234" w:rsidRDefault="001236DF" w:rsidP="001236DF">
            <w:pPr>
              <w:pStyle w:val="TableText"/>
              <w:keepNext/>
              <w:tabs>
                <w:tab w:val="decimal" w:pos="636"/>
              </w:tabs>
              <w:spacing w:before="55" w:after="55"/>
              <w:rPr>
                <w:rFonts w:cs="Segoe UI"/>
              </w:rPr>
            </w:pPr>
          </w:p>
        </w:tc>
        <w:tc>
          <w:tcPr>
            <w:tcW w:w="1559" w:type="dxa"/>
          </w:tcPr>
          <w:p w14:paraId="305B99E8" w14:textId="77777777" w:rsidR="001236DF" w:rsidRPr="00200234" w:rsidRDefault="001236DF" w:rsidP="001236DF">
            <w:pPr>
              <w:pStyle w:val="TableText"/>
              <w:keepNext/>
              <w:spacing w:before="55" w:after="55"/>
              <w:jc w:val="both"/>
              <w:rPr>
                <w:rFonts w:cs="Segoe UI"/>
              </w:rPr>
            </w:pPr>
            <w:r w:rsidRPr="00200234">
              <w:rPr>
                <w:rFonts w:cs="Segoe UI"/>
              </w:rPr>
              <w:t>South Canterbury</w:t>
            </w:r>
          </w:p>
        </w:tc>
        <w:tc>
          <w:tcPr>
            <w:tcW w:w="1559" w:type="dxa"/>
          </w:tcPr>
          <w:p w14:paraId="452C264F" w14:textId="77777777" w:rsidR="001236DF" w:rsidRPr="00200234" w:rsidRDefault="001236DF" w:rsidP="001236DF">
            <w:pPr>
              <w:pStyle w:val="TableText"/>
              <w:keepNext/>
              <w:tabs>
                <w:tab w:val="decimal" w:pos="368"/>
              </w:tabs>
              <w:spacing w:before="55" w:after="55"/>
              <w:jc w:val="center"/>
              <w:rPr>
                <w:rFonts w:cs="Segoe UI"/>
              </w:rPr>
            </w:pPr>
            <w:r w:rsidRPr="00E1166A">
              <w:t>9.6%</w:t>
            </w:r>
          </w:p>
        </w:tc>
      </w:tr>
      <w:tr w:rsidR="001236DF" w:rsidRPr="00200234" w14:paraId="0D5E6E1A" w14:textId="77777777" w:rsidTr="006273A4">
        <w:trPr>
          <w:cantSplit/>
          <w:trHeight w:val="349"/>
        </w:trPr>
        <w:tc>
          <w:tcPr>
            <w:tcW w:w="1843" w:type="dxa"/>
          </w:tcPr>
          <w:p w14:paraId="5D5ED7E9" w14:textId="77777777" w:rsidR="001236DF" w:rsidRPr="00200234" w:rsidRDefault="001236DF" w:rsidP="001236DF">
            <w:pPr>
              <w:pStyle w:val="TableText"/>
              <w:keepNext/>
              <w:spacing w:before="55" w:after="55"/>
              <w:rPr>
                <w:rFonts w:cs="Segoe UI"/>
              </w:rPr>
            </w:pPr>
            <w:r w:rsidRPr="00200234">
              <w:rPr>
                <w:rFonts w:cs="Segoe UI"/>
              </w:rPr>
              <w:t>Canterbury</w:t>
            </w:r>
          </w:p>
        </w:tc>
        <w:tc>
          <w:tcPr>
            <w:tcW w:w="1361" w:type="dxa"/>
          </w:tcPr>
          <w:p w14:paraId="1A8DE089" w14:textId="77777777" w:rsidR="001236DF" w:rsidRPr="00200234" w:rsidRDefault="001236DF" w:rsidP="001236DF">
            <w:pPr>
              <w:pStyle w:val="TableText"/>
              <w:keepNext/>
              <w:tabs>
                <w:tab w:val="decimal" w:pos="368"/>
              </w:tabs>
              <w:spacing w:before="55" w:after="55"/>
              <w:jc w:val="center"/>
              <w:rPr>
                <w:rFonts w:cs="Segoe UI"/>
              </w:rPr>
            </w:pPr>
            <w:r w:rsidRPr="00F53578">
              <w:t>6.6%</w:t>
            </w:r>
          </w:p>
        </w:tc>
        <w:tc>
          <w:tcPr>
            <w:tcW w:w="425" w:type="dxa"/>
            <w:tcBorders>
              <w:top w:val="nil"/>
              <w:bottom w:val="nil"/>
            </w:tcBorders>
            <w:shd w:val="clear" w:color="auto" w:fill="auto"/>
          </w:tcPr>
          <w:p w14:paraId="4FEBA7E8" w14:textId="77777777" w:rsidR="001236DF" w:rsidRPr="00200234" w:rsidRDefault="001236DF" w:rsidP="001236DF">
            <w:pPr>
              <w:pStyle w:val="TableText"/>
              <w:keepNext/>
              <w:tabs>
                <w:tab w:val="decimal" w:pos="636"/>
              </w:tabs>
              <w:spacing w:before="55" w:after="55"/>
              <w:rPr>
                <w:rFonts w:cs="Segoe UI"/>
              </w:rPr>
            </w:pPr>
          </w:p>
        </w:tc>
        <w:tc>
          <w:tcPr>
            <w:tcW w:w="1559" w:type="dxa"/>
          </w:tcPr>
          <w:p w14:paraId="1E955BB4" w14:textId="77777777" w:rsidR="001236DF" w:rsidRPr="00200234" w:rsidRDefault="001236DF" w:rsidP="001236DF">
            <w:pPr>
              <w:pStyle w:val="TableText"/>
              <w:keepNext/>
              <w:spacing w:before="55" w:after="55"/>
              <w:jc w:val="both"/>
              <w:rPr>
                <w:rFonts w:cs="Segoe UI"/>
              </w:rPr>
            </w:pPr>
            <w:r w:rsidRPr="00200234">
              <w:rPr>
                <w:rFonts w:cs="Segoe UI"/>
              </w:rPr>
              <w:t>Southern</w:t>
            </w:r>
          </w:p>
        </w:tc>
        <w:tc>
          <w:tcPr>
            <w:tcW w:w="1559" w:type="dxa"/>
          </w:tcPr>
          <w:p w14:paraId="62EBDBDC" w14:textId="77777777" w:rsidR="001236DF" w:rsidRPr="00200234" w:rsidRDefault="001236DF" w:rsidP="001236DF">
            <w:pPr>
              <w:pStyle w:val="TableText"/>
              <w:keepNext/>
              <w:tabs>
                <w:tab w:val="decimal" w:pos="368"/>
              </w:tabs>
              <w:spacing w:before="55" w:after="55"/>
              <w:jc w:val="center"/>
              <w:rPr>
                <w:rFonts w:cs="Segoe UI"/>
              </w:rPr>
            </w:pPr>
            <w:r w:rsidRPr="00E1166A">
              <w:t>10.1%</w:t>
            </w:r>
          </w:p>
        </w:tc>
      </w:tr>
      <w:tr w:rsidR="001236DF" w:rsidRPr="00200234" w14:paraId="69B1D6FC" w14:textId="77777777" w:rsidTr="006273A4">
        <w:trPr>
          <w:cantSplit/>
          <w:trHeight w:val="350"/>
        </w:trPr>
        <w:tc>
          <w:tcPr>
            <w:tcW w:w="1843" w:type="dxa"/>
          </w:tcPr>
          <w:p w14:paraId="7AB2937D" w14:textId="77777777" w:rsidR="001236DF" w:rsidRPr="00200234" w:rsidRDefault="001236DF" w:rsidP="001236DF">
            <w:pPr>
              <w:pStyle w:val="TableText"/>
              <w:keepNext/>
              <w:spacing w:before="55" w:after="55"/>
              <w:rPr>
                <w:rFonts w:cs="Segoe UI"/>
              </w:rPr>
            </w:pPr>
            <w:r w:rsidRPr="00200234">
              <w:rPr>
                <w:rFonts w:cs="Segoe UI"/>
              </w:rPr>
              <w:t>Capital &amp; Coast</w:t>
            </w:r>
          </w:p>
        </w:tc>
        <w:tc>
          <w:tcPr>
            <w:tcW w:w="1361" w:type="dxa"/>
          </w:tcPr>
          <w:p w14:paraId="2FD11D85" w14:textId="77777777" w:rsidR="001236DF" w:rsidRPr="00200234" w:rsidRDefault="001236DF" w:rsidP="001236DF">
            <w:pPr>
              <w:pStyle w:val="TableText"/>
              <w:keepNext/>
              <w:tabs>
                <w:tab w:val="decimal" w:pos="368"/>
              </w:tabs>
              <w:spacing w:before="55" w:after="55"/>
              <w:jc w:val="center"/>
              <w:rPr>
                <w:rFonts w:cs="Segoe UI"/>
              </w:rPr>
            </w:pPr>
            <w:r w:rsidRPr="00F53578">
              <w:t>12.2%</w:t>
            </w:r>
          </w:p>
        </w:tc>
        <w:tc>
          <w:tcPr>
            <w:tcW w:w="425" w:type="dxa"/>
            <w:tcBorders>
              <w:top w:val="nil"/>
              <w:bottom w:val="nil"/>
            </w:tcBorders>
            <w:shd w:val="clear" w:color="auto" w:fill="auto"/>
          </w:tcPr>
          <w:p w14:paraId="04663B94" w14:textId="77777777" w:rsidR="001236DF" w:rsidRPr="00200234" w:rsidRDefault="001236DF" w:rsidP="001236DF">
            <w:pPr>
              <w:pStyle w:val="TableText"/>
              <w:keepNext/>
              <w:tabs>
                <w:tab w:val="decimal" w:pos="636"/>
              </w:tabs>
              <w:spacing w:before="55" w:after="55"/>
              <w:rPr>
                <w:rFonts w:cs="Segoe UI"/>
              </w:rPr>
            </w:pPr>
          </w:p>
        </w:tc>
        <w:tc>
          <w:tcPr>
            <w:tcW w:w="1559" w:type="dxa"/>
          </w:tcPr>
          <w:p w14:paraId="61086272" w14:textId="77777777" w:rsidR="001236DF" w:rsidRPr="00200234" w:rsidRDefault="001236DF" w:rsidP="001236DF">
            <w:pPr>
              <w:pStyle w:val="TableText"/>
              <w:keepNext/>
              <w:spacing w:before="55" w:after="55"/>
              <w:jc w:val="both"/>
              <w:rPr>
                <w:rFonts w:cs="Segoe UI"/>
              </w:rPr>
            </w:pPr>
            <w:r w:rsidRPr="00200234">
              <w:rPr>
                <w:rFonts w:cs="Segoe UI"/>
              </w:rPr>
              <w:t>Tairāwhiti</w:t>
            </w:r>
          </w:p>
        </w:tc>
        <w:tc>
          <w:tcPr>
            <w:tcW w:w="1559" w:type="dxa"/>
          </w:tcPr>
          <w:p w14:paraId="19B5ACC6" w14:textId="77777777" w:rsidR="001236DF" w:rsidRPr="00200234" w:rsidRDefault="001236DF" w:rsidP="001236DF">
            <w:pPr>
              <w:pStyle w:val="TableText"/>
              <w:keepNext/>
              <w:tabs>
                <w:tab w:val="decimal" w:pos="368"/>
              </w:tabs>
              <w:spacing w:before="55" w:after="55"/>
              <w:jc w:val="center"/>
              <w:rPr>
                <w:rFonts w:cs="Segoe UI"/>
              </w:rPr>
            </w:pPr>
            <w:r w:rsidRPr="00E1166A">
              <w:t>11.4%</w:t>
            </w:r>
          </w:p>
        </w:tc>
      </w:tr>
      <w:tr w:rsidR="001236DF" w:rsidRPr="00200234" w14:paraId="6DFC162D" w14:textId="77777777" w:rsidTr="006273A4">
        <w:trPr>
          <w:cantSplit/>
          <w:trHeight w:val="349"/>
        </w:trPr>
        <w:tc>
          <w:tcPr>
            <w:tcW w:w="1843" w:type="dxa"/>
          </w:tcPr>
          <w:p w14:paraId="66915E15" w14:textId="77777777" w:rsidR="001236DF" w:rsidRPr="00200234" w:rsidRDefault="001236DF" w:rsidP="001236DF">
            <w:pPr>
              <w:pStyle w:val="TableText"/>
              <w:keepNext/>
              <w:spacing w:before="55" w:after="55"/>
              <w:rPr>
                <w:rFonts w:cs="Segoe UI"/>
              </w:rPr>
            </w:pPr>
            <w:r w:rsidRPr="00200234">
              <w:rPr>
                <w:rFonts w:cs="Segoe UI"/>
              </w:rPr>
              <w:t>Counties Manukau</w:t>
            </w:r>
          </w:p>
        </w:tc>
        <w:tc>
          <w:tcPr>
            <w:tcW w:w="1361" w:type="dxa"/>
          </w:tcPr>
          <w:p w14:paraId="71D331FA" w14:textId="77777777" w:rsidR="001236DF" w:rsidRPr="00200234" w:rsidRDefault="001236DF" w:rsidP="001236DF">
            <w:pPr>
              <w:pStyle w:val="TableText"/>
              <w:keepNext/>
              <w:tabs>
                <w:tab w:val="decimal" w:pos="368"/>
              </w:tabs>
              <w:spacing w:before="55" w:after="55"/>
              <w:jc w:val="center"/>
              <w:rPr>
                <w:rFonts w:cs="Segoe UI"/>
              </w:rPr>
            </w:pPr>
            <w:r w:rsidRPr="00F53578">
              <w:t>12.1%</w:t>
            </w:r>
          </w:p>
        </w:tc>
        <w:tc>
          <w:tcPr>
            <w:tcW w:w="425" w:type="dxa"/>
            <w:tcBorders>
              <w:top w:val="nil"/>
              <w:bottom w:val="nil"/>
            </w:tcBorders>
            <w:shd w:val="clear" w:color="auto" w:fill="auto"/>
          </w:tcPr>
          <w:p w14:paraId="4E3148AB" w14:textId="77777777" w:rsidR="001236DF" w:rsidRPr="00200234" w:rsidRDefault="001236DF" w:rsidP="001236DF">
            <w:pPr>
              <w:pStyle w:val="TableText"/>
              <w:keepNext/>
              <w:tabs>
                <w:tab w:val="decimal" w:pos="636"/>
              </w:tabs>
              <w:spacing w:before="55" w:after="55"/>
              <w:rPr>
                <w:rFonts w:cs="Segoe UI"/>
              </w:rPr>
            </w:pPr>
          </w:p>
        </w:tc>
        <w:tc>
          <w:tcPr>
            <w:tcW w:w="1559" w:type="dxa"/>
          </w:tcPr>
          <w:p w14:paraId="53BDA3E8" w14:textId="77777777" w:rsidR="001236DF" w:rsidRPr="00200234" w:rsidRDefault="001236DF" w:rsidP="001236DF">
            <w:pPr>
              <w:pStyle w:val="TableText"/>
              <w:keepNext/>
              <w:spacing w:before="55" w:after="55"/>
              <w:jc w:val="both"/>
              <w:rPr>
                <w:rFonts w:cs="Segoe UI"/>
              </w:rPr>
            </w:pPr>
            <w:r w:rsidRPr="00200234">
              <w:rPr>
                <w:rFonts w:cs="Segoe UI"/>
              </w:rPr>
              <w:t>Taranaki</w:t>
            </w:r>
          </w:p>
        </w:tc>
        <w:tc>
          <w:tcPr>
            <w:tcW w:w="1559" w:type="dxa"/>
          </w:tcPr>
          <w:p w14:paraId="2D45E8AE" w14:textId="77777777" w:rsidR="001236DF" w:rsidRPr="00200234" w:rsidRDefault="001236DF" w:rsidP="001236DF">
            <w:pPr>
              <w:pStyle w:val="TableText"/>
              <w:keepNext/>
              <w:tabs>
                <w:tab w:val="decimal" w:pos="368"/>
              </w:tabs>
              <w:spacing w:before="55" w:after="55"/>
              <w:jc w:val="center"/>
              <w:rPr>
                <w:rFonts w:cs="Segoe UI"/>
              </w:rPr>
            </w:pPr>
            <w:r w:rsidRPr="00E1166A">
              <w:t>7.1%</w:t>
            </w:r>
          </w:p>
        </w:tc>
      </w:tr>
      <w:tr w:rsidR="001236DF" w:rsidRPr="00200234" w14:paraId="3B7885E5" w14:textId="77777777" w:rsidTr="006273A4">
        <w:trPr>
          <w:cantSplit/>
          <w:trHeight w:val="349"/>
        </w:trPr>
        <w:tc>
          <w:tcPr>
            <w:tcW w:w="1843" w:type="dxa"/>
          </w:tcPr>
          <w:p w14:paraId="7AEBBAAC" w14:textId="77777777" w:rsidR="001236DF" w:rsidRPr="00200234" w:rsidRDefault="001236DF" w:rsidP="001236DF">
            <w:pPr>
              <w:pStyle w:val="TableText"/>
              <w:keepNext/>
              <w:spacing w:before="55" w:after="55"/>
              <w:rPr>
                <w:rFonts w:cs="Segoe UI"/>
              </w:rPr>
            </w:pPr>
            <w:r w:rsidRPr="00200234">
              <w:rPr>
                <w:rFonts w:cs="Segoe UI"/>
              </w:rPr>
              <w:t>Hawke</w:t>
            </w:r>
            <w:r>
              <w:rPr>
                <w:rFonts w:cs="Segoe UI"/>
              </w:rPr>
              <w:t>’</w:t>
            </w:r>
            <w:r w:rsidRPr="00200234">
              <w:rPr>
                <w:rFonts w:cs="Segoe UI"/>
              </w:rPr>
              <w:t>s Bay</w:t>
            </w:r>
          </w:p>
        </w:tc>
        <w:tc>
          <w:tcPr>
            <w:tcW w:w="1361" w:type="dxa"/>
          </w:tcPr>
          <w:p w14:paraId="40656247" w14:textId="77777777" w:rsidR="001236DF" w:rsidRPr="00200234" w:rsidRDefault="001236DF" w:rsidP="001236DF">
            <w:pPr>
              <w:pStyle w:val="TableText"/>
              <w:keepNext/>
              <w:tabs>
                <w:tab w:val="decimal" w:pos="368"/>
              </w:tabs>
              <w:spacing w:before="55" w:after="55"/>
              <w:jc w:val="center"/>
              <w:rPr>
                <w:rFonts w:cs="Segoe UI"/>
              </w:rPr>
            </w:pPr>
            <w:r w:rsidRPr="00F53578">
              <w:t>10.2%</w:t>
            </w:r>
          </w:p>
        </w:tc>
        <w:tc>
          <w:tcPr>
            <w:tcW w:w="425" w:type="dxa"/>
            <w:tcBorders>
              <w:top w:val="nil"/>
              <w:bottom w:val="nil"/>
            </w:tcBorders>
            <w:shd w:val="clear" w:color="auto" w:fill="auto"/>
          </w:tcPr>
          <w:p w14:paraId="0C781922" w14:textId="77777777" w:rsidR="001236DF" w:rsidRPr="00200234" w:rsidRDefault="001236DF" w:rsidP="001236DF">
            <w:pPr>
              <w:pStyle w:val="TableText"/>
              <w:keepNext/>
              <w:tabs>
                <w:tab w:val="decimal" w:pos="636"/>
              </w:tabs>
              <w:spacing w:before="55" w:after="55"/>
              <w:rPr>
                <w:rFonts w:cs="Segoe UI"/>
              </w:rPr>
            </w:pPr>
          </w:p>
        </w:tc>
        <w:tc>
          <w:tcPr>
            <w:tcW w:w="1559" w:type="dxa"/>
          </w:tcPr>
          <w:p w14:paraId="7668F0EF" w14:textId="77777777" w:rsidR="001236DF" w:rsidRPr="00200234" w:rsidRDefault="001236DF" w:rsidP="001236DF">
            <w:pPr>
              <w:pStyle w:val="TableText"/>
              <w:keepNext/>
              <w:spacing w:before="55" w:after="55"/>
              <w:jc w:val="both"/>
              <w:rPr>
                <w:rFonts w:cs="Segoe UI"/>
              </w:rPr>
            </w:pPr>
            <w:r w:rsidRPr="00200234">
              <w:rPr>
                <w:rFonts w:cs="Segoe UI"/>
              </w:rPr>
              <w:t>Waikato</w:t>
            </w:r>
          </w:p>
        </w:tc>
        <w:tc>
          <w:tcPr>
            <w:tcW w:w="1559" w:type="dxa"/>
          </w:tcPr>
          <w:p w14:paraId="32EFFAE2" w14:textId="77777777" w:rsidR="001236DF" w:rsidRPr="00200234" w:rsidRDefault="001236DF" w:rsidP="001236DF">
            <w:pPr>
              <w:pStyle w:val="TableText"/>
              <w:keepNext/>
              <w:tabs>
                <w:tab w:val="decimal" w:pos="368"/>
              </w:tabs>
              <w:spacing w:before="55" w:after="55"/>
              <w:jc w:val="center"/>
              <w:rPr>
                <w:rFonts w:cs="Segoe UI"/>
              </w:rPr>
            </w:pPr>
            <w:r w:rsidRPr="00E1166A">
              <w:t>9.9%</w:t>
            </w:r>
          </w:p>
        </w:tc>
      </w:tr>
      <w:tr w:rsidR="001236DF" w:rsidRPr="00200234" w14:paraId="2A83A850" w14:textId="77777777" w:rsidTr="006273A4">
        <w:trPr>
          <w:cantSplit/>
          <w:trHeight w:val="350"/>
        </w:trPr>
        <w:tc>
          <w:tcPr>
            <w:tcW w:w="1843" w:type="dxa"/>
          </w:tcPr>
          <w:p w14:paraId="19B57B35" w14:textId="77777777" w:rsidR="001236DF" w:rsidRPr="00200234" w:rsidRDefault="001236DF" w:rsidP="001236DF">
            <w:pPr>
              <w:pStyle w:val="TableText"/>
              <w:keepNext/>
              <w:spacing w:before="55" w:after="55"/>
              <w:rPr>
                <w:rFonts w:cs="Segoe UI"/>
              </w:rPr>
            </w:pPr>
            <w:r w:rsidRPr="00200234">
              <w:rPr>
                <w:rFonts w:cs="Segoe UI"/>
              </w:rPr>
              <w:t>Hutt Valley</w:t>
            </w:r>
          </w:p>
        </w:tc>
        <w:tc>
          <w:tcPr>
            <w:tcW w:w="1361" w:type="dxa"/>
          </w:tcPr>
          <w:p w14:paraId="62447200" w14:textId="77777777" w:rsidR="001236DF" w:rsidRPr="00200234" w:rsidRDefault="001236DF" w:rsidP="001236DF">
            <w:pPr>
              <w:pStyle w:val="TableText"/>
              <w:keepNext/>
              <w:tabs>
                <w:tab w:val="decimal" w:pos="368"/>
              </w:tabs>
              <w:spacing w:before="55" w:after="55"/>
              <w:jc w:val="center"/>
              <w:rPr>
                <w:rFonts w:cs="Segoe UI"/>
              </w:rPr>
            </w:pPr>
            <w:r w:rsidRPr="00F53578">
              <w:t>10.6%</w:t>
            </w:r>
          </w:p>
        </w:tc>
        <w:tc>
          <w:tcPr>
            <w:tcW w:w="425" w:type="dxa"/>
            <w:tcBorders>
              <w:top w:val="nil"/>
              <w:bottom w:val="nil"/>
            </w:tcBorders>
            <w:shd w:val="clear" w:color="auto" w:fill="auto"/>
          </w:tcPr>
          <w:p w14:paraId="76D64A5B" w14:textId="77777777" w:rsidR="001236DF" w:rsidRPr="00200234" w:rsidRDefault="001236DF" w:rsidP="001236DF">
            <w:pPr>
              <w:pStyle w:val="TableText"/>
              <w:keepNext/>
              <w:tabs>
                <w:tab w:val="decimal" w:pos="636"/>
              </w:tabs>
              <w:spacing w:before="55" w:after="55"/>
              <w:rPr>
                <w:rFonts w:cs="Segoe UI"/>
              </w:rPr>
            </w:pPr>
          </w:p>
        </w:tc>
        <w:tc>
          <w:tcPr>
            <w:tcW w:w="1559" w:type="dxa"/>
          </w:tcPr>
          <w:p w14:paraId="15EF7587" w14:textId="77777777" w:rsidR="001236DF" w:rsidRPr="00200234" w:rsidRDefault="001236DF" w:rsidP="001236DF">
            <w:pPr>
              <w:pStyle w:val="TableText"/>
              <w:keepNext/>
              <w:spacing w:before="55" w:after="55"/>
              <w:jc w:val="both"/>
              <w:rPr>
                <w:rFonts w:cs="Segoe UI"/>
              </w:rPr>
            </w:pPr>
            <w:r w:rsidRPr="00200234">
              <w:rPr>
                <w:rFonts w:cs="Segoe UI"/>
              </w:rPr>
              <w:t>Waitematā</w:t>
            </w:r>
          </w:p>
        </w:tc>
        <w:tc>
          <w:tcPr>
            <w:tcW w:w="1559" w:type="dxa"/>
          </w:tcPr>
          <w:p w14:paraId="1E7C883F" w14:textId="77777777" w:rsidR="001236DF" w:rsidRPr="00200234" w:rsidRDefault="001236DF" w:rsidP="001236DF">
            <w:pPr>
              <w:pStyle w:val="TableText"/>
              <w:keepNext/>
              <w:tabs>
                <w:tab w:val="decimal" w:pos="368"/>
              </w:tabs>
              <w:spacing w:before="55" w:after="55"/>
              <w:jc w:val="center"/>
              <w:rPr>
                <w:rFonts w:cs="Segoe UI"/>
              </w:rPr>
            </w:pPr>
            <w:r w:rsidRPr="00E1166A">
              <w:t>2.6%</w:t>
            </w:r>
          </w:p>
        </w:tc>
      </w:tr>
      <w:tr w:rsidR="001236DF" w:rsidRPr="00200234" w14:paraId="124446F1" w14:textId="77777777" w:rsidTr="006273A4">
        <w:trPr>
          <w:cantSplit/>
          <w:trHeight w:val="349"/>
        </w:trPr>
        <w:tc>
          <w:tcPr>
            <w:tcW w:w="1843" w:type="dxa"/>
          </w:tcPr>
          <w:p w14:paraId="17DCCD39" w14:textId="77777777" w:rsidR="001236DF" w:rsidRPr="00200234" w:rsidRDefault="001236DF" w:rsidP="001236DF">
            <w:pPr>
              <w:pStyle w:val="TableText"/>
              <w:keepNext/>
              <w:spacing w:before="55" w:after="55"/>
              <w:rPr>
                <w:rFonts w:cs="Segoe UI"/>
              </w:rPr>
            </w:pPr>
            <w:r w:rsidRPr="00200234">
              <w:rPr>
                <w:rFonts w:cs="Segoe UI"/>
              </w:rPr>
              <w:t>Lakes</w:t>
            </w:r>
          </w:p>
        </w:tc>
        <w:tc>
          <w:tcPr>
            <w:tcW w:w="1361" w:type="dxa"/>
          </w:tcPr>
          <w:p w14:paraId="0CB9B41D" w14:textId="77777777" w:rsidR="001236DF" w:rsidRPr="00200234" w:rsidRDefault="001236DF" w:rsidP="001236DF">
            <w:pPr>
              <w:pStyle w:val="TableText"/>
              <w:keepNext/>
              <w:tabs>
                <w:tab w:val="decimal" w:pos="368"/>
              </w:tabs>
              <w:spacing w:before="55" w:after="55"/>
              <w:jc w:val="center"/>
              <w:rPr>
                <w:rFonts w:cs="Segoe UI"/>
              </w:rPr>
            </w:pPr>
            <w:r w:rsidRPr="00F53578">
              <w:t>11.1%</w:t>
            </w:r>
          </w:p>
        </w:tc>
        <w:tc>
          <w:tcPr>
            <w:tcW w:w="425" w:type="dxa"/>
            <w:tcBorders>
              <w:top w:val="nil"/>
              <w:bottom w:val="nil"/>
            </w:tcBorders>
            <w:shd w:val="clear" w:color="auto" w:fill="auto"/>
          </w:tcPr>
          <w:p w14:paraId="4B3F7D0C" w14:textId="77777777" w:rsidR="001236DF" w:rsidRPr="00200234" w:rsidRDefault="001236DF" w:rsidP="001236DF">
            <w:pPr>
              <w:pStyle w:val="TableText"/>
              <w:keepNext/>
              <w:tabs>
                <w:tab w:val="decimal" w:pos="636"/>
              </w:tabs>
              <w:spacing w:before="55" w:after="55"/>
              <w:rPr>
                <w:rFonts w:cs="Segoe UI"/>
              </w:rPr>
            </w:pPr>
          </w:p>
        </w:tc>
        <w:tc>
          <w:tcPr>
            <w:tcW w:w="1559" w:type="dxa"/>
          </w:tcPr>
          <w:p w14:paraId="5DAD1E42" w14:textId="77777777" w:rsidR="001236DF" w:rsidRPr="00200234" w:rsidRDefault="001236DF" w:rsidP="001236DF">
            <w:pPr>
              <w:pStyle w:val="TableText"/>
              <w:keepNext/>
              <w:spacing w:before="55" w:after="55"/>
              <w:jc w:val="both"/>
              <w:rPr>
                <w:rFonts w:cs="Segoe UI"/>
              </w:rPr>
            </w:pPr>
            <w:r w:rsidRPr="00200234">
              <w:rPr>
                <w:rFonts w:cs="Segoe UI"/>
              </w:rPr>
              <w:t>West Coast</w:t>
            </w:r>
          </w:p>
        </w:tc>
        <w:tc>
          <w:tcPr>
            <w:tcW w:w="1559" w:type="dxa"/>
          </w:tcPr>
          <w:p w14:paraId="556EAF34" w14:textId="77777777" w:rsidR="001236DF" w:rsidRPr="00200234" w:rsidRDefault="001236DF" w:rsidP="001236DF">
            <w:pPr>
              <w:pStyle w:val="TableText"/>
              <w:keepNext/>
              <w:tabs>
                <w:tab w:val="decimal" w:pos="368"/>
              </w:tabs>
              <w:spacing w:before="55" w:after="55"/>
              <w:jc w:val="center"/>
              <w:rPr>
                <w:rFonts w:cs="Segoe UI"/>
              </w:rPr>
            </w:pPr>
            <w:r w:rsidRPr="00E1166A">
              <w:t>6.2%</w:t>
            </w:r>
          </w:p>
        </w:tc>
      </w:tr>
      <w:tr w:rsidR="001236DF" w:rsidRPr="00200234" w14:paraId="735FC8DC" w14:textId="77777777" w:rsidTr="006273A4">
        <w:trPr>
          <w:cantSplit/>
          <w:trHeight w:val="350"/>
        </w:trPr>
        <w:tc>
          <w:tcPr>
            <w:tcW w:w="1843" w:type="dxa"/>
          </w:tcPr>
          <w:p w14:paraId="6062585A" w14:textId="77777777" w:rsidR="001236DF" w:rsidRPr="00200234" w:rsidRDefault="001236DF" w:rsidP="001236DF">
            <w:pPr>
              <w:pStyle w:val="TableText"/>
              <w:spacing w:before="55" w:after="55"/>
              <w:rPr>
                <w:rFonts w:cs="Segoe UI"/>
              </w:rPr>
            </w:pPr>
            <w:r w:rsidRPr="00200234">
              <w:rPr>
                <w:rFonts w:cs="Segoe UI"/>
              </w:rPr>
              <w:t>MidCentral</w:t>
            </w:r>
          </w:p>
        </w:tc>
        <w:tc>
          <w:tcPr>
            <w:tcW w:w="1361" w:type="dxa"/>
          </w:tcPr>
          <w:p w14:paraId="37E45581" w14:textId="77777777" w:rsidR="001236DF" w:rsidRPr="00200234" w:rsidRDefault="001236DF" w:rsidP="001236DF">
            <w:pPr>
              <w:pStyle w:val="TableText"/>
              <w:tabs>
                <w:tab w:val="decimal" w:pos="368"/>
              </w:tabs>
              <w:spacing w:before="55" w:after="55"/>
              <w:jc w:val="center"/>
              <w:rPr>
                <w:rFonts w:cs="Segoe UI"/>
              </w:rPr>
            </w:pPr>
            <w:r w:rsidRPr="00F53578">
              <w:t>8.3%</w:t>
            </w:r>
          </w:p>
        </w:tc>
        <w:tc>
          <w:tcPr>
            <w:tcW w:w="425" w:type="dxa"/>
            <w:tcBorders>
              <w:top w:val="nil"/>
              <w:bottom w:val="nil"/>
            </w:tcBorders>
            <w:shd w:val="clear" w:color="auto" w:fill="auto"/>
          </w:tcPr>
          <w:p w14:paraId="4DB1036A" w14:textId="77777777" w:rsidR="001236DF" w:rsidRPr="00200234" w:rsidRDefault="001236DF" w:rsidP="001236DF">
            <w:pPr>
              <w:pStyle w:val="TableText"/>
              <w:tabs>
                <w:tab w:val="decimal" w:pos="636"/>
              </w:tabs>
              <w:spacing w:before="55" w:after="55"/>
              <w:rPr>
                <w:rFonts w:cs="Segoe UI"/>
              </w:rPr>
            </w:pPr>
          </w:p>
        </w:tc>
        <w:tc>
          <w:tcPr>
            <w:tcW w:w="1559" w:type="dxa"/>
          </w:tcPr>
          <w:p w14:paraId="1ADCD346" w14:textId="77777777" w:rsidR="001236DF" w:rsidRPr="00200234" w:rsidRDefault="001236DF" w:rsidP="001236DF">
            <w:pPr>
              <w:pStyle w:val="TableText"/>
              <w:spacing w:before="55" w:after="55"/>
              <w:jc w:val="both"/>
              <w:rPr>
                <w:rFonts w:cs="Segoe UI"/>
              </w:rPr>
            </w:pPr>
            <w:r w:rsidRPr="00200234">
              <w:rPr>
                <w:rFonts w:cs="Segoe UI"/>
              </w:rPr>
              <w:t>Whanganui</w:t>
            </w:r>
          </w:p>
        </w:tc>
        <w:tc>
          <w:tcPr>
            <w:tcW w:w="1559" w:type="dxa"/>
          </w:tcPr>
          <w:p w14:paraId="24A1EF23" w14:textId="77777777" w:rsidR="001236DF" w:rsidRPr="00200234" w:rsidRDefault="001236DF" w:rsidP="001236DF">
            <w:pPr>
              <w:pStyle w:val="TableText"/>
              <w:tabs>
                <w:tab w:val="decimal" w:pos="368"/>
              </w:tabs>
              <w:spacing w:before="55" w:after="55"/>
              <w:jc w:val="center"/>
              <w:rPr>
                <w:rFonts w:cs="Segoe UI"/>
              </w:rPr>
            </w:pPr>
            <w:r w:rsidRPr="00E1166A">
              <w:t>1.8%</w:t>
            </w:r>
          </w:p>
        </w:tc>
      </w:tr>
      <w:tr w:rsidR="001236DF" w:rsidRPr="00200234" w14:paraId="5473B8F8" w14:textId="77777777" w:rsidTr="006273A4">
        <w:trPr>
          <w:cantSplit/>
          <w:trHeight w:val="349"/>
        </w:trPr>
        <w:tc>
          <w:tcPr>
            <w:tcW w:w="1843" w:type="dxa"/>
            <w:tcBorders>
              <w:bottom w:val="single" w:sz="4" w:space="0" w:color="A6A6A6" w:themeColor="background1" w:themeShade="A6"/>
            </w:tcBorders>
          </w:tcPr>
          <w:p w14:paraId="3CA99423" w14:textId="77777777" w:rsidR="001236DF" w:rsidRPr="00200234" w:rsidRDefault="001236DF" w:rsidP="001236DF">
            <w:pPr>
              <w:pStyle w:val="TableText"/>
              <w:spacing w:before="55" w:after="55"/>
              <w:rPr>
                <w:rFonts w:cs="Segoe UI"/>
              </w:rPr>
            </w:pPr>
            <w:r w:rsidRPr="00200234">
              <w:rPr>
                <w:rFonts w:cs="Segoe UI"/>
              </w:rPr>
              <w:t>Nelson Marlborough</w:t>
            </w:r>
          </w:p>
        </w:tc>
        <w:tc>
          <w:tcPr>
            <w:tcW w:w="1361" w:type="dxa"/>
            <w:tcBorders>
              <w:bottom w:val="single" w:sz="4" w:space="0" w:color="A6A6A6" w:themeColor="background1" w:themeShade="A6"/>
            </w:tcBorders>
          </w:tcPr>
          <w:p w14:paraId="50A4D210" w14:textId="77777777" w:rsidR="001236DF" w:rsidRPr="00200234" w:rsidRDefault="001236DF" w:rsidP="001236DF">
            <w:pPr>
              <w:pStyle w:val="TableText"/>
              <w:tabs>
                <w:tab w:val="decimal" w:pos="368"/>
              </w:tabs>
              <w:spacing w:before="55" w:after="55"/>
              <w:jc w:val="center"/>
              <w:rPr>
                <w:rFonts w:cs="Segoe UI"/>
              </w:rPr>
            </w:pPr>
            <w:r w:rsidRPr="00F53578">
              <w:t>14.7%</w:t>
            </w:r>
          </w:p>
        </w:tc>
        <w:tc>
          <w:tcPr>
            <w:tcW w:w="425" w:type="dxa"/>
            <w:tcBorders>
              <w:top w:val="nil"/>
              <w:bottom w:val="nil"/>
            </w:tcBorders>
            <w:shd w:val="clear" w:color="auto" w:fill="auto"/>
          </w:tcPr>
          <w:p w14:paraId="5E1B975D" w14:textId="77777777" w:rsidR="001236DF" w:rsidRPr="00200234" w:rsidRDefault="001236DF" w:rsidP="001236DF">
            <w:pPr>
              <w:pStyle w:val="TableText"/>
              <w:tabs>
                <w:tab w:val="decimal" w:pos="636"/>
              </w:tabs>
              <w:spacing w:before="55" w:after="55"/>
              <w:rPr>
                <w:rFonts w:cs="Segoe UI"/>
              </w:rPr>
            </w:pPr>
          </w:p>
        </w:tc>
        <w:tc>
          <w:tcPr>
            <w:tcW w:w="1559" w:type="dxa"/>
          </w:tcPr>
          <w:p w14:paraId="638AA5AC" w14:textId="77777777" w:rsidR="001236DF" w:rsidRPr="00200234" w:rsidRDefault="001236DF" w:rsidP="001236DF">
            <w:pPr>
              <w:pStyle w:val="TableText"/>
              <w:spacing w:before="55" w:after="55"/>
              <w:jc w:val="both"/>
              <w:rPr>
                <w:rFonts w:cs="Segoe UI"/>
              </w:rPr>
            </w:pPr>
            <w:r w:rsidRPr="00200234">
              <w:rPr>
                <w:rFonts w:cs="Segoe UI"/>
                <w:b/>
              </w:rPr>
              <w:t>National average</w:t>
            </w:r>
          </w:p>
        </w:tc>
        <w:tc>
          <w:tcPr>
            <w:tcW w:w="1559" w:type="dxa"/>
          </w:tcPr>
          <w:p w14:paraId="59029DFC" w14:textId="77777777" w:rsidR="001236DF" w:rsidRPr="00200234" w:rsidRDefault="001236DF" w:rsidP="001236DF">
            <w:pPr>
              <w:pStyle w:val="TableText"/>
              <w:tabs>
                <w:tab w:val="decimal" w:pos="368"/>
              </w:tabs>
              <w:spacing w:before="55" w:after="55"/>
              <w:jc w:val="center"/>
              <w:rPr>
                <w:rFonts w:cs="Segoe UI"/>
              </w:rPr>
            </w:pPr>
            <w:r>
              <w:rPr>
                <w:rFonts w:cs="Segoe UI"/>
                <w:b/>
              </w:rPr>
              <w:t>8.3%</w:t>
            </w:r>
          </w:p>
        </w:tc>
      </w:tr>
    </w:tbl>
    <w:p w14:paraId="768BD590" w14:textId="77777777" w:rsidR="001236DF" w:rsidRPr="00200234" w:rsidRDefault="001236DF" w:rsidP="001236DF">
      <w:pPr>
        <w:pStyle w:val="Note"/>
        <w:rPr>
          <w:rFonts w:cs="Segoe UI"/>
        </w:rPr>
      </w:pPr>
      <w:r w:rsidRPr="00200234">
        <w:rPr>
          <w:rFonts w:cs="Segoe UI"/>
          <w:szCs w:val="17"/>
        </w:rPr>
        <w:t>Note</w:t>
      </w:r>
      <w:r>
        <w:rPr>
          <w:rFonts w:cs="Segoe UI"/>
          <w:szCs w:val="17"/>
        </w:rPr>
        <w:t>s</w:t>
      </w:r>
      <w:r w:rsidRPr="00200234">
        <w:rPr>
          <w:rFonts w:cs="Segoe UI"/>
          <w:szCs w:val="17"/>
        </w:rPr>
        <w:t xml:space="preserve">: </w:t>
      </w:r>
      <w:r>
        <w:rPr>
          <w:rFonts w:cs="Segoe UI"/>
          <w:szCs w:val="17"/>
        </w:rPr>
        <w:t>The data e</w:t>
      </w:r>
      <w:r w:rsidRPr="00200234">
        <w:rPr>
          <w:rFonts w:cs="Segoe UI"/>
          <w:szCs w:val="17"/>
        </w:rPr>
        <w:t>xcludes forensic inpatient services</w:t>
      </w:r>
      <w:r>
        <w:rPr>
          <w:rFonts w:cs="Segoe UI"/>
          <w:szCs w:val="17"/>
        </w:rPr>
        <w:t xml:space="preserve"> and Wairarapa DHB as they had no inpatient service. </w:t>
      </w:r>
      <w:r w:rsidRPr="00200234">
        <w:rPr>
          <w:rFonts w:cs="Segoe UI"/>
        </w:rPr>
        <w:t>I</w:t>
      </w:r>
      <w:r>
        <w:rPr>
          <w:rFonts w:cs="Segoe UI"/>
        </w:rPr>
        <w:t>t i</w:t>
      </w:r>
      <w:r w:rsidRPr="00200234">
        <w:rPr>
          <w:rFonts w:cs="Segoe UI"/>
        </w:rPr>
        <w:t>ncludes patients who have a legal status under the Mental Health Act but are treated in regional intellectual disability secure services.</w:t>
      </w:r>
    </w:p>
    <w:p w14:paraId="6D8CDC7C" w14:textId="77777777" w:rsidR="001236DF" w:rsidRPr="00ED4FA1" w:rsidRDefault="001236DF" w:rsidP="001236DF">
      <w:pPr>
        <w:pStyle w:val="Source"/>
      </w:pPr>
      <w:r w:rsidRPr="00200234">
        <w:t>Sources: PRIMHD data</w:t>
      </w:r>
      <w:r>
        <w:t xml:space="preserve"> (extracted</w:t>
      </w:r>
      <w:r w:rsidRPr="00200234">
        <w:t xml:space="preserve"> </w:t>
      </w:r>
      <w:r w:rsidRPr="00D9778B">
        <w:t>3 June 2022) and manual data from Southern, Waikato and Waitematā DHBs.</w:t>
      </w:r>
    </w:p>
    <w:p w14:paraId="4FF385E5" w14:textId="77777777" w:rsidR="001236DF" w:rsidRPr="00200234" w:rsidRDefault="001236DF" w:rsidP="001236DF">
      <w:pPr>
        <w:pStyle w:val="Heading2"/>
      </w:pPr>
      <w:bookmarkStart w:id="347" w:name="_Toc65141625"/>
      <w:bookmarkStart w:id="348" w:name="_Toc75176449"/>
      <w:bookmarkStart w:id="349" w:name="_Toc87429914"/>
      <w:bookmarkStart w:id="350" w:name="_Toc88826962"/>
      <w:bookmarkStart w:id="351" w:name="_Toc115188812"/>
      <w:bookmarkStart w:id="352" w:name="_Toc115431710"/>
      <w:r w:rsidRPr="00200234">
        <w:lastRenderedPageBreak/>
        <w:t>Seclusion and ethnicity</w:t>
      </w:r>
      <w:bookmarkEnd w:id="347"/>
      <w:bookmarkEnd w:id="348"/>
      <w:bookmarkEnd w:id="349"/>
      <w:bookmarkEnd w:id="350"/>
      <w:bookmarkEnd w:id="351"/>
      <w:bookmarkEnd w:id="352"/>
    </w:p>
    <w:p w14:paraId="4C647DFA" w14:textId="77777777" w:rsidR="001236DF" w:rsidRDefault="001236DF" w:rsidP="001236DF">
      <w:pPr>
        <w:keepNext/>
        <w:keepLines/>
      </w:pPr>
      <w:r>
        <w:t xml:space="preserve">The rate of seclusion for </w:t>
      </w:r>
      <w:r w:rsidRPr="00200234">
        <w:t>Māori in adult inpatient services</w:t>
      </w:r>
      <w:r>
        <w:t xml:space="preserve"> was 79.5 people per 100,000 in the general population. They</w:t>
      </w:r>
      <w:r w:rsidRPr="00200234">
        <w:t xml:space="preserve"> were </w:t>
      </w:r>
      <w:r>
        <w:t>4.6</w:t>
      </w:r>
      <w:r w:rsidRPr="00200234">
        <w:t xml:space="preserve"> times more likely to be secluded than </w:t>
      </w:r>
      <w:r>
        <w:t>non-Māori and non-Pacific peoples, who had a rate of 16.6 people per 100,000</w:t>
      </w:r>
      <w:r w:rsidRPr="00200234">
        <w:t>.</w:t>
      </w:r>
      <w:r>
        <w:t xml:space="preserve"> </w:t>
      </w:r>
    </w:p>
    <w:p w14:paraId="4641CD37" w14:textId="77777777" w:rsidR="001236DF" w:rsidRDefault="001236DF" w:rsidP="001236DF">
      <w:pPr>
        <w:keepNext/>
        <w:keepLines/>
      </w:pPr>
    </w:p>
    <w:p w14:paraId="656A984F" w14:textId="77777777" w:rsidR="001236DF" w:rsidRDefault="001236DF" w:rsidP="001236DF">
      <w:pPr>
        <w:keepNext/>
        <w:keepLines/>
      </w:pPr>
      <w:r>
        <w:t xml:space="preserve">Pacific peoples were nearly twice as likely to be secluded as non-Pacific peoples and non-Māori, at a rate of 27.0 people per 100,000 (Figure 31). </w:t>
      </w:r>
      <w:r w:rsidRPr="00557E96">
        <w:t>Figure </w:t>
      </w:r>
      <w:r>
        <w:rPr>
          <w:noProof/>
        </w:rPr>
        <w:t>30</w:t>
      </w:r>
      <w:r>
        <w:t xml:space="preserve"> shows the number of people secluded by ethnicity.</w:t>
      </w:r>
    </w:p>
    <w:p w14:paraId="45620D07" w14:textId="77777777" w:rsidR="001236DF" w:rsidRDefault="001236DF" w:rsidP="001236DF">
      <w:pPr>
        <w:keepNext/>
      </w:pPr>
    </w:p>
    <w:p w14:paraId="5D9AA8D2" w14:textId="2958EF68" w:rsidR="001236DF" w:rsidRDefault="001236DF" w:rsidP="001236DF">
      <w:pPr>
        <w:pStyle w:val="Figure"/>
      </w:pPr>
      <w:bookmarkStart w:id="353" w:name="_Ref84319865"/>
      <w:bookmarkStart w:id="354" w:name="_Toc85442585"/>
      <w:bookmarkStart w:id="355" w:name="_Toc85445932"/>
      <w:bookmarkStart w:id="356" w:name="_Toc87429978"/>
      <w:bookmarkStart w:id="357" w:name="_Toc88561410"/>
      <w:bookmarkStart w:id="358" w:name="_Toc115188869"/>
      <w:bookmarkStart w:id="359" w:name="_Toc115272572"/>
      <w:r w:rsidRPr="00557E96">
        <w:t>Figure </w:t>
      </w:r>
      <w:fldSimple w:instr=" SEQ Figure \* ARABIC ">
        <w:r w:rsidR="009A04B0">
          <w:rPr>
            <w:noProof/>
          </w:rPr>
          <w:t>30</w:t>
        </w:r>
      </w:fldSimple>
      <w:bookmarkEnd w:id="353"/>
      <w:r w:rsidRPr="00557E96">
        <w:t xml:space="preserve">: Number of people secluded in adult inpatient services, by ethnicity, 1 </w:t>
      </w:r>
      <w:bookmarkEnd w:id="354"/>
      <w:bookmarkEnd w:id="355"/>
      <w:bookmarkEnd w:id="356"/>
      <w:bookmarkEnd w:id="357"/>
      <w:r w:rsidRPr="00557E96">
        <w:t>July 2020 to 30 June 2021</w:t>
      </w:r>
      <w:bookmarkEnd w:id="358"/>
      <w:bookmarkEnd w:id="359"/>
    </w:p>
    <w:p w14:paraId="114B73FB" w14:textId="77777777" w:rsidR="001236DF" w:rsidRPr="00557E96" w:rsidRDefault="001236DF" w:rsidP="001236DF">
      <w:r>
        <w:rPr>
          <w:noProof/>
        </w:rPr>
        <w:drawing>
          <wp:inline distT="0" distB="0" distL="0" distR="0" wp14:anchorId="6B2F1C91" wp14:editId="6381C8C3">
            <wp:extent cx="4572000" cy="2619375"/>
            <wp:effectExtent l="0" t="0" r="0" b="0"/>
            <wp:docPr id="58" name="Chart 58" descr="This bar graph shows that 371 Māori, 54 Pacific peoples and 390 people of other ethnicities were secluded.">
              <a:extLst xmlns:a="http://schemas.openxmlformats.org/drawingml/2006/main">
                <a:ext uri="{FF2B5EF4-FFF2-40B4-BE49-F238E27FC236}">
                  <a16:creationId xmlns:a16="http://schemas.microsoft.com/office/drawing/2014/main" id="{3E87A586-C79B-48FB-9EE8-84AD22AFF3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6AD290C" w14:textId="77777777" w:rsidR="001236DF" w:rsidRPr="00557E96" w:rsidRDefault="001236DF" w:rsidP="001236DF">
      <w:pPr>
        <w:pStyle w:val="Note"/>
      </w:pPr>
      <w:r w:rsidRPr="00557E96">
        <w:t xml:space="preserve">Notes: </w:t>
      </w:r>
      <w:r>
        <w:t>The data e</w:t>
      </w:r>
      <w:r w:rsidRPr="00557E96">
        <w:t xml:space="preserve">xcludes forensic services and patients who have a legal status under the Intellectual Disability (Compulsory Care and Rehabilitation) Act 2003. </w:t>
      </w:r>
      <w:r w:rsidRPr="00557E96">
        <w:rPr>
          <w:rFonts w:cs="Segoe UI"/>
        </w:rPr>
        <w:t>I</w:t>
      </w:r>
      <w:r>
        <w:rPr>
          <w:rFonts w:cs="Segoe UI"/>
        </w:rPr>
        <w:t>t i</w:t>
      </w:r>
      <w:r w:rsidRPr="00557E96">
        <w:rPr>
          <w:rFonts w:cs="Segoe UI"/>
        </w:rPr>
        <w:t xml:space="preserve">ncludes patients who have a legal status under the Mental Health Act but are treated in </w:t>
      </w:r>
      <w:r w:rsidRPr="00200234">
        <w:t>regional intellectual disability secure services</w:t>
      </w:r>
      <w:r w:rsidRPr="00557E96">
        <w:rPr>
          <w:rFonts w:cs="Segoe UI"/>
        </w:rPr>
        <w:t>.</w:t>
      </w:r>
    </w:p>
    <w:p w14:paraId="0C0C6211" w14:textId="77777777" w:rsidR="001236DF" w:rsidRPr="004A18F7" w:rsidRDefault="001236DF" w:rsidP="001236DF">
      <w:pPr>
        <w:pStyle w:val="Source"/>
      </w:pPr>
      <w:r w:rsidRPr="00557E96">
        <w:t>Sources: PRIMHD data (extracted 3 June 2022) and manual data from Southern, Waikato and Waitematā DHBs.</w:t>
      </w:r>
    </w:p>
    <w:p w14:paraId="521ADC33" w14:textId="77777777" w:rsidR="001236DF" w:rsidRDefault="001236DF" w:rsidP="001236DF"/>
    <w:p w14:paraId="6B7E68F1" w14:textId="77777777" w:rsidR="001236DF" w:rsidRPr="00200234" w:rsidRDefault="001236DF" w:rsidP="001236DF">
      <w:r>
        <w:t>Figure </w:t>
      </w:r>
      <w:r>
        <w:rPr>
          <w:noProof/>
        </w:rPr>
        <w:t>31</w:t>
      </w:r>
      <w:r w:rsidRPr="00200234">
        <w:t xml:space="preserve"> shows seclusion indicators for Māori</w:t>
      </w:r>
      <w:r>
        <w:t>, Pacific peoples</w:t>
      </w:r>
      <w:r w:rsidRPr="00200234">
        <w:t xml:space="preserve"> and </w:t>
      </w:r>
      <w:r>
        <w:t>other</w:t>
      </w:r>
      <w:r w:rsidRPr="00200234">
        <w:t xml:space="preserve"> </w:t>
      </w:r>
      <w:r>
        <w:t>ethnicities from 1 July 2020 to 30 June 2021</w:t>
      </w:r>
      <w:r w:rsidRPr="00200234">
        <w:t xml:space="preserve">. Māori were secluded at a rate of </w:t>
      </w:r>
      <w:r>
        <w:t>79.5</w:t>
      </w:r>
      <w:r w:rsidRPr="00200234">
        <w:t xml:space="preserve"> people per 100,000 population</w:t>
      </w:r>
      <w:r>
        <w:t>, Pacific peoples at 27.0 people per 100,000 population</w:t>
      </w:r>
      <w:r w:rsidRPr="00200234">
        <w:t xml:space="preserve"> an</w:t>
      </w:r>
      <w:r>
        <w:t>d other ethnicities</w:t>
      </w:r>
      <w:r w:rsidRPr="00200234">
        <w:t xml:space="preserve"> at a rate of </w:t>
      </w:r>
      <w:r>
        <w:t>16.6</w:t>
      </w:r>
      <w:r w:rsidRPr="00200234">
        <w:t xml:space="preserve"> people per 100,000 population.</w:t>
      </w:r>
    </w:p>
    <w:p w14:paraId="6B8CCC46" w14:textId="77777777" w:rsidR="001236DF" w:rsidRPr="00200234" w:rsidRDefault="001236DF" w:rsidP="001236DF"/>
    <w:p w14:paraId="13859AD5" w14:textId="6A114FE5" w:rsidR="001236DF" w:rsidRDefault="001236DF" w:rsidP="001236DF">
      <w:pPr>
        <w:pStyle w:val="Figure"/>
      </w:pPr>
      <w:bookmarkStart w:id="360" w:name="_Ref65672381"/>
      <w:bookmarkStart w:id="361" w:name="_Toc63764776"/>
      <w:bookmarkStart w:id="362" w:name="_Toc75176494"/>
      <w:bookmarkStart w:id="363" w:name="_Toc85442586"/>
      <w:bookmarkStart w:id="364" w:name="_Toc85445933"/>
      <w:bookmarkStart w:id="365" w:name="_Toc87429979"/>
      <w:bookmarkStart w:id="366" w:name="_Toc88561411"/>
      <w:bookmarkStart w:id="367" w:name="_Toc115188870"/>
      <w:bookmarkStart w:id="368" w:name="_Toc115272573"/>
      <w:r>
        <w:lastRenderedPageBreak/>
        <w:t>Figure </w:t>
      </w:r>
      <w:fldSimple w:instr=" SEQ Figure \* ARABIC ">
        <w:r w:rsidR="009A04B0">
          <w:rPr>
            <w:noProof/>
          </w:rPr>
          <w:t>31</w:t>
        </w:r>
      </w:fldSimple>
      <w:bookmarkEnd w:id="360"/>
      <w:r w:rsidRPr="00200234">
        <w:t xml:space="preserve">: </w:t>
      </w:r>
      <w:r w:rsidRPr="00B46656">
        <w:t xml:space="preserve">Seclusion indicators for adult inpatient services, </w:t>
      </w:r>
      <w:r>
        <w:t>by ethnicity</w:t>
      </w:r>
      <w:r w:rsidRPr="00B46656">
        <w:t xml:space="preserve">, 1 </w:t>
      </w:r>
      <w:bookmarkEnd w:id="361"/>
      <w:bookmarkEnd w:id="362"/>
      <w:bookmarkEnd w:id="363"/>
      <w:bookmarkEnd w:id="364"/>
      <w:bookmarkEnd w:id="365"/>
      <w:bookmarkEnd w:id="366"/>
      <w:r w:rsidRPr="00B46656">
        <w:t>July 2020 to 30 June 2021</w:t>
      </w:r>
      <w:bookmarkEnd w:id="367"/>
      <w:bookmarkEnd w:id="368"/>
    </w:p>
    <w:p w14:paraId="0791AB88" w14:textId="77777777" w:rsidR="001236DF" w:rsidRPr="00B46656" w:rsidRDefault="001236DF" w:rsidP="001236DF">
      <w:r>
        <w:rPr>
          <w:noProof/>
        </w:rPr>
        <w:drawing>
          <wp:inline distT="0" distB="0" distL="0" distR="0" wp14:anchorId="6D796C74" wp14:editId="543B4DD4">
            <wp:extent cx="5271422" cy="2758706"/>
            <wp:effectExtent l="0" t="0" r="5715" b="3810"/>
            <wp:docPr id="33" name="Chart 33" descr="This bar graph shows that in there were more seclusion events affecting Māori than Pacific peoples and other ethnicities. However, Pacific peoples had a longer average duration per event than Māori and other ethnicities.">
              <a:extLst xmlns:a="http://schemas.openxmlformats.org/drawingml/2006/main">
                <a:ext uri="{FF2B5EF4-FFF2-40B4-BE49-F238E27FC236}">
                  <a16:creationId xmlns:a16="http://schemas.microsoft.com/office/drawing/2014/main" id="{2D955296-E895-4CBB-91EB-ABEB8E29D1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7A6E4530" w14:textId="77777777" w:rsidR="001236DF" w:rsidRPr="00CC06A4" w:rsidRDefault="001236DF" w:rsidP="001236DF">
      <w:pPr>
        <w:pStyle w:val="Note"/>
      </w:pPr>
      <w:r w:rsidRPr="00CC06A4">
        <w:t>Note</w:t>
      </w:r>
      <w:r>
        <w:t>s</w:t>
      </w:r>
      <w:r w:rsidRPr="00CC06A4">
        <w:t xml:space="preserve">: </w:t>
      </w:r>
      <w:r>
        <w:t>The data e</w:t>
      </w:r>
      <w:r w:rsidRPr="00CC06A4">
        <w:t xml:space="preserve">xcludes forensic services and patients who have a legal status under the Intellectual Disability (Compulsory Care and Rehabilitation) Act 2003. </w:t>
      </w:r>
      <w:r w:rsidRPr="00CC06A4">
        <w:rPr>
          <w:rFonts w:cs="Segoe UI"/>
        </w:rPr>
        <w:t>I</w:t>
      </w:r>
      <w:r>
        <w:rPr>
          <w:rFonts w:cs="Segoe UI"/>
        </w:rPr>
        <w:t>t i</w:t>
      </w:r>
      <w:r w:rsidRPr="00CC06A4">
        <w:rPr>
          <w:rFonts w:cs="Segoe UI"/>
        </w:rPr>
        <w:t xml:space="preserve">ncludes patients who have a legal status under the Mental Health Act but are treated in </w:t>
      </w:r>
      <w:r w:rsidRPr="00200234">
        <w:t>regional intellectual disability secure services</w:t>
      </w:r>
      <w:r w:rsidRPr="00CC06A4">
        <w:rPr>
          <w:rFonts w:cs="Segoe UI"/>
        </w:rPr>
        <w:t>.</w:t>
      </w:r>
    </w:p>
    <w:p w14:paraId="736138E5" w14:textId="77777777" w:rsidR="001236DF" w:rsidRDefault="001236DF" w:rsidP="001236DF">
      <w:pPr>
        <w:pStyle w:val="Source"/>
      </w:pPr>
      <w:r w:rsidRPr="00200234">
        <w:t>Sources: PRIMHD data</w:t>
      </w:r>
      <w:r>
        <w:t xml:space="preserve"> (</w:t>
      </w:r>
      <w:r w:rsidRPr="00B46656">
        <w:t>extracted 3 June 2022) and manual data from Southern, Waikato and Waitematā DHBs.</w:t>
      </w:r>
    </w:p>
    <w:p w14:paraId="73D0B022" w14:textId="77777777" w:rsidR="001236DF" w:rsidRPr="00200234" w:rsidRDefault="001236DF" w:rsidP="001236DF"/>
    <w:p w14:paraId="28020DCD" w14:textId="59C3E85A" w:rsidR="001236DF" w:rsidRPr="00AC6B13" w:rsidRDefault="001236DF" w:rsidP="001236DF">
      <w:pPr>
        <w:pStyle w:val="Figure"/>
      </w:pPr>
      <w:bookmarkStart w:id="369" w:name="_Toc63764778"/>
      <w:bookmarkStart w:id="370" w:name="_Toc75176495"/>
      <w:bookmarkStart w:id="371" w:name="_Toc85442587"/>
      <w:bookmarkStart w:id="372" w:name="_Toc85445934"/>
      <w:bookmarkStart w:id="373" w:name="_Toc87429980"/>
      <w:bookmarkStart w:id="374" w:name="_Toc88561412"/>
      <w:bookmarkStart w:id="375" w:name="_Toc115188871"/>
      <w:bookmarkStart w:id="376" w:name="_Toc115272574"/>
      <w:r w:rsidRPr="00AC6B13">
        <w:t>Figure </w:t>
      </w:r>
      <w:fldSimple w:instr=" SEQ Figure \* ARABIC ">
        <w:r w:rsidR="009A04B0">
          <w:rPr>
            <w:noProof/>
          </w:rPr>
          <w:t>32</w:t>
        </w:r>
      </w:fldSimple>
      <w:r w:rsidRPr="00AC6B13">
        <w:t xml:space="preserve">: Percentage of people with inpatient admissions that spent time in seclusion in adult inpatient services, </w:t>
      </w:r>
      <w:r>
        <w:t>by ethnicity and gender</w:t>
      </w:r>
      <w:r w:rsidRPr="00AC6B13">
        <w:t xml:space="preserve">, 1 </w:t>
      </w:r>
      <w:bookmarkEnd w:id="369"/>
      <w:bookmarkEnd w:id="370"/>
      <w:bookmarkEnd w:id="371"/>
      <w:bookmarkEnd w:id="372"/>
      <w:bookmarkEnd w:id="373"/>
      <w:bookmarkEnd w:id="374"/>
      <w:r w:rsidRPr="00AC6B13">
        <w:t>July 2020 to 30 June 2021</w:t>
      </w:r>
      <w:bookmarkEnd w:id="375"/>
      <w:bookmarkEnd w:id="376"/>
    </w:p>
    <w:p w14:paraId="71D83847" w14:textId="77777777" w:rsidR="001236DF" w:rsidRPr="00AC6B13" w:rsidRDefault="001236DF" w:rsidP="001236DF">
      <w:r w:rsidRPr="00AC6B13">
        <w:rPr>
          <w:noProof/>
        </w:rPr>
        <w:drawing>
          <wp:inline distT="0" distB="0" distL="0" distR="0" wp14:anchorId="20A836FF" wp14:editId="3D357291">
            <wp:extent cx="4573905" cy="2019300"/>
            <wp:effectExtent l="0" t="0" r="0" b="0"/>
            <wp:docPr id="34" name="Chart 34" descr="This bar graph shows that about 18% of Māori males were secluded compared with about 17% of Pacific males and 11% of other males. About 11% of Māori females were secluded compared to about 6% of Pacific females and 5% of other females.">
              <a:extLst xmlns:a="http://schemas.openxmlformats.org/drawingml/2006/main">
                <a:ext uri="{FF2B5EF4-FFF2-40B4-BE49-F238E27FC236}">
                  <a16:creationId xmlns:a16="http://schemas.microsoft.com/office/drawing/2014/main" id="{E7BB3FEC-6676-4FE1-BDEC-9C27322CB1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0EF3EE96" w14:textId="77777777" w:rsidR="001236DF" w:rsidRPr="00AC6B13" w:rsidRDefault="001236DF" w:rsidP="001236DF">
      <w:pPr>
        <w:pStyle w:val="Note"/>
      </w:pPr>
      <w:r w:rsidRPr="00AC6B13">
        <w:t xml:space="preserve">Notes: </w:t>
      </w:r>
      <w:r>
        <w:t>The data e</w:t>
      </w:r>
      <w:r w:rsidRPr="00AC6B13">
        <w:t>xcludes</w:t>
      </w:r>
      <w:r>
        <w:t xml:space="preserve"> forensic </w:t>
      </w:r>
      <w:r w:rsidRPr="00AC6B13">
        <w:t xml:space="preserve">services and patients who have a legal status under the Intellectual Disability (Compulsory Care and Rehabilitation) Act 2003. </w:t>
      </w:r>
      <w:r w:rsidRPr="00AC6B13">
        <w:rPr>
          <w:rFonts w:cs="Segoe UI"/>
        </w:rPr>
        <w:t>I</w:t>
      </w:r>
      <w:r>
        <w:rPr>
          <w:rFonts w:cs="Segoe UI"/>
        </w:rPr>
        <w:t>t i</w:t>
      </w:r>
      <w:r w:rsidRPr="00AC6B13">
        <w:rPr>
          <w:rFonts w:cs="Segoe UI"/>
        </w:rPr>
        <w:t xml:space="preserve">ncludes patients who have a legal status under the Mental Health Act but are treated in </w:t>
      </w:r>
      <w:r w:rsidRPr="00200234">
        <w:t>regional intellectual disability secure services</w:t>
      </w:r>
      <w:r w:rsidRPr="00AC6B13">
        <w:rPr>
          <w:rFonts w:cs="Segoe UI"/>
        </w:rPr>
        <w:t>.</w:t>
      </w:r>
    </w:p>
    <w:p w14:paraId="3F14AE75" w14:textId="77777777" w:rsidR="001236DF" w:rsidRDefault="001236DF" w:rsidP="001236DF">
      <w:pPr>
        <w:pStyle w:val="Source"/>
      </w:pPr>
      <w:r w:rsidRPr="00AC6B13">
        <w:t>Sources: PRIMHD data (extracted 3 June 2022) and manual data from Southern, Waikato and Waitematā DHBs.</w:t>
      </w:r>
    </w:p>
    <w:p w14:paraId="1775A0AA" w14:textId="77777777" w:rsidR="001236DF" w:rsidRPr="00200234" w:rsidRDefault="001236DF" w:rsidP="001236DF"/>
    <w:p w14:paraId="697C7F90" w14:textId="77777777" w:rsidR="006273A4" w:rsidRDefault="006273A4" w:rsidP="001236DF">
      <w:pPr>
        <w:sectPr w:rsidR="006273A4" w:rsidSect="00D40D3F">
          <w:pgSz w:w="11907" w:h="16840" w:code="9"/>
          <w:pgMar w:top="1418" w:right="1701" w:bottom="1134" w:left="1843" w:header="284" w:footer="425" w:gutter="284"/>
          <w:cols w:space="720"/>
        </w:sectPr>
      </w:pPr>
      <w:bookmarkStart w:id="377" w:name="_Toc34653580"/>
    </w:p>
    <w:p w14:paraId="16A14B4A" w14:textId="1D76969B" w:rsidR="001236DF" w:rsidRPr="00200234" w:rsidRDefault="001236DF" w:rsidP="001236DF">
      <w:pPr>
        <w:rPr>
          <w:b/>
        </w:rPr>
      </w:pPr>
      <w:r w:rsidRPr="000E7720">
        <w:lastRenderedPageBreak/>
        <w:t>Figure </w:t>
      </w:r>
      <w:r>
        <w:rPr>
          <w:noProof/>
        </w:rPr>
        <w:t>33</w:t>
      </w:r>
      <w:r w:rsidRPr="00200234">
        <w:t xml:space="preserve"> shows the number of Māori and non-Māori aged 20–64 years secluded in adult inpatient services </w:t>
      </w:r>
      <w:r w:rsidRPr="00AC6B13">
        <w:t xml:space="preserve">from </w:t>
      </w:r>
      <w:r>
        <w:t xml:space="preserve">the </w:t>
      </w:r>
      <w:r w:rsidRPr="00AC6B13">
        <w:t>2007 calendar year</w:t>
      </w:r>
      <w:r>
        <w:t xml:space="preserve"> to the 2020/21 financial year</w:t>
      </w:r>
      <w:r w:rsidRPr="00200234">
        <w:t xml:space="preserve">. Nationally over this time, the number of people secluded decreased by </w:t>
      </w:r>
      <w:r w:rsidRPr="001273C9">
        <w:t>2</w:t>
      </w:r>
      <w:r>
        <w:t>8.7</w:t>
      </w:r>
      <w:r w:rsidRPr="001273C9">
        <w:t>%</w:t>
      </w:r>
      <w:r w:rsidRPr="00200234">
        <w:t xml:space="preserve">. </w:t>
      </w:r>
      <w:r>
        <w:t>The</w:t>
      </w:r>
      <w:r w:rsidRPr="00200234">
        <w:t xml:space="preserve"> number of people secluded who identified as Māori </w:t>
      </w:r>
      <w:r>
        <w:t xml:space="preserve">decreased by </w:t>
      </w:r>
      <w:r w:rsidRPr="001273C9">
        <w:t>4</w:t>
      </w:r>
      <w:r>
        <w:t>.1</w:t>
      </w:r>
      <w:r w:rsidRPr="001273C9">
        <w:t>%</w:t>
      </w:r>
      <w:r w:rsidRPr="00200234">
        <w:t xml:space="preserve"> over the same </w:t>
      </w:r>
      <w:r>
        <w:t>period</w:t>
      </w:r>
      <w:r w:rsidRPr="00200234">
        <w:t>.</w:t>
      </w:r>
    </w:p>
    <w:p w14:paraId="44D20BD5" w14:textId="77777777" w:rsidR="001236DF" w:rsidRPr="00200234" w:rsidRDefault="001236DF" w:rsidP="001236DF"/>
    <w:p w14:paraId="491CBBD3" w14:textId="30298894" w:rsidR="001236DF" w:rsidRPr="000E7720" w:rsidRDefault="001236DF" w:rsidP="001236DF">
      <w:pPr>
        <w:pStyle w:val="Figure"/>
      </w:pPr>
      <w:bookmarkStart w:id="378" w:name="_Ref65672396"/>
      <w:bookmarkStart w:id="379" w:name="_Toc63764780"/>
      <w:bookmarkStart w:id="380" w:name="_Toc75176496"/>
      <w:bookmarkStart w:id="381" w:name="_Toc85442588"/>
      <w:bookmarkStart w:id="382" w:name="_Toc85445935"/>
      <w:bookmarkStart w:id="383" w:name="_Toc87429981"/>
      <w:bookmarkStart w:id="384" w:name="_Toc88561413"/>
      <w:bookmarkStart w:id="385" w:name="_Toc115188872"/>
      <w:bookmarkStart w:id="386" w:name="_Toc115272575"/>
      <w:bookmarkEnd w:id="377"/>
      <w:r w:rsidRPr="000E7720">
        <w:t>Figure </w:t>
      </w:r>
      <w:fldSimple w:instr=" SEQ Figure \* ARABIC ">
        <w:r w:rsidR="009A04B0">
          <w:rPr>
            <w:noProof/>
          </w:rPr>
          <w:t>33</w:t>
        </w:r>
      </w:fldSimple>
      <w:bookmarkEnd w:id="378"/>
      <w:r w:rsidRPr="000E7720">
        <w:t>: Number of Māori and non-Māori aged 20–64 years secluded in adult inpatient services, 2007–20</w:t>
      </w:r>
      <w:bookmarkEnd w:id="379"/>
      <w:r w:rsidRPr="000E7720">
        <w:t>20</w:t>
      </w:r>
      <w:bookmarkEnd w:id="380"/>
      <w:bookmarkEnd w:id="381"/>
      <w:bookmarkEnd w:id="382"/>
      <w:bookmarkEnd w:id="383"/>
      <w:bookmarkEnd w:id="384"/>
      <w:r>
        <w:t>/21</w:t>
      </w:r>
      <w:bookmarkEnd w:id="385"/>
      <w:bookmarkEnd w:id="386"/>
    </w:p>
    <w:p w14:paraId="6E5E787F" w14:textId="77777777" w:rsidR="001236DF" w:rsidRPr="000E7720" w:rsidRDefault="001236DF" w:rsidP="001236DF">
      <w:r w:rsidRPr="000E7720">
        <w:rPr>
          <w:noProof/>
        </w:rPr>
        <w:drawing>
          <wp:inline distT="0" distB="0" distL="0" distR="0" wp14:anchorId="2C758D18" wp14:editId="1DD6A0A1">
            <wp:extent cx="5092263" cy="3185160"/>
            <wp:effectExtent l="0" t="0" r="0" b="0"/>
            <wp:docPr id="35" name="Chart 35" descr="This bar graph shows that a larger number of non-Māori were secluded than Māori each year, but that the number of non-Māori being secluded has decreased over time while the number of Māori being secluded has increased until 2020/21 financial year. In this year,  371 Māori were secluded and 444 non-Māori.">
              <a:extLst xmlns:a="http://schemas.openxmlformats.org/drawingml/2006/main">
                <a:ext uri="{FF2B5EF4-FFF2-40B4-BE49-F238E27FC236}">
                  <a16:creationId xmlns:a16="http://schemas.microsoft.com/office/drawing/2014/main" id="{9C2B0C53-9951-4201-B1E9-23A1295CB0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941A117" w14:textId="77777777" w:rsidR="001236DF" w:rsidRPr="000E7720" w:rsidRDefault="001236DF" w:rsidP="001236DF">
      <w:pPr>
        <w:pStyle w:val="Note"/>
      </w:pPr>
      <w:r w:rsidRPr="000E7720">
        <w:t xml:space="preserve">Notes: </w:t>
      </w:r>
      <w:r>
        <w:t>The data e</w:t>
      </w:r>
      <w:r w:rsidRPr="000E7720">
        <w:t xml:space="preserve">xcludes an outlier, forensic services and patients who have a legal status under the Intellectual Disability (Compulsory Care and Rehabilitation) Act 2003. </w:t>
      </w:r>
      <w:r w:rsidRPr="000E7720">
        <w:rPr>
          <w:rFonts w:cs="Segoe UI"/>
        </w:rPr>
        <w:t>I</w:t>
      </w:r>
      <w:r>
        <w:rPr>
          <w:rFonts w:cs="Segoe UI"/>
        </w:rPr>
        <w:t>t i</w:t>
      </w:r>
      <w:r w:rsidRPr="000E7720">
        <w:rPr>
          <w:rFonts w:cs="Segoe UI"/>
        </w:rPr>
        <w:t xml:space="preserve">ncludes patients who have a legal status under the Mental Health Act but are treated in </w:t>
      </w:r>
      <w:r w:rsidRPr="00200234">
        <w:t>regional intellectual disability secure services</w:t>
      </w:r>
      <w:r w:rsidRPr="000E7720">
        <w:rPr>
          <w:rFonts w:cs="Segoe UI"/>
        </w:rPr>
        <w:t>.</w:t>
      </w:r>
      <w:r>
        <w:rPr>
          <w:rFonts w:cs="Segoe UI"/>
        </w:rPr>
        <w:t xml:space="preserve"> All years except 2020/21 are calendar years.</w:t>
      </w:r>
    </w:p>
    <w:p w14:paraId="25CDBA10" w14:textId="77777777" w:rsidR="001236DF" w:rsidRDefault="001236DF" w:rsidP="001236DF">
      <w:pPr>
        <w:pStyle w:val="Source"/>
      </w:pPr>
      <w:r w:rsidRPr="000E7720">
        <w:t>Sources: PRIMHD data (extracted 3 June 2022) and manual data from Southern, Waikato and Waitematā DHBs.</w:t>
      </w:r>
    </w:p>
    <w:p w14:paraId="6067AEF5" w14:textId="77777777" w:rsidR="001236DF" w:rsidRPr="00FA41EF" w:rsidRDefault="001236DF" w:rsidP="001236DF"/>
    <w:p w14:paraId="04AFE139" w14:textId="77777777" w:rsidR="001236DF" w:rsidRDefault="001236DF" w:rsidP="001236DF">
      <w:pPr>
        <w:spacing w:after="160" w:line="259" w:lineRule="auto"/>
        <w:rPr>
          <w:b/>
          <w:color w:val="E36C0A" w:themeColor="accent6" w:themeShade="BF"/>
          <w:spacing w:val="-5"/>
          <w:sz w:val="48"/>
        </w:rPr>
      </w:pPr>
      <w:bookmarkStart w:id="387" w:name="_Toc65141626"/>
      <w:bookmarkStart w:id="388" w:name="_Toc75176450"/>
      <w:bookmarkStart w:id="389" w:name="_Toc87429915"/>
      <w:bookmarkStart w:id="390" w:name="_Toc88826963"/>
      <w:r>
        <w:br w:type="page"/>
      </w:r>
    </w:p>
    <w:p w14:paraId="6A5FF09E" w14:textId="77777777" w:rsidR="001236DF" w:rsidRPr="00200234" w:rsidRDefault="001236DF" w:rsidP="001236DF">
      <w:pPr>
        <w:pStyle w:val="Heading2"/>
      </w:pPr>
      <w:bookmarkStart w:id="391" w:name="_Toc115188813"/>
      <w:bookmarkStart w:id="392" w:name="_Toc115431711"/>
      <w:r w:rsidRPr="00200234">
        <w:lastRenderedPageBreak/>
        <w:t>Seclusion in forensic units</w:t>
      </w:r>
      <w:bookmarkEnd w:id="387"/>
      <w:bookmarkEnd w:id="388"/>
      <w:bookmarkEnd w:id="389"/>
      <w:bookmarkEnd w:id="390"/>
      <w:bookmarkEnd w:id="391"/>
      <w:bookmarkEnd w:id="392"/>
    </w:p>
    <w:p w14:paraId="7D9EBDFA" w14:textId="77777777" w:rsidR="001236DF" w:rsidRDefault="001236DF" w:rsidP="001236DF">
      <w:pPr>
        <w:keepNext/>
      </w:pPr>
      <w:r w:rsidRPr="00200234">
        <w:t>Five DHBs provide</w:t>
      </w:r>
      <w:r>
        <w:t>d</w:t>
      </w:r>
      <w:r w:rsidRPr="00200234">
        <w:t xml:space="preserve"> specialist inpatient forensic services: Canterbury, Capital &amp; Coast, Southern, Waikato and Waitematā.</w:t>
      </w:r>
      <w:r w:rsidRPr="008C1BFB">
        <w:rPr>
          <w:rStyle w:val="FootnoteReference"/>
        </w:rPr>
        <w:footnoteReference w:id="17"/>
      </w:r>
      <w:r w:rsidRPr="00200234">
        <w:t xml:space="preserve"> These services provide</w:t>
      </w:r>
      <w:r>
        <w:t>d</w:t>
      </w:r>
      <w:r w:rsidRPr="00200234">
        <w:t xml:space="preserve"> mental health treatment in a secure </w:t>
      </w:r>
      <w:r>
        <w:t>setting</w:t>
      </w:r>
      <w:r w:rsidRPr="00200234">
        <w:t xml:space="preserve"> for prisoners with mental disorders and for people defined as special or restricted patients.</w:t>
      </w:r>
    </w:p>
    <w:p w14:paraId="4DEB2531" w14:textId="77777777" w:rsidR="001236DF" w:rsidRPr="00200234" w:rsidRDefault="001236DF" w:rsidP="001236DF">
      <w:pPr>
        <w:keepNext/>
      </w:pPr>
    </w:p>
    <w:p w14:paraId="50FEAEED" w14:textId="77777777" w:rsidR="001236DF" w:rsidRPr="00200234" w:rsidRDefault="001236DF" w:rsidP="001236DF">
      <w:pPr>
        <w:keepNext/>
        <w:keepLines/>
        <w:spacing w:after="240"/>
      </w:pPr>
      <w:r w:rsidRPr="006C4A21">
        <w:t>Table </w:t>
      </w:r>
      <w:r>
        <w:rPr>
          <w:noProof/>
        </w:rPr>
        <w:t>9</w:t>
      </w:r>
      <w:r>
        <w:t xml:space="preserve"> </w:t>
      </w:r>
      <w:r w:rsidRPr="00200234">
        <w:t>present</w:t>
      </w:r>
      <w:r>
        <w:t>s</w:t>
      </w:r>
      <w:r w:rsidRPr="00200234">
        <w:t xml:space="preserve"> seclusion indicators for forensic mental health services in each DHB. </w:t>
      </w:r>
      <w:r>
        <w:t xml:space="preserve">Figure </w:t>
      </w:r>
      <w:r>
        <w:rPr>
          <w:noProof/>
        </w:rPr>
        <w:t>34</w:t>
      </w:r>
      <w:r>
        <w:t xml:space="preserve"> presents a breakdown of the number of people secluded and number of events by ethnicity on a national level. Due to small numbers, presenting this data at a service level could make individuals identifiable. </w:t>
      </w:r>
      <w:r w:rsidRPr="00200234">
        <w:t xml:space="preserve">These indicators cannot be compared with adult </w:t>
      </w:r>
      <w:r>
        <w:t xml:space="preserve">inpatient </w:t>
      </w:r>
      <w:r w:rsidRPr="00200234">
        <w:t xml:space="preserve">service indicators because they have a different client base. </w:t>
      </w:r>
    </w:p>
    <w:p w14:paraId="5589AA0A" w14:textId="3191319D" w:rsidR="001236DF" w:rsidRPr="006C4A21" w:rsidRDefault="001236DF" w:rsidP="001236DF">
      <w:pPr>
        <w:pStyle w:val="Table"/>
      </w:pPr>
      <w:bookmarkStart w:id="393" w:name="_Ref85450538"/>
      <w:bookmarkStart w:id="394" w:name="_Toc87430006"/>
      <w:bookmarkStart w:id="395" w:name="_Toc88561363"/>
      <w:bookmarkStart w:id="396" w:name="_Toc115188898"/>
      <w:bookmarkStart w:id="397" w:name="_Toc115272600"/>
      <w:r w:rsidRPr="006C4A21">
        <w:t>Table </w:t>
      </w:r>
      <w:fldSimple w:instr=" SEQ Table \* ARABIC ">
        <w:r w:rsidR="009A04B0">
          <w:rPr>
            <w:noProof/>
          </w:rPr>
          <w:t>9</w:t>
        </w:r>
      </w:fldSimple>
      <w:bookmarkEnd w:id="393"/>
      <w:r w:rsidRPr="006C4A21">
        <w:t xml:space="preserve">: Seclusion indicators for forensic mental health services, by DHB, 1 </w:t>
      </w:r>
      <w:bookmarkEnd w:id="394"/>
      <w:bookmarkEnd w:id="395"/>
      <w:r w:rsidRPr="006C4A21">
        <w:t>July 2020 to 30 June 2021</w:t>
      </w:r>
      <w:bookmarkEnd w:id="396"/>
      <w:bookmarkEnd w:id="397"/>
    </w:p>
    <w:tbl>
      <w:tblPr>
        <w:tblW w:w="4931" w:type="pct"/>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460" w:firstRow="1" w:lastRow="1" w:firstColumn="0" w:lastColumn="0" w:noHBand="0" w:noVBand="1"/>
      </w:tblPr>
      <w:tblGrid>
        <w:gridCol w:w="1854"/>
        <w:gridCol w:w="1461"/>
        <w:gridCol w:w="1461"/>
        <w:gridCol w:w="1460"/>
        <w:gridCol w:w="1732"/>
      </w:tblGrid>
      <w:tr w:rsidR="001236DF" w:rsidRPr="006C4A21" w14:paraId="3F14A7FD" w14:textId="77777777" w:rsidTr="001236DF">
        <w:trPr>
          <w:cantSplit/>
          <w:trHeight w:val="311"/>
        </w:trPr>
        <w:tc>
          <w:tcPr>
            <w:tcW w:w="1163" w:type="pct"/>
            <w:tcBorders>
              <w:top w:val="nil"/>
              <w:bottom w:val="nil"/>
            </w:tcBorders>
            <w:shd w:val="clear" w:color="auto" w:fill="D9D9D9"/>
          </w:tcPr>
          <w:p w14:paraId="1D4D29B6" w14:textId="77777777" w:rsidR="001236DF" w:rsidRPr="006C4A21" w:rsidRDefault="001236DF" w:rsidP="001236DF">
            <w:pPr>
              <w:pStyle w:val="TableText"/>
              <w:spacing w:before="0" w:after="0"/>
              <w:rPr>
                <w:b/>
              </w:rPr>
            </w:pPr>
            <w:r w:rsidRPr="006C4A21">
              <w:rPr>
                <w:b/>
              </w:rPr>
              <w:t>DHB</w:t>
            </w:r>
          </w:p>
        </w:tc>
        <w:tc>
          <w:tcPr>
            <w:tcW w:w="917" w:type="pct"/>
            <w:tcBorders>
              <w:top w:val="nil"/>
              <w:bottom w:val="nil"/>
            </w:tcBorders>
            <w:shd w:val="clear" w:color="auto" w:fill="D9D9D9"/>
          </w:tcPr>
          <w:p w14:paraId="3445EA0F" w14:textId="77777777" w:rsidR="001236DF" w:rsidRPr="006C4A21" w:rsidRDefault="001236DF" w:rsidP="001236DF">
            <w:pPr>
              <w:pStyle w:val="TableText"/>
              <w:spacing w:before="0" w:after="0"/>
              <w:jc w:val="center"/>
              <w:rPr>
                <w:b/>
              </w:rPr>
            </w:pPr>
            <w:r>
              <w:rPr>
                <w:b/>
              </w:rPr>
              <w:t xml:space="preserve">Number of people </w:t>
            </w:r>
            <w:r w:rsidRPr="006C4A21">
              <w:rPr>
                <w:b/>
              </w:rPr>
              <w:t>secluded</w:t>
            </w:r>
          </w:p>
        </w:tc>
        <w:tc>
          <w:tcPr>
            <w:tcW w:w="917" w:type="pct"/>
            <w:tcBorders>
              <w:top w:val="nil"/>
              <w:bottom w:val="nil"/>
            </w:tcBorders>
            <w:shd w:val="clear" w:color="auto" w:fill="D9D9D9"/>
          </w:tcPr>
          <w:p w14:paraId="79310B1A" w14:textId="77777777" w:rsidR="001236DF" w:rsidRPr="006C4A21" w:rsidRDefault="001236DF" w:rsidP="001236DF">
            <w:pPr>
              <w:pStyle w:val="TableText"/>
              <w:spacing w:before="0" w:after="0"/>
              <w:jc w:val="center"/>
              <w:rPr>
                <w:b/>
              </w:rPr>
            </w:pPr>
            <w:r w:rsidRPr="006C4A21">
              <w:rPr>
                <w:b/>
              </w:rPr>
              <w:t>Number of events</w:t>
            </w:r>
          </w:p>
        </w:tc>
        <w:tc>
          <w:tcPr>
            <w:tcW w:w="916" w:type="pct"/>
            <w:tcBorders>
              <w:top w:val="nil"/>
              <w:bottom w:val="nil"/>
            </w:tcBorders>
            <w:shd w:val="clear" w:color="auto" w:fill="D9D9D9"/>
          </w:tcPr>
          <w:p w14:paraId="6983D37D" w14:textId="77777777" w:rsidR="001236DF" w:rsidRPr="006C4A21" w:rsidRDefault="001236DF" w:rsidP="001236DF">
            <w:pPr>
              <w:pStyle w:val="TableText"/>
              <w:spacing w:before="0" w:after="0"/>
              <w:jc w:val="center"/>
              <w:rPr>
                <w:b/>
              </w:rPr>
            </w:pPr>
            <w:r w:rsidRPr="006C4A21">
              <w:rPr>
                <w:b/>
              </w:rPr>
              <w:t>Total</w:t>
            </w:r>
            <w:r w:rsidRPr="006C4A21">
              <w:rPr>
                <w:b/>
              </w:rPr>
              <w:br/>
              <w:t>hours</w:t>
            </w:r>
          </w:p>
        </w:tc>
        <w:tc>
          <w:tcPr>
            <w:tcW w:w="1087" w:type="pct"/>
            <w:tcBorders>
              <w:top w:val="nil"/>
              <w:bottom w:val="nil"/>
            </w:tcBorders>
            <w:shd w:val="clear" w:color="auto" w:fill="D9D9D9"/>
          </w:tcPr>
          <w:p w14:paraId="015543BF" w14:textId="77777777" w:rsidR="001236DF" w:rsidRPr="006C4A21" w:rsidRDefault="001236DF" w:rsidP="001236DF">
            <w:pPr>
              <w:pStyle w:val="TableText"/>
              <w:spacing w:before="0" w:after="0"/>
              <w:jc w:val="center"/>
              <w:rPr>
                <w:b/>
              </w:rPr>
            </w:pPr>
            <w:r w:rsidRPr="006C4A21">
              <w:rPr>
                <w:b/>
              </w:rPr>
              <w:t>Average duration per event (hours)</w:t>
            </w:r>
          </w:p>
        </w:tc>
      </w:tr>
      <w:tr w:rsidR="001236DF" w:rsidRPr="006C4A21" w14:paraId="6BC6226C" w14:textId="77777777" w:rsidTr="001236DF">
        <w:trPr>
          <w:cantSplit/>
        </w:trPr>
        <w:tc>
          <w:tcPr>
            <w:tcW w:w="1163" w:type="pct"/>
            <w:tcBorders>
              <w:top w:val="nil"/>
            </w:tcBorders>
          </w:tcPr>
          <w:p w14:paraId="167D7832" w14:textId="77777777" w:rsidR="001236DF" w:rsidRPr="006C4A21" w:rsidRDefault="001236DF" w:rsidP="001236DF">
            <w:pPr>
              <w:pStyle w:val="TableText"/>
            </w:pPr>
            <w:r w:rsidRPr="006C4A21">
              <w:t>Canterbury</w:t>
            </w:r>
          </w:p>
        </w:tc>
        <w:tc>
          <w:tcPr>
            <w:tcW w:w="917" w:type="pct"/>
            <w:tcBorders>
              <w:top w:val="nil"/>
            </w:tcBorders>
          </w:tcPr>
          <w:p w14:paraId="6678C897" w14:textId="77777777" w:rsidR="001236DF" w:rsidRPr="006C4A21" w:rsidRDefault="001236DF" w:rsidP="001236DF">
            <w:pPr>
              <w:pStyle w:val="TableText"/>
              <w:tabs>
                <w:tab w:val="decimal" w:pos="794"/>
              </w:tabs>
            </w:pPr>
            <w:r w:rsidRPr="006C4A21">
              <w:t xml:space="preserve"> 36 </w:t>
            </w:r>
          </w:p>
        </w:tc>
        <w:tc>
          <w:tcPr>
            <w:tcW w:w="917" w:type="pct"/>
            <w:tcBorders>
              <w:top w:val="nil"/>
            </w:tcBorders>
          </w:tcPr>
          <w:p w14:paraId="42B42C10" w14:textId="77777777" w:rsidR="001236DF" w:rsidRPr="006C4A21" w:rsidRDefault="001236DF" w:rsidP="001236DF">
            <w:pPr>
              <w:pStyle w:val="TableText"/>
              <w:tabs>
                <w:tab w:val="decimal" w:pos="794"/>
              </w:tabs>
            </w:pPr>
            <w:r w:rsidRPr="006C4A21">
              <w:t xml:space="preserve"> 110 </w:t>
            </w:r>
          </w:p>
        </w:tc>
        <w:tc>
          <w:tcPr>
            <w:tcW w:w="916" w:type="pct"/>
            <w:tcBorders>
              <w:top w:val="nil"/>
            </w:tcBorders>
          </w:tcPr>
          <w:p w14:paraId="150B282C" w14:textId="77777777" w:rsidR="001236DF" w:rsidRPr="006C4A21" w:rsidRDefault="001236DF" w:rsidP="001236DF">
            <w:pPr>
              <w:pStyle w:val="TableText"/>
              <w:tabs>
                <w:tab w:val="decimal" w:pos="952"/>
              </w:tabs>
            </w:pPr>
            <w:r w:rsidRPr="006C4A21">
              <w:t xml:space="preserve"> 8,036 </w:t>
            </w:r>
          </w:p>
        </w:tc>
        <w:tc>
          <w:tcPr>
            <w:tcW w:w="1087" w:type="pct"/>
            <w:tcBorders>
              <w:top w:val="nil"/>
            </w:tcBorders>
          </w:tcPr>
          <w:p w14:paraId="6810E8F6" w14:textId="77777777" w:rsidR="001236DF" w:rsidRPr="006C4A21" w:rsidRDefault="001236DF" w:rsidP="001236DF">
            <w:pPr>
              <w:pStyle w:val="TableText"/>
              <w:tabs>
                <w:tab w:val="decimal" w:pos="820"/>
              </w:tabs>
            </w:pPr>
            <w:r w:rsidRPr="006C4A21">
              <w:t xml:space="preserve"> 73.1 </w:t>
            </w:r>
          </w:p>
        </w:tc>
      </w:tr>
      <w:tr w:rsidR="001236DF" w:rsidRPr="006C4A21" w14:paraId="5C25E418" w14:textId="77777777" w:rsidTr="001236DF">
        <w:trPr>
          <w:cantSplit/>
        </w:trPr>
        <w:tc>
          <w:tcPr>
            <w:tcW w:w="1163" w:type="pct"/>
          </w:tcPr>
          <w:p w14:paraId="2B236925" w14:textId="77777777" w:rsidR="001236DF" w:rsidRPr="006C4A21" w:rsidRDefault="001236DF" w:rsidP="001236DF">
            <w:pPr>
              <w:pStyle w:val="TableText"/>
            </w:pPr>
            <w:r w:rsidRPr="006C4A21">
              <w:t>Capital &amp; Coast</w:t>
            </w:r>
          </w:p>
        </w:tc>
        <w:tc>
          <w:tcPr>
            <w:tcW w:w="917" w:type="pct"/>
          </w:tcPr>
          <w:p w14:paraId="0885771A" w14:textId="77777777" w:rsidR="001236DF" w:rsidRPr="006C4A21" w:rsidRDefault="001236DF" w:rsidP="001236DF">
            <w:pPr>
              <w:pStyle w:val="TableText"/>
              <w:tabs>
                <w:tab w:val="decimal" w:pos="794"/>
              </w:tabs>
            </w:pPr>
            <w:r w:rsidRPr="006C4A21">
              <w:t xml:space="preserve"> 19 </w:t>
            </w:r>
          </w:p>
        </w:tc>
        <w:tc>
          <w:tcPr>
            <w:tcW w:w="917" w:type="pct"/>
          </w:tcPr>
          <w:p w14:paraId="0336DEF1" w14:textId="77777777" w:rsidR="001236DF" w:rsidRPr="006C4A21" w:rsidRDefault="001236DF" w:rsidP="001236DF">
            <w:pPr>
              <w:pStyle w:val="TableText"/>
              <w:tabs>
                <w:tab w:val="decimal" w:pos="794"/>
              </w:tabs>
            </w:pPr>
            <w:r w:rsidRPr="006C4A21">
              <w:t xml:space="preserve"> 35 </w:t>
            </w:r>
          </w:p>
        </w:tc>
        <w:tc>
          <w:tcPr>
            <w:tcW w:w="916" w:type="pct"/>
          </w:tcPr>
          <w:p w14:paraId="6B136365" w14:textId="77777777" w:rsidR="001236DF" w:rsidRPr="006C4A21" w:rsidRDefault="001236DF" w:rsidP="001236DF">
            <w:pPr>
              <w:pStyle w:val="TableText"/>
              <w:tabs>
                <w:tab w:val="decimal" w:pos="952"/>
              </w:tabs>
            </w:pPr>
            <w:r w:rsidRPr="006C4A21">
              <w:t xml:space="preserve"> 665 </w:t>
            </w:r>
          </w:p>
        </w:tc>
        <w:tc>
          <w:tcPr>
            <w:tcW w:w="1087" w:type="pct"/>
          </w:tcPr>
          <w:p w14:paraId="61D8FB19" w14:textId="77777777" w:rsidR="001236DF" w:rsidRPr="006C4A21" w:rsidRDefault="001236DF" w:rsidP="001236DF">
            <w:pPr>
              <w:pStyle w:val="TableText"/>
              <w:tabs>
                <w:tab w:val="decimal" w:pos="820"/>
              </w:tabs>
            </w:pPr>
            <w:r w:rsidRPr="006C4A21">
              <w:t xml:space="preserve"> 19.0 </w:t>
            </w:r>
          </w:p>
        </w:tc>
      </w:tr>
      <w:tr w:rsidR="001236DF" w:rsidRPr="006C4A21" w14:paraId="1209885F" w14:textId="77777777" w:rsidTr="001236DF">
        <w:trPr>
          <w:cantSplit/>
        </w:trPr>
        <w:tc>
          <w:tcPr>
            <w:tcW w:w="1163" w:type="pct"/>
          </w:tcPr>
          <w:p w14:paraId="34AC49C8" w14:textId="77777777" w:rsidR="001236DF" w:rsidRPr="006C4A21" w:rsidRDefault="001236DF" w:rsidP="001236DF">
            <w:pPr>
              <w:pStyle w:val="TableText"/>
            </w:pPr>
            <w:r w:rsidRPr="006C4A21">
              <w:t>Southern</w:t>
            </w:r>
          </w:p>
        </w:tc>
        <w:tc>
          <w:tcPr>
            <w:tcW w:w="917" w:type="pct"/>
          </w:tcPr>
          <w:p w14:paraId="5097480F" w14:textId="77777777" w:rsidR="001236DF" w:rsidRPr="006C4A21" w:rsidRDefault="001236DF" w:rsidP="001236DF">
            <w:pPr>
              <w:pStyle w:val="TableText"/>
              <w:tabs>
                <w:tab w:val="decimal" w:pos="794"/>
              </w:tabs>
            </w:pPr>
            <w:r w:rsidRPr="006C4A21">
              <w:t xml:space="preserve"> 10 </w:t>
            </w:r>
          </w:p>
        </w:tc>
        <w:tc>
          <w:tcPr>
            <w:tcW w:w="917" w:type="pct"/>
          </w:tcPr>
          <w:p w14:paraId="56B44F73" w14:textId="77777777" w:rsidR="001236DF" w:rsidRPr="006C4A21" w:rsidRDefault="001236DF" w:rsidP="001236DF">
            <w:pPr>
              <w:pStyle w:val="TableText"/>
              <w:tabs>
                <w:tab w:val="decimal" w:pos="794"/>
              </w:tabs>
            </w:pPr>
            <w:r w:rsidRPr="006C4A21">
              <w:t xml:space="preserve"> 32 </w:t>
            </w:r>
          </w:p>
        </w:tc>
        <w:tc>
          <w:tcPr>
            <w:tcW w:w="916" w:type="pct"/>
          </w:tcPr>
          <w:p w14:paraId="5E58CD1C" w14:textId="77777777" w:rsidR="001236DF" w:rsidRPr="006C4A21" w:rsidRDefault="001236DF" w:rsidP="001236DF">
            <w:pPr>
              <w:pStyle w:val="TableText"/>
              <w:tabs>
                <w:tab w:val="decimal" w:pos="952"/>
              </w:tabs>
            </w:pPr>
            <w:r w:rsidRPr="006C4A21">
              <w:t xml:space="preserve"> 1,194 </w:t>
            </w:r>
          </w:p>
        </w:tc>
        <w:tc>
          <w:tcPr>
            <w:tcW w:w="1087" w:type="pct"/>
          </w:tcPr>
          <w:p w14:paraId="0FC19F50" w14:textId="77777777" w:rsidR="001236DF" w:rsidRPr="006C4A21" w:rsidRDefault="001236DF" w:rsidP="001236DF">
            <w:pPr>
              <w:pStyle w:val="TableText"/>
              <w:tabs>
                <w:tab w:val="decimal" w:pos="820"/>
              </w:tabs>
            </w:pPr>
            <w:r w:rsidRPr="006C4A21">
              <w:t xml:space="preserve"> 37.3 </w:t>
            </w:r>
          </w:p>
        </w:tc>
      </w:tr>
      <w:tr w:rsidR="001236DF" w:rsidRPr="006C4A21" w14:paraId="43DA1BAA" w14:textId="77777777" w:rsidTr="001236DF">
        <w:trPr>
          <w:cantSplit/>
        </w:trPr>
        <w:tc>
          <w:tcPr>
            <w:tcW w:w="1163" w:type="pct"/>
          </w:tcPr>
          <w:p w14:paraId="12C162DB" w14:textId="77777777" w:rsidR="001236DF" w:rsidRPr="006C4A21" w:rsidRDefault="001236DF" w:rsidP="001236DF">
            <w:pPr>
              <w:pStyle w:val="TableText"/>
            </w:pPr>
            <w:r w:rsidRPr="006C4A21">
              <w:t>Waikato</w:t>
            </w:r>
          </w:p>
        </w:tc>
        <w:tc>
          <w:tcPr>
            <w:tcW w:w="917" w:type="pct"/>
          </w:tcPr>
          <w:p w14:paraId="1FFA23D5" w14:textId="77777777" w:rsidR="001236DF" w:rsidRPr="006C4A21" w:rsidRDefault="001236DF" w:rsidP="001236DF">
            <w:pPr>
              <w:pStyle w:val="TableText"/>
              <w:tabs>
                <w:tab w:val="decimal" w:pos="794"/>
              </w:tabs>
            </w:pPr>
            <w:r w:rsidRPr="006C4A21">
              <w:t xml:space="preserve"> 33 </w:t>
            </w:r>
          </w:p>
        </w:tc>
        <w:tc>
          <w:tcPr>
            <w:tcW w:w="917" w:type="pct"/>
          </w:tcPr>
          <w:p w14:paraId="5A3D65AA" w14:textId="77777777" w:rsidR="001236DF" w:rsidRPr="006C4A21" w:rsidRDefault="001236DF" w:rsidP="001236DF">
            <w:pPr>
              <w:pStyle w:val="TableText"/>
              <w:tabs>
                <w:tab w:val="decimal" w:pos="794"/>
              </w:tabs>
            </w:pPr>
            <w:r w:rsidRPr="006C4A21">
              <w:t xml:space="preserve"> 61 </w:t>
            </w:r>
          </w:p>
        </w:tc>
        <w:tc>
          <w:tcPr>
            <w:tcW w:w="916" w:type="pct"/>
          </w:tcPr>
          <w:p w14:paraId="007208F2" w14:textId="77777777" w:rsidR="001236DF" w:rsidRPr="006C4A21" w:rsidRDefault="001236DF" w:rsidP="001236DF">
            <w:pPr>
              <w:pStyle w:val="TableText"/>
              <w:tabs>
                <w:tab w:val="decimal" w:pos="952"/>
              </w:tabs>
            </w:pPr>
            <w:r w:rsidRPr="006C4A21">
              <w:t xml:space="preserve"> 3,916 </w:t>
            </w:r>
          </w:p>
        </w:tc>
        <w:tc>
          <w:tcPr>
            <w:tcW w:w="1087" w:type="pct"/>
          </w:tcPr>
          <w:p w14:paraId="31CDEBC1" w14:textId="77777777" w:rsidR="001236DF" w:rsidRPr="006C4A21" w:rsidRDefault="001236DF" w:rsidP="001236DF">
            <w:pPr>
              <w:pStyle w:val="TableText"/>
              <w:tabs>
                <w:tab w:val="decimal" w:pos="820"/>
              </w:tabs>
            </w:pPr>
            <w:r w:rsidRPr="006C4A21">
              <w:t xml:space="preserve"> 64.2 </w:t>
            </w:r>
          </w:p>
        </w:tc>
      </w:tr>
      <w:tr w:rsidR="001236DF" w:rsidRPr="006C4A21" w14:paraId="74DE9A60" w14:textId="77777777" w:rsidTr="001236DF">
        <w:trPr>
          <w:cantSplit/>
        </w:trPr>
        <w:tc>
          <w:tcPr>
            <w:tcW w:w="1163" w:type="pct"/>
          </w:tcPr>
          <w:p w14:paraId="216411DA" w14:textId="77777777" w:rsidR="001236DF" w:rsidRPr="006C4A21" w:rsidRDefault="001236DF" w:rsidP="001236DF">
            <w:pPr>
              <w:pStyle w:val="TableText"/>
            </w:pPr>
            <w:r w:rsidRPr="006C4A21">
              <w:t>Waitematā</w:t>
            </w:r>
          </w:p>
        </w:tc>
        <w:tc>
          <w:tcPr>
            <w:tcW w:w="917" w:type="pct"/>
          </w:tcPr>
          <w:p w14:paraId="170DA620" w14:textId="77777777" w:rsidR="001236DF" w:rsidRPr="006C4A21" w:rsidRDefault="001236DF" w:rsidP="001236DF">
            <w:pPr>
              <w:pStyle w:val="TableText"/>
              <w:tabs>
                <w:tab w:val="decimal" w:pos="794"/>
              </w:tabs>
            </w:pPr>
            <w:r w:rsidRPr="006C4A21">
              <w:t xml:space="preserve"> 43 </w:t>
            </w:r>
          </w:p>
        </w:tc>
        <w:tc>
          <w:tcPr>
            <w:tcW w:w="917" w:type="pct"/>
          </w:tcPr>
          <w:p w14:paraId="01AAC982" w14:textId="77777777" w:rsidR="001236DF" w:rsidRPr="006C4A21" w:rsidRDefault="001236DF" w:rsidP="001236DF">
            <w:pPr>
              <w:pStyle w:val="TableText"/>
              <w:tabs>
                <w:tab w:val="decimal" w:pos="794"/>
              </w:tabs>
            </w:pPr>
            <w:r w:rsidRPr="006C4A21">
              <w:t xml:space="preserve"> 118 </w:t>
            </w:r>
          </w:p>
        </w:tc>
        <w:tc>
          <w:tcPr>
            <w:tcW w:w="916" w:type="pct"/>
          </w:tcPr>
          <w:p w14:paraId="10013654" w14:textId="77777777" w:rsidR="001236DF" w:rsidRPr="006C4A21" w:rsidRDefault="001236DF" w:rsidP="001236DF">
            <w:pPr>
              <w:pStyle w:val="TableText"/>
              <w:tabs>
                <w:tab w:val="decimal" w:pos="952"/>
              </w:tabs>
            </w:pPr>
            <w:r w:rsidRPr="006C4A21">
              <w:t xml:space="preserve"> 5,246 </w:t>
            </w:r>
          </w:p>
        </w:tc>
        <w:tc>
          <w:tcPr>
            <w:tcW w:w="1087" w:type="pct"/>
          </w:tcPr>
          <w:p w14:paraId="198DED8B" w14:textId="77777777" w:rsidR="001236DF" w:rsidRPr="006C4A21" w:rsidRDefault="001236DF" w:rsidP="001236DF">
            <w:pPr>
              <w:pStyle w:val="TableText"/>
              <w:tabs>
                <w:tab w:val="decimal" w:pos="820"/>
              </w:tabs>
            </w:pPr>
            <w:r w:rsidRPr="006C4A21">
              <w:t xml:space="preserve"> 44.5 </w:t>
            </w:r>
          </w:p>
        </w:tc>
      </w:tr>
      <w:tr w:rsidR="001236DF" w:rsidRPr="006C4A21" w14:paraId="43D7B1B5" w14:textId="77777777" w:rsidTr="001236DF">
        <w:trPr>
          <w:cantSplit/>
          <w:trHeight w:val="70"/>
        </w:trPr>
        <w:tc>
          <w:tcPr>
            <w:tcW w:w="1163" w:type="pct"/>
          </w:tcPr>
          <w:p w14:paraId="1AD54D83" w14:textId="77777777" w:rsidR="001236DF" w:rsidRPr="006C4A21" w:rsidRDefault="001236DF" w:rsidP="001236DF">
            <w:pPr>
              <w:pStyle w:val="TableText"/>
              <w:rPr>
                <w:b/>
              </w:rPr>
            </w:pPr>
            <w:r w:rsidRPr="006C4A21">
              <w:rPr>
                <w:b/>
              </w:rPr>
              <w:t>National total</w:t>
            </w:r>
          </w:p>
        </w:tc>
        <w:tc>
          <w:tcPr>
            <w:tcW w:w="917" w:type="pct"/>
          </w:tcPr>
          <w:p w14:paraId="040B5F27" w14:textId="77777777" w:rsidR="001236DF" w:rsidRPr="00691693" w:rsidRDefault="001236DF" w:rsidP="001236DF">
            <w:pPr>
              <w:pStyle w:val="TableText"/>
              <w:tabs>
                <w:tab w:val="decimal" w:pos="794"/>
              </w:tabs>
              <w:rPr>
                <w:b/>
                <w:bCs/>
              </w:rPr>
            </w:pPr>
            <w:r w:rsidRPr="00EA0100">
              <w:rPr>
                <w:b/>
                <w:bCs/>
              </w:rPr>
              <w:t xml:space="preserve"> 140 </w:t>
            </w:r>
          </w:p>
        </w:tc>
        <w:tc>
          <w:tcPr>
            <w:tcW w:w="917" w:type="pct"/>
          </w:tcPr>
          <w:p w14:paraId="434E165D" w14:textId="77777777" w:rsidR="001236DF" w:rsidRPr="00691693" w:rsidRDefault="001236DF" w:rsidP="001236DF">
            <w:pPr>
              <w:pStyle w:val="TableText"/>
              <w:tabs>
                <w:tab w:val="decimal" w:pos="794"/>
              </w:tabs>
              <w:rPr>
                <w:b/>
                <w:bCs/>
              </w:rPr>
            </w:pPr>
            <w:r w:rsidRPr="00EA0100">
              <w:rPr>
                <w:b/>
                <w:bCs/>
              </w:rPr>
              <w:t xml:space="preserve"> 356 </w:t>
            </w:r>
          </w:p>
        </w:tc>
        <w:tc>
          <w:tcPr>
            <w:tcW w:w="916" w:type="pct"/>
          </w:tcPr>
          <w:p w14:paraId="25BCB44B" w14:textId="77777777" w:rsidR="001236DF" w:rsidRPr="00691693" w:rsidRDefault="001236DF" w:rsidP="001236DF">
            <w:pPr>
              <w:pStyle w:val="TableText"/>
              <w:tabs>
                <w:tab w:val="decimal" w:pos="952"/>
              </w:tabs>
              <w:rPr>
                <w:b/>
                <w:bCs/>
              </w:rPr>
            </w:pPr>
            <w:r w:rsidRPr="00EA0100">
              <w:rPr>
                <w:b/>
                <w:bCs/>
              </w:rPr>
              <w:t xml:space="preserve"> 19,058 </w:t>
            </w:r>
          </w:p>
        </w:tc>
        <w:tc>
          <w:tcPr>
            <w:tcW w:w="1087" w:type="pct"/>
          </w:tcPr>
          <w:p w14:paraId="535D7829" w14:textId="77777777" w:rsidR="001236DF" w:rsidRPr="00691693" w:rsidRDefault="001236DF" w:rsidP="001236DF">
            <w:pPr>
              <w:pStyle w:val="TableText"/>
              <w:tabs>
                <w:tab w:val="decimal" w:pos="820"/>
              </w:tabs>
              <w:rPr>
                <w:b/>
                <w:bCs/>
              </w:rPr>
            </w:pPr>
            <w:r w:rsidRPr="00EA0100">
              <w:rPr>
                <w:b/>
                <w:bCs/>
              </w:rPr>
              <w:t xml:space="preserve"> 53.5 </w:t>
            </w:r>
          </w:p>
        </w:tc>
      </w:tr>
    </w:tbl>
    <w:p w14:paraId="44C94D69" w14:textId="77777777" w:rsidR="001236DF" w:rsidRPr="006C4A21" w:rsidRDefault="001236DF" w:rsidP="001236DF">
      <w:pPr>
        <w:pStyle w:val="Note"/>
      </w:pPr>
      <w:r w:rsidRPr="006C4A21">
        <w:t xml:space="preserve">Notes: Data for the Whanganui forensic mental health service has been included with Capital &amp; Coast DHB. </w:t>
      </w:r>
      <w:r>
        <w:t>People</w:t>
      </w:r>
      <w:r w:rsidRPr="006C4A21">
        <w:t xml:space="preserve"> are aged 20–64 years. </w:t>
      </w:r>
      <w:r>
        <w:t>People</w:t>
      </w:r>
      <w:r w:rsidRPr="006C4A21">
        <w:t xml:space="preserve"> are mental health service users only.</w:t>
      </w:r>
    </w:p>
    <w:p w14:paraId="79AB9B1E" w14:textId="77777777" w:rsidR="001236DF" w:rsidRDefault="001236DF" w:rsidP="001236DF">
      <w:pPr>
        <w:pStyle w:val="Source"/>
      </w:pPr>
      <w:r w:rsidRPr="006C4A21">
        <w:t>Sources: PRIMHD data (extracted 3 June 2022) and manual data from Southern, Waikato and Waitematā DHBs.</w:t>
      </w:r>
    </w:p>
    <w:p w14:paraId="476AD645" w14:textId="77777777" w:rsidR="001236DF" w:rsidRDefault="001236DF" w:rsidP="001236DF"/>
    <w:p w14:paraId="01920AD9" w14:textId="77777777" w:rsidR="00F10DDC" w:rsidRDefault="00F10DDC" w:rsidP="001236DF">
      <w:pPr>
        <w:pStyle w:val="Table"/>
        <w:spacing w:before="0"/>
        <w:sectPr w:rsidR="00F10DDC" w:rsidSect="00D40D3F">
          <w:pgSz w:w="11907" w:h="16840" w:code="9"/>
          <w:pgMar w:top="1418" w:right="1701" w:bottom="1134" w:left="1843" w:header="284" w:footer="425" w:gutter="284"/>
          <w:cols w:space="720"/>
        </w:sectPr>
      </w:pPr>
      <w:bookmarkStart w:id="398" w:name="_Ref108534826"/>
      <w:bookmarkStart w:id="399" w:name="_Toc115188873"/>
    </w:p>
    <w:p w14:paraId="68AADF05" w14:textId="71F328EB" w:rsidR="001236DF" w:rsidRDefault="001236DF" w:rsidP="00F10DDC">
      <w:pPr>
        <w:pStyle w:val="Figure"/>
      </w:pPr>
      <w:bookmarkStart w:id="400" w:name="_Toc115272576"/>
      <w:r>
        <w:lastRenderedPageBreak/>
        <w:t xml:space="preserve">Figure </w:t>
      </w:r>
      <w:fldSimple w:instr=" SEQ Figure \* ARABIC ">
        <w:r w:rsidR="009A04B0">
          <w:rPr>
            <w:noProof/>
          </w:rPr>
          <w:t>34</w:t>
        </w:r>
      </w:fldSimple>
      <w:bookmarkEnd w:id="398"/>
      <w:r>
        <w:t>: Seclusion indicators for forensic mental health services nationally, by ethnicity, 1 July 2020 to 30 June 2021</w:t>
      </w:r>
      <w:bookmarkEnd w:id="399"/>
      <w:bookmarkEnd w:id="400"/>
    </w:p>
    <w:p w14:paraId="7E3AA75E" w14:textId="77777777" w:rsidR="001236DF" w:rsidRPr="00200234" w:rsidRDefault="001236DF" w:rsidP="00F10DDC">
      <w:r>
        <w:rPr>
          <w:noProof/>
        </w:rPr>
        <w:drawing>
          <wp:inline distT="0" distB="0" distL="0" distR="0" wp14:anchorId="4098563B" wp14:editId="49693A49">
            <wp:extent cx="5229225" cy="2571750"/>
            <wp:effectExtent l="0" t="0" r="0" b="0"/>
            <wp:docPr id="59" name="Chart 59" descr="This shows that 72 Māori, 15 Pacific people, and 53 people of other ethnicities were secluded in forensic services. There were 155 events for Māori, 52 for Pacific people, and 149 for those of other ethnicities.">
              <a:extLst xmlns:a="http://schemas.openxmlformats.org/drawingml/2006/main">
                <a:ext uri="{FF2B5EF4-FFF2-40B4-BE49-F238E27FC236}">
                  <a16:creationId xmlns:a16="http://schemas.microsoft.com/office/drawing/2014/main" id="{F1431963-1A2D-4407-95AC-617E1C3A14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2B33B836" w14:textId="77777777" w:rsidR="001236DF" w:rsidRPr="006C4A21" w:rsidRDefault="001236DF" w:rsidP="001236DF">
      <w:pPr>
        <w:pStyle w:val="Note"/>
      </w:pPr>
      <w:bookmarkStart w:id="401" w:name="_Toc87429916"/>
      <w:bookmarkStart w:id="402" w:name="_Toc88826964"/>
      <w:r w:rsidRPr="006C4A21">
        <w:t xml:space="preserve">Notes: </w:t>
      </w:r>
      <w:r>
        <w:t>People in this figure</w:t>
      </w:r>
      <w:r w:rsidRPr="006C4A21">
        <w:t xml:space="preserve"> are aged 20–64 years. </w:t>
      </w:r>
      <w:r>
        <w:t>People</w:t>
      </w:r>
      <w:r w:rsidRPr="006C4A21">
        <w:t xml:space="preserve"> are mental health service users only.</w:t>
      </w:r>
    </w:p>
    <w:p w14:paraId="7A2EBB37" w14:textId="77777777" w:rsidR="001236DF" w:rsidRDefault="001236DF" w:rsidP="001236DF">
      <w:pPr>
        <w:pStyle w:val="Source"/>
      </w:pPr>
      <w:r w:rsidRPr="006C4A21">
        <w:t>Sources: PRIMHD data (extracted 3 June 2022) and manual data from Southern, Waikato and Waitematā DHBs.</w:t>
      </w:r>
    </w:p>
    <w:p w14:paraId="6DD137BF" w14:textId="77777777" w:rsidR="001236DF" w:rsidRPr="00523333" w:rsidRDefault="001236DF" w:rsidP="001236DF">
      <w:pPr>
        <w:pStyle w:val="Heading2"/>
      </w:pPr>
      <w:r>
        <w:br w:type="page"/>
      </w:r>
      <w:bookmarkStart w:id="403" w:name="_Toc115188814"/>
      <w:bookmarkStart w:id="404" w:name="_Toc115431712"/>
      <w:r>
        <w:lastRenderedPageBreak/>
        <w:t>People with intellectual disabilities cared for in an intellectual disability forensic service</w:t>
      </w:r>
      <w:bookmarkEnd w:id="401"/>
      <w:bookmarkEnd w:id="402"/>
      <w:bookmarkEnd w:id="403"/>
      <w:bookmarkEnd w:id="404"/>
    </w:p>
    <w:p w14:paraId="0E548384" w14:textId="77777777" w:rsidR="001236DF" w:rsidRDefault="001236DF" w:rsidP="001236DF">
      <w:pPr>
        <w:keepNext/>
        <w:keepLines/>
      </w:pPr>
      <w:r>
        <w:t xml:space="preserve">The 5 DHBs that </w:t>
      </w:r>
      <w:r w:rsidRPr="00200234">
        <w:rPr>
          <w:rFonts w:cs="Segoe UI"/>
        </w:rPr>
        <w:t>provid</w:t>
      </w:r>
      <w:r>
        <w:rPr>
          <w:rFonts w:cs="Segoe UI"/>
        </w:rPr>
        <w:t>ed</w:t>
      </w:r>
      <w:r w:rsidRPr="00200234">
        <w:rPr>
          <w:rFonts w:cs="Segoe UI"/>
        </w:rPr>
        <w:t xml:space="preserve"> specialist inpatient forensic services</w:t>
      </w:r>
      <w:r>
        <w:t xml:space="preserve"> (as listed above) also provided forensic intellectual disability services for people with an intellectual disability under the Intellectual Disability (Compulsory Care and Rehabilitation) Act 2003 (the Intellectual Disability Care Act), as care recipients or special care recipients. Individuals become subject to the Intellectual Disability Care Act after they have been engaged in criminal offending, and compulsory care is provided as an alternative to a prison sentence. A small number of individuals in forensic intellectual disability services are under the Mental Health Act.</w:t>
      </w:r>
    </w:p>
    <w:p w14:paraId="5B460C6F" w14:textId="77777777" w:rsidR="001236DF" w:rsidRDefault="001236DF" w:rsidP="001236DF">
      <w:pPr>
        <w:keepNext/>
      </w:pPr>
    </w:p>
    <w:p w14:paraId="2957E1FB" w14:textId="77777777" w:rsidR="001236DF" w:rsidRDefault="001236DF" w:rsidP="001236DF">
      <w:r>
        <w:t xml:space="preserve">The seclusion data presented for people with intellectual disabilities is for individuals with a legal status under the Intellectual Disability Care Act or the Mental Health Act. People receiving care under these Acts may only be subject to seclusion in hospital-level secure services that meet specific </w:t>
      </w:r>
      <w:r w:rsidRPr="00D24D40">
        <w:t xml:space="preserve">requirements. In </w:t>
      </w:r>
      <w:r>
        <w:t>the</w:t>
      </w:r>
      <w:r w:rsidRPr="00D24D40">
        <w:t xml:space="preserve"> analysis</w:t>
      </w:r>
      <w:r>
        <w:t xml:space="preserve"> in Tables 10, 11 and 12</w:t>
      </w:r>
      <w:r w:rsidRPr="00D24D40">
        <w:t>, we have purposely left out data from an outlier, where a high proportion of recorded seclusion hours from Capital &amp; Coast DHB relates to a single client.</w:t>
      </w:r>
    </w:p>
    <w:p w14:paraId="2B8523FD" w14:textId="77777777" w:rsidR="001236DF" w:rsidRDefault="001236DF" w:rsidP="001236DF"/>
    <w:p w14:paraId="2DC27787" w14:textId="5628E081" w:rsidR="001236DF" w:rsidRPr="00787E91" w:rsidRDefault="001236DF" w:rsidP="001236DF">
      <w:pPr>
        <w:pStyle w:val="Table"/>
      </w:pPr>
      <w:bookmarkStart w:id="405" w:name="_Toc87430007"/>
      <w:bookmarkStart w:id="406" w:name="_Toc88561364"/>
      <w:bookmarkStart w:id="407" w:name="_Toc115188899"/>
      <w:bookmarkStart w:id="408" w:name="_Toc115272601"/>
      <w:r w:rsidRPr="00787E91">
        <w:t>Table </w:t>
      </w:r>
      <w:fldSimple w:instr=" SEQ Table \* ARABIC ">
        <w:r w:rsidR="009A04B0">
          <w:rPr>
            <w:noProof/>
          </w:rPr>
          <w:t>10</w:t>
        </w:r>
      </w:fldSimple>
      <w:r w:rsidRPr="00787E91">
        <w:t>: Seclusion indicators for people with intellectual disabilities, by DHB, 1 </w:t>
      </w:r>
      <w:bookmarkEnd w:id="405"/>
      <w:bookmarkEnd w:id="406"/>
      <w:r w:rsidRPr="00787E91">
        <w:t>July 2020 to 30 June 2021</w:t>
      </w:r>
      <w:bookmarkEnd w:id="407"/>
      <w:bookmarkEnd w:id="408"/>
    </w:p>
    <w:tbl>
      <w:tblPr>
        <w:tblW w:w="4931" w:type="pct"/>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460" w:firstRow="1" w:lastRow="1" w:firstColumn="0" w:lastColumn="0" w:noHBand="0" w:noVBand="1"/>
      </w:tblPr>
      <w:tblGrid>
        <w:gridCol w:w="1016"/>
        <w:gridCol w:w="1500"/>
        <w:gridCol w:w="1165"/>
        <w:gridCol w:w="1141"/>
        <w:gridCol w:w="1468"/>
        <w:gridCol w:w="1678"/>
      </w:tblGrid>
      <w:tr w:rsidR="001236DF" w:rsidRPr="00787E91" w14:paraId="23237377" w14:textId="77777777" w:rsidTr="001236DF">
        <w:trPr>
          <w:cantSplit/>
        </w:trPr>
        <w:tc>
          <w:tcPr>
            <w:tcW w:w="638" w:type="pct"/>
            <w:tcBorders>
              <w:top w:val="nil"/>
              <w:bottom w:val="nil"/>
            </w:tcBorders>
            <w:shd w:val="clear" w:color="auto" w:fill="D9D9D9"/>
          </w:tcPr>
          <w:p w14:paraId="18704EFC" w14:textId="77777777" w:rsidR="001236DF" w:rsidRPr="00787E91" w:rsidRDefault="001236DF" w:rsidP="001236DF">
            <w:pPr>
              <w:pStyle w:val="TableText"/>
              <w:rPr>
                <w:b/>
              </w:rPr>
            </w:pPr>
            <w:bookmarkStart w:id="409" w:name="_Hlk111534877"/>
            <w:r w:rsidRPr="00787E91">
              <w:rPr>
                <w:b/>
              </w:rPr>
              <w:t>Legal Act</w:t>
            </w:r>
          </w:p>
        </w:tc>
        <w:tc>
          <w:tcPr>
            <w:tcW w:w="941" w:type="pct"/>
            <w:tcBorders>
              <w:top w:val="nil"/>
              <w:bottom w:val="nil"/>
            </w:tcBorders>
            <w:shd w:val="clear" w:color="auto" w:fill="D9D9D9"/>
          </w:tcPr>
          <w:p w14:paraId="2792E454" w14:textId="77777777" w:rsidR="001236DF" w:rsidRPr="00787E91" w:rsidRDefault="001236DF" w:rsidP="001236DF">
            <w:pPr>
              <w:pStyle w:val="TableText"/>
              <w:rPr>
                <w:b/>
              </w:rPr>
            </w:pPr>
            <w:r w:rsidRPr="00787E91">
              <w:rPr>
                <w:b/>
              </w:rPr>
              <w:t>DHB</w:t>
            </w:r>
          </w:p>
        </w:tc>
        <w:tc>
          <w:tcPr>
            <w:tcW w:w="731" w:type="pct"/>
            <w:tcBorders>
              <w:top w:val="nil"/>
              <w:bottom w:val="nil"/>
            </w:tcBorders>
            <w:shd w:val="clear" w:color="auto" w:fill="D9D9D9"/>
          </w:tcPr>
          <w:p w14:paraId="494E28A2" w14:textId="77777777" w:rsidR="001236DF" w:rsidRPr="00787E91" w:rsidRDefault="001236DF" w:rsidP="001236DF">
            <w:pPr>
              <w:pStyle w:val="TableText"/>
              <w:jc w:val="center"/>
              <w:rPr>
                <w:b/>
              </w:rPr>
            </w:pPr>
            <w:r w:rsidRPr="00787E91">
              <w:rPr>
                <w:b/>
              </w:rPr>
              <w:t>Number of people secluded</w:t>
            </w:r>
          </w:p>
        </w:tc>
        <w:tc>
          <w:tcPr>
            <w:tcW w:w="716" w:type="pct"/>
            <w:tcBorders>
              <w:top w:val="nil"/>
              <w:bottom w:val="nil"/>
            </w:tcBorders>
            <w:shd w:val="clear" w:color="auto" w:fill="D9D9D9"/>
          </w:tcPr>
          <w:p w14:paraId="56799894" w14:textId="77777777" w:rsidR="001236DF" w:rsidRPr="00787E91" w:rsidRDefault="001236DF" w:rsidP="001236DF">
            <w:pPr>
              <w:pStyle w:val="TableText"/>
              <w:jc w:val="center"/>
              <w:rPr>
                <w:b/>
              </w:rPr>
            </w:pPr>
            <w:r w:rsidRPr="00787E91">
              <w:rPr>
                <w:b/>
              </w:rPr>
              <w:t>Number</w:t>
            </w:r>
            <w:r w:rsidRPr="00787E91">
              <w:rPr>
                <w:b/>
              </w:rPr>
              <w:br/>
              <w:t>of events</w:t>
            </w:r>
          </w:p>
        </w:tc>
        <w:tc>
          <w:tcPr>
            <w:tcW w:w="921" w:type="pct"/>
            <w:tcBorders>
              <w:top w:val="nil"/>
              <w:bottom w:val="nil"/>
            </w:tcBorders>
            <w:shd w:val="clear" w:color="auto" w:fill="D9D9D9"/>
          </w:tcPr>
          <w:p w14:paraId="11DF5BC8" w14:textId="77777777" w:rsidR="001236DF" w:rsidRPr="00787E91" w:rsidRDefault="001236DF" w:rsidP="001236DF">
            <w:pPr>
              <w:pStyle w:val="TableText"/>
              <w:jc w:val="center"/>
              <w:rPr>
                <w:b/>
              </w:rPr>
            </w:pPr>
            <w:r w:rsidRPr="00787E91">
              <w:rPr>
                <w:b/>
              </w:rPr>
              <w:t>Median</w:t>
            </w:r>
            <w:r w:rsidRPr="00787E91">
              <w:rPr>
                <w:b/>
              </w:rPr>
              <w:br/>
              <w:t>number of events</w:t>
            </w:r>
          </w:p>
        </w:tc>
        <w:tc>
          <w:tcPr>
            <w:tcW w:w="1053" w:type="pct"/>
            <w:tcBorders>
              <w:top w:val="nil"/>
              <w:bottom w:val="nil"/>
            </w:tcBorders>
            <w:shd w:val="clear" w:color="auto" w:fill="D9D9D9"/>
          </w:tcPr>
          <w:p w14:paraId="40D0BE5B" w14:textId="77777777" w:rsidR="001236DF" w:rsidRPr="00787E91" w:rsidRDefault="001236DF" w:rsidP="001236DF">
            <w:pPr>
              <w:pStyle w:val="TableText"/>
              <w:jc w:val="center"/>
              <w:rPr>
                <w:b/>
              </w:rPr>
            </w:pPr>
            <w:r w:rsidRPr="00787E91">
              <w:rPr>
                <w:b/>
              </w:rPr>
              <w:t>Average number of events per person</w:t>
            </w:r>
          </w:p>
        </w:tc>
      </w:tr>
      <w:tr w:rsidR="001236DF" w:rsidRPr="00787E91" w14:paraId="13A1BE1E" w14:textId="77777777" w:rsidTr="001236DF">
        <w:trPr>
          <w:cantSplit/>
        </w:trPr>
        <w:tc>
          <w:tcPr>
            <w:tcW w:w="638" w:type="pct"/>
            <w:vMerge w:val="restart"/>
            <w:tcBorders>
              <w:top w:val="nil"/>
            </w:tcBorders>
          </w:tcPr>
          <w:p w14:paraId="22115DDF" w14:textId="77777777" w:rsidR="001236DF" w:rsidRPr="00787E91" w:rsidRDefault="001236DF" w:rsidP="001236DF">
            <w:pPr>
              <w:pStyle w:val="TableText"/>
            </w:pPr>
            <w:r>
              <w:t>Intellectual Disability Care Act</w:t>
            </w:r>
          </w:p>
        </w:tc>
        <w:tc>
          <w:tcPr>
            <w:tcW w:w="941" w:type="pct"/>
            <w:tcBorders>
              <w:top w:val="nil"/>
            </w:tcBorders>
          </w:tcPr>
          <w:p w14:paraId="0F4AEBFD" w14:textId="77777777" w:rsidR="001236DF" w:rsidRPr="00787E91" w:rsidRDefault="001236DF" w:rsidP="001236DF">
            <w:pPr>
              <w:pStyle w:val="TableText"/>
            </w:pPr>
            <w:r w:rsidRPr="00787E91">
              <w:t>Canterbury</w:t>
            </w:r>
          </w:p>
        </w:tc>
        <w:tc>
          <w:tcPr>
            <w:tcW w:w="731" w:type="pct"/>
            <w:tcBorders>
              <w:top w:val="nil"/>
            </w:tcBorders>
          </w:tcPr>
          <w:p w14:paraId="484BF052" w14:textId="77777777" w:rsidR="001236DF" w:rsidRPr="00787E91" w:rsidRDefault="001236DF" w:rsidP="001236DF">
            <w:pPr>
              <w:pStyle w:val="TableText"/>
              <w:tabs>
                <w:tab w:val="decimal" w:pos="652"/>
              </w:tabs>
            </w:pPr>
            <w:r w:rsidRPr="00787E91">
              <w:t>5</w:t>
            </w:r>
          </w:p>
        </w:tc>
        <w:tc>
          <w:tcPr>
            <w:tcW w:w="716" w:type="pct"/>
            <w:tcBorders>
              <w:top w:val="nil"/>
            </w:tcBorders>
          </w:tcPr>
          <w:p w14:paraId="244F6876" w14:textId="77777777" w:rsidR="001236DF" w:rsidRPr="00787E91" w:rsidRDefault="001236DF" w:rsidP="001236DF">
            <w:pPr>
              <w:pStyle w:val="TableText"/>
              <w:tabs>
                <w:tab w:val="decimal" w:pos="700"/>
              </w:tabs>
            </w:pPr>
            <w:r w:rsidRPr="00787E91">
              <w:t>7</w:t>
            </w:r>
          </w:p>
        </w:tc>
        <w:tc>
          <w:tcPr>
            <w:tcW w:w="921" w:type="pct"/>
            <w:tcBorders>
              <w:top w:val="nil"/>
            </w:tcBorders>
          </w:tcPr>
          <w:p w14:paraId="15673536" w14:textId="77777777" w:rsidR="001236DF" w:rsidRPr="00787E91" w:rsidRDefault="001236DF" w:rsidP="001236DF">
            <w:pPr>
              <w:pStyle w:val="TableText"/>
              <w:tabs>
                <w:tab w:val="decimal" w:pos="822"/>
              </w:tabs>
            </w:pPr>
            <w:r w:rsidRPr="00787E91">
              <w:t>1</w:t>
            </w:r>
          </w:p>
        </w:tc>
        <w:tc>
          <w:tcPr>
            <w:tcW w:w="1053" w:type="pct"/>
            <w:tcBorders>
              <w:top w:val="nil"/>
            </w:tcBorders>
          </w:tcPr>
          <w:p w14:paraId="337110E4" w14:textId="77777777" w:rsidR="001236DF" w:rsidRPr="00787E91" w:rsidRDefault="001236DF" w:rsidP="001236DF">
            <w:pPr>
              <w:pStyle w:val="TableText"/>
              <w:tabs>
                <w:tab w:val="decimal" w:pos="851"/>
              </w:tabs>
            </w:pPr>
            <w:r w:rsidRPr="00787E91">
              <w:t>1</w:t>
            </w:r>
          </w:p>
        </w:tc>
      </w:tr>
      <w:tr w:rsidR="001236DF" w:rsidRPr="00787E91" w14:paraId="5DEBF273" w14:textId="77777777" w:rsidTr="001236DF">
        <w:trPr>
          <w:cantSplit/>
        </w:trPr>
        <w:tc>
          <w:tcPr>
            <w:tcW w:w="638" w:type="pct"/>
            <w:vMerge/>
          </w:tcPr>
          <w:p w14:paraId="3F073CB8" w14:textId="77777777" w:rsidR="001236DF" w:rsidRPr="00787E91" w:rsidRDefault="001236DF" w:rsidP="001236DF">
            <w:pPr>
              <w:pStyle w:val="TableText"/>
            </w:pPr>
          </w:p>
        </w:tc>
        <w:tc>
          <w:tcPr>
            <w:tcW w:w="941" w:type="pct"/>
            <w:tcBorders>
              <w:top w:val="nil"/>
            </w:tcBorders>
          </w:tcPr>
          <w:p w14:paraId="13B1450D" w14:textId="77777777" w:rsidR="001236DF" w:rsidRPr="00787E91" w:rsidRDefault="001236DF" w:rsidP="001236DF">
            <w:pPr>
              <w:pStyle w:val="TableText"/>
            </w:pPr>
            <w:r w:rsidRPr="00787E91">
              <w:t>Capital &amp; Coast</w:t>
            </w:r>
          </w:p>
        </w:tc>
        <w:tc>
          <w:tcPr>
            <w:tcW w:w="731" w:type="pct"/>
            <w:tcBorders>
              <w:top w:val="nil"/>
            </w:tcBorders>
          </w:tcPr>
          <w:p w14:paraId="12B2ADE9" w14:textId="77777777" w:rsidR="001236DF" w:rsidRPr="00787E91" w:rsidRDefault="001236DF" w:rsidP="001236DF">
            <w:pPr>
              <w:pStyle w:val="TableText"/>
              <w:tabs>
                <w:tab w:val="decimal" w:pos="652"/>
              </w:tabs>
            </w:pPr>
            <w:r w:rsidRPr="00787E91">
              <w:t>4</w:t>
            </w:r>
          </w:p>
        </w:tc>
        <w:tc>
          <w:tcPr>
            <w:tcW w:w="716" w:type="pct"/>
            <w:tcBorders>
              <w:top w:val="nil"/>
            </w:tcBorders>
          </w:tcPr>
          <w:p w14:paraId="6BC6813C" w14:textId="77777777" w:rsidR="001236DF" w:rsidRPr="00787E91" w:rsidRDefault="001236DF" w:rsidP="001236DF">
            <w:pPr>
              <w:pStyle w:val="TableText"/>
              <w:tabs>
                <w:tab w:val="decimal" w:pos="700"/>
              </w:tabs>
            </w:pPr>
            <w:r w:rsidRPr="00787E91">
              <w:t>12</w:t>
            </w:r>
          </w:p>
        </w:tc>
        <w:tc>
          <w:tcPr>
            <w:tcW w:w="921" w:type="pct"/>
            <w:tcBorders>
              <w:top w:val="nil"/>
            </w:tcBorders>
          </w:tcPr>
          <w:p w14:paraId="3958C07A" w14:textId="77777777" w:rsidR="001236DF" w:rsidRPr="00787E91" w:rsidRDefault="001236DF" w:rsidP="001236DF">
            <w:pPr>
              <w:pStyle w:val="TableText"/>
              <w:tabs>
                <w:tab w:val="decimal" w:pos="822"/>
              </w:tabs>
            </w:pPr>
            <w:r w:rsidRPr="00787E91">
              <w:t>2</w:t>
            </w:r>
          </w:p>
        </w:tc>
        <w:tc>
          <w:tcPr>
            <w:tcW w:w="1053" w:type="pct"/>
            <w:tcBorders>
              <w:top w:val="nil"/>
            </w:tcBorders>
          </w:tcPr>
          <w:p w14:paraId="1CDCCE88" w14:textId="77777777" w:rsidR="001236DF" w:rsidRPr="00787E91" w:rsidRDefault="001236DF" w:rsidP="001236DF">
            <w:pPr>
              <w:pStyle w:val="TableText"/>
              <w:tabs>
                <w:tab w:val="decimal" w:pos="851"/>
              </w:tabs>
            </w:pPr>
            <w:r w:rsidRPr="00787E91">
              <w:t>3</w:t>
            </w:r>
          </w:p>
        </w:tc>
      </w:tr>
      <w:tr w:rsidR="001236DF" w:rsidRPr="00787E91" w14:paraId="0D882346" w14:textId="77777777" w:rsidTr="001236DF">
        <w:trPr>
          <w:cantSplit/>
        </w:trPr>
        <w:tc>
          <w:tcPr>
            <w:tcW w:w="638" w:type="pct"/>
            <w:vMerge/>
          </w:tcPr>
          <w:p w14:paraId="3FC104B6" w14:textId="77777777" w:rsidR="001236DF" w:rsidRPr="00787E91" w:rsidRDefault="001236DF" w:rsidP="001236DF">
            <w:pPr>
              <w:pStyle w:val="TableText"/>
            </w:pPr>
          </w:p>
        </w:tc>
        <w:tc>
          <w:tcPr>
            <w:tcW w:w="941" w:type="pct"/>
          </w:tcPr>
          <w:p w14:paraId="6ADE9946" w14:textId="77777777" w:rsidR="001236DF" w:rsidRPr="00787E91" w:rsidRDefault="001236DF" w:rsidP="001236DF">
            <w:pPr>
              <w:pStyle w:val="TableText"/>
            </w:pPr>
            <w:r w:rsidRPr="00787E91">
              <w:t>Southern</w:t>
            </w:r>
          </w:p>
        </w:tc>
        <w:tc>
          <w:tcPr>
            <w:tcW w:w="731" w:type="pct"/>
          </w:tcPr>
          <w:p w14:paraId="78AB067E" w14:textId="77777777" w:rsidR="001236DF" w:rsidRPr="00787E91" w:rsidRDefault="001236DF" w:rsidP="001236DF">
            <w:pPr>
              <w:pStyle w:val="TableText"/>
              <w:tabs>
                <w:tab w:val="decimal" w:pos="652"/>
              </w:tabs>
            </w:pPr>
            <w:r w:rsidRPr="00787E91">
              <w:t>7</w:t>
            </w:r>
          </w:p>
        </w:tc>
        <w:tc>
          <w:tcPr>
            <w:tcW w:w="716" w:type="pct"/>
          </w:tcPr>
          <w:p w14:paraId="5424F78C" w14:textId="77777777" w:rsidR="001236DF" w:rsidRPr="00787E91" w:rsidRDefault="001236DF" w:rsidP="001236DF">
            <w:pPr>
              <w:pStyle w:val="TableText"/>
              <w:tabs>
                <w:tab w:val="decimal" w:pos="700"/>
              </w:tabs>
            </w:pPr>
            <w:r w:rsidRPr="00787E91">
              <w:t>15</w:t>
            </w:r>
          </w:p>
        </w:tc>
        <w:tc>
          <w:tcPr>
            <w:tcW w:w="921" w:type="pct"/>
          </w:tcPr>
          <w:p w14:paraId="2939A5BB" w14:textId="77777777" w:rsidR="001236DF" w:rsidRPr="00787E91" w:rsidRDefault="001236DF" w:rsidP="001236DF">
            <w:pPr>
              <w:pStyle w:val="TableText"/>
              <w:tabs>
                <w:tab w:val="decimal" w:pos="822"/>
              </w:tabs>
            </w:pPr>
            <w:r w:rsidRPr="00787E91">
              <w:t>2</w:t>
            </w:r>
          </w:p>
        </w:tc>
        <w:tc>
          <w:tcPr>
            <w:tcW w:w="1053" w:type="pct"/>
          </w:tcPr>
          <w:p w14:paraId="2397B1AE" w14:textId="77777777" w:rsidR="001236DF" w:rsidRPr="00787E91" w:rsidRDefault="001236DF" w:rsidP="001236DF">
            <w:pPr>
              <w:pStyle w:val="TableText"/>
              <w:tabs>
                <w:tab w:val="decimal" w:pos="851"/>
              </w:tabs>
            </w:pPr>
            <w:r w:rsidRPr="00787E91">
              <w:t>2</w:t>
            </w:r>
          </w:p>
        </w:tc>
      </w:tr>
      <w:tr w:rsidR="001236DF" w:rsidRPr="00787E91" w14:paraId="78E99AD8" w14:textId="77777777" w:rsidTr="001236DF">
        <w:trPr>
          <w:cantSplit/>
        </w:trPr>
        <w:tc>
          <w:tcPr>
            <w:tcW w:w="638" w:type="pct"/>
            <w:vMerge/>
          </w:tcPr>
          <w:p w14:paraId="3ABDFDB6" w14:textId="77777777" w:rsidR="001236DF" w:rsidRPr="00787E91" w:rsidRDefault="001236DF" w:rsidP="001236DF">
            <w:pPr>
              <w:pStyle w:val="TableText"/>
            </w:pPr>
          </w:p>
        </w:tc>
        <w:tc>
          <w:tcPr>
            <w:tcW w:w="941" w:type="pct"/>
            <w:tcBorders>
              <w:bottom w:val="single" w:sz="4" w:space="0" w:color="A6A6A6"/>
            </w:tcBorders>
          </w:tcPr>
          <w:p w14:paraId="25BAFB52" w14:textId="77777777" w:rsidR="001236DF" w:rsidRPr="00787E91" w:rsidRDefault="001236DF" w:rsidP="001236DF">
            <w:pPr>
              <w:pStyle w:val="TableText"/>
            </w:pPr>
            <w:r w:rsidRPr="00787E91">
              <w:t>Waikato</w:t>
            </w:r>
          </w:p>
        </w:tc>
        <w:tc>
          <w:tcPr>
            <w:tcW w:w="731" w:type="pct"/>
            <w:tcBorders>
              <w:bottom w:val="single" w:sz="4" w:space="0" w:color="A6A6A6"/>
            </w:tcBorders>
          </w:tcPr>
          <w:p w14:paraId="11484837" w14:textId="77777777" w:rsidR="001236DF" w:rsidRPr="00787E91" w:rsidRDefault="001236DF" w:rsidP="001236DF">
            <w:pPr>
              <w:pStyle w:val="TableText"/>
              <w:tabs>
                <w:tab w:val="decimal" w:pos="652"/>
              </w:tabs>
            </w:pPr>
            <w:r w:rsidRPr="00787E91">
              <w:t>2</w:t>
            </w:r>
          </w:p>
        </w:tc>
        <w:tc>
          <w:tcPr>
            <w:tcW w:w="716" w:type="pct"/>
            <w:tcBorders>
              <w:bottom w:val="single" w:sz="4" w:space="0" w:color="A6A6A6"/>
            </w:tcBorders>
          </w:tcPr>
          <w:p w14:paraId="1D072E24" w14:textId="77777777" w:rsidR="001236DF" w:rsidRPr="00787E91" w:rsidRDefault="001236DF" w:rsidP="001236DF">
            <w:pPr>
              <w:pStyle w:val="TableText"/>
              <w:tabs>
                <w:tab w:val="decimal" w:pos="700"/>
              </w:tabs>
            </w:pPr>
            <w:r w:rsidRPr="00787E91">
              <w:t>7</w:t>
            </w:r>
          </w:p>
        </w:tc>
        <w:tc>
          <w:tcPr>
            <w:tcW w:w="921" w:type="pct"/>
            <w:tcBorders>
              <w:bottom w:val="single" w:sz="4" w:space="0" w:color="A6A6A6"/>
            </w:tcBorders>
          </w:tcPr>
          <w:p w14:paraId="3781CB7C" w14:textId="77777777" w:rsidR="001236DF" w:rsidRPr="00787E91" w:rsidRDefault="001236DF" w:rsidP="001236DF">
            <w:pPr>
              <w:pStyle w:val="TableText"/>
              <w:tabs>
                <w:tab w:val="decimal" w:pos="822"/>
              </w:tabs>
            </w:pPr>
            <w:r w:rsidRPr="00787E91">
              <w:t>4</w:t>
            </w:r>
          </w:p>
        </w:tc>
        <w:tc>
          <w:tcPr>
            <w:tcW w:w="1053" w:type="pct"/>
            <w:tcBorders>
              <w:bottom w:val="single" w:sz="4" w:space="0" w:color="A6A6A6"/>
            </w:tcBorders>
          </w:tcPr>
          <w:p w14:paraId="09681490" w14:textId="77777777" w:rsidR="001236DF" w:rsidRPr="00787E91" w:rsidRDefault="001236DF" w:rsidP="001236DF">
            <w:pPr>
              <w:pStyle w:val="TableText"/>
              <w:tabs>
                <w:tab w:val="decimal" w:pos="851"/>
              </w:tabs>
            </w:pPr>
            <w:r w:rsidRPr="00787E91">
              <w:t>4</w:t>
            </w:r>
          </w:p>
        </w:tc>
      </w:tr>
      <w:tr w:rsidR="001236DF" w:rsidRPr="00787E91" w14:paraId="3C376D51" w14:textId="77777777" w:rsidTr="001236DF">
        <w:trPr>
          <w:cantSplit/>
        </w:trPr>
        <w:tc>
          <w:tcPr>
            <w:tcW w:w="638" w:type="pct"/>
            <w:vMerge/>
          </w:tcPr>
          <w:p w14:paraId="34E65C10" w14:textId="77777777" w:rsidR="001236DF" w:rsidRPr="00787E91" w:rsidRDefault="001236DF" w:rsidP="001236DF">
            <w:pPr>
              <w:pStyle w:val="TableText"/>
            </w:pPr>
          </w:p>
        </w:tc>
        <w:tc>
          <w:tcPr>
            <w:tcW w:w="941" w:type="pct"/>
            <w:tcBorders>
              <w:top w:val="single" w:sz="4" w:space="0" w:color="A6A6A6"/>
              <w:bottom w:val="single" w:sz="4" w:space="0" w:color="A6A6A6"/>
            </w:tcBorders>
          </w:tcPr>
          <w:p w14:paraId="04669494" w14:textId="77777777" w:rsidR="001236DF" w:rsidRPr="00787E91" w:rsidRDefault="001236DF" w:rsidP="001236DF">
            <w:pPr>
              <w:pStyle w:val="TableText"/>
            </w:pPr>
            <w:r w:rsidRPr="00787E91">
              <w:t>Waitematā</w:t>
            </w:r>
          </w:p>
        </w:tc>
        <w:tc>
          <w:tcPr>
            <w:tcW w:w="731" w:type="pct"/>
            <w:tcBorders>
              <w:top w:val="single" w:sz="4" w:space="0" w:color="A6A6A6"/>
              <w:bottom w:val="single" w:sz="4" w:space="0" w:color="A6A6A6"/>
            </w:tcBorders>
          </w:tcPr>
          <w:p w14:paraId="6E5E9F2B" w14:textId="77777777" w:rsidR="001236DF" w:rsidRPr="00787E91" w:rsidRDefault="001236DF" w:rsidP="001236DF">
            <w:pPr>
              <w:pStyle w:val="TableText"/>
              <w:tabs>
                <w:tab w:val="decimal" w:pos="652"/>
              </w:tabs>
            </w:pPr>
            <w:r w:rsidRPr="00787E91">
              <w:t>8</w:t>
            </w:r>
          </w:p>
        </w:tc>
        <w:tc>
          <w:tcPr>
            <w:tcW w:w="716" w:type="pct"/>
            <w:tcBorders>
              <w:top w:val="single" w:sz="4" w:space="0" w:color="A6A6A6"/>
              <w:bottom w:val="single" w:sz="4" w:space="0" w:color="A6A6A6"/>
            </w:tcBorders>
          </w:tcPr>
          <w:p w14:paraId="3F0D37AC" w14:textId="77777777" w:rsidR="001236DF" w:rsidRPr="00787E91" w:rsidRDefault="001236DF" w:rsidP="001236DF">
            <w:pPr>
              <w:pStyle w:val="TableText"/>
              <w:tabs>
                <w:tab w:val="decimal" w:pos="700"/>
              </w:tabs>
            </w:pPr>
            <w:r w:rsidRPr="00787E91">
              <w:t>48</w:t>
            </w:r>
          </w:p>
        </w:tc>
        <w:tc>
          <w:tcPr>
            <w:tcW w:w="921" w:type="pct"/>
            <w:tcBorders>
              <w:top w:val="single" w:sz="4" w:space="0" w:color="A6A6A6"/>
              <w:bottom w:val="single" w:sz="4" w:space="0" w:color="A6A6A6"/>
            </w:tcBorders>
          </w:tcPr>
          <w:p w14:paraId="791D8F7B" w14:textId="77777777" w:rsidR="001236DF" w:rsidRPr="00787E91" w:rsidRDefault="001236DF" w:rsidP="001236DF">
            <w:pPr>
              <w:pStyle w:val="TableText"/>
              <w:tabs>
                <w:tab w:val="decimal" w:pos="822"/>
              </w:tabs>
            </w:pPr>
            <w:r w:rsidRPr="00787E91">
              <w:t>2</w:t>
            </w:r>
          </w:p>
        </w:tc>
        <w:tc>
          <w:tcPr>
            <w:tcW w:w="1053" w:type="pct"/>
            <w:tcBorders>
              <w:top w:val="single" w:sz="4" w:space="0" w:color="A6A6A6"/>
              <w:bottom w:val="single" w:sz="4" w:space="0" w:color="A6A6A6"/>
            </w:tcBorders>
          </w:tcPr>
          <w:p w14:paraId="7E166541" w14:textId="77777777" w:rsidR="001236DF" w:rsidRPr="00787E91" w:rsidRDefault="001236DF" w:rsidP="001236DF">
            <w:pPr>
              <w:pStyle w:val="TableText"/>
              <w:tabs>
                <w:tab w:val="decimal" w:pos="851"/>
              </w:tabs>
              <w:rPr>
                <w:rFonts w:eastAsia="Calibri"/>
              </w:rPr>
            </w:pPr>
            <w:r w:rsidRPr="00787E91">
              <w:t>6</w:t>
            </w:r>
          </w:p>
        </w:tc>
      </w:tr>
      <w:tr w:rsidR="001236DF" w:rsidRPr="00787E91" w14:paraId="650CE11D" w14:textId="77777777" w:rsidTr="006273A4">
        <w:trPr>
          <w:cantSplit/>
        </w:trPr>
        <w:tc>
          <w:tcPr>
            <w:tcW w:w="638" w:type="pct"/>
            <w:vMerge/>
            <w:tcBorders>
              <w:bottom w:val="single" w:sz="4" w:space="0" w:color="A6A6A6" w:themeColor="background1" w:themeShade="A6"/>
            </w:tcBorders>
          </w:tcPr>
          <w:p w14:paraId="35699C43" w14:textId="77777777" w:rsidR="001236DF" w:rsidRPr="00787E91" w:rsidRDefault="001236DF" w:rsidP="001236DF">
            <w:pPr>
              <w:pStyle w:val="TableText"/>
              <w:rPr>
                <w:b/>
              </w:rPr>
            </w:pPr>
          </w:p>
        </w:tc>
        <w:tc>
          <w:tcPr>
            <w:tcW w:w="941" w:type="pct"/>
            <w:tcBorders>
              <w:top w:val="single" w:sz="4" w:space="0" w:color="A6A6A6"/>
              <w:bottom w:val="single" w:sz="4" w:space="0" w:color="A6A6A6" w:themeColor="background1" w:themeShade="A6"/>
            </w:tcBorders>
          </w:tcPr>
          <w:p w14:paraId="2F9C7608" w14:textId="77777777" w:rsidR="001236DF" w:rsidRPr="00787E91" w:rsidRDefault="001236DF" w:rsidP="001236DF">
            <w:pPr>
              <w:pStyle w:val="TableText"/>
              <w:rPr>
                <w:b/>
              </w:rPr>
            </w:pPr>
            <w:r w:rsidRPr="00787E91">
              <w:rPr>
                <w:b/>
              </w:rPr>
              <w:t>National total</w:t>
            </w:r>
          </w:p>
        </w:tc>
        <w:tc>
          <w:tcPr>
            <w:tcW w:w="731" w:type="pct"/>
            <w:tcBorders>
              <w:top w:val="single" w:sz="4" w:space="0" w:color="A6A6A6"/>
              <w:bottom w:val="single" w:sz="4" w:space="0" w:color="A6A6A6" w:themeColor="background1" w:themeShade="A6"/>
            </w:tcBorders>
          </w:tcPr>
          <w:p w14:paraId="2068D385" w14:textId="77777777" w:rsidR="001236DF" w:rsidRPr="00787E91" w:rsidRDefault="001236DF" w:rsidP="001236DF">
            <w:pPr>
              <w:pStyle w:val="TableText"/>
              <w:tabs>
                <w:tab w:val="decimal" w:pos="652"/>
              </w:tabs>
              <w:rPr>
                <w:rFonts w:eastAsia="Calibri"/>
                <w:b/>
              </w:rPr>
            </w:pPr>
            <w:r w:rsidRPr="00787E91">
              <w:rPr>
                <w:rFonts w:eastAsia="Calibri"/>
                <w:b/>
              </w:rPr>
              <w:t>2</w:t>
            </w:r>
            <w:r>
              <w:rPr>
                <w:rFonts w:eastAsia="Calibri"/>
                <w:b/>
              </w:rPr>
              <w:t>5</w:t>
            </w:r>
          </w:p>
        </w:tc>
        <w:tc>
          <w:tcPr>
            <w:tcW w:w="716" w:type="pct"/>
            <w:tcBorders>
              <w:top w:val="single" w:sz="4" w:space="0" w:color="A6A6A6"/>
              <w:bottom w:val="single" w:sz="4" w:space="0" w:color="A6A6A6" w:themeColor="background1" w:themeShade="A6"/>
            </w:tcBorders>
          </w:tcPr>
          <w:p w14:paraId="70875B26" w14:textId="77777777" w:rsidR="001236DF" w:rsidRPr="00787E91" w:rsidRDefault="001236DF" w:rsidP="001236DF">
            <w:pPr>
              <w:pStyle w:val="TableText"/>
              <w:tabs>
                <w:tab w:val="decimal" w:pos="700"/>
              </w:tabs>
              <w:rPr>
                <w:rFonts w:eastAsia="Calibri"/>
                <w:b/>
              </w:rPr>
            </w:pPr>
            <w:r w:rsidRPr="00787E91">
              <w:rPr>
                <w:rFonts w:eastAsia="Calibri"/>
                <w:b/>
              </w:rPr>
              <w:t>89</w:t>
            </w:r>
          </w:p>
        </w:tc>
        <w:tc>
          <w:tcPr>
            <w:tcW w:w="921" w:type="pct"/>
            <w:tcBorders>
              <w:top w:val="single" w:sz="4" w:space="0" w:color="A6A6A6"/>
              <w:bottom w:val="single" w:sz="4" w:space="0" w:color="A6A6A6" w:themeColor="background1" w:themeShade="A6"/>
            </w:tcBorders>
          </w:tcPr>
          <w:p w14:paraId="13C0A5BC" w14:textId="77777777" w:rsidR="001236DF" w:rsidRPr="00787E91" w:rsidRDefault="001236DF" w:rsidP="001236DF">
            <w:pPr>
              <w:pStyle w:val="TableText"/>
              <w:tabs>
                <w:tab w:val="decimal" w:pos="822"/>
              </w:tabs>
              <w:rPr>
                <w:rFonts w:eastAsia="Calibri"/>
                <w:b/>
              </w:rPr>
            </w:pPr>
            <w:r>
              <w:rPr>
                <w:rFonts w:eastAsia="Calibri"/>
                <w:b/>
              </w:rPr>
              <w:t>2</w:t>
            </w:r>
          </w:p>
        </w:tc>
        <w:tc>
          <w:tcPr>
            <w:tcW w:w="1053" w:type="pct"/>
            <w:tcBorders>
              <w:top w:val="single" w:sz="4" w:space="0" w:color="A6A6A6"/>
              <w:bottom w:val="single" w:sz="4" w:space="0" w:color="A6A6A6" w:themeColor="background1" w:themeShade="A6"/>
            </w:tcBorders>
          </w:tcPr>
          <w:p w14:paraId="60A2EA8C" w14:textId="77777777" w:rsidR="001236DF" w:rsidRPr="00787E91" w:rsidRDefault="001236DF" w:rsidP="001236DF">
            <w:pPr>
              <w:pStyle w:val="TableText"/>
              <w:tabs>
                <w:tab w:val="decimal" w:pos="851"/>
              </w:tabs>
              <w:rPr>
                <w:rFonts w:eastAsia="Calibri"/>
                <w:b/>
              </w:rPr>
            </w:pPr>
            <w:r w:rsidRPr="00787E91">
              <w:rPr>
                <w:rFonts w:eastAsia="Calibri"/>
                <w:b/>
              </w:rPr>
              <w:t>3.</w:t>
            </w:r>
            <w:r>
              <w:rPr>
                <w:rFonts w:eastAsia="Calibri"/>
                <w:b/>
              </w:rPr>
              <w:t>6</w:t>
            </w:r>
          </w:p>
        </w:tc>
      </w:tr>
      <w:tr w:rsidR="001236DF" w:rsidRPr="00787E91" w14:paraId="3CCEBF2F" w14:textId="77777777" w:rsidTr="006273A4">
        <w:trPr>
          <w:cantSplit/>
        </w:trPr>
        <w:tc>
          <w:tcPr>
            <w:tcW w:w="638" w:type="pct"/>
            <w:vMerge w:val="restart"/>
            <w:tcBorders>
              <w:top w:val="single" w:sz="4" w:space="0" w:color="A6A6A6" w:themeColor="background1" w:themeShade="A6"/>
            </w:tcBorders>
          </w:tcPr>
          <w:p w14:paraId="3A24F0B9" w14:textId="77777777" w:rsidR="001236DF" w:rsidRPr="00787E91" w:rsidRDefault="001236DF" w:rsidP="001236DF">
            <w:pPr>
              <w:pStyle w:val="TableText"/>
            </w:pPr>
            <w:r>
              <w:t>Mental Health Act</w:t>
            </w:r>
          </w:p>
        </w:tc>
        <w:tc>
          <w:tcPr>
            <w:tcW w:w="941" w:type="pct"/>
            <w:tcBorders>
              <w:top w:val="single" w:sz="4" w:space="0" w:color="A6A6A6" w:themeColor="background1" w:themeShade="A6"/>
            </w:tcBorders>
          </w:tcPr>
          <w:p w14:paraId="3633C538" w14:textId="77777777" w:rsidR="001236DF" w:rsidRPr="00787E91" w:rsidRDefault="001236DF" w:rsidP="001236DF">
            <w:pPr>
              <w:pStyle w:val="TableText"/>
            </w:pPr>
            <w:r w:rsidRPr="00787E91">
              <w:t>Canterbury</w:t>
            </w:r>
          </w:p>
        </w:tc>
        <w:tc>
          <w:tcPr>
            <w:tcW w:w="731" w:type="pct"/>
            <w:tcBorders>
              <w:top w:val="single" w:sz="4" w:space="0" w:color="A6A6A6" w:themeColor="background1" w:themeShade="A6"/>
            </w:tcBorders>
          </w:tcPr>
          <w:p w14:paraId="7B21D147" w14:textId="77777777" w:rsidR="001236DF" w:rsidRPr="00787E91" w:rsidRDefault="001236DF" w:rsidP="001236DF">
            <w:pPr>
              <w:pStyle w:val="TableText"/>
              <w:tabs>
                <w:tab w:val="decimal" w:pos="652"/>
              </w:tabs>
            </w:pPr>
            <w:r w:rsidRPr="00787E91">
              <w:t>0</w:t>
            </w:r>
          </w:p>
        </w:tc>
        <w:tc>
          <w:tcPr>
            <w:tcW w:w="716" w:type="pct"/>
            <w:tcBorders>
              <w:top w:val="single" w:sz="4" w:space="0" w:color="A6A6A6" w:themeColor="background1" w:themeShade="A6"/>
            </w:tcBorders>
          </w:tcPr>
          <w:p w14:paraId="5B668C20" w14:textId="77777777" w:rsidR="001236DF" w:rsidRPr="00787E91" w:rsidRDefault="001236DF" w:rsidP="001236DF">
            <w:pPr>
              <w:pStyle w:val="TableText"/>
              <w:tabs>
                <w:tab w:val="decimal" w:pos="700"/>
              </w:tabs>
            </w:pPr>
            <w:r w:rsidRPr="00787E91">
              <w:t>0</w:t>
            </w:r>
          </w:p>
        </w:tc>
        <w:tc>
          <w:tcPr>
            <w:tcW w:w="921" w:type="pct"/>
            <w:tcBorders>
              <w:top w:val="single" w:sz="4" w:space="0" w:color="A6A6A6" w:themeColor="background1" w:themeShade="A6"/>
            </w:tcBorders>
          </w:tcPr>
          <w:p w14:paraId="081A80DE" w14:textId="77777777" w:rsidR="001236DF" w:rsidRPr="00787E91" w:rsidRDefault="001236DF" w:rsidP="001236DF">
            <w:pPr>
              <w:pStyle w:val="TableText"/>
              <w:tabs>
                <w:tab w:val="decimal" w:pos="822"/>
              </w:tabs>
            </w:pPr>
            <w:r w:rsidRPr="00787E91">
              <w:t>0</w:t>
            </w:r>
          </w:p>
        </w:tc>
        <w:tc>
          <w:tcPr>
            <w:tcW w:w="1053" w:type="pct"/>
            <w:tcBorders>
              <w:top w:val="single" w:sz="4" w:space="0" w:color="A6A6A6" w:themeColor="background1" w:themeShade="A6"/>
            </w:tcBorders>
            <w:vAlign w:val="center"/>
          </w:tcPr>
          <w:p w14:paraId="7BCE84EF" w14:textId="77777777" w:rsidR="001236DF" w:rsidRPr="00787E91" w:rsidRDefault="001236DF" w:rsidP="001236DF">
            <w:pPr>
              <w:pStyle w:val="TableText"/>
              <w:tabs>
                <w:tab w:val="decimal" w:pos="851"/>
              </w:tabs>
            </w:pPr>
            <w:r w:rsidRPr="00787E91">
              <w:t>0</w:t>
            </w:r>
          </w:p>
        </w:tc>
      </w:tr>
      <w:tr w:rsidR="001236DF" w:rsidRPr="00787E91" w14:paraId="64819021" w14:textId="77777777" w:rsidTr="001236DF">
        <w:trPr>
          <w:cantSplit/>
        </w:trPr>
        <w:tc>
          <w:tcPr>
            <w:tcW w:w="638" w:type="pct"/>
            <w:vMerge/>
          </w:tcPr>
          <w:p w14:paraId="62893960" w14:textId="77777777" w:rsidR="001236DF" w:rsidRPr="00787E91" w:rsidRDefault="001236DF" w:rsidP="001236DF">
            <w:pPr>
              <w:pStyle w:val="TableText"/>
            </w:pPr>
          </w:p>
        </w:tc>
        <w:tc>
          <w:tcPr>
            <w:tcW w:w="941" w:type="pct"/>
          </w:tcPr>
          <w:p w14:paraId="456B06C5" w14:textId="77777777" w:rsidR="001236DF" w:rsidRPr="00787E91" w:rsidRDefault="001236DF" w:rsidP="001236DF">
            <w:pPr>
              <w:pStyle w:val="TableText"/>
            </w:pPr>
            <w:r w:rsidRPr="00787E91">
              <w:t>Capital &amp; Coast</w:t>
            </w:r>
          </w:p>
        </w:tc>
        <w:tc>
          <w:tcPr>
            <w:tcW w:w="731" w:type="pct"/>
          </w:tcPr>
          <w:p w14:paraId="35EF86D0" w14:textId="77777777" w:rsidR="001236DF" w:rsidRPr="00787E91" w:rsidRDefault="001236DF" w:rsidP="001236DF">
            <w:pPr>
              <w:pStyle w:val="TableText"/>
              <w:tabs>
                <w:tab w:val="decimal" w:pos="652"/>
              </w:tabs>
            </w:pPr>
            <w:r w:rsidRPr="00787E91">
              <w:t>1</w:t>
            </w:r>
          </w:p>
        </w:tc>
        <w:tc>
          <w:tcPr>
            <w:tcW w:w="716" w:type="pct"/>
          </w:tcPr>
          <w:p w14:paraId="4113ABD6" w14:textId="77777777" w:rsidR="001236DF" w:rsidRPr="00787E91" w:rsidRDefault="001236DF" w:rsidP="001236DF">
            <w:pPr>
              <w:pStyle w:val="TableText"/>
              <w:tabs>
                <w:tab w:val="decimal" w:pos="700"/>
              </w:tabs>
            </w:pPr>
            <w:r w:rsidRPr="00787E91">
              <w:t>1</w:t>
            </w:r>
          </w:p>
        </w:tc>
        <w:tc>
          <w:tcPr>
            <w:tcW w:w="921" w:type="pct"/>
          </w:tcPr>
          <w:p w14:paraId="2AB3F527" w14:textId="77777777" w:rsidR="001236DF" w:rsidRPr="00787E91" w:rsidRDefault="001236DF" w:rsidP="001236DF">
            <w:pPr>
              <w:pStyle w:val="TableText"/>
              <w:tabs>
                <w:tab w:val="decimal" w:pos="822"/>
              </w:tabs>
            </w:pPr>
            <w:r w:rsidRPr="00787E91">
              <w:t>1</w:t>
            </w:r>
          </w:p>
        </w:tc>
        <w:tc>
          <w:tcPr>
            <w:tcW w:w="1053" w:type="pct"/>
            <w:vAlign w:val="center"/>
          </w:tcPr>
          <w:p w14:paraId="54D0ACC9" w14:textId="77777777" w:rsidR="001236DF" w:rsidRPr="00787E91" w:rsidRDefault="001236DF" w:rsidP="001236DF">
            <w:pPr>
              <w:pStyle w:val="TableText"/>
              <w:tabs>
                <w:tab w:val="decimal" w:pos="851"/>
              </w:tabs>
            </w:pPr>
            <w:r w:rsidRPr="00787E91">
              <w:t>1</w:t>
            </w:r>
          </w:p>
        </w:tc>
      </w:tr>
      <w:tr w:rsidR="001236DF" w:rsidRPr="00787E91" w14:paraId="6FE88776" w14:textId="77777777" w:rsidTr="001236DF">
        <w:trPr>
          <w:cantSplit/>
        </w:trPr>
        <w:tc>
          <w:tcPr>
            <w:tcW w:w="638" w:type="pct"/>
            <w:vMerge/>
          </w:tcPr>
          <w:p w14:paraId="59833E85" w14:textId="77777777" w:rsidR="001236DF" w:rsidRPr="00787E91" w:rsidRDefault="001236DF" w:rsidP="001236DF">
            <w:pPr>
              <w:pStyle w:val="TableText"/>
            </w:pPr>
          </w:p>
        </w:tc>
        <w:tc>
          <w:tcPr>
            <w:tcW w:w="941" w:type="pct"/>
          </w:tcPr>
          <w:p w14:paraId="1B0249D0" w14:textId="77777777" w:rsidR="001236DF" w:rsidRPr="00787E91" w:rsidRDefault="001236DF" w:rsidP="001236DF">
            <w:pPr>
              <w:pStyle w:val="TableText"/>
            </w:pPr>
            <w:r w:rsidRPr="00787E91">
              <w:t>Southern</w:t>
            </w:r>
          </w:p>
        </w:tc>
        <w:tc>
          <w:tcPr>
            <w:tcW w:w="731" w:type="pct"/>
          </w:tcPr>
          <w:p w14:paraId="41D66DB4" w14:textId="77777777" w:rsidR="001236DF" w:rsidRPr="00787E91" w:rsidRDefault="001236DF" w:rsidP="001236DF">
            <w:pPr>
              <w:pStyle w:val="TableText"/>
              <w:tabs>
                <w:tab w:val="decimal" w:pos="652"/>
              </w:tabs>
            </w:pPr>
            <w:r w:rsidRPr="00787E91">
              <w:t>1</w:t>
            </w:r>
          </w:p>
        </w:tc>
        <w:tc>
          <w:tcPr>
            <w:tcW w:w="716" w:type="pct"/>
          </w:tcPr>
          <w:p w14:paraId="5A3B749F" w14:textId="77777777" w:rsidR="001236DF" w:rsidRPr="00787E91" w:rsidRDefault="001236DF" w:rsidP="001236DF">
            <w:pPr>
              <w:pStyle w:val="TableText"/>
              <w:tabs>
                <w:tab w:val="decimal" w:pos="700"/>
              </w:tabs>
            </w:pPr>
            <w:r w:rsidRPr="00787E91">
              <w:t>39</w:t>
            </w:r>
          </w:p>
        </w:tc>
        <w:tc>
          <w:tcPr>
            <w:tcW w:w="921" w:type="pct"/>
          </w:tcPr>
          <w:p w14:paraId="35F5D69F" w14:textId="77777777" w:rsidR="001236DF" w:rsidRPr="00787E91" w:rsidRDefault="001236DF" w:rsidP="001236DF">
            <w:pPr>
              <w:pStyle w:val="TableText"/>
              <w:tabs>
                <w:tab w:val="decimal" w:pos="822"/>
              </w:tabs>
            </w:pPr>
            <w:r w:rsidRPr="00787E91">
              <w:t>39</w:t>
            </w:r>
          </w:p>
        </w:tc>
        <w:tc>
          <w:tcPr>
            <w:tcW w:w="1053" w:type="pct"/>
            <w:vAlign w:val="center"/>
          </w:tcPr>
          <w:p w14:paraId="333769F4" w14:textId="77777777" w:rsidR="001236DF" w:rsidRPr="00787E91" w:rsidRDefault="001236DF" w:rsidP="001236DF">
            <w:pPr>
              <w:pStyle w:val="TableText"/>
              <w:tabs>
                <w:tab w:val="decimal" w:pos="851"/>
              </w:tabs>
            </w:pPr>
            <w:r w:rsidRPr="00787E91">
              <w:t>39</w:t>
            </w:r>
          </w:p>
        </w:tc>
      </w:tr>
      <w:tr w:rsidR="001236DF" w:rsidRPr="00787E91" w14:paraId="25A3E3A2" w14:textId="77777777" w:rsidTr="001236DF">
        <w:trPr>
          <w:cantSplit/>
        </w:trPr>
        <w:tc>
          <w:tcPr>
            <w:tcW w:w="638" w:type="pct"/>
            <w:vMerge/>
          </w:tcPr>
          <w:p w14:paraId="46A1A131" w14:textId="77777777" w:rsidR="001236DF" w:rsidRPr="00787E91" w:rsidRDefault="001236DF" w:rsidP="001236DF">
            <w:pPr>
              <w:pStyle w:val="TableText"/>
            </w:pPr>
          </w:p>
        </w:tc>
        <w:tc>
          <w:tcPr>
            <w:tcW w:w="941" w:type="pct"/>
            <w:tcBorders>
              <w:bottom w:val="single" w:sz="4" w:space="0" w:color="A6A6A6"/>
            </w:tcBorders>
          </w:tcPr>
          <w:p w14:paraId="41B1C139" w14:textId="77777777" w:rsidR="001236DF" w:rsidRPr="00787E91" w:rsidRDefault="001236DF" w:rsidP="001236DF">
            <w:pPr>
              <w:pStyle w:val="TableText"/>
            </w:pPr>
            <w:r w:rsidRPr="00787E91">
              <w:t>Waikato</w:t>
            </w:r>
          </w:p>
        </w:tc>
        <w:tc>
          <w:tcPr>
            <w:tcW w:w="731" w:type="pct"/>
            <w:tcBorders>
              <w:bottom w:val="single" w:sz="4" w:space="0" w:color="A6A6A6"/>
            </w:tcBorders>
          </w:tcPr>
          <w:p w14:paraId="5B4E7B2D" w14:textId="77777777" w:rsidR="001236DF" w:rsidRPr="00787E91" w:rsidRDefault="001236DF" w:rsidP="001236DF">
            <w:pPr>
              <w:pStyle w:val="TableText"/>
              <w:tabs>
                <w:tab w:val="decimal" w:pos="652"/>
              </w:tabs>
            </w:pPr>
            <w:r w:rsidRPr="00787E91">
              <w:t>0</w:t>
            </w:r>
          </w:p>
        </w:tc>
        <w:tc>
          <w:tcPr>
            <w:tcW w:w="716" w:type="pct"/>
            <w:tcBorders>
              <w:bottom w:val="single" w:sz="4" w:space="0" w:color="A6A6A6"/>
            </w:tcBorders>
          </w:tcPr>
          <w:p w14:paraId="6CD85486" w14:textId="77777777" w:rsidR="001236DF" w:rsidRPr="00787E91" w:rsidRDefault="001236DF" w:rsidP="001236DF">
            <w:pPr>
              <w:pStyle w:val="TableText"/>
              <w:tabs>
                <w:tab w:val="decimal" w:pos="700"/>
              </w:tabs>
            </w:pPr>
            <w:r w:rsidRPr="00787E91">
              <w:t>0</w:t>
            </w:r>
          </w:p>
        </w:tc>
        <w:tc>
          <w:tcPr>
            <w:tcW w:w="921" w:type="pct"/>
            <w:tcBorders>
              <w:bottom w:val="single" w:sz="4" w:space="0" w:color="A6A6A6"/>
            </w:tcBorders>
          </w:tcPr>
          <w:p w14:paraId="422F7717" w14:textId="77777777" w:rsidR="001236DF" w:rsidRPr="00787E91" w:rsidRDefault="001236DF" w:rsidP="001236DF">
            <w:pPr>
              <w:pStyle w:val="TableText"/>
              <w:tabs>
                <w:tab w:val="decimal" w:pos="822"/>
              </w:tabs>
            </w:pPr>
            <w:r w:rsidRPr="00787E91">
              <w:t>0</w:t>
            </w:r>
          </w:p>
        </w:tc>
        <w:tc>
          <w:tcPr>
            <w:tcW w:w="1053" w:type="pct"/>
            <w:tcBorders>
              <w:bottom w:val="single" w:sz="4" w:space="0" w:color="A6A6A6"/>
            </w:tcBorders>
            <w:vAlign w:val="center"/>
          </w:tcPr>
          <w:p w14:paraId="31F8821A" w14:textId="77777777" w:rsidR="001236DF" w:rsidRPr="00787E91" w:rsidRDefault="001236DF" w:rsidP="001236DF">
            <w:pPr>
              <w:pStyle w:val="TableText"/>
              <w:tabs>
                <w:tab w:val="decimal" w:pos="851"/>
              </w:tabs>
            </w:pPr>
            <w:r w:rsidRPr="00787E91">
              <w:t>0</w:t>
            </w:r>
          </w:p>
        </w:tc>
      </w:tr>
      <w:tr w:rsidR="001236DF" w:rsidRPr="00787E91" w14:paraId="2321D07D" w14:textId="77777777" w:rsidTr="001236DF">
        <w:trPr>
          <w:cantSplit/>
        </w:trPr>
        <w:tc>
          <w:tcPr>
            <w:tcW w:w="638" w:type="pct"/>
            <w:vMerge/>
          </w:tcPr>
          <w:p w14:paraId="1B607C92" w14:textId="77777777" w:rsidR="001236DF" w:rsidRPr="00787E91" w:rsidRDefault="001236DF" w:rsidP="001236DF">
            <w:pPr>
              <w:pStyle w:val="TableText"/>
            </w:pPr>
          </w:p>
        </w:tc>
        <w:tc>
          <w:tcPr>
            <w:tcW w:w="941" w:type="pct"/>
          </w:tcPr>
          <w:p w14:paraId="5F97A1C9" w14:textId="77777777" w:rsidR="001236DF" w:rsidRPr="00787E91" w:rsidRDefault="001236DF" w:rsidP="001236DF">
            <w:pPr>
              <w:pStyle w:val="TableText"/>
            </w:pPr>
            <w:r w:rsidRPr="00787E91">
              <w:t>Waitematā</w:t>
            </w:r>
          </w:p>
        </w:tc>
        <w:tc>
          <w:tcPr>
            <w:tcW w:w="731" w:type="pct"/>
          </w:tcPr>
          <w:p w14:paraId="5726976D" w14:textId="77777777" w:rsidR="001236DF" w:rsidRPr="00787E91" w:rsidRDefault="001236DF" w:rsidP="001236DF">
            <w:pPr>
              <w:pStyle w:val="TableText"/>
              <w:tabs>
                <w:tab w:val="decimal" w:pos="652"/>
              </w:tabs>
            </w:pPr>
            <w:r w:rsidRPr="00787E91">
              <w:t>1</w:t>
            </w:r>
          </w:p>
        </w:tc>
        <w:tc>
          <w:tcPr>
            <w:tcW w:w="716" w:type="pct"/>
          </w:tcPr>
          <w:p w14:paraId="7E8C10A7" w14:textId="77777777" w:rsidR="001236DF" w:rsidRPr="00787E91" w:rsidRDefault="001236DF" w:rsidP="001236DF">
            <w:pPr>
              <w:pStyle w:val="TableText"/>
              <w:tabs>
                <w:tab w:val="decimal" w:pos="700"/>
              </w:tabs>
            </w:pPr>
            <w:r w:rsidRPr="00787E91">
              <w:t>147</w:t>
            </w:r>
          </w:p>
        </w:tc>
        <w:tc>
          <w:tcPr>
            <w:tcW w:w="921" w:type="pct"/>
          </w:tcPr>
          <w:p w14:paraId="5E67D1A0" w14:textId="77777777" w:rsidR="001236DF" w:rsidRPr="00787E91" w:rsidRDefault="001236DF" w:rsidP="001236DF">
            <w:pPr>
              <w:pStyle w:val="TableText"/>
              <w:tabs>
                <w:tab w:val="decimal" w:pos="822"/>
              </w:tabs>
            </w:pPr>
            <w:r w:rsidRPr="00787E91">
              <w:t>147</w:t>
            </w:r>
          </w:p>
        </w:tc>
        <w:tc>
          <w:tcPr>
            <w:tcW w:w="1053" w:type="pct"/>
            <w:vAlign w:val="center"/>
          </w:tcPr>
          <w:p w14:paraId="4FE1C3D0" w14:textId="77777777" w:rsidR="001236DF" w:rsidRPr="00787E91" w:rsidRDefault="001236DF" w:rsidP="001236DF">
            <w:pPr>
              <w:pStyle w:val="TableText"/>
              <w:tabs>
                <w:tab w:val="decimal" w:pos="851"/>
              </w:tabs>
            </w:pPr>
            <w:r w:rsidRPr="00787E91">
              <w:t>147</w:t>
            </w:r>
          </w:p>
        </w:tc>
      </w:tr>
      <w:tr w:rsidR="001236DF" w:rsidRPr="00787E91" w14:paraId="427EA415" w14:textId="77777777" w:rsidTr="001236DF">
        <w:trPr>
          <w:cantSplit/>
        </w:trPr>
        <w:tc>
          <w:tcPr>
            <w:tcW w:w="638" w:type="pct"/>
            <w:vMerge/>
          </w:tcPr>
          <w:p w14:paraId="634821A7" w14:textId="77777777" w:rsidR="001236DF" w:rsidRPr="00787E91" w:rsidRDefault="001236DF" w:rsidP="001236DF">
            <w:pPr>
              <w:pStyle w:val="TableText"/>
              <w:rPr>
                <w:b/>
              </w:rPr>
            </w:pPr>
          </w:p>
        </w:tc>
        <w:tc>
          <w:tcPr>
            <w:tcW w:w="941" w:type="pct"/>
          </w:tcPr>
          <w:p w14:paraId="613FE021" w14:textId="77777777" w:rsidR="001236DF" w:rsidRPr="00787E91" w:rsidRDefault="001236DF" w:rsidP="001236DF">
            <w:pPr>
              <w:pStyle w:val="TableText"/>
              <w:rPr>
                <w:b/>
              </w:rPr>
            </w:pPr>
            <w:r w:rsidRPr="00787E91">
              <w:rPr>
                <w:b/>
              </w:rPr>
              <w:t>National total</w:t>
            </w:r>
          </w:p>
        </w:tc>
        <w:tc>
          <w:tcPr>
            <w:tcW w:w="731" w:type="pct"/>
          </w:tcPr>
          <w:p w14:paraId="6A86315F" w14:textId="77777777" w:rsidR="001236DF" w:rsidRPr="00787E91" w:rsidRDefault="001236DF" w:rsidP="001236DF">
            <w:pPr>
              <w:pStyle w:val="TableText"/>
              <w:tabs>
                <w:tab w:val="decimal" w:pos="652"/>
              </w:tabs>
              <w:rPr>
                <w:b/>
              </w:rPr>
            </w:pPr>
            <w:r w:rsidRPr="00787E91">
              <w:rPr>
                <w:b/>
              </w:rPr>
              <w:t>3</w:t>
            </w:r>
          </w:p>
        </w:tc>
        <w:tc>
          <w:tcPr>
            <w:tcW w:w="716" w:type="pct"/>
          </w:tcPr>
          <w:p w14:paraId="3920EC1E" w14:textId="77777777" w:rsidR="001236DF" w:rsidRPr="00787E91" w:rsidRDefault="001236DF" w:rsidP="001236DF">
            <w:pPr>
              <w:pStyle w:val="TableText"/>
              <w:tabs>
                <w:tab w:val="decimal" w:pos="700"/>
              </w:tabs>
              <w:rPr>
                <w:b/>
              </w:rPr>
            </w:pPr>
            <w:r w:rsidRPr="00787E91">
              <w:rPr>
                <w:b/>
              </w:rPr>
              <w:t>187</w:t>
            </w:r>
          </w:p>
        </w:tc>
        <w:tc>
          <w:tcPr>
            <w:tcW w:w="921" w:type="pct"/>
          </w:tcPr>
          <w:p w14:paraId="3F0F163D" w14:textId="77777777" w:rsidR="001236DF" w:rsidRPr="00787E91" w:rsidRDefault="001236DF" w:rsidP="001236DF">
            <w:pPr>
              <w:pStyle w:val="TableText"/>
              <w:tabs>
                <w:tab w:val="decimal" w:pos="822"/>
              </w:tabs>
              <w:rPr>
                <w:b/>
              </w:rPr>
            </w:pPr>
            <w:r>
              <w:rPr>
                <w:b/>
              </w:rPr>
              <w:t>39</w:t>
            </w:r>
          </w:p>
        </w:tc>
        <w:tc>
          <w:tcPr>
            <w:tcW w:w="1053" w:type="pct"/>
            <w:vAlign w:val="center"/>
          </w:tcPr>
          <w:p w14:paraId="40D4E5BF" w14:textId="77777777" w:rsidR="001236DF" w:rsidRPr="00787E91" w:rsidRDefault="001236DF" w:rsidP="001236DF">
            <w:pPr>
              <w:pStyle w:val="TableText"/>
              <w:jc w:val="center"/>
              <w:rPr>
                <w:b/>
              </w:rPr>
            </w:pPr>
            <w:r w:rsidRPr="00787E91">
              <w:rPr>
                <w:b/>
              </w:rPr>
              <w:t>62.3</w:t>
            </w:r>
          </w:p>
        </w:tc>
      </w:tr>
    </w:tbl>
    <w:bookmarkEnd w:id="409"/>
    <w:p w14:paraId="0F698F5A" w14:textId="77777777" w:rsidR="001236DF" w:rsidRPr="00787E91" w:rsidRDefault="001236DF" w:rsidP="001236DF">
      <w:pPr>
        <w:pStyle w:val="Note"/>
      </w:pPr>
      <w:r w:rsidRPr="00787E91">
        <w:t xml:space="preserve">Notes: </w:t>
      </w:r>
      <w:r>
        <w:t>Intellectual Disability Care Act</w:t>
      </w:r>
      <w:r w:rsidRPr="00787E91">
        <w:t xml:space="preserve"> = Intellectual Disability (Compulsory Care and Rehabilitation) Act 2003; </w:t>
      </w:r>
      <w:r>
        <w:t>Mental Health Act</w:t>
      </w:r>
      <w:r w:rsidRPr="00787E91">
        <w:t xml:space="preserve"> = Mental Health (Compulsory Assessment and Treatment) Act 1992. One person had seclusion events in both Capital &amp; Coast and Southern DHBs and therefore is counted under both.</w:t>
      </w:r>
    </w:p>
    <w:p w14:paraId="5FAD1B60" w14:textId="77777777" w:rsidR="001236DF" w:rsidRDefault="001236DF" w:rsidP="001236DF">
      <w:pPr>
        <w:pStyle w:val="Source"/>
      </w:pPr>
      <w:r w:rsidRPr="00787E91">
        <w:t>Sources: PRIMHD data (extracted 3 June 2022) and manual data from Southern, Waikato and Waitematā DHBs.</w:t>
      </w:r>
    </w:p>
    <w:p w14:paraId="0F002E1C" w14:textId="77777777" w:rsidR="001236DF" w:rsidRDefault="001236DF" w:rsidP="001236DF"/>
    <w:p w14:paraId="14F5A1CB" w14:textId="232666D3" w:rsidR="001236DF" w:rsidRPr="00144296" w:rsidRDefault="001236DF" w:rsidP="001236DF">
      <w:pPr>
        <w:pStyle w:val="Table"/>
      </w:pPr>
      <w:bookmarkStart w:id="410" w:name="_Toc87430008"/>
      <w:bookmarkStart w:id="411" w:name="_Toc88561365"/>
      <w:bookmarkStart w:id="412" w:name="_Toc115188900"/>
      <w:bookmarkStart w:id="413" w:name="_Toc115272602"/>
      <w:r w:rsidRPr="00144296">
        <w:lastRenderedPageBreak/>
        <w:t>Table </w:t>
      </w:r>
      <w:fldSimple w:instr=" SEQ Table \* ARABIC ">
        <w:r w:rsidR="009A04B0">
          <w:rPr>
            <w:noProof/>
          </w:rPr>
          <w:t>11</w:t>
        </w:r>
      </w:fldSimple>
      <w:r w:rsidRPr="00144296">
        <w:t xml:space="preserve">: </w:t>
      </w:r>
      <w:r>
        <w:t>Length of s</w:t>
      </w:r>
      <w:r w:rsidRPr="00144296">
        <w:t>eclusion for people with intellectual disabilities, by DHB, 1 </w:t>
      </w:r>
      <w:bookmarkEnd w:id="410"/>
      <w:bookmarkEnd w:id="411"/>
      <w:r w:rsidRPr="00144296">
        <w:t>July 2020 to 30 June 2021</w:t>
      </w:r>
      <w:bookmarkEnd w:id="412"/>
      <w:bookmarkEnd w:id="413"/>
    </w:p>
    <w:tbl>
      <w:tblPr>
        <w:tblW w:w="4931" w:type="pct"/>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460" w:firstRow="1" w:lastRow="1" w:firstColumn="0" w:lastColumn="0" w:noHBand="0" w:noVBand="1"/>
      </w:tblPr>
      <w:tblGrid>
        <w:gridCol w:w="1012"/>
        <w:gridCol w:w="1506"/>
        <w:gridCol w:w="1536"/>
        <w:gridCol w:w="1957"/>
        <w:gridCol w:w="1957"/>
      </w:tblGrid>
      <w:tr w:rsidR="001236DF" w:rsidRPr="00144296" w14:paraId="5829A81F" w14:textId="77777777" w:rsidTr="001236DF">
        <w:trPr>
          <w:cantSplit/>
        </w:trPr>
        <w:tc>
          <w:tcPr>
            <w:tcW w:w="635" w:type="pct"/>
            <w:tcBorders>
              <w:top w:val="nil"/>
              <w:bottom w:val="nil"/>
            </w:tcBorders>
            <w:shd w:val="clear" w:color="auto" w:fill="D9D9D9"/>
          </w:tcPr>
          <w:p w14:paraId="2E4CB660" w14:textId="77777777" w:rsidR="001236DF" w:rsidRPr="00144296" w:rsidRDefault="001236DF" w:rsidP="001236DF">
            <w:pPr>
              <w:pStyle w:val="TableText"/>
              <w:rPr>
                <w:b/>
              </w:rPr>
            </w:pPr>
            <w:r w:rsidRPr="00144296">
              <w:rPr>
                <w:b/>
              </w:rPr>
              <w:t>Legal Act</w:t>
            </w:r>
          </w:p>
        </w:tc>
        <w:tc>
          <w:tcPr>
            <w:tcW w:w="945" w:type="pct"/>
            <w:tcBorders>
              <w:top w:val="nil"/>
              <w:bottom w:val="nil"/>
            </w:tcBorders>
            <w:shd w:val="clear" w:color="auto" w:fill="D9D9D9"/>
          </w:tcPr>
          <w:p w14:paraId="4FFD3B3E" w14:textId="77777777" w:rsidR="001236DF" w:rsidRPr="00144296" w:rsidRDefault="001236DF" w:rsidP="001236DF">
            <w:pPr>
              <w:pStyle w:val="TableText"/>
              <w:rPr>
                <w:b/>
              </w:rPr>
            </w:pPr>
            <w:r w:rsidRPr="00144296">
              <w:rPr>
                <w:b/>
              </w:rPr>
              <w:t>DHB</w:t>
            </w:r>
          </w:p>
        </w:tc>
        <w:tc>
          <w:tcPr>
            <w:tcW w:w="964" w:type="pct"/>
            <w:tcBorders>
              <w:top w:val="nil"/>
              <w:bottom w:val="nil"/>
            </w:tcBorders>
            <w:shd w:val="clear" w:color="auto" w:fill="D9D9D9"/>
          </w:tcPr>
          <w:p w14:paraId="40D6A678" w14:textId="77777777" w:rsidR="001236DF" w:rsidRPr="00144296" w:rsidRDefault="001236DF" w:rsidP="001236DF">
            <w:pPr>
              <w:pStyle w:val="TableText"/>
              <w:jc w:val="center"/>
              <w:rPr>
                <w:b/>
              </w:rPr>
            </w:pPr>
            <w:r w:rsidRPr="00144296">
              <w:rPr>
                <w:b/>
              </w:rPr>
              <w:t>Total seclusion hours</w:t>
            </w:r>
          </w:p>
        </w:tc>
        <w:tc>
          <w:tcPr>
            <w:tcW w:w="1228" w:type="pct"/>
            <w:tcBorders>
              <w:top w:val="nil"/>
              <w:bottom w:val="nil"/>
            </w:tcBorders>
            <w:shd w:val="clear" w:color="auto" w:fill="D9D9D9"/>
          </w:tcPr>
          <w:p w14:paraId="05BD277C" w14:textId="77777777" w:rsidR="001236DF" w:rsidRPr="00144296" w:rsidRDefault="001236DF" w:rsidP="001236DF">
            <w:pPr>
              <w:pStyle w:val="TableText"/>
              <w:jc w:val="center"/>
              <w:rPr>
                <w:b/>
              </w:rPr>
            </w:pPr>
            <w:r w:rsidRPr="00144296">
              <w:rPr>
                <w:b/>
              </w:rPr>
              <w:t xml:space="preserve">Median </w:t>
            </w:r>
            <w:r>
              <w:rPr>
                <w:b/>
              </w:rPr>
              <w:t>length</w:t>
            </w:r>
            <w:r w:rsidRPr="00144296">
              <w:rPr>
                <w:b/>
              </w:rPr>
              <w:t xml:space="preserve"> of seclusion events (hours: minutes)</w:t>
            </w:r>
          </w:p>
        </w:tc>
        <w:tc>
          <w:tcPr>
            <w:tcW w:w="1228" w:type="pct"/>
            <w:tcBorders>
              <w:top w:val="nil"/>
              <w:bottom w:val="nil"/>
            </w:tcBorders>
            <w:shd w:val="clear" w:color="auto" w:fill="D9D9D9"/>
          </w:tcPr>
          <w:p w14:paraId="44A06403" w14:textId="77777777" w:rsidR="001236DF" w:rsidRPr="00144296" w:rsidRDefault="001236DF" w:rsidP="001236DF">
            <w:pPr>
              <w:pStyle w:val="TableText"/>
              <w:jc w:val="center"/>
              <w:rPr>
                <w:b/>
              </w:rPr>
            </w:pPr>
            <w:r w:rsidRPr="00144296">
              <w:rPr>
                <w:b/>
              </w:rPr>
              <w:t xml:space="preserve">Average </w:t>
            </w:r>
            <w:r>
              <w:rPr>
                <w:b/>
              </w:rPr>
              <w:t>length</w:t>
            </w:r>
            <w:r w:rsidRPr="00144296">
              <w:rPr>
                <w:b/>
              </w:rPr>
              <w:t xml:space="preserve"> of seclusion events (hours: minutes)</w:t>
            </w:r>
          </w:p>
        </w:tc>
      </w:tr>
      <w:tr w:rsidR="001236DF" w:rsidRPr="00144296" w14:paraId="06132E52" w14:textId="77777777" w:rsidTr="001236DF">
        <w:trPr>
          <w:cantSplit/>
        </w:trPr>
        <w:tc>
          <w:tcPr>
            <w:tcW w:w="635" w:type="pct"/>
            <w:vMerge w:val="restart"/>
            <w:tcBorders>
              <w:top w:val="nil"/>
            </w:tcBorders>
          </w:tcPr>
          <w:p w14:paraId="51238FB7" w14:textId="77777777" w:rsidR="001236DF" w:rsidRPr="00144296" w:rsidRDefault="001236DF" w:rsidP="001236DF">
            <w:pPr>
              <w:pStyle w:val="TableText"/>
            </w:pPr>
            <w:r>
              <w:t>Intellectual Disability Care Act</w:t>
            </w:r>
          </w:p>
        </w:tc>
        <w:tc>
          <w:tcPr>
            <w:tcW w:w="945" w:type="pct"/>
            <w:tcBorders>
              <w:top w:val="nil"/>
            </w:tcBorders>
          </w:tcPr>
          <w:p w14:paraId="5C4D533E" w14:textId="77777777" w:rsidR="001236DF" w:rsidRPr="00144296" w:rsidRDefault="001236DF" w:rsidP="001236DF">
            <w:pPr>
              <w:pStyle w:val="TableText"/>
            </w:pPr>
            <w:r w:rsidRPr="00144296">
              <w:t>Canterbury</w:t>
            </w:r>
          </w:p>
        </w:tc>
        <w:tc>
          <w:tcPr>
            <w:tcW w:w="964" w:type="pct"/>
            <w:tcBorders>
              <w:top w:val="nil"/>
            </w:tcBorders>
          </w:tcPr>
          <w:p w14:paraId="1D7F63B7" w14:textId="77777777" w:rsidR="001236DF" w:rsidRPr="00144296" w:rsidRDefault="001236DF" w:rsidP="001236DF">
            <w:pPr>
              <w:pStyle w:val="TableText"/>
              <w:tabs>
                <w:tab w:val="decimal" w:pos="933"/>
              </w:tabs>
            </w:pPr>
            <w:r w:rsidRPr="00144296">
              <w:t>727</w:t>
            </w:r>
          </w:p>
        </w:tc>
        <w:tc>
          <w:tcPr>
            <w:tcW w:w="1228" w:type="pct"/>
            <w:tcBorders>
              <w:top w:val="nil"/>
            </w:tcBorders>
          </w:tcPr>
          <w:p w14:paraId="3B21366D" w14:textId="77777777" w:rsidR="001236DF" w:rsidRPr="00144296" w:rsidRDefault="001236DF" w:rsidP="001236DF">
            <w:pPr>
              <w:pStyle w:val="TableText"/>
              <w:tabs>
                <w:tab w:val="decimal" w:pos="934"/>
              </w:tabs>
            </w:pPr>
            <w:r w:rsidRPr="00144296">
              <w:t>12:00</w:t>
            </w:r>
          </w:p>
        </w:tc>
        <w:tc>
          <w:tcPr>
            <w:tcW w:w="1228" w:type="pct"/>
            <w:tcBorders>
              <w:top w:val="nil"/>
            </w:tcBorders>
          </w:tcPr>
          <w:p w14:paraId="0431D05D" w14:textId="77777777" w:rsidR="001236DF" w:rsidRPr="00144296" w:rsidRDefault="001236DF" w:rsidP="001236DF">
            <w:pPr>
              <w:pStyle w:val="TableText"/>
              <w:tabs>
                <w:tab w:val="decimal" w:pos="863"/>
              </w:tabs>
            </w:pPr>
            <w:r w:rsidRPr="00144296">
              <w:t>7:50</w:t>
            </w:r>
          </w:p>
        </w:tc>
      </w:tr>
      <w:tr w:rsidR="001236DF" w:rsidRPr="00144296" w14:paraId="27D1CF8B" w14:textId="77777777" w:rsidTr="001236DF">
        <w:trPr>
          <w:cantSplit/>
        </w:trPr>
        <w:tc>
          <w:tcPr>
            <w:tcW w:w="635" w:type="pct"/>
            <w:vMerge/>
          </w:tcPr>
          <w:p w14:paraId="28E4AB8D" w14:textId="77777777" w:rsidR="001236DF" w:rsidRPr="00144296" w:rsidRDefault="001236DF" w:rsidP="001236DF">
            <w:pPr>
              <w:pStyle w:val="TableText"/>
            </w:pPr>
          </w:p>
        </w:tc>
        <w:tc>
          <w:tcPr>
            <w:tcW w:w="945" w:type="pct"/>
            <w:tcBorders>
              <w:top w:val="nil"/>
            </w:tcBorders>
          </w:tcPr>
          <w:p w14:paraId="6795F6B2" w14:textId="77777777" w:rsidR="001236DF" w:rsidRPr="00144296" w:rsidRDefault="001236DF" w:rsidP="001236DF">
            <w:pPr>
              <w:pStyle w:val="TableText"/>
            </w:pPr>
            <w:r w:rsidRPr="00144296">
              <w:t>Capital &amp; Coast</w:t>
            </w:r>
          </w:p>
        </w:tc>
        <w:tc>
          <w:tcPr>
            <w:tcW w:w="964" w:type="pct"/>
            <w:tcBorders>
              <w:top w:val="nil"/>
            </w:tcBorders>
          </w:tcPr>
          <w:p w14:paraId="7F25E686" w14:textId="77777777" w:rsidR="001236DF" w:rsidRPr="00144296" w:rsidRDefault="001236DF" w:rsidP="001236DF">
            <w:pPr>
              <w:pStyle w:val="TableText"/>
              <w:tabs>
                <w:tab w:val="decimal" w:pos="933"/>
              </w:tabs>
            </w:pPr>
            <w:r w:rsidRPr="00144296">
              <w:t>121</w:t>
            </w:r>
          </w:p>
        </w:tc>
        <w:tc>
          <w:tcPr>
            <w:tcW w:w="1228" w:type="pct"/>
            <w:tcBorders>
              <w:top w:val="nil"/>
            </w:tcBorders>
          </w:tcPr>
          <w:p w14:paraId="6C09970A" w14:textId="77777777" w:rsidR="001236DF" w:rsidRPr="00144296" w:rsidRDefault="001236DF" w:rsidP="001236DF">
            <w:pPr>
              <w:pStyle w:val="TableText"/>
              <w:tabs>
                <w:tab w:val="decimal" w:pos="934"/>
              </w:tabs>
            </w:pPr>
            <w:r w:rsidRPr="00144296">
              <w:t>6:50</w:t>
            </w:r>
          </w:p>
        </w:tc>
        <w:tc>
          <w:tcPr>
            <w:tcW w:w="1228" w:type="pct"/>
            <w:tcBorders>
              <w:top w:val="nil"/>
            </w:tcBorders>
          </w:tcPr>
          <w:p w14:paraId="46F45E48" w14:textId="77777777" w:rsidR="001236DF" w:rsidRPr="00144296" w:rsidRDefault="001236DF" w:rsidP="001236DF">
            <w:pPr>
              <w:pStyle w:val="TableText"/>
              <w:tabs>
                <w:tab w:val="decimal" w:pos="863"/>
              </w:tabs>
            </w:pPr>
            <w:r w:rsidRPr="00144296">
              <w:t>10:06</w:t>
            </w:r>
          </w:p>
        </w:tc>
      </w:tr>
      <w:tr w:rsidR="001236DF" w:rsidRPr="00144296" w14:paraId="3CE97D94" w14:textId="77777777" w:rsidTr="001236DF">
        <w:trPr>
          <w:cantSplit/>
        </w:trPr>
        <w:tc>
          <w:tcPr>
            <w:tcW w:w="635" w:type="pct"/>
            <w:vMerge/>
          </w:tcPr>
          <w:p w14:paraId="3713C3BD" w14:textId="77777777" w:rsidR="001236DF" w:rsidRPr="00144296" w:rsidRDefault="001236DF" w:rsidP="001236DF">
            <w:pPr>
              <w:pStyle w:val="TableText"/>
            </w:pPr>
          </w:p>
        </w:tc>
        <w:tc>
          <w:tcPr>
            <w:tcW w:w="945" w:type="pct"/>
          </w:tcPr>
          <w:p w14:paraId="0C490500" w14:textId="77777777" w:rsidR="001236DF" w:rsidRPr="00144296" w:rsidRDefault="001236DF" w:rsidP="001236DF">
            <w:pPr>
              <w:pStyle w:val="TableText"/>
            </w:pPr>
            <w:r w:rsidRPr="00144296">
              <w:t>Southern</w:t>
            </w:r>
          </w:p>
        </w:tc>
        <w:tc>
          <w:tcPr>
            <w:tcW w:w="964" w:type="pct"/>
          </w:tcPr>
          <w:p w14:paraId="68519495" w14:textId="77777777" w:rsidR="001236DF" w:rsidRPr="00144296" w:rsidRDefault="001236DF" w:rsidP="001236DF">
            <w:pPr>
              <w:pStyle w:val="TableText"/>
              <w:tabs>
                <w:tab w:val="decimal" w:pos="933"/>
              </w:tabs>
            </w:pPr>
            <w:r w:rsidRPr="00144296">
              <w:t>524</w:t>
            </w:r>
          </w:p>
        </w:tc>
        <w:tc>
          <w:tcPr>
            <w:tcW w:w="1228" w:type="pct"/>
          </w:tcPr>
          <w:p w14:paraId="1CBE1231" w14:textId="77777777" w:rsidR="001236DF" w:rsidRPr="00144296" w:rsidRDefault="001236DF" w:rsidP="001236DF">
            <w:pPr>
              <w:pStyle w:val="TableText"/>
              <w:tabs>
                <w:tab w:val="decimal" w:pos="934"/>
              </w:tabs>
            </w:pPr>
            <w:r w:rsidRPr="00144296">
              <w:t>3:50</w:t>
            </w:r>
          </w:p>
        </w:tc>
        <w:tc>
          <w:tcPr>
            <w:tcW w:w="1228" w:type="pct"/>
          </w:tcPr>
          <w:p w14:paraId="42CC9128" w14:textId="77777777" w:rsidR="001236DF" w:rsidRPr="00144296" w:rsidRDefault="001236DF" w:rsidP="001236DF">
            <w:pPr>
              <w:pStyle w:val="TableText"/>
              <w:tabs>
                <w:tab w:val="decimal" w:pos="863"/>
              </w:tabs>
            </w:pPr>
            <w:r w:rsidRPr="00144296">
              <w:t>10:56</w:t>
            </w:r>
          </w:p>
        </w:tc>
      </w:tr>
      <w:tr w:rsidR="001236DF" w:rsidRPr="00144296" w14:paraId="58EB39EC" w14:textId="77777777" w:rsidTr="001236DF">
        <w:trPr>
          <w:cantSplit/>
        </w:trPr>
        <w:tc>
          <w:tcPr>
            <w:tcW w:w="635" w:type="pct"/>
            <w:vMerge/>
          </w:tcPr>
          <w:p w14:paraId="64836CA2" w14:textId="77777777" w:rsidR="001236DF" w:rsidRPr="00144296" w:rsidRDefault="001236DF" w:rsidP="001236DF">
            <w:pPr>
              <w:pStyle w:val="TableText"/>
            </w:pPr>
          </w:p>
        </w:tc>
        <w:tc>
          <w:tcPr>
            <w:tcW w:w="945" w:type="pct"/>
            <w:tcBorders>
              <w:bottom w:val="single" w:sz="4" w:space="0" w:color="A6A6A6"/>
            </w:tcBorders>
          </w:tcPr>
          <w:p w14:paraId="20EB62D6" w14:textId="77777777" w:rsidR="001236DF" w:rsidRPr="00144296" w:rsidRDefault="001236DF" w:rsidP="001236DF">
            <w:pPr>
              <w:pStyle w:val="TableText"/>
            </w:pPr>
            <w:r w:rsidRPr="00144296">
              <w:t>Waikato</w:t>
            </w:r>
          </w:p>
        </w:tc>
        <w:tc>
          <w:tcPr>
            <w:tcW w:w="964" w:type="pct"/>
            <w:tcBorders>
              <w:bottom w:val="single" w:sz="4" w:space="0" w:color="A6A6A6"/>
            </w:tcBorders>
          </w:tcPr>
          <w:p w14:paraId="013B795F" w14:textId="77777777" w:rsidR="001236DF" w:rsidRPr="00144296" w:rsidRDefault="001236DF" w:rsidP="001236DF">
            <w:pPr>
              <w:pStyle w:val="TableText"/>
              <w:tabs>
                <w:tab w:val="decimal" w:pos="933"/>
              </w:tabs>
            </w:pPr>
            <w:r w:rsidRPr="00144296">
              <w:t>60</w:t>
            </w:r>
          </w:p>
        </w:tc>
        <w:tc>
          <w:tcPr>
            <w:tcW w:w="1228" w:type="pct"/>
            <w:tcBorders>
              <w:bottom w:val="single" w:sz="4" w:space="0" w:color="A6A6A6"/>
            </w:tcBorders>
          </w:tcPr>
          <w:p w14:paraId="61ABEBE1" w14:textId="77777777" w:rsidR="001236DF" w:rsidRPr="00144296" w:rsidRDefault="001236DF" w:rsidP="001236DF">
            <w:pPr>
              <w:pStyle w:val="TableText"/>
              <w:tabs>
                <w:tab w:val="decimal" w:pos="934"/>
              </w:tabs>
            </w:pPr>
            <w:r w:rsidRPr="00144296">
              <w:t>3:18</w:t>
            </w:r>
          </w:p>
        </w:tc>
        <w:tc>
          <w:tcPr>
            <w:tcW w:w="1228" w:type="pct"/>
            <w:tcBorders>
              <w:bottom w:val="single" w:sz="4" w:space="0" w:color="A6A6A6"/>
            </w:tcBorders>
          </w:tcPr>
          <w:p w14:paraId="1B8503B0" w14:textId="77777777" w:rsidR="001236DF" w:rsidRPr="00144296" w:rsidRDefault="001236DF" w:rsidP="001236DF">
            <w:pPr>
              <w:pStyle w:val="TableText"/>
              <w:tabs>
                <w:tab w:val="decimal" w:pos="863"/>
              </w:tabs>
            </w:pPr>
            <w:r w:rsidRPr="00144296">
              <w:t>8:35</w:t>
            </w:r>
          </w:p>
        </w:tc>
      </w:tr>
      <w:tr w:rsidR="001236DF" w:rsidRPr="00144296" w14:paraId="7419AC91" w14:textId="77777777" w:rsidTr="006273A4">
        <w:trPr>
          <w:cantSplit/>
        </w:trPr>
        <w:tc>
          <w:tcPr>
            <w:tcW w:w="635" w:type="pct"/>
            <w:vMerge/>
            <w:tcBorders>
              <w:bottom w:val="single" w:sz="4" w:space="0" w:color="A6A6A6"/>
            </w:tcBorders>
          </w:tcPr>
          <w:p w14:paraId="5319FB69" w14:textId="77777777" w:rsidR="001236DF" w:rsidRPr="00144296" w:rsidRDefault="001236DF" w:rsidP="001236DF">
            <w:pPr>
              <w:pStyle w:val="TableText"/>
            </w:pPr>
          </w:p>
        </w:tc>
        <w:tc>
          <w:tcPr>
            <w:tcW w:w="945" w:type="pct"/>
            <w:tcBorders>
              <w:bottom w:val="single" w:sz="4" w:space="0" w:color="A6A6A6"/>
            </w:tcBorders>
          </w:tcPr>
          <w:p w14:paraId="26CEBB78" w14:textId="77777777" w:rsidR="001236DF" w:rsidRPr="00144296" w:rsidRDefault="001236DF" w:rsidP="001236DF">
            <w:pPr>
              <w:pStyle w:val="TableText"/>
            </w:pPr>
            <w:r w:rsidRPr="00144296">
              <w:t>Waitematā</w:t>
            </w:r>
          </w:p>
        </w:tc>
        <w:tc>
          <w:tcPr>
            <w:tcW w:w="964" w:type="pct"/>
            <w:tcBorders>
              <w:bottom w:val="single" w:sz="4" w:space="0" w:color="A6A6A6"/>
            </w:tcBorders>
          </w:tcPr>
          <w:p w14:paraId="63FAB9A4" w14:textId="77777777" w:rsidR="001236DF" w:rsidRPr="00144296" w:rsidRDefault="001236DF" w:rsidP="001236DF">
            <w:pPr>
              <w:pStyle w:val="TableText"/>
              <w:tabs>
                <w:tab w:val="decimal" w:pos="933"/>
              </w:tabs>
            </w:pPr>
            <w:r w:rsidRPr="00144296">
              <w:t>126</w:t>
            </w:r>
          </w:p>
        </w:tc>
        <w:tc>
          <w:tcPr>
            <w:tcW w:w="1228" w:type="pct"/>
            <w:tcBorders>
              <w:bottom w:val="single" w:sz="4" w:space="0" w:color="A6A6A6"/>
            </w:tcBorders>
          </w:tcPr>
          <w:p w14:paraId="24B0BA9F" w14:textId="77777777" w:rsidR="001236DF" w:rsidRPr="00144296" w:rsidRDefault="001236DF" w:rsidP="001236DF">
            <w:pPr>
              <w:pStyle w:val="TableText"/>
              <w:tabs>
                <w:tab w:val="decimal" w:pos="934"/>
              </w:tabs>
            </w:pPr>
            <w:r w:rsidRPr="00144296">
              <w:t>1:17</w:t>
            </w:r>
          </w:p>
        </w:tc>
        <w:tc>
          <w:tcPr>
            <w:tcW w:w="1228" w:type="pct"/>
            <w:tcBorders>
              <w:bottom w:val="single" w:sz="4" w:space="0" w:color="A6A6A6"/>
            </w:tcBorders>
          </w:tcPr>
          <w:p w14:paraId="2AF42AC6" w14:textId="77777777" w:rsidR="001236DF" w:rsidRPr="00144296" w:rsidRDefault="001236DF" w:rsidP="001236DF">
            <w:pPr>
              <w:pStyle w:val="TableText"/>
              <w:tabs>
                <w:tab w:val="decimal" w:pos="863"/>
              </w:tabs>
            </w:pPr>
            <w:r w:rsidRPr="00144296">
              <w:t>2:36</w:t>
            </w:r>
          </w:p>
        </w:tc>
      </w:tr>
      <w:tr w:rsidR="001236DF" w:rsidRPr="00144296" w14:paraId="3A37D9A8" w14:textId="77777777" w:rsidTr="006273A4">
        <w:trPr>
          <w:cantSplit/>
        </w:trPr>
        <w:tc>
          <w:tcPr>
            <w:tcW w:w="635" w:type="pct"/>
            <w:vMerge w:val="restart"/>
            <w:tcBorders>
              <w:top w:val="single" w:sz="4" w:space="0" w:color="A6A6A6"/>
            </w:tcBorders>
          </w:tcPr>
          <w:p w14:paraId="17FE3130" w14:textId="77777777" w:rsidR="001236DF" w:rsidRPr="00144296" w:rsidRDefault="001236DF" w:rsidP="001236DF">
            <w:pPr>
              <w:pStyle w:val="TableText"/>
            </w:pPr>
            <w:r>
              <w:t>Mental Health Act</w:t>
            </w:r>
          </w:p>
        </w:tc>
        <w:tc>
          <w:tcPr>
            <w:tcW w:w="945" w:type="pct"/>
            <w:tcBorders>
              <w:top w:val="single" w:sz="4" w:space="0" w:color="A6A6A6"/>
            </w:tcBorders>
          </w:tcPr>
          <w:p w14:paraId="0DB1B151" w14:textId="77777777" w:rsidR="001236DF" w:rsidRPr="00144296" w:rsidRDefault="001236DF" w:rsidP="001236DF">
            <w:pPr>
              <w:pStyle w:val="TableText"/>
            </w:pPr>
            <w:r w:rsidRPr="00144296">
              <w:t>Canterbury</w:t>
            </w:r>
          </w:p>
        </w:tc>
        <w:tc>
          <w:tcPr>
            <w:tcW w:w="964" w:type="pct"/>
            <w:tcBorders>
              <w:top w:val="single" w:sz="4" w:space="0" w:color="A6A6A6"/>
            </w:tcBorders>
          </w:tcPr>
          <w:p w14:paraId="74EC30B6" w14:textId="77777777" w:rsidR="001236DF" w:rsidRPr="00144296" w:rsidRDefault="001236DF" w:rsidP="001236DF">
            <w:pPr>
              <w:pStyle w:val="TableText"/>
              <w:tabs>
                <w:tab w:val="decimal" w:pos="933"/>
              </w:tabs>
            </w:pPr>
            <w:r w:rsidRPr="00144296">
              <w:t>0</w:t>
            </w:r>
          </w:p>
        </w:tc>
        <w:tc>
          <w:tcPr>
            <w:tcW w:w="1228" w:type="pct"/>
            <w:tcBorders>
              <w:top w:val="single" w:sz="4" w:space="0" w:color="A6A6A6"/>
            </w:tcBorders>
          </w:tcPr>
          <w:p w14:paraId="2415B07A" w14:textId="77777777" w:rsidR="001236DF" w:rsidRPr="00144296" w:rsidRDefault="001236DF" w:rsidP="001236DF">
            <w:pPr>
              <w:pStyle w:val="TableText"/>
              <w:tabs>
                <w:tab w:val="decimal" w:pos="934"/>
              </w:tabs>
            </w:pPr>
            <w:r w:rsidRPr="00144296">
              <w:t>0:00</w:t>
            </w:r>
          </w:p>
        </w:tc>
        <w:tc>
          <w:tcPr>
            <w:tcW w:w="1228" w:type="pct"/>
            <w:tcBorders>
              <w:top w:val="single" w:sz="4" w:space="0" w:color="A6A6A6"/>
            </w:tcBorders>
          </w:tcPr>
          <w:p w14:paraId="6F20039F" w14:textId="77777777" w:rsidR="001236DF" w:rsidRPr="00144296" w:rsidRDefault="001236DF" w:rsidP="001236DF">
            <w:pPr>
              <w:pStyle w:val="TableText"/>
              <w:tabs>
                <w:tab w:val="decimal" w:pos="863"/>
              </w:tabs>
            </w:pPr>
            <w:r w:rsidRPr="00144296">
              <w:t>0:00</w:t>
            </w:r>
          </w:p>
        </w:tc>
      </w:tr>
      <w:tr w:rsidR="001236DF" w:rsidRPr="00144296" w14:paraId="0F149074" w14:textId="77777777" w:rsidTr="001236DF">
        <w:trPr>
          <w:cantSplit/>
        </w:trPr>
        <w:tc>
          <w:tcPr>
            <w:tcW w:w="635" w:type="pct"/>
            <w:vMerge/>
          </w:tcPr>
          <w:p w14:paraId="0BA5D548" w14:textId="77777777" w:rsidR="001236DF" w:rsidRPr="00144296" w:rsidRDefault="001236DF" w:rsidP="001236DF">
            <w:pPr>
              <w:pStyle w:val="TableText"/>
            </w:pPr>
          </w:p>
        </w:tc>
        <w:tc>
          <w:tcPr>
            <w:tcW w:w="945" w:type="pct"/>
          </w:tcPr>
          <w:p w14:paraId="73F3D710" w14:textId="77777777" w:rsidR="001236DF" w:rsidRPr="00144296" w:rsidRDefault="001236DF" w:rsidP="001236DF">
            <w:pPr>
              <w:pStyle w:val="TableText"/>
            </w:pPr>
            <w:r w:rsidRPr="00144296">
              <w:t>Capital &amp; Coast</w:t>
            </w:r>
          </w:p>
        </w:tc>
        <w:tc>
          <w:tcPr>
            <w:tcW w:w="964" w:type="pct"/>
          </w:tcPr>
          <w:p w14:paraId="6C8E6B95" w14:textId="77777777" w:rsidR="001236DF" w:rsidRPr="00144296" w:rsidRDefault="001236DF" w:rsidP="001236DF">
            <w:pPr>
              <w:pStyle w:val="TableText"/>
              <w:tabs>
                <w:tab w:val="decimal" w:pos="933"/>
              </w:tabs>
            </w:pPr>
            <w:r w:rsidRPr="00144296">
              <w:t>3</w:t>
            </w:r>
          </w:p>
        </w:tc>
        <w:tc>
          <w:tcPr>
            <w:tcW w:w="1228" w:type="pct"/>
          </w:tcPr>
          <w:p w14:paraId="2EC22D30" w14:textId="77777777" w:rsidR="001236DF" w:rsidRPr="00144296" w:rsidRDefault="001236DF" w:rsidP="001236DF">
            <w:pPr>
              <w:pStyle w:val="TableText"/>
              <w:tabs>
                <w:tab w:val="decimal" w:pos="934"/>
              </w:tabs>
            </w:pPr>
            <w:r w:rsidRPr="00144296">
              <w:t>2:50</w:t>
            </w:r>
          </w:p>
        </w:tc>
        <w:tc>
          <w:tcPr>
            <w:tcW w:w="1228" w:type="pct"/>
          </w:tcPr>
          <w:p w14:paraId="6A4C603A" w14:textId="77777777" w:rsidR="001236DF" w:rsidRPr="00144296" w:rsidRDefault="001236DF" w:rsidP="001236DF">
            <w:pPr>
              <w:pStyle w:val="TableText"/>
              <w:tabs>
                <w:tab w:val="decimal" w:pos="863"/>
              </w:tabs>
            </w:pPr>
            <w:r w:rsidRPr="00144296">
              <w:t>2:50</w:t>
            </w:r>
          </w:p>
        </w:tc>
      </w:tr>
      <w:tr w:rsidR="001236DF" w:rsidRPr="00144296" w14:paraId="5257D662" w14:textId="77777777" w:rsidTr="001236DF">
        <w:trPr>
          <w:cantSplit/>
        </w:trPr>
        <w:tc>
          <w:tcPr>
            <w:tcW w:w="635" w:type="pct"/>
            <w:vMerge/>
          </w:tcPr>
          <w:p w14:paraId="22F65D87" w14:textId="77777777" w:rsidR="001236DF" w:rsidRPr="00144296" w:rsidRDefault="001236DF" w:rsidP="001236DF">
            <w:pPr>
              <w:pStyle w:val="TableText"/>
            </w:pPr>
          </w:p>
        </w:tc>
        <w:tc>
          <w:tcPr>
            <w:tcW w:w="945" w:type="pct"/>
          </w:tcPr>
          <w:p w14:paraId="606EBE09" w14:textId="77777777" w:rsidR="001236DF" w:rsidRPr="00144296" w:rsidRDefault="001236DF" w:rsidP="001236DF">
            <w:pPr>
              <w:pStyle w:val="TableText"/>
            </w:pPr>
            <w:r w:rsidRPr="00144296">
              <w:t>Southern</w:t>
            </w:r>
          </w:p>
        </w:tc>
        <w:tc>
          <w:tcPr>
            <w:tcW w:w="964" w:type="pct"/>
          </w:tcPr>
          <w:p w14:paraId="137D4FBD" w14:textId="77777777" w:rsidR="001236DF" w:rsidRPr="00144296" w:rsidRDefault="001236DF" w:rsidP="001236DF">
            <w:pPr>
              <w:pStyle w:val="TableText"/>
              <w:tabs>
                <w:tab w:val="decimal" w:pos="933"/>
              </w:tabs>
            </w:pPr>
            <w:r w:rsidRPr="00144296">
              <w:t>208</w:t>
            </w:r>
          </w:p>
        </w:tc>
        <w:tc>
          <w:tcPr>
            <w:tcW w:w="1228" w:type="pct"/>
          </w:tcPr>
          <w:p w14:paraId="4968D1C9" w14:textId="77777777" w:rsidR="001236DF" w:rsidRPr="00144296" w:rsidRDefault="001236DF" w:rsidP="001236DF">
            <w:pPr>
              <w:pStyle w:val="TableText"/>
              <w:tabs>
                <w:tab w:val="decimal" w:pos="934"/>
              </w:tabs>
            </w:pPr>
            <w:r w:rsidRPr="00144296">
              <w:t>3:00</w:t>
            </w:r>
          </w:p>
        </w:tc>
        <w:tc>
          <w:tcPr>
            <w:tcW w:w="1228" w:type="pct"/>
          </w:tcPr>
          <w:p w14:paraId="5544FAD6" w14:textId="77777777" w:rsidR="001236DF" w:rsidRPr="00144296" w:rsidRDefault="001236DF" w:rsidP="001236DF">
            <w:pPr>
              <w:pStyle w:val="TableText"/>
              <w:tabs>
                <w:tab w:val="decimal" w:pos="863"/>
              </w:tabs>
            </w:pPr>
            <w:r w:rsidRPr="00144296">
              <w:t>5:20</w:t>
            </w:r>
          </w:p>
        </w:tc>
      </w:tr>
      <w:tr w:rsidR="001236DF" w:rsidRPr="00144296" w14:paraId="5EB0CEA9" w14:textId="77777777" w:rsidTr="001236DF">
        <w:trPr>
          <w:cantSplit/>
        </w:trPr>
        <w:tc>
          <w:tcPr>
            <w:tcW w:w="635" w:type="pct"/>
            <w:vMerge/>
          </w:tcPr>
          <w:p w14:paraId="0EC843FF" w14:textId="77777777" w:rsidR="001236DF" w:rsidRPr="00144296" w:rsidRDefault="001236DF" w:rsidP="001236DF">
            <w:pPr>
              <w:pStyle w:val="TableText"/>
            </w:pPr>
          </w:p>
        </w:tc>
        <w:tc>
          <w:tcPr>
            <w:tcW w:w="945" w:type="pct"/>
            <w:tcBorders>
              <w:bottom w:val="single" w:sz="4" w:space="0" w:color="A6A6A6"/>
            </w:tcBorders>
          </w:tcPr>
          <w:p w14:paraId="33E551AC" w14:textId="77777777" w:rsidR="001236DF" w:rsidRPr="00144296" w:rsidRDefault="001236DF" w:rsidP="001236DF">
            <w:pPr>
              <w:pStyle w:val="TableText"/>
            </w:pPr>
            <w:r w:rsidRPr="00144296">
              <w:t>Waikato</w:t>
            </w:r>
          </w:p>
        </w:tc>
        <w:tc>
          <w:tcPr>
            <w:tcW w:w="964" w:type="pct"/>
            <w:tcBorders>
              <w:bottom w:val="single" w:sz="4" w:space="0" w:color="A6A6A6"/>
            </w:tcBorders>
          </w:tcPr>
          <w:p w14:paraId="7F7B0A9F" w14:textId="77777777" w:rsidR="001236DF" w:rsidRPr="00144296" w:rsidRDefault="001236DF" w:rsidP="001236DF">
            <w:pPr>
              <w:pStyle w:val="TableText"/>
              <w:tabs>
                <w:tab w:val="decimal" w:pos="933"/>
              </w:tabs>
            </w:pPr>
            <w:r w:rsidRPr="00144296">
              <w:t>0</w:t>
            </w:r>
          </w:p>
        </w:tc>
        <w:tc>
          <w:tcPr>
            <w:tcW w:w="1228" w:type="pct"/>
            <w:tcBorders>
              <w:bottom w:val="single" w:sz="4" w:space="0" w:color="A6A6A6"/>
            </w:tcBorders>
          </w:tcPr>
          <w:p w14:paraId="2E537F7B" w14:textId="77777777" w:rsidR="001236DF" w:rsidRPr="00144296" w:rsidRDefault="001236DF" w:rsidP="001236DF">
            <w:pPr>
              <w:pStyle w:val="TableText"/>
              <w:tabs>
                <w:tab w:val="decimal" w:pos="934"/>
              </w:tabs>
            </w:pPr>
            <w:r w:rsidRPr="00144296">
              <w:t>0:00</w:t>
            </w:r>
          </w:p>
        </w:tc>
        <w:tc>
          <w:tcPr>
            <w:tcW w:w="1228" w:type="pct"/>
            <w:tcBorders>
              <w:bottom w:val="single" w:sz="4" w:space="0" w:color="A6A6A6"/>
            </w:tcBorders>
          </w:tcPr>
          <w:p w14:paraId="544E6620" w14:textId="77777777" w:rsidR="001236DF" w:rsidRPr="00144296" w:rsidRDefault="001236DF" w:rsidP="001236DF">
            <w:pPr>
              <w:pStyle w:val="TableText"/>
              <w:tabs>
                <w:tab w:val="decimal" w:pos="863"/>
              </w:tabs>
            </w:pPr>
            <w:r w:rsidRPr="00144296">
              <w:t>0:00</w:t>
            </w:r>
          </w:p>
        </w:tc>
      </w:tr>
      <w:tr w:rsidR="001236DF" w:rsidRPr="00144296" w14:paraId="1424B6F0" w14:textId="77777777" w:rsidTr="001236DF">
        <w:trPr>
          <w:cantSplit/>
        </w:trPr>
        <w:tc>
          <w:tcPr>
            <w:tcW w:w="635" w:type="pct"/>
            <w:vMerge/>
          </w:tcPr>
          <w:p w14:paraId="3FF51EF5" w14:textId="77777777" w:rsidR="001236DF" w:rsidRPr="00144296" w:rsidRDefault="001236DF" w:rsidP="001236DF">
            <w:pPr>
              <w:pStyle w:val="TableText"/>
            </w:pPr>
          </w:p>
        </w:tc>
        <w:tc>
          <w:tcPr>
            <w:tcW w:w="945" w:type="pct"/>
          </w:tcPr>
          <w:p w14:paraId="39B1769E" w14:textId="77777777" w:rsidR="001236DF" w:rsidRPr="00144296" w:rsidRDefault="001236DF" w:rsidP="001236DF">
            <w:pPr>
              <w:pStyle w:val="TableText"/>
            </w:pPr>
            <w:r w:rsidRPr="00144296">
              <w:t>Waitematā</w:t>
            </w:r>
          </w:p>
        </w:tc>
        <w:tc>
          <w:tcPr>
            <w:tcW w:w="964" w:type="pct"/>
          </w:tcPr>
          <w:p w14:paraId="68206E87" w14:textId="77777777" w:rsidR="001236DF" w:rsidRPr="00144296" w:rsidRDefault="001236DF" w:rsidP="001236DF">
            <w:pPr>
              <w:pStyle w:val="TableText"/>
              <w:tabs>
                <w:tab w:val="decimal" w:pos="933"/>
              </w:tabs>
            </w:pPr>
            <w:r w:rsidRPr="00144296">
              <w:t>580</w:t>
            </w:r>
          </w:p>
        </w:tc>
        <w:tc>
          <w:tcPr>
            <w:tcW w:w="1228" w:type="pct"/>
          </w:tcPr>
          <w:p w14:paraId="3F3D16CC" w14:textId="77777777" w:rsidR="001236DF" w:rsidRPr="00144296" w:rsidRDefault="001236DF" w:rsidP="001236DF">
            <w:pPr>
              <w:pStyle w:val="TableText"/>
              <w:tabs>
                <w:tab w:val="decimal" w:pos="934"/>
              </w:tabs>
            </w:pPr>
            <w:r w:rsidRPr="00144296">
              <w:t>1:30</w:t>
            </w:r>
          </w:p>
        </w:tc>
        <w:tc>
          <w:tcPr>
            <w:tcW w:w="1228" w:type="pct"/>
          </w:tcPr>
          <w:p w14:paraId="25A05D36" w14:textId="77777777" w:rsidR="001236DF" w:rsidRPr="00144296" w:rsidRDefault="001236DF" w:rsidP="001236DF">
            <w:pPr>
              <w:pStyle w:val="TableText"/>
              <w:tabs>
                <w:tab w:val="decimal" w:pos="863"/>
              </w:tabs>
            </w:pPr>
            <w:r w:rsidRPr="00144296">
              <w:t>3:56</w:t>
            </w:r>
          </w:p>
        </w:tc>
      </w:tr>
    </w:tbl>
    <w:p w14:paraId="5F8AD241" w14:textId="77777777" w:rsidR="001236DF" w:rsidRPr="00144296" w:rsidRDefault="001236DF" w:rsidP="001236DF">
      <w:pPr>
        <w:pStyle w:val="Note"/>
      </w:pPr>
      <w:r w:rsidRPr="00144296">
        <w:t xml:space="preserve">Notes: </w:t>
      </w:r>
      <w:r>
        <w:t>Intellectual Disability Care Act</w:t>
      </w:r>
      <w:r w:rsidRPr="00144296">
        <w:t xml:space="preserve"> = Intellectual Disability (Compulsory Care and Rehabilitation) Act 2003; </w:t>
      </w:r>
      <w:r>
        <w:t>Mental Health Act</w:t>
      </w:r>
      <w:r w:rsidRPr="00144296">
        <w:t xml:space="preserve"> = Mental Health (Compulsory Assessment and Treatment) Act 1992. The high seclusion hours for Canterbury and Southern</w:t>
      </w:r>
      <w:r>
        <w:t xml:space="preserve"> DHBs</w:t>
      </w:r>
      <w:r w:rsidRPr="00144296">
        <w:t xml:space="preserve"> are driven by one event in each DHB with very high seclusion hours, </w:t>
      </w:r>
      <w:r>
        <w:t xml:space="preserve">involving </w:t>
      </w:r>
      <w:r w:rsidRPr="00144296">
        <w:t>636 and 165 hours respectively.</w:t>
      </w:r>
    </w:p>
    <w:p w14:paraId="6BB0E2E0" w14:textId="77777777" w:rsidR="001236DF" w:rsidRDefault="001236DF" w:rsidP="001236DF">
      <w:pPr>
        <w:pStyle w:val="Source"/>
      </w:pPr>
      <w:r w:rsidRPr="00144296">
        <w:t>Sources: PRIMHD data (extracted 3 June 2022) and manual data from Southern, Waikato and Waitematā DHBs.</w:t>
      </w:r>
    </w:p>
    <w:p w14:paraId="7BFC8E5A" w14:textId="77777777" w:rsidR="001236DF" w:rsidRPr="005A6100" w:rsidRDefault="001236DF" w:rsidP="001236DF"/>
    <w:p w14:paraId="22EE10F4" w14:textId="56290791" w:rsidR="001236DF" w:rsidRPr="00144296" w:rsidRDefault="001236DF" w:rsidP="001236DF">
      <w:pPr>
        <w:pStyle w:val="Table"/>
      </w:pPr>
      <w:bookmarkStart w:id="414" w:name="_Toc87430009"/>
      <w:bookmarkStart w:id="415" w:name="_Toc88561366"/>
      <w:bookmarkStart w:id="416" w:name="_Toc115188901"/>
      <w:bookmarkStart w:id="417" w:name="_Toc115272603"/>
      <w:r>
        <w:t>Table </w:t>
      </w:r>
      <w:fldSimple w:instr=" SEQ Table \* ARABIC ">
        <w:r w:rsidR="009A04B0">
          <w:rPr>
            <w:noProof/>
          </w:rPr>
          <w:t>12</w:t>
        </w:r>
      </w:fldSimple>
      <w:r w:rsidRPr="00947A98">
        <w:t xml:space="preserve">: </w:t>
      </w:r>
      <w:r w:rsidRPr="00144296">
        <w:t xml:space="preserve">Seclusion indicators for </w:t>
      </w:r>
      <w:r>
        <w:t>M</w:t>
      </w:r>
      <w:r>
        <w:rPr>
          <w:rFonts w:cs="Segoe UI"/>
        </w:rPr>
        <w:t>ā</w:t>
      </w:r>
      <w:r>
        <w:t>ori and non-M</w:t>
      </w:r>
      <w:r>
        <w:rPr>
          <w:rFonts w:cs="Segoe UI"/>
        </w:rPr>
        <w:t>ā</w:t>
      </w:r>
      <w:r>
        <w:t>ori</w:t>
      </w:r>
      <w:r w:rsidRPr="00144296">
        <w:t xml:space="preserve"> with intellectual disabilities, 1 J</w:t>
      </w:r>
      <w:bookmarkEnd w:id="414"/>
      <w:bookmarkEnd w:id="415"/>
      <w:r w:rsidRPr="00144296">
        <w:t>uly 2020 to 30 June 2021</w:t>
      </w:r>
      <w:bookmarkEnd w:id="416"/>
      <w:bookmarkEnd w:id="417"/>
    </w:p>
    <w:tbl>
      <w:tblPr>
        <w:tblW w:w="4931" w:type="pct"/>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460" w:firstRow="1" w:lastRow="1" w:firstColumn="0" w:lastColumn="0" w:noHBand="0" w:noVBand="1"/>
      </w:tblPr>
      <w:tblGrid>
        <w:gridCol w:w="978"/>
        <w:gridCol w:w="1119"/>
        <w:gridCol w:w="1444"/>
        <w:gridCol w:w="1444"/>
        <w:gridCol w:w="1445"/>
        <w:gridCol w:w="1538"/>
      </w:tblGrid>
      <w:tr w:rsidR="001236DF" w:rsidRPr="00144296" w14:paraId="455C9EAC" w14:textId="77777777" w:rsidTr="001236DF">
        <w:trPr>
          <w:cantSplit/>
        </w:trPr>
        <w:tc>
          <w:tcPr>
            <w:tcW w:w="613" w:type="pct"/>
            <w:tcBorders>
              <w:top w:val="nil"/>
              <w:bottom w:val="nil"/>
            </w:tcBorders>
            <w:shd w:val="clear" w:color="auto" w:fill="D9D9D9"/>
          </w:tcPr>
          <w:p w14:paraId="220D16AB" w14:textId="77777777" w:rsidR="001236DF" w:rsidRPr="00144296" w:rsidRDefault="001236DF" w:rsidP="001236DF">
            <w:pPr>
              <w:pStyle w:val="TableText"/>
              <w:rPr>
                <w:b/>
              </w:rPr>
            </w:pPr>
            <w:r w:rsidRPr="00144296">
              <w:rPr>
                <w:b/>
              </w:rPr>
              <w:t>Legal Act</w:t>
            </w:r>
          </w:p>
        </w:tc>
        <w:tc>
          <w:tcPr>
            <w:tcW w:w="702" w:type="pct"/>
            <w:tcBorders>
              <w:top w:val="nil"/>
              <w:bottom w:val="nil"/>
            </w:tcBorders>
            <w:shd w:val="clear" w:color="auto" w:fill="D9D9D9"/>
          </w:tcPr>
          <w:p w14:paraId="6B2B502C" w14:textId="77777777" w:rsidR="001236DF" w:rsidRPr="00144296" w:rsidRDefault="001236DF" w:rsidP="001236DF">
            <w:pPr>
              <w:pStyle w:val="TableText"/>
              <w:rPr>
                <w:b/>
              </w:rPr>
            </w:pPr>
            <w:r w:rsidRPr="00144296">
              <w:rPr>
                <w:b/>
              </w:rPr>
              <w:t>Ethnicity</w:t>
            </w:r>
          </w:p>
        </w:tc>
        <w:tc>
          <w:tcPr>
            <w:tcW w:w="906" w:type="pct"/>
            <w:tcBorders>
              <w:top w:val="nil"/>
              <w:bottom w:val="nil"/>
            </w:tcBorders>
            <w:shd w:val="clear" w:color="auto" w:fill="D9D9D9"/>
          </w:tcPr>
          <w:p w14:paraId="77AF8EB5" w14:textId="77777777" w:rsidR="001236DF" w:rsidRPr="00144296" w:rsidRDefault="001236DF" w:rsidP="001236DF">
            <w:pPr>
              <w:pStyle w:val="TableText"/>
              <w:jc w:val="center"/>
              <w:rPr>
                <w:b/>
              </w:rPr>
            </w:pPr>
            <w:r w:rsidRPr="00144296">
              <w:rPr>
                <w:b/>
              </w:rPr>
              <w:t>Number of people secluded</w:t>
            </w:r>
          </w:p>
        </w:tc>
        <w:tc>
          <w:tcPr>
            <w:tcW w:w="906" w:type="pct"/>
            <w:tcBorders>
              <w:top w:val="nil"/>
              <w:bottom w:val="nil"/>
            </w:tcBorders>
            <w:shd w:val="clear" w:color="auto" w:fill="D9D9D9"/>
          </w:tcPr>
          <w:p w14:paraId="2502B728" w14:textId="77777777" w:rsidR="001236DF" w:rsidRPr="00144296" w:rsidRDefault="001236DF" w:rsidP="001236DF">
            <w:pPr>
              <w:pStyle w:val="TableText"/>
              <w:jc w:val="center"/>
              <w:rPr>
                <w:b/>
              </w:rPr>
            </w:pPr>
            <w:r w:rsidRPr="00144296">
              <w:rPr>
                <w:b/>
              </w:rPr>
              <w:t>Number of seclusion events</w:t>
            </w:r>
          </w:p>
        </w:tc>
        <w:tc>
          <w:tcPr>
            <w:tcW w:w="907" w:type="pct"/>
            <w:tcBorders>
              <w:top w:val="nil"/>
              <w:bottom w:val="nil"/>
            </w:tcBorders>
            <w:shd w:val="clear" w:color="auto" w:fill="D9D9D9"/>
          </w:tcPr>
          <w:p w14:paraId="743947AE" w14:textId="77777777" w:rsidR="001236DF" w:rsidRPr="00144296" w:rsidRDefault="001236DF" w:rsidP="001236DF">
            <w:pPr>
              <w:pStyle w:val="TableText"/>
              <w:jc w:val="center"/>
              <w:rPr>
                <w:b/>
              </w:rPr>
            </w:pPr>
            <w:r w:rsidRPr="00144296">
              <w:rPr>
                <w:b/>
              </w:rPr>
              <w:t>Median</w:t>
            </w:r>
            <w:r w:rsidRPr="00144296">
              <w:rPr>
                <w:b/>
              </w:rPr>
              <w:br/>
              <w:t>number of events</w:t>
            </w:r>
          </w:p>
        </w:tc>
        <w:tc>
          <w:tcPr>
            <w:tcW w:w="965" w:type="pct"/>
            <w:tcBorders>
              <w:top w:val="nil"/>
              <w:bottom w:val="nil"/>
            </w:tcBorders>
            <w:shd w:val="clear" w:color="auto" w:fill="D9D9D9"/>
          </w:tcPr>
          <w:p w14:paraId="547FC95C" w14:textId="77777777" w:rsidR="001236DF" w:rsidRPr="00144296" w:rsidRDefault="001236DF" w:rsidP="001236DF">
            <w:pPr>
              <w:pStyle w:val="TableText"/>
              <w:jc w:val="center"/>
              <w:rPr>
                <w:b/>
              </w:rPr>
            </w:pPr>
            <w:r w:rsidRPr="00144296">
              <w:rPr>
                <w:b/>
              </w:rPr>
              <w:t>Average number of events per pe</w:t>
            </w:r>
            <w:r>
              <w:rPr>
                <w:b/>
              </w:rPr>
              <w:t>rson</w:t>
            </w:r>
          </w:p>
        </w:tc>
      </w:tr>
      <w:tr w:rsidR="001236DF" w:rsidRPr="00144296" w14:paraId="772031BE" w14:textId="77777777" w:rsidTr="001236DF">
        <w:trPr>
          <w:cantSplit/>
        </w:trPr>
        <w:tc>
          <w:tcPr>
            <w:tcW w:w="613" w:type="pct"/>
            <w:vMerge w:val="restart"/>
            <w:tcBorders>
              <w:top w:val="nil"/>
            </w:tcBorders>
          </w:tcPr>
          <w:p w14:paraId="0D3FF492" w14:textId="77777777" w:rsidR="001236DF" w:rsidRPr="00144296" w:rsidRDefault="001236DF" w:rsidP="001236DF">
            <w:pPr>
              <w:pStyle w:val="TableText"/>
            </w:pPr>
            <w:r>
              <w:t>Intellectual Disability Care Act</w:t>
            </w:r>
          </w:p>
        </w:tc>
        <w:tc>
          <w:tcPr>
            <w:tcW w:w="702" w:type="pct"/>
            <w:tcBorders>
              <w:top w:val="nil"/>
            </w:tcBorders>
          </w:tcPr>
          <w:p w14:paraId="69962E79" w14:textId="77777777" w:rsidR="001236DF" w:rsidRPr="00144296" w:rsidRDefault="001236DF" w:rsidP="001236DF">
            <w:pPr>
              <w:pStyle w:val="TableText"/>
            </w:pPr>
            <w:r w:rsidRPr="00144296">
              <w:t>Māori</w:t>
            </w:r>
          </w:p>
        </w:tc>
        <w:tc>
          <w:tcPr>
            <w:tcW w:w="906" w:type="pct"/>
            <w:tcBorders>
              <w:top w:val="nil"/>
            </w:tcBorders>
          </w:tcPr>
          <w:p w14:paraId="4181C2F4" w14:textId="77777777" w:rsidR="001236DF" w:rsidRPr="00144296" w:rsidRDefault="001236DF" w:rsidP="001236DF">
            <w:pPr>
              <w:pStyle w:val="TableText"/>
              <w:tabs>
                <w:tab w:val="decimal" w:pos="761"/>
              </w:tabs>
            </w:pPr>
            <w:r w:rsidRPr="00144296">
              <w:t>9</w:t>
            </w:r>
          </w:p>
        </w:tc>
        <w:tc>
          <w:tcPr>
            <w:tcW w:w="906" w:type="pct"/>
            <w:tcBorders>
              <w:top w:val="nil"/>
            </w:tcBorders>
          </w:tcPr>
          <w:p w14:paraId="2A20F32B" w14:textId="77777777" w:rsidR="001236DF" w:rsidRPr="00144296" w:rsidRDefault="001236DF" w:rsidP="001236DF">
            <w:pPr>
              <w:pStyle w:val="TableText"/>
              <w:tabs>
                <w:tab w:val="decimal" w:pos="851"/>
              </w:tabs>
            </w:pPr>
            <w:r w:rsidRPr="00144296">
              <w:t>31</w:t>
            </w:r>
          </w:p>
        </w:tc>
        <w:tc>
          <w:tcPr>
            <w:tcW w:w="907" w:type="pct"/>
            <w:tcBorders>
              <w:top w:val="nil"/>
            </w:tcBorders>
          </w:tcPr>
          <w:p w14:paraId="4D1D7B02" w14:textId="77777777" w:rsidR="001236DF" w:rsidRPr="00144296" w:rsidRDefault="001236DF" w:rsidP="001236DF">
            <w:pPr>
              <w:pStyle w:val="TableText"/>
              <w:tabs>
                <w:tab w:val="decimal" w:pos="761"/>
              </w:tabs>
            </w:pPr>
            <w:r w:rsidRPr="00144296">
              <w:t>1</w:t>
            </w:r>
          </w:p>
        </w:tc>
        <w:tc>
          <w:tcPr>
            <w:tcW w:w="965" w:type="pct"/>
            <w:tcBorders>
              <w:top w:val="nil"/>
            </w:tcBorders>
          </w:tcPr>
          <w:p w14:paraId="7F04D304" w14:textId="77777777" w:rsidR="001236DF" w:rsidRPr="00144296" w:rsidRDefault="001236DF" w:rsidP="001236DF">
            <w:pPr>
              <w:pStyle w:val="TableText"/>
              <w:tabs>
                <w:tab w:val="decimal" w:pos="740"/>
              </w:tabs>
              <w:rPr>
                <w:rFonts w:eastAsia="Calibri"/>
              </w:rPr>
            </w:pPr>
            <w:r w:rsidRPr="00144296">
              <w:t>3.4</w:t>
            </w:r>
          </w:p>
        </w:tc>
      </w:tr>
      <w:tr w:rsidR="001236DF" w:rsidRPr="00144296" w14:paraId="339F34B1" w14:textId="77777777" w:rsidTr="006273A4">
        <w:trPr>
          <w:cantSplit/>
        </w:trPr>
        <w:tc>
          <w:tcPr>
            <w:tcW w:w="613" w:type="pct"/>
            <w:vMerge/>
            <w:tcBorders>
              <w:bottom w:val="single" w:sz="4" w:space="0" w:color="A6A6A6"/>
            </w:tcBorders>
          </w:tcPr>
          <w:p w14:paraId="29213871" w14:textId="77777777" w:rsidR="001236DF" w:rsidRPr="00144296" w:rsidRDefault="001236DF" w:rsidP="001236DF">
            <w:pPr>
              <w:pStyle w:val="TableText"/>
            </w:pPr>
          </w:p>
        </w:tc>
        <w:tc>
          <w:tcPr>
            <w:tcW w:w="702" w:type="pct"/>
            <w:tcBorders>
              <w:top w:val="nil"/>
              <w:bottom w:val="single" w:sz="4" w:space="0" w:color="A6A6A6"/>
            </w:tcBorders>
          </w:tcPr>
          <w:p w14:paraId="7A7F089C" w14:textId="77777777" w:rsidR="001236DF" w:rsidRPr="00144296" w:rsidRDefault="001236DF" w:rsidP="001236DF">
            <w:pPr>
              <w:pStyle w:val="TableText"/>
            </w:pPr>
            <w:r w:rsidRPr="00144296">
              <w:t>Non-Māori</w:t>
            </w:r>
          </w:p>
        </w:tc>
        <w:tc>
          <w:tcPr>
            <w:tcW w:w="906" w:type="pct"/>
            <w:tcBorders>
              <w:top w:val="nil"/>
              <w:bottom w:val="single" w:sz="4" w:space="0" w:color="A6A6A6"/>
            </w:tcBorders>
          </w:tcPr>
          <w:p w14:paraId="767A4666" w14:textId="77777777" w:rsidR="001236DF" w:rsidRPr="00144296" w:rsidRDefault="001236DF" w:rsidP="001236DF">
            <w:pPr>
              <w:pStyle w:val="TableText"/>
              <w:tabs>
                <w:tab w:val="decimal" w:pos="761"/>
              </w:tabs>
            </w:pPr>
            <w:r w:rsidRPr="00144296">
              <w:t>16</w:t>
            </w:r>
          </w:p>
        </w:tc>
        <w:tc>
          <w:tcPr>
            <w:tcW w:w="906" w:type="pct"/>
            <w:tcBorders>
              <w:top w:val="nil"/>
              <w:bottom w:val="single" w:sz="4" w:space="0" w:color="A6A6A6"/>
            </w:tcBorders>
          </w:tcPr>
          <w:p w14:paraId="4BEBAF77" w14:textId="77777777" w:rsidR="001236DF" w:rsidRPr="00144296" w:rsidRDefault="001236DF" w:rsidP="001236DF">
            <w:pPr>
              <w:pStyle w:val="TableText"/>
              <w:tabs>
                <w:tab w:val="decimal" w:pos="851"/>
              </w:tabs>
            </w:pPr>
            <w:r w:rsidRPr="00144296">
              <w:t>58</w:t>
            </w:r>
          </w:p>
        </w:tc>
        <w:tc>
          <w:tcPr>
            <w:tcW w:w="907" w:type="pct"/>
            <w:tcBorders>
              <w:top w:val="nil"/>
              <w:bottom w:val="single" w:sz="4" w:space="0" w:color="A6A6A6"/>
            </w:tcBorders>
          </w:tcPr>
          <w:p w14:paraId="2BB73E2D" w14:textId="77777777" w:rsidR="001236DF" w:rsidRPr="00144296" w:rsidRDefault="001236DF" w:rsidP="001236DF">
            <w:pPr>
              <w:pStyle w:val="TableText"/>
              <w:tabs>
                <w:tab w:val="decimal" w:pos="761"/>
              </w:tabs>
            </w:pPr>
            <w:r w:rsidRPr="00144296">
              <w:t>2</w:t>
            </w:r>
          </w:p>
        </w:tc>
        <w:tc>
          <w:tcPr>
            <w:tcW w:w="965" w:type="pct"/>
            <w:tcBorders>
              <w:top w:val="nil"/>
              <w:bottom w:val="single" w:sz="4" w:space="0" w:color="A6A6A6"/>
            </w:tcBorders>
          </w:tcPr>
          <w:p w14:paraId="2FD904F0" w14:textId="77777777" w:rsidR="001236DF" w:rsidRPr="00144296" w:rsidRDefault="001236DF" w:rsidP="001236DF">
            <w:pPr>
              <w:pStyle w:val="TableText"/>
              <w:tabs>
                <w:tab w:val="decimal" w:pos="740"/>
              </w:tabs>
              <w:rPr>
                <w:rFonts w:eastAsia="Calibri"/>
              </w:rPr>
            </w:pPr>
            <w:r w:rsidRPr="00144296">
              <w:t>3.6</w:t>
            </w:r>
          </w:p>
        </w:tc>
      </w:tr>
      <w:tr w:rsidR="001236DF" w:rsidRPr="00144296" w14:paraId="7A15A19C" w14:textId="77777777" w:rsidTr="006273A4">
        <w:trPr>
          <w:cantSplit/>
        </w:trPr>
        <w:tc>
          <w:tcPr>
            <w:tcW w:w="613" w:type="pct"/>
            <w:vMerge w:val="restart"/>
            <w:tcBorders>
              <w:top w:val="single" w:sz="4" w:space="0" w:color="A6A6A6"/>
            </w:tcBorders>
          </w:tcPr>
          <w:p w14:paraId="7DB54B68" w14:textId="77777777" w:rsidR="001236DF" w:rsidRPr="00144296" w:rsidRDefault="001236DF" w:rsidP="001236DF">
            <w:pPr>
              <w:pStyle w:val="TableText"/>
            </w:pPr>
            <w:r>
              <w:t>Mental Health Act</w:t>
            </w:r>
          </w:p>
        </w:tc>
        <w:tc>
          <w:tcPr>
            <w:tcW w:w="702" w:type="pct"/>
            <w:tcBorders>
              <w:top w:val="single" w:sz="4" w:space="0" w:color="A6A6A6"/>
            </w:tcBorders>
          </w:tcPr>
          <w:p w14:paraId="2F1ABE35" w14:textId="77777777" w:rsidR="001236DF" w:rsidRPr="00144296" w:rsidRDefault="001236DF" w:rsidP="001236DF">
            <w:pPr>
              <w:pStyle w:val="TableText"/>
            </w:pPr>
            <w:r w:rsidRPr="00144296">
              <w:t>Māori</w:t>
            </w:r>
          </w:p>
        </w:tc>
        <w:tc>
          <w:tcPr>
            <w:tcW w:w="906" w:type="pct"/>
            <w:tcBorders>
              <w:top w:val="single" w:sz="4" w:space="0" w:color="A6A6A6"/>
            </w:tcBorders>
          </w:tcPr>
          <w:p w14:paraId="2FFFC09C" w14:textId="77777777" w:rsidR="001236DF" w:rsidRPr="00144296" w:rsidRDefault="001236DF" w:rsidP="001236DF">
            <w:pPr>
              <w:pStyle w:val="TableText"/>
              <w:tabs>
                <w:tab w:val="decimal" w:pos="761"/>
              </w:tabs>
            </w:pPr>
            <w:r w:rsidRPr="00144296">
              <w:t>0</w:t>
            </w:r>
          </w:p>
        </w:tc>
        <w:tc>
          <w:tcPr>
            <w:tcW w:w="906" w:type="pct"/>
            <w:tcBorders>
              <w:top w:val="single" w:sz="4" w:space="0" w:color="A6A6A6"/>
            </w:tcBorders>
          </w:tcPr>
          <w:p w14:paraId="018CF3D9" w14:textId="77777777" w:rsidR="001236DF" w:rsidRPr="00144296" w:rsidRDefault="001236DF" w:rsidP="001236DF">
            <w:pPr>
              <w:pStyle w:val="TableText"/>
              <w:tabs>
                <w:tab w:val="decimal" w:pos="851"/>
              </w:tabs>
            </w:pPr>
            <w:r w:rsidRPr="00144296">
              <w:t>0</w:t>
            </w:r>
          </w:p>
        </w:tc>
        <w:tc>
          <w:tcPr>
            <w:tcW w:w="907" w:type="pct"/>
            <w:tcBorders>
              <w:top w:val="single" w:sz="4" w:space="0" w:color="A6A6A6"/>
            </w:tcBorders>
          </w:tcPr>
          <w:p w14:paraId="177370C6" w14:textId="77777777" w:rsidR="001236DF" w:rsidRPr="00144296" w:rsidRDefault="001236DF" w:rsidP="001236DF">
            <w:pPr>
              <w:pStyle w:val="TableText"/>
              <w:tabs>
                <w:tab w:val="decimal" w:pos="761"/>
              </w:tabs>
            </w:pPr>
            <w:r w:rsidRPr="00144296">
              <w:t>0</w:t>
            </w:r>
          </w:p>
        </w:tc>
        <w:tc>
          <w:tcPr>
            <w:tcW w:w="965" w:type="pct"/>
            <w:tcBorders>
              <w:top w:val="single" w:sz="4" w:space="0" w:color="A6A6A6"/>
            </w:tcBorders>
          </w:tcPr>
          <w:p w14:paraId="42BA2476" w14:textId="77777777" w:rsidR="001236DF" w:rsidRPr="00144296" w:rsidRDefault="001236DF" w:rsidP="001236DF">
            <w:pPr>
              <w:pStyle w:val="TableText"/>
              <w:tabs>
                <w:tab w:val="decimal" w:pos="740"/>
              </w:tabs>
              <w:rPr>
                <w:rFonts w:eastAsia="Calibri"/>
              </w:rPr>
            </w:pPr>
            <w:r w:rsidRPr="00144296">
              <w:t>0.0</w:t>
            </w:r>
          </w:p>
        </w:tc>
      </w:tr>
      <w:tr w:rsidR="001236DF" w:rsidRPr="00144296" w14:paraId="236B879C" w14:textId="77777777" w:rsidTr="001236DF">
        <w:trPr>
          <w:cantSplit/>
        </w:trPr>
        <w:tc>
          <w:tcPr>
            <w:tcW w:w="613" w:type="pct"/>
            <w:vMerge/>
          </w:tcPr>
          <w:p w14:paraId="2AE5E4FE" w14:textId="77777777" w:rsidR="001236DF" w:rsidRPr="00144296" w:rsidRDefault="001236DF" w:rsidP="001236DF">
            <w:pPr>
              <w:pStyle w:val="TableText"/>
            </w:pPr>
          </w:p>
        </w:tc>
        <w:tc>
          <w:tcPr>
            <w:tcW w:w="702" w:type="pct"/>
          </w:tcPr>
          <w:p w14:paraId="508EBFE9" w14:textId="77777777" w:rsidR="001236DF" w:rsidRPr="00144296" w:rsidRDefault="001236DF" w:rsidP="001236DF">
            <w:pPr>
              <w:pStyle w:val="TableText"/>
            </w:pPr>
            <w:r w:rsidRPr="00144296">
              <w:t>Non-Māori</w:t>
            </w:r>
          </w:p>
        </w:tc>
        <w:tc>
          <w:tcPr>
            <w:tcW w:w="906" w:type="pct"/>
          </w:tcPr>
          <w:p w14:paraId="0F652D1B" w14:textId="77777777" w:rsidR="001236DF" w:rsidRPr="00144296" w:rsidRDefault="001236DF" w:rsidP="001236DF">
            <w:pPr>
              <w:pStyle w:val="TableText"/>
              <w:tabs>
                <w:tab w:val="decimal" w:pos="761"/>
              </w:tabs>
            </w:pPr>
            <w:r w:rsidRPr="00144296">
              <w:t>3</w:t>
            </w:r>
          </w:p>
        </w:tc>
        <w:tc>
          <w:tcPr>
            <w:tcW w:w="906" w:type="pct"/>
          </w:tcPr>
          <w:p w14:paraId="37802805" w14:textId="77777777" w:rsidR="001236DF" w:rsidRPr="00144296" w:rsidRDefault="001236DF" w:rsidP="001236DF">
            <w:pPr>
              <w:pStyle w:val="TableText"/>
              <w:tabs>
                <w:tab w:val="decimal" w:pos="851"/>
              </w:tabs>
            </w:pPr>
            <w:r w:rsidRPr="00144296">
              <w:t>187</w:t>
            </w:r>
          </w:p>
        </w:tc>
        <w:tc>
          <w:tcPr>
            <w:tcW w:w="907" w:type="pct"/>
          </w:tcPr>
          <w:p w14:paraId="4A8C1F08" w14:textId="77777777" w:rsidR="001236DF" w:rsidRPr="00144296" w:rsidRDefault="001236DF" w:rsidP="001236DF">
            <w:pPr>
              <w:pStyle w:val="TableText"/>
              <w:tabs>
                <w:tab w:val="decimal" w:pos="761"/>
              </w:tabs>
            </w:pPr>
            <w:r w:rsidRPr="00144296">
              <w:t>39</w:t>
            </w:r>
          </w:p>
        </w:tc>
        <w:tc>
          <w:tcPr>
            <w:tcW w:w="965" w:type="pct"/>
          </w:tcPr>
          <w:p w14:paraId="7C8F603A" w14:textId="77777777" w:rsidR="001236DF" w:rsidRPr="00144296" w:rsidRDefault="001236DF" w:rsidP="001236DF">
            <w:pPr>
              <w:pStyle w:val="TableText"/>
              <w:tabs>
                <w:tab w:val="decimal" w:pos="740"/>
              </w:tabs>
              <w:rPr>
                <w:rFonts w:eastAsia="Calibri"/>
              </w:rPr>
            </w:pPr>
            <w:r w:rsidRPr="00144296">
              <w:t>62.3</w:t>
            </w:r>
          </w:p>
        </w:tc>
      </w:tr>
    </w:tbl>
    <w:p w14:paraId="6F3E2CEF" w14:textId="77777777" w:rsidR="001236DF" w:rsidRPr="00144296" w:rsidRDefault="001236DF" w:rsidP="001236DF">
      <w:pPr>
        <w:pStyle w:val="Note"/>
      </w:pPr>
      <w:r w:rsidRPr="00144296">
        <w:t xml:space="preserve">Notes: </w:t>
      </w:r>
      <w:r>
        <w:t>Intellectual Disability Care Act</w:t>
      </w:r>
      <w:r w:rsidRPr="00144296">
        <w:t xml:space="preserve"> = Intellectual Disability (Compulsory Care and Rehabilitation) Act 2003; </w:t>
      </w:r>
      <w:r>
        <w:t>Mental Health Act</w:t>
      </w:r>
      <w:r w:rsidRPr="00144296">
        <w:t xml:space="preserve"> = Mental Health (Compulsory Assessment and Treatment) Act 1992.</w:t>
      </w:r>
    </w:p>
    <w:p w14:paraId="3F4EAEAE" w14:textId="77777777" w:rsidR="001236DF" w:rsidRDefault="001236DF" w:rsidP="001236DF">
      <w:pPr>
        <w:pStyle w:val="Source"/>
      </w:pPr>
      <w:r w:rsidRPr="00144296">
        <w:t>Sources: PRIMHD data (extracted 3 June 2022) and manual data from Southern, Waikato and Waitematā DHBs.</w:t>
      </w:r>
    </w:p>
    <w:p w14:paraId="48902BBE" w14:textId="77777777" w:rsidR="001236DF" w:rsidRDefault="001236DF" w:rsidP="001236DF"/>
    <w:p w14:paraId="5DEAEC64" w14:textId="77777777" w:rsidR="001236DF" w:rsidRDefault="001236DF" w:rsidP="001236DF">
      <w:pPr>
        <w:pStyle w:val="Heading2"/>
      </w:pPr>
      <w:bookmarkStart w:id="418" w:name="_Toc87429917"/>
      <w:bookmarkStart w:id="419" w:name="_Toc88826965"/>
      <w:bookmarkStart w:id="420" w:name="_Toc115188815"/>
      <w:bookmarkStart w:id="421" w:name="_Toc115431713"/>
      <w:r>
        <w:lastRenderedPageBreak/>
        <w:t>Night safety procedures</w:t>
      </w:r>
      <w:bookmarkEnd w:id="418"/>
      <w:bookmarkEnd w:id="419"/>
      <w:bookmarkEnd w:id="420"/>
      <w:bookmarkEnd w:id="421"/>
    </w:p>
    <w:p w14:paraId="187BA667" w14:textId="77777777" w:rsidR="001236DF" w:rsidRDefault="001236DF" w:rsidP="001236DF">
      <w:pPr>
        <w:keepNext/>
      </w:pPr>
      <w:bookmarkStart w:id="422" w:name="_Hlk79059530"/>
      <w:r>
        <w:t xml:space="preserve">Night safety procedures are the practice of locking a patient in their bedroom overnight for the purposes of safety, either for themselves or for others in the unit. This practice is based on a 1995 Ministry of Health document </w:t>
      </w:r>
      <w:r>
        <w:rPr>
          <w:i/>
          <w:iCs/>
        </w:rPr>
        <w:t>Night Safety Procedures</w:t>
      </w:r>
      <w:r>
        <w:t>.</w:t>
      </w:r>
      <w:r w:rsidRPr="00872974">
        <w:rPr>
          <w:rStyle w:val="FootnoteReference"/>
        </w:rPr>
        <w:footnoteReference w:id="18"/>
      </w:r>
    </w:p>
    <w:p w14:paraId="5AAB6A60" w14:textId="77777777" w:rsidR="001236DF" w:rsidRDefault="001236DF" w:rsidP="001236DF">
      <w:pPr>
        <w:keepNext/>
      </w:pPr>
    </w:p>
    <w:p w14:paraId="7D1CBE1C" w14:textId="77777777" w:rsidR="001236DF" w:rsidRDefault="001236DF" w:rsidP="001236DF">
      <w:r>
        <w:t xml:space="preserve">This practice, as it is currently constructed, is no longer fit for purpose, and the Ministry has signalled that services should end it by 31 December 2022. In 2018, the Ministry issued </w:t>
      </w:r>
      <w:r>
        <w:rPr>
          <w:i/>
          <w:iCs/>
        </w:rPr>
        <w:t>Night Safety Procedures: Transitional guideline</w:t>
      </w:r>
      <w:r>
        <w:t xml:space="preserve"> to ensure patients receive adequate standards of care and monitoring while services transition to no longer using these procedures.</w:t>
      </w:r>
      <w:r w:rsidRPr="00872974">
        <w:rPr>
          <w:rStyle w:val="FootnoteReference"/>
        </w:rPr>
        <w:footnoteReference w:id="19"/>
      </w:r>
    </w:p>
    <w:p w14:paraId="52B64530" w14:textId="77777777" w:rsidR="001236DF" w:rsidRDefault="001236DF" w:rsidP="001236DF"/>
    <w:p w14:paraId="35891695" w14:textId="77777777" w:rsidR="001236DF" w:rsidRDefault="001236DF" w:rsidP="001236DF">
      <w:r>
        <w:t>In regions that are still using night safety procedures, it has been reported that services consider them to be an essential component to providing a safe environment. Reasons they give for this view include issues with building design and lines of vision, staffing levels and the level of risk that patients present with.</w:t>
      </w:r>
    </w:p>
    <w:p w14:paraId="67342B4B" w14:textId="77777777" w:rsidR="001236DF" w:rsidRDefault="001236DF" w:rsidP="001236DF"/>
    <w:p w14:paraId="576DBBEE" w14:textId="77777777" w:rsidR="001236DF" w:rsidRDefault="001236DF" w:rsidP="001236DF">
      <w:r>
        <w:t xml:space="preserve">Services provide data to the Office of the Director of Mental Health and Addiction Services on their use of night safety procedures. Because they do not submit this data via PRIMHD and it must undergo quality checks, the data set is not available at the time of publication. </w:t>
      </w:r>
    </w:p>
    <w:bookmarkEnd w:id="422"/>
    <w:p w14:paraId="27CF7194" w14:textId="77777777" w:rsidR="001236DF" w:rsidRDefault="001236DF" w:rsidP="001236DF"/>
    <w:p w14:paraId="5C45059E" w14:textId="77777777" w:rsidR="001236DF" w:rsidRDefault="001236DF" w:rsidP="001236DF">
      <w:pPr>
        <w:spacing w:after="160" w:line="259" w:lineRule="auto"/>
      </w:pPr>
      <w:r>
        <w:br w:type="page"/>
      </w:r>
    </w:p>
    <w:p w14:paraId="5EF569D8" w14:textId="77777777" w:rsidR="001236DF" w:rsidRPr="00200234" w:rsidRDefault="001236DF" w:rsidP="001236DF">
      <w:pPr>
        <w:pStyle w:val="Heading1"/>
      </w:pPr>
      <w:bookmarkStart w:id="423" w:name="_Toc65141627"/>
      <w:bookmarkStart w:id="424" w:name="_Toc75176451"/>
      <w:bookmarkStart w:id="425" w:name="_Toc87429918"/>
      <w:bookmarkStart w:id="426" w:name="_Toc88826966"/>
      <w:bookmarkStart w:id="427" w:name="_Toc115188816"/>
      <w:bookmarkStart w:id="428" w:name="_Toc115431714"/>
      <w:r w:rsidRPr="00200234">
        <w:lastRenderedPageBreak/>
        <w:t>Special and restricted patients</w:t>
      </w:r>
      <w:bookmarkEnd w:id="423"/>
      <w:bookmarkEnd w:id="424"/>
      <w:bookmarkEnd w:id="425"/>
      <w:bookmarkEnd w:id="426"/>
      <w:bookmarkEnd w:id="427"/>
      <w:bookmarkEnd w:id="428"/>
    </w:p>
    <w:p w14:paraId="07EA6F72" w14:textId="77777777" w:rsidR="001236DF" w:rsidRDefault="001236DF" w:rsidP="001236DF">
      <w:r w:rsidRPr="00200234">
        <w:t xml:space="preserve">Under </w:t>
      </w:r>
      <w:r>
        <w:t xml:space="preserve">Aotearoa </w:t>
      </w:r>
      <w:r w:rsidRPr="00200234">
        <w:t xml:space="preserve">law, people who have been charged with committing crimes </w:t>
      </w:r>
      <w:r>
        <w:t xml:space="preserve">that they conducted </w:t>
      </w:r>
      <w:r w:rsidRPr="00200234">
        <w:t>while severe mental illness</w:t>
      </w:r>
      <w:r>
        <w:t xml:space="preserve"> was influencing their judgement </w:t>
      </w:r>
      <w:r w:rsidRPr="00200234">
        <w:t xml:space="preserve">may be treated in a secure mental health facility instead of going to prison. These people are given </w:t>
      </w:r>
      <w:r>
        <w:t>‘</w:t>
      </w:r>
      <w:r w:rsidRPr="00200234">
        <w:t>special patient</w:t>
      </w:r>
      <w:r>
        <w:t>’</w:t>
      </w:r>
      <w:r w:rsidRPr="00200234">
        <w:t xml:space="preserve"> status.</w:t>
      </w:r>
    </w:p>
    <w:p w14:paraId="47C21213" w14:textId="77777777" w:rsidR="001236DF" w:rsidRPr="00200234" w:rsidRDefault="001236DF" w:rsidP="001236DF"/>
    <w:p w14:paraId="7B3C3C70" w14:textId="77777777" w:rsidR="001236DF" w:rsidRPr="00200234" w:rsidRDefault="001236DF" w:rsidP="001236DF">
      <w:r w:rsidRPr="00200234">
        <w:t>Special patients include:</w:t>
      </w:r>
    </w:p>
    <w:p w14:paraId="50E79736" w14:textId="77777777" w:rsidR="001236DF" w:rsidRPr="00ED4FA1" w:rsidRDefault="001236DF" w:rsidP="001236DF">
      <w:pPr>
        <w:pStyle w:val="Bullet"/>
      </w:pPr>
      <w:r w:rsidRPr="00ED4FA1">
        <w:t>people charged with, or convicted of, a criminal offence and remanded to a hospital for a psychiatric report</w:t>
      </w:r>
    </w:p>
    <w:p w14:paraId="5FA0DCA4" w14:textId="77777777" w:rsidR="001236DF" w:rsidRPr="00ED4FA1" w:rsidRDefault="001236DF" w:rsidP="001236DF">
      <w:pPr>
        <w:pStyle w:val="Bullet"/>
      </w:pPr>
      <w:r w:rsidRPr="00ED4FA1">
        <w:t>remanded or sentenced prisoners transferred from prison to a hospital</w:t>
      </w:r>
    </w:p>
    <w:p w14:paraId="393D5A3E" w14:textId="77777777" w:rsidR="001236DF" w:rsidRPr="00ED4FA1" w:rsidRDefault="001236DF" w:rsidP="001236DF">
      <w:pPr>
        <w:pStyle w:val="Bullet"/>
      </w:pPr>
      <w:r w:rsidRPr="00ED4FA1">
        <w:t>defendants found not guilty by reason of insanity</w:t>
      </w:r>
    </w:p>
    <w:p w14:paraId="01BBCE20" w14:textId="77777777" w:rsidR="001236DF" w:rsidRPr="00ED4FA1" w:rsidRDefault="001236DF" w:rsidP="001236DF">
      <w:pPr>
        <w:pStyle w:val="Bullet"/>
      </w:pPr>
      <w:r w:rsidRPr="00ED4FA1">
        <w:t>defendants who are unfit to stand trial</w:t>
      </w:r>
    </w:p>
    <w:p w14:paraId="1CDF4DAF" w14:textId="77777777" w:rsidR="001236DF" w:rsidRPr="00ED4FA1" w:rsidRDefault="001236DF" w:rsidP="001236DF">
      <w:pPr>
        <w:pStyle w:val="Bullet"/>
      </w:pPr>
      <w:r w:rsidRPr="00ED4FA1">
        <w:t>people who have been convicted of a criminal offence and both sentenced to a term of imprisonment and placed under a compulsory treatment order.</w:t>
      </w:r>
    </w:p>
    <w:p w14:paraId="3DB404EC" w14:textId="77777777" w:rsidR="001236DF" w:rsidRPr="00200234" w:rsidRDefault="001236DF" w:rsidP="001236DF"/>
    <w:p w14:paraId="3E2DB41E" w14:textId="77777777" w:rsidR="001236DF" w:rsidRPr="00200234" w:rsidRDefault="001236DF" w:rsidP="001236DF">
      <w:r w:rsidRPr="00200234">
        <w:t xml:space="preserve">Restricted patients are people detained in forensic mental health services, by court order, because they pose a danger to others. They </w:t>
      </w:r>
      <w:r>
        <w:t>have</w:t>
      </w:r>
      <w:r w:rsidRPr="00200234">
        <w:t xml:space="preserve"> not </w:t>
      </w:r>
      <w:r>
        <w:t>necessarily have been</w:t>
      </w:r>
      <w:r w:rsidRPr="00200234">
        <w:t xml:space="preserve"> charged with or convicted of a crime. They may have also been transferred from prison or previously had a special patient status that changed when their sentence ended.</w:t>
      </w:r>
    </w:p>
    <w:p w14:paraId="7A63A954" w14:textId="77777777" w:rsidR="001236DF" w:rsidRDefault="001236DF" w:rsidP="001236DF"/>
    <w:p w14:paraId="5C63F1D3" w14:textId="77777777" w:rsidR="001236DF" w:rsidRDefault="001236DF" w:rsidP="001236DF">
      <w:r>
        <w:t>The number of special patients nationally, 423 in total, is lower than the sum of special patients by DHB. The reason for the difference is that some may have transferred across services during the period from 1 July 2020 to 30 June 2021.</w:t>
      </w:r>
    </w:p>
    <w:p w14:paraId="014124AA" w14:textId="77777777" w:rsidR="001236DF" w:rsidRDefault="001236DF" w:rsidP="001236DF"/>
    <w:p w14:paraId="3B284EA5" w14:textId="77777777" w:rsidR="001236DF" w:rsidRDefault="001236DF" w:rsidP="001236DF">
      <w:r>
        <w:t>Figure </w:t>
      </w:r>
      <w:r>
        <w:rPr>
          <w:noProof/>
        </w:rPr>
        <w:t>35</w:t>
      </w:r>
      <w:r w:rsidRPr="00200234">
        <w:t xml:space="preserve"> present</w:t>
      </w:r>
      <w:r>
        <w:t>s</w:t>
      </w:r>
      <w:r w:rsidRPr="00200234">
        <w:t xml:space="preserve"> the total number of special patients in the care of each DHB that provide</w:t>
      </w:r>
      <w:r>
        <w:t>d</w:t>
      </w:r>
      <w:r w:rsidRPr="00200234">
        <w:t xml:space="preserve"> regional forensic psychiatry services. </w:t>
      </w:r>
    </w:p>
    <w:p w14:paraId="145DF553" w14:textId="77777777" w:rsidR="001236DF" w:rsidRDefault="001236DF" w:rsidP="001236DF"/>
    <w:p w14:paraId="739926E0" w14:textId="77777777" w:rsidR="001236DF" w:rsidRPr="00200234" w:rsidRDefault="001236DF" w:rsidP="001236DF">
      <w:pPr>
        <w:rPr>
          <w:rFonts w:cs="Segoe UI"/>
        </w:rPr>
      </w:pPr>
    </w:p>
    <w:p w14:paraId="55754248" w14:textId="4C8C6D25" w:rsidR="001236DF" w:rsidRDefault="001236DF" w:rsidP="001236DF">
      <w:pPr>
        <w:pStyle w:val="Figure"/>
      </w:pPr>
      <w:bookmarkStart w:id="429" w:name="_Ref65672403"/>
      <w:bookmarkStart w:id="430" w:name="_Toc63764781"/>
      <w:bookmarkStart w:id="431" w:name="_Toc75176497"/>
      <w:bookmarkStart w:id="432" w:name="_Toc85442589"/>
      <w:bookmarkStart w:id="433" w:name="_Toc85445937"/>
      <w:bookmarkStart w:id="434" w:name="_Toc87429982"/>
      <w:bookmarkStart w:id="435" w:name="_Toc88561414"/>
      <w:bookmarkStart w:id="436" w:name="_Toc115188874"/>
      <w:bookmarkStart w:id="437" w:name="_Toc115272577"/>
      <w:r>
        <w:lastRenderedPageBreak/>
        <w:t>Figure </w:t>
      </w:r>
      <w:fldSimple w:instr=" SEQ Figure \* ARABIC ">
        <w:r w:rsidR="009A04B0">
          <w:rPr>
            <w:noProof/>
          </w:rPr>
          <w:t>35</w:t>
        </w:r>
      </w:fldSimple>
      <w:bookmarkEnd w:id="429"/>
      <w:r w:rsidRPr="00200234">
        <w:t xml:space="preserve">: </w:t>
      </w:r>
      <w:r w:rsidRPr="002F2889">
        <w:t xml:space="preserve">Total number of special patients, by DHB, 1 </w:t>
      </w:r>
      <w:bookmarkEnd w:id="430"/>
      <w:bookmarkEnd w:id="431"/>
      <w:bookmarkEnd w:id="432"/>
      <w:bookmarkEnd w:id="433"/>
      <w:bookmarkEnd w:id="434"/>
      <w:bookmarkEnd w:id="435"/>
      <w:r w:rsidRPr="002F2889">
        <w:t>July 2020 to 30 June 2021</w:t>
      </w:r>
      <w:bookmarkEnd w:id="436"/>
      <w:bookmarkEnd w:id="437"/>
    </w:p>
    <w:p w14:paraId="0E7C9502" w14:textId="77777777" w:rsidR="001236DF" w:rsidRPr="006363A4" w:rsidRDefault="001236DF" w:rsidP="001236DF">
      <w:r>
        <w:rPr>
          <w:noProof/>
        </w:rPr>
        <w:drawing>
          <wp:inline distT="0" distB="0" distL="0" distR="0" wp14:anchorId="04609635" wp14:editId="1AFA60A6">
            <wp:extent cx="4972050" cy="2524125"/>
            <wp:effectExtent l="0" t="0" r="0" b="0"/>
            <wp:docPr id="60" name="Chart 60" descr="This bar graph shows that Canterbury had 55 special patients, Capital &amp; Coast had 121, Southern had the least at 24, Waikato had 98 and Waitematā had the most at 133 special patients.">
              <a:extLst xmlns:a="http://schemas.openxmlformats.org/drawingml/2006/main">
                <a:ext uri="{FF2B5EF4-FFF2-40B4-BE49-F238E27FC236}">
                  <a16:creationId xmlns:a16="http://schemas.microsoft.com/office/drawing/2014/main" id="{A7406855-9A1D-4BF3-AD80-6BA56E9227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5C6D20D4" w14:textId="77777777" w:rsidR="001236DF" w:rsidRDefault="001236DF" w:rsidP="001236DF">
      <w:pPr>
        <w:pStyle w:val="Note"/>
      </w:pPr>
      <w:r w:rsidRPr="002F2889">
        <w:t>Note: Due to their relatively small numbers of special patients, Hawke’s Bay, MidCentral and Whanganui DHBs are included under Capital &amp; Coast DHB, Taranaki DHB is included under Waikato DHB, and Nelson Marlborough DHB is included under Canterbury DHB.</w:t>
      </w:r>
    </w:p>
    <w:p w14:paraId="61913A35" w14:textId="77777777" w:rsidR="001236DF" w:rsidRDefault="001236DF" w:rsidP="001236DF">
      <w:pPr>
        <w:pStyle w:val="Source"/>
      </w:pPr>
      <w:r w:rsidRPr="00200234">
        <w:t xml:space="preserve">Source: PRIMHD </w:t>
      </w:r>
      <w:r>
        <w:t>data (extracted</w:t>
      </w:r>
      <w:r w:rsidRPr="00200234">
        <w:t xml:space="preserve"> </w:t>
      </w:r>
      <w:r>
        <w:t>3 June 2022)</w:t>
      </w:r>
      <w:r w:rsidRPr="00200234">
        <w:t>.</w:t>
      </w:r>
    </w:p>
    <w:p w14:paraId="1B72F140" w14:textId="77777777" w:rsidR="001236DF" w:rsidRPr="00200234" w:rsidRDefault="001236DF" w:rsidP="001236DF"/>
    <w:p w14:paraId="239DF09B" w14:textId="77777777" w:rsidR="001236DF" w:rsidRPr="00200234" w:rsidRDefault="001236DF" w:rsidP="001236DF">
      <w:r w:rsidRPr="00200234">
        <w:t>Special and restricted patients may be detained for extended or short-term care.</w:t>
      </w:r>
    </w:p>
    <w:p w14:paraId="7D24214D" w14:textId="77777777" w:rsidR="001236DF" w:rsidRPr="00200234" w:rsidRDefault="001236DF" w:rsidP="001236DF">
      <w:pPr>
        <w:pStyle w:val="Heading2"/>
      </w:pPr>
      <w:bookmarkStart w:id="438" w:name="_Toc65141628"/>
      <w:bookmarkStart w:id="439" w:name="_Toc75176452"/>
      <w:bookmarkStart w:id="440" w:name="_Toc87429919"/>
      <w:bookmarkStart w:id="441" w:name="_Toc88826967"/>
      <w:bookmarkStart w:id="442" w:name="_Toc115188817"/>
      <w:bookmarkStart w:id="443" w:name="_Toc115431715"/>
      <w:r w:rsidRPr="00200234">
        <w:t>Extended forensic care special patients</w:t>
      </w:r>
      <w:bookmarkEnd w:id="438"/>
      <w:bookmarkEnd w:id="439"/>
      <w:bookmarkEnd w:id="440"/>
      <w:bookmarkEnd w:id="441"/>
      <w:bookmarkEnd w:id="442"/>
      <w:bookmarkEnd w:id="443"/>
    </w:p>
    <w:p w14:paraId="6E1E939C" w14:textId="77777777" w:rsidR="001236DF" w:rsidRPr="00200234" w:rsidRDefault="001236DF" w:rsidP="001236DF">
      <w:r w:rsidRPr="00200234">
        <w:t xml:space="preserve">Extended forensic care patients include special patients who have been found not guilty by reason of insanity or unfit to stand trial under section 24(2)(a) of </w:t>
      </w:r>
      <w:r>
        <w:t xml:space="preserve">the </w:t>
      </w:r>
      <w:r w:rsidRPr="00066817">
        <w:t>Criminal Procedure (Mentally Impaired Persons) Act 2003</w:t>
      </w:r>
      <w:r w:rsidRPr="00200234">
        <w:t>. Restricted patients under section 55 of the Mental Health Act are also subject to extended forensic care.</w:t>
      </w:r>
    </w:p>
    <w:p w14:paraId="2611C5A1" w14:textId="77777777" w:rsidR="001236DF" w:rsidRPr="00200234" w:rsidRDefault="001236DF" w:rsidP="001236DF"/>
    <w:p w14:paraId="12D77201" w14:textId="77777777" w:rsidR="001236DF" w:rsidRDefault="001236DF" w:rsidP="001236DF">
      <w:r>
        <w:t>From 1 July 2020 to 30 June 2021</w:t>
      </w:r>
      <w:r w:rsidRPr="00200234">
        <w:t xml:space="preserve">, </w:t>
      </w:r>
      <w:r>
        <w:t xml:space="preserve">Aotearoa </w:t>
      </w:r>
      <w:r w:rsidRPr="00200234">
        <w:t xml:space="preserve">had </w:t>
      </w:r>
      <w:r>
        <w:t>166</w:t>
      </w:r>
      <w:r w:rsidRPr="00200234">
        <w:t xml:space="preserve"> extended forensic care special patients. </w:t>
      </w:r>
    </w:p>
    <w:p w14:paraId="6E3D52E6" w14:textId="77777777" w:rsidR="001236DF" w:rsidRDefault="001236DF" w:rsidP="001236DF"/>
    <w:p w14:paraId="41A226C8" w14:textId="77777777" w:rsidR="001236DF" w:rsidRPr="00200234" w:rsidRDefault="001236DF" w:rsidP="001236DF">
      <w:r>
        <w:t>Table </w:t>
      </w:r>
      <w:r>
        <w:rPr>
          <w:noProof/>
        </w:rPr>
        <w:t>13 in the following section</w:t>
      </w:r>
      <w:r w:rsidRPr="00200234">
        <w:t xml:space="preserve"> </w:t>
      </w:r>
      <w:r>
        <w:t>shows</w:t>
      </w:r>
      <w:r w:rsidRPr="00200234">
        <w:t xml:space="preserve"> the number of these patients in the care of each DHB that provide</w:t>
      </w:r>
      <w:r>
        <w:t>d</w:t>
      </w:r>
      <w:r w:rsidRPr="00200234">
        <w:t xml:space="preserve"> regional forensic psychiatry services.</w:t>
      </w:r>
    </w:p>
    <w:p w14:paraId="04B6AFC9" w14:textId="77777777" w:rsidR="001236DF" w:rsidRPr="00200234" w:rsidRDefault="001236DF" w:rsidP="001236DF">
      <w:pPr>
        <w:pStyle w:val="Heading2"/>
      </w:pPr>
      <w:bookmarkStart w:id="444" w:name="_Toc65141629"/>
      <w:bookmarkStart w:id="445" w:name="_Toc75176453"/>
      <w:bookmarkStart w:id="446" w:name="_Toc87429920"/>
      <w:bookmarkStart w:id="447" w:name="_Toc88826968"/>
      <w:bookmarkStart w:id="448" w:name="_Toc115188818"/>
      <w:bookmarkStart w:id="449" w:name="_Toc115431716"/>
      <w:r w:rsidRPr="00200234">
        <w:lastRenderedPageBreak/>
        <w:t>Short-term forensic care special patients</w:t>
      </w:r>
      <w:bookmarkEnd w:id="444"/>
      <w:bookmarkEnd w:id="445"/>
      <w:bookmarkEnd w:id="446"/>
      <w:bookmarkEnd w:id="447"/>
      <w:bookmarkEnd w:id="448"/>
      <w:bookmarkEnd w:id="449"/>
    </w:p>
    <w:p w14:paraId="6F825F6C" w14:textId="77777777" w:rsidR="001236DF" w:rsidRPr="00200234" w:rsidRDefault="001236DF" w:rsidP="001236DF">
      <w:pPr>
        <w:keepLines/>
      </w:pPr>
      <w:r w:rsidRPr="00200234">
        <w:t xml:space="preserve">Short-term forensic care patients include people transferred from prison to a forensic mental health service. Once a person has been sentenced to a term of imprisonment, any compulsory mental health treatment order relating to them no longer applies. Remand prisoners may remain on a pre-existing compulsory treatment order, but it is unlawful to enforce compulsory treatment in the prison environment. However, a court may make a </w:t>
      </w:r>
      <w:r>
        <w:t>‘</w:t>
      </w:r>
      <w:r w:rsidRPr="00200234">
        <w:t>hybrid order</w:t>
      </w:r>
      <w:r>
        <w:t>’</w:t>
      </w:r>
      <w:r w:rsidRPr="00200234">
        <w:t xml:space="preserve"> under section 34(1)(a)(i) of the </w:t>
      </w:r>
      <w:r w:rsidRPr="00066817">
        <w:t>Criminal Procedure (Mentally Impaired Persons) Act 2003</w:t>
      </w:r>
      <w:r w:rsidRPr="00200234">
        <w:t>, sentencing an offender to a term of imprisonment while also ordering their detention in hospital as a special patient.</w:t>
      </w:r>
    </w:p>
    <w:p w14:paraId="7793B548" w14:textId="77777777" w:rsidR="001236DF" w:rsidRPr="00200234" w:rsidRDefault="001236DF" w:rsidP="001236DF"/>
    <w:p w14:paraId="789E7F84" w14:textId="77777777" w:rsidR="001236DF" w:rsidRDefault="001236DF" w:rsidP="001236DF">
      <w:r>
        <w:t>From 1 July 2020 to 30 June 2021,</w:t>
      </w:r>
      <w:r w:rsidRPr="00200234">
        <w:t xml:space="preserve"> </w:t>
      </w:r>
      <w:r>
        <w:t xml:space="preserve">Aotearoa </w:t>
      </w:r>
      <w:r w:rsidRPr="00200234">
        <w:t xml:space="preserve">had a total of </w:t>
      </w:r>
      <w:r>
        <w:t>269</w:t>
      </w:r>
      <w:r w:rsidRPr="00200234">
        <w:t xml:space="preserve"> short-term forensic care special patients. </w:t>
      </w:r>
    </w:p>
    <w:p w14:paraId="738EEE99" w14:textId="77777777" w:rsidR="001236DF" w:rsidRDefault="001236DF" w:rsidP="001236DF"/>
    <w:p w14:paraId="4D646954" w14:textId="77777777" w:rsidR="001236DF" w:rsidRPr="00200234" w:rsidRDefault="001236DF" w:rsidP="001236DF">
      <w:r>
        <w:t>Table </w:t>
      </w:r>
      <w:r>
        <w:rPr>
          <w:noProof/>
        </w:rPr>
        <w:t>13</w:t>
      </w:r>
      <w:r w:rsidRPr="00200234">
        <w:t xml:space="preserve"> </w:t>
      </w:r>
      <w:r>
        <w:t>shows</w:t>
      </w:r>
      <w:r w:rsidRPr="00200234">
        <w:t xml:space="preserve"> the number of these patients in the care of each DHB that provide</w:t>
      </w:r>
      <w:r>
        <w:t>d</w:t>
      </w:r>
      <w:r w:rsidRPr="00200234">
        <w:t xml:space="preserve"> regional forensic psychiatry services. </w:t>
      </w:r>
      <w:r>
        <w:t>Figure </w:t>
      </w:r>
      <w:r>
        <w:rPr>
          <w:noProof/>
        </w:rPr>
        <w:t>36</w:t>
      </w:r>
      <w:r w:rsidRPr="00200234">
        <w:t xml:space="preserve"> show</w:t>
      </w:r>
      <w:r>
        <w:t>s</w:t>
      </w:r>
      <w:r w:rsidRPr="00200234" w:rsidDel="001B42F3">
        <w:t xml:space="preserve"> </w:t>
      </w:r>
      <w:r w:rsidRPr="00200234">
        <w:t xml:space="preserve">the percentage of court orders given for short-term forensic care legal status relative to extended forensic care legal status in each </w:t>
      </w:r>
      <w:r>
        <w:t xml:space="preserve">of these </w:t>
      </w:r>
      <w:r w:rsidRPr="00200234">
        <w:t>DHB</w:t>
      </w:r>
      <w:r>
        <w:t>s</w:t>
      </w:r>
      <w:r w:rsidRPr="00200234">
        <w:t>.</w:t>
      </w:r>
    </w:p>
    <w:p w14:paraId="20299E33" w14:textId="77777777" w:rsidR="001236DF" w:rsidRPr="00200234" w:rsidRDefault="001236DF" w:rsidP="001236DF"/>
    <w:p w14:paraId="77A6C678" w14:textId="4A3DBD08" w:rsidR="001236DF" w:rsidRDefault="001236DF" w:rsidP="001236DF">
      <w:pPr>
        <w:pStyle w:val="Table"/>
      </w:pPr>
      <w:bookmarkStart w:id="450" w:name="_Ref85450596"/>
      <w:bookmarkStart w:id="451" w:name="_Toc87430010"/>
      <w:bookmarkStart w:id="452" w:name="_Toc88561367"/>
      <w:bookmarkStart w:id="453" w:name="_Toc115188902"/>
      <w:bookmarkStart w:id="454" w:name="_Toc115272604"/>
      <w:r>
        <w:t>Table </w:t>
      </w:r>
      <w:fldSimple w:instr=" SEQ Table \* ARABIC ">
        <w:r w:rsidR="009A04B0">
          <w:rPr>
            <w:noProof/>
          </w:rPr>
          <w:t>13</w:t>
        </w:r>
      </w:fldSimple>
      <w:bookmarkEnd w:id="450"/>
      <w:r w:rsidRPr="00D9092F">
        <w:t xml:space="preserve">: </w:t>
      </w:r>
      <w:r w:rsidRPr="003C233F">
        <w:t xml:space="preserve">Total number of special patients, by type and DHB, 1 </w:t>
      </w:r>
      <w:bookmarkEnd w:id="451"/>
      <w:bookmarkEnd w:id="452"/>
      <w:r w:rsidRPr="003C233F">
        <w:t>July 2020 to 30 June 2021</w:t>
      </w:r>
      <w:bookmarkEnd w:id="453"/>
      <w:bookmarkEnd w:id="454"/>
    </w:p>
    <w:tbl>
      <w:tblPr>
        <w:tblW w:w="4931" w:type="pct"/>
        <w:tblInd w:w="57" w:type="dxa"/>
        <w:tblLayout w:type="fixed"/>
        <w:tblCellMar>
          <w:left w:w="57" w:type="dxa"/>
          <w:right w:w="57" w:type="dxa"/>
        </w:tblCellMar>
        <w:tblLook w:val="01E0" w:firstRow="1" w:lastRow="1" w:firstColumn="1" w:lastColumn="1" w:noHBand="0" w:noVBand="0"/>
      </w:tblPr>
      <w:tblGrid>
        <w:gridCol w:w="1846"/>
        <w:gridCol w:w="2040"/>
        <w:gridCol w:w="2041"/>
        <w:gridCol w:w="2041"/>
      </w:tblGrid>
      <w:tr w:rsidR="001236DF" w:rsidRPr="00E7421B" w14:paraId="7460708F" w14:textId="77777777" w:rsidTr="001236DF">
        <w:trPr>
          <w:cantSplit/>
        </w:trPr>
        <w:tc>
          <w:tcPr>
            <w:tcW w:w="1158" w:type="pct"/>
            <w:shd w:val="clear" w:color="auto" w:fill="D9D9D9"/>
          </w:tcPr>
          <w:p w14:paraId="5418CF6C" w14:textId="77777777" w:rsidR="001236DF" w:rsidRPr="00E7421B" w:rsidRDefault="001236DF" w:rsidP="001236DF">
            <w:pPr>
              <w:pStyle w:val="TableText"/>
              <w:rPr>
                <w:b/>
              </w:rPr>
            </w:pPr>
            <w:r w:rsidRPr="00E7421B">
              <w:rPr>
                <w:b/>
              </w:rPr>
              <w:t>Forensic services</w:t>
            </w:r>
          </w:p>
        </w:tc>
        <w:tc>
          <w:tcPr>
            <w:tcW w:w="1280" w:type="pct"/>
            <w:shd w:val="clear" w:color="auto" w:fill="D9D9D9"/>
          </w:tcPr>
          <w:p w14:paraId="56DA3661" w14:textId="77777777" w:rsidR="001236DF" w:rsidRPr="00E7421B" w:rsidRDefault="001236DF" w:rsidP="001236DF">
            <w:pPr>
              <w:pStyle w:val="TableText"/>
              <w:jc w:val="center"/>
              <w:rPr>
                <w:b/>
              </w:rPr>
            </w:pPr>
            <w:r w:rsidRPr="00E7421B">
              <w:rPr>
                <w:b/>
              </w:rPr>
              <w:t>EFC special patients</w:t>
            </w:r>
          </w:p>
        </w:tc>
        <w:tc>
          <w:tcPr>
            <w:tcW w:w="1281" w:type="pct"/>
            <w:shd w:val="clear" w:color="auto" w:fill="D9D9D9"/>
          </w:tcPr>
          <w:p w14:paraId="0C650068" w14:textId="77777777" w:rsidR="001236DF" w:rsidRPr="00E7421B" w:rsidRDefault="001236DF" w:rsidP="001236DF">
            <w:pPr>
              <w:pStyle w:val="TableText"/>
              <w:jc w:val="center"/>
              <w:rPr>
                <w:b/>
              </w:rPr>
            </w:pPr>
            <w:r w:rsidRPr="00E7421B">
              <w:rPr>
                <w:b/>
              </w:rPr>
              <w:t>SFC special patients</w:t>
            </w:r>
          </w:p>
        </w:tc>
        <w:tc>
          <w:tcPr>
            <w:tcW w:w="1281" w:type="pct"/>
            <w:shd w:val="clear" w:color="auto" w:fill="D9D9D9"/>
          </w:tcPr>
          <w:p w14:paraId="19CD4F1B" w14:textId="77777777" w:rsidR="001236DF" w:rsidRPr="00E7421B" w:rsidRDefault="001236DF" w:rsidP="001236DF">
            <w:pPr>
              <w:pStyle w:val="TableText"/>
              <w:jc w:val="center"/>
              <w:rPr>
                <w:b/>
              </w:rPr>
            </w:pPr>
            <w:r w:rsidRPr="00E7421B">
              <w:rPr>
                <w:b/>
              </w:rPr>
              <w:t>Total special patients</w:t>
            </w:r>
          </w:p>
        </w:tc>
      </w:tr>
      <w:tr w:rsidR="001236DF" w:rsidRPr="00200234" w14:paraId="274DABF1" w14:textId="77777777" w:rsidTr="001236DF">
        <w:trPr>
          <w:cantSplit/>
        </w:trPr>
        <w:tc>
          <w:tcPr>
            <w:tcW w:w="1158" w:type="pct"/>
            <w:tcBorders>
              <w:bottom w:val="single" w:sz="4" w:space="0" w:color="A6A6A6"/>
            </w:tcBorders>
          </w:tcPr>
          <w:p w14:paraId="32CB0F2B" w14:textId="77777777" w:rsidR="001236DF" w:rsidRPr="00200234" w:rsidRDefault="001236DF" w:rsidP="001236DF">
            <w:pPr>
              <w:pStyle w:val="TableText"/>
            </w:pPr>
            <w:r w:rsidRPr="00200234">
              <w:t>Canterbury DHB</w:t>
            </w:r>
          </w:p>
        </w:tc>
        <w:tc>
          <w:tcPr>
            <w:tcW w:w="1280" w:type="pct"/>
            <w:tcBorders>
              <w:bottom w:val="single" w:sz="4" w:space="0" w:color="A6A6A6"/>
            </w:tcBorders>
          </w:tcPr>
          <w:p w14:paraId="3311A9C8" w14:textId="77777777" w:rsidR="001236DF" w:rsidRPr="00200234" w:rsidRDefault="001236DF" w:rsidP="001236DF">
            <w:pPr>
              <w:pStyle w:val="TableText"/>
              <w:tabs>
                <w:tab w:val="decimal" w:pos="1173"/>
              </w:tabs>
            </w:pPr>
            <w:r w:rsidRPr="004731EE">
              <w:t>16</w:t>
            </w:r>
          </w:p>
        </w:tc>
        <w:tc>
          <w:tcPr>
            <w:tcW w:w="1281" w:type="pct"/>
            <w:tcBorders>
              <w:bottom w:val="single" w:sz="4" w:space="0" w:color="A6A6A6"/>
            </w:tcBorders>
          </w:tcPr>
          <w:p w14:paraId="47AB2A3C" w14:textId="77777777" w:rsidR="001236DF" w:rsidRPr="00200234" w:rsidRDefault="001236DF" w:rsidP="001236DF">
            <w:pPr>
              <w:pStyle w:val="TableText"/>
              <w:tabs>
                <w:tab w:val="decimal" w:pos="1173"/>
              </w:tabs>
            </w:pPr>
            <w:r w:rsidRPr="004731EE">
              <w:t>41</w:t>
            </w:r>
          </w:p>
        </w:tc>
        <w:tc>
          <w:tcPr>
            <w:tcW w:w="1281" w:type="pct"/>
            <w:tcBorders>
              <w:bottom w:val="single" w:sz="4" w:space="0" w:color="A6A6A6"/>
            </w:tcBorders>
          </w:tcPr>
          <w:p w14:paraId="0C800BB4" w14:textId="77777777" w:rsidR="001236DF" w:rsidRPr="00200234" w:rsidRDefault="001236DF" w:rsidP="001236DF">
            <w:pPr>
              <w:pStyle w:val="TableText"/>
              <w:tabs>
                <w:tab w:val="decimal" w:pos="1173"/>
              </w:tabs>
            </w:pPr>
            <w:r w:rsidRPr="00EF5AA1">
              <w:t>55</w:t>
            </w:r>
          </w:p>
        </w:tc>
      </w:tr>
      <w:tr w:rsidR="001236DF" w:rsidRPr="00200234" w14:paraId="41C55C6F" w14:textId="77777777" w:rsidTr="001236DF">
        <w:trPr>
          <w:cantSplit/>
        </w:trPr>
        <w:tc>
          <w:tcPr>
            <w:tcW w:w="1158" w:type="pct"/>
            <w:tcBorders>
              <w:top w:val="single" w:sz="4" w:space="0" w:color="A6A6A6"/>
              <w:bottom w:val="single" w:sz="4" w:space="0" w:color="A6A6A6"/>
            </w:tcBorders>
          </w:tcPr>
          <w:p w14:paraId="69CA1530" w14:textId="77777777" w:rsidR="001236DF" w:rsidRPr="00200234" w:rsidRDefault="001236DF" w:rsidP="001236DF">
            <w:pPr>
              <w:pStyle w:val="TableText"/>
            </w:pPr>
            <w:r w:rsidRPr="00200234">
              <w:t>Capital &amp; Coast DHB</w:t>
            </w:r>
          </w:p>
        </w:tc>
        <w:tc>
          <w:tcPr>
            <w:tcW w:w="1280" w:type="pct"/>
            <w:tcBorders>
              <w:top w:val="single" w:sz="4" w:space="0" w:color="A6A6A6"/>
              <w:bottom w:val="single" w:sz="4" w:space="0" w:color="A6A6A6"/>
            </w:tcBorders>
          </w:tcPr>
          <w:p w14:paraId="089BCE13" w14:textId="77777777" w:rsidR="001236DF" w:rsidRPr="00200234" w:rsidRDefault="001236DF" w:rsidP="001236DF">
            <w:pPr>
              <w:pStyle w:val="TableText"/>
              <w:tabs>
                <w:tab w:val="decimal" w:pos="1173"/>
              </w:tabs>
            </w:pPr>
            <w:r w:rsidRPr="004731EE">
              <w:t>58</w:t>
            </w:r>
          </w:p>
        </w:tc>
        <w:tc>
          <w:tcPr>
            <w:tcW w:w="1281" w:type="pct"/>
            <w:tcBorders>
              <w:top w:val="single" w:sz="4" w:space="0" w:color="A6A6A6"/>
              <w:bottom w:val="single" w:sz="4" w:space="0" w:color="A6A6A6"/>
            </w:tcBorders>
          </w:tcPr>
          <w:p w14:paraId="5C3D5723" w14:textId="77777777" w:rsidR="001236DF" w:rsidRPr="00200234" w:rsidRDefault="001236DF" w:rsidP="001236DF">
            <w:pPr>
              <w:pStyle w:val="TableText"/>
              <w:tabs>
                <w:tab w:val="decimal" w:pos="1173"/>
              </w:tabs>
            </w:pPr>
            <w:r w:rsidRPr="004731EE">
              <w:t>66</w:t>
            </w:r>
          </w:p>
        </w:tc>
        <w:tc>
          <w:tcPr>
            <w:tcW w:w="1281" w:type="pct"/>
            <w:tcBorders>
              <w:top w:val="single" w:sz="4" w:space="0" w:color="A6A6A6"/>
              <w:bottom w:val="single" w:sz="4" w:space="0" w:color="A6A6A6"/>
            </w:tcBorders>
          </w:tcPr>
          <w:p w14:paraId="3844C84F" w14:textId="77777777" w:rsidR="001236DF" w:rsidRPr="00200234" w:rsidRDefault="001236DF" w:rsidP="001236DF">
            <w:pPr>
              <w:pStyle w:val="TableText"/>
              <w:tabs>
                <w:tab w:val="decimal" w:pos="1173"/>
              </w:tabs>
            </w:pPr>
            <w:r w:rsidRPr="00EF5AA1">
              <w:t>121</w:t>
            </w:r>
          </w:p>
        </w:tc>
      </w:tr>
      <w:tr w:rsidR="001236DF" w:rsidRPr="00200234" w14:paraId="1AA5DBE6" w14:textId="77777777" w:rsidTr="001236DF">
        <w:trPr>
          <w:cantSplit/>
        </w:trPr>
        <w:tc>
          <w:tcPr>
            <w:tcW w:w="1158" w:type="pct"/>
            <w:tcBorders>
              <w:top w:val="single" w:sz="4" w:space="0" w:color="A6A6A6"/>
              <w:bottom w:val="single" w:sz="4" w:space="0" w:color="A6A6A6"/>
            </w:tcBorders>
          </w:tcPr>
          <w:p w14:paraId="4B77F114" w14:textId="77777777" w:rsidR="001236DF" w:rsidRPr="00200234" w:rsidRDefault="001236DF" w:rsidP="001236DF">
            <w:pPr>
              <w:pStyle w:val="TableText"/>
            </w:pPr>
            <w:r w:rsidRPr="00200234">
              <w:t>Southern DHB</w:t>
            </w:r>
          </w:p>
        </w:tc>
        <w:tc>
          <w:tcPr>
            <w:tcW w:w="1280" w:type="pct"/>
            <w:tcBorders>
              <w:top w:val="single" w:sz="4" w:space="0" w:color="A6A6A6"/>
              <w:bottom w:val="single" w:sz="4" w:space="0" w:color="A6A6A6"/>
            </w:tcBorders>
          </w:tcPr>
          <w:p w14:paraId="5368758A" w14:textId="77777777" w:rsidR="001236DF" w:rsidRPr="00200234" w:rsidRDefault="001236DF" w:rsidP="001236DF">
            <w:pPr>
              <w:pStyle w:val="TableText"/>
              <w:tabs>
                <w:tab w:val="decimal" w:pos="1173"/>
              </w:tabs>
            </w:pPr>
            <w:r w:rsidRPr="004731EE">
              <w:t>9</w:t>
            </w:r>
          </w:p>
        </w:tc>
        <w:tc>
          <w:tcPr>
            <w:tcW w:w="1281" w:type="pct"/>
            <w:tcBorders>
              <w:top w:val="single" w:sz="4" w:space="0" w:color="A6A6A6"/>
              <w:bottom w:val="single" w:sz="4" w:space="0" w:color="A6A6A6"/>
            </w:tcBorders>
          </w:tcPr>
          <w:p w14:paraId="697210D6" w14:textId="77777777" w:rsidR="001236DF" w:rsidRPr="00200234" w:rsidRDefault="001236DF" w:rsidP="001236DF">
            <w:pPr>
              <w:pStyle w:val="TableText"/>
              <w:tabs>
                <w:tab w:val="decimal" w:pos="1173"/>
              </w:tabs>
            </w:pPr>
            <w:r w:rsidRPr="004731EE">
              <w:t>15</w:t>
            </w:r>
          </w:p>
        </w:tc>
        <w:tc>
          <w:tcPr>
            <w:tcW w:w="1281" w:type="pct"/>
            <w:tcBorders>
              <w:top w:val="single" w:sz="4" w:space="0" w:color="A6A6A6"/>
              <w:bottom w:val="single" w:sz="4" w:space="0" w:color="A6A6A6"/>
            </w:tcBorders>
          </w:tcPr>
          <w:p w14:paraId="57FCDC8C" w14:textId="77777777" w:rsidR="001236DF" w:rsidRPr="00200234" w:rsidRDefault="001236DF" w:rsidP="001236DF">
            <w:pPr>
              <w:pStyle w:val="TableText"/>
              <w:tabs>
                <w:tab w:val="decimal" w:pos="1173"/>
              </w:tabs>
            </w:pPr>
            <w:r w:rsidRPr="00EF5AA1">
              <w:t>24</w:t>
            </w:r>
          </w:p>
        </w:tc>
      </w:tr>
      <w:tr w:rsidR="001236DF" w:rsidRPr="00200234" w14:paraId="57FDADC2" w14:textId="77777777" w:rsidTr="001236DF">
        <w:trPr>
          <w:cantSplit/>
        </w:trPr>
        <w:tc>
          <w:tcPr>
            <w:tcW w:w="1158" w:type="pct"/>
            <w:tcBorders>
              <w:top w:val="single" w:sz="4" w:space="0" w:color="A6A6A6"/>
              <w:bottom w:val="single" w:sz="4" w:space="0" w:color="A6A6A6"/>
            </w:tcBorders>
          </w:tcPr>
          <w:p w14:paraId="67F1D5C0" w14:textId="77777777" w:rsidR="001236DF" w:rsidRPr="00200234" w:rsidRDefault="001236DF" w:rsidP="001236DF">
            <w:pPr>
              <w:pStyle w:val="TableText"/>
            </w:pPr>
            <w:r w:rsidRPr="00200234">
              <w:t>Waikato DHB</w:t>
            </w:r>
          </w:p>
        </w:tc>
        <w:tc>
          <w:tcPr>
            <w:tcW w:w="1280" w:type="pct"/>
            <w:tcBorders>
              <w:top w:val="single" w:sz="4" w:space="0" w:color="A6A6A6"/>
              <w:bottom w:val="single" w:sz="4" w:space="0" w:color="A6A6A6"/>
            </w:tcBorders>
          </w:tcPr>
          <w:p w14:paraId="43A226BA" w14:textId="77777777" w:rsidR="001236DF" w:rsidRPr="00200234" w:rsidRDefault="001236DF" w:rsidP="001236DF">
            <w:pPr>
              <w:pStyle w:val="TableText"/>
              <w:tabs>
                <w:tab w:val="decimal" w:pos="1173"/>
              </w:tabs>
            </w:pPr>
            <w:r w:rsidRPr="004731EE">
              <w:t>40</w:t>
            </w:r>
          </w:p>
        </w:tc>
        <w:tc>
          <w:tcPr>
            <w:tcW w:w="1281" w:type="pct"/>
            <w:tcBorders>
              <w:top w:val="single" w:sz="4" w:space="0" w:color="A6A6A6"/>
              <w:bottom w:val="single" w:sz="4" w:space="0" w:color="A6A6A6"/>
            </w:tcBorders>
          </w:tcPr>
          <w:p w14:paraId="3EB490B3" w14:textId="77777777" w:rsidR="001236DF" w:rsidRPr="00200234" w:rsidRDefault="001236DF" w:rsidP="001236DF">
            <w:pPr>
              <w:pStyle w:val="TableText"/>
              <w:tabs>
                <w:tab w:val="decimal" w:pos="1173"/>
              </w:tabs>
            </w:pPr>
            <w:r w:rsidRPr="004731EE">
              <w:t>59</w:t>
            </w:r>
          </w:p>
        </w:tc>
        <w:tc>
          <w:tcPr>
            <w:tcW w:w="1281" w:type="pct"/>
            <w:tcBorders>
              <w:top w:val="single" w:sz="4" w:space="0" w:color="A6A6A6"/>
              <w:bottom w:val="single" w:sz="4" w:space="0" w:color="A6A6A6"/>
            </w:tcBorders>
          </w:tcPr>
          <w:p w14:paraId="302008C8" w14:textId="77777777" w:rsidR="001236DF" w:rsidRPr="00200234" w:rsidRDefault="001236DF" w:rsidP="001236DF">
            <w:pPr>
              <w:pStyle w:val="TableText"/>
              <w:tabs>
                <w:tab w:val="decimal" w:pos="1173"/>
              </w:tabs>
            </w:pPr>
            <w:r w:rsidRPr="00EF5AA1">
              <w:t>98</w:t>
            </w:r>
          </w:p>
        </w:tc>
      </w:tr>
      <w:tr w:rsidR="001236DF" w:rsidRPr="00200234" w14:paraId="15A0727D" w14:textId="77777777" w:rsidTr="001236DF">
        <w:trPr>
          <w:cantSplit/>
        </w:trPr>
        <w:tc>
          <w:tcPr>
            <w:tcW w:w="1158" w:type="pct"/>
            <w:tcBorders>
              <w:top w:val="single" w:sz="4" w:space="0" w:color="A6A6A6"/>
              <w:bottom w:val="single" w:sz="4" w:space="0" w:color="A6A6A6"/>
            </w:tcBorders>
          </w:tcPr>
          <w:p w14:paraId="39FFC1CB" w14:textId="77777777" w:rsidR="001236DF" w:rsidRPr="00200234" w:rsidRDefault="001236DF" w:rsidP="001236DF">
            <w:pPr>
              <w:pStyle w:val="TableText"/>
            </w:pPr>
            <w:r w:rsidRPr="00200234">
              <w:t>Waitematā DHB</w:t>
            </w:r>
          </w:p>
        </w:tc>
        <w:tc>
          <w:tcPr>
            <w:tcW w:w="1280" w:type="pct"/>
            <w:tcBorders>
              <w:top w:val="single" w:sz="4" w:space="0" w:color="A6A6A6"/>
              <w:bottom w:val="single" w:sz="4" w:space="0" w:color="A6A6A6"/>
            </w:tcBorders>
          </w:tcPr>
          <w:p w14:paraId="23BA6C2E" w14:textId="77777777" w:rsidR="001236DF" w:rsidRPr="00200234" w:rsidRDefault="001236DF" w:rsidP="001236DF">
            <w:pPr>
              <w:pStyle w:val="TableText"/>
              <w:tabs>
                <w:tab w:val="decimal" w:pos="1173"/>
              </w:tabs>
            </w:pPr>
            <w:r w:rsidRPr="004731EE">
              <w:t>46</w:t>
            </w:r>
          </w:p>
        </w:tc>
        <w:tc>
          <w:tcPr>
            <w:tcW w:w="1281" w:type="pct"/>
            <w:tcBorders>
              <w:top w:val="single" w:sz="4" w:space="0" w:color="A6A6A6"/>
              <w:bottom w:val="single" w:sz="4" w:space="0" w:color="A6A6A6"/>
            </w:tcBorders>
          </w:tcPr>
          <w:p w14:paraId="41D4D59C" w14:textId="77777777" w:rsidR="001236DF" w:rsidRPr="00200234" w:rsidRDefault="001236DF" w:rsidP="001236DF">
            <w:pPr>
              <w:pStyle w:val="TableText"/>
              <w:tabs>
                <w:tab w:val="decimal" w:pos="1173"/>
              </w:tabs>
            </w:pPr>
            <w:r w:rsidRPr="004731EE">
              <w:t>91</w:t>
            </w:r>
          </w:p>
        </w:tc>
        <w:tc>
          <w:tcPr>
            <w:tcW w:w="1281" w:type="pct"/>
            <w:tcBorders>
              <w:top w:val="single" w:sz="4" w:space="0" w:color="A6A6A6"/>
              <w:bottom w:val="single" w:sz="4" w:space="0" w:color="A6A6A6"/>
            </w:tcBorders>
          </w:tcPr>
          <w:p w14:paraId="1D13A4A8" w14:textId="77777777" w:rsidR="001236DF" w:rsidRPr="00200234" w:rsidRDefault="001236DF" w:rsidP="001236DF">
            <w:pPr>
              <w:pStyle w:val="TableText"/>
              <w:tabs>
                <w:tab w:val="decimal" w:pos="1173"/>
              </w:tabs>
            </w:pPr>
            <w:r w:rsidRPr="00EF5AA1">
              <w:t>133</w:t>
            </w:r>
          </w:p>
        </w:tc>
      </w:tr>
      <w:tr w:rsidR="001236DF" w:rsidRPr="00E7421B" w14:paraId="480A3AE2" w14:textId="77777777" w:rsidTr="001236DF">
        <w:trPr>
          <w:cantSplit/>
        </w:trPr>
        <w:tc>
          <w:tcPr>
            <w:tcW w:w="1158" w:type="pct"/>
            <w:tcBorders>
              <w:top w:val="single" w:sz="4" w:space="0" w:color="A6A6A6"/>
              <w:bottom w:val="single" w:sz="4" w:space="0" w:color="A6A6A6"/>
            </w:tcBorders>
          </w:tcPr>
          <w:p w14:paraId="4754D464" w14:textId="77777777" w:rsidR="001236DF" w:rsidRPr="00E7421B" w:rsidRDefault="001236DF" w:rsidP="001236DF">
            <w:pPr>
              <w:pStyle w:val="TableText"/>
              <w:rPr>
                <w:b/>
                <w:bCs/>
              </w:rPr>
            </w:pPr>
            <w:r w:rsidRPr="00E7421B">
              <w:rPr>
                <w:b/>
                <w:bCs/>
              </w:rPr>
              <w:t>National total</w:t>
            </w:r>
          </w:p>
        </w:tc>
        <w:tc>
          <w:tcPr>
            <w:tcW w:w="1280" w:type="pct"/>
            <w:tcBorders>
              <w:top w:val="single" w:sz="4" w:space="0" w:color="A6A6A6"/>
              <w:bottom w:val="single" w:sz="4" w:space="0" w:color="A6A6A6"/>
            </w:tcBorders>
          </w:tcPr>
          <w:p w14:paraId="1C64D5E6" w14:textId="77777777" w:rsidR="001236DF" w:rsidRPr="005619D7" w:rsidRDefault="001236DF" w:rsidP="001236DF">
            <w:pPr>
              <w:pStyle w:val="TableText"/>
              <w:tabs>
                <w:tab w:val="decimal" w:pos="1173"/>
              </w:tabs>
              <w:rPr>
                <w:b/>
                <w:bCs/>
              </w:rPr>
            </w:pPr>
            <w:r w:rsidRPr="005619D7">
              <w:rPr>
                <w:b/>
                <w:bCs/>
              </w:rPr>
              <w:t>166</w:t>
            </w:r>
          </w:p>
        </w:tc>
        <w:tc>
          <w:tcPr>
            <w:tcW w:w="1281" w:type="pct"/>
            <w:tcBorders>
              <w:top w:val="single" w:sz="4" w:space="0" w:color="A6A6A6"/>
              <w:bottom w:val="single" w:sz="4" w:space="0" w:color="A6A6A6"/>
            </w:tcBorders>
          </w:tcPr>
          <w:p w14:paraId="636E9CAA" w14:textId="77777777" w:rsidR="001236DF" w:rsidRPr="005619D7" w:rsidRDefault="001236DF" w:rsidP="001236DF">
            <w:pPr>
              <w:pStyle w:val="TableText"/>
              <w:tabs>
                <w:tab w:val="decimal" w:pos="1173"/>
              </w:tabs>
              <w:rPr>
                <w:b/>
                <w:bCs/>
              </w:rPr>
            </w:pPr>
            <w:r w:rsidRPr="005619D7">
              <w:rPr>
                <w:b/>
                <w:bCs/>
              </w:rPr>
              <w:t>269</w:t>
            </w:r>
          </w:p>
        </w:tc>
        <w:tc>
          <w:tcPr>
            <w:tcW w:w="1281" w:type="pct"/>
            <w:tcBorders>
              <w:top w:val="single" w:sz="4" w:space="0" w:color="A6A6A6"/>
              <w:bottom w:val="single" w:sz="4" w:space="0" w:color="A6A6A6"/>
            </w:tcBorders>
          </w:tcPr>
          <w:p w14:paraId="257D03DF" w14:textId="77777777" w:rsidR="001236DF" w:rsidRPr="005619D7" w:rsidRDefault="001236DF" w:rsidP="001236DF">
            <w:pPr>
              <w:pStyle w:val="TableText"/>
              <w:tabs>
                <w:tab w:val="decimal" w:pos="1173"/>
              </w:tabs>
              <w:rPr>
                <w:b/>
                <w:bCs/>
              </w:rPr>
            </w:pPr>
            <w:r w:rsidRPr="005619D7">
              <w:rPr>
                <w:b/>
                <w:bCs/>
              </w:rPr>
              <w:t>423</w:t>
            </w:r>
          </w:p>
        </w:tc>
      </w:tr>
    </w:tbl>
    <w:p w14:paraId="4B81C4C5" w14:textId="77777777" w:rsidR="001236DF" w:rsidRDefault="001236DF" w:rsidP="001236DF">
      <w:pPr>
        <w:pStyle w:val="Note"/>
      </w:pPr>
      <w:r w:rsidRPr="00200234">
        <w:t xml:space="preserve">Notes: EFC = extended forensic care; SFC = short-term forensic care. </w:t>
      </w:r>
      <w:r>
        <w:t>An individual is</w:t>
      </w:r>
      <w:r w:rsidRPr="00200234">
        <w:t xml:space="preserve"> counted as </w:t>
      </w:r>
      <w:r>
        <w:t xml:space="preserve">a </w:t>
      </w:r>
      <w:r w:rsidRPr="00200234">
        <w:t xml:space="preserve">special patient in more than one DHB when they receive treatment with more than one DHB. For this reason, </w:t>
      </w:r>
      <w:r>
        <w:t>adding together the patients</w:t>
      </w:r>
      <w:r w:rsidRPr="00200234">
        <w:t xml:space="preserve"> </w:t>
      </w:r>
      <w:r>
        <w:t>in the 5 DHBs produces a total</w:t>
      </w:r>
      <w:r w:rsidRPr="00200234">
        <w:t xml:space="preserve"> higher than the national </w:t>
      </w:r>
      <w:r w:rsidRPr="003C233F">
        <w:t>total. Due to their relatively small numbers of special patients, Hawke’s Bay, MidCentral and Whanganui DHBs are included under Capital &amp; Coast DHB, Taranaki DHB is included under Waikato DHB, and Nelson Marlborough DHB is included under Canterbury DHB.</w:t>
      </w:r>
      <w:r w:rsidRPr="00200234">
        <w:t xml:space="preserve"> A patient may be represented under both the EFC and SFC categories in this </w:t>
      </w:r>
      <w:r>
        <w:t>table</w:t>
      </w:r>
      <w:r w:rsidRPr="00200234">
        <w:t>.</w:t>
      </w:r>
      <w:r>
        <w:t xml:space="preserve"> </w:t>
      </w:r>
      <w:r w:rsidRPr="00200234">
        <w:t xml:space="preserve">Under certain special patient orders, a court can direct treatment outside a regional forensic service. We have excluded this data because it involves only a few patients </w:t>
      </w:r>
      <w:r>
        <w:t>so</w:t>
      </w:r>
      <w:r w:rsidRPr="00200234">
        <w:t xml:space="preserve"> </w:t>
      </w:r>
      <w:r>
        <w:t>we need</w:t>
      </w:r>
      <w:r w:rsidRPr="00200234">
        <w:t xml:space="preserve"> to protect patient confidentiality.</w:t>
      </w:r>
    </w:p>
    <w:p w14:paraId="4C669D25" w14:textId="77777777" w:rsidR="001236DF" w:rsidRPr="00200234" w:rsidRDefault="001236DF" w:rsidP="001236DF">
      <w:pPr>
        <w:pStyle w:val="Source"/>
      </w:pPr>
      <w:r w:rsidRPr="00200234">
        <w:t xml:space="preserve">Source: PRIMHD </w:t>
      </w:r>
      <w:r>
        <w:t>data (extracted</w:t>
      </w:r>
      <w:r w:rsidRPr="00200234">
        <w:t xml:space="preserve"> </w:t>
      </w:r>
      <w:r>
        <w:t>3 June 2022)</w:t>
      </w:r>
      <w:r w:rsidRPr="00200234">
        <w:t>.</w:t>
      </w:r>
    </w:p>
    <w:p w14:paraId="17A77DA5" w14:textId="77777777" w:rsidR="001236DF" w:rsidRPr="00200234" w:rsidRDefault="001236DF" w:rsidP="001236DF"/>
    <w:p w14:paraId="0F8BD752" w14:textId="6229E84F" w:rsidR="001236DF" w:rsidRDefault="001236DF" w:rsidP="001236DF">
      <w:pPr>
        <w:pStyle w:val="Figure"/>
      </w:pPr>
      <w:bookmarkStart w:id="455" w:name="_Ref65672426"/>
      <w:bookmarkStart w:id="456" w:name="_Toc63764783"/>
      <w:bookmarkStart w:id="457" w:name="_Toc75176498"/>
      <w:bookmarkStart w:id="458" w:name="_Toc85442590"/>
      <w:bookmarkStart w:id="459" w:name="_Toc85445939"/>
      <w:bookmarkStart w:id="460" w:name="_Toc87429983"/>
      <w:bookmarkStart w:id="461" w:name="_Toc88561415"/>
      <w:bookmarkStart w:id="462" w:name="_Toc115188875"/>
      <w:bookmarkStart w:id="463" w:name="_Toc115272578"/>
      <w:r>
        <w:lastRenderedPageBreak/>
        <w:t>Figure </w:t>
      </w:r>
      <w:fldSimple w:instr=" SEQ Figure \* ARABIC ">
        <w:r w:rsidR="009A04B0">
          <w:rPr>
            <w:noProof/>
          </w:rPr>
          <w:t>36</w:t>
        </w:r>
      </w:fldSimple>
      <w:bookmarkEnd w:id="455"/>
      <w:r w:rsidRPr="00272736">
        <w:t xml:space="preserve">: Percentage of court orders given for extended forensic care relative to short-term forensic care legal statuses, by DHB, 1 </w:t>
      </w:r>
      <w:bookmarkEnd w:id="456"/>
      <w:bookmarkEnd w:id="457"/>
      <w:bookmarkEnd w:id="458"/>
      <w:bookmarkEnd w:id="459"/>
      <w:bookmarkEnd w:id="460"/>
      <w:bookmarkEnd w:id="461"/>
      <w:r w:rsidRPr="00272736">
        <w:t>July 2020 to 30 June 2021</w:t>
      </w:r>
      <w:bookmarkEnd w:id="462"/>
      <w:bookmarkEnd w:id="463"/>
    </w:p>
    <w:p w14:paraId="02D016FF" w14:textId="77777777" w:rsidR="001236DF" w:rsidRPr="00702412" w:rsidRDefault="001236DF" w:rsidP="001236DF">
      <w:r>
        <w:rPr>
          <w:noProof/>
        </w:rPr>
        <w:drawing>
          <wp:inline distT="0" distB="0" distL="0" distR="0" wp14:anchorId="2B2F6AA0" wp14:editId="5895771F">
            <wp:extent cx="4857750" cy="2400300"/>
            <wp:effectExtent l="0" t="0" r="0" b="0"/>
            <wp:docPr id="62" name="Chart 62" descr="This bar graph shows that extended forensic care made up under 14.1% of the special patients at Canterbury, about 22% of special patients at Capital &amp; Coast, 16.4% in Southern, 25.6% in Waikato and 12.7% in Waitematā. The balance in all DHBs is short-term forensic care special patients.">
              <a:extLst xmlns:a="http://schemas.openxmlformats.org/drawingml/2006/main">
                <a:ext uri="{FF2B5EF4-FFF2-40B4-BE49-F238E27FC236}">
                  <a16:creationId xmlns:a16="http://schemas.microsoft.com/office/drawing/2014/main" id="{D6F9DE48-3E81-4858-B02D-F10F7707E1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40EDC94" w14:textId="77777777" w:rsidR="001236DF" w:rsidRDefault="001236DF" w:rsidP="001236DF">
      <w:pPr>
        <w:pStyle w:val="Note"/>
      </w:pPr>
      <w:r w:rsidRPr="00200234">
        <w:t>Note</w:t>
      </w:r>
      <w:r>
        <w:t>s</w:t>
      </w:r>
      <w:r w:rsidRPr="00200234">
        <w:t>: EFC = extended forensic care; SFC = short-term forensic care. Unlike previous data in this section, the data in this figure is based on a count of court orders for legal statuses rather than a count of people with a special patient legal status. One special patient may have many court orders for their legal status in the year, which could include both EFC and SFC, but each special patient</w:t>
      </w:r>
      <w:r>
        <w:t>’</w:t>
      </w:r>
      <w:r w:rsidRPr="00200234">
        <w:t xml:space="preserve">s legal status can only be in one category at any one time </w:t>
      </w:r>
      <w:r>
        <w:rPr>
          <w:rFonts w:cs="Segoe UI"/>
        </w:rPr>
        <w:t>—</w:t>
      </w:r>
      <w:r w:rsidRPr="00200234">
        <w:t xml:space="preserve"> EFC or SFC. Please use caution when comparing the counts of court orders for legal status with the counts of people with either </w:t>
      </w:r>
      <w:r w:rsidRPr="00272736">
        <w:t>EFC or SFC legal status. Due to their relatively small numbers of special patients, Hawke’s Bay, MidCentral and Whanganui DHBs are included under Capital &amp; Coast DHB, Taranaki DHB is included under Waikato DHB, and Nelson Marlborough DHB is included under Canterbury DHB.</w:t>
      </w:r>
    </w:p>
    <w:p w14:paraId="4930C620" w14:textId="77777777" w:rsidR="001236DF" w:rsidRPr="00200234" w:rsidRDefault="001236DF" w:rsidP="001236DF">
      <w:pPr>
        <w:pStyle w:val="Source"/>
      </w:pPr>
      <w:r w:rsidRPr="00200234">
        <w:t xml:space="preserve">Source: PRIMHD </w:t>
      </w:r>
      <w:r w:rsidRPr="00F3393F">
        <w:t>data</w:t>
      </w:r>
      <w:r>
        <w:t xml:space="preserve"> (extracted</w:t>
      </w:r>
      <w:r w:rsidRPr="00200234">
        <w:t xml:space="preserve"> </w:t>
      </w:r>
      <w:r>
        <w:t>3 June 2022)</w:t>
      </w:r>
      <w:r w:rsidRPr="00200234">
        <w:t>.</w:t>
      </w:r>
    </w:p>
    <w:p w14:paraId="6F2D9879" w14:textId="77777777" w:rsidR="001236DF" w:rsidRPr="00200234" w:rsidRDefault="001236DF" w:rsidP="00B86C90">
      <w:pPr>
        <w:pStyle w:val="Heading2"/>
        <w:spacing w:before="360"/>
      </w:pPr>
      <w:bookmarkStart w:id="464" w:name="_Toc65141630"/>
      <w:bookmarkStart w:id="465" w:name="_Toc75176454"/>
      <w:bookmarkStart w:id="466" w:name="_Toc115188819"/>
      <w:bookmarkStart w:id="467" w:name="_Toc87429921"/>
      <w:bookmarkStart w:id="468" w:name="_Toc88826969"/>
      <w:bookmarkStart w:id="469" w:name="_Toc115431717"/>
      <w:r>
        <w:t>Gender</w:t>
      </w:r>
      <w:r w:rsidRPr="00200234">
        <w:t>, age and ethnicity of special patients</w:t>
      </w:r>
      <w:bookmarkEnd w:id="464"/>
      <w:bookmarkEnd w:id="465"/>
      <w:bookmarkEnd w:id="466"/>
      <w:bookmarkEnd w:id="469"/>
      <w:r>
        <w:t xml:space="preserve"> </w:t>
      </w:r>
      <w:bookmarkEnd w:id="467"/>
      <w:bookmarkEnd w:id="468"/>
    </w:p>
    <w:p w14:paraId="433F493A" w14:textId="77777777" w:rsidR="001236DF" w:rsidRDefault="001236DF" w:rsidP="001236DF">
      <w:pPr>
        <w:keepNext/>
      </w:pPr>
      <w:r>
        <w:t>Special</w:t>
      </w:r>
      <w:r w:rsidRPr="00200234">
        <w:t xml:space="preserve"> patients were </w:t>
      </w:r>
      <w:r>
        <w:t>over 6</w:t>
      </w:r>
      <w:r w:rsidRPr="00200234">
        <w:t xml:space="preserve"> times more likely to be male (</w:t>
      </w:r>
      <w:r w:rsidRPr="00A00EDE">
        <w:t>86.1%) than female (13.9%)</w:t>
      </w:r>
      <w:r>
        <w:t xml:space="preserve"> (Figure 37)</w:t>
      </w:r>
      <w:r w:rsidRPr="00200234">
        <w:t>. The most common age group</w:t>
      </w:r>
      <w:r>
        <w:t xml:space="preserve"> </w:t>
      </w:r>
      <w:r w:rsidRPr="00200234">
        <w:t xml:space="preserve">for special patients </w:t>
      </w:r>
      <w:r>
        <w:t>from 1 July 2020 to 30 June 2021</w:t>
      </w:r>
      <w:r w:rsidRPr="00200234">
        <w:t xml:space="preserve"> was </w:t>
      </w:r>
      <w:r w:rsidRPr="00272736">
        <w:t>30–34</w:t>
      </w:r>
      <w:r w:rsidRPr="00200234">
        <w:t xml:space="preserve"> years (</w:t>
      </w:r>
      <w:r>
        <w:t>Figure </w:t>
      </w:r>
      <w:r>
        <w:rPr>
          <w:noProof/>
        </w:rPr>
        <w:t>38</w:t>
      </w:r>
      <w:r>
        <w:t>).</w:t>
      </w:r>
    </w:p>
    <w:p w14:paraId="6DE905DE" w14:textId="77777777" w:rsidR="001236DF" w:rsidRDefault="001236DF" w:rsidP="001236DF">
      <w:pPr>
        <w:keepNext/>
      </w:pPr>
    </w:p>
    <w:p w14:paraId="1F9300A6" w14:textId="15EC3CB4" w:rsidR="001236DF" w:rsidRDefault="001236DF" w:rsidP="001236DF">
      <w:pPr>
        <w:pStyle w:val="Figure"/>
      </w:pPr>
      <w:bookmarkStart w:id="470" w:name="_Ref84315086"/>
      <w:bookmarkStart w:id="471" w:name="_Ref84315078"/>
      <w:bookmarkStart w:id="472" w:name="_Toc85442591"/>
      <w:bookmarkStart w:id="473" w:name="_Toc85445940"/>
      <w:bookmarkStart w:id="474" w:name="_Toc87429984"/>
      <w:bookmarkStart w:id="475" w:name="_Toc88561416"/>
      <w:bookmarkStart w:id="476" w:name="_Toc115188876"/>
      <w:bookmarkStart w:id="477" w:name="_Toc115272579"/>
      <w:r>
        <w:t>Figure </w:t>
      </w:r>
      <w:fldSimple w:instr=" SEQ Figure \* ARABIC ">
        <w:r w:rsidR="009A04B0">
          <w:rPr>
            <w:noProof/>
          </w:rPr>
          <w:t>37</w:t>
        </w:r>
      </w:fldSimple>
      <w:bookmarkEnd w:id="470"/>
      <w:r w:rsidRPr="00200234">
        <w:t xml:space="preserve">: </w:t>
      </w:r>
      <w:r w:rsidRPr="00272736">
        <w:t xml:space="preserve">Number of special patients, by </w:t>
      </w:r>
      <w:r>
        <w:t>gender</w:t>
      </w:r>
      <w:r w:rsidRPr="00272736">
        <w:t xml:space="preserve">, 1 </w:t>
      </w:r>
      <w:bookmarkEnd w:id="471"/>
      <w:bookmarkEnd w:id="472"/>
      <w:bookmarkEnd w:id="473"/>
      <w:bookmarkEnd w:id="474"/>
      <w:bookmarkEnd w:id="475"/>
      <w:r w:rsidRPr="00272736">
        <w:t>July 2020 to 30 June 2021</w:t>
      </w:r>
      <w:bookmarkEnd w:id="476"/>
      <w:bookmarkEnd w:id="477"/>
    </w:p>
    <w:p w14:paraId="658CA277" w14:textId="77777777" w:rsidR="001236DF" w:rsidRDefault="001236DF" w:rsidP="001236DF">
      <w:r>
        <w:rPr>
          <w:noProof/>
        </w:rPr>
        <w:drawing>
          <wp:inline distT="0" distB="0" distL="0" distR="0" wp14:anchorId="69B4EC33" wp14:editId="5E630038">
            <wp:extent cx="3638550" cy="2295525"/>
            <wp:effectExtent l="0" t="0" r="0" b="0"/>
            <wp:docPr id="39" name="Chart 39" descr="This bar graph shows 364 males and 59 females were special patients.">
              <a:extLst xmlns:a="http://schemas.openxmlformats.org/drawingml/2006/main">
                <a:ext uri="{FF2B5EF4-FFF2-40B4-BE49-F238E27FC236}">
                  <a16:creationId xmlns:a16="http://schemas.microsoft.com/office/drawing/2014/main" id="{00000000-0008-0000-0B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5F4197FB" w14:textId="77777777" w:rsidR="001236DF" w:rsidRDefault="001236DF" w:rsidP="001236DF">
      <w:pPr>
        <w:pStyle w:val="Source"/>
      </w:pPr>
      <w:r w:rsidRPr="00200234">
        <w:t xml:space="preserve">Source: PRIMHD </w:t>
      </w:r>
      <w:r w:rsidRPr="00F3393F">
        <w:t>data</w:t>
      </w:r>
      <w:r>
        <w:t xml:space="preserve"> (extracted</w:t>
      </w:r>
      <w:r w:rsidRPr="00200234">
        <w:t xml:space="preserve"> </w:t>
      </w:r>
      <w:bookmarkStart w:id="478" w:name="_Ref65672441"/>
      <w:bookmarkStart w:id="479" w:name="_Toc63764785"/>
      <w:bookmarkStart w:id="480" w:name="_Toc75176499"/>
      <w:r>
        <w:t>3 June 2022).</w:t>
      </w:r>
    </w:p>
    <w:p w14:paraId="59A5C63F" w14:textId="6A757A9C" w:rsidR="001236DF" w:rsidRDefault="001236DF" w:rsidP="001236DF">
      <w:pPr>
        <w:pStyle w:val="Figure"/>
      </w:pPr>
      <w:bookmarkStart w:id="481" w:name="_Ref88550576"/>
      <w:bookmarkStart w:id="482" w:name="_Toc85442592"/>
      <w:bookmarkStart w:id="483" w:name="_Toc85445941"/>
      <w:bookmarkStart w:id="484" w:name="_Toc87429985"/>
      <w:bookmarkStart w:id="485" w:name="_Toc88561417"/>
      <w:bookmarkStart w:id="486" w:name="_Toc115188877"/>
      <w:bookmarkStart w:id="487" w:name="_Toc115272580"/>
      <w:r>
        <w:lastRenderedPageBreak/>
        <w:t>Figure </w:t>
      </w:r>
      <w:fldSimple w:instr=" SEQ Figure \* ARABIC ">
        <w:r w:rsidR="009A04B0">
          <w:rPr>
            <w:noProof/>
          </w:rPr>
          <w:t>38</w:t>
        </w:r>
      </w:fldSimple>
      <w:bookmarkEnd w:id="478"/>
      <w:bookmarkEnd w:id="481"/>
      <w:r w:rsidRPr="00200234">
        <w:t xml:space="preserve">: </w:t>
      </w:r>
      <w:r w:rsidRPr="00705603">
        <w:t>Total number of special patients, by age group, 1 J</w:t>
      </w:r>
      <w:bookmarkEnd w:id="479"/>
      <w:bookmarkEnd w:id="480"/>
      <w:bookmarkEnd w:id="482"/>
      <w:bookmarkEnd w:id="483"/>
      <w:bookmarkEnd w:id="484"/>
      <w:bookmarkEnd w:id="485"/>
      <w:r w:rsidRPr="00705603">
        <w:t>uly 2020 to 30 June 2021</w:t>
      </w:r>
      <w:bookmarkEnd w:id="486"/>
      <w:bookmarkEnd w:id="487"/>
    </w:p>
    <w:p w14:paraId="47B3514D" w14:textId="77777777" w:rsidR="001236DF" w:rsidRPr="006363A4" w:rsidRDefault="001236DF" w:rsidP="001236DF">
      <w:r>
        <w:rPr>
          <w:noProof/>
        </w:rPr>
        <w:drawing>
          <wp:inline distT="0" distB="0" distL="0" distR="0" wp14:anchorId="256C8D13" wp14:editId="124F7C30">
            <wp:extent cx="4591050" cy="2731770"/>
            <wp:effectExtent l="0" t="0" r="0" b="0"/>
            <wp:docPr id="40" name="Chart 40" descr="This bar graph shows that about 23 special patients were under age 20, about 57 were between 20 and 24, about 51 were 25-29, about 74 were 30-34, about 46 were 35-39 and 41 were 40-44, about 38 were 45-49, about 47 were 50-54, 22 were 55-59, about 11 were 60-64 and about 13 were over 65.">
              <a:extLst xmlns:a="http://schemas.openxmlformats.org/drawingml/2006/main">
                <a:ext uri="{FF2B5EF4-FFF2-40B4-BE49-F238E27FC236}">
                  <a16:creationId xmlns:a16="http://schemas.microsoft.com/office/drawing/2014/main" id="{00000000-0008-0000-0B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4542DED3" w14:textId="77777777" w:rsidR="001236DF" w:rsidRDefault="001236DF" w:rsidP="001236DF">
      <w:pPr>
        <w:pStyle w:val="Source"/>
      </w:pPr>
      <w:r w:rsidRPr="00200234">
        <w:t xml:space="preserve">Source: PRIMHD </w:t>
      </w:r>
      <w:r w:rsidRPr="00F3393F">
        <w:t>data</w:t>
      </w:r>
      <w:r>
        <w:t xml:space="preserve"> (extracted</w:t>
      </w:r>
      <w:r w:rsidRPr="00200234">
        <w:t xml:space="preserve"> </w:t>
      </w:r>
      <w:r>
        <w:t>3 June 2022).</w:t>
      </w:r>
    </w:p>
    <w:p w14:paraId="316B150D" w14:textId="77777777" w:rsidR="001236DF" w:rsidRDefault="001236DF" w:rsidP="001236DF"/>
    <w:p w14:paraId="741369BD" w14:textId="77777777" w:rsidR="001236DF" w:rsidRDefault="001236DF" w:rsidP="001236DF">
      <w:r>
        <w:t>Among</w:t>
      </w:r>
      <w:r w:rsidRPr="00200234">
        <w:t xml:space="preserve"> people subject to a special patient order</w:t>
      </w:r>
      <w:r>
        <w:t>, mo</w:t>
      </w:r>
      <w:r w:rsidRPr="00B65705">
        <w:t>st (51.5%) were Māori (Figure </w:t>
      </w:r>
      <w:r w:rsidRPr="00B65705">
        <w:rPr>
          <w:noProof/>
        </w:rPr>
        <w:t>39</w:t>
      </w:r>
      <w:r w:rsidRPr="00B65705">
        <w:t>). Māori represented the highest proportion of both extended forensic care (43.4%) and short-term forensic care (56.1%) special patients.</w:t>
      </w:r>
      <w:r w:rsidRPr="00200234">
        <w:t xml:space="preserve"> </w:t>
      </w:r>
    </w:p>
    <w:p w14:paraId="27CC6595" w14:textId="77777777" w:rsidR="001236DF" w:rsidRDefault="001236DF" w:rsidP="001236DF"/>
    <w:p w14:paraId="6761CA96" w14:textId="77777777" w:rsidR="001236DF" w:rsidRPr="00200234" w:rsidRDefault="001236DF" w:rsidP="001236DF">
      <w:r>
        <w:t>Figure </w:t>
      </w:r>
      <w:r>
        <w:rPr>
          <w:noProof/>
        </w:rPr>
        <w:t>40</w:t>
      </w:r>
      <w:r w:rsidRPr="00200234">
        <w:t xml:space="preserve"> shows the number of special patients in each ethnic group for each of these</w:t>
      </w:r>
      <w:r>
        <w:t xml:space="preserve"> patient</w:t>
      </w:r>
      <w:r w:rsidRPr="00200234">
        <w:t xml:space="preserve"> types </w:t>
      </w:r>
      <w:r>
        <w:t xml:space="preserve">in </w:t>
      </w:r>
      <w:r w:rsidRPr="00200234">
        <w:t>forensic care</w:t>
      </w:r>
      <w:r>
        <w:t>.</w:t>
      </w:r>
    </w:p>
    <w:p w14:paraId="2547A7EA" w14:textId="77777777" w:rsidR="00B86C90" w:rsidRDefault="00B86C90" w:rsidP="001236DF">
      <w:pPr>
        <w:pStyle w:val="Figure"/>
      </w:pPr>
      <w:bookmarkStart w:id="488" w:name="_Ref65672461"/>
      <w:bookmarkStart w:id="489" w:name="_Toc63764787"/>
      <w:bookmarkStart w:id="490" w:name="_Toc75176500"/>
      <w:bookmarkStart w:id="491" w:name="_Toc85442593"/>
      <w:bookmarkStart w:id="492" w:name="_Toc85445942"/>
      <w:bookmarkStart w:id="493" w:name="_Toc87429986"/>
      <w:bookmarkStart w:id="494" w:name="_Toc88561418"/>
      <w:bookmarkStart w:id="495" w:name="_Toc115188878"/>
    </w:p>
    <w:p w14:paraId="2DA5C4F2" w14:textId="4157C577" w:rsidR="001236DF" w:rsidRDefault="001236DF" w:rsidP="001236DF">
      <w:pPr>
        <w:pStyle w:val="Figure"/>
      </w:pPr>
      <w:bookmarkStart w:id="496" w:name="_Toc115272581"/>
      <w:r>
        <w:t>Figure </w:t>
      </w:r>
      <w:fldSimple w:instr=" SEQ Figure \* ARABIC ">
        <w:r w:rsidR="009A04B0">
          <w:rPr>
            <w:noProof/>
          </w:rPr>
          <w:t>39</w:t>
        </w:r>
      </w:fldSimple>
      <w:bookmarkEnd w:id="488"/>
      <w:r w:rsidRPr="00200234">
        <w:t xml:space="preserve">: </w:t>
      </w:r>
      <w:r w:rsidRPr="00962CE9">
        <w:t xml:space="preserve">Percentage of special patients, by ethnicity, 1 </w:t>
      </w:r>
      <w:bookmarkEnd w:id="489"/>
      <w:bookmarkEnd w:id="490"/>
      <w:bookmarkEnd w:id="491"/>
      <w:bookmarkEnd w:id="492"/>
      <w:bookmarkEnd w:id="493"/>
      <w:bookmarkEnd w:id="494"/>
      <w:r w:rsidRPr="00962CE9">
        <w:t>July 2020 to 30 June 2021</w:t>
      </w:r>
      <w:bookmarkEnd w:id="495"/>
      <w:bookmarkEnd w:id="496"/>
    </w:p>
    <w:p w14:paraId="4B813355" w14:textId="77777777" w:rsidR="001236DF" w:rsidRDefault="001236DF" w:rsidP="001236DF">
      <w:r>
        <w:rPr>
          <w:noProof/>
        </w:rPr>
        <w:drawing>
          <wp:inline distT="0" distB="0" distL="0" distR="0" wp14:anchorId="7C943597" wp14:editId="5941AB9A">
            <wp:extent cx="4324350" cy="2371725"/>
            <wp:effectExtent l="0" t="0" r="0" b="0"/>
            <wp:docPr id="41" name="Chart 41" descr="This bar graph shows that in 52% of special patients were Māori, 11% were Pacific peoples, 3% were Asian and 34% were of other ethnicities.">
              <a:extLst xmlns:a="http://schemas.openxmlformats.org/drawingml/2006/main">
                <a:ext uri="{FF2B5EF4-FFF2-40B4-BE49-F238E27FC236}">
                  <a16:creationId xmlns:a16="http://schemas.microsoft.com/office/drawing/2014/main"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369B1F4B" w14:textId="77777777" w:rsidR="001236DF" w:rsidRPr="00200234" w:rsidRDefault="001236DF" w:rsidP="001236DF">
      <w:pPr>
        <w:pStyle w:val="Source"/>
      </w:pPr>
      <w:r w:rsidRPr="00200234">
        <w:t xml:space="preserve">Source: PRIMHD </w:t>
      </w:r>
      <w:r w:rsidRPr="00F3393F">
        <w:t>data</w:t>
      </w:r>
      <w:r>
        <w:t xml:space="preserve"> (extracted</w:t>
      </w:r>
      <w:r w:rsidRPr="00200234">
        <w:t xml:space="preserve"> </w:t>
      </w:r>
      <w:r>
        <w:t>3 June 2022)</w:t>
      </w:r>
      <w:r w:rsidRPr="00200234">
        <w:t>.</w:t>
      </w:r>
    </w:p>
    <w:p w14:paraId="780C4ACC" w14:textId="77777777" w:rsidR="001236DF" w:rsidRPr="00200234" w:rsidRDefault="001236DF" w:rsidP="001236DF"/>
    <w:p w14:paraId="0A9E6A0D" w14:textId="798AAD51" w:rsidR="001236DF" w:rsidRDefault="001236DF" w:rsidP="001236DF">
      <w:pPr>
        <w:pStyle w:val="Figure"/>
      </w:pPr>
      <w:bookmarkStart w:id="497" w:name="_Ref65672513"/>
      <w:bookmarkStart w:id="498" w:name="_Toc63764789"/>
      <w:bookmarkStart w:id="499" w:name="_Toc75176501"/>
      <w:bookmarkStart w:id="500" w:name="_Toc85442594"/>
      <w:bookmarkStart w:id="501" w:name="_Toc85445943"/>
      <w:bookmarkStart w:id="502" w:name="_Toc87429987"/>
      <w:bookmarkStart w:id="503" w:name="_Toc88561419"/>
      <w:bookmarkStart w:id="504" w:name="_Toc115188879"/>
      <w:bookmarkStart w:id="505" w:name="_Toc115272582"/>
      <w:r>
        <w:lastRenderedPageBreak/>
        <w:t>Figure </w:t>
      </w:r>
      <w:fldSimple w:instr=" SEQ Figure \* ARABIC ">
        <w:r w:rsidR="009A04B0">
          <w:rPr>
            <w:noProof/>
          </w:rPr>
          <w:t>40</w:t>
        </w:r>
      </w:fldSimple>
      <w:bookmarkEnd w:id="497"/>
      <w:r w:rsidRPr="00200234">
        <w:t>: Number of special patients, by ethnicity and special patient type, 1 J</w:t>
      </w:r>
      <w:bookmarkEnd w:id="498"/>
      <w:bookmarkEnd w:id="499"/>
      <w:bookmarkEnd w:id="500"/>
      <w:bookmarkEnd w:id="501"/>
      <w:bookmarkEnd w:id="502"/>
      <w:bookmarkEnd w:id="503"/>
      <w:r>
        <w:t>uly 2020 to 30 June 2021</w:t>
      </w:r>
      <w:bookmarkEnd w:id="504"/>
      <w:bookmarkEnd w:id="505"/>
    </w:p>
    <w:p w14:paraId="7A572499" w14:textId="77777777" w:rsidR="001236DF" w:rsidRPr="001C0BB4" w:rsidRDefault="001236DF" w:rsidP="001236DF">
      <w:r>
        <w:rPr>
          <w:noProof/>
        </w:rPr>
        <w:drawing>
          <wp:inline distT="0" distB="0" distL="0" distR="0" wp14:anchorId="06A773BC" wp14:editId="38CEF644">
            <wp:extent cx="5246370" cy="2686050"/>
            <wp:effectExtent l="0" t="0" r="0" b="0"/>
            <wp:docPr id="54" name="Chart 54" descr="This bar graph shows that 218 special patients were Māori, with 72 being extended forensic care and 151 being short-term. 46 special patients were Pacific peoples, with 23 being extended forensic care and 25 being short-term. 14 special patients were Asian, with 6 being extended forensic care and 9 being short-term. 145 special patients were of other ethnicities, with 65 being extended forensic care and 84 being short-term.">
              <a:extLst xmlns:a="http://schemas.openxmlformats.org/drawingml/2006/main">
                <a:ext uri="{FF2B5EF4-FFF2-40B4-BE49-F238E27FC236}">
                  <a16:creationId xmlns:a16="http://schemas.microsoft.com/office/drawing/2014/main" id="{00000000-0008-0000-0B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7C240467" w14:textId="77777777" w:rsidR="001236DF" w:rsidRPr="00200234" w:rsidRDefault="001236DF" w:rsidP="001236DF">
      <w:pPr>
        <w:pStyle w:val="Note"/>
      </w:pPr>
      <w:r w:rsidRPr="00200234">
        <w:t xml:space="preserve">Notes: EFC = extended forensic care; SFC = short-term forensic care. A </w:t>
      </w:r>
      <w:r>
        <w:t xml:space="preserve">single </w:t>
      </w:r>
      <w:r w:rsidRPr="00200234">
        <w:t>patient may be represented under both the EFC and SFC categories in this graph.</w:t>
      </w:r>
    </w:p>
    <w:p w14:paraId="0CC9E951" w14:textId="77777777" w:rsidR="001236DF" w:rsidRDefault="001236DF" w:rsidP="001236DF">
      <w:pPr>
        <w:pStyle w:val="Source"/>
      </w:pPr>
      <w:r w:rsidRPr="00200234">
        <w:t xml:space="preserve">Source: PRIMHD </w:t>
      </w:r>
      <w:r w:rsidRPr="00F3393F">
        <w:t>data</w:t>
      </w:r>
      <w:r>
        <w:t xml:space="preserve"> (extracted</w:t>
      </w:r>
      <w:r w:rsidRPr="00200234">
        <w:t xml:space="preserve"> </w:t>
      </w:r>
      <w:r>
        <w:t>3 June 2022)</w:t>
      </w:r>
      <w:r w:rsidRPr="00200234">
        <w:t>.</w:t>
      </w:r>
      <w:bookmarkStart w:id="506" w:name="_Toc65141631"/>
      <w:bookmarkStart w:id="507" w:name="_Toc75176455"/>
    </w:p>
    <w:p w14:paraId="18EFF747" w14:textId="77777777" w:rsidR="001236DF" w:rsidRPr="00200234" w:rsidRDefault="001236DF" w:rsidP="001236DF">
      <w:pPr>
        <w:pStyle w:val="Heading2"/>
      </w:pPr>
      <w:bookmarkStart w:id="508" w:name="_Toc87429922"/>
      <w:bookmarkStart w:id="509" w:name="_Toc88826970"/>
      <w:bookmarkStart w:id="510" w:name="_Toc115188820"/>
      <w:bookmarkStart w:id="511" w:name="_Toc115431718"/>
      <w:r w:rsidRPr="00200234">
        <w:t>Decisions about leave and change of legal status for special and restricted patients</w:t>
      </w:r>
      <w:bookmarkEnd w:id="506"/>
      <w:bookmarkEnd w:id="507"/>
      <w:bookmarkEnd w:id="508"/>
      <w:bookmarkEnd w:id="509"/>
      <w:bookmarkEnd w:id="510"/>
      <w:bookmarkEnd w:id="511"/>
    </w:p>
    <w:p w14:paraId="48EE1F02" w14:textId="77777777" w:rsidR="001236DF" w:rsidRPr="00200234" w:rsidRDefault="001236DF" w:rsidP="001236DF">
      <w:r w:rsidRPr="00200234">
        <w:t xml:space="preserve">The Director of Mental Health </w:t>
      </w:r>
      <w:r>
        <w:t xml:space="preserve">(the Director) </w:t>
      </w:r>
      <w:r w:rsidRPr="00200234">
        <w:t xml:space="preserve">has a central role in managing special patients and restricted patients. The Director must be notified </w:t>
      </w:r>
      <w:r>
        <w:t>when</w:t>
      </w:r>
      <w:r w:rsidRPr="00200234">
        <w:t xml:space="preserve"> special and restricted patients </w:t>
      </w:r>
      <w:r>
        <w:t xml:space="preserve">are admitted, discharged or transferred </w:t>
      </w:r>
      <w:r w:rsidRPr="00200234">
        <w:t xml:space="preserve">and </w:t>
      </w:r>
      <w:r>
        <w:t xml:space="preserve">when </w:t>
      </w:r>
      <w:r w:rsidRPr="00200234">
        <w:t xml:space="preserve">certain incidents involving these people </w:t>
      </w:r>
      <w:r>
        <w:t xml:space="preserve">occur </w:t>
      </w:r>
      <w:r w:rsidRPr="00200234">
        <w:t xml:space="preserve">(section 43 of the Mental Health Act). The Director may authorise the transfer of patients between DHBs under section 49 of the Mental Health Act or grant leave for any period no longer than </w:t>
      </w:r>
      <w:r>
        <w:t>7</w:t>
      </w:r>
      <w:r w:rsidRPr="00200234">
        <w:t xml:space="preserve"> days for certain special and restricted patients (section 52).</w:t>
      </w:r>
    </w:p>
    <w:p w14:paraId="72285CC0" w14:textId="77777777" w:rsidR="001236DF" w:rsidRPr="00200234" w:rsidRDefault="001236DF" w:rsidP="001236DF"/>
    <w:p w14:paraId="117B2777" w14:textId="77777777" w:rsidR="001236DF" w:rsidRPr="00200234" w:rsidRDefault="001236DF" w:rsidP="001236DF">
      <w:r w:rsidRPr="00200234">
        <w:t xml:space="preserve">Under section 50 of the Mental Health Act, the Minister of Health can grant periods of leave for longer than </w:t>
      </w:r>
      <w:r>
        <w:t>7</w:t>
      </w:r>
      <w:r w:rsidRPr="00200234">
        <w:t xml:space="preserve"> days to certain categories of special patients. The Director briefs the Minister of Health when requests for leave are made. The first period of ministerial section 50 leave is usually granted for a period of </w:t>
      </w:r>
      <w:r>
        <w:t>6</w:t>
      </w:r>
      <w:r w:rsidRPr="00200234">
        <w:t xml:space="preserve"> months, with the possibility of further applications for ministerial leave for a period of 12 months.</w:t>
      </w:r>
    </w:p>
    <w:p w14:paraId="3CA5C17E" w14:textId="77777777" w:rsidR="001236DF" w:rsidRPr="00200234" w:rsidRDefault="001236DF" w:rsidP="001236DF"/>
    <w:p w14:paraId="3DFCE0A1" w14:textId="77777777" w:rsidR="001236DF" w:rsidRPr="00200234" w:rsidRDefault="001236DF" w:rsidP="001236DF">
      <w:r>
        <w:t>A s</w:t>
      </w:r>
      <w:r w:rsidRPr="00200234">
        <w:t xml:space="preserve">pecial patient found not guilty by reason of insanity may be considered for a change of legal status if it is determined that their detention as a special patient is no longer necessary to safeguard the interests of </w:t>
      </w:r>
      <w:r>
        <w:t>themselves</w:t>
      </w:r>
      <w:r w:rsidRPr="00200234">
        <w:t xml:space="preserve"> or the public. This will usually occur after the person has been living successfully in the community on ministerial long leave for several years. Services send applications for changes of legal status to the Director. After careful consideration, the Director makes a recommendation for the Minister</w:t>
      </w:r>
      <w:r>
        <w:t xml:space="preserve"> of Health’</w:t>
      </w:r>
      <w:r w:rsidRPr="00200234">
        <w:t>s decision about a person</w:t>
      </w:r>
      <w:r>
        <w:t>’</w:t>
      </w:r>
      <w:r w:rsidRPr="00200234">
        <w:t>s legal status.</w:t>
      </w:r>
    </w:p>
    <w:p w14:paraId="294262DF" w14:textId="77777777" w:rsidR="001236DF" w:rsidRPr="00200234" w:rsidRDefault="001236DF" w:rsidP="001236DF"/>
    <w:p w14:paraId="72D7CB71" w14:textId="77777777" w:rsidR="001236DF" w:rsidRDefault="001236DF" w:rsidP="001236DF">
      <w:r w:rsidRPr="004B150F">
        <w:t>Table </w:t>
      </w:r>
      <w:r>
        <w:rPr>
          <w:noProof/>
        </w:rPr>
        <w:t>14</w:t>
      </w:r>
      <w:r w:rsidRPr="00200234">
        <w:t xml:space="preserve"> shows the number of applications for section 50 long leave, revocation of leave and reclassification that the Office </w:t>
      </w:r>
      <w:r>
        <w:t xml:space="preserve">of the Director of Mental Health and Addiction Services </w:t>
      </w:r>
      <w:r w:rsidRPr="00200234">
        <w:t>processed</w:t>
      </w:r>
      <w:r>
        <w:t xml:space="preserve"> through to the Minister of Health</w:t>
      </w:r>
      <w:r w:rsidRPr="00200234">
        <w:t xml:space="preserve"> </w:t>
      </w:r>
      <w:r>
        <w:t>from 1 July 2020 to 30 June 2021</w:t>
      </w:r>
      <w:r w:rsidRPr="00200234">
        <w:t>.</w:t>
      </w:r>
    </w:p>
    <w:p w14:paraId="5BA4A45C" w14:textId="77777777" w:rsidR="001236DF" w:rsidRPr="00200234" w:rsidRDefault="001236DF" w:rsidP="001236DF"/>
    <w:p w14:paraId="5642566E" w14:textId="44834EAE" w:rsidR="001236DF" w:rsidRDefault="001236DF" w:rsidP="001236DF">
      <w:pPr>
        <w:pStyle w:val="Table"/>
        <w:spacing w:before="0"/>
      </w:pPr>
      <w:bookmarkStart w:id="512" w:name="_Ref85451994"/>
      <w:bookmarkStart w:id="513" w:name="_Toc87430011"/>
      <w:bookmarkStart w:id="514" w:name="_Toc88561368"/>
      <w:bookmarkStart w:id="515" w:name="_Toc115188903"/>
      <w:bookmarkStart w:id="516" w:name="_Toc115272605"/>
      <w:r w:rsidRPr="004B150F">
        <w:t>Table </w:t>
      </w:r>
      <w:fldSimple w:instr=" SEQ Table \* ARABIC ">
        <w:r w:rsidR="009A04B0">
          <w:rPr>
            <w:noProof/>
          </w:rPr>
          <w:t>14</w:t>
        </w:r>
      </w:fldSimple>
      <w:bookmarkEnd w:id="512"/>
      <w:r w:rsidRPr="004B150F">
        <w:t xml:space="preserve">: Number of section 50 long leave, revocation and reclassification applications </w:t>
      </w:r>
      <w:r>
        <w:t>received</w:t>
      </w:r>
      <w:r w:rsidRPr="004B150F">
        <w:t xml:space="preserve"> </w:t>
      </w:r>
      <w:r>
        <w:t>by</w:t>
      </w:r>
      <w:r w:rsidRPr="004B150F">
        <w:t xml:space="preserve"> the Minister of Health for special and restricted patients, 1 J</w:t>
      </w:r>
      <w:bookmarkEnd w:id="513"/>
      <w:bookmarkEnd w:id="514"/>
      <w:r w:rsidRPr="004B150F">
        <w:t>uly 2020 to 30 June 2021</w:t>
      </w:r>
      <w:bookmarkEnd w:id="515"/>
      <w:bookmarkEnd w:id="516"/>
    </w:p>
    <w:tbl>
      <w:tblPr>
        <w:tblW w:w="8023" w:type="dxa"/>
        <w:tblInd w:w="57" w:type="dxa"/>
        <w:tblLayout w:type="fixed"/>
        <w:tblCellMar>
          <w:left w:w="57" w:type="dxa"/>
          <w:right w:w="57" w:type="dxa"/>
        </w:tblCellMar>
        <w:tblLook w:val="01E0" w:firstRow="1" w:lastRow="1" w:firstColumn="1" w:lastColumn="1" w:noHBand="0" w:noVBand="0"/>
      </w:tblPr>
      <w:tblGrid>
        <w:gridCol w:w="4905"/>
        <w:gridCol w:w="3118"/>
      </w:tblGrid>
      <w:tr w:rsidR="001236DF" w:rsidRPr="008E5A9E" w14:paraId="4CDFFC42" w14:textId="77777777" w:rsidTr="00B86C90">
        <w:trPr>
          <w:cantSplit/>
        </w:trPr>
        <w:tc>
          <w:tcPr>
            <w:tcW w:w="4905" w:type="dxa"/>
            <w:shd w:val="clear" w:color="auto" w:fill="D9D9D9"/>
          </w:tcPr>
          <w:p w14:paraId="49FAA136" w14:textId="77777777" w:rsidR="001236DF" w:rsidRPr="008E5A9E" w:rsidRDefault="001236DF" w:rsidP="001236DF">
            <w:pPr>
              <w:pStyle w:val="TableText"/>
              <w:keepNext/>
              <w:rPr>
                <w:b/>
              </w:rPr>
            </w:pPr>
            <w:bookmarkStart w:id="517" w:name="_Hlk62740241"/>
            <w:r w:rsidRPr="008E5A9E">
              <w:rPr>
                <w:b/>
              </w:rPr>
              <w:t>Type of request</w:t>
            </w:r>
          </w:p>
        </w:tc>
        <w:tc>
          <w:tcPr>
            <w:tcW w:w="3118" w:type="dxa"/>
            <w:shd w:val="clear" w:color="auto" w:fill="D9D9D9"/>
          </w:tcPr>
          <w:p w14:paraId="2F0779FF" w14:textId="77777777" w:rsidR="001236DF" w:rsidRPr="008E5A9E" w:rsidRDefault="001236DF" w:rsidP="001236DF">
            <w:pPr>
              <w:pStyle w:val="TableText"/>
              <w:keepNext/>
              <w:jc w:val="center"/>
              <w:rPr>
                <w:b/>
              </w:rPr>
            </w:pPr>
            <w:r w:rsidRPr="008E5A9E">
              <w:rPr>
                <w:b/>
              </w:rPr>
              <w:t>Number completed</w:t>
            </w:r>
          </w:p>
        </w:tc>
      </w:tr>
      <w:tr w:rsidR="001236DF" w:rsidRPr="005D237F" w14:paraId="00B81E0C" w14:textId="77777777" w:rsidTr="00B86C90">
        <w:trPr>
          <w:cantSplit/>
        </w:trPr>
        <w:tc>
          <w:tcPr>
            <w:tcW w:w="4905" w:type="dxa"/>
            <w:tcBorders>
              <w:bottom w:val="single" w:sz="4" w:space="0" w:color="A6A6A6"/>
            </w:tcBorders>
          </w:tcPr>
          <w:p w14:paraId="47DD5AE6" w14:textId="77777777" w:rsidR="001236DF" w:rsidRPr="005D237F" w:rsidRDefault="001236DF" w:rsidP="001236DF">
            <w:pPr>
              <w:pStyle w:val="TableText"/>
              <w:keepNext/>
            </w:pPr>
            <w:r w:rsidRPr="005D237F">
              <w:t>Initial ministerial section 50 leave applications approved</w:t>
            </w:r>
          </w:p>
        </w:tc>
        <w:tc>
          <w:tcPr>
            <w:tcW w:w="3118" w:type="dxa"/>
            <w:tcBorders>
              <w:bottom w:val="single" w:sz="4" w:space="0" w:color="A6A6A6"/>
            </w:tcBorders>
          </w:tcPr>
          <w:p w14:paraId="11F50B1D" w14:textId="77777777" w:rsidR="001236DF" w:rsidRPr="005D237F" w:rsidRDefault="001236DF" w:rsidP="001236DF">
            <w:pPr>
              <w:pStyle w:val="TableText"/>
              <w:keepNext/>
              <w:tabs>
                <w:tab w:val="decimal" w:pos="1360"/>
              </w:tabs>
              <w:jc w:val="center"/>
            </w:pPr>
            <w:r>
              <w:t>9</w:t>
            </w:r>
          </w:p>
        </w:tc>
      </w:tr>
      <w:tr w:rsidR="001236DF" w:rsidRPr="005D237F" w14:paraId="1F9069AA" w14:textId="77777777" w:rsidTr="00B86C90">
        <w:trPr>
          <w:cantSplit/>
        </w:trPr>
        <w:tc>
          <w:tcPr>
            <w:tcW w:w="4905" w:type="dxa"/>
            <w:tcBorders>
              <w:top w:val="single" w:sz="4" w:space="0" w:color="A6A6A6"/>
              <w:bottom w:val="single" w:sz="4" w:space="0" w:color="A6A6A6"/>
            </w:tcBorders>
          </w:tcPr>
          <w:p w14:paraId="326562EA" w14:textId="77777777" w:rsidR="001236DF" w:rsidRPr="005D237F" w:rsidRDefault="001236DF" w:rsidP="001236DF">
            <w:pPr>
              <w:pStyle w:val="TableText"/>
              <w:keepNext/>
            </w:pPr>
            <w:r w:rsidRPr="005D237F">
              <w:t>Initial ministerial section 50 leave applications not approved</w:t>
            </w:r>
          </w:p>
        </w:tc>
        <w:tc>
          <w:tcPr>
            <w:tcW w:w="3118" w:type="dxa"/>
            <w:tcBorders>
              <w:top w:val="single" w:sz="4" w:space="0" w:color="A6A6A6"/>
              <w:bottom w:val="single" w:sz="4" w:space="0" w:color="A6A6A6"/>
            </w:tcBorders>
          </w:tcPr>
          <w:p w14:paraId="76907975" w14:textId="77777777" w:rsidR="001236DF" w:rsidRPr="005D237F" w:rsidRDefault="001236DF" w:rsidP="001236DF">
            <w:pPr>
              <w:pStyle w:val="TableText"/>
              <w:keepNext/>
              <w:tabs>
                <w:tab w:val="decimal" w:pos="1360"/>
              </w:tabs>
              <w:jc w:val="center"/>
            </w:pPr>
            <w:r>
              <w:t>0</w:t>
            </w:r>
          </w:p>
        </w:tc>
      </w:tr>
      <w:tr w:rsidR="001236DF" w:rsidRPr="005D237F" w14:paraId="73497ED7" w14:textId="77777777" w:rsidTr="00B86C90">
        <w:trPr>
          <w:cantSplit/>
        </w:trPr>
        <w:tc>
          <w:tcPr>
            <w:tcW w:w="4905" w:type="dxa"/>
            <w:tcBorders>
              <w:top w:val="single" w:sz="4" w:space="0" w:color="A6A6A6"/>
              <w:bottom w:val="single" w:sz="4" w:space="0" w:color="A6A6A6"/>
            </w:tcBorders>
          </w:tcPr>
          <w:p w14:paraId="02326D10" w14:textId="77777777" w:rsidR="001236DF" w:rsidRPr="005D237F" w:rsidRDefault="001236DF" w:rsidP="001236DF">
            <w:pPr>
              <w:pStyle w:val="TableText"/>
              <w:keepNext/>
            </w:pPr>
            <w:r w:rsidRPr="005D237F">
              <w:t>Ministerial section 50 leave revocations (initial and further)</w:t>
            </w:r>
          </w:p>
        </w:tc>
        <w:tc>
          <w:tcPr>
            <w:tcW w:w="3118" w:type="dxa"/>
            <w:tcBorders>
              <w:top w:val="single" w:sz="4" w:space="0" w:color="A6A6A6"/>
              <w:bottom w:val="single" w:sz="4" w:space="0" w:color="A6A6A6"/>
            </w:tcBorders>
          </w:tcPr>
          <w:p w14:paraId="638EAB2B" w14:textId="77777777" w:rsidR="001236DF" w:rsidRPr="005D237F" w:rsidRDefault="001236DF" w:rsidP="001236DF">
            <w:pPr>
              <w:pStyle w:val="TableText"/>
              <w:keepNext/>
              <w:tabs>
                <w:tab w:val="decimal" w:pos="1360"/>
              </w:tabs>
              <w:jc w:val="center"/>
            </w:pPr>
            <w:r>
              <w:t>3</w:t>
            </w:r>
          </w:p>
        </w:tc>
      </w:tr>
      <w:tr w:rsidR="001236DF" w:rsidRPr="005D237F" w14:paraId="7893935C" w14:textId="77777777" w:rsidTr="00B86C90">
        <w:trPr>
          <w:cantSplit/>
        </w:trPr>
        <w:tc>
          <w:tcPr>
            <w:tcW w:w="4905" w:type="dxa"/>
            <w:tcBorders>
              <w:top w:val="single" w:sz="4" w:space="0" w:color="A6A6A6"/>
              <w:bottom w:val="single" w:sz="4" w:space="0" w:color="A6A6A6"/>
            </w:tcBorders>
          </w:tcPr>
          <w:p w14:paraId="6593F65D" w14:textId="77777777" w:rsidR="001236DF" w:rsidRPr="005D237F" w:rsidRDefault="001236DF" w:rsidP="001236DF">
            <w:pPr>
              <w:pStyle w:val="TableText"/>
              <w:keepNext/>
            </w:pPr>
            <w:r w:rsidRPr="005D237F">
              <w:t>Further ministerial section 50 leave applications approved</w:t>
            </w:r>
          </w:p>
        </w:tc>
        <w:tc>
          <w:tcPr>
            <w:tcW w:w="3118" w:type="dxa"/>
            <w:tcBorders>
              <w:top w:val="single" w:sz="4" w:space="0" w:color="A6A6A6"/>
              <w:bottom w:val="single" w:sz="4" w:space="0" w:color="A6A6A6"/>
            </w:tcBorders>
          </w:tcPr>
          <w:p w14:paraId="785F3C27" w14:textId="77777777" w:rsidR="001236DF" w:rsidRPr="005D237F" w:rsidRDefault="001236DF" w:rsidP="001236DF">
            <w:pPr>
              <w:pStyle w:val="TableText"/>
              <w:keepNext/>
              <w:tabs>
                <w:tab w:val="decimal" w:pos="1360"/>
              </w:tabs>
              <w:jc w:val="center"/>
            </w:pPr>
            <w:r>
              <w:t>23</w:t>
            </w:r>
          </w:p>
        </w:tc>
      </w:tr>
      <w:tr w:rsidR="001236DF" w:rsidRPr="005D237F" w14:paraId="0B1E6B4D" w14:textId="77777777" w:rsidTr="00B86C90">
        <w:trPr>
          <w:cantSplit/>
        </w:trPr>
        <w:tc>
          <w:tcPr>
            <w:tcW w:w="4905" w:type="dxa"/>
            <w:tcBorders>
              <w:top w:val="single" w:sz="4" w:space="0" w:color="A6A6A6"/>
              <w:bottom w:val="single" w:sz="4" w:space="0" w:color="A6A6A6"/>
            </w:tcBorders>
          </w:tcPr>
          <w:p w14:paraId="50891F8A" w14:textId="77777777" w:rsidR="001236DF" w:rsidRPr="005D237F" w:rsidRDefault="001236DF" w:rsidP="001236DF">
            <w:pPr>
              <w:pStyle w:val="TableText"/>
              <w:keepNext/>
            </w:pPr>
            <w:r w:rsidRPr="005D237F">
              <w:t>Further ministerial section 50 applications not approved</w:t>
            </w:r>
          </w:p>
        </w:tc>
        <w:tc>
          <w:tcPr>
            <w:tcW w:w="3118" w:type="dxa"/>
            <w:tcBorders>
              <w:top w:val="single" w:sz="4" w:space="0" w:color="A6A6A6"/>
              <w:bottom w:val="single" w:sz="4" w:space="0" w:color="A6A6A6"/>
            </w:tcBorders>
          </w:tcPr>
          <w:p w14:paraId="378BD95C" w14:textId="77777777" w:rsidR="001236DF" w:rsidRPr="005D237F" w:rsidRDefault="001236DF" w:rsidP="001236DF">
            <w:pPr>
              <w:pStyle w:val="TableText"/>
              <w:keepNext/>
              <w:tabs>
                <w:tab w:val="decimal" w:pos="1360"/>
              </w:tabs>
              <w:jc w:val="center"/>
            </w:pPr>
            <w:r>
              <w:t>0</w:t>
            </w:r>
          </w:p>
        </w:tc>
      </w:tr>
      <w:tr w:rsidR="001236DF" w:rsidRPr="005D237F" w14:paraId="6460B9D4" w14:textId="77777777" w:rsidTr="00B86C90">
        <w:trPr>
          <w:cantSplit/>
        </w:trPr>
        <w:tc>
          <w:tcPr>
            <w:tcW w:w="4905" w:type="dxa"/>
            <w:tcBorders>
              <w:top w:val="single" w:sz="4" w:space="0" w:color="A6A6A6"/>
              <w:bottom w:val="single" w:sz="4" w:space="0" w:color="A6A6A6"/>
            </w:tcBorders>
          </w:tcPr>
          <w:p w14:paraId="29072A63" w14:textId="77777777" w:rsidR="001236DF" w:rsidRPr="005D237F" w:rsidRDefault="001236DF" w:rsidP="001236DF">
            <w:pPr>
              <w:pStyle w:val="TableText"/>
              <w:keepNext/>
            </w:pPr>
            <w:r w:rsidRPr="005D237F">
              <w:t>Change of legal status applications approved</w:t>
            </w:r>
          </w:p>
        </w:tc>
        <w:tc>
          <w:tcPr>
            <w:tcW w:w="3118" w:type="dxa"/>
            <w:tcBorders>
              <w:top w:val="single" w:sz="4" w:space="0" w:color="A6A6A6"/>
              <w:bottom w:val="single" w:sz="4" w:space="0" w:color="A6A6A6"/>
            </w:tcBorders>
          </w:tcPr>
          <w:p w14:paraId="12F1E166" w14:textId="77777777" w:rsidR="001236DF" w:rsidRPr="005D237F" w:rsidRDefault="001236DF" w:rsidP="001236DF">
            <w:pPr>
              <w:pStyle w:val="TableText"/>
              <w:keepNext/>
              <w:tabs>
                <w:tab w:val="decimal" w:pos="1360"/>
              </w:tabs>
              <w:jc w:val="center"/>
            </w:pPr>
            <w:r>
              <w:t>8</w:t>
            </w:r>
          </w:p>
        </w:tc>
      </w:tr>
      <w:tr w:rsidR="001236DF" w:rsidRPr="005D237F" w14:paraId="354C5C25" w14:textId="77777777" w:rsidTr="00B86C90">
        <w:trPr>
          <w:cantSplit/>
        </w:trPr>
        <w:tc>
          <w:tcPr>
            <w:tcW w:w="4905" w:type="dxa"/>
            <w:tcBorders>
              <w:top w:val="single" w:sz="4" w:space="0" w:color="A6A6A6"/>
              <w:bottom w:val="single" w:sz="4" w:space="0" w:color="A6A6A6"/>
            </w:tcBorders>
          </w:tcPr>
          <w:p w14:paraId="6DC5E78F" w14:textId="77777777" w:rsidR="001236DF" w:rsidRPr="005D237F" w:rsidRDefault="001236DF" w:rsidP="001236DF">
            <w:pPr>
              <w:pStyle w:val="TableText"/>
              <w:keepNext/>
            </w:pPr>
            <w:r w:rsidRPr="005D237F">
              <w:t>Change of legal status applications not approved</w:t>
            </w:r>
          </w:p>
        </w:tc>
        <w:tc>
          <w:tcPr>
            <w:tcW w:w="3118" w:type="dxa"/>
            <w:tcBorders>
              <w:top w:val="single" w:sz="4" w:space="0" w:color="A6A6A6"/>
              <w:bottom w:val="single" w:sz="4" w:space="0" w:color="A6A6A6"/>
            </w:tcBorders>
          </w:tcPr>
          <w:p w14:paraId="5C514837" w14:textId="77777777" w:rsidR="001236DF" w:rsidRPr="005D237F" w:rsidRDefault="001236DF" w:rsidP="001236DF">
            <w:pPr>
              <w:pStyle w:val="TableText"/>
              <w:keepNext/>
              <w:tabs>
                <w:tab w:val="decimal" w:pos="1360"/>
              </w:tabs>
              <w:jc w:val="center"/>
            </w:pPr>
            <w:r>
              <w:t>3</w:t>
            </w:r>
          </w:p>
        </w:tc>
      </w:tr>
      <w:tr w:rsidR="001236DF" w:rsidRPr="008E5A9E" w14:paraId="434AF759" w14:textId="77777777" w:rsidTr="00B86C90">
        <w:trPr>
          <w:cantSplit/>
        </w:trPr>
        <w:tc>
          <w:tcPr>
            <w:tcW w:w="4905" w:type="dxa"/>
            <w:tcBorders>
              <w:top w:val="single" w:sz="4" w:space="0" w:color="A6A6A6"/>
              <w:bottom w:val="single" w:sz="4" w:space="0" w:color="A6A6A6"/>
            </w:tcBorders>
          </w:tcPr>
          <w:p w14:paraId="4D77BC13" w14:textId="77777777" w:rsidR="001236DF" w:rsidRPr="008E5A9E" w:rsidRDefault="001236DF" w:rsidP="001236DF">
            <w:pPr>
              <w:pStyle w:val="TableText"/>
              <w:keepNext/>
              <w:rPr>
                <w:b/>
              </w:rPr>
            </w:pPr>
            <w:r w:rsidRPr="008E5A9E">
              <w:rPr>
                <w:b/>
              </w:rPr>
              <w:t>Total applications approved or not approved</w:t>
            </w:r>
          </w:p>
        </w:tc>
        <w:tc>
          <w:tcPr>
            <w:tcW w:w="3118" w:type="dxa"/>
            <w:tcBorders>
              <w:top w:val="single" w:sz="4" w:space="0" w:color="A6A6A6"/>
              <w:bottom w:val="single" w:sz="4" w:space="0" w:color="A6A6A6"/>
            </w:tcBorders>
          </w:tcPr>
          <w:p w14:paraId="05770D6E" w14:textId="77777777" w:rsidR="001236DF" w:rsidRPr="008E5A9E" w:rsidRDefault="001236DF" w:rsidP="001236DF">
            <w:pPr>
              <w:pStyle w:val="TableText"/>
              <w:keepNext/>
              <w:tabs>
                <w:tab w:val="decimal" w:pos="1360"/>
              </w:tabs>
              <w:jc w:val="center"/>
              <w:rPr>
                <w:b/>
              </w:rPr>
            </w:pPr>
            <w:r>
              <w:rPr>
                <w:b/>
              </w:rPr>
              <w:t>46</w:t>
            </w:r>
          </w:p>
        </w:tc>
      </w:tr>
    </w:tbl>
    <w:bookmarkEnd w:id="517"/>
    <w:p w14:paraId="2DFFE8A0" w14:textId="77777777" w:rsidR="001236DF" w:rsidRPr="00200234" w:rsidRDefault="001236DF" w:rsidP="001236DF">
      <w:pPr>
        <w:pStyle w:val="Note"/>
        <w:keepNext/>
      </w:pPr>
      <w:r w:rsidRPr="00200234">
        <w:t>Note: Numbers do not include applications that were withdrawn before the Minister of Health received them.</w:t>
      </w:r>
    </w:p>
    <w:p w14:paraId="4D8C0D0E" w14:textId="77777777" w:rsidR="001236DF" w:rsidRDefault="001236DF" w:rsidP="001236DF">
      <w:pPr>
        <w:pStyle w:val="Source"/>
      </w:pPr>
      <w:r w:rsidRPr="00200234">
        <w:t>Source: Office of the Director of Mental Health and Addiction Services records.</w:t>
      </w:r>
    </w:p>
    <w:p w14:paraId="10DD9E24" w14:textId="77777777" w:rsidR="001236DF" w:rsidRDefault="001236DF" w:rsidP="001236DF">
      <w:pPr>
        <w:spacing w:after="160" w:line="259" w:lineRule="auto"/>
        <w:rPr>
          <w:sz w:val="17"/>
        </w:rPr>
      </w:pPr>
      <w:r>
        <w:br w:type="page"/>
      </w:r>
    </w:p>
    <w:p w14:paraId="21088C91" w14:textId="77777777" w:rsidR="001236DF" w:rsidRPr="00200234" w:rsidRDefault="001236DF" w:rsidP="001236DF">
      <w:pPr>
        <w:pStyle w:val="Heading1"/>
      </w:pPr>
      <w:bookmarkStart w:id="518" w:name="_Toc65141632"/>
      <w:bookmarkStart w:id="519" w:name="_Toc75176456"/>
      <w:bookmarkStart w:id="520" w:name="_Toc87429923"/>
      <w:bookmarkStart w:id="521" w:name="_Toc88826971"/>
      <w:bookmarkStart w:id="522" w:name="_Toc115188821"/>
      <w:bookmarkStart w:id="523" w:name="_Toc115431719"/>
      <w:r w:rsidRPr="00200234">
        <w:lastRenderedPageBreak/>
        <w:t>Mental health and addiction adverse event reporting</w:t>
      </w:r>
      <w:bookmarkEnd w:id="518"/>
      <w:bookmarkEnd w:id="519"/>
      <w:bookmarkEnd w:id="520"/>
      <w:bookmarkEnd w:id="521"/>
      <w:bookmarkEnd w:id="522"/>
      <w:bookmarkEnd w:id="523"/>
    </w:p>
    <w:p w14:paraId="60056712" w14:textId="77777777" w:rsidR="001236DF" w:rsidRPr="00200234" w:rsidRDefault="001236DF" w:rsidP="001236DF">
      <w:r>
        <w:t xml:space="preserve">Before the health system reforms, Aotearoa </w:t>
      </w:r>
      <w:r w:rsidRPr="00200234">
        <w:t>ha</w:t>
      </w:r>
      <w:r>
        <w:t>d</w:t>
      </w:r>
      <w:r w:rsidRPr="00200234">
        <w:t xml:space="preserve"> </w:t>
      </w:r>
      <w:r>
        <w:t>2</w:t>
      </w:r>
      <w:r w:rsidRPr="00200234">
        <w:t xml:space="preserve"> major national reporting mechanisms for adverse events relating to mental health.</w:t>
      </w:r>
      <w:r w:rsidRPr="008E5A9E">
        <w:rPr>
          <w:rStyle w:val="FootnoteReference"/>
        </w:rPr>
        <w:footnoteReference w:id="20"/>
      </w:r>
      <w:r w:rsidRPr="00200234">
        <w:t xml:space="preserve"> These </w:t>
      </w:r>
      <w:r>
        <w:t>were</w:t>
      </w:r>
      <w:r w:rsidRPr="00200234">
        <w:t xml:space="preserve"> that DHBs </w:t>
      </w:r>
      <w:r>
        <w:t>had to</w:t>
      </w:r>
      <w:r w:rsidRPr="00200234">
        <w:t>:</w:t>
      </w:r>
    </w:p>
    <w:p w14:paraId="4A5019EB" w14:textId="77777777" w:rsidR="001236DF" w:rsidRDefault="001236DF" w:rsidP="001236DF">
      <w:pPr>
        <w:pStyle w:val="Number"/>
        <w:numPr>
          <w:ilvl w:val="3"/>
          <w:numId w:val="33"/>
        </w:numPr>
        <w:spacing w:before="120"/>
      </w:pPr>
      <w:r w:rsidRPr="00200234">
        <w:t>notify the Director of Mental Health of the death of any person or special patient under the Mental Health Act</w:t>
      </w:r>
    </w:p>
    <w:p w14:paraId="7DFF3A4A" w14:textId="77777777" w:rsidR="001236DF" w:rsidRPr="00200234" w:rsidRDefault="001236DF" w:rsidP="001236DF">
      <w:pPr>
        <w:pStyle w:val="Number"/>
        <w:numPr>
          <w:ilvl w:val="3"/>
          <w:numId w:val="33"/>
        </w:numPr>
        <w:spacing w:before="120"/>
      </w:pPr>
      <w:r w:rsidRPr="00200234">
        <w:t xml:space="preserve">report all adverse events </w:t>
      </w:r>
      <w:r>
        <w:t xml:space="preserve">that are </w:t>
      </w:r>
      <w:r w:rsidRPr="00200234">
        <w:t>rated Severity Assessment Code</w:t>
      </w:r>
      <w:r w:rsidRPr="008E5A9E">
        <w:rPr>
          <w:rStyle w:val="FootnoteReference"/>
        </w:rPr>
        <w:footnoteReference w:id="21"/>
      </w:r>
      <w:r w:rsidRPr="00200234">
        <w:t xml:space="preserve"> 1 or 2 to the </w:t>
      </w:r>
      <w:r>
        <w:t>Health Quality &amp; Safety Commission</w:t>
      </w:r>
      <w:r w:rsidRPr="00200234">
        <w:t xml:space="preserve"> </w:t>
      </w:r>
      <w:r>
        <w:t>(</w:t>
      </w:r>
      <w:r w:rsidRPr="00200234">
        <w:t>HQSC</w:t>
      </w:r>
      <w:r>
        <w:t>)</w:t>
      </w:r>
      <w:r w:rsidRPr="00200234">
        <w:t xml:space="preserve"> in line with the National Adverse Events Reporting Policy.</w:t>
      </w:r>
      <w:r w:rsidRPr="008E5A9E">
        <w:rPr>
          <w:rStyle w:val="FootnoteReference"/>
        </w:rPr>
        <w:footnoteReference w:id="22"/>
      </w:r>
      <w:r w:rsidRPr="00200234">
        <w:t xml:space="preserve"> Mental health services that </w:t>
      </w:r>
      <w:r>
        <w:t>we</w:t>
      </w:r>
      <w:r w:rsidRPr="00200234">
        <w:t xml:space="preserve">re not funded by DHBs </w:t>
      </w:r>
      <w:r>
        <w:t>we</w:t>
      </w:r>
      <w:r w:rsidRPr="00200234">
        <w:t>re encouraged but not required to report adverse events to the HQSC.</w:t>
      </w:r>
    </w:p>
    <w:p w14:paraId="436C14A1" w14:textId="77777777" w:rsidR="001236DF" w:rsidRPr="00200234" w:rsidRDefault="001236DF" w:rsidP="001236DF"/>
    <w:p w14:paraId="2460461F" w14:textId="77777777" w:rsidR="001236DF" w:rsidRPr="009A581E" w:rsidRDefault="001236DF" w:rsidP="001236DF">
      <w:pPr>
        <w:ind w:right="-284"/>
        <w:rPr>
          <w:spacing w:val="-2"/>
        </w:rPr>
      </w:pPr>
      <w:r w:rsidRPr="008E5A9E">
        <w:rPr>
          <w:spacing w:val="-2"/>
        </w:rPr>
        <w:t xml:space="preserve">In Aotearoa, adverse events have been reported publicly since 2006. </w:t>
      </w:r>
      <w:r>
        <w:rPr>
          <w:spacing w:val="-2"/>
        </w:rPr>
        <w:t>From the time</w:t>
      </w:r>
      <w:r w:rsidRPr="008E5A9E">
        <w:rPr>
          <w:spacing w:val="-2"/>
        </w:rPr>
        <w:t xml:space="preserve"> reporting began</w:t>
      </w:r>
      <w:r>
        <w:rPr>
          <w:spacing w:val="-2"/>
        </w:rPr>
        <w:t xml:space="preserve"> until the reforms disestablished DHBs</w:t>
      </w:r>
      <w:r w:rsidRPr="008E5A9E">
        <w:rPr>
          <w:spacing w:val="-2"/>
        </w:rPr>
        <w:t>, the number of adverse events that DHBs report</w:t>
      </w:r>
      <w:r>
        <w:rPr>
          <w:spacing w:val="-2"/>
        </w:rPr>
        <w:t>ed</w:t>
      </w:r>
      <w:r w:rsidRPr="008E5A9E">
        <w:rPr>
          <w:spacing w:val="-2"/>
        </w:rPr>
        <w:t xml:space="preserve"> increased. This increase </w:t>
      </w:r>
      <w:r>
        <w:rPr>
          <w:spacing w:val="-2"/>
        </w:rPr>
        <w:t>was</w:t>
      </w:r>
      <w:r w:rsidRPr="008E5A9E">
        <w:rPr>
          <w:spacing w:val="-2"/>
        </w:rPr>
        <w:t xml:space="preserve"> not necessarily because adverse events bec</w:t>
      </w:r>
      <w:r>
        <w:rPr>
          <w:spacing w:val="-2"/>
        </w:rPr>
        <w:t>a</w:t>
      </w:r>
      <w:r w:rsidRPr="008E5A9E">
        <w:rPr>
          <w:spacing w:val="-2"/>
        </w:rPr>
        <w:t>me more frequent; we consider that at least part of the explanation may be that DHBs improved their reporting systems and created a stronger culture of transparency and commitment to learning.</w:t>
      </w:r>
    </w:p>
    <w:p w14:paraId="1C6EE0BD" w14:textId="77777777" w:rsidR="001236DF" w:rsidRPr="00200234" w:rsidRDefault="001236DF" w:rsidP="001236DF">
      <w:pPr>
        <w:pStyle w:val="Heading2"/>
      </w:pPr>
      <w:bookmarkStart w:id="524" w:name="_Toc65141633"/>
      <w:bookmarkStart w:id="525" w:name="_Toc75176457"/>
      <w:bookmarkStart w:id="526" w:name="_Toc87429924"/>
      <w:bookmarkStart w:id="527" w:name="_Toc88826972"/>
      <w:bookmarkStart w:id="528" w:name="_Toc115188822"/>
      <w:bookmarkStart w:id="529" w:name="_Toc115431720"/>
      <w:r w:rsidRPr="00200234">
        <w:t xml:space="preserve">Adverse events reported by </w:t>
      </w:r>
      <w:r>
        <w:t>DHB</w:t>
      </w:r>
      <w:r w:rsidRPr="00200234">
        <w:t xml:space="preserve"> mental health services</w:t>
      </w:r>
      <w:bookmarkEnd w:id="524"/>
      <w:bookmarkEnd w:id="525"/>
      <w:bookmarkEnd w:id="526"/>
      <w:bookmarkEnd w:id="527"/>
      <w:bookmarkEnd w:id="528"/>
      <w:bookmarkEnd w:id="529"/>
    </w:p>
    <w:p w14:paraId="64B08574" w14:textId="77777777" w:rsidR="001236DF" w:rsidRDefault="001236DF" w:rsidP="001236DF">
      <w:r>
        <w:t>Table </w:t>
      </w:r>
      <w:r>
        <w:rPr>
          <w:noProof/>
        </w:rPr>
        <w:t>15</w:t>
      </w:r>
      <w:r w:rsidRPr="00200234">
        <w:t xml:space="preserve"> provide</w:t>
      </w:r>
      <w:r>
        <w:t>s</w:t>
      </w:r>
      <w:r w:rsidRPr="00200234">
        <w:t xml:space="preserve"> a breakdown of the types of adverse events relating to mental health that DHBs reported to HQSC </w:t>
      </w:r>
      <w:r>
        <w:t>between 1 July 2020 and 30 June 2021</w:t>
      </w:r>
      <w:r w:rsidRPr="00200234">
        <w:t xml:space="preserve">. </w:t>
      </w:r>
      <w:r>
        <w:t>Table </w:t>
      </w:r>
      <w:r>
        <w:rPr>
          <w:noProof/>
        </w:rPr>
        <w:t>16</w:t>
      </w:r>
      <w:r w:rsidRPr="00200234">
        <w:t xml:space="preserve"> show</w:t>
      </w:r>
      <w:r>
        <w:t>s</w:t>
      </w:r>
      <w:r w:rsidRPr="00200234">
        <w:t xml:space="preserve"> the number of events reported for each DHB.</w:t>
      </w:r>
    </w:p>
    <w:p w14:paraId="62FCA854" w14:textId="77777777" w:rsidR="001236DF" w:rsidRPr="00200234" w:rsidRDefault="001236DF" w:rsidP="001236DF"/>
    <w:p w14:paraId="11D27BA8" w14:textId="77777777" w:rsidR="001236DF" w:rsidRPr="00200234" w:rsidRDefault="001236DF" w:rsidP="001236DF">
      <w:r w:rsidRPr="00200234">
        <w:t>Comparing individual DHBs based on this data is not straightforward. As noted above, high numbers can indicate a DHB ha</w:t>
      </w:r>
      <w:r>
        <w:t>d</w:t>
      </w:r>
      <w:r w:rsidRPr="00200234">
        <w:t xml:space="preserve"> a good reporting culture rather than </w:t>
      </w:r>
      <w:r>
        <w:t>that it actually had</w:t>
      </w:r>
      <w:r w:rsidRPr="00200234">
        <w:t xml:space="preserve"> more adverse events </w:t>
      </w:r>
      <w:r>
        <w:t>than</w:t>
      </w:r>
      <w:r w:rsidRPr="00200234">
        <w:t xml:space="preserve"> other DHBs. In addition, DHBs that serve</w:t>
      </w:r>
      <w:r>
        <w:t>d</w:t>
      </w:r>
      <w:r w:rsidRPr="00200234">
        <w:t xml:space="preserve"> a larger population or provide</w:t>
      </w:r>
      <w:r>
        <w:t>d</w:t>
      </w:r>
      <w:r w:rsidRPr="00200234">
        <w:t xml:space="preserve"> more complex mental health services may</w:t>
      </w:r>
      <w:r>
        <w:t xml:space="preserve"> have</w:t>
      </w:r>
      <w:r w:rsidRPr="00200234">
        <w:t xml:space="preserve"> report</w:t>
      </w:r>
      <w:r>
        <w:t>ed</w:t>
      </w:r>
      <w:r w:rsidRPr="00200234">
        <w:t xml:space="preserve"> a higher number of adverse events.</w:t>
      </w:r>
    </w:p>
    <w:p w14:paraId="52DE870A" w14:textId="77777777" w:rsidR="001236DF" w:rsidRPr="00200234" w:rsidRDefault="001236DF" w:rsidP="001236DF"/>
    <w:p w14:paraId="3DEF6E83" w14:textId="25757B68" w:rsidR="001236DF" w:rsidRDefault="001236DF" w:rsidP="001236DF">
      <w:pPr>
        <w:pStyle w:val="Table"/>
      </w:pPr>
      <w:bookmarkStart w:id="530" w:name="_Ref85452098"/>
      <w:bookmarkStart w:id="531" w:name="_Toc87430012"/>
      <w:bookmarkStart w:id="532" w:name="_Toc88561369"/>
      <w:bookmarkStart w:id="533" w:name="_Toc115188904"/>
      <w:bookmarkStart w:id="534" w:name="_Toc115272606"/>
      <w:r>
        <w:lastRenderedPageBreak/>
        <w:t>Table </w:t>
      </w:r>
      <w:fldSimple w:instr=" SEQ Table \* ARABIC ">
        <w:r w:rsidR="009A04B0">
          <w:rPr>
            <w:noProof/>
          </w:rPr>
          <w:t>15</w:t>
        </w:r>
      </w:fldSimple>
      <w:bookmarkEnd w:id="530"/>
      <w:r w:rsidRPr="00157BCB">
        <w:t xml:space="preserve">: </w:t>
      </w:r>
      <w:r w:rsidRPr="009A581E">
        <w:t xml:space="preserve">Number of mental health adverse events that DHBs reported to the HQSC, by type of event, 1 </w:t>
      </w:r>
      <w:bookmarkEnd w:id="531"/>
      <w:bookmarkEnd w:id="532"/>
      <w:r w:rsidRPr="009A581E">
        <w:t>July 2020 to 30 June 2021</w:t>
      </w:r>
      <w:bookmarkEnd w:id="533"/>
      <w:bookmarkEnd w:id="534"/>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410"/>
        <w:gridCol w:w="1134"/>
        <w:gridCol w:w="1134"/>
        <w:gridCol w:w="1418"/>
        <w:gridCol w:w="992"/>
        <w:gridCol w:w="991"/>
      </w:tblGrid>
      <w:tr w:rsidR="001236DF" w:rsidRPr="008E5A9E" w14:paraId="36494607" w14:textId="77777777" w:rsidTr="001236DF">
        <w:trPr>
          <w:cantSplit/>
        </w:trPr>
        <w:tc>
          <w:tcPr>
            <w:tcW w:w="2410" w:type="dxa"/>
            <w:tcBorders>
              <w:top w:val="nil"/>
              <w:bottom w:val="nil"/>
            </w:tcBorders>
            <w:shd w:val="clear" w:color="auto" w:fill="D9D9D9" w:themeFill="background1" w:themeFillShade="D9"/>
          </w:tcPr>
          <w:p w14:paraId="256F764D" w14:textId="77777777" w:rsidR="001236DF" w:rsidRPr="008E5A9E" w:rsidRDefault="001236DF" w:rsidP="001236DF">
            <w:pPr>
              <w:pStyle w:val="TableText"/>
              <w:rPr>
                <w:b/>
              </w:rPr>
            </w:pPr>
            <w:r w:rsidRPr="008E5A9E">
              <w:rPr>
                <w:b/>
              </w:rPr>
              <w:t>Type of event</w:t>
            </w:r>
          </w:p>
        </w:tc>
        <w:tc>
          <w:tcPr>
            <w:tcW w:w="1134" w:type="dxa"/>
            <w:tcBorders>
              <w:top w:val="nil"/>
              <w:bottom w:val="nil"/>
            </w:tcBorders>
            <w:shd w:val="clear" w:color="auto" w:fill="D9D9D9" w:themeFill="background1" w:themeFillShade="D9"/>
          </w:tcPr>
          <w:p w14:paraId="401A323A" w14:textId="77777777" w:rsidR="001236DF" w:rsidRPr="008E5A9E" w:rsidRDefault="001236DF" w:rsidP="001236DF">
            <w:pPr>
              <w:pStyle w:val="TableText"/>
              <w:jc w:val="center"/>
              <w:rPr>
                <w:b/>
              </w:rPr>
            </w:pPr>
            <w:r>
              <w:rPr>
                <w:b/>
              </w:rPr>
              <w:t>Outpatient/community</w:t>
            </w:r>
          </w:p>
        </w:tc>
        <w:tc>
          <w:tcPr>
            <w:tcW w:w="1134" w:type="dxa"/>
            <w:tcBorders>
              <w:top w:val="nil"/>
              <w:bottom w:val="nil"/>
            </w:tcBorders>
            <w:shd w:val="clear" w:color="auto" w:fill="D9D9D9" w:themeFill="background1" w:themeFillShade="D9"/>
          </w:tcPr>
          <w:p w14:paraId="4805B522" w14:textId="77777777" w:rsidR="001236DF" w:rsidRPr="008E5A9E" w:rsidRDefault="001236DF" w:rsidP="001236DF">
            <w:pPr>
              <w:pStyle w:val="TableText"/>
              <w:jc w:val="center"/>
              <w:rPr>
                <w:b/>
              </w:rPr>
            </w:pPr>
            <w:r w:rsidRPr="008E5A9E">
              <w:rPr>
                <w:b/>
              </w:rPr>
              <w:t>Inpatient</w:t>
            </w:r>
          </w:p>
        </w:tc>
        <w:tc>
          <w:tcPr>
            <w:tcW w:w="1418" w:type="dxa"/>
            <w:tcBorders>
              <w:top w:val="nil"/>
              <w:bottom w:val="nil"/>
            </w:tcBorders>
            <w:shd w:val="clear" w:color="auto" w:fill="D9D9D9" w:themeFill="background1" w:themeFillShade="D9"/>
          </w:tcPr>
          <w:p w14:paraId="1E02BFEE" w14:textId="77777777" w:rsidR="001236DF" w:rsidRPr="008E5A9E" w:rsidRDefault="001236DF" w:rsidP="001236DF">
            <w:pPr>
              <w:pStyle w:val="TableText"/>
              <w:jc w:val="center"/>
              <w:rPr>
                <w:b/>
              </w:rPr>
            </w:pPr>
            <w:r w:rsidRPr="008E5A9E">
              <w:rPr>
                <w:b/>
              </w:rPr>
              <w:t>On approved leave</w:t>
            </w:r>
          </w:p>
        </w:tc>
        <w:tc>
          <w:tcPr>
            <w:tcW w:w="992" w:type="dxa"/>
            <w:tcBorders>
              <w:top w:val="nil"/>
              <w:bottom w:val="nil"/>
            </w:tcBorders>
            <w:shd w:val="clear" w:color="auto" w:fill="D9D9D9" w:themeFill="background1" w:themeFillShade="D9"/>
          </w:tcPr>
          <w:p w14:paraId="6A89DA7C" w14:textId="77777777" w:rsidR="001236DF" w:rsidRPr="008E5A9E" w:rsidRDefault="001236DF" w:rsidP="001236DF">
            <w:pPr>
              <w:pStyle w:val="TableText"/>
              <w:jc w:val="center"/>
              <w:rPr>
                <w:b/>
              </w:rPr>
            </w:pPr>
            <w:r w:rsidRPr="008E5A9E">
              <w:rPr>
                <w:b/>
              </w:rPr>
              <w:t>Inpatient (AWOL)</w:t>
            </w:r>
          </w:p>
        </w:tc>
        <w:tc>
          <w:tcPr>
            <w:tcW w:w="991" w:type="dxa"/>
            <w:tcBorders>
              <w:top w:val="nil"/>
              <w:bottom w:val="nil"/>
            </w:tcBorders>
            <w:shd w:val="clear" w:color="auto" w:fill="D9D9D9" w:themeFill="background1" w:themeFillShade="D9"/>
          </w:tcPr>
          <w:p w14:paraId="458FBCC2" w14:textId="77777777" w:rsidR="001236DF" w:rsidRPr="008E5A9E" w:rsidRDefault="001236DF" w:rsidP="001236DF">
            <w:pPr>
              <w:pStyle w:val="TableText"/>
              <w:jc w:val="center"/>
              <w:rPr>
                <w:b/>
              </w:rPr>
            </w:pPr>
            <w:r w:rsidRPr="008E5A9E">
              <w:rPr>
                <w:b/>
              </w:rPr>
              <w:t>Total</w:t>
            </w:r>
          </w:p>
        </w:tc>
      </w:tr>
      <w:tr w:rsidR="001236DF" w:rsidRPr="00200234" w14:paraId="33597800" w14:textId="77777777" w:rsidTr="001236DF">
        <w:trPr>
          <w:cantSplit/>
        </w:trPr>
        <w:tc>
          <w:tcPr>
            <w:tcW w:w="2410" w:type="dxa"/>
            <w:tcBorders>
              <w:top w:val="nil"/>
            </w:tcBorders>
          </w:tcPr>
          <w:p w14:paraId="3410556F" w14:textId="77777777" w:rsidR="001236DF" w:rsidRPr="00200234" w:rsidRDefault="001236DF" w:rsidP="001236DF">
            <w:pPr>
              <w:pStyle w:val="TableText"/>
              <w:rPr>
                <w:sz w:val="20"/>
              </w:rPr>
            </w:pPr>
            <w:r w:rsidRPr="00200234">
              <w:t>Suspected suicide</w:t>
            </w:r>
          </w:p>
        </w:tc>
        <w:tc>
          <w:tcPr>
            <w:tcW w:w="1134" w:type="dxa"/>
            <w:tcBorders>
              <w:top w:val="nil"/>
            </w:tcBorders>
          </w:tcPr>
          <w:p w14:paraId="71AA4376" w14:textId="77777777" w:rsidR="001236DF" w:rsidRPr="009C4ED3" w:rsidRDefault="001236DF" w:rsidP="001236DF">
            <w:pPr>
              <w:pStyle w:val="TableText"/>
              <w:tabs>
                <w:tab w:val="decimal" w:pos="727"/>
              </w:tabs>
              <w:jc w:val="center"/>
              <w:rPr>
                <w:szCs w:val="18"/>
              </w:rPr>
            </w:pPr>
            <w:r w:rsidRPr="00FE0828">
              <w:t>178</w:t>
            </w:r>
          </w:p>
        </w:tc>
        <w:tc>
          <w:tcPr>
            <w:tcW w:w="1134" w:type="dxa"/>
            <w:tcBorders>
              <w:top w:val="nil"/>
            </w:tcBorders>
          </w:tcPr>
          <w:p w14:paraId="2BEAF24A" w14:textId="77777777" w:rsidR="001236DF" w:rsidRPr="009C4ED3" w:rsidRDefault="001236DF" w:rsidP="001236DF">
            <w:pPr>
              <w:pStyle w:val="TableText"/>
              <w:tabs>
                <w:tab w:val="decimal" w:pos="652"/>
              </w:tabs>
              <w:jc w:val="center"/>
              <w:rPr>
                <w:szCs w:val="18"/>
              </w:rPr>
            </w:pPr>
            <w:r w:rsidRPr="00FE0828">
              <w:t>2</w:t>
            </w:r>
          </w:p>
        </w:tc>
        <w:tc>
          <w:tcPr>
            <w:tcW w:w="1418" w:type="dxa"/>
            <w:tcBorders>
              <w:top w:val="nil"/>
            </w:tcBorders>
          </w:tcPr>
          <w:p w14:paraId="6F5DD46D" w14:textId="77777777" w:rsidR="001236DF" w:rsidRPr="009C4ED3" w:rsidRDefault="001236DF" w:rsidP="001236DF">
            <w:pPr>
              <w:pStyle w:val="TableText"/>
              <w:jc w:val="center"/>
              <w:rPr>
                <w:szCs w:val="18"/>
              </w:rPr>
            </w:pPr>
            <w:r w:rsidRPr="00FE0828">
              <w:t>3</w:t>
            </w:r>
          </w:p>
        </w:tc>
        <w:tc>
          <w:tcPr>
            <w:tcW w:w="992" w:type="dxa"/>
            <w:tcBorders>
              <w:top w:val="nil"/>
            </w:tcBorders>
          </w:tcPr>
          <w:p w14:paraId="7DAB47BD" w14:textId="77777777" w:rsidR="001236DF" w:rsidRPr="009C4ED3" w:rsidRDefault="001236DF" w:rsidP="001236DF">
            <w:pPr>
              <w:pStyle w:val="TableText"/>
              <w:jc w:val="center"/>
              <w:rPr>
                <w:szCs w:val="18"/>
              </w:rPr>
            </w:pPr>
            <w:r w:rsidRPr="00FE0828">
              <w:t>1</w:t>
            </w:r>
          </w:p>
        </w:tc>
        <w:tc>
          <w:tcPr>
            <w:tcW w:w="991" w:type="dxa"/>
            <w:tcBorders>
              <w:top w:val="nil"/>
            </w:tcBorders>
          </w:tcPr>
          <w:p w14:paraId="2EEC1E77" w14:textId="77777777" w:rsidR="001236DF" w:rsidRPr="009C4ED3" w:rsidRDefault="001236DF" w:rsidP="001236DF">
            <w:pPr>
              <w:pStyle w:val="TableText"/>
              <w:tabs>
                <w:tab w:val="decimal" w:pos="624"/>
              </w:tabs>
              <w:jc w:val="center"/>
              <w:rPr>
                <w:szCs w:val="18"/>
              </w:rPr>
            </w:pPr>
            <w:r w:rsidRPr="00FE0828">
              <w:t>184</w:t>
            </w:r>
          </w:p>
        </w:tc>
      </w:tr>
      <w:tr w:rsidR="001236DF" w:rsidRPr="00200234" w14:paraId="5C87DFB8" w14:textId="77777777" w:rsidTr="001236DF">
        <w:trPr>
          <w:cantSplit/>
        </w:trPr>
        <w:tc>
          <w:tcPr>
            <w:tcW w:w="2410" w:type="dxa"/>
          </w:tcPr>
          <w:p w14:paraId="0A5D5765" w14:textId="77777777" w:rsidR="001236DF" w:rsidRPr="00200234" w:rsidRDefault="001236DF" w:rsidP="001236DF">
            <w:pPr>
              <w:pStyle w:val="TableText"/>
            </w:pPr>
            <w:r w:rsidRPr="00200234">
              <w:t>Serious self-harm</w:t>
            </w:r>
          </w:p>
        </w:tc>
        <w:tc>
          <w:tcPr>
            <w:tcW w:w="1134" w:type="dxa"/>
          </w:tcPr>
          <w:p w14:paraId="39EE646E" w14:textId="77777777" w:rsidR="001236DF" w:rsidRPr="009C4ED3" w:rsidRDefault="001236DF" w:rsidP="001236DF">
            <w:pPr>
              <w:pStyle w:val="TableText"/>
              <w:tabs>
                <w:tab w:val="decimal" w:pos="727"/>
              </w:tabs>
              <w:jc w:val="center"/>
              <w:rPr>
                <w:szCs w:val="18"/>
              </w:rPr>
            </w:pPr>
            <w:r w:rsidRPr="00FE0828">
              <w:t>19</w:t>
            </w:r>
          </w:p>
        </w:tc>
        <w:tc>
          <w:tcPr>
            <w:tcW w:w="1134" w:type="dxa"/>
          </w:tcPr>
          <w:p w14:paraId="098FA648" w14:textId="77777777" w:rsidR="001236DF" w:rsidRPr="009C4ED3" w:rsidRDefault="001236DF" w:rsidP="001236DF">
            <w:pPr>
              <w:pStyle w:val="TableText"/>
              <w:tabs>
                <w:tab w:val="decimal" w:pos="652"/>
              </w:tabs>
              <w:jc w:val="center"/>
              <w:rPr>
                <w:szCs w:val="18"/>
              </w:rPr>
            </w:pPr>
            <w:r w:rsidRPr="00FE0828">
              <w:t>8</w:t>
            </w:r>
          </w:p>
        </w:tc>
        <w:tc>
          <w:tcPr>
            <w:tcW w:w="1418" w:type="dxa"/>
          </w:tcPr>
          <w:p w14:paraId="66EAD539" w14:textId="77777777" w:rsidR="001236DF" w:rsidRPr="009C4ED3" w:rsidRDefault="001236DF" w:rsidP="001236DF">
            <w:pPr>
              <w:pStyle w:val="TableText"/>
              <w:jc w:val="center"/>
              <w:rPr>
                <w:szCs w:val="18"/>
              </w:rPr>
            </w:pPr>
            <w:r w:rsidRPr="00FE0828">
              <w:t>2</w:t>
            </w:r>
          </w:p>
        </w:tc>
        <w:tc>
          <w:tcPr>
            <w:tcW w:w="992" w:type="dxa"/>
          </w:tcPr>
          <w:p w14:paraId="5A02C6F8" w14:textId="77777777" w:rsidR="001236DF" w:rsidRPr="009C4ED3" w:rsidRDefault="001236DF" w:rsidP="001236DF">
            <w:pPr>
              <w:pStyle w:val="TableText"/>
              <w:jc w:val="center"/>
              <w:rPr>
                <w:szCs w:val="18"/>
              </w:rPr>
            </w:pPr>
            <w:r w:rsidRPr="00FE0828">
              <w:t>1</w:t>
            </w:r>
          </w:p>
        </w:tc>
        <w:tc>
          <w:tcPr>
            <w:tcW w:w="991" w:type="dxa"/>
          </w:tcPr>
          <w:p w14:paraId="3797FB13" w14:textId="77777777" w:rsidR="001236DF" w:rsidRPr="009C4ED3" w:rsidRDefault="001236DF" w:rsidP="001236DF">
            <w:pPr>
              <w:pStyle w:val="TableText"/>
              <w:tabs>
                <w:tab w:val="decimal" w:pos="624"/>
              </w:tabs>
              <w:jc w:val="center"/>
              <w:rPr>
                <w:szCs w:val="18"/>
              </w:rPr>
            </w:pPr>
            <w:r w:rsidRPr="00FE0828">
              <w:t>30</w:t>
            </w:r>
          </w:p>
        </w:tc>
      </w:tr>
      <w:tr w:rsidR="001236DF" w:rsidRPr="00200234" w14:paraId="42181711" w14:textId="77777777" w:rsidTr="001236DF">
        <w:trPr>
          <w:cantSplit/>
        </w:trPr>
        <w:tc>
          <w:tcPr>
            <w:tcW w:w="2410" w:type="dxa"/>
          </w:tcPr>
          <w:p w14:paraId="639E6B2F" w14:textId="77777777" w:rsidR="001236DF" w:rsidRPr="00200234" w:rsidRDefault="001236DF" w:rsidP="001236DF">
            <w:pPr>
              <w:pStyle w:val="TableText"/>
            </w:pPr>
            <w:r w:rsidRPr="00200234">
              <w:t>Serious adverse behaviour</w:t>
            </w:r>
          </w:p>
        </w:tc>
        <w:tc>
          <w:tcPr>
            <w:tcW w:w="1134" w:type="dxa"/>
          </w:tcPr>
          <w:p w14:paraId="4F82E601" w14:textId="77777777" w:rsidR="001236DF" w:rsidRPr="009C4ED3" w:rsidRDefault="001236DF" w:rsidP="001236DF">
            <w:pPr>
              <w:pStyle w:val="TableText"/>
              <w:tabs>
                <w:tab w:val="decimal" w:pos="727"/>
              </w:tabs>
              <w:jc w:val="center"/>
              <w:rPr>
                <w:szCs w:val="18"/>
              </w:rPr>
            </w:pPr>
            <w:r w:rsidRPr="00FE0828">
              <w:t>3</w:t>
            </w:r>
          </w:p>
        </w:tc>
        <w:tc>
          <w:tcPr>
            <w:tcW w:w="1134" w:type="dxa"/>
          </w:tcPr>
          <w:p w14:paraId="6BBE9ED6" w14:textId="77777777" w:rsidR="001236DF" w:rsidRPr="009C4ED3" w:rsidRDefault="001236DF" w:rsidP="001236DF">
            <w:pPr>
              <w:pStyle w:val="TableText"/>
              <w:tabs>
                <w:tab w:val="decimal" w:pos="652"/>
              </w:tabs>
              <w:jc w:val="center"/>
              <w:rPr>
                <w:szCs w:val="18"/>
              </w:rPr>
            </w:pPr>
            <w:r w:rsidRPr="00FE0828">
              <w:t>7</w:t>
            </w:r>
          </w:p>
        </w:tc>
        <w:tc>
          <w:tcPr>
            <w:tcW w:w="1418" w:type="dxa"/>
          </w:tcPr>
          <w:p w14:paraId="0AE055DB" w14:textId="77777777" w:rsidR="001236DF" w:rsidRPr="009C4ED3" w:rsidRDefault="001236DF" w:rsidP="001236DF">
            <w:pPr>
              <w:pStyle w:val="TableText"/>
              <w:jc w:val="center"/>
              <w:rPr>
                <w:szCs w:val="18"/>
              </w:rPr>
            </w:pPr>
            <w:r w:rsidRPr="00FE0828">
              <w:t>0</w:t>
            </w:r>
          </w:p>
        </w:tc>
        <w:tc>
          <w:tcPr>
            <w:tcW w:w="992" w:type="dxa"/>
          </w:tcPr>
          <w:p w14:paraId="5B4A6B6E" w14:textId="77777777" w:rsidR="001236DF" w:rsidRPr="009C4ED3" w:rsidRDefault="001236DF" w:rsidP="001236DF">
            <w:pPr>
              <w:pStyle w:val="TableText"/>
              <w:jc w:val="center"/>
              <w:rPr>
                <w:szCs w:val="18"/>
              </w:rPr>
            </w:pPr>
            <w:r w:rsidRPr="00FE0828">
              <w:t>0</w:t>
            </w:r>
          </w:p>
        </w:tc>
        <w:tc>
          <w:tcPr>
            <w:tcW w:w="991" w:type="dxa"/>
          </w:tcPr>
          <w:p w14:paraId="51082FA1" w14:textId="77777777" w:rsidR="001236DF" w:rsidRPr="009C4ED3" w:rsidRDefault="001236DF" w:rsidP="001236DF">
            <w:pPr>
              <w:pStyle w:val="TableText"/>
              <w:tabs>
                <w:tab w:val="decimal" w:pos="624"/>
              </w:tabs>
              <w:jc w:val="center"/>
              <w:rPr>
                <w:szCs w:val="18"/>
              </w:rPr>
            </w:pPr>
            <w:r w:rsidRPr="00FE0828">
              <w:t>10</w:t>
            </w:r>
          </w:p>
        </w:tc>
      </w:tr>
      <w:tr w:rsidR="001236DF" w:rsidRPr="00200234" w14:paraId="6DFC014C" w14:textId="77777777" w:rsidTr="001236DF">
        <w:trPr>
          <w:cantSplit/>
        </w:trPr>
        <w:tc>
          <w:tcPr>
            <w:tcW w:w="2410" w:type="dxa"/>
          </w:tcPr>
          <w:p w14:paraId="3139D060" w14:textId="77777777" w:rsidR="001236DF" w:rsidRPr="00200234" w:rsidRDefault="001236DF" w:rsidP="001236DF">
            <w:pPr>
              <w:pStyle w:val="TableText"/>
            </w:pPr>
            <w:r>
              <w:t>Restraint injuries</w:t>
            </w:r>
          </w:p>
        </w:tc>
        <w:tc>
          <w:tcPr>
            <w:tcW w:w="1134" w:type="dxa"/>
            <w:vAlign w:val="center"/>
          </w:tcPr>
          <w:p w14:paraId="11FBCD9E" w14:textId="77777777" w:rsidR="001236DF" w:rsidRDefault="001236DF" w:rsidP="001236DF">
            <w:pPr>
              <w:pStyle w:val="TableText"/>
              <w:tabs>
                <w:tab w:val="decimal" w:pos="727"/>
              </w:tabs>
              <w:jc w:val="center"/>
              <w:rPr>
                <w:szCs w:val="18"/>
              </w:rPr>
            </w:pPr>
            <w:r>
              <w:rPr>
                <w:szCs w:val="18"/>
              </w:rPr>
              <w:t>–</w:t>
            </w:r>
          </w:p>
        </w:tc>
        <w:tc>
          <w:tcPr>
            <w:tcW w:w="1134" w:type="dxa"/>
            <w:vAlign w:val="center"/>
          </w:tcPr>
          <w:p w14:paraId="040BD89B" w14:textId="77777777" w:rsidR="001236DF" w:rsidRDefault="001236DF" w:rsidP="001236DF">
            <w:pPr>
              <w:pStyle w:val="TableText"/>
              <w:tabs>
                <w:tab w:val="decimal" w:pos="652"/>
              </w:tabs>
              <w:jc w:val="center"/>
              <w:rPr>
                <w:szCs w:val="18"/>
              </w:rPr>
            </w:pPr>
            <w:r>
              <w:rPr>
                <w:szCs w:val="18"/>
              </w:rPr>
              <w:t>3</w:t>
            </w:r>
          </w:p>
        </w:tc>
        <w:tc>
          <w:tcPr>
            <w:tcW w:w="1418" w:type="dxa"/>
            <w:vAlign w:val="center"/>
          </w:tcPr>
          <w:p w14:paraId="55815A3F" w14:textId="77777777" w:rsidR="001236DF" w:rsidRPr="009C4ED3" w:rsidRDefault="001236DF" w:rsidP="001236DF">
            <w:pPr>
              <w:pStyle w:val="TableText"/>
              <w:jc w:val="center"/>
              <w:rPr>
                <w:szCs w:val="18"/>
              </w:rPr>
            </w:pPr>
            <w:r>
              <w:rPr>
                <w:szCs w:val="18"/>
              </w:rPr>
              <w:t>–</w:t>
            </w:r>
          </w:p>
        </w:tc>
        <w:tc>
          <w:tcPr>
            <w:tcW w:w="992" w:type="dxa"/>
            <w:vAlign w:val="center"/>
          </w:tcPr>
          <w:p w14:paraId="5E6FF59B" w14:textId="77777777" w:rsidR="001236DF" w:rsidRPr="009C4ED3" w:rsidRDefault="001236DF" w:rsidP="001236DF">
            <w:pPr>
              <w:pStyle w:val="TableText"/>
              <w:jc w:val="center"/>
              <w:rPr>
                <w:szCs w:val="18"/>
              </w:rPr>
            </w:pPr>
            <w:r>
              <w:rPr>
                <w:szCs w:val="18"/>
              </w:rPr>
              <w:t>–</w:t>
            </w:r>
          </w:p>
        </w:tc>
        <w:tc>
          <w:tcPr>
            <w:tcW w:w="991" w:type="dxa"/>
            <w:vAlign w:val="center"/>
          </w:tcPr>
          <w:p w14:paraId="082E2988" w14:textId="77777777" w:rsidR="001236DF" w:rsidRDefault="001236DF" w:rsidP="001236DF">
            <w:pPr>
              <w:pStyle w:val="TableText"/>
              <w:tabs>
                <w:tab w:val="decimal" w:pos="624"/>
              </w:tabs>
              <w:jc w:val="center"/>
              <w:rPr>
                <w:szCs w:val="18"/>
              </w:rPr>
            </w:pPr>
            <w:r>
              <w:rPr>
                <w:szCs w:val="18"/>
              </w:rPr>
              <w:t>3</w:t>
            </w:r>
          </w:p>
        </w:tc>
      </w:tr>
      <w:tr w:rsidR="001236DF" w:rsidRPr="008E5A9E" w14:paraId="1ACF649C" w14:textId="77777777" w:rsidTr="001236DF">
        <w:trPr>
          <w:cantSplit/>
        </w:trPr>
        <w:tc>
          <w:tcPr>
            <w:tcW w:w="2410" w:type="dxa"/>
          </w:tcPr>
          <w:p w14:paraId="77CAB7F8" w14:textId="77777777" w:rsidR="001236DF" w:rsidRPr="008E5A9E" w:rsidRDefault="001236DF" w:rsidP="001236DF">
            <w:pPr>
              <w:pStyle w:val="TableText"/>
              <w:rPr>
                <w:b/>
              </w:rPr>
            </w:pPr>
            <w:r w:rsidRPr="008E5A9E">
              <w:rPr>
                <w:b/>
              </w:rPr>
              <w:t>National total</w:t>
            </w:r>
          </w:p>
        </w:tc>
        <w:tc>
          <w:tcPr>
            <w:tcW w:w="1134" w:type="dxa"/>
          </w:tcPr>
          <w:p w14:paraId="37008C92" w14:textId="77777777" w:rsidR="001236DF" w:rsidRPr="009A581E" w:rsidRDefault="001236DF" w:rsidP="001236DF">
            <w:pPr>
              <w:pStyle w:val="TableText"/>
              <w:tabs>
                <w:tab w:val="decimal" w:pos="727"/>
              </w:tabs>
              <w:jc w:val="center"/>
              <w:rPr>
                <w:b/>
                <w:bCs/>
                <w:szCs w:val="18"/>
              </w:rPr>
            </w:pPr>
            <w:r w:rsidRPr="009A581E">
              <w:rPr>
                <w:b/>
                <w:bCs/>
              </w:rPr>
              <w:t>200</w:t>
            </w:r>
          </w:p>
        </w:tc>
        <w:tc>
          <w:tcPr>
            <w:tcW w:w="1134" w:type="dxa"/>
          </w:tcPr>
          <w:p w14:paraId="2B1D9109" w14:textId="77777777" w:rsidR="001236DF" w:rsidRPr="009A581E" w:rsidRDefault="001236DF" w:rsidP="001236DF">
            <w:pPr>
              <w:pStyle w:val="TableText"/>
              <w:tabs>
                <w:tab w:val="decimal" w:pos="652"/>
              </w:tabs>
              <w:jc w:val="center"/>
              <w:rPr>
                <w:b/>
                <w:bCs/>
                <w:szCs w:val="18"/>
              </w:rPr>
            </w:pPr>
            <w:r w:rsidRPr="009A581E">
              <w:rPr>
                <w:b/>
                <w:bCs/>
              </w:rPr>
              <w:t>20</w:t>
            </w:r>
          </w:p>
        </w:tc>
        <w:tc>
          <w:tcPr>
            <w:tcW w:w="1418" w:type="dxa"/>
          </w:tcPr>
          <w:p w14:paraId="2851D180" w14:textId="77777777" w:rsidR="001236DF" w:rsidRPr="009A581E" w:rsidRDefault="001236DF" w:rsidP="001236DF">
            <w:pPr>
              <w:pStyle w:val="TableText"/>
              <w:jc w:val="center"/>
              <w:rPr>
                <w:b/>
                <w:bCs/>
                <w:szCs w:val="18"/>
              </w:rPr>
            </w:pPr>
            <w:r w:rsidRPr="009A581E">
              <w:rPr>
                <w:b/>
                <w:bCs/>
              </w:rPr>
              <w:t>5</w:t>
            </w:r>
          </w:p>
        </w:tc>
        <w:tc>
          <w:tcPr>
            <w:tcW w:w="992" w:type="dxa"/>
          </w:tcPr>
          <w:p w14:paraId="65DEDD0F" w14:textId="77777777" w:rsidR="001236DF" w:rsidRPr="009A581E" w:rsidRDefault="001236DF" w:rsidP="001236DF">
            <w:pPr>
              <w:pStyle w:val="TableText"/>
              <w:jc w:val="center"/>
              <w:rPr>
                <w:b/>
                <w:bCs/>
                <w:szCs w:val="18"/>
              </w:rPr>
            </w:pPr>
            <w:r w:rsidRPr="009A581E">
              <w:rPr>
                <w:b/>
                <w:bCs/>
              </w:rPr>
              <w:t>2</w:t>
            </w:r>
          </w:p>
        </w:tc>
        <w:tc>
          <w:tcPr>
            <w:tcW w:w="991" w:type="dxa"/>
          </w:tcPr>
          <w:p w14:paraId="31D3862E" w14:textId="77777777" w:rsidR="001236DF" w:rsidRPr="009A581E" w:rsidRDefault="001236DF" w:rsidP="001236DF">
            <w:pPr>
              <w:pStyle w:val="TableText"/>
              <w:tabs>
                <w:tab w:val="decimal" w:pos="624"/>
              </w:tabs>
              <w:jc w:val="center"/>
              <w:rPr>
                <w:b/>
                <w:bCs/>
                <w:szCs w:val="18"/>
              </w:rPr>
            </w:pPr>
            <w:r w:rsidRPr="009A581E">
              <w:rPr>
                <w:b/>
                <w:bCs/>
              </w:rPr>
              <w:t>227</w:t>
            </w:r>
          </w:p>
        </w:tc>
      </w:tr>
    </w:tbl>
    <w:p w14:paraId="21537C9B" w14:textId="77777777" w:rsidR="001236DF" w:rsidRPr="00200234" w:rsidRDefault="001236DF" w:rsidP="001236DF">
      <w:pPr>
        <w:pStyle w:val="Note"/>
      </w:pPr>
      <w:r w:rsidRPr="00200234">
        <w:t>Note: AWOL = absent without leave.</w:t>
      </w:r>
    </w:p>
    <w:p w14:paraId="1AE0082C" w14:textId="77777777" w:rsidR="001236DF" w:rsidRPr="00200234" w:rsidRDefault="001236DF" w:rsidP="001236DF">
      <w:pPr>
        <w:pStyle w:val="Source"/>
      </w:pPr>
      <w:r w:rsidRPr="00200234">
        <w:t>Source: HQSC adverse event data</w:t>
      </w:r>
      <w:r>
        <w:t xml:space="preserve"> (extracted</w:t>
      </w:r>
      <w:r w:rsidRPr="00200234">
        <w:t xml:space="preserve"> </w:t>
      </w:r>
      <w:r>
        <w:t>2 June 2022)</w:t>
      </w:r>
      <w:r w:rsidRPr="00200234">
        <w:t>.</w:t>
      </w:r>
    </w:p>
    <w:p w14:paraId="1FA64CDD" w14:textId="77777777" w:rsidR="001236DF" w:rsidRPr="00ED4FA1" w:rsidRDefault="001236DF" w:rsidP="001236DF"/>
    <w:p w14:paraId="49DF7BB3" w14:textId="1D9B06A2" w:rsidR="001236DF" w:rsidRDefault="001236DF" w:rsidP="001236DF">
      <w:pPr>
        <w:pStyle w:val="Table"/>
      </w:pPr>
      <w:bookmarkStart w:id="535" w:name="_Ref85452137"/>
      <w:bookmarkStart w:id="536" w:name="_Toc87430013"/>
      <w:bookmarkStart w:id="537" w:name="_Toc88561370"/>
      <w:bookmarkStart w:id="538" w:name="_Toc115188905"/>
      <w:bookmarkStart w:id="539" w:name="_Toc115272607"/>
      <w:r>
        <w:t>Table </w:t>
      </w:r>
      <w:fldSimple w:instr=" SEQ Table \* ARABIC ">
        <w:r w:rsidR="009A04B0">
          <w:rPr>
            <w:noProof/>
          </w:rPr>
          <w:t>16</w:t>
        </w:r>
      </w:fldSimple>
      <w:bookmarkEnd w:id="535"/>
      <w:r w:rsidRPr="001559C7">
        <w:t xml:space="preserve">: </w:t>
      </w:r>
      <w:r>
        <w:t>Number of m</w:t>
      </w:r>
      <w:r w:rsidRPr="001559C7">
        <w:t>ental health adverse events that DHBs reported to the HQSC, by DHB, 1</w:t>
      </w:r>
      <w:r>
        <w:t> </w:t>
      </w:r>
      <w:r w:rsidRPr="001559C7">
        <w:t>J</w:t>
      </w:r>
      <w:bookmarkEnd w:id="536"/>
      <w:bookmarkEnd w:id="537"/>
      <w:r>
        <w:t>uly 2020 to 30 June 2021</w:t>
      </w:r>
      <w:bookmarkEnd w:id="538"/>
      <w:bookmarkEnd w:id="539"/>
    </w:p>
    <w:tbl>
      <w:tblPr>
        <w:tblW w:w="4931"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903"/>
        <w:gridCol w:w="126"/>
        <w:gridCol w:w="1606"/>
        <w:gridCol w:w="43"/>
        <w:gridCol w:w="520"/>
        <w:gridCol w:w="2094"/>
        <w:gridCol w:w="1676"/>
      </w:tblGrid>
      <w:tr w:rsidR="001236DF" w:rsidRPr="00200234" w14:paraId="4335CD05" w14:textId="77777777" w:rsidTr="001236DF">
        <w:trPr>
          <w:cantSplit/>
        </w:trPr>
        <w:tc>
          <w:tcPr>
            <w:tcW w:w="1194" w:type="pct"/>
            <w:tcBorders>
              <w:top w:val="nil"/>
              <w:bottom w:val="nil"/>
            </w:tcBorders>
            <w:shd w:val="clear" w:color="auto" w:fill="D9D9D9" w:themeFill="background1" w:themeFillShade="D9"/>
          </w:tcPr>
          <w:p w14:paraId="1D994B76" w14:textId="77777777" w:rsidR="001236DF" w:rsidRPr="008E5A9E" w:rsidRDefault="001236DF" w:rsidP="001236DF">
            <w:pPr>
              <w:pStyle w:val="TableText"/>
              <w:rPr>
                <w:b/>
              </w:rPr>
            </w:pPr>
            <w:r w:rsidRPr="008E5A9E">
              <w:rPr>
                <w:b/>
              </w:rPr>
              <w:t>DHB</w:t>
            </w:r>
          </w:p>
        </w:tc>
        <w:tc>
          <w:tcPr>
            <w:tcW w:w="1087" w:type="pct"/>
            <w:gridSpan w:val="2"/>
            <w:tcBorders>
              <w:top w:val="nil"/>
              <w:bottom w:val="nil"/>
            </w:tcBorders>
            <w:shd w:val="clear" w:color="auto" w:fill="D9D9D9" w:themeFill="background1" w:themeFillShade="D9"/>
          </w:tcPr>
          <w:p w14:paraId="1CF0A1A5" w14:textId="77777777" w:rsidR="001236DF" w:rsidRPr="008E5A9E" w:rsidRDefault="001236DF" w:rsidP="001236DF">
            <w:pPr>
              <w:pStyle w:val="TableText"/>
              <w:jc w:val="center"/>
              <w:rPr>
                <w:b/>
              </w:rPr>
            </w:pPr>
            <w:r w:rsidRPr="008E5A9E">
              <w:rPr>
                <w:b/>
              </w:rPr>
              <w:t>Number of events</w:t>
            </w:r>
          </w:p>
        </w:tc>
        <w:tc>
          <w:tcPr>
            <w:tcW w:w="353" w:type="pct"/>
            <w:gridSpan w:val="2"/>
            <w:tcBorders>
              <w:top w:val="nil"/>
              <w:bottom w:val="nil"/>
            </w:tcBorders>
            <w:shd w:val="clear" w:color="auto" w:fill="auto"/>
          </w:tcPr>
          <w:p w14:paraId="5675FE1F" w14:textId="77777777" w:rsidR="001236DF" w:rsidRPr="00200234" w:rsidRDefault="001236DF" w:rsidP="001236DF">
            <w:pPr>
              <w:pStyle w:val="TableText"/>
            </w:pPr>
          </w:p>
        </w:tc>
        <w:tc>
          <w:tcPr>
            <w:tcW w:w="1314" w:type="pct"/>
            <w:tcBorders>
              <w:top w:val="nil"/>
              <w:bottom w:val="nil"/>
            </w:tcBorders>
            <w:shd w:val="clear" w:color="auto" w:fill="D9D9D9" w:themeFill="background1" w:themeFillShade="D9"/>
          </w:tcPr>
          <w:p w14:paraId="07A2DA89" w14:textId="77777777" w:rsidR="001236DF" w:rsidRPr="008E5A9E" w:rsidRDefault="001236DF" w:rsidP="001236DF">
            <w:pPr>
              <w:pStyle w:val="TableText"/>
              <w:rPr>
                <w:b/>
              </w:rPr>
            </w:pPr>
            <w:r w:rsidRPr="008E5A9E">
              <w:rPr>
                <w:b/>
              </w:rPr>
              <w:t>DHB</w:t>
            </w:r>
          </w:p>
        </w:tc>
        <w:tc>
          <w:tcPr>
            <w:tcW w:w="1052" w:type="pct"/>
            <w:tcBorders>
              <w:top w:val="nil"/>
              <w:bottom w:val="nil"/>
            </w:tcBorders>
            <w:shd w:val="clear" w:color="auto" w:fill="D9D9D9" w:themeFill="background1" w:themeFillShade="D9"/>
          </w:tcPr>
          <w:p w14:paraId="0DA66322" w14:textId="77777777" w:rsidR="001236DF" w:rsidRPr="008E5A9E" w:rsidRDefault="001236DF" w:rsidP="001236DF">
            <w:pPr>
              <w:pStyle w:val="TableText"/>
              <w:jc w:val="center"/>
              <w:rPr>
                <w:b/>
              </w:rPr>
            </w:pPr>
            <w:r w:rsidRPr="008E5A9E">
              <w:rPr>
                <w:b/>
              </w:rPr>
              <w:t>Number of events</w:t>
            </w:r>
          </w:p>
        </w:tc>
      </w:tr>
      <w:tr w:rsidR="001236DF" w:rsidRPr="00200234" w14:paraId="34002021" w14:textId="77777777" w:rsidTr="001236DF">
        <w:trPr>
          <w:cantSplit/>
        </w:trPr>
        <w:tc>
          <w:tcPr>
            <w:tcW w:w="1194" w:type="pct"/>
            <w:tcBorders>
              <w:top w:val="nil"/>
            </w:tcBorders>
          </w:tcPr>
          <w:p w14:paraId="0206FF1A" w14:textId="77777777" w:rsidR="001236DF" w:rsidRPr="00200234" w:rsidRDefault="001236DF" w:rsidP="001236DF">
            <w:pPr>
              <w:pStyle w:val="TableText"/>
            </w:pPr>
            <w:r w:rsidRPr="00200234">
              <w:t>Auckland</w:t>
            </w:r>
          </w:p>
        </w:tc>
        <w:tc>
          <w:tcPr>
            <w:tcW w:w="1087" w:type="pct"/>
            <w:gridSpan w:val="2"/>
            <w:tcBorders>
              <w:top w:val="nil"/>
            </w:tcBorders>
          </w:tcPr>
          <w:p w14:paraId="61754A75" w14:textId="77777777" w:rsidR="001236DF" w:rsidRPr="00200234" w:rsidRDefault="001236DF" w:rsidP="001236DF">
            <w:pPr>
              <w:pStyle w:val="TableText"/>
              <w:tabs>
                <w:tab w:val="decimal" w:pos="936"/>
              </w:tabs>
            </w:pPr>
            <w:r w:rsidRPr="00E458AF">
              <w:t>19</w:t>
            </w:r>
          </w:p>
        </w:tc>
        <w:tc>
          <w:tcPr>
            <w:tcW w:w="353" w:type="pct"/>
            <w:gridSpan w:val="2"/>
            <w:tcBorders>
              <w:top w:val="nil"/>
              <w:bottom w:val="nil"/>
            </w:tcBorders>
            <w:shd w:val="clear" w:color="auto" w:fill="auto"/>
          </w:tcPr>
          <w:p w14:paraId="6BB64551" w14:textId="77777777" w:rsidR="001236DF" w:rsidRPr="00200234" w:rsidRDefault="001236DF" w:rsidP="001236DF">
            <w:pPr>
              <w:pStyle w:val="TableText"/>
            </w:pPr>
          </w:p>
        </w:tc>
        <w:tc>
          <w:tcPr>
            <w:tcW w:w="1314" w:type="pct"/>
            <w:tcBorders>
              <w:top w:val="nil"/>
            </w:tcBorders>
          </w:tcPr>
          <w:p w14:paraId="4A8E2AF6" w14:textId="77777777" w:rsidR="001236DF" w:rsidRPr="00200234" w:rsidRDefault="001236DF" w:rsidP="001236DF">
            <w:pPr>
              <w:pStyle w:val="TableText"/>
            </w:pPr>
            <w:r w:rsidRPr="00200234">
              <w:t>Northland</w:t>
            </w:r>
          </w:p>
        </w:tc>
        <w:tc>
          <w:tcPr>
            <w:tcW w:w="1052" w:type="pct"/>
            <w:tcBorders>
              <w:top w:val="nil"/>
            </w:tcBorders>
          </w:tcPr>
          <w:p w14:paraId="4B1306FE" w14:textId="77777777" w:rsidR="001236DF" w:rsidRPr="00200234" w:rsidRDefault="001236DF" w:rsidP="001236DF">
            <w:pPr>
              <w:pStyle w:val="TableText"/>
              <w:tabs>
                <w:tab w:val="decimal" w:pos="936"/>
              </w:tabs>
            </w:pPr>
            <w:r w:rsidRPr="00381AB0">
              <w:t>9</w:t>
            </w:r>
          </w:p>
        </w:tc>
      </w:tr>
      <w:tr w:rsidR="001236DF" w:rsidRPr="00200234" w14:paraId="682A439A" w14:textId="77777777" w:rsidTr="001236DF">
        <w:trPr>
          <w:cantSplit/>
        </w:trPr>
        <w:tc>
          <w:tcPr>
            <w:tcW w:w="1194" w:type="pct"/>
          </w:tcPr>
          <w:p w14:paraId="03DD7460" w14:textId="77777777" w:rsidR="001236DF" w:rsidRPr="00200234" w:rsidRDefault="001236DF" w:rsidP="001236DF">
            <w:pPr>
              <w:pStyle w:val="TableText"/>
            </w:pPr>
            <w:r w:rsidRPr="00200234">
              <w:t>Bay of Plenty</w:t>
            </w:r>
          </w:p>
        </w:tc>
        <w:tc>
          <w:tcPr>
            <w:tcW w:w="1087" w:type="pct"/>
            <w:gridSpan w:val="2"/>
          </w:tcPr>
          <w:p w14:paraId="61C626F1" w14:textId="77777777" w:rsidR="001236DF" w:rsidRPr="00200234" w:rsidRDefault="001236DF" w:rsidP="001236DF">
            <w:pPr>
              <w:pStyle w:val="TableText"/>
              <w:tabs>
                <w:tab w:val="decimal" w:pos="936"/>
              </w:tabs>
            </w:pPr>
            <w:r w:rsidRPr="00E458AF">
              <w:t>7</w:t>
            </w:r>
          </w:p>
        </w:tc>
        <w:tc>
          <w:tcPr>
            <w:tcW w:w="353" w:type="pct"/>
            <w:gridSpan w:val="2"/>
            <w:tcBorders>
              <w:top w:val="nil"/>
              <w:bottom w:val="nil"/>
            </w:tcBorders>
            <w:shd w:val="clear" w:color="auto" w:fill="auto"/>
          </w:tcPr>
          <w:p w14:paraId="09D0E1DE" w14:textId="77777777" w:rsidR="001236DF" w:rsidRPr="00200234" w:rsidRDefault="001236DF" w:rsidP="001236DF">
            <w:pPr>
              <w:pStyle w:val="TableText"/>
            </w:pPr>
          </w:p>
        </w:tc>
        <w:tc>
          <w:tcPr>
            <w:tcW w:w="1314" w:type="pct"/>
          </w:tcPr>
          <w:p w14:paraId="2D75ADDC" w14:textId="77777777" w:rsidR="001236DF" w:rsidRPr="00200234" w:rsidRDefault="001236DF" w:rsidP="001236DF">
            <w:pPr>
              <w:pStyle w:val="TableText"/>
            </w:pPr>
            <w:r w:rsidRPr="00200234">
              <w:t>South Canterbury</w:t>
            </w:r>
          </w:p>
        </w:tc>
        <w:tc>
          <w:tcPr>
            <w:tcW w:w="1052" w:type="pct"/>
          </w:tcPr>
          <w:p w14:paraId="169B8AD8" w14:textId="77777777" w:rsidR="001236DF" w:rsidRPr="00200234" w:rsidRDefault="001236DF" w:rsidP="001236DF">
            <w:pPr>
              <w:pStyle w:val="TableText"/>
              <w:tabs>
                <w:tab w:val="decimal" w:pos="936"/>
              </w:tabs>
            </w:pPr>
            <w:r w:rsidRPr="00381AB0">
              <w:t>9</w:t>
            </w:r>
          </w:p>
        </w:tc>
      </w:tr>
      <w:tr w:rsidR="001236DF" w:rsidRPr="00200234" w14:paraId="72D19B28" w14:textId="77777777" w:rsidTr="001236DF">
        <w:trPr>
          <w:cantSplit/>
        </w:trPr>
        <w:tc>
          <w:tcPr>
            <w:tcW w:w="1194" w:type="pct"/>
          </w:tcPr>
          <w:p w14:paraId="3870618F" w14:textId="77777777" w:rsidR="001236DF" w:rsidRPr="00200234" w:rsidRDefault="001236DF" w:rsidP="001236DF">
            <w:pPr>
              <w:pStyle w:val="TableText"/>
            </w:pPr>
            <w:r w:rsidRPr="00200234">
              <w:t>Canterbury</w:t>
            </w:r>
          </w:p>
        </w:tc>
        <w:tc>
          <w:tcPr>
            <w:tcW w:w="1087" w:type="pct"/>
            <w:gridSpan w:val="2"/>
          </w:tcPr>
          <w:p w14:paraId="4A5B7308" w14:textId="77777777" w:rsidR="001236DF" w:rsidRPr="00200234" w:rsidRDefault="001236DF" w:rsidP="001236DF">
            <w:pPr>
              <w:pStyle w:val="TableText"/>
              <w:tabs>
                <w:tab w:val="decimal" w:pos="936"/>
              </w:tabs>
            </w:pPr>
            <w:r w:rsidRPr="00E458AF">
              <w:t>16</w:t>
            </w:r>
          </w:p>
        </w:tc>
        <w:tc>
          <w:tcPr>
            <w:tcW w:w="353" w:type="pct"/>
            <w:gridSpan w:val="2"/>
            <w:tcBorders>
              <w:top w:val="nil"/>
              <w:bottom w:val="nil"/>
            </w:tcBorders>
            <w:shd w:val="clear" w:color="auto" w:fill="auto"/>
          </w:tcPr>
          <w:p w14:paraId="3158C9B5" w14:textId="77777777" w:rsidR="001236DF" w:rsidRPr="00200234" w:rsidRDefault="001236DF" w:rsidP="001236DF">
            <w:pPr>
              <w:pStyle w:val="TableText"/>
            </w:pPr>
          </w:p>
        </w:tc>
        <w:tc>
          <w:tcPr>
            <w:tcW w:w="1314" w:type="pct"/>
          </w:tcPr>
          <w:p w14:paraId="363EE964" w14:textId="77777777" w:rsidR="001236DF" w:rsidRPr="00200234" w:rsidRDefault="001236DF" w:rsidP="001236DF">
            <w:pPr>
              <w:pStyle w:val="TableText"/>
            </w:pPr>
            <w:r w:rsidRPr="00200234">
              <w:t>Southern</w:t>
            </w:r>
          </w:p>
        </w:tc>
        <w:tc>
          <w:tcPr>
            <w:tcW w:w="1052" w:type="pct"/>
          </w:tcPr>
          <w:p w14:paraId="268C637E" w14:textId="77777777" w:rsidR="001236DF" w:rsidRPr="00200234" w:rsidRDefault="001236DF" w:rsidP="001236DF">
            <w:pPr>
              <w:pStyle w:val="TableText"/>
              <w:tabs>
                <w:tab w:val="decimal" w:pos="936"/>
              </w:tabs>
            </w:pPr>
            <w:r w:rsidRPr="00381AB0">
              <w:t>6</w:t>
            </w:r>
          </w:p>
        </w:tc>
      </w:tr>
      <w:tr w:rsidR="001236DF" w:rsidRPr="00200234" w14:paraId="388C40CE" w14:textId="77777777" w:rsidTr="001236DF">
        <w:trPr>
          <w:cantSplit/>
        </w:trPr>
        <w:tc>
          <w:tcPr>
            <w:tcW w:w="1194" w:type="pct"/>
          </w:tcPr>
          <w:p w14:paraId="6E3A4B2F" w14:textId="77777777" w:rsidR="001236DF" w:rsidRPr="00200234" w:rsidRDefault="001236DF" w:rsidP="001236DF">
            <w:pPr>
              <w:pStyle w:val="TableText"/>
            </w:pPr>
            <w:r w:rsidRPr="00200234">
              <w:t>Capital &amp; Coast</w:t>
            </w:r>
          </w:p>
        </w:tc>
        <w:tc>
          <w:tcPr>
            <w:tcW w:w="1087" w:type="pct"/>
            <w:gridSpan w:val="2"/>
          </w:tcPr>
          <w:p w14:paraId="4D633B71" w14:textId="77777777" w:rsidR="001236DF" w:rsidRPr="00200234" w:rsidRDefault="001236DF" w:rsidP="001236DF">
            <w:pPr>
              <w:pStyle w:val="TableText"/>
              <w:tabs>
                <w:tab w:val="decimal" w:pos="936"/>
              </w:tabs>
            </w:pPr>
            <w:r w:rsidRPr="00E458AF">
              <w:t>17</w:t>
            </w:r>
          </w:p>
        </w:tc>
        <w:tc>
          <w:tcPr>
            <w:tcW w:w="353" w:type="pct"/>
            <w:gridSpan w:val="2"/>
            <w:tcBorders>
              <w:top w:val="nil"/>
              <w:bottom w:val="nil"/>
            </w:tcBorders>
            <w:shd w:val="clear" w:color="auto" w:fill="auto"/>
          </w:tcPr>
          <w:p w14:paraId="72EC3125" w14:textId="77777777" w:rsidR="001236DF" w:rsidRPr="00200234" w:rsidRDefault="001236DF" w:rsidP="001236DF">
            <w:pPr>
              <w:pStyle w:val="TableText"/>
            </w:pPr>
          </w:p>
        </w:tc>
        <w:tc>
          <w:tcPr>
            <w:tcW w:w="1314" w:type="pct"/>
          </w:tcPr>
          <w:p w14:paraId="6A264323" w14:textId="77777777" w:rsidR="001236DF" w:rsidRPr="00200234" w:rsidRDefault="001236DF" w:rsidP="001236DF">
            <w:pPr>
              <w:pStyle w:val="TableText"/>
            </w:pPr>
            <w:r w:rsidRPr="00200234">
              <w:t>Tairāwhiti</w:t>
            </w:r>
          </w:p>
        </w:tc>
        <w:tc>
          <w:tcPr>
            <w:tcW w:w="1052" w:type="pct"/>
          </w:tcPr>
          <w:p w14:paraId="58EA88BB" w14:textId="77777777" w:rsidR="001236DF" w:rsidRPr="00200234" w:rsidRDefault="001236DF" w:rsidP="001236DF">
            <w:pPr>
              <w:pStyle w:val="TableText"/>
              <w:tabs>
                <w:tab w:val="decimal" w:pos="936"/>
              </w:tabs>
            </w:pPr>
            <w:r w:rsidRPr="00381AB0">
              <w:t>25</w:t>
            </w:r>
          </w:p>
        </w:tc>
      </w:tr>
      <w:tr w:rsidR="001236DF" w:rsidRPr="00200234" w14:paraId="072B1C39" w14:textId="77777777" w:rsidTr="001236DF">
        <w:trPr>
          <w:cantSplit/>
        </w:trPr>
        <w:tc>
          <w:tcPr>
            <w:tcW w:w="1194" w:type="pct"/>
          </w:tcPr>
          <w:p w14:paraId="779EF4A0" w14:textId="77777777" w:rsidR="001236DF" w:rsidRPr="00200234" w:rsidRDefault="001236DF" w:rsidP="001236DF">
            <w:pPr>
              <w:pStyle w:val="TableText"/>
            </w:pPr>
            <w:r w:rsidRPr="00200234">
              <w:t>Counties Manukau</w:t>
            </w:r>
          </w:p>
        </w:tc>
        <w:tc>
          <w:tcPr>
            <w:tcW w:w="1087" w:type="pct"/>
            <w:gridSpan w:val="2"/>
          </w:tcPr>
          <w:p w14:paraId="281B9D81" w14:textId="77777777" w:rsidR="001236DF" w:rsidRPr="00200234" w:rsidRDefault="001236DF" w:rsidP="001236DF">
            <w:pPr>
              <w:pStyle w:val="TableText"/>
              <w:tabs>
                <w:tab w:val="decimal" w:pos="936"/>
              </w:tabs>
            </w:pPr>
            <w:r w:rsidRPr="00E458AF">
              <w:t>19</w:t>
            </w:r>
          </w:p>
        </w:tc>
        <w:tc>
          <w:tcPr>
            <w:tcW w:w="353" w:type="pct"/>
            <w:gridSpan w:val="2"/>
            <w:tcBorders>
              <w:top w:val="nil"/>
              <w:bottom w:val="nil"/>
            </w:tcBorders>
            <w:shd w:val="clear" w:color="auto" w:fill="auto"/>
          </w:tcPr>
          <w:p w14:paraId="46762F9C" w14:textId="77777777" w:rsidR="001236DF" w:rsidRPr="00200234" w:rsidRDefault="001236DF" w:rsidP="001236DF">
            <w:pPr>
              <w:pStyle w:val="TableText"/>
            </w:pPr>
          </w:p>
        </w:tc>
        <w:tc>
          <w:tcPr>
            <w:tcW w:w="1314" w:type="pct"/>
          </w:tcPr>
          <w:p w14:paraId="3F0D5408" w14:textId="77777777" w:rsidR="001236DF" w:rsidRPr="00200234" w:rsidRDefault="001236DF" w:rsidP="001236DF">
            <w:pPr>
              <w:pStyle w:val="TableText"/>
            </w:pPr>
            <w:r w:rsidRPr="00200234">
              <w:t>Taranaki</w:t>
            </w:r>
          </w:p>
        </w:tc>
        <w:tc>
          <w:tcPr>
            <w:tcW w:w="1052" w:type="pct"/>
          </w:tcPr>
          <w:p w14:paraId="7D5D8102" w14:textId="77777777" w:rsidR="001236DF" w:rsidRPr="00200234" w:rsidRDefault="001236DF" w:rsidP="001236DF">
            <w:pPr>
              <w:pStyle w:val="TableText"/>
              <w:tabs>
                <w:tab w:val="decimal" w:pos="936"/>
              </w:tabs>
            </w:pPr>
            <w:r w:rsidRPr="00381AB0">
              <w:t>9</w:t>
            </w:r>
          </w:p>
        </w:tc>
      </w:tr>
      <w:tr w:rsidR="001236DF" w:rsidRPr="00200234" w14:paraId="54328E1D" w14:textId="77777777" w:rsidTr="001236DF">
        <w:trPr>
          <w:cantSplit/>
        </w:trPr>
        <w:tc>
          <w:tcPr>
            <w:tcW w:w="1194" w:type="pct"/>
          </w:tcPr>
          <w:p w14:paraId="1BE658CD" w14:textId="77777777" w:rsidR="001236DF" w:rsidRPr="00200234" w:rsidRDefault="001236DF" w:rsidP="001236DF">
            <w:pPr>
              <w:pStyle w:val="TableText"/>
            </w:pPr>
            <w:r w:rsidRPr="00200234">
              <w:t>Hawke</w:t>
            </w:r>
            <w:r>
              <w:t>’</w:t>
            </w:r>
            <w:r w:rsidRPr="00200234">
              <w:t>s Bay</w:t>
            </w:r>
          </w:p>
        </w:tc>
        <w:tc>
          <w:tcPr>
            <w:tcW w:w="1087" w:type="pct"/>
            <w:gridSpan w:val="2"/>
          </w:tcPr>
          <w:p w14:paraId="6EE97CBF" w14:textId="77777777" w:rsidR="001236DF" w:rsidRPr="00200234" w:rsidRDefault="001236DF" w:rsidP="001236DF">
            <w:pPr>
              <w:pStyle w:val="TableText"/>
              <w:tabs>
                <w:tab w:val="decimal" w:pos="936"/>
              </w:tabs>
            </w:pPr>
            <w:r w:rsidRPr="00E458AF">
              <w:t>2</w:t>
            </w:r>
          </w:p>
        </w:tc>
        <w:tc>
          <w:tcPr>
            <w:tcW w:w="353" w:type="pct"/>
            <w:gridSpan w:val="2"/>
            <w:tcBorders>
              <w:top w:val="nil"/>
              <w:bottom w:val="nil"/>
            </w:tcBorders>
            <w:shd w:val="clear" w:color="auto" w:fill="auto"/>
          </w:tcPr>
          <w:p w14:paraId="0E63A825" w14:textId="77777777" w:rsidR="001236DF" w:rsidRPr="00200234" w:rsidRDefault="001236DF" w:rsidP="001236DF">
            <w:pPr>
              <w:pStyle w:val="TableText"/>
            </w:pPr>
          </w:p>
        </w:tc>
        <w:tc>
          <w:tcPr>
            <w:tcW w:w="1314" w:type="pct"/>
          </w:tcPr>
          <w:p w14:paraId="2036578E" w14:textId="77777777" w:rsidR="001236DF" w:rsidRPr="00200234" w:rsidRDefault="001236DF" w:rsidP="001236DF">
            <w:pPr>
              <w:pStyle w:val="TableText"/>
            </w:pPr>
            <w:r w:rsidRPr="00200234">
              <w:t>Waikato</w:t>
            </w:r>
          </w:p>
        </w:tc>
        <w:tc>
          <w:tcPr>
            <w:tcW w:w="1052" w:type="pct"/>
          </w:tcPr>
          <w:p w14:paraId="5FC99A55" w14:textId="77777777" w:rsidR="001236DF" w:rsidRPr="00200234" w:rsidRDefault="001236DF" w:rsidP="001236DF">
            <w:pPr>
              <w:pStyle w:val="TableText"/>
              <w:tabs>
                <w:tab w:val="decimal" w:pos="936"/>
              </w:tabs>
            </w:pPr>
            <w:r w:rsidRPr="00381AB0">
              <w:t>8</w:t>
            </w:r>
          </w:p>
        </w:tc>
      </w:tr>
      <w:tr w:rsidR="001236DF" w:rsidRPr="00200234" w14:paraId="3945ED56" w14:textId="77777777" w:rsidTr="001236DF">
        <w:trPr>
          <w:cantSplit/>
        </w:trPr>
        <w:tc>
          <w:tcPr>
            <w:tcW w:w="1194" w:type="pct"/>
          </w:tcPr>
          <w:p w14:paraId="3282C335" w14:textId="77777777" w:rsidR="001236DF" w:rsidRPr="00200234" w:rsidRDefault="001236DF" w:rsidP="001236DF">
            <w:pPr>
              <w:pStyle w:val="TableText"/>
            </w:pPr>
            <w:r w:rsidRPr="00200234">
              <w:t>Hutt Valley</w:t>
            </w:r>
          </w:p>
        </w:tc>
        <w:tc>
          <w:tcPr>
            <w:tcW w:w="1087" w:type="pct"/>
            <w:gridSpan w:val="2"/>
          </w:tcPr>
          <w:p w14:paraId="5D878578" w14:textId="77777777" w:rsidR="001236DF" w:rsidRPr="00200234" w:rsidRDefault="001236DF" w:rsidP="001236DF">
            <w:pPr>
              <w:pStyle w:val="TableText"/>
              <w:tabs>
                <w:tab w:val="decimal" w:pos="936"/>
              </w:tabs>
            </w:pPr>
            <w:r w:rsidRPr="00E458AF">
              <w:t>10</w:t>
            </w:r>
          </w:p>
        </w:tc>
        <w:tc>
          <w:tcPr>
            <w:tcW w:w="353" w:type="pct"/>
            <w:gridSpan w:val="2"/>
            <w:tcBorders>
              <w:top w:val="nil"/>
              <w:bottom w:val="nil"/>
            </w:tcBorders>
            <w:shd w:val="clear" w:color="auto" w:fill="auto"/>
          </w:tcPr>
          <w:p w14:paraId="331835CB" w14:textId="77777777" w:rsidR="001236DF" w:rsidRPr="00200234" w:rsidRDefault="001236DF" w:rsidP="001236DF">
            <w:pPr>
              <w:pStyle w:val="TableText"/>
            </w:pPr>
          </w:p>
        </w:tc>
        <w:tc>
          <w:tcPr>
            <w:tcW w:w="1314" w:type="pct"/>
          </w:tcPr>
          <w:p w14:paraId="42D4877C" w14:textId="77777777" w:rsidR="001236DF" w:rsidRPr="00200234" w:rsidRDefault="001236DF" w:rsidP="001236DF">
            <w:pPr>
              <w:pStyle w:val="TableText"/>
            </w:pPr>
            <w:r w:rsidRPr="00200234">
              <w:t>Wairarapa</w:t>
            </w:r>
          </w:p>
        </w:tc>
        <w:tc>
          <w:tcPr>
            <w:tcW w:w="1052" w:type="pct"/>
          </w:tcPr>
          <w:p w14:paraId="6E5E789C" w14:textId="77777777" w:rsidR="001236DF" w:rsidRPr="00200234" w:rsidRDefault="001236DF" w:rsidP="001236DF">
            <w:pPr>
              <w:pStyle w:val="TableText"/>
              <w:tabs>
                <w:tab w:val="decimal" w:pos="936"/>
              </w:tabs>
            </w:pPr>
            <w:r w:rsidRPr="00381AB0">
              <w:t>0</w:t>
            </w:r>
          </w:p>
        </w:tc>
      </w:tr>
      <w:tr w:rsidR="001236DF" w:rsidRPr="00200234" w14:paraId="2829013E" w14:textId="77777777" w:rsidTr="001236DF">
        <w:trPr>
          <w:cantSplit/>
        </w:trPr>
        <w:tc>
          <w:tcPr>
            <w:tcW w:w="1194" w:type="pct"/>
          </w:tcPr>
          <w:p w14:paraId="4AAECF0A" w14:textId="77777777" w:rsidR="001236DF" w:rsidRPr="00200234" w:rsidRDefault="001236DF" w:rsidP="001236DF">
            <w:pPr>
              <w:pStyle w:val="TableText"/>
            </w:pPr>
            <w:r w:rsidRPr="00200234">
              <w:t>Lakes</w:t>
            </w:r>
          </w:p>
        </w:tc>
        <w:tc>
          <w:tcPr>
            <w:tcW w:w="1087" w:type="pct"/>
            <w:gridSpan w:val="2"/>
          </w:tcPr>
          <w:p w14:paraId="2F498175" w14:textId="77777777" w:rsidR="001236DF" w:rsidRPr="00200234" w:rsidRDefault="001236DF" w:rsidP="001236DF">
            <w:pPr>
              <w:pStyle w:val="TableText"/>
              <w:tabs>
                <w:tab w:val="decimal" w:pos="936"/>
              </w:tabs>
            </w:pPr>
            <w:r w:rsidRPr="00E458AF">
              <w:t>4</w:t>
            </w:r>
          </w:p>
        </w:tc>
        <w:tc>
          <w:tcPr>
            <w:tcW w:w="353" w:type="pct"/>
            <w:gridSpan w:val="2"/>
            <w:tcBorders>
              <w:top w:val="nil"/>
              <w:bottom w:val="nil"/>
            </w:tcBorders>
            <w:shd w:val="clear" w:color="auto" w:fill="auto"/>
          </w:tcPr>
          <w:p w14:paraId="31F842A4" w14:textId="77777777" w:rsidR="001236DF" w:rsidRPr="00200234" w:rsidRDefault="001236DF" w:rsidP="001236DF">
            <w:pPr>
              <w:pStyle w:val="TableText"/>
            </w:pPr>
          </w:p>
        </w:tc>
        <w:tc>
          <w:tcPr>
            <w:tcW w:w="1314" w:type="pct"/>
          </w:tcPr>
          <w:p w14:paraId="1C215EF4" w14:textId="77777777" w:rsidR="001236DF" w:rsidRPr="00200234" w:rsidRDefault="001236DF" w:rsidP="001236DF">
            <w:pPr>
              <w:pStyle w:val="TableText"/>
            </w:pPr>
            <w:r w:rsidRPr="00200234">
              <w:t>Waitematā</w:t>
            </w:r>
          </w:p>
        </w:tc>
        <w:tc>
          <w:tcPr>
            <w:tcW w:w="1052" w:type="pct"/>
          </w:tcPr>
          <w:p w14:paraId="47447428" w14:textId="77777777" w:rsidR="001236DF" w:rsidRPr="00200234" w:rsidRDefault="001236DF" w:rsidP="001236DF">
            <w:pPr>
              <w:pStyle w:val="TableText"/>
              <w:tabs>
                <w:tab w:val="decimal" w:pos="936"/>
              </w:tabs>
            </w:pPr>
            <w:r w:rsidRPr="00381AB0">
              <w:t>37</w:t>
            </w:r>
          </w:p>
        </w:tc>
      </w:tr>
      <w:tr w:rsidR="001236DF" w:rsidRPr="00200234" w14:paraId="7680A78F" w14:textId="77777777" w:rsidTr="001236DF">
        <w:trPr>
          <w:cantSplit/>
        </w:trPr>
        <w:tc>
          <w:tcPr>
            <w:tcW w:w="1194" w:type="pct"/>
          </w:tcPr>
          <w:p w14:paraId="482171C7" w14:textId="77777777" w:rsidR="001236DF" w:rsidRPr="00200234" w:rsidRDefault="001236DF" w:rsidP="001236DF">
            <w:pPr>
              <w:pStyle w:val="TableText"/>
            </w:pPr>
            <w:r w:rsidRPr="00200234">
              <w:t>MidCentral</w:t>
            </w:r>
          </w:p>
        </w:tc>
        <w:tc>
          <w:tcPr>
            <w:tcW w:w="1087" w:type="pct"/>
            <w:gridSpan w:val="2"/>
          </w:tcPr>
          <w:p w14:paraId="4616B95B" w14:textId="77777777" w:rsidR="001236DF" w:rsidRPr="00200234" w:rsidRDefault="001236DF" w:rsidP="001236DF">
            <w:pPr>
              <w:pStyle w:val="TableText"/>
              <w:tabs>
                <w:tab w:val="decimal" w:pos="936"/>
              </w:tabs>
            </w:pPr>
            <w:r w:rsidRPr="00E458AF">
              <w:t>11</w:t>
            </w:r>
          </w:p>
        </w:tc>
        <w:tc>
          <w:tcPr>
            <w:tcW w:w="353" w:type="pct"/>
            <w:gridSpan w:val="2"/>
            <w:tcBorders>
              <w:top w:val="nil"/>
              <w:bottom w:val="nil"/>
            </w:tcBorders>
            <w:shd w:val="clear" w:color="auto" w:fill="auto"/>
          </w:tcPr>
          <w:p w14:paraId="70D1BEA2" w14:textId="77777777" w:rsidR="001236DF" w:rsidRPr="00200234" w:rsidRDefault="001236DF" w:rsidP="001236DF">
            <w:pPr>
              <w:pStyle w:val="TableText"/>
            </w:pPr>
          </w:p>
        </w:tc>
        <w:tc>
          <w:tcPr>
            <w:tcW w:w="1314" w:type="pct"/>
          </w:tcPr>
          <w:p w14:paraId="398B403E" w14:textId="77777777" w:rsidR="001236DF" w:rsidRPr="00200234" w:rsidRDefault="001236DF" w:rsidP="001236DF">
            <w:pPr>
              <w:pStyle w:val="TableText"/>
            </w:pPr>
            <w:r w:rsidRPr="00200234">
              <w:t>West Coast</w:t>
            </w:r>
          </w:p>
        </w:tc>
        <w:tc>
          <w:tcPr>
            <w:tcW w:w="1052" w:type="pct"/>
          </w:tcPr>
          <w:p w14:paraId="2E2C59E0" w14:textId="77777777" w:rsidR="001236DF" w:rsidRPr="00200234" w:rsidRDefault="001236DF" w:rsidP="001236DF">
            <w:pPr>
              <w:pStyle w:val="TableText"/>
              <w:tabs>
                <w:tab w:val="decimal" w:pos="936"/>
              </w:tabs>
            </w:pPr>
            <w:r w:rsidRPr="00381AB0">
              <w:t>2</w:t>
            </w:r>
          </w:p>
        </w:tc>
      </w:tr>
      <w:tr w:rsidR="001236DF" w:rsidRPr="00200234" w14:paraId="641B6DA2" w14:textId="77777777" w:rsidTr="001236DF">
        <w:trPr>
          <w:cantSplit/>
        </w:trPr>
        <w:tc>
          <w:tcPr>
            <w:tcW w:w="1194" w:type="pct"/>
            <w:tcBorders>
              <w:bottom w:val="single" w:sz="4" w:space="0" w:color="A6A6A6" w:themeColor="background1" w:themeShade="A6"/>
            </w:tcBorders>
          </w:tcPr>
          <w:p w14:paraId="40A91A33" w14:textId="77777777" w:rsidR="001236DF" w:rsidRPr="00200234" w:rsidRDefault="001236DF" w:rsidP="001236DF">
            <w:pPr>
              <w:pStyle w:val="TableText"/>
            </w:pPr>
            <w:r w:rsidRPr="00200234">
              <w:t>Nelson Marlborough</w:t>
            </w:r>
          </w:p>
        </w:tc>
        <w:tc>
          <w:tcPr>
            <w:tcW w:w="1087" w:type="pct"/>
            <w:gridSpan w:val="2"/>
            <w:tcBorders>
              <w:bottom w:val="single" w:sz="4" w:space="0" w:color="A6A6A6" w:themeColor="background1" w:themeShade="A6"/>
            </w:tcBorders>
          </w:tcPr>
          <w:p w14:paraId="325EFD1B" w14:textId="77777777" w:rsidR="001236DF" w:rsidRPr="00200234" w:rsidRDefault="001236DF" w:rsidP="001236DF">
            <w:pPr>
              <w:pStyle w:val="TableText"/>
              <w:tabs>
                <w:tab w:val="decimal" w:pos="936"/>
              </w:tabs>
            </w:pPr>
            <w:r w:rsidRPr="00E458AF">
              <w:t>14</w:t>
            </w:r>
          </w:p>
        </w:tc>
        <w:tc>
          <w:tcPr>
            <w:tcW w:w="353" w:type="pct"/>
            <w:gridSpan w:val="2"/>
            <w:tcBorders>
              <w:top w:val="nil"/>
              <w:bottom w:val="nil"/>
            </w:tcBorders>
            <w:shd w:val="clear" w:color="auto" w:fill="auto"/>
          </w:tcPr>
          <w:p w14:paraId="0120C1D7" w14:textId="77777777" w:rsidR="001236DF" w:rsidRPr="00200234" w:rsidRDefault="001236DF" w:rsidP="001236DF">
            <w:pPr>
              <w:pStyle w:val="TableText"/>
            </w:pPr>
          </w:p>
        </w:tc>
        <w:tc>
          <w:tcPr>
            <w:tcW w:w="1314" w:type="pct"/>
          </w:tcPr>
          <w:p w14:paraId="60B8FE17" w14:textId="77777777" w:rsidR="001236DF" w:rsidRPr="00200234" w:rsidRDefault="001236DF" w:rsidP="001236DF">
            <w:pPr>
              <w:pStyle w:val="TableText"/>
            </w:pPr>
            <w:r w:rsidRPr="00200234">
              <w:t>Whanganui</w:t>
            </w:r>
          </w:p>
        </w:tc>
        <w:tc>
          <w:tcPr>
            <w:tcW w:w="1052" w:type="pct"/>
          </w:tcPr>
          <w:p w14:paraId="33F89FE9" w14:textId="77777777" w:rsidR="001236DF" w:rsidRPr="00200234" w:rsidRDefault="001236DF" w:rsidP="001236DF">
            <w:pPr>
              <w:pStyle w:val="TableText"/>
              <w:tabs>
                <w:tab w:val="decimal" w:pos="936"/>
              </w:tabs>
            </w:pPr>
            <w:r w:rsidRPr="00381AB0">
              <w:t>3</w:t>
            </w:r>
          </w:p>
        </w:tc>
      </w:tr>
      <w:tr w:rsidR="001236DF" w:rsidRPr="00200234" w14:paraId="250D0E12" w14:textId="77777777" w:rsidTr="001236DF">
        <w:trPr>
          <w:cantSplit/>
        </w:trPr>
        <w:tc>
          <w:tcPr>
            <w:tcW w:w="1273" w:type="pct"/>
            <w:gridSpan w:val="2"/>
            <w:tcBorders>
              <w:bottom w:val="nil"/>
            </w:tcBorders>
          </w:tcPr>
          <w:p w14:paraId="0B49BE57" w14:textId="77777777" w:rsidR="001236DF" w:rsidRPr="00200234" w:rsidRDefault="001236DF" w:rsidP="001236DF">
            <w:pPr>
              <w:pStyle w:val="TableText"/>
            </w:pPr>
          </w:p>
        </w:tc>
        <w:tc>
          <w:tcPr>
            <w:tcW w:w="1035" w:type="pct"/>
            <w:gridSpan w:val="2"/>
            <w:tcBorders>
              <w:bottom w:val="nil"/>
            </w:tcBorders>
          </w:tcPr>
          <w:p w14:paraId="2717C4F5" w14:textId="77777777" w:rsidR="001236DF" w:rsidRPr="00200234" w:rsidRDefault="001236DF" w:rsidP="001236DF">
            <w:pPr>
              <w:pStyle w:val="TableText"/>
            </w:pPr>
          </w:p>
        </w:tc>
        <w:tc>
          <w:tcPr>
            <w:tcW w:w="326" w:type="pct"/>
            <w:tcBorders>
              <w:top w:val="nil"/>
              <w:bottom w:val="nil"/>
            </w:tcBorders>
            <w:shd w:val="clear" w:color="auto" w:fill="auto"/>
          </w:tcPr>
          <w:p w14:paraId="55EBAB11" w14:textId="77777777" w:rsidR="001236DF" w:rsidRPr="00200234" w:rsidRDefault="001236DF" w:rsidP="001236DF">
            <w:pPr>
              <w:pStyle w:val="TableText"/>
            </w:pPr>
          </w:p>
        </w:tc>
        <w:tc>
          <w:tcPr>
            <w:tcW w:w="1314" w:type="pct"/>
          </w:tcPr>
          <w:p w14:paraId="4D0E90A1" w14:textId="77777777" w:rsidR="001236DF" w:rsidRPr="008E5A9E" w:rsidRDefault="001236DF" w:rsidP="001236DF">
            <w:pPr>
              <w:pStyle w:val="TableText"/>
              <w:rPr>
                <w:b/>
              </w:rPr>
            </w:pPr>
            <w:r w:rsidRPr="008E5A9E">
              <w:rPr>
                <w:b/>
              </w:rPr>
              <w:t>National total</w:t>
            </w:r>
          </w:p>
        </w:tc>
        <w:tc>
          <w:tcPr>
            <w:tcW w:w="1052" w:type="pct"/>
          </w:tcPr>
          <w:p w14:paraId="42CF4814" w14:textId="77777777" w:rsidR="001236DF" w:rsidRPr="008E5A9E" w:rsidRDefault="001236DF" w:rsidP="001236DF">
            <w:pPr>
              <w:pStyle w:val="TableText"/>
              <w:tabs>
                <w:tab w:val="decimal" w:pos="936"/>
              </w:tabs>
              <w:rPr>
                <w:b/>
                <w:bCs/>
              </w:rPr>
            </w:pPr>
            <w:r w:rsidRPr="008E5A9E">
              <w:rPr>
                <w:b/>
                <w:bCs/>
              </w:rPr>
              <w:t>2</w:t>
            </w:r>
            <w:r>
              <w:rPr>
                <w:b/>
                <w:bCs/>
              </w:rPr>
              <w:t>27</w:t>
            </w:r>
          </w:p>
        </w:tc>
      </w:tr>
    </w:tbl>
    <w:p w14:paraId="00E1841C" w14:textId="77777777" w:rsidR="001236DF" w:rsidRPr="00200234" w:rsidRDefault="001236DF" w:rsidP="001236DF">
      <w:pPr>
        <w:tabs>
          <w:tab w:val="left" w:pos="6367"/>
        </w:tabs>
        <w:spacing w:line="20" w:lineRule="exact"/>
        <w:ind w:left="2285"/>
        <w:rPr>
          <w:rFonts w:cs="Segoe UI"/>
          <w:sz w:val="2"/>
        </w:rPr>
      </w:pPr>
      <w:r w:rsidRPr="00200234">
        <w:rPr>
          <w:rFonts w:cs="Segoe UI"/>
          <w:sz w:val="2"/>
        </w:rPr>
        <w:tab/>
      </w:r>
    </w:p>
    <w:p w14:paraId="6695E928" w14:textId="77777777" w:rsidR="001236DF" w:rsidRPr="00200234" w:rsidRDefault="001236DF" w:rsidP="001236DF">
      <w:pPr>
        <w:pStyle w:val="Source"/>
      </w:pPr>
      <w:r w:rsidRPr="00200234">
        <w:t>Source: HQSC adverse event data</w:t>
      </w:r>
      <w:r>
        <w:t xml:space="preserve"> (extracted</w:t>
      </w:r>
      <w:r w:rsidRPr="00200234">
        <w:t xml:space="preserve"> </w:t>
      </w:r>
      <w:r>
        <w:t>2 June 2022)</w:t>
      </w:r>
      <w:r w:rsidRPr="00200234">
        <w:t>.</w:t>
      </w:r>
    </w:p>
    <w:p w14:paraId="201E8C36" w14:textId="77777777" w:rsidR="001236DF" w:rsidRPr="00200234" w:rsidRDefault="001236DF" w:rsidP="001236DF"/>
    <w:p w14:paraId="4EF5A90A" w14:textId="77777777" w:rsidR="001236DF" w:rsidRPr="00B011A8" w:rsidRDefault="001236DF" w:rsidP="001236DF">
      <w:pPr>
        <w:pStyle w:val="Heading2"/>
      </w:pPr>
      <w:bookmarkStart w:id="540" w:name="_Toc75176458"/>
      <w:bookmarkStart w:id="541" w:name="_Toc87429925"/>
      <w:bookmarkStart w:id="542" w:name="_Toc88826973"/>
      <w:bookmarkStart w:id="543" w:name="_Toc115188823"/>
      <w:bookmarkStart w:id="544" w:name="_Toc115431721"/>
      <w:r w:rsidRPr="00B011A8">
        <w:lastRenderedPageBreak/>
        <w:t>Deaths reported to the Director of Mental Health</w:t>
      </w:r>
      <w:bookmarkEnd w:id="540"/>
      <w:bookmarkEnd w:id="541"/>
      <w:bookmarkEnd w:id="542"/>
      <w:bookmarkEnd w:id="543"/>
      <w:bookmarkEnd w:id="544"/>
    </w:p>
    <w:p w14:paraId="4162D207" w14:textId="77777777" w:rsidR="001236DF" w:rsidRDefault="001236DF" w:rsidP="001236DF">
      <w:pPr>
        <w:keepNext/>
      </w:pPr>
      <w:r>
        <w:t>Section 132 of the Mental Health Act requires services to notify the Director of Mental Health within 14 days of the death of any person or special patient under the Mental Health Act. Such a notification must identify the apparent cause of death.</w:t>
      </w:r>
    </w:p>
    <w:p w14:paraId="072037E1" w14:textId="77777777" w:rsidR="001236DF" w:rsidRDefault="001236DF" w:rsidP="001236DF">
      <w:pPr>
        <w:keepNext/>
      </w:pPr>
    </w:p>
    <w:p w14:paraId="7A0C6456" w14:textId="77777777" w:rsidR="001236DF" w:rsidRDefault="001236DF" w:rsidP="001236DF">
      <w:pPr>
        <w:keepNext/>
        <w:keepLines/>
      </w:pPr>
      <w:r>
        <w:t>In Aotearoa, a coroner only officially classifies a death as suicide after completing their inquiry. Only those deaths that the coroner decides are ‘intentionally self-inflicted’ will receive a final verdict of suicide. A coronial inquiry is unlikely to occur within a calendar year of the death in question; for this reason, when a death appears to be self-inflicted but the coroner has not yet established the person’s intent, it is called a ‘suspected suicide’. For more information and data on suicide statistics in Aotearoa, search for ‘suicide statistics’ on the Manat</w:t>
      </w:r>
      <w:r>
        <w:rPr>
          <w:rFonts w:cs="Segoe UI"/>
        </w:rPr>
        <w:t>ū</w:t>
      </w:r>
      <w:r>
        <w:t xml:space="preserve"> Hauora’s website (</w:t>
      </w:r>
      <w:hyperlink r:id="rId68" w:history="1">
        <w:r w:rsidRPr="0059537D">
          <w:rPr>
            <w:rStyle w:val="Hyperlink"/>
          </w:rPr>
          <w:t>health.govt.nz</w:t>
        </w:r>
      </w:hyperlink>
      <w:r>
        <w:t>).</w:t>
      </w:r>
    </w:p>
    <w:p w14:paraId="487240E3" w14:textId="77777777" w:rsidR="001236DF" w:rsidRDefault="001236DF" w:rsidP="001236DF"/>
    <w:p w14:paraId="623011DD" w14:textId="77777777" w:rsidR="001236DF" w:rsidRDefault="001236DF" w:rsidP="001236DF">
      <w:r>
        <w:t>Between 1 July 2020 and 30 June 2021, the Director of Mental Health received 32 death notifications related to people under the Mental Health Act (Table </w:t>
      </w:r>
      <w:r>
        <w:rPr>
          <w:noProof/>
        </w:rPr>
        <w:t>17</w:t>
      </w:r>
      <w:r>
        <w:t>). Of these, 9 related to people who were reported to have died by suspected suicide. The remaining 23 reportedly died by other means, including natural causes and illnesses unrelated to their mental health status.</w:t>
      </w:r>
    </w:p>
    <w:p w14:paraId="692A3D79" w14:textId="77777777" w:rsidR="001236DF" w:rsidRDefault="001236DF" w:rsidP="001236DF"/>
    <w:p w14:paraId="14854445" w14:textId="23A417DB" w:rsidR="001236DF" w:rsidRDefault="001236DF" w:rsidP="001236DF">
      <w:pPr>
        <w:pStyle w:val="Table"/>
      </w:pPr>
      <w:bookmarkStart w:id="545" w:name="_Ref85452193"/>
      <w:bookmarkStart w:id="546" w:name="_Toc87430014"/>
      <w:bookmarkStart w:id="547" w:name="_Toc88561371"/>
      <w:bookmarkStart w:id="548" w:name="_Toc115188906"/>
      <w:bookmarkStart w:id="549" w:name="_Toc115272608"/>
      <w:r>
        <w:t>Table </w:t>
      </w:r>
      <w:fldSimple w:instr=" SEQ Table \* ARABIC ">
        <w:r w:rsidR="009A04B0">
          <w:rPr>
            <w:noProof/>
          </w:rPr>
          <w:t>17</w:t>
        </w:r>
      </w:fldSimple>
      <w:bookmarkEnd w:id="545"/>
      <w:r w:rsidRPr="00524CE9">
        <w:t>: Outcomes of reportable death notifications under section 132 of the Mental Health Act, 1 J</w:t>
      </w:r>
      <w:r>
        <w:t>ul</w:t>
      </w:r>
      <w:r w:rsidRPr="00524CE9">
        <w:t>y</w:t>
      </w:r>
      <w:r>
        <w:t xml:space="preserve"> 2020</w:t>
      </w:r>
      <w:r w:rsidRPr="00524CE9">
        <w:t xml:space="preserve"> to 3</w:t>
      </w:r>
      <w:r>
        <w:t>0</w:t>
      </w:r>
      <w:r w:rsidRPr="00524CE9">
        <w:t xml:space="preserve"> </w:t>
      </w:r>
      <w:r>
        <w:t>June</w:t>
      </w:r>
      <w:r w:rsidRPr="00524CE9">
        <w:t xml:space="preserve"> 202</w:t>
      </w:r>
      <w:r>
        <w:t>1</w:t>
      </w:r>
      <w:bookmarkEnd w:id="546"/>
      <w:bookmarkEnd w:id="547"/>
      <w:bookmarkEnd w:id="548"/>
      <w:bookmarkEnd w:id="549"/>
    </w:p>
    <w:tbl>
      <w:tblPr>
        <w:tblW w:w="8023" w:type="dxa"/>
        <w:tblInd w:w="57"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2750"/>
        <w:gridCol w:w="5273"/>
      </w:tblGrid>
      <w:tr w:rsidR="001236DF" w:rsidRPr="008E5A9E" w14:paraId="0EDDE8C0" w14:textId="77777777" w:rsidTr="00B86C90">
        <w:trPr>
          <w:cantSplit/>
        </w:trPr>
        <w:tc>
          <w:tcPr>
            <w:tcW w:w="2750" w:type="dxa"/>
            <w:tcBorders>
              <w:top w:val="nil"/>
              <w:bottom w:val="nil"/>
            </w:tcBorders>
            <w:shd w:val="clear" w:color="auto" w:fill="D9D9D9" w:themeFill="background1" w:themeFillShade="D9"/>
            <w:vAlign w:val="center"/>
          </w:tcPr>
          <w:p w14:paraId="5798C177" w14:textId="77777777" w:rsidR="001236DF" w:rsidRPr="008E5A9E" w:rsidRDefault="001236DF" w:rsidP="001236DF">
            <w:pPr>
              <w:pStyle w:val="TableText"/>
              <w:rPr>
                <w:b/>
              </w:rPr>
            </w:pPr>
            <w:r w:rsidRPr="008E5A9E">
              <w:rPr>
                <w:b/>
              </w:rPr>
              <w:t>Reportable death outcome</w:t>
            </w:r>
          </w:p>
        </w:tc>
        <w:tc>
          <w:tcPr>
            <w:tcW w:w="5273" w:type="dxa"/>
            <w:tcBorders>
              <w:top w:val="nil"/>
              <w:bottom w:val="nil"/>
            </w:tcBorders>
            <w:shd w:val="clear" w:color="auto" w:fill="D9D9D9" w:themeFill="background1" w:themeFillShade="D9"/>
            <w:vAlign w:val="center"/>
          </w:tcPr>
          <w:p w14:paraId="1A42C720" w14:textId="77777777" w:rsidR="001236DF" w:rsidRPr="008E5A9E" w:rsidRDefault="001236DF" w:rsidP="001236DF">
            <w:pPr>
              <w:pStyle w:val="TableText"/>
              <w:jc w:val="center"/>
              <w:rPr>
                <w:b/>
              </w:rPr>
            </w:pPr>
            <w:r w:rsidRPr="008E5A9E">
              <w:rPr>
                <w:b/>
              </w:rPr>
              <w:t>Number of deaths</w:t>
            </w:r>
          </w:p>
        </w:tc>
      </w:tr>
      <w:tr w:rsidR="001236DF" w:rsidRPr="00884730" w14:paraId="76C0A130" w14:textId="77777777" w:rsidTr="00B86C90">
        <w:trPr>
          <w:cantSplit/>
        </w:trPr>
        <w:tc>
          <w:tcPr>
            <w:tcW w:w="2750" w:type="dxa"/>
            <w:tcBorders>
              <w:top w:val="nil"/>
              <w:bottom w:val="single" w:sz="4" w:space="0" w:color="A6A6A6" w:themeColor="background1" w:themeShade="A6"/>
            </w:tcBorders>
            <w:vAlign w:val="center"/>
          </w:tcPr>
          <w:p w14:paraId="7236C438" w14:textId="77777777" w:rsidR="001236DF" w:rsidRPr="00D86A22" w:rsidRDefault="001236DF" w:rsidP="001236DF">
            <w:pPr>
              <w:pStyle w:val="TableText"/>
            </w:pPr>
            <w:r w:rsidRPr="00D86A22">
              <w:t>Suspected suicide</w:t>
            </w:r>
          </w:p>
        </w:tc>
        <w:tc>
          <w:tcPr>
            <w:tcW w:w="5273" w:type="dxa"/>
            <w:tcBorders>
              <w:top w:val="nil"/>
              <w:bottom w:val="single" w:sz="4" w:space="0" w:color="A6A6A6" w:themeColor="background1" w:themeShade="A6"/>
            </w:tcBorders>
            <w:vAlign w:val="center"/>
          </w:tcPr>
          <w:p w14:paraId="3A129A92" w14:textId="77777777" w:rsidR="001236DF" w:rsidRPr="00D86A22" w:rsidRDefault="001236DF" w:rsidP="001236DF">
            <w:pPr>
              <w:pStyle w:val="TableText"/>
              <w:jc w:val="center"/>
            </w:pPr>
            <w:r>
              <w:t>9</w:t>
            </w:r>
          </w:p>
        </w:tc>
      </w:tr>
      <w:tr w:rsidR="001236DF" w:rsidRPr="00884730" w14:paraId="35F8441B" w14:textId="77777777" w:rsidTr="00B86C90">
        <w:trPr>
          <w:cantSplit/>
        </w:trPr>
        <w:tc>
          <w:tcPr>
            <w:tcW w:w="2750" w:type="dxa"/>
            <w:tcBorders>
              <w:top w:val="single" w:sz="4" w:space="0" w:color="A6A6A6" w:themeColor="background1" w:themeShade="A6"/>
              <w:bottom w:val="single" w:sz="4" w:space="0" w:color="A6A6A6" w:themeColor="background1" w:themeShade="A6"/>
            </w:tcBorders>
            <w:vAlign w:val="center"/>
          </w:tcPr>
          <w:p w14:paraId="56F49995" w14:textId="77777777" w:rsidR="001236DF" w:rsidRPr="00D86A22" w:rsidRDefault="001236DF" w:rsidP="001236DF">
            <w:pPr>
              <w:pStyle w:val="TableText"/>
            </w:pPr>
            <w:r w:rsidRPr="00D86A22">
              <w:t>Other deaths</w:t>
            </w:r>
          </w:p>
        </w:tc>
        <w:tc>
          <w:tcPr>
            <w:tcW w:w="5273" w:type="dxa"/>
            <w:tcBorders>
              <w:top w:val="single" w:sz="4" w:space="0" w:color="A6A6A6" w:themeColor="background1" w:themeShade="A6"/>
              <w:bottom w:val="single" w:sz="4" w:space="0" w:color="A6A6A6" w:themeColor="background1" w:themeShade="A6"/>
            </w:tcBorders>
            <w:vAlign w:val="center"/>
          </w:tcPr>
          <w:p w14:paraId="00B4DFBF" w14:textId="77777777" w:rsidR="001236DF" w:rsidRPr="00D86A22" w:rsidRDefault="001236DF" w:rsidP="001236DF">
            <w:pPr>
              <w:pStyle w:val="TableText"/>
              <w:jc w:val="center"/>
            </w:pPr>
            <w:r>
              <w:t>23</w:t>
            </w:r>
          </w:p>
        </w:tc>
      </w:tr>
      <w:tr w:rsidR="001236DF" w:rsidRPr="008E5A9E" w14:paraId="7C541D12" w14:textId="77777777" w:rsidTr="00B86C90">
        <w:trPr>
          <w:cantSplit/>
        </w:trPr>
        <w:tc>
          <w:tcPr>
            <w:tcW w:w="2750" w:type="dxa"/>
            <w:tcBorders>
              <w:top w:val="single" w:sz="4" w:space="0" w:color="A6A6A6" w:themeColor="background1" w:themeShade="A6"/>
              <w:bottom w:val="single" w:sz="4" w:space="0" w:color="A6A6A6" w:themeColor="background1" w:themeShade="A6"/>
            </w:tcBorders>
            <w:vAlign w:val="center"/>
          </w:tcPr>
          <w:p w14:paraId="10598F9D" w14:textId="77777777" w:rsidR="001236DF" w:rsidRPr="008E5A9E" w:rsidRDefault="001236DF" w:rsidP="001236DF">
            <w:pPr>
              <w:pStyle w:val="TableText"/>
              <w:rPr>
                <w:b/>
              </w:rPr>
            </w:pPr>
            <w:r w:rsidRPr="008E5A9E">
              <w:rPr>
                <w:b/>
              </w:rPr>
              <w:t>National total</w:t>
            </w:r>
          </w:p>
        </w:tc>
        <w:tc>
          <w:tcPr>
            <w:tcW w:w="5273" w:type="dxa"/>
            <w:tcBorders>
              <w:top w:val="single" w:sz="4" w:space="0" w:color="A6A6A6" w:themeColor="background1" w:themeShade="A6"/>
              <w:bottom w:val="single" w:sz="4" w:space="0" w:color="A6A6A6" w:themeColor="background1" w:themeShade="A6"/>
            </w:tcBorders>
            <w:vAlign w:val="center"/>
          </w:tcPr>
          <w:p w14:paraId="56E723C5" w14:textId="77777777" w:rsidR="001236DF" w:rsidRPr="008E5A9E" w:rsidRDefault="001236DF" w:rsidP="001236DF">
            <w:pPr>
              <w:pStyle w:val="TableText"/>
              <w:jc w:val="center"/>
              <w:rPr>
                <w:b/>
              </w:rPr>
            </w:pPr>
            <w:r w:rsidRPr="008E5A9E">
              <w:rPr>
                <w:b/>
              </w:rPr>
              <w:t>3</w:t>
            </w:r>
            <w:r>
              <w:rPr>
                <w:b/>
              </w:rPr>
              <w:t>2</w:t>
            </w:r>
          </w:p>
        </w:tc>
      </w:tr>
    </w:tbl>
    <w:p w14:paraId="41EC39F1" w14:textId="77777777" w:rsidR="001236DF" w:rsidRDefault="001236DF" w:rsidP="001236DF">
      <w:pPr>
        <w:pStyle w:val="Source"/>
      </w:pPr>
      <w:r w:rsidRPr="00F41D68">
        <w:t>Source: Office of the Director of Mental Health and Addiction Services records.</w:t>
      </w:r>
    </w:p>
    <w:p w14:paraId="1E77BCE0" w14:textId="77777777" w:rsidR="001236DF" w:rsidRDefault="001236DF" w:rsidP="001236DF"/>
    <w:p w14:paraId="7295AD8C" w14:textId="77777777" w:rsidR="001236DF" w:rsidRDefault="001236DF" w:rsidP="001236DF">
      <w:pPr>
        <w:pStyle w:val="Heading2"/>
      </w:pPr>
      <w:bookmarkStart w:id="550" w:name="_Toc87429926"/>
      <w:bookmarkStart w:id="551" w:name="_Toc88826974"/>
      <w:bookmarkStart w:id="552" w:name="_Toc115188824"/>
      <w:bookmarkStart w:id="553" w:name="_Toc115431722"/>
      <w:r>
        <w:t>Section 95 inquiries and section 99 in</w:t>
      </w:r>
      <w:bookmarkEnd w:id="550"/>
      <w:bookmarkEnd w:id="551"/>
      <w:r>
        <w:t>spections</w:t>
      </w:r>
      <w:bookmarkEnd w:id="552"/>
      <w:bookmarkEnd w:id="553"/>
    </w:p>
    <w:p w14:paraId="732FBB55" w14:textId="77777777" w:rsidR="001236DF" w:rsidRDefault="001236DF" w:rsidP="001236DF">
      <w:r>
        <w:t>The Director of Mental Health will occasionally require a district inspector to carry out an inquiry under section 95 of the Mental Health Act or undertake an inspection under section 99. Such inquiries and inspections generally focus on systemic issues across one or more mental health services. They typically result in the district inspector or Director making specific recommendations about the mental health services and/or their system.</w:t>
      </w:r>
    </w:p>
    <w:p w14:paraId="0932A63E" w14:textId="77777777" w:rsidR="001236DF" w:rsidRDefault="001236DF" w:rsidP="001236DF"/>
    <w:p w14:paraId="77203D76" w14:textId="77777777" w:rsidR="001236DF" w:rsidRDefault="001236DF" w:rsidP="001236DF">
      <w:r>
        <w:t>The Director considers the recommendations and acts on any that have implications for the Ministry or the mental health sector. The Director later audits the DHB’s implementation of the recommendations.</w:t>
      </w:r>
    </w:p>
    <w:p w14:paraId="58EFFA15" w14:textId="77777777" w:rsidR="001236DF" w:rsidRDefault="001236DF" w:rsidP="001236DF">
      <w:r>
        <w:lastRenderedPageBreak/>
        <w:t>The inquiry process is not completed until the Director considers that the DHB concerned and, if appropriate, the Ministry and all other DHBs have satisfactorily implemented the recommendations.</w:t>
      </w:r>
    </w:p>
    <w:p w14:paraId="0959F044" w14:textId="77777777" w:rsidR="001236DF" w:rsidRDefault="001236DF" w:rsidP="001236DF"/>
    <w:p w14:paraId="5A63251D" w14:textId="77777777" w:rsidR="001236DF" w:rsidRDefault="001236DF" w:rsidP="001236DF">
      <w:r>
        <w:t>No section 95 inquiries or section 99 inspections were completed from 1 July 2020 to 30 June 2021. Table </w:t>
      </w:r>
      <w:r>
        <w:rPr>
          <w:noProof/>
        </w:rPr>
        <w:t>18</w:t>
      </w:r>
      <w:r>
        <w:t xml:space="preserve"> shows the number of completed section 95 inquiry reports the Director received, and the number of section 99 reports</w:t>
      </w:r>
      <w:r w:rsidRPr="00B7386E">
        <w:t xml:space="preserve"> </w:t>
      </w:r>
      <w:r>
        <w:t>the Director received or completed between 1 July 2010 and 30 June 2021.</w:t>
      </w:r>
    </w:p>
    <w:p w14:paraId="28939D28" w14:textId="77777777" w:rsidR="001236DF" w:rsidRDefault="001236DF" w:rsidP="001236DF"/>
    <w:p w14:paraId="4200D648" w14:textId="7E402AAB" w:rsidR="001236DF" w:rsidRDefault="001236DF" w:rsidP="001236DF">
      <w:pPr>
        <w:pStyle w:val="Table"/>
      </w:pPr>
      <w:bookmarkStart w:id="554" w:name="_Ref85550138"/>
      <w:bookmarkStart w:id="555" w:name="_Toc87430015"/>
      <w:bookmarkStart w:id="556" w:name="_Toc88561372"/>
      <w:bookmarkStart w:id="557" w:name="_Toc115188907"/>
      <w:bookmarkStart w:id="558" w:name="_Toc115272609"/>
      <w:r>
        <w:t>Table </w:t>
      </w:r>
      <w:fldSimple w:instr=" SEQ Table \* ARABIC ">
        <w:r w:rsidR="009A04B0">
          <w:rPr>
            <w:noProof/>
          </w:rPr>
          <w:t>18</w:t>
        </w:r>
      </w:fldSimple>
      <w:bookmarkEnd w:id="554"/>
      <w:r w:rsidRPr="004C5503">
        <w:t xml:space="preserve">: </w:t>
      </w:r>
      <w:r w:rsidRPr="009A581E">
        <w:t>Number of completed section 95</w:t>
      </w:r>
      <w:r>
        <w:t xml:space="preserve"> inquiries</w:t>
      </w:r>
      <w:r w:rsidRPr="009A581E">
        <w:t xml:space="preserve"> </w:t>
      </w:r>
      <w:r>
        <w:t>and section 99 inspections</w:t>
      </w:r>
      <w:r w:rsidRPr="009A581E">
        <w:t xml:space="preserve"> reports received</w:t>
      </w:r>
      <w:r>
        <w:t xml:space="preserve"> or completed</w:t>
      </w:r>
      <w:r w:rsidRPr="009A581E">
        <w:t xml:space="preserve"> by the Director of Mental Health, 2010/11–2020</w:t>
      </w:r>
      <w:bookmarkEnd w:id="555"/>
      <w:bookmarkEnd w:id="556"/>
      <w:r w:rsidRPr="009A581E">
        <w:t>/21</w:t>
      </w:r>
      <w:bookmarkEnd w:id="557"/>
      <w:bookmarkEnd w:id="558"/>
    </w:p>
    <w:tbl>
      <w:tblPr>
        <w:tblW w:w="8732"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793"/>
        <w:gridCol w:w="794"/>
        <w:gridCol w:w="794"/>
        <w:gridCol w:w="794"/>
        <w:gridCol w:w="794"/>
        <w:gridCol w:w="793"/>
        <w:gridCol w:w="794"/>
        <w:gridCol w:w="794"/>
        <w:gridCol w:w="794"/>
        <w:gridCol w:w="794"/>
        <w:gridCol w:w="794"/>
      </w:tblGrid>
      <w:tr w:rsidR="001236DF" w:rsidRPr="00EF4C97" w14:paraId="7E0DFD70" w14:textId="77777777" w:rsidTr="001236DF">
        <w:trPr>
          <w:cantSplit/>
        </w:trPr>
        <w:tc>
          <w:tcPr>
            <w:tcW w:w="793" w:type="dxa"/>
            <w:tcBorders>
              <w:top w:val="nil"/>
              <w:left w:val="nil"/>
              <w:bottom w:val="nil"/>
              <w:right w:val="nil"/>
            </w:tcBorders>
            <w:shd w:val="clear" w:color="auto" w:fill="D9D9D9" w:themeFill="background1" w:themeFillShade="D9"/>
            <w:hideMark/>
          </w:tcPr>
          <w:p w14:paraId="35295E53" w14:textId="77777777" w:rsidR="001236DF" w:rsidRPr="00EF4C97" w:rsidRDefault="001236DF" w:rsidP="001236DF">
            <w:pPr>
              <w:pStyle w:val="TableText"/>
              <w:jc w:val="center"/>
              <w:rPr>
                <w:b/>
                <w:sz w:val="16"/>
                <w:szCs w:val="16"/>
              </w:rPr>
            </w:pPr>
            <w:r w:rsidRPr="00EF4C97">
              <w:rPr>
                <w:b/>
                <w:sz w:val="16"/>
                <w:szCs w:val="16"/>
              </w:rPr>
              <w:t>2010</w:t>
            </w:r>
            <w:r>
              <w:rPr>
                <w:b/>
                <w:sz w:val="16"/>
                <w:szCs w:val="16"/>
              </w:rPr>
              <w:t>/11</w:t>
            </w:r>
          </w:p>
        </w:tc>
        <w:tc>
          <w:tcPr>
            <w:tcW w:w="794" w:type="dxa"/>
            <w:tcBorders>
              <w:top w:val="nil"/>
              <w:left w:val="nil"/>
              <w:bottom w:val="nil"/>
              <w:right w:val="nil"/>
            </w:tcBorders>
            <w:shd w:val="clear" w:color="auto" w:fill="D9D9D9" w:themeFill="background1" w:themeFillShade="D9"/>
            <w:hideMark/>
          </w:tcPr>
          <w:p w14:paraId="0F146BA6" w14:textId="77777777" w:rsidR="001236DF" w:rsidRPr="00EF4C97" w:rsidRDefault="001236DF" w:rsidP="001236DF">
            <w:pPr>
              <w:pStyle w:val="TableText"/>
              <w:jc w:val="center"/>
              <w:rPr>
                <w:b/>
                <w:sz w:val="16"/>
                <w:szCs w:val="16"/>
              </w:rPr>
            </w:pPr>
            <w:r w:rsidRPr="00EF4C97">
              <w:rPr>
                <w:b/>
                <w:sz w:val="16"/>
                <w:szCs w:val="16"/>
              </w:rPr>
              <w:t>2011</w:t>
            </w:r>
            <w:r>
              <w:rPr>
                <w:b/>
                <w:sz w:val="16"/>
                <w:szCs w:val="16"/>
              </w:rPr>
              <w:t>/12</w:t>
            </w:r>
          </w:p>
        </w:tc>
        <w:tc>
          <w:tcPr>
            <w:tcW w:w="794" w:type="dxa"/>
            <w:tcBorders>
              <w:top w:val="nil"/>
              <w:left w:val="nil"/>
              <w:bottom w:val="nil"/>
              <w:right w:val="nil"/>
            </w:tcBorders>
            <w:shd w:val="clear" w:color="auto" w:fill="D9D9D9" w:themeFill="background1" w:themeFillShade="D9"/>
            <w:hideMark/>
          </w:tcPr>
          <w:p w14:paraId="1D727C73" w14:textId="77777777" w:rsidR="001236DF" w:rsidRPr="00EF4C97" w:rsidRDefault="001236DF" w:rsidP="001236DF">
            <w:pPr>
              <w:pStyle w:val="TableText"/>
              <w:jc w:val="center"/>
              <w:rPr>
                <w:b/>
                <w:sz w:val="16"/>
                <w:szCs w:val="16"/>
              </w:rPr>
            </w:pPr>
            <w:r w:rsidRPr="00EF4C97">
              <w:rPr>
                <w:b/>
                <w:sz w:val="16"/>
                <w:szCs w:val="16"/>
              </w:rPr>
              <w:t>2012</w:t>
            </w:r>
            <w:r>
              <w:rPr>
                <w:b/>
                <w:sz w:val="16"/>
                <w:szCs w:val="16"/>
              </w:rPr>
              <w:t>/13</w:t>
            </w:r>
          </w:p>
        </w:tc>
        <w:tc>
          <w:tcPr>
            <w:tcW w:w="794" w:type="dxa"/>
            <w:tcBorders>
              <w:top w:val="nil"/>
              <w:left w:val="nil"/>
              <w:bottom w:val="nil"/>
              <w:right w:val="nil"/>
            </w:tcBorders>
            <w:shd w:val="clear" w:color="auto" w:fill="D9D9D9" w:themeFill="background1" w:themeFillShade="D9"/>
            <w:hideMark/>
          </w:tcPr>
          <w:p w14:paraId="4C1D03A5" w14:textId="77777777" w:rsidR="001236DF" w:rsidRPr="00EF4C97" w:rsidRDefault="001236DF" w:rsidP="001236DF">
            <w:pPr>
              <w:pStyle w:val="TableText"/>
              <w:jc w:val="center"/>
              <w:rPr>
                <w:b/>
                <w:sz w:val="16"/>
                <w:szCs w:val="16"/>
              </w:rPr>
            </w:pPr>
            <w:r w:rsidRPr="00EF4C97">
              <w:rPr>
                <w:b/>
                <w:sz w:val="16"/>
                <w:szCs w:val="16"/>
              </w:rPr>
              <w:t>2013</w:t>
            </w:r>
            <w:r>
              <w:rPr>
                <w:b/>
                <w:sz w:val="16"/>
                <w:szCs w:val="16"/>
              </w:rPr>
              <w:t>/14</w:t>
            </w:r>
          </w:p>
        </w:tc>
        <w:tc>
          <w:tcPr>
            <w:tcW w:w="794" w:type="dxa"/>
            <w:tcBorders>
              <w:top w:val="nil"/>
              <w:left w:val="nil"/>
              <w:bottom w:val="nil"/>
              <w:right w:val="nil"/>
            </w:tcBorders>
            <w:shd w:val="clear" w:color="auto" w:fill="D9D9D9" w:themeFill="background1" w:themeFillShade="D9"/>
            <w:hideMark/>
          </w:tcPr>
          <w:p w14:paraId="1021AFCE" w14:textId="77777777" w:rsidR="001236DF" w:rsidRPr="00EF4C97" w:rsidRDefault="001236DF" w:rsidP="001236DF">
            <w:pPr>
              <w:pStyle w:val="TableText"/>
              <w:jc w:val="center"/>
              <w:rPr>
                <w:b/>
                <w:sz w:val="16"/>
                <w:szCs w:val="16"/>
              </w:rPr>
            </w:pPr>
            <w:r w:rsidRPr="00EF4C97">
              <w:rPr>
                <w:b/>
                <w:sz w:val="16"/>
                <w:szCs w:val="16"/>
              </w:rPr>
              <w:t>2014</w:t>
            </w:r>
            <w:r>
              <w:rPr>
                <w:b/>
                <w:sz w:val="16"/>
                <w:szCs w:val="16"/>
              </w:rPr>
              <w:t>/15</w:t>
            </w:r>
          </w:p>
        </w:tc>
        <w:tc>
          <w:tcPr>
            <w:tcW w:w="793" w:type="dxa"/>
            <w:tcBorders>
              <w:top w:val="nil"/>
              <w:left w:val="nil"/>
              <w:bottom w:val="nil"/>
              <w:right w:val="nil"/>
            </w:tcBorders>
            <w:shd w:val="clear" w:color="auto" w:fill="D9D9D9" w:themeFill="background1" w:themeFillShade="D9"/>
            <w:hideMark/>
          </w:tcPr>
          <w:p w14:paraId="776223A9" w14:textId="77777777" w:rsidR="001236DF" w:rsidRPr="00EF4C97" w:rsidRDefault="001236DF" w:rsidP="001236DF">
            <w:pPr>
              <w:pStyle w:val="TableText"/>
              <w:jc w:val="center"/>
              <w:rPr>
                <w:b/>
                <w:sz w:val="16"/>
                <w:szCs w:val="16"/>
              </w:rPr>
            </w:pPr>
            <w:r w:rsidRPr="00EF4C97">
              <w:rPr>
                <w:b/>
                <w:sz w:val="16"/>
                <w:szCs w:val="16"/>
              </w:rPr>
              <w:t>2015</w:t>
            </w:r>
            <w:r>
              <w:rPr>
                <w:b/>
                <w:sz w:val="16"/>
                <w:szCs w:val="16"/>
              </w:rPr>
              <w:t>/16</w:t>
            </w:r>
          </w:p>
        </w:tc>
        <w:tc>
          <w:tcPr>
            <w:tcW w:w="794" w:type="dxa"/>
            <w:tcBorders>
              <w:top w:val="nil"/>
              <w:left w:val="nil"/>
              <w:bottom w:val="nil"/>
              <w:right w:val="nil"/>
            </w:tcBorders>
            <w:shd w:val="clear" w:color="auto" w:fill="D9D9D9" w:themeFill="background1" w:themeFillShade="D9"/>
            <w:hideMark/>
          </w:tcPr>
          <w:p w14:paraId="0AFF0295" w14:textId="77777777" w:rsidR="001236DF" w:rsidRPr="00EF4C97" w:rsidRDefault="001236DF" w:rsidP="001236DF">
            <w:pPr>
              <w:pStyle w:val="TableText"/>
              <w:jc w:val="center"/>
              <w:rPr>
                <w:b/>
                <w:sz w:val="16"/>
                <w:szCs w:val="16"/>
              </w:rPr>
            </w:pPr>
            <w:r w:rsidRPr="00EF4C97">
              <w:rPr>
                <w:b/>
                <w:sz w:val="16"/>
                <w:szCs w:val="16"/>
              </w:rPr>
              <w:t>2016</w:t>
            </w:r>
            <w:r>
              <w:rPr>
                <w:b/>
                <w:sz w:val="16"/>
                <w:szCs w:val="16"/>
              </w:rPr>
              <w:t>/17</w:t>
            </w:r>
          </w:p>
        </w:tc>
        <w:tc>
          <w:tcPr>
            <w:tcW w:w="794" w:type="dxa"/>
            <w:tcBorders>
              <w:top w:val="nil"/>
              <w:left w:val="nil"/>
              <w:bottom w:val="nil"/>
              <w:right w:val="nil"/>
            </w:tcBorders>
            <w:shd w:val="clear" w:color="auto" w:fill="D9D9D9" w:themeFill="background1" w:themeFillShade="D9"/>
            <w:hideMark/>
          </w:tcPr>
          <w:p w14:paraId="7412CF17" w14:textId="77777777" w:rsidR="001236DF" w:rsidRPr="00EF4C97" w:rsidRDefault="001236DF" w:rsidP="001236DF">
            <w:pPr>
              <w:pStyle w:val="TableText"/>
              <w:jc w:val="center"/>
              <w:rPr>
                <w:b/>
                <w:sz w:val="16"/>
                <w:szCs w:val="16"/>
              </w:rPr>
            </w:pPr>
            <w:r w:rsidRPr="00EF4C97">
              <w:rPr>
                <w:b/>
                <w:sz w:val="16"/>
                <w:szCs w:val="16"/>
              </w:rPr>
              <w:t>2017</w:t>
            </w:r>
            <w:r>
              <w:rPr>
                <w:b/>
                <w:sz w:val="16"/>
                <w:szCs w:val="16"/>
              </w:rPr>
              <w:t>/18</w:t>
            </w:r>
          </w:p>
        </w:tc>
        <w:tc>
          <w:tcPr>
            <w:tcW w:w="794" w:type="dxa"/>
            <w:tcBorders>
              <w:top w:val="nil"/>
              <w:left w:val="nil"/>
              <w:bottom w:val="nil"/>
              <w:right w:val="nil"/>
            </w:tcBorders>
            <w:shd w:val="clear" w:color="auto" w:fill="D9D9D9" w:themeFill="background1" w:themeFillShade="D9"/>
            <w:hideMark/>
          </w:tcPr>
          <w:p w14:paraId="109F91B4" w14:textId="77777777" w:rsidR="001236DF" w:rsidRPr="00EF4C97" w:rsidRDefault="001236DF" w:rsidP="001236DF">
            <w:pPr>
              <w:pStyle w:val="TableText"/>
              <w:jc w:val="center"/>
              <w:rPr>
                <w:b/>
                <w:sz w:val="16"/>
                <w:szCs w:val="16"/>
              </w:rPr>
            </w:pPr>
            <w:r w:rsidRPr="00EF4C97">
              <w:rPr>
                <w:b/>
                <w:sz w:val="16"/>
                <w:szCs w:val="16"/>
              </w:rPr>
              <w:t>2018</w:t>
            </w:r>
            <w:r>
              <w:rPr>
                <w:b/>
                <w:sz w:val="16"/>
                <w:szCs w:val="16"/>
              </w:rPr>
              <w:t>/19</w:t>
            </w:r>
          </w:p>
        </w:tc>
        <w:tc>
          <w:tcPr>
            <w:tcW w:w="794" w:type="dxa"/>
            <w:tcBorders>
              <w:top w:val="nil"/>
              <w:left w:val="nil"/>
              <w:bottom w:val="nil"/>
              <w:right w:val="nil"/>
            </w:tcBorders>
            <w:shd w:val="clear" w:color="auto" w:fill="D9D9D9" w:themeFill="background1" w:themeFillShade="D9"/>
            <w:hideMark/>
          </w:tcPr>
          <w:p w14:paraId="54A5730B" w14:textId="77777777" w:rsidR="001236DF" w:rsidRPr="00EF4C97" w:rsidRDefault="001236DF" w:rsidP="001236DF">
            <w:pPr>
              <w:pStyle w:val="TableText"/>
              <w:jc w:val="center"/>
              <w:rPr>
                <w:b/>
                <w:sz w:val="16"/>
                <w:szCs w:val="16"/>
              </w:rPr>
            </w:pPr>
            <w:r w:rsidRPr="00EF4C97">
              <w:rPr>
                <w:b/>
                <w:sz w:val="16"/>
                <w:szCs w:val="16"/>
              </w:rPr>
              <w:t>2019</w:t>
            </w:r>
            <w:r>
              <w:rPr>
                <w:b/>
                <w:sz w:val="16"/>
                <w:szCs w:val="16"/>
              </w:rPr>
              <w:t>/20</w:t>
            </w:r>
          </w:p>
        </w:tc>
        <w:tc>
          <w:tcPr>
            <w:tcW w:w="794" w:type="dxa"/>
            <w:tcBorders>
              <w:top w:val="nil"/>
              <w:left w:val="nil"/>
              <w:bottom w:val="nil"/>
              <w:right w:val="nil"/>
            </w:tcBorders>
            <w:shd w:val="clear" w:color="auto" w:fill="D9D9D9" w:themeFill="background1" w:themeFillShade="D9"/>
          </w:tcPr>
          <w:p w14:paraId="6A3B3FDD" w14:textId="77777777" w:rsidR="001236DF" w:rsidRPr="00EF4C97" w:rsidRDefault="001236DF" w:rsidP="001236DF">
            <w:pPr>
              <w:pStyle w:val="TableText"/>
              <w:jc w:val="center"/>
              <w:rPr>
                <w:b/>
                <w:sz w:val="16"/>
                <w:szCs w:val="16"/>
              </w:rPr>
            </w:pPr>
            <w:r w:rsidRPr="00EF4C97">
              <w:rPr>
                <w:b/>
                <w:sz w:val="16"/>
                <w:szCs w:val="16"/>
              </w:rPr>
              <w:t>2020</w:t>
            </w:r>
            <w:r>
              <w:rPr>
                <w:b/>
                <w:sz w:val="16"/>
                <w:szCs w:val="16"/>
              </w:rPr>
              <w:t>/21</w:t>
            </w:r>
          </w:p>
        </w:tc>
      </w:tr>
      <w:tr w:rsidR="001236DF" w14:paraId="1B1B799A" w14:textId="77777777" w:rsidTr="001236DF">
        <w:trPr>
          <w:cantSplit/>
        </w:trPr>
        <w:tc>
          <w:tcPr>
            <w:tcW w:w="793" w:type="dxa"/>
            <w:tcBorders>
              <w:top w:val="nil"/>
              <w:left w:val="nil"/>
              <w:bottom w:val="single" w:sz="4" w:space="0" w:color="A6A6A6" w:themeColor="background1" w:themeShade="A6"/>
              <w:right w:val="nil"/>
            </w:tcBorders>
            <w:hideMark/>
          </w:tcPr>
          <w:p w14:paraId="79C0B110" w14:textId="77777777" w:rsidR="001236DF" w:rsidRPr="00EF4C97" w:rsidRDefault="001236DF" w:rsidP="001236DF">
            <w:pPr>
              <w:pStyle w:val="TableText"/>
              <w:jc w:val="center"/>
              <w:rPr>
                <w:sz w:val="16"/>
                <w:szCs w:val="16"/>
              </w:rPr>
            </w:pPr>
            <w:r>
              <w:rPr>
                <w:sz w:val="16"/>
                <w:szCs w:val="16"/>
              </w:rPr>
              <w:t>1</w:t>
            </w:r>
          </w:p>
        </w:tc>
        <w:tc>
          <w:tcPr>
            <w:tcW w:w="794" w:type="dxa"/>
            <w:tcBorders>
              <w:top w:val="nil"/>
              <w:left w:val="nil"/>
              <w:bottom w:val="single" w:sz="4" w:space="0" w:color="A6A6A6" w:themeColor="background1" w:themeShade="A6"/>
              <w:right w:val="nil"/>
            </w:tcBorders>
            <w:hideMark/>
          </w:tcPr>
          <w:p w14:paraId="7055AAEC" w14:textId="77777777" w:rsidR="001236DF" w:rsidRPr="00EF4C97" w:rsidRDefault="001236DF" w:rsidP="001236DF">
            <w:pPr>
              <w:pStyle w:val="TableText"/>
              <w:jc w:val="center"/>
              <w:rPr>
                <w:sz w:val="16"/>
                <w:szCs w:val="16"/>
              </w:rPr>
            </w:pPr>
            <w:r>
              <w:rPr>
                <w:sz w:val="16"/>
                <w:szCs w:val="16"/>
              </w:rPr>
              <w:t>1</w:t>
            </w:r>
          </w:p>
        </w:tc>
        <w:tc>
          <w:tcPr>
            <w:tcW w:w="794" w:type="dxa"/>
            <w:tcBorders>
              <w:top w:val="nil"/>
              <w:left w:val="nil"/>
              <w:bottom w:val="single" w:sz="4" w:space="0" w:color="A6A6A6" w:themeColor="background1" w:themeShade="A6"/>
              <w:right w:val="nil"/>
            </w:tcBorders>
            <w:hideMark/>
          </w:tcPr>
          <w:p w14:paraId="218B002B" w14:textId="77777777" w:rsidR="001236DF" w:rsidRPr="00EF4C97" w:rsidRDefault="001236DF" w:rsidP="001236DF">
            <w:pPr>
              <w:pStyle w:val="TableText"/>
              <w:jc w:val="center"/>
              <w:rPr>
                <w:sz w:val="16"/>
                <w:szCs w:val="16"/>
              </w:rPr>
            </w:pPr>
            <w:r>
              <w:rPr>
                <w:sz w:val="16"/>
                <w:szCs w:val="16"/>
              </w:rPr>
              <w:t>0</w:t>
            </w:r>
          </w:p>
        </w:tc>
        <w:tc>
          <w:tcPr>
            <w:tcW w:w="794" w:type="dxa"/>
            <w:tcBorders>
              <w:top w:val="nil"/>
              <w:left w:val="nil"/>
              <w:bottom w:val="single" w:sz="4" w:space="0" w:color="A6A6A6" w:themeColor="background1" w:themeShade="A6"/>
              <w:right w:val="nil"/>
            </w:tcBorders>
            <w:hideMark/>
          </w:tcPr>
          <w:p w14:paraId="6C9242C4" w14:textId="77777777" w:rsidR="001236DF" w:rsidRPr="00EF4C97" w:rsidRDefault="001236DF" w:rsidP="001236DF">
            <w:pPr>
              <w:pStyle w:val="TableText"/>
              <w:jc w:val="center"/>
              <w:rPr>
                <w:sz w:val="16"/>
                <w:szCs w:val="16"/>
              </w:rPr>
            </w:pPr>
            <w:r w:rsidRPr="00EF4C97">
              <w:rPr>
                <w:sz w:val="16"/>
                <w:szCs w:val="16"/>
              </w:rPr>
              <w:t>0</w:t>
            </w:r>
          </w:p>
        </w:tc>
        <w:tc>
          <w:tcPr>
            <w:tcW w:w="794" w:type="dxa"/>
            <w:tcBorders>
              <w:top w:val="nil"/>
              <w:left w:val="nil"/>
              <w:bottom w:val="single" w:sz="4" w:space="0" w:color="A6A6A6" w:themeColor="background1" w:themeShade="A6"/>
              <w:right w:val="nil"/>
            </w:tcBorders>
            <w:hideMark/>
          </w:tcPr>
          <w:p w14:paraId="42184E8B" w14:textId="77777777" w:rsidR="001236DF" w:rsidRPr="00EF4C97" w:rsidRDefault="001236DF" w:rsidP="001236DF">
            <w:pPr>
              <w:pStyle w:val="TableText"/>
              <w:jc w:val="center"/>
              <w:rPr>
                <w:sz w:val="16"/>
                <w:szCs w:val="16"/>
              </w:rPr>
            </w:pPr>
            <w:r>
              <w:rPr>
                <w:sz w:val="16"/>
                <w:szCs w:val="16"/>
              </w:rPr>
              <w:t>1</w:t>
            </w:r>
          </w:p>
        </w:tc>
        <w:tc>
          <w:tcPr>
            <w:tcW w:w="793" w:type="dxa"/>
            <w:tcBorders>
              <w:top w:val="nil"/>
              <w:left w:val="nil"/>
              <w:bottom w:val="single" w:sz="4" w:space="0" w:color="A6A6A6" w:themeColor="background1" w:themeShade="A6"/>
              <w:right w:val="nil"/>
            </w:tcBorders>
            <w:hideMark/>
          </w:tcPr>
          <w:p w14:paraId="3989EF5B" w14:textId="77777777" w:rsidR="001236DF" w:rsidRPr="00EF4C97" w:rsidRDefault="001236DF" w:rsidP="001236DF">
            <w:pPr>
              <w:pStyle w:val="TableText"/>
              <w:jc w:val="center"/>
              <w:rPr>
                <w:sz w:val="16"/>
                <w:szCs w:val="16"/>
              </w:rPr>
            </w:pPr>
            <w:r>
              <w:rPr>
                <w:sz w:val="16"/>
                <w:szCs w:val="16"/>
              </w:rPr>
              <w:t>2</w:t>
            </w:r>
          </w:p>
        </w:tc>
        <w:tc>
          <w:tcPr>
            <w:tcW w:w="794" w:type="dxa"/>
            <w:tcBorders>
              <w:top w:val="nil"/>
              <w:left w:val="nil"/>
              <w:bottom w:val="single" w:sz="4" w:space="0" w:color="A6A6A6" w:themeColor="background1" w:themeShade="A6"/>
              <w:right w:val="nil"/>
            </w:tcBorders>
            <w:hideMark/>
          </w:tcPr>
          <w:p w14:paraId="7BB04D1F" w14:textId="77777777" w:rsidR="001236DF" w:rsidRPr="00EF4C97" w:rsidRDefault="001236DF" w:rsidP="001236DF">
            <w:pPr>
              <w:pStyle w:val="TableText"/>
              <w:jc w:val="center"/>
              <w:rPr>
                <w:sz w:val="16"/>
                <w:szCs w:val="16"/>
              </w:rPr>
            </w:pPr>
            <w:r>
              <w:rPr>
                <w:sz w:val="16"/>
                <w:szCs w:val="16"/>
              </w:rPr>
              <w:t>0</w:t>
            </w:r>
          </w:p>
        </w:tc>
        <w:tc>
          <w:tcPr>
            <w:tcW w:w="794" w:type="dxa"/>
            <w:tcBorders>
              <w:top w:val="nil"/>
              <w:left w:val="nil"/>
              <w:bottom w:val="single" w:sz="4" w:space="0" w:color="A6A6A6" w:themeColor="background1" w:themeShade="A6"/>
              <w:right w:val="nil"/>
            </w:tcBorders>
            <w:hideMark/>
          </w:tcPr>
          <w:p w14:paraId="358BA103" w14:textId="77777777" w:rsidR="001236DF" w:rsidRPr="00EF4C97" w:rsidRDefault="001236DF" w:rsidP="001236DF">
            <w:pPr>
              <w:pStyle w:val="TableText"/>
              <w:jc w:val="center"/>
              <w:rPr>
                <w:sz w:val="16"/>
                <w:szCs w:val="16"/>
              </w:rPr>
            </w:pPr>
            <w:r w:rsidRPr="00EF4C97">
              <w:rPr>
                <w:sz w:val="16"/>
                <w:szCs w:val="16"/>
              </w:rPr>
              <w:t>0</w:t>
            </w:r>
          </w:p>
        </w:tc>
        <w:tc>
          <w:tcPr>
            <w:tcW w:w="794" w:type="dxa"/>
            <w:tcBorders>
              <w:top w:val="nil"/>
              <w:left w:val="nil"/>
              <w:bottom w:val="single" w:sz="4" w:space="0" w:color="A6A6A6" w:themeColor="background1" w:themeShade="A6"/>
              <w:right w:val="nil"/>
            </w:tcBorders>
            <w:hideMark/>
          </w:tcPr>
          <w:p w14:paraId="48ACC894" w14:textId="77777777" w:rsidR="001236DF" w:rsidRPr="00EF4C97" w:rsidRDefault="001236DF" w:rsidP="001236DF">
            <w:pPr>
              <w:pStyle w:val="TableText"/>
              <w:jc w:val="center"/>
              <w:rPr>
                <w:sz w:val="16"/>
                <w:szCs w:val="16"/>
              </w:rPr>
            </w:pPr>
            <w:r w:rsidRPr="00EF4C97">
              <w:rPr>
                <w:sz w:val="16"/>
                <w:szCs w:val="16"/>
              </w:rPr>
              <w:t>0</w:t>
            </w:r>
          </w:p>
        </w:tc>
        <w:tc>
          <w:tcPr>
            <w:tcW w:w="794" w:type="dxa"/>
            <w:tcBorders>
              <w:top w:val="nil"/>
              <w:left w:val="nil"/>
              <w:bottom w:val="single" w:sz="4" w:space="0" w:color="A6A6A6" w:themeColor="background1" w:themeShade="A6"/>
              <w:right w:val="nil"/>
            </w:tcBorders>
            <w:hideMark/>
          </w:tcPr>
          <w:p w14:paraId="2797C376" w14:textId="77777777" w:rsidR="001236DF" w:rsidRPr="00EF4C97" w:rsidRDefault="001236DF" w:rsidP="001236DF">
            <w:pPr>
              <w:pStyle w:val="TableText"/>
              <w:jc w:val="center"/>
              <w:rPr>
                <w:sz w:val="16"/>
                <w:szCs w:val="16"/>
              </w:rPr>
            </w:pPr>
            <w:r w:rsidRPr="00EF4C97">
              <w:rPr>
                <w:sz w:val="16"/>
                <w:szCs w:val="16"/>
              </w:rPr>
              <w:t>0</w:t>
            </w:r>
          </w:p>
        </w:tc>
        <w:tc>
          <w:tcPr>
            <w:tcW w:w="794" w:type="dxa"/>
            <w:tcBorders>
              <w:top w:val="nil"/>
              <w:left w:val="nil"/>
              <w:bottom w:val="single" w:sz="4" w:space="0" w:color="A6A6A6" w:themeColor="background1" w:themeShade="A6"/>
              <w:right w:val="nil"/>
            </w:tcBorders>
          </w:tcPr>
          <w:p w14:paraId="04325CB7" w14:textId="77777777" w:rsidR="001236DF" w:rsidRPr="00EF4C97" w:rsidRDefault="001236DF" w:rsidP="001236DF">
            <w:pPr>
              <w:pStyle w:val="TableText"/>
              <w:jc w:val="center"/>
              <w:rPr>
                <w:sz w:val="16"/>
                <w:szCs w:val="16"/>
              </w:rPr>
            </w:pPr>
            <w:r w:rsidRPr="00EF4C97">
              <w:rPr>
                <w:sz w:val="16"/>
                <w:szCs w:val="16"/>
              </w:rPr>
              <w:t>0</w:t>
            </w:r>
          </w:p>
        </w:tc>
      </w:tr>
    </w:tbl>
    <w:p w14:paraId="0814C75D" w14:textId="77777777" w:rsidR="001236DF" w:rsidRDefault="001236DF" w:rsidP="001236DF">
      <w:pPr>
        <w:pStyle w:val="Source"/>
      </w:pPr>
      <w:r>
        <w:t>Source: Office of the Director of Mental Health and Addiction Services records.</w:t>
      </w:r>
    </w:p>
    <w:p w14:paraId="2030FA07" w14:textId="77777777" w:rsidR="001236DF" w:rsidRDefault="001236DF" w:rsidP="001236DF"/>
    <w:p w14:paraId="11F49DB6" w14:textId="77777777" w:rsidR="001236DF" w:rsidRDefault="001236DF" w:rsidP="001236DF">
      <w:pPr>
        <w:spacing w:after="160" w:line="259" w:lineRule="auto"/>
        <w:rPr>
          <w:sz w:val="17"/>
        </w:rPr>
      </w:pPr>
      <w:r>
        <w:br w:type="page"/>
      </w:r>
    </w:p>
    <w:p w14:paraId="70530750" w14:textId="77777777" w:rsidR="001236DF" w:rsidRPr="00200234" w:rsidRDefault="001236DF" w:rsidP="001236DF">
      <w:pPr>
        <w:pStyle w:val="Heading1"/>
      </w:pPr>
      <w:bookmarkStart w:id="559" w:name="_Toc65141634"/>
      <w:bookmarkStart w:id="560" w:name="_Toc75176459"/>
      <w:bookmarkStart w:id="561" w:name="_Toc87429927"/>
      <w:bookmarkStart w:id="562" w:name="_Toc88826975"/>
      <w:bookmarkStart w:id="563" w:name="_Toc115188825"/>
      <w:bookmarkStart w:id="564" w:name="_Toc115431723"/>
      <w:r w:rsidRPr="00200234">
        <w:lastRenderedPageBreak/>
        <w:t>Electroconvulsive therapy</w:t>
      </w:r>
      <w:bookmarkEnd w:id="559"/>
      <w:bookmarkEnd w:id="560"/>
      <w:bookmarkEnd w:id="561"/>
      <w:bookmarkEnd w:id="562"/>
      <w:bookmarkEnd w:id="563"/>
      <w:bookmarkEnd w:id="564"/>
    </w:p>
    <w:p w14:paraId="3C4C6ABE" w14:textId="77777777" w:rsidR="001236DF" w:rsidRPr="00200234" w:rsidRDefault="001236DF" w:rsidP="001236DF">
      <w:r w:rsidRPr="00200234">
        <w:t>Electroconvulsive therapy (ECT) is a therapeutic procedure that delivers a brief pulse of electricity to a person</w:t>
      </w:r>
      <w:r>
        <w:t>’</w:t>
      </w:r>
      <w:r w:rsidRPr="00200234">
        <w:t xml:space="preserve">s brain in order to </w:t>
      </w:r>
      <w:r>
        <w:t>generate</w:t>
      </w:r>
      <w:r w:rsidRPr="00200234">
        <w:t xml:space="preserve"> a seizure. </w:t>
      </w:r>
      <w:r>
        <w:t>ECT</w:t>
      </w:r>
      <w:r w:rsidRPr="00200234">
        <w:t xml:space="preserve"> can be an effective treatment for depression, mania, catatonia and other serious neuropsychiatric conditions. It can only be given with the consent of the person receiving it, other than in carefully defined circumstances.</w:t>
      </w:r>
    </w:p>
    <w:p w14:paraId="5AA7DD67" w14:textId="77777777" w:rsidR="001236DF" w:rsidRPr="00200234" w:rsidRDefault="001236DF" w:rsidP="001236DF"/>
    <w:p w14:paraId="74E5A536" w14:textId="77777777" w:rsidR="001236DF" w:rsidRPr="00200234" w:rsidRDefault="001236DF" w:rsidP="001236DF">
      <w:r w:rsidRPr="009A4134">
        <w:t xml:space="preserve">In summary, </w:t>
      </w:r>
      <w:r>
        <w:t>from 1 July 2020 to 30 June 2021</w:t>
      </w:r>
      <w:r w:rsidRPr="00200234">
        <w:t>:</w:t>
      </w:r>
      <w:r>
        <w:rPr>
          <w:rStyle w:val="FootnoteReference"/>
        </w:rPr>
        <w:footnoteReference w:id="23"/>
      </w:r>
    </w:p>
    <w:p w14:paraId="28FFFEEE" w14:textId="77777777" w:rsidR="001236DF" w:rsidRPr="00ED4FA1" w:rsidRDefault="001236DF" w:rsidP="001236DF">
      <w:pPr>
        <w:pStyle w:val="Bullet"/>
      </w:pPr>
      <w:r>
        <w:t>259</w:t>
      </w:r>
      <w:r w:rsidRPr="00ED4FA1">
        <w:t xml:space="preserve"> people received ECT (</w:t>
      </w:r>
      <w:r>
        <w:t>5.1</w:t>
      </w:r>
      <w:r w:rsidRPr="00ED4FA1">
        <w:t xml:space="preserve"> people per 100,000 population)</w:t>
      </w:r>
    </w:p>
    <w:p w14:paraId="7FE3C31A" w14:textId="77777777" w:rsidR="001236DF" w:rsidRPr="00ED4FA1" w:rsidRDefault="001236DF" w:rsidP="001236DF">
      <w:pPr>
        <w:pStyle w:val="Bullet"/>
      </w:pPr>
      <w:r w:rsidRPr="00ED4FA1">
        <w:t xml:space="preserve">services administered a total of </w:t>
      </w:r>
      <w:r>
        <w:t>3,043</w:t>
      </w:r>
      <w:r w:rsidRPr="00ED4FA1">
        <w:t xml:space="preserve"> treatments of ECT</w:t>
      </w:r>
    </w:p>
    <w:p w14:paraId="5FC0CA0F" w14:textId="77777777" w:rsidR="001236DF" w:rsidRPr="00ED4FA1" w:rsidRDefault="001236DF" w:rsidP="001236DF">
      <w:pPr>
        <w:pStyle w:val="Bullet"/>
      </w:pPr>
      <w:r>
        <w:t>the people</w:t>
      </w:r>
      <w:r w:rsidRPr="00ED4FA1">
        <w:t xml:space="preserve"> treated received an average of </w:t>
      </w:r>
      <w:r>
        <w:t>23.4</w:t>
      </w:r>
      <w:r w:rsidRPr="00ED4FA1">
        <w:t xml:space="preserve"> treatments of ECT</w:t>
      </w:r>
      <w:r>
        <w:t xml:space="preserve"> each</w:t>
      </w:r>
      <w:r w:rsidRPr="00ED4FA1">
        <w:t xml:space="preserve"> over the year</w:t>
      </w:r>
    </w:p>
    <w:p w14:paraId="021486FB" w14:textId="77777777" w:rsidR="001236DF" w:rsidRPr="00ED4FA1" w:rsidRDefault="001236DF" w:rsidP="001236DF">
      <w:pPr>
        <w:pStyle w:val="Bullet"/>
      </w:pPr>
      <w:r>
        <w:t xml:space="preserve">females were </w:t>
      </w:r>
      <w:r w:rsidRPr="00A33FB8">
        <w:t>more</w:t>
      </w:r>
      <w:r>
        <w:t xml:space="preserve"> likely than males to receive ECT</w:t>
      </w:r>
    </w:p>
    <w:p w14:paraId="688B0361" w14:textId="77777777" w:rsidR="001236DF" w:rsidRPr="00ED4FA1" w:rsidRDefault="001236DF" w:rsidP="001236DF">
      <w:pPr>
        <w:pStyle w:val="Bullet"/>
      </w:pPr>
      <w:r w:rsidRPr="00ED4FA1">
        <w:t>older people were more likely to receive ECT than younger people, with those over 50</w:t>
      </w:r>
      <w:r>
        <w:t> </w:t>
      </w:r>
      <w:r w:rsidRPr="00ED4FA1">
        <w:t xml:space="preserve">years old making up </w:t>
      </w:r>
      <w:r w:rsidRPr="005B41CE">
        <w:t>63.3%</w:t>
      </w:r>
      <w:r w:rsidRPr="00ED4FA1">
        <w:t xml:space="preserve"> of ECT patients.</w:t>
      </w:r>
    </w:p>
    <w:p w14:paraId="79646AAD" w14:textId="77777777" w:rsidR="001236DF" w:rsidRPr="00200234" w:rsidRDefault="001236DF" w:rsidP="00B86C90">
      <w:pPr>
        <w:pStyle w:val="Heading2"/>
        <w:spacing w:before="360"/>
      </w:pPr>
      <w:bookmarkStart w:id="565" w:name="_Toc115188826"/>
      <w:bookmarkStart w:id="566" w:name="_Toc65141635"/>
      <w:bookmarkStart w:id="567" w:name="_Toc75176460"/>
      <w:bookmarkStart w:id="568" w:name="_Toc87429928"/>
      <w:bookmarkStart w:id="569" w:name="_Toc88826976"/>
      <w:bookmarkStart w:id="570" w:name="_Toc115431724"/>
      <w:r>
        <w:t xml:space="preserve">Number of people receiving </w:t>
      </w:r>
      <w:r w:rsidRPr="00200234">
        <w:t>ECT</w:t>
      </w:r>
      <w:bookmarkEnd w:id="565"/>
      <w:bookmarkEnd w:id="570"/>
      <w:r w:rsidRPr="00200234">
        <w:t xml:space="preserve"> </w:t>
      </w:r>
      <w:bookmarkEnd w:id="566"/>
      <w:bookmarkEnd w:id="567"/>
      <w:bookmarkEnd w:id="568"/>
      <w:bookmarkEnd w:id="569"/>
    </w:p>
    <w:p w14:paraId="1C5D71FA" w14:textId="77777777" w:rsidR="001236DF" w:rsidRDefault="001236DF" w:rsidP="001236DF">
      <w:r w:rsidRPr="00A33FB8">
        <w:t>The number of people treated with ECT in Aotearoa has remained relatively stable since 2006. Around 200 to 300 people receive the treatment each year</w:t>
      </w:r>
      <w:r>
        <w:t xml:space="preserve"> (Figure 41)</w:t>
      </w:r>
      <w:r w:rsidRPr="00A33FB8">
        <w:t>.</w:t>
      </w:r>
    </w:p>
    <w:p w14:paraId="47EA3280" w14:textId="77777777" w:rsidR="001236DF" w:rsidRPr="00200234" w:rsidRDefault="001236DF" w:rsidP="001236DF"/>
    <w:p w14:paraId="7EA0388E" w14:textId="6FD66991" w:rsidR="001236DF" w:rsidRDefault="001236DF" w:rsidP="001236DF">
      <w:pPr>
        <w:pStyle w:val="Figure"/>
      </w:pPr>
      <w:bookmarkStart w:id="571" w:name="_Toc63764791"/>
      <w:bookmarkStart w:id="572" w:name="_Toc75176502"/>
      <w:bookmarkStart w:id="573" w:name="_Toc85442595"/>
      <w:bookmarkStart w:id="574" w:name="_Toc85445948"/>
      <w:bookmarkStart w:id="575" w:name="_Toc87429988"/>
      <w:bookmarkStart w:id="576" w:name="_Toc88561420"/>
      <w:bookmarkStart w:id="577" w:name="_Toc115188880"/>
      <w:bookmarkStart w:id="578" w:name="_Toc115272583"/>
      <w:r>
        <w:t>Figure </w:t>
      </w:r>
      <w:fldSimple w:instr=" SEQ Figure \* ARABIC ">
        <w:r w:rsidR="009A04B0">
          <w:rPr>
            <w:noProof/>
          </w:rPr>
          <w:t>41</w:t>
        </w:r>
      </w:fldSimple>
      <w:r w:rsidRPr="00200234">
        <w:t xml:space="preserve">: </w:t>
      </w:r>
      <w:r>
        <w:t>Number</w:t>
      </w:r>
      <w:r w:rsidRPr="00A33FB8">
        <w:t xml:space="preserve"> of people treated with ECT per 100,000 population, 2005–20</w:t>
      </w:r>
      <w:bookmarkEnd w:id="571"/>
      <w:r w:rsidRPr="00A33FB8">
        <w:t>20</w:t>
      </w:r>
      <w:bookmarkEnd w:id="572"/>
      <w:bookmarkEnd w:id="573"/>
      <w:bookmarkEnd w:id="574"/>
      <w:bookmarkEnd w:id="575"/>
      <w:bookmarkEnd w:id="576"/>
      <w:r w:rsidRPr="00A33FB8">
        <w:t>/21</w:t>
      </w:r>
      <w:bookmarkEnd w:id="577"/>
      <w:bookmarkEnd w:id="578"/>
    </w:p>
    <w:p w14:paraId="63A69A8B" w14:textId="77777777" w:rsidR="001236DF" w:rsidRPr="00A33FB8" w:rsidRDefault="001236DF" w:rsidP="001236DF">
      <w:r>
        <w:rPr>
          <w:noProof/>
        </w:rPr>
        <w:drawing>
          <wp:inline distT="0" distB="0" distL="0" distR="0" wp14:anchorId="31FC1A67" wp14:editId="3DFB9C60">
            <wp:extent cx="4714503" cy="2588821"/>
            <wp:effectExtent l="0" t="0" r="0" b="0"/>
            <wp:docPr id="43" name="Chart 43" descr="This line graph shows that the ECT rate has fluctuated over time. It was at about 7.5 per 100,000 in 2005, dipped to about 4.8 in 2008, climbed back up to about 6.5 in 2011, and is 5.1 in 2020/21 financial year.">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0983A330" w14:textId="77777777" w:rsidR="001236DF" w:rsidRDefault="001236DF" w:rsidP="001236DF">
      <w:pPr>
        <w:pStyle w:val="Source"/>
      </w:pPr>
      <w:r w:rsidRPr="00200234">
        <w:t>Sources: PRIMHD data</w:t>
      </w:r>
      <w:r>
        <w:t xml:space="preserve"> (extracted</w:t>
      </w:r>
      <w:r w:rsidRPr="00200234">
        <w:t xml:space="preserve"> </w:t>
      </w:r>
      <w:r>
        <w:t>3 June 2022)</w:t>
      </w:r>
      <w:r w:rsidRPr="00200234">
        <w:t xml:space="preserve"> and manual data from </w:t>
      </w:r>
      <w:r>
        <w:t>Lakes, Southern, Waikato and Waitematā DHBs</w:t>
      </w:r>
      <w:r w:rsidRPr="00200234">
        <w:t>.</w:t>
      </w:r>
      <w:r>
        <w:t xml:space="preserve"> All years except 2020/21 are calendar years.</w:t>
      </w:r>
    </w:p>
    <w:p w14:paraId="1A181001" w14:textId="77777777" w:rsidR="001236DF" w:rsidRPr="00993F35" w:rsidRDefault="001236DF" w:rsidP="001236DF"/>
    <w:p w14:paraId="282AA63F" w14:textId="77777777" w:rsidR="001236DF" w:rsidRPr="00200234" w:rsidRDefault="001236DF" w:rsidP="00B86C90">
      <w:pPr>
        <w:pStyle w:val="Heading2"/>
        <w:spacing w:before="0"/>
      </w:pPr>
      <w:bookmarkStart w:id="579" w:name="_Toc65141636"/>
      <w:bookmarkStart w:id="580" w:name="_Toc75176461"/>
      <w:bookmarkStart w:id="581" w:name="_Toc87429929"/>
      <w:bookmarkStart w:id="582" w:name="_Toc88826977"/>
      <w:bookmarkStart w:id="583" w:name="_Toc115188827"/>
      <w:bookmarkStart w:id="584" w:name="_Toc115431725"/>
      <w:r w:rsidRPr="00200234">
        <w:t>ECT by region</w:t>
      </w:r>
      <w:bookmarkEnd w:id="579"/>
      <w:bookmarkEnd w:id="580"/>
      <w:bookmarkEnd w:id="581"/>
      <w:bookmarkEnd w:id="582"/>
      <w:bookmarkEnd w:id="583"/>
      <w:bookmarkEnd w:id="584"/>
    </w:p>
    <w:p w14:paraId="073874FD" w14:textId="77777777" w:rsidR="001236DF" w:rsidRDefault="001236DF" w:rsidP="001236DF">
      <w:r w:rsidRPr="00200234">
        <w:t>The number and rate of ECT treatments vary regionally (</w:t>
      </w:r>
      <w:r>
        <w:t>Table </w:t>
      </w:r>
      <w:r>
        <w:rPr>
          <w:noProof/>
        </w:rPr>
        <w:t>19</w:t>
      </w:r>
      <w:r w:rsidRPr="00200234">
        <w:t xml:space="preserve"> and </w:t>
      </w:r>
      <w:r>
        <w:t>Figures </w:t>
      </w:r>
      <w:r>
        <w:rPr>
          <w:noProof/>
        </w:rPr>
        <w:t>42</w:t>
      </w:r>
      <w:r>
        <w:t>,</w:t>
      </w:r>
      <w:r w:rsidDel="004A2F7E">
        <w:t xml:space="preserve"> </w:t>
      </w:r>
      <w:r>
        <w:rPr>
          <w:noProof/>
        </w:rPr>
        <w:t>43</w:t>
      </w:r>
      <w:r>
        <w:t xml:space="preserve"> and </w:t>
      </w:r>
      <w:r>
        <w:rPr>
          <w:noProof/>
        </w:rPr>
        <w:t>44</w:t>
      </w:r>
      <w:r w:rsidRPr="00200234">
        <w:t xml:space="preserve">). </w:t>
      </w:r>
      <w:r>
        <w:t>S</w:t>
      </w:r>
      <w:r w:rsidRPr="00200234">
        <w:t>everal factors help to explain these variations.</w:t>
      </w:r>
      <w:r>
        <w:t xml:space="preserve"> First,</w:t>
      </w:r>
      <w:r w:rsidRPr="00200234">
        <w:t xml:space="preserve"> </w:t>
      </w:r>
      <w:r>
        <w:t>r</w:t>
      </w:r>
      <w:r w:rsidRPr="00200234">
        <w:t>egions with smaller populations are more vulnerable to annual variations (according to the needs of the population at any given time). In addition, people receiving continuous or maintenance treatment will typically receive more treatments in a year than those treated with an acute course. Finally, populations in some DHB</w:t>
      </w:r>
      <w:r>
        <w:t xml:space="preserve"> area</w:t>
      </w:r>
      <w:r w:rsidRPr="00200234">
        <w:t xml:space="preserve">s have </w:t>
      </w:r>
      <w:r>
        <w:t xml:space="preserve">fewer barriers to </w:t>
      </w:r>
      <w:r w:rsidRPr="00200234">
        <w:t>access</w:t>
      </w:r>
      <w:r>
        <w:t>ing</w:t>
      </w:r>
      <w:r w:rsidRPr="00200234">
        <w:t xml:space="preserve"> ECT services</w:t>
      </w:r>
      <w:r>
        <w:t xml:space="preserve"> than those in other DHB areas</w:t>
      </w:r>
      <w:r w:rsidRPr="00200234">
        <w:t>.</w:t>
      </w:r>
      <w:r>
        <w:t xml:space="preserve"> It is important to consider these factors when interpreting the following information.</w:t>
      </w:r>
    </w:p>
    <w:p w14:paraId="1BECC6EF" w14:textId="77777777" w:rsidR="001236DF" w:rsidRPr="00200234" w:rsidRDefault="001236DF" w:rsidP="001236DF"/>
    <w:p w14:paraId="65987B11" w14:textId="2A84BF44" w:rsidR="001236DF" w:rsidRDefault="001236DF" w:rsidP="00B86C90">
      <w:pPr>
        <w:pStyle w:val="Table"/>
        <w:spacing w:before="0"/>
      </w:pPr>
      <w:bookmarkStart w:id="585" w:name="_Ref85452298"/>
      <w:bookmarkStart w:id="586" w:name="_Toc87430016"/>
      <w:bookmarkStart w:id="587" w:name="_Toc88561373"/>
      <w:bookmarkStart w:id="588" w:name="_Toc115188908"/>
      <w:bookmarkStart w:id="589" w:name="_Toc115272610"/>
      <w:r>
        <w:t>Table </w:t>
      </w:r>
      <w:fldSimple w:instr=" SEQ Table \* ARABIC ">
        <w:r w:rsidR="009A04B0">
          <w:rPr>
            <w:noProof/>
          </w:rPr>
          <w:t>19</w:t>
        </w:r>
      </w:fldSimple>
      <w:bookmarkEnd w:id="585"/>
      <w:r w:rsidRPr="0081115B">
        <w:t xml:space="preserve">: </w:t>
      </w:r>
      <w:r w:rsidRPr="00BD35B5">
        <w:t xml:space="preserve">ECT indicators, by DHB of domicile, 1 </w:t>
      </w:r>
      <w:bookmarkEnd w:id="586"/>
      <w:bookmarkEnd w:id="587"/>
      <w:r w:rsidRPr="00BD35B5">
        <w:t>July 2020 to 30 June 2021</w:t>
      </w:r>
      <w:bookmarkEnd w:id="588"/>
      <w:bookmarkEnd w:id="589"/>
    </w:p>
    <w:tbl>
      <w:tblPr>
        <w:tblW w:w="4931" w:type="pct"/>
        <w:tblInd w:w="57" w:type="dxa"/>
        <w:tblBorders>
          <w:top w:val="single" w:sz="4" w:space="0" w:color="auto"/>
          <w:bottom w:val="single" w:sz="4" w:space="0" w:color="auto"/>
          <w:insideH w:val="single" w:sz="4" w:space="0" w:color="auto"/>
        </w:tblBorders>
        <w:tblLayout w:type="fixed"/>
        <w:tblCellMar>
          <w:left w:w="57" w:type="dxa"/>
          <w:right w:w="57" w:type="dxa"/>
        </w:tblCellMar>
        <w:tblLook w:val="01E0" w:firstRow="1" w:lastRow="1" w:firstColumn="1" w:lastColumn="1" w:noHBand="0" w:noVBand="0"/>
      </w:tblPr>
      <w:tblGrid>
        <w:gridCol w:w="2097"/>
        <w:gridCol w:w="1957"/>
        <w:gridCol w:w="1398"/>
        <w:gridCol w:w="2516"/>
      </w:tblGrid>
      <w:tr w:rsidR="001236DF" w:rsidRPr="0048119A" w14:paraId="3380E658" w14:textId="77777777" w:rsidTr="001236DF">
        <w:trPr>
          <w:cantSplit/>
        </w:trPr>
        <w:tc>
          <w:tcPr>
            <w:tcW w:w="1316" w:type="pct"/>
            <w:tcBorders>
              <w:top w:val="nil"/>
              <w:bottom w:val="nil"/>
            </w:tcBorders>
            <w:shd w:val="clear" w:color="auto" w:fill="D9D9D9"/>
          </w:tcPr>
          <w:p w14:paraId="25B61684" w14:textId="77777777" w:rsidR="001236DF" w:rsidRPr="0048119A" w:rsidRDefault="001236DF" w:rsidP="00B86C90">
            <w:pPr>
              <w:pStyle w:val="TableText"/>
              <w:keepNext/>
              <w:spacing w:before="50" w:after="50"/>
              <w:rPr>
                <w:b/>
              </w:rPr>
            </w:pPr>
            <w:r w:rsidRPr="0048119A">
              <w:rPr>
                <w:b/>
              </w:rPr>
              <w:t>DHB of domicile</w:t>
            </w:r>
          </w:p>
        </w:tc>
        <w:tc>
          <w:tcPr>
            <w:tcW w:w="1228" w:type="pct"/>
            <w:tcBorders>
              <w:top w:val="nil"/>
              <w:bottom w:val="nil"/>
            </w:tcBorders>
            <w:shd w:val="clear" w:color="auto" w:fill="D9D9D9"/>
          </w:tcPr>
          <w:p w14:paraId="558A898A" w14:textId="77777777" w:rsidR="001236DF" w:rsidRPr="0048119A" w:rsidRDefault="001236DF" w:rsidP="00B86C90">
            <w:pPr>
              <w:pStyle w:val="TableText"/>
              <w:keepNext/>
              <w:spacing w:before="50" w:after="50"/>
              <w:jc w:val="center"/>
              <w:rPr>
                <w:b/>
              </w:rPr>
            </w:pPr>
            <w:r w:rsidRPr="0048119A">
              <w:rPr>
                <w:b/>
              </w:rPr>
              <w:t>Number of people treated with ECT</w:t>
            </w:r>
          </w:p>
        </w:tc>
        <w:tc>
          <w:tcPr>
            <w:tcW w:w="877" w:type="pct"/>
            <w:tcBorders>
              <w:top w:val="nil"/>
              <w:bottom w:val="nil"/>
            </w:tcBorders>
            <w:shd w:val="clear" w:color="auto" w:fill="D9D9D9"/>
          </w:tcPr>
          <w:p w14:paraId="3ECB46D4" w14:textId="77777777" w:rsidR="001236DF" w:rsidRPr="0048119A" w:rsidRDefault="001236DF" w:rsidP="00B86C90">
            <w:pPr>
              <w:pStyle w:val="TableText"/>
              <w:keepNext/>
              <w:spacing w:before="50" w:after="50"/>
              <w:jc w:val="center"/>
              <w:rPr>
                <w:b/>
              </w:rPr>
            </w:pPr>
            <w:r w:rsidRPr="0048119A">
              <w:rPr>
                <w:b/>
              </w:rPr>
              <w:t>Number of</w:t>
            </w:r>
            <w:r>
              <w:rPr>
                <w:b/>
              </w:rPr>
              <w:t xml:space="preserve"> </w:t>
            </w:r>
            <w:r w:rsidRPr="0048119A">
              <w:rPr>
                <w:b/>
              </w:rPr>
              <w:t>treatments</w:t>
            </w:r>
          </w:p>
        </w:tc>
        <w:tc>
          <w:tcPr>
            <w:tcW w:w="1579" w:type="pct"/>
            <w:tcBorders>
              <w:top w:val="nil"/>
              <w:bottom w:val="nil"/>
            </w:tcBorders>
            <w:shd w:val="clear" w:color="auto" w:fill="D9D9D9"/>
          </w:tcPr>
          <w:p w14:paraId="176908BD" w14:textId="77777777" w:rsidR="001236DF" w:rsidRPr="0048119A" w:rsidRDefault="001236DF" w:rsidP="00B86C90">
            <w:pPr>
              <w:pStyle w:val="TableText"/>
              <w:keepNext/>
              <w:spacing w:before="50" w:after="50"/>
              <w:jc w:val="center"/>
              <w:rPr>
                <w:b/>
              </w:rPr>
            </w:pPr>
            <w:r w:rsidRPr="0048119A">
              <w:rPr>
                <w:b/>
              </w:rPr>
              <w:t>Mean number of treatments per person (range)</w:t>
            </w:r>
          </w:p>
        </w:tc>
      </w:tr>
      <w:tr w:rsidR="001236DF" w:rsidRPr="00200234" w14:paraId="7E1F5B06" w14:textId="77777777" w:rsidTr="001236DF">
        <w:trPr>
          <w:cantSplit/>
        </w:trPr>
        <w:tc>
          <w:tcPr>
            <w:tcW w:w="1316" w:type="pct"/>
            <w:tcBorders>
              <w:top w:val="nil"/>
              <w:bottom w:val="single" w:sz="4" w:space="0" w:color="A6A6A6" w:themeColor="background1" w:themeShade="A6"/>
            </w:tcBorders>
            <w:shd w:val="clear" w:color="auto" w:fill="auto"/>
          </w:tcPr>
          <w:p w14:paraId="731193D5" w14:textId="77777777" w:rsidR="001236DF" w:rsidRPr="007159B5" w:rsidRDefault="001236DF" w:rsidP="00B86C90">
            <w:pPr>
              <w:pStyle w:val="TableText"/>
              <w:keepNext/>
              <w:spacing w:before="50" w:after="50"/>
              <w:rPr>
                <w:bCs/>
                <w:szCs w:val="18"/>
              </w:rPr>
            </w:pPr>
            <w:r w:rsidRPr="007159B5">
              <w:rPr>
                <w:bCs/>
                <w:szCs w:val="18"/>
              </w:rPr>
              <w:t>Auckland</w:t>
            </w:r>
          </w:p>
        </w:tc>
        <w:tc>
          <w:tcPr>
            <w:tcW w:w="1228" w:type="pct"/>
            <w:tcBorders>
              <w:top w:val="nil"/>
              <w:bottom w:val="single" w:sz="4" w:space="0" w:color="A6A6A6" w:themeColor="background1" w:themeShade="A6"/>
            </w:tcBorders>
            <w:shd w:val="clear" w:color="auto" w:fill="auto"/>
          </w:tcPr>
          <w:p w14:paraId="046158BB" w14:textId="77777777" w:rsidR="001236DF" w:rsidRPr="007159B5" w:rsidRDefault="001236DF" w:rsidP="00B86C90">
            <w:pPr>
              <w:pStyle w:val="TableText"/>
              <w:keepNext/>
              <w:tabs>
                <w:tab w:val="decimal" w:pos="1077"/>
              </w:tabs>
              <w:spacing w:before="50" w:after="50"/>
              <w:rPr>
                <w:bCs/>
                <w:szCs w:val="18"/>
              </w:rPr>
            </w:pPr>
            <w:r w:rsidRPr="000C0384">
              <w:t>16</w:t>
            </w:r>
          </w:p>
        </w:tc>
        <w:tc>
          <w:tcPr>
            <w:tcW w:w="877" w:type="pct"/>
            <w:tcBorders>
              <w:top w:val="nil"/>
              <w:bottom w:val="single" w:sz="4" w:space="0" w:color="A6A6A6" w:themeColor="background1" w:themeShade="A6"/>
            </w:tcBorders>
            <w:shd w:val="clear" w:color="auto" w:fill="auto"/>
          </w:tcPr>
          <w:p w14:paraId="2595A546" w14:textId="77777777" w:rsidR="001236DF" w:rsidRPr="007159B5" w:rsidRDefault="001236DF" w:rsidP="00B86C90">
            <w:pPr>
              <w:pStyle w:val="TableText"/>
              <w:keepNext/>
              <w:tabs>
                <w:tab w:val="decimal" w:pos="935"/>
              </w:tabs>
              <w:spacing w:before="50" w:after="50"/>
              <w:rPr>
                <w:bCs/>
                <w:szCs w:val="18"/>
              </w:rPr>
            </w:pPr>
            <w:r w:rsidRPr="002E7CA2">
              <w:t>195</w:t>
            </w:r>
          </w:p>
        </w:tc>
        <w:tc>
          <w:tcPr>
            <w:tcW w:w="1579" w:type="pct"/>
            <w:tcBorders>
              <w:top w:val="nil"/>
              <w:bottom w:val="single" w:sz="4" w:space="0" w:color="A6A6A6" w:themeColor="background1" w:themeShade="A6"/>
            </w:tcBorders>
            <w:shd w:val="clear" w:color="auto" w:fill="auto"/>
          </w:tcPr>
          <w:p w14:paraId="78F22FC4" w14:textId="77777777" w:rsidR="001236DF" w:rsidRPr="007159B5" w:rsidRDefault="001236DF" w:rsidP="00B86C90">
            <w:pPr>
              <w:pStyle w:val="TableText"/>
              <w:keepNext/>
              <w:tabs>
                <w:tab w:val="decimal" w:pos="936"/>
              </w:tabs>
              <w:spacing w:before="50" w:after="50"/>
              <w:rPr>
                <w:bCs/>
                <w:szCs w:val="18"/>
              </w:rPr>
            </w:pPr>
            <w:r>
              <w:rPr>
                <w:bCs/>
                <w:szCs w:val="18"/>
              </w:rPr>
              <w:t>12 (1–48)</w:t>
            </w:r>
          </w:p>
        </w:tc>
      </w:tr>
      <w:tr w:rsidR="001236DF" w:rsidRPr="00200234" w14:paraId="3078DC20"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13F3F9E1" w14:textId="77777777" w:rsidR="001236DF" w:rsidRPr="007159B5" w:rsidRDefault="001236DF" w:rsidP="00B86C90">
            <w:pPr>
              <w:pStyle w:val="TableText"/>
              <w:keepNext/>
              <w:spacing w:before="50" w:after="50"/>
              <w:rPr>
                <w:bCs/>
                <w:szCs w:val="18"/>
              </w:rPr>
            </w:pPr>
            <w:r w:rsidRPr="007159B5">
              <w:rPr>
                <w:bCs/>
                <w:szCs w:val="18"/>
              </w:rPr>
              <w:t>Bay of Plenty</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11C5FA98" w14:textId="77777777" w:rsidR="001236DF" w:rsidRPr="007159B5" w:rsidRDefault="001236DF" w:rsidP="00B86C90">
            <w:pPr>
              <w:pStyle w:val="TableText"/>
              <w:keepNext/>
              <w:tabs>
                <w:tab w:val="decimal" w:pos="1077"/>
              </w:tabs>
              <w:spacing w:before="50" w:after="50"/>
              <w:rPr>
                <w:bCs/>
                <w:szCs w:val="18"/>
              </w:rPr>
            </w:pPr>
            <w:r w:rsidRPr="000C0384">
              <w:t>21</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732B4220" w14:textId="77777777" w:rsidR="001236DF" w:rsidRPr="007159B5" w:rsidRDefault="001236DF" w:rsidP="00B86C90">
            <w:pPr>
              <w:pStyle w:val="TableText"/>
              <w:keepNext/>
              <w:tabs>
                <w:tab w:val="decimal" w:pos="935"/>
              </w:tabs>
              <w:spacing w:before="50" w:after="50"/>
              <w:rPr>
                <w:bCs/>
                <w:szCs w:val="18"/>
              </w:rPr>
            </w:pPr>
            <w:r w:rsidRPr="002E7CA2">
              <w:t>306</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5D94CC92" w14:textId="77777777" w:rsidR="001236DF" w:rsidRPr="007159B5" w:rsidRDefault="001236DF" w:rsidP="00B86C90">
            <w:pPr>
              <w:pStyle w:val="TableText"/>
              <w:keepNext/>
              <w:tabs>
                <w:tab w:val="decimal" w:pos="936"/>
              </w:tabs>
              <w:spacing w:before="50" w:after="50"/>
              <w:rPr>
                <w:bCs/>
                <w:szCs w:val="18"/>
              </w:rPr>
            </w:pPr>
            <w:r>
              <w:rPr>
                <w:bCs/>
                <w:szCs w:val="18"/>
              </w:rPr>
              <w:t>14 (1–60)</w:t>
            </w:r>
          </w:p>
        </w:tc>
      </w:tr>
      <w:tr w:rsidR="001236DF" w:rsidRPr="00200234" w14:paraId="74F22A7F"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27A17E5C" w14:textId="77777777" w:rsidR="001236DF" w:rsidRPr="007159B5" w:rsidRDefault="001236DF" w:rsidP="00B86C90">
            <w:pPr>
              <w:pStyle w:val="TableText"/>
              <w:keepNext/>
              <w:spacing w:before="50" w:after="50"/>
              <w:rPr>
                <w:bCs/>
                <w:szCs w:val="18"/>
              </w:rPr>
            </w:pPr>
            <w:r w:rsidRPr="007159B5">
              <w:rPr>
                <w:bCs/>
                <w:szCs w:val="18"/>
              </w:rPr>
              <w:t>Canterbury</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797954E1" w14:textId="77777777" w:rsidR="001236DF" w:rsidRPr="007159B5" w:rsidRDefault="001236DF" w:rsidP="00B86C90">
            <w:pPr>
              <w:pStyle w:val="TableText"/>
              <w:keepNext/>
              <w:tabs>
                <w:tab w:val="decimal" w:pos="1077"/>
              </w:tabs>
              <w:spacing w:before="50" w:after="50"/>
              <w:rPr>
                <w:bCs/>
                <w:szCs w:val="18"/>
              </w:rPr>
            </w:pPr>
            <w:r w:rsidRPr="000C0384">
              <w:t>21</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3EBA2430" w14:textId="77777777" w:rsidR="001236DF" w:rsidRPr="007159B5" w:rsidRDefault="001236DF" w:rsidP="00B86C90">
            <w:pPr>
              <w:pStyle w:val="TableText"/>
              <w:keepNext/>
              <w:tabs>
                <w:tab w:val="decimal" w:pos="935"/>
              </w:tabs>
              <w:spacing w:before="50" w:after="50"/>
              <w:rPr>
                <w:bCs/>
                <w:szCs w:val="18"/>
              </w:rPr>
            </w:pPr>
            <w:r w:rsidRPr="002E7CA2">
              <w:t>145</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060B275F" w14:textId="77777777" w:rsidR="001236DF" w:rsidRPr="007159B5" w:rsidRDefault="001236DF" w:rsidP="00B86C90">
            <w:pPr>
              <w:pStyle w:val="TableText"/>
              <w:keepNext/>
              <w:tabs>
                <w:tab w:val="decimal" w:pos="936"/>
              </w:tabs>
              <w:spacing w:before="50" w:after="50"/>
              <w:rPr>
                <w:bCs/>
                <w:szCs w:val="18"/>
              </w:rPr>
            </w:pPr>
            <w:r>
              <w:rPr>
                <w:bCs/>
                <w:szCs w:val="18"/>
              </w:rPr>
              <w:t>7 (1–19)</w:t>
            </w:r>
          </w:p>
        </w:tc>
      </w:tr>
      <w:tr w:rsidR="001236DF" w:rsidRPr="00200234" w14:paraId="10432711"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095532D1" w14:textId="77777777" w:rsidR="001236DF" w:rsidRPr="007159B5" w:rsidRDefault="001236DF" w:rsidP="00B86C90">
            <w:pPr>
              <w:pStyle w:val="TableText"/>
              <w:keepNext/>
              <w:spacing w:before="50" w:after="50"/>
              <w:rPr>
                <w:bCs/>
                <w:szCs w:val="18"/>
              </w:rPr>
            </w:pPr>
            <w:r w:rsidRPr="007159B5">
              <w:rPr>
                <w:bCs/>
                <w:szCs w:val="18"/>
              </w:rPr>
              <w:t>Capital &amp; Coast</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248B25F6" w14:textId="77777777" w:rsidR="001236DF" w:rsidRPr="007159B5" w:rsidRDefault="001236DF" w:rsidP="00B86C90">
            <w:pPr>
              <w:pStyle w:val="TableText"/>
              <w:keepNext/>
              <w:tabs>
                <w:tab w:val="decimal" w:pos="1077"/>
              </w:tabs>
              <w:spacing w:before="50" w:after="50"/>
              <w:rPr>
                <w:bCs/>
                <w:szCs w:val="18"/>
              </w:rPr>
            </w:pPr>
            <w:r w:rsidRPr="000C0384">
              <w:t>28</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093C2463" w14:textId="77777777" w:rsidR="001236DF" w:rsidRPr="007159B5" w:rsidRDefault="001236DF" w:rsidP="00B86C90">
            <w:pPr>
              <w:pStyle w:val="TableText"/>
              <w:keepNext/>
              <w:tabs>
                <w:tab w:val="decimal" w:pos="935"/>
              </w:tabs>
              <w:spacing w:before="50" w:after="50"/>
              <w:rPr>
                <w:bCs/>
                <w:szCs w:val="18"/>
              </w:rPr>
            </w:pPr>
            <w:r w:rsidRPr="002E7CA2">
              <w:t>331</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634CB185" w14:textId="77777777" w:rsidR="001236DF" w:rsidRPr="007159B5" w:rsidRDefault="001236DF" w:rsidP="00B86C90">
            <w:pPr>
              <w:pStyle w:val="TableText"/>
              <w:keepNext/>
              <w:tabs>
                <w:tab w:val="decimal" w:pos="936"/>
              </w:tabs>
              <w:spacing w:before="50" w:after="50"/>
              <w:rPr>
                <w:bCs/>
                <w:szCs w:val="18"/>
              </w:rPr>
            </w:pPr>
            <w:r>
              <w:rPr>
                <w:bCs/>
                <w:szCs w:val="18"/>
              </w:rPr>
              <w:t>12 (2–31)</w:t>
            </w:r>
          </w:p>
        </w:tc>
      </w:tr>
      <w:tr w:rsidR="001236DF" w:rsidRPr="00200234" w14:paraId="4FA861D3"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7B3E724A" w14:textId="77777777" w:rsidR="001236DF" w:rsidRPr="007159B5" w:rsidRDefault="001236DF" w:rsidP="00B86C90">
            <w:pPr>
              <w:pStyle w:val="TableText"/>
              <w:keepNext/>
              <w:spacing w:before="50" w:after="50"/>
              <w:rPr>
                <w:bCs/>
                <w:szCs w:val="18"/>
              </w:rPr>
            </w:pPr>
            <w:r w:rsidRPr="007159B5">
              <w:rPr>
                <w:bCs/>
                <w:szCs w:val="18"/>
              </w:rPr>
              <w:t>Counties Manukau</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25B38D27" w14:textId="77777777" w:rsidR="001236DF" w:rsidRPr="007159B5" w:rsidRDefault="001236DF" w:rsidP="00B86C90">
            <w:pPr>
              <w:pStyle w:val="TableText"/>
              <w:keepNext/>
              <w:tabs>
                <w:tab w:val="decimal" w:pos="1077"/>
              </w:tabs>
              <w:spacing w:before="50" w:after="50"/>
              <w:rPr>
                <w:bCs/>
                <w:szCs w:val="18"/>
              </w:rPr>
            </w:pPr>
            <w:r w:rsidRPr="000C0384">
              <w:t>22</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743AC5D7" w14:textId="77777777" w:rsidR="001236DF" w:rsidRPr="007159B5" w:rsidRDefault="001236DF" w:rsidP="00B86C90">
            <w:pPr>
              <w:pStyle w:val="TableText"/>
              <w:keepNext/>
              <w:tabs>
                <w:tab w:val="decimal" w:pos="935"/>
              </w:tabs>
              <w:spacing w:before="50" w:after="50"/>
              <w:rPr>
                <w:bCs/>
                <w:szCs w:val="18"/>
              </w:rPr>
            </w:pPr>
            <w:r w:rsidRPr="002E7CA2">
              <w:t>179</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0DC4BD8C" w14:textId="77777777" w:rsidR="001236DF" w:rsidRPr="007159B5" w:rsidRDefault="001236DF" w:rsidP="00B86C90">
            <w:pPr>
              <w:pStyle w:val="TableText"/>
              <w:keepNext/>
              <w:tabs>
                <w:tab w:val="decimal" w:pos="936"/>
              </w:tabs>
              <w:spacing w:before="50" w:after="50"/>
              <w:rPr>
                <w:bCs/>
                <w:szCs w:val="18"/>
              </w:rPr>
            </w:pPr>
            <w:r>
              <w:rPr>
                <w:bCs/>
                <w:szCs w:val="18"/>
              </w:rPr>
              <w:t>9 (1–32)</w:t>
            </w:r>
          </w:p>
        </w:tc>
      </w:tr>
      <w:tr w:rsidR="001236DF" w:rsidRPr="00200234" w14:paraId="06B88E87"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09BDBDD0" w14:textId="77777777" w:rsidR="001236DF" w:rsidRPr="007159B5" w:rsidRDefault="001236DF" w:rsidP="00B86C90">
            <w:pPr>
              <w:pStyle w:val="TableText"/>
              <w:keepNext/>
              <w:spacing w:before="50" w:after="50"/>
              <w:rPr>
                <w:bCs/>
                <w:szCs w:val="18"/>
              </w:rPr>
            </w:pPr>
            <w:r w:rsidRPr="007159B5">
              <w:rPr>
                <w:bCs/>
                <w:szCs w:val="18"/>
              </w:rPr>
              <w:t>Hawke</w:t>
            </w:r>
            <w:r>
              <w:rPr>
                <w:bCs/>
                <w:szCs w:val="18"/>
              </w:rPr>
              <w:t>’</w:t>
            </w:r>
            <w:r w:rsidRPr="007159B5">
              <w:rPr>
                <w:bCs/>
                <w:szCs w:val="18"/>
              </w:rPr>
              <w:t>s Bay</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4F278617" w14:textId="77777777" w:rsidR="001236DF" w:rsidRPr="007159B5" w:rsidRDefault="001236DF" w:rsidP="00B86C90">
            <w:pPr>
              <w:pStyle w:val="TableText"/>
              <w:keepNext/>
              <w:tabs>
                <w:tab w:val="decimal" w:pos="1077"/>
              </w:tabs>
              <w:spacing w:before="50" w:after="50"/>
              <w:rPr>
                <w:bCs/>
                <w:szCs w:val="18"/>
              </w:rPr>
            </w:pPr>
            <w:r w:rsidRPr="000C0384">
              <w:t>6</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3A4FFCAB" w14:textId="77777777" w:rsidR="001236DF" w:rsidRPr="007159B5" w:rsidRDefault="001236DF" w:rsidP="00B86C90">
            <w:pPr>
              <w:pStyle w:val="TableText"/>
              <w:keepNext/>
              <w:tabs>
                <w:tab w:val="decimal" w:pos="935"/>
              </w:tabs>
              <w:spacing w:before="50" w:after="50"/>
              <w:rPr>
                <w:bCs/>
                <w:szCs w:val="18"/>
              </w:rPr>
            </w:pPr>
            <w:r w:rsidRPr="002E7CA2">
              <w:t>70</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299CFD92" w14:textId="77777777" w:rsidR="001236DF" w:rsidRPr="007159B5" w:rsidRDefault="001236DF" w:rsidP="00B86C90">
            <w:pPr>
              <w:pStyle w:val="TableText"/>
              <w:keepNext/>
              <w:tabs>
                <w:tab w:val="decimal" w:pos="936"/>
              </w:tabs>
              <w:spacing w:before="50" w:after="50"/>
              <w:rPr>
                <w:bCs/>
                <w:szCs w:val="18"/>
              </w:rPr>
            </w:pPr>
            <w:r>
              <w:rPr>
                <w:bCs/>
                <w:szCs w:val="18"/>
              </w:rPr>
              <w:t>8 (3–15)</w:t>
            </w:r>
          </w:p>
        </w:tc>
      </w:tr>
      <w:tr w:rsidR="001236DF" w:rsidRPr="00200234" w14:paraId="18BA6BF9"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71408544" w14:textId="77777777" w:rsidR="001236DF" w:rsidRPr="007159B5" w:rsidRDefault="001236DF" w:rsidP="00B86C90">
            <w:pPr>
              <w:pStyle w:val="TableText"/>
              <w:keepNext/>
              <w:spacing w:before="50" w:after="50"/>
              <w:rPr>
                <w:bCs/>
                <w:szCs w:val="18"/>
              </w:rPr>
            </w:pPr>
            <w:r w:rsidRPr="007159B5">
              <w:rPr>
                <w:bCs/>
                <w:szCs w:val="18"/>
              </w:rPr>
              <w:t>Hutt Valley</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534572B2" w14:textId="77777777" w:rsidR="001236DF" w:rsidRPr="007159B5" w:rsidRDefault="001236DF" w:rsidP="00B86C90">
            <w:pPr>
              <w:pStyle w:val="TableText"/>
              <w:keepNext/>
              <w:tabs>
                <w:tab w:val="decimal" w:pos="1077"/>
              </w:tabs>
              <w:spacing w:before="50" w:after="50"/>
              <w:rPr>
                <w:bCs/>
                <w:szCs w:val="18"/>
              </w:rPr>
            </w:pPr>
            <w:r w:rsidRPr="000C0384">
              <w:t>12</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2A4DED35" w14:textId="77777777" w:rsidR="001236DF" w:rsidRPr="007159B5" w:rsidRDefault="001236DF" w:rsidP="00B86C90">
            <w:pPr>
              <w:pStyle w:val="TableText"/>
              <w:keepNext/>
              <w:tabs>
                <w:tab w:val="decimal" w:pos="935"/>
              </w:tabs>
              <w:spacing w:before="50" w:after="50"/>
              <w:rPr>
                <w:bCs/>
                <w:szCs w:val="18"/>
              </w:rPr>
            </w:pPr>
            <w:r w:rsidRPr="002E7CA2">
              <w:t>123</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0A91DC3B" w14:textId="77777777" w:rsidR="001236DF" w:rsidRPr="007159B5" w:rsidRDefault="001236DF" w:rsidP="00B86C90">
            <w:pPr>
              <w:pStyle w:val="TableText"/>
              <w:keepNext/>
              <w:tabs>
                <w:tab w:val="decimal" w:pos="936"/>
              </w:tabs>
              <w:spacing w:before="50" w:after="50"/>
              <w:rPr>
                <w:bCs/>
                <w:szCs w:val="18"/>
              </w:rPr>
            </w:pPr>
            <w:r>
              <w:rPr>
                <w:bCs/>
                <w:szCs w:val="18"/>
              </w:rPr>
              <w:t>10 (3–16)</w:t>
            </w:r>
          </w:p>
        </w:tc>
      </w:tr>
      <w:tr w:rsidR="001236DF" w:rsidRPr="00200234" w14:paraId="625AFE5F"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42CCED33" w14:textId="77777777" w:rsidR="001236DF" w:rsidRPr="007159B5" w:rsidRDefault="001236DF" w:rsidP="00B86C90">
            <w:pPr>
              <w:pStyle w:val="TableText"/>
              <w:keepNext/>
              <w:spacing w:before="50" w:after="50"/>
              <w:rPr>
                <w:bCs/>
                <w:szCs w:val="18"/>
              </w:rPr>
            </w:pPr>
            <w:r w:rsidRPr="007159B5">
              <w:rPr>
                <w:bCs/>
                <w:szCs w:val="18"/>
              </w:rPr>
              <w:t>Lakes</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4AB48AC7" w14:textId="77777777" w:rsidR="001236DF" w:rsidRPr="007159B5" w:rsidRDefault="001236DF" w:rsidP="00B86C90">
            <w:pPr>
              <w:pStyle w:val="TableText"/>
              <w:keepNext/>
              <w:tabs>
                <w:tab w:val="decimal" w:pos="1077"/>
              </w:tabs>
              <w:spacing w:before="50" w:after="50"/>
              <w:rPr>
                <w:bCs/>
                <w:szCs w:val="18"/>
              </w:rPr>
            </w:pPr>
            <w:r w:rsidRPr="000C0384">
              <w:t>11</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0B3CD88D" w14:textId="77777777" w:rsidR="001236DF" w:rsidRPr="007159B5" w:rsidRDefault="001236DF" w:rsidP="00B86C90">
            <w:pPr>
              <w:pStyle w:val="TableText"/>
              <w:keepNext/>
              <w:tabs>
                <w:tab w:val="decimal" w:pos="935"/>
              </w:tabs>
              <w:spacing w:before="50" w:after="50"/>
              <w:rPr>
                <w:bCs/>
                <w:szCs w:val="18"/>
              </w:rPr>
            </w:pPr>
            <w:r w:rsidRPr="002E7CA2">
              <w:t>106</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384C4E0C" w14:textId="77777777" w:rsidR="001236DF" w:rsidRPr="007159B5" w:rsidRDefault="001236DF" w:rsidP="00B86C90">
            <w:pPr>
              <w:pStyle w:val="TableText"/>
              <w:keepNext/>
              <w:tabs>
                <w:tab w:val="decimal" w:pos="936"/>
              </w:tabs>
              <w:spacing w:before="50" w:after="50"/>
              <w:rPr>
                <w:bCs/>
                <w:szCs w:val="18"/>
              </w:rPr>
            </w:pPr>
            <w:r>
              <w:rPr>
                <w:bCs/>
                <w:szCs w:val="18"/>
              </w:rPr>
              <w:t>10 (4–16)</w:t>
            </w:r>
          </w:p>
        </w:tc>
      </w:tr>
      <w:tr w:rsidR="001236DF" w:rsidRPr="00200234" w14:paraId="4E0C7881"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57DD5E73" w14:textId="77777777" w:rsidR="001236DF" w:rsidRPr="007159B5" w:rsidRDefault="001236DF" w:rsidP="00B86C90">
            <w:pPr>
              <w:pStyle w:val="TableText"/>
              <w:keepNext/>
              <w:spacing w:before="50" w:after="50"/>
              <w:rPr>
                <w:bCs/>
                <w:szCs w:val="18"/>
              </w:rPr>
            </w:pPr>
            <w:r w:rsidRPr="007159B5">
              <w:rPr>
                <w:bCs/>
                <w:szCs w:val="18"/>
              </w:rPr>
              <w:t>MidCentral</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627D36BF" w14:textId="77777777" w:rsidR="001236DF" w:rsidRPr="007159B5" w:rsidRDefault="001236DF" w:rsidP="00B86C90">
            <w:pPr>
              <w:pStyle w:val="TableText"/>
              <w:keepNext/>
              <w:tabs>
                <w:tab w:val="decimal" w:pos="1077"/>
              </w:tabs>
              <w:spacing w:before="50" w:after="50"/>
              <w:rPr>
                <w:bCs/>
                <w:szCs w:val="18"/>
              </w:rPr>
            </w:pPr>
            <w:r w:rsidRPr="000C0384">
              <w:t>6</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78AA1679" w14:textId="77777777" w:rsidR="001236DF" w:rsidRPr="007159B5" w:rsidRDefault="001236DF" w:rsidP="00B86C90">
            <w:pPr>
              <w:pStyle w:val="TableText"/>
              <w:keepNext/>
              <w:tabs>
                <w:tab w:val="decimal" w:pos="935"/>
              </w:tabs>
              <w:spacing w:before="50" w:after="50"/>
              <w:rPr>
                <w:bCs/>
                <w:szCs w:val="18"/>
              </w:rPr>
            </w:pPr>
            <w:r w:rsidRPr="002E7CA2">
              <w:t>67</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302D1F09" w14:textId="77777777" w:rsidR="001236DF" w:rsidRPr="007159B5" w:rsidRDefault="001236DF" w:rsidP="00B86C90">
            <w:pPr>
              <w:pStyle w:val="TableText"/>
              <w:keepNext/>
              <w:tabs>
                <w:tab w:val="decimal" w:pos="936"/>
              </w:tabs>
              <w:spacing w:before="50" w:after="50"/>
              <w:rPr>
                <w:bCs/>
                <w:szCs w:val="18"/>
              </w:rPr>
            </w:pPr>
            <w:r>
              <w:rPr>
                <w:bCs/>
                <w:szCs w:val="18"/>
              </w:rPr>
              <w:t>11 (1–18)</w:t>
            </w:r>
          </w:p>
        </w:tc>
      </w:tr>
      <w:tr w:rsidR="001236DF" w:rsidRPr="00200234" w14:paraId="357239EF"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4F77DDB4" w14:textId="77777777" w:rsidR="001236DF" w:rsidRPr="007159B5" w:rsidRDefault="001236DF" w:rsidP="00B86C90">
            <w:pPr>
              <w:pStyle w:val="TableText"/>
              <w:spacing w:before="50" w:after="50"/>
              <w:rPr>
                <w:bCs/>
                <w:szCs w:val="18"/>
              </w:rPr>
            </w:pPr>
            <w:r w:rsidRPr="007159B5">
              <w:rPr>
                <w:bCs/>
                <w:szCs w:val="18"/>
              </w:rPr>
              <w:t>Nelson Marlborough</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4481315C" w14:textId="77777777" w:rsidR="001236DF" w:rsidRPr="007159B5" w:rsidRDefault="001236DF" w:rsidP="00B86C90">
            <w:pPr>
              <w:pStyle w:val="TableText"/>
              <w:tabs>
                <w:tab w:val="decimal" w:pos="1077"/>
              </w:tabs>
              <w:spacing w:before="50" w:after="50"/>
              <w:rPr>
                <w:bCs/>
                <w:szCs w:val="18"/>
              </w:rPr>
            </w:pPr>
            <w:r w:rsidRPr="000C0384">
              <w:t>12</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2B4F70A3" w14:textId="77777777" w:rsidR="001236DF" w:rsidRPr="007159B5" w:rsidRDefault="001236DF" w:rsidP="00B86C90">
            <w:pPr>
              <w:pStyle w:val="TableText"/>
              <w:tabs>
                <w:tab w:val="decimal" w:pos="935"/>
              </w:tabs>
              <w:spacing w:before="50" w:after="50"/>
              <w:rPr>
                <w:bCs/>
                <w:szCs w:val="18"/>
              </w:rPr>
            </w:pPr>
            <w:r w:rsidRPr="002E7CA2">
              <w:t>134</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21A0EB5E" w14:textId="77777777" w:rsidR="001236DF" w:rsidRPr="007159B5" w:rsidRDefault="001236DF" w:rsidP="00B86C90">
            <w:pPr>
              <w:pStyle w:val="TableText"/>
              <w:tabs>
                <w:tab w:val="decimal" w:pos="936"/>
              </w:tabs>
              <w:spacing w:before="50" w:after="50"/>
              <w:rPr>
                <w:bCs/>
                <w:szCs w:val="18"/>
              </w:rPr>
            </w:pPr>
            <w:r>
              <w:rPr>
                <w:bCs/>
                <w:szCs w:val="18"/>
              </w:rPr>
              <w:t>11 (1–23)</w:t>
            </w:r>
          </w:p>
        </w:tc>
      </w:tr>
      <w:tr w:rsidR="001236DF" w:rsidRPr="00200234" w14:paraId="3EE77085"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7A2555EB" w14:textId="77777777" w:rsidR="001236DF" w:rsidRPr="007159B5" w:rsidRDefault="001236DF" w:rsidP="00B86C90">
            <w:pPr>
              <w:pStyle w:val="TableText"/>
              <w:spacing w:before="50" w:after="50"/>
              <w:rPr>
                <w:bCs/>
                <w:szCs w:val="18"/>
              </w:rPr>
            </w:pPr>
            <w:r w:rsidRPr="007159B5">
              <w:rPr>
                <w:bCs/>
                <w:szCs w:val="18"/>
              </w:rPr>
              <w:t>Northland</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055E1F3F" w14:textId="77777777" w:rsidR="001236DF" w:rsidRPr="007159B5" w:rsidRDefault="001236DF" w:rsidP="00B86C90">
            <w:pPr>
              <w:pStyle w:val="TableText"/>
              <w:tabs>
                <w:tab w:val="decimal" w:pos="1077"/>
              </w:tabs>
              <w:spacing w:before="50" w:after="50"/>
              <w:rPr>
                <w:bCs/>
                <w:szCs w:val="18"/>
              </w:rPr>
            </w:pPr>
            <w:r w:rsidRPr="000C0384">
              <w:t>7</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06E16591" w14:textId="77777777" w:rsidR="001236DF" w:rsidRPr="007159B5" w:rsidRDefault="001236DF" w:rsidP="00B86C90">
            <w:pPr>
              <w:pStyle w:val="TableText"/>
              <w:tabs>
                <w:tab w:val="decimal" w:pos="935"/>
              </w:tabs>
              <w:spacing w:before="50" w:after="50"/>
              <w:rPr>
                <w:bCs/>
                <w:szCs w:val="18"/>
              </w:rPr>
            </w:pPr>
            <w:r w:rsidRPr="002E7CA2">
              <w:t>55</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10022F90" w14:textId="77777777" w:rsidR="001236DF" w:rsidRPr="007159B5" w:rsidRDefault="001236DF" w:rsidP="00B86C90">
            <w:pPr>
              <w:pStyle w:val="TableText"/>
              <w:tabs>
                <w:tab w:val="decimal" w:pos="936"/>
              </w:tabs>
              <w:spacing w:before="50" w:after="50"/>
              <w:rPr>
                <w:bCs/>
                <w:szCs w:val="18"/>
              </w:rPr>
            </w:pPr>
            <w:r>
              <w:rPr>
                <w:bCs/>
                <w:szCs w:val="18"/>
              </w:rPr>
              <w:t>14 (3–52)</w:t>
            </w:r>
          </w:p>
        </w:tc>
      </w:tr>
      <w:tr w:rsidR="001236DF" w:rsidRPr="00200234" w14:paraId="035B24E2"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4FD4638D" w14:textId="77777777" w:rsidR="001236DF" w:rsidRPr="007159B5" w:rsidRDefault="001236DF" w:rsidP="00B86C90">
            <w:pPr>
              <w:pStyle w:val="TableText"/>
              <w:spacing w:before="50" w:after="50"/>
              <w:rPr>
                <w:bCs/>
                <w:szCs w:val="18"/>
              </w:rPr>
            </w:pPr>
            <w:r w:rsidRPr="007159B5">
              <w:rPr>
                <w:bCs/>
                <w:szCs w:val="18"/>
              </w:rPr>
              <w:t>South Canterbury</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21FBEBC5" w14:textId="77777777" w:rsidR="001236DF" w:rsidRPr="007159B5" w:rsidRDefault="001236DF" w:rsidP="00B86C90">
            <w:pPr>
              <w:pStyle w:val="TableText"/>
              <w:tabs>
                <w:tab w:val="decimal" w:pos="1077"/>
              </w:tabs>
              <w:spacing w:before="50" w:after="50"/>
              <w:rPr>
                <w:bCs/>
                <w:szCs w:val="18"/>
              </w:rPr>
            </w:pPr>
            <w:r w:rsidRPr="000C0384">
              <w:t>0</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5890AC59" w14:textId="77777777" w:rsidR="001236DF" w:rsidRPr="007159B5" w:rsidRDefault="001236DF" w:rsidP="00B86C90">
            <w:pPr>
              <w:pStyle w:val="TableText"/>
              <w:tabs>
                <w:tab w:val="decimal" w:pos="935"/>
              </w:tabs>
              <w:spacing w:before="50" w:after="50"/>
              <w:rPr>
                <w:bCs/>
                <w:szCs w:val="18"/>
              </w:rPr>
            </w:pPr>
            <w:r w:rsidRPr="002E7CA2">
              <w:t>0</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4130AC9F" w14:textId="77777777" w:rsidR="001236DF" w:rsidRPr="007159B5" w:rsidRDefault="001236DF" w:rsidP="00B86C90">
            <w:pPr>
              <w:pStyle w:val="TableText"/>
              <w:tabs>
                <w:tab w:val="decimal" w:pos="936"/>
              </w:tabs>
              <w:spacing w:before="50" w:after="50"/>
              <w:rPr>
                <w:bCs/>
                <w:szCs w:val="18"/>
              </w:rPr>
            </w:pPr>
            <w:r>
              <w:rPr>
                <w:bCs/>
                <w:szCs w:val="18"/>
              </w:rPr>
              <w:t>–</w:t>
            </w:r>
          </w:p>
        </w:tc>
      </w:tr>
      <w:tr w:rsidR="001236DF" w:rsidRPr="00200234" w14:paraId="7AD01977"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5AA2B2C3" w14:textId="77777777" w:rsidR="001236DF" w:rsidRPr="007159B5" w:rsidRDefault="001236DF" w:rsidP="00B86C90">
            <w:pPr>
              <w:pStyle w:val="TableText"/>
              <w:spacing w:before="50" w:after="50"/>
              <w:rPr>
                <w:bCs/>
                <w:szCs w:val="18"/>
              </w:rPr>
            </w:pPr>
            <w:r w:rsidRPr="007159B5">
              <w:rPr>
                <w:bCs/>
                <w:szCs w:val="18"/>
              </w:rPr>
              <w:t>Southern</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2EB0D9AD" w14:textId="77777777" w:rsidR="001236DF" w:rsidRPr="007159B5" w:rsidRDefault="001236DF" w:rsidP="00B86C90">
            <w:pPr>
              <w:pStyle w:val="TableText"/>
              <w:tabs>
                <w:tab w:val="decimal" w:pos="1077"/>
              </w:tabs>
              <w:spacing w:before="50" w:after="50"/>
              <w:rPr>
                <w:bCs/>
                <w:szCs w:val="18"/>
              </w:rPr>
            </w:pPr>
            <w:r w:rsidRPr="000C0384">
              <w:t>30</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519B9ED5" w14:textId="77777777" w:rsidR="001236DF" w:rsidRPr="007159B5" w:rsidRDefault="001236DF" w:rsidP="00B86C90">
            <w:pPr>
              <w:pStyle w:val="TableText"/>
              <w:tabs>
                <w:tab w:val="decimal" w:pos="935"/>
              </w:tabs>
              <w:spacing w:before="50" w:after="50"/>
              <w:rPr>
                <w:bCs/>
                <w:szCs w:val="18"/>
              </w:rPr>
            </w:pPr>
            <w:r w:rsidRPr="002E7CA2">
              <w:t>481</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5A293B2D" w14:textId="77777777" w:rsidR="001236DF" w:rsidRPr="007159B5" w:rsidRDefault="001236DF" w:rsidP="00B86C90">
            <w:pPr>
              <w:pStyle w:val="TableText"/>
              <w:tabs>
                <w:tab w:val="decimal" w:pos="936"/>
              </w:tabs>
              <w:spacing w:before="50" w:after="50"/>
              <w:rPr>
                <w:bCs/>
                <w:szCs w:val="18"/>
              </w:rPr>
            </w:pPr>
            <w:r>
              <w:rPr>
                <w:bCs/>
                <w:szCs w:val="18"/>
              </w:rPr>
              <w:t>14 (1–68)</w:t>
            </w:r>
          </w:p>
        </w:tc>
      </w:tr>
      <w:tr w:rsidR="001236DF" w:rsidRPr="00200234" w14:paraId="6FEA4204"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1C6DEE8E" w14:textId="77777777" w:rsidR="001236DF" w:rsidRPr="007159B5" w:rsidRDefault="001236DF" w:rsidP="00B86C90">
            <w:pPr>
              <w:pStyle w:val="TableText"/>
              <w:spacing w:before="50" w:after="50"/>
              <w:rPr>
                <w:bCs/>
                <w:szCs w:val="18"/>
              </w:rPr>
            </w:pPr>
            <w:r w:rsidRPr="007159B5">
              <w:rPr>
                <w:bCs/>
                <w:szCs w:val="18"/>
              </w:rPr>
              <w:t>Tairāwhiti</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40658F09" w14:textId="77777777" w:rsidR="001236DF" w:rsidRPr="007159B5" w:rsidRDefault="001236DF" w:rsidP="00B86C90">
            <w:pPr>
              <w:pStyle w:val="TableText"/>
              <w:tabs>
                <w:tab w:val="decimal" w:pos="1077"/>
              </w:tabs>
              <w:spacing w:before="50" w:after="50"/>
              <w:rPr>
                <w:bCs/>
                <w:szCs w:val="18"/>
              </w:rPr>
            </w:pPr>
            <w:r w:rsidRPr="000C0384">
              <w:t>0</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132D10C2" w14:textId="77777777" w:rsidR="001236DF" w:rsidRPr="007159B5" w:rsidRDefault="001236DF" w:rsidP="00B86C90">
            <w:pPr>
              <w:pStyle w:val="TableText"/>
              <w:tabs>
                <w:tab w:val="decimal" w:pos="935"/>
              </w:tabs>
              <w:spacing w:before="50" w:after="50"/>
              <w:rPr>
                <w:bCs/>
                <w:szCs w:val="18"/>
              </w:rPr>
            </w:pPr>
            <w:r w:rsidRPr="002E7CA2">
              <w:t>0</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42E896B4" w14:textId="77777777" w:rsidR="001236DF" w:rsidRPr="007159B5" w:rsidRDefault="001236DF" w:rsidP="00B86C90">
            <w:pPr>
              <w:pStyle w:val="TableText"/>
              <w:tabs>
                <w:tab w:val="decimal" w:pos="936"/>
              </w:tabs>
              <w:spacing w:before="50" w:after="50"/>
              <w:rPr>
                <w:bCs/>
                <w:szCs w:val="18"/>
              </w:rPr>
            </w:pPr>
            <w:r>
              <w:rPr>
                <w:bCs/>
                <w:szCs w:val="18"/>
              </w:rPr>
              <w:t>–</w:t>
            </w:r>
          </w:p>
        </w:tc>
      </w:tr>
      <w:tr w:rsidR="001236DF" w:rsidRPr="00200234" w14:paraId="583FD5D3"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08F3905D" w14:textId="77777777" w:rsidR="001236DF" w:rsidRPr="007159B5" w:rsidRDefault="001236DF" w:rsidP="00B86C90">
            <w:pPr>
              <w:pStyle w:val="TableText"/>
              <w:spacing w:before="50" w:after="50"/>
              <w:rPr>
                <w:bCs/>
                <w:szCs w:val="18"/>
              </w:rPr>
            </w:pPr>
            <w:r w:rsidRPr="007159B5">
              <w:rPr>
                <w:bCs/>
                <w:szCs w:val="18"/>
              </w:rPr>
              <w:t>Taranaki</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02F5EB79" w14:textId="77777777" w:rsidR="001236DF" w:rsidRPr="007159B5" w:rsidRDefault="001236DF" w:rsidP="00B86C90">
            <w:pPr>
              <w:pStyle w:val="TableText"/>
              <w:tabs>
                <w:tab w:val="decimal" w:pos="1077"/>
              </w:tabs>
              <w:spacing w:before="50" w:after="50"/>
              <w:rPr>
                <w:bCs/>
                <w:szCs w:val="18"/>
              </w:rPr>
            </w:pPr>
            <w:r w:rsidRPr="000C0384">
              <w:t>6</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2F573077" w14:textId="77777777" w:rsidR="001236DF" w:rsidRPr="007159B5" w:rsidRDefault="001236DF" w:rsidP="00B86C90">
            <w:pPr>
              <w:pStyle w:val="TableText"/>
              <w:tabs>
                <w:tab w:val="decimal" w:pos="935"/>
              </w:tabs>
              <w:spacing w:before="50" w:after="50"/>
              <w:rPr>
                <w:bCs/>
                <w:szCs w:val="18"/>
              </w:rPr>
            </w:pPr>
            <w:r w:rsidRPr="002E7CA2">
              <w:t>70</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3EEAFEDA" w14:textId="77777777" w:rsidR="001236DF" w:rsidRPr="007159B5" w:rsidRDefault="001236DF" w:rsidP="00B86C90">
            <w:pPr>
              <w:pStyle w:val="TableText"/>
              <w:tabs>
                <w:tab w:val="decimal" w:pos="936"/>
              </w:tabs>
              <w:spacing w:before="50" w:after="50"/>
              <w:rPr>
                <w:bCs/>
                <w:szCs w:val="18"/>
              </w:rPr>
            </w:pPr>
            <w:r>
              <w:rPr>
                <w:bCs/>
                <w:szCs w:val="18"/>
              </w:rPr>
              <w:t>12 (2–34)</w:t>
            </w:r>
          </w:p>
        </w:tc>
      </w:tr>
      <w:tr w:rsidR="001236DF" w:rsidRPr="00200234" w14:paraId="6C292ADD"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23FAD752" w14:textId="77777777" w:rsidR="001236DF" w:rsidRPr="007159B5" w:rsidRDefault="001236DF" w:rsidP="00B86C90">
            <w:pPr>
              <w:pStyle w:val="TableText"/>
              <w:spacing w:before="50" w:after="50"/>
              <w:rPr>
                <w:bCs/>
                <w:szCs w:val="18"/>
              </w:rPr>
            </w:pPr>
            <w:r w:rsidRPr="007159B5">
              <w:rPr>
                <w:bCs/>
                <w:szCs w:val="18"/>
              </w:rPr>
              <w:t>Waikato</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69232C32" w14:textId="77777777" w:rsidR="001236DF" w:rsidRPr="007159B5" w:rsidRDefault="001236DF" w:rsidP="00B86C90">
            <w:pPr>
              <w:pStyle w:val="TableText"/>
              <w:tabs>
                <w:tab w:val="decimal" w:pos="1077"/>
              </w:tabs>
              <w:spacing w:before="50" w:after="50"/>
              <w:rPr>
                <w:bCs/>
                <w:szCs w:val="18"/>
              </w:rPr>
            </w:pPr>
            <w:r w:rsidRPr="000C0384">
              <w:t>40</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056357FA" w14:textId="77777777" w:rsidR="001236DF" w:rsidRPr="007159B5" w:rsidRDefault="001236DF" w:rsidP="00B86C90">
            <w:pPr>
              <w:pStyle w:val="TableText"/>
              <w:tabs>
                <w:tab w:val="decimal" w:pos="935"/>
              </w:tabs>
              <w:spacing w:before="50" w:after="50"/>
              <w:rPr>
                <w:bCs/>
                <w:szCs w:val="18"/>
              </w:rPr>
            </w:pPr>
            <w:r w:rsidRPr="002E7CA2">
              <w:t>436</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4F32D52E" w14:textId="77777777" w:rsidR="001236DF" w:rsidRPr="007159B5" w:rsidRDefault="001236DF" w:rsidP="00B86C90">
            <w:pPr>
              <w:pStyle w:val="TableText"/>
              <w:tabs>
                <w:tab w:val="decimal" w:pos="936"/>
              </w:tabs>
              <w:spacing w:before="50" w:after="50"/>
              <w:rPr>
                <w:bCs/>
                <w:szCs w:val="18"/>
              </w:rPr>
            </w:pPr>
            <w:r>
              <w:rPr>
                <w:bCs/>
                <w:szCs w:val="18"/>
              </w:rPr>
              <w:t>11 (1–48)</w:t>
            </w:r>
          </w:p>
        </w:tc>
      </w:tr>
      <w:tr w:rsidR="001236DF" w:rsidRPr="00200234" w14:paraId="2C82D5C9"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025E425F" w14:textId="77777777" w:rsidR="001236DF" w:rsidRPr="007159B5" w:rsidRDefault="001236DF" w:rsidP="00B86C90">
            <w:pPr>
              <w:pStyle w:val="TableText"/>
              <w:spacing w:before="50" w:after="50"/>
              <w:rPr>
                <w:bCs/>
                <w:szCs w:val="18"/>
              </w:rPr>
            </w:pPr>
            <w:r w:rsidRPr="007159B5">
              <w:rPr>
                <w:bCs/>
                <w:szCs w:val="18"/>
              </w:rPr>
              <w:t>Wairarapa</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7524E125" w14:textId="77777777" w:rsidR="001236DF" w:rsidRPr="007159B5" w:rsidRDefault="001236DF" w:rsidP="00B86C90">
            <w:pPr>
              <w:pStyle w:val="TableText"/>
              <w:tabs>
                <w:tab w:val="decimal" w:pos="1077"/>
              </w:tabs>
              <w:spacing w:before="50" w:after="50"/>
              <w:rPr>
                <w:bCs/>
                <w:szCs w:val="18"/>
              </w:rPr>
            </w:pPr>
            <w:r w:rsidRPr="000C0384">
              <w:t>2</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22DE2FD9" w14:textId="77777777" w:rsidR="001236DF" w:rsidRPr="007159B5" w:rsidRDefault="001236DF" w:rsidP="00B86C90">
            <w:pPr>
              <w:pStyle w:val="TableText"/>
              <w:tabs>
                <w:tab w:val="decimal" w:pos="935"/>
              </w:tabs>
              <w:spacing w:before="50" w:after="50"/>
              <w:rPr>
                <w:bCs/>
                <w:szCs w:val="18"/>
              </w:rPr>
            </w:pPr>
            <w:r w:rsidRPr="002E7CA2">
              <w:t>30</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40DE5580" w14:textId="77777777" w:rsidR="001236DF" w:rsidRPr="007159B5" w:rsidRDefault="001236DF" w:rsidP="00B86C90">
            <w:pPr>
              <w:pStyle w:val="TableText"/>
              <w:tabs>
                <w:tab w:val="decimal" w:pos="936"/>
              </w:tabs>
              <w:spacing w:before="50" w:after="50"/>
              <w:rPr>
                <w:bCs/>
                <w:szCs w:val="18"/>
              </w:rPr>
            </w:pPr>
            <w:r>
              <w:rPr>
                <w:bCs/>
                <w:szCs w:val="18"/>
              </w:rPr>
              <w:t>12 (9–15)</w:t>
            </w:r>
          </w:p>
        </w:tc>
      </w:tr>
      <w:tr w:rsidR="001236DF" w:rsidRPr="00200234" w14:paraId="15C9A7F8"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32504208" w14:textId="77777777" w:rsidR="001236DF" w:rsidRPr="007159B5" w:rsidRDefault="001236DF" w:rsidP="00B86C90">
            <w:pPr>
              <w:pStyle w:val="TableText"/>
              <w:spacing w:before="50" w:after="50"/>
              <w:rPr>
                <w:bCs/>
                <w:szCs w:val="18"/>
              </w:rPr>
            </w:pPr>
            <w:r w:rsidRPr="007159B5">
              <w:rPr>
                <w:bCs/>
                <w:szCs w:val="18"/>
              </w:rPr>
              <w:t>Waitematā</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4C0207B8" w14:textId="77777777" w:rsidR="001236DF" w:rsidRPr="007159B5" w:rsidRDefault="001236DF" w:rsidP="00B86C90">
            <w:pPr>
              <w:pStyle w:val="TableText"/>
              <w:tabs>
                <w:tab w:val="decimal" w:pos="1077"/>
              </w:tabs>
              <w:spacing w:before="50" w:after="50"/>
              <w:rPr>
                <w:bCs/>
                <w:szCs w:val="18"/>
              </w:rPr>
            </w:pPr>
            <w:r w:rsidRPr="000C0384">
              <w:t>22</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04EEFD62" w14:textId="77777777" w:rsidR="001236DF" w:rsidRPr="007159B5" w:rsidRDefault="001236DF" w:rsidP="00B86C90">
            <w:pPr>
              <w:pStyle w:val="TableText"/>
              <w:tabs>
                <w:tab w:val="decimal" w:pos="935"/>
              </w:tabs>
              <w:spacing w:before="50" w:after="50"/>
              <w:rPr>
                <w:bCs/>
                <w:szCs w:val="18"/>
              </w:rPr>
            </w:pPr>
            <w:r w:rsidRPr="002E7CA2">
              <w:t>285</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5F7B3C6A" w14:textId="77777777" w:rsidR="001236DF" w:rsidRPr="007159B5" w:rsidRDefault="001236DF" w:rsidP="00B86C90">
            <w:pPr>
              <w:pStyle w:val="TableText"/>
              <w:tabs>
                <w:tab w:val="decimal" w:pos="936"/>
              </w:tabs>
              <w:spacing w:before="50" w:after="50"/>
              <w:rPr>
                <w:bCs/>
                <w:szCs w:val="18"/>
              </w:rPr>
            </w:pPr>
            <w:r>
              <w:rPr>
                <w:bCs/>
                <w:szCs w:val="18"/>
              </w:rPr>
              <w:t>14 (1–39)</w:t>
            </w:r>
          </w:p>
        </w:tc>
      </w:tr>
      <w:tr w:rsidR="001236DF" w:rsidRPr="00200234" w14:paraId="156A1FAE"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743D996D" w14:textId="77777777" w:rsidR="001236DF" w:rsidRPr="007159B5" w:rsidRDefault="001236DF" w:rsidP="00B86C90">
            <w:pPr>
              <w:pStyle w:val="TableText"/>
              <w:spacing w:before="50" w:after="50"/>
              <w:rPr>
                <w:bCs/>
                <w:szCs w:val="18"/>
              </w:rPr>
            </w:pPr>
            <w:r w:rsidRPr="007159B5">
              <w:rPr>
                <w:bCs/>
                <w:szCs w:val="18"/>
              </w:rPr>
              <w:t>West Coast</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7A33DD9C" w14:textId="77777777" w:rsidR="001236DF" w:rsidRPr="007159B5" w:rsidRDefault="001236DF" w:rsidP="00B86C90">
            <w:pPr>
              <w:pStyle w:val="TableText"/>
              <w:tabs>
                <w:tab w:val="decimal" w:pos="1077"/>
              </w:tabs>
              <w:spacing w:before="50" w:after="50"/>
              <w:rPr>
                <w:bCs/>
                <w:szCs w:val="18"/>
              </w:rPr>
            </w:pPr>
            <w:r w:rsidRPr="000C0384">
              <w:t>0</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32C9A2FB" w14:textId="77777777" w:rsidR="001236DF" w:rsidRPr="007159B5" w:rsidRDefault="001236DF" w:rsidP="00B86C90">
            <w:pPr>
              <w:pStyle w:val="TableText"/>
              <w:tabs>
                <w:tab w:val="decimal" w:pos="935"/>
              </w:tabs>
              <w:spacing w:before="50" w:after="50"/>
              <w:rPr>
                <w:bCs/>
                <w:szCs w:val="18"/>
              </w:rPr>
            </w:pPr>
            <w:r w:rsidRPr="002E7CA2">
              <w:t>0</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7C7E5404" w14:textId="77777777" w:rsidR="001236DF" w:rsidRPr="007159B5" w:rsidRDefault="001236DF" w:rsidP="00B86C90">
            <w:pPr>
              <w:pStyle w:val="TableText"/>
              <w:tabs>
                <w:tab w:val="decimal" w:pos="936"/>
              </w:tabs>
              <w:spacing w:before="50" w:after="50"/>
              <w:rPr>
                <w:bCs/>
                <w:szCs w:val="18"/>
              </w:rPr>
            </w:pPr>
            <w:r>
              <w:rPr>
                <w:bCs/>
                <w:szCs w:val="18"/>
              </w:rPr>
              <w:t>–</w:t>
            </w:r>
          </w:p>
        </w:tc>
      </w:tr>
      <w:tr w:rsidR="001236DF" w:rsidRPr="00200234" w14:paraId="1E9B86C0"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234E245D" w14:textId="77777777" w:rsidR="001236DF" w:rsidRPr="007159B5" w:rsidRDefault="001236DF" w:rsidP="00B86C90">
            <w:pPr>
              <w:pStyle w:val="TableText"/>
              <w:spacing w:before="50" w:after="50"/>
              <w:rPr>
                <w:bCs/>
                <w:szCs w:val="18"/>
              </w:rPr>
            </w:pPr>
            <w:r w:rsidRPr="007159B5">
              <w:rPr>
                <w:bCs/>
                <w:szCs w:val="18"/>
              </w:rPr>
              <w:t>Whanganui</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07D5C893" w14:textId="77777777" w:rsidR="001236DF" w:rsidRPr="007159B5" w:rsidRDefault="001236DF" w:rsidP="00B86C90">
            <w:pPr>
              <w:pStyle w:val="TableText"/>
              <w:tabs>
                <w:tab w:val="decimal" w:pos="1077"/>
              </w:tabs>
              <w:spacing w:before="50" w:after="50"/>
              <w:rPr>
                <w:bCs/>
                <w:szCs w:val="18"/>
              </w:rPr>
            </w:pPr>
            <w:r w:rsidRPr="000C0384">
              <w:t>1</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2F7C5924" w14:textId="77777777" w:rsidR="001236DF" w:rsidRPr="007159B5" w:rsidRDefault="001236DF" w:rsidP="00B86C90">
            <w:pPr>
              <w:pStyle w:val="TableText"/>
              <w:tabs>
                <w:tab w:val="decimal" w:pos="935"/>
              </w:tabs>
              <w:spacing w:before="50" w:after="50"/>
              <w:rPr>
                <w:bCs/>
                <w:szCs w:val="18"/>
              </w:rPr>
            </w:pPr>
            <w:r w:rsidRPr="002E7CA2">
              <w:t>30</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50747439" w14:textId="77777777" w:rsidR="001236DF" w:rsidRPr="007159B5" w:rsidRDefault="001236DF" w:rsidP="00B86C90">
            <w:pPr>
              <w:pStyle w:val="TableText"/>
              <w:tabs>
                <w:tab w:val="decimal" w:pos="936"/>
              </w:tabs>
              <w:spacing w:before="50" w:after="50"/>
              <w:rPr>
                <w:bCs/>
                <w:szCs w:val="18"/>
              </w:rPr>
            </w:pPr>
            <w:r>
              <w:rPr>
                <w:bCs/>
                <w:szCs w:val="18"/>
              </w:rPr>
              <w:t>30 (30–30)</w:t>
            </w:r>
          </w:p>
        </w:tc>
      </w:tr>
      <w:tr w:rsidR="001236DF" w:rsidRPr="0048119A" w14:paraId="7D31E8DB" w14:textId="77777777" w:rsidTr="001236DF">
        <w:trPr>
          <w:cantSplit/>
        </w:trPr>
        <w:tc>
          <w:tcPr>
            <w:tcW w:w="1316" w:type="pct"/>
            <w:tcBorders>
              <w:top w:val="single" w:sz="4" w:space="0" w:color="A6A6A6" w:themeColor="background1" w:themeShade="A6"/>
              <w:bottom w:val="single" w:sz="4" w:space="0" w:color="A6A6A6" w:themeColor="background1" w:themeShade="A6"/>
            </w:tcBorders>
            <w:shd w:val="clear" w:color="auto" w:fill="auto"/>
          </w:tcPr>
          <w:p w14:paraId="4F8D37A2" w14:textId="77777777" w:rsidR="001236DF" w:rsidRPr="0048119A" w:rsidRDefault="001236DF" w:rsidP="00B86C90">
            <w:pPr>
              <w:pStyle w:val="TableText"/>
              <w:spacing w:before="50" w:after="50"/>
              <w:rPr>
                <w:b/>
                <w:szCs w:val="18"/>
              </w:rPr>
            </w:pPr>
            <w:r w:rsidRPr="0048119A">
              <w:rPr>
                <w:b/>
                <w:szCs w:val="18"/>
              </w:rPr>
              <w:t>National total</w:t>
            </w:r>
          </w:p>
        </w:tc>
        <w:tc>
          <w:tcPr>
            <w:tcW w:w="1228" w:type="pct"/>
            <w:tcBorders>
              <w:top w:val="single" w:sz="4" w:space="0" w:color="A6A6A6" w:themeColor="background1" w:themeShade="A6"/>
              <w:bottom w:val="single" w:sz="4" w:space="0" w:color="A6A6A6" w:themeColor="background1" w:themeShade="A6"/>
            </w:tcBorders>
            <w:shd w:val="clear" w:color="auto" w:fill="auto"/>
          </w:tcPr>
          <w:p w14:paraId="779C316B" w14:textId="77777777" w:rsidR="001236DF" w:rsidRPr="008637C0" w:rsidRDefault="001236DF" w:rsidP="00B86C90">
            <w:pPr>
              <w:pStyle w:val="TableText"/>
              <w:tabs>
                <w:tab w:val="decimal" w:pos="1077"/>
              </w:tabs>
              <w:spacing w:before="50" w:after="50"/>
              <w:rPr>
                <w:b/>
                <w:bCs/>
                <w:szCs w:val="18"/>
              </w:rPr>
            </w:pPr>
            <w:r w:rsidRPr="008637C0">
              <w:rPr>
                <w:b/>
                <w:bCs/>
              </w:rPr>
              <w:t>259</w:t>
            </w:r>
          </w:p>
        </w:tc>
        <w:tc>
          <w:tcPr>
            <w:tcW w:w="877" w:type="pct"/>
            <w:tcBorders>
              <w:top w:val="single" w:sz="4" w:space="0" w:color="A6A6A6" w:themeColor="background1" w:themeShade="A6"/>
              <w:bottom w:val="single" w:sz="4" w:space="0" w:color="A6A6A6" w:themeColor="background1" w:themeShade="A6"/>
            </w:tcBorders>
            <w:shd w:val="clear" w:color="auto" w:fill="auto"/>
          </w:tcPr>
          <w:p w14:paraId="3E20C178" w14:textId="77777777" w:rsidR="001236DF" w:rsidRPr="008637C0" w:rsidRDefault="001236DF" w:rsidP="00B86C90">
            <w:pPr>
              <w:pStyle w:val="TableText"/>
              <w:tabs>
                <w:tab w:val="decimal" w:pos="935"/>
              </w:tabs>
              <w:spacing w:before="50" w:after="50"/>
              <w:rPr>
                <w:b/>
                <w:bCs/>
                <w:szCs w:val="18"/>
              </w:rPr>
            </w:pPr>
            <w:r w:rsidRPr="008637C0">
              <w:rPr>
                <w:b/>
                <w:bCs/>
              </w:rPr>
              <w:t>3,043</w:t>
            </w:r>
          </w:p>
        </w:tc>
        <w:tc>
          <w:tcPr>
            <w:tcW w:w="1579" w:type="pct"/>
            <w:tcBorders>
              <w:top w:val="single" w:sz="4" w:space="0" w:color="A6A6A6" w:themeColor="background1" w:themeShade="A6"/>
              <w:bottom w:val="single" w:sz="4" w:space="0" w:color="A6A6A6" w:themeColor="background1" w:themeShade="A6"/>
            </w:tcBorders>
            <w:shd w:val="clear" w:color="auto" w:fill="auto"/>
          </w:tcPr>
          <w:p w14:paraId="09AAEC24" w14:textId="77777777" w:rsidR="001236DF" w:rsidRPr="0048119A" w:rsidRDefault="001236DF" w:rsidP="00B86C90">
            <w:pPr>
              <w:pStyle w:val="TableText"/>
              <w:tabs>
                <w:tab w:val="decimal" w:pos="936"/>
              </w:tabs>
              <w:spacing w:before="50" w:after="50"/>
              <w:rPr>
                <w:b/>
                <w:szCs w:val="18"/>
              </w:rPr>
            </w:pPr>
            <w:r>
              <w:rPr>
                <w:b/>
                <w:szCs w:val="18"/>
              </w:rPr>
              <w:t xml:space="preserve">23 </w:t>
            </w:r>
            <w:r w:rsidRPr="0048119A">
              <w:rPr>
                <w:b/>
                <w:szCs w:val="18"/>
              </w:rPr>
              <w:t>(1–6</w:t>
            </w:r>
            <w:r>
              <w:rPr>
                <w:b/>
                <w:szCs w:val="18"/>
              </w:rPr>
              <w:t>8</w:t>
            </w:r>
            <w:r w:rsidRPr="0048119A">
              <w:rPr>
                <w:b/>
                <w:szCs w:val="18"/>
              </w:rPr>
              <w:t>)</w:t>
            </w:r>
          </w:p>
        </w:tc>
      </w:tr>
    </w:tbl>
    <w:p w14:paraId="7EBF1A35" w14:textId="77777777" w:rsidR="001236DF" w:rsidRPr="00BD35B5" w:rsidRDefault="001236DF" w:rsidP="001236DF">
      <w:pPr>
        <w:pStyle w:val="Note"/>
      </w:pPr>
      <w:r w:rsidRPr="00200234">
        <w:t>Note</w:t>
      </w:r>
      <w:r w:rsidRPr="00BD35B5">
        <w:t xml:space="preserve">: In 2020/21, there were </w:t>
      </w:r>
      <w:r>
        <w:t>17</w:t>
      </w:r>
      <w:r w:rsidRPr="00BD35B5">
        <w:t xml:space="preserve"> people who were treated out of area, as follows: Canterbury DHB saw one person from Counties Manukau and </w:t>
      </w:r>
      <w:r>
        <w:t>3</w:t>
      </w:r>
      <w:r w:rsidRPr="00BD35B5">
        <w:t xml:space="preserve"> people from Nelson Marlborough. Capital &amp; Coast DHB saw </w:t>
      </w:r>
      <w:r>
        <w:t>2</w:t>
      </w:r>
      <w:r w:rsidRPr="00BD35B5">
        <w:t xml:space="preserve"> people from Wairarapa and one person from Whanganui. Hutt Valley DHB saw </w:t>
      </w:r>
      <w:r>
        <w:t>2</w:t>
      </w:r>
      <w:r w:rsidRPr="00BD35B5">
        <w:t xml:space="preserve"> people from Capital &amp; Coast. Lakes DHB saw one person from Waikato. MidCentral DHB saw one person from Hutt Valley. Southern DHB saw one person from Hawke’s Bay and one person from Waikato. Waikato DHB saw one person from Bay of Plenty and one person from Taranaki. Waitematā saw one person from Auckland and one person from Capital &amp; Coast.</w:t>
      </w:r>
    </w:p>
    <w:p w14:paraId="045D5ED1" w14:textId="77777777" w:rsidR="001236DF" w:rsidRDefault="001236DF" w:rsidP="001236DF">
      <w:pPr>
        <w:pStyle w:val="Source"/>
      </w:pPr>
      <w:r w:rsidRPr="00BD35B5">
        <w:t>Sources: PRIMHD data (extracted 3 June 2022) and manual data from Lakes, Southern, Waikato and Waitematā DHBs</w:t>
      </w:r>
      <w:r w:rsidRPr="00200234">
        <w:t>.</w:t>
      </w:r>
    </w:p>
    <w:p w14:paraId="7DD53F62" w14:textId="0C2A794B" w:rsidR="001236DF" w:rsidRDefault="001236DF" w:rsidP="001236DF">
      <w:pPr>
        <w:pStyle w:val="Figure"/>
      </w:pPr>
      <w:bookmarkStart w:id="590" w:name="_Ref86343700"/>
      <w:bookmarkStart w:id="591" w:name="_Toc87429989"/>
      <w:bookmarkStart w:id="592" w:name="_Toc88561421"/>
      <w:bookmarkStart w:id="593" w:name="_Toc115188881"/>
      <w:bookmarkStart w:id="594" w:name="_Toc115272584"/>
      <w:r>
        <w:lastRenderedPageBreak/>
        <w:t>Figure </w:t>
      </w:r>
      <w:fldSimple w:instr=" SEQ Figure \* ARABIC ">
        <w:r w:rsidR="009A04B0">
          <w:rPr>
            <w:noProof/>
          </w:rPr>
          <w:t>42</w:t>
        </w:r>
      </w:fldSimple>
      <w:bookmarkEnd w:id="590"/>
      <w:r w:rsidRPr="009B4EE3">
        <w:t>: Number of people per 100,000 population treated with ECT, by DHB</w:t>
      </w:r>
      <w:r>
        <w:t xml:space="preserve"> of domicile</w:t>
      </w:r>
      <w:r w:rsidRPr="009B4EE3">
        <w:t>, 1 </w:t>
      </w:r>
      <w:bookmarkEnd w:id="591"/>
      <w:bookmarkEnd w:id="592"/>
      <w:r w:rsidRPr="009B4EE3">
        <w:t>July 2020 to 30 June 2021</w:t>
      </w:r>
      <w:bookmarkEnd w:id="593"/>
      <w:bookmarkEnd w:id="594"/>
    </w:p>
    <w:p w14:paraId="78ED9234" w14:textId="77777777" w:rsidR="001236DF" w:rsidRPr="00EF5172" w:rsidRDefault="001236DF" w:rsidP="001236DF">
      <w:r>
        <w:rPr>
          <w:noProof/>
        </w:rPr>
        <w:drawing>
          <wp:inline distT="0" distB="0" distL="0" distR="0" wp14:anchorId="699DD86F" wp14:editId="3FEC9B52">
            <wp:extent cx="5731510" cy="3286125"/>
            <wp:effectExtent l="0" t="0" r="0" b="0"/>
            <wp:docPr id="64" name="Chart 64" descr="This graph shows that the national average number of people treated with ECT was about 5 per 100,000. The DHBs with the highest numbers of people treated were Capital &amp; Coast, Lakes, Southern and Waikato with about 9 people per 100,000. Whanganui was the lowest with 1 person, and then Auckland, Hawke's Bay and Waitematā with 3 people per 100,000. ">
              <a:extLst xmlns:a="http://schemas.openxmlformats.org/drawingml/2006/main">
                <a:ext uri="{FF2B5EF4-FFF2-40B4-BE49-F238E27FC236}">
                  <a16:creationId xmlns:a16="http://schemas.microsoft.com/office/drawing/2014/main" id="{00000000-0008-0000-1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4D0EBB9E" w14:textId="77777777" w:rsidR="001236DF" w:rsidRDefault="001236DF" w:rsidP="001236DF">
      <w:pPr>
        <w:pStyle w:val="Source"/>
      </w:pPr>
      <w:r>
        <w:t>Note: No one living in South Canterbury, Tairāwhiti or West Coast DHBs received ECT treatment in the period and so these DHBs are excluded from this graph.</w:t>
      </w:r>
    </w:p>
    <w:p w14:paraId="49407770" w14:textId="77777777" w:rsidR="001236DF" w:rsidRDefault="001236DF" w:rsidP="001236DF">
      <w:pPr>
        <w:pStyle w:val="Source"/>
      </w:pPr>
      <w:r w:rsidRPr="00200234">
        <w:t>Sources: PRIMHD data</w:t>
      </w:r>
      <w:r>
        <w:t xml:space="preserve"> (extracted</w:t>
      </w:r>
      <w:r w:rsidRPr="00200234">
        <w:t xml:space="preserve"> </w:t>
      </w:r>
      <w:r>
        <w:t>3 June 2022)</w:t>
      </w:r>
      <w:r w:rsidRPr="00200234">
        <w:t xml:space="preserve"> and manual data from </w:t>
      </w:r>
      <w:r>
        <w:t>Lakes, Southern, Waikato and Waitematā DHBs</w:t>
      </w:r>
      <w:r w:rsidRPr="00200234">
        <w:t>.</w:t>
      </w:r>
    </w:p>
    <w:p w14:paraId="3DA60A05" w14:textId="77777777" w:rsidR="001236DF" w:rsidRPr="009B4EE3" w:rsidRDefault="001236DF" w:rsidP="001236DF"/>
    <w:p w14:paraId="25DB360A" w14:textId="6DC1ED5D" w:rsidR="001236DF" w:rsidRDefault="001236DF" w:rsidP="001236DF">
      <w:pPr>
        <w:pStyle w:val="Figure"/>
        <w:spacing w:before="0"/>
      </w:pPr>
      <w:bookmarkStart w:id="595" w:name="_Ref111472332"/>
      <w:bookmarkStart w:id="596" w:name="_Toc115188882"/>
      <w:bookmarkStart w:id="597" w:name="_Toc115272585"/>
      <w:r>
        <w:t>Figure </w:t>
      </w:r>
      <w:fldSimple w:instr=" SEQ Figure \* ARABIC ">
        <w:r w:rsidR="009A04B0">
          <w:rPr>
            <w:noProof/>
          </w:rPr>
          <w:t>43</w:t>
        </w:r>
      </w:fldSimple>
      <w:bookmarkEnd w:id="595"/>
      <w:r w:rsidRPr="009B4EE3">
        <w:t xml:space="preserve">: Number of </w:t>
      </w:r>
      <w:r>
        <w:t>ECT treatments</w:t>
      </w:r>
      <w:r w:rsidRPr="009B4EE3">
        <w:t xml:space="preserve"> per 100,000 population, by DHB</w:t>
      </w:r>
      <w:r>
        <w:t xml:space="preserve"> of domicile</w:t>
      </w:r>
      <w:r w:rsidRPr="009B4EE3">
        <w:t>, 1 July 2020 to 30 June 2021</w:t>
      </w:r>
      <w:bookmarkEnd w:id="596"/>
      <w:bookmarkEnd w:id="597"/>
    </w:p>
    <w:p w14:paraId="65B4D767" w14:textId="77777777" w:rsidR="001236DF" w:rsidRDefault="001236DF" w:rsidP="001236DF">
      <w:pPr>
        <w:pStyle w:val="Source"/>
      </w:pPr>
      <w:r>
        <w:rPr>
          <w:noProof/>
        </w:rPr>
        <w:drawing>
          <wp:inline distT="0" distB="0" distL="0" distR="0" wp14:anchorId="750784DD" wp14:editId="7AA114ED">
            <wp:extent cx="5731510" cy="3352800"/>
            <wp:effectExtent l="0" t="0" r="0" b="0"/>
            <wp:docPr id="45" name="Chart 45" descr="This graph shows that the national average number of ECT treatments was about 59 per 100,000. The DHB with the highest number of treatments was Southern with 137, and then Bay of Plenty with 115. The DHB with the lowest was Canterbury with 25 and then Northland with 28.">
              <a:extLst xmlns:a="http://schemas.openxmlformats.org/drawingml/2006/main">
                <a:ext uri="{FF2B5EF4-FFF2-40B4-BE49-F238E27FC236}">
                  <a16:creationId xmlns:a16="http://schemas.microsoft.com/office/drawing/2014/main" id="{00000000-0008-0000-1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r w:rsidRPr="009B4EE3">
        <w:t xml:space="preserve"> </w:t>
      </w:r>
      <w:r>
        <w:t>Note: No one living in South Canterbury, Tairāwhiti or West Coast DHBs received ECT treatment in the period and so these DHBs are excluded from this graph.</w:t>
      </w:r>
    </w:p>
    <w:p w14:paraId="65B865FA" w14:textId="77777777" w:rsidR="001236DF" w:rsidRDefault="001236DF" w:rsidP="001236DF">
      <w:pPr>
        <w:pStyle w:val="Source"/>
      </w:pPr>
      <w:r w:rsidRPr="00200234">
        <w:t>Sources: PRIMHD data</w:t>
      </w:r>
      <w:r>
        <w:t xml:space="preserve"> (extracted</w:t>
      </w:r>
      <w:r w:rsidRPr="00200234">
        <w:t xml:space="preserve"> </w:t>
      </w:r>
      <w:r>
        <w:t>3 June 2022)</w:t>
      </w:r>
      <w:r w:rsidRPr="00200234">
        <w:t xml:space="preserve"> and manual data from </w:t>
      </w:r>
      <w:r>
        <w:t>Lakes, Southern, Waikato and Waitematā DHBs</w:t>
      </w:r>
      <w:r w:rsidRPr="00200234">
        <w:t>.</w:t>
      </w:r>
    </w:p>
    <w:p w14:paraId="6E2D26AC" w14:textId="2576B6F8" w:rsidR="001236DF" w:rsidRDefault="001236DF" w:rsidP="001236DF">
      <w:pPr>
        <w:pStyle w:val="Figure"/>
      </w:pPr>
      <w:bookmarkStart w:id="598" w:name="_Ref111473382"/>
      <w:bookmarkStart w:id="599" w:name="_Toc115188883"/>
      <w:bookmarkStart w:id="600" w:name="_Toc115272586"/>
      <w:r>
        <w:lastRenderedPageBreak/>
        <w:t>Figure </w:t>
      </w:r>
      <w:fldSimple w:instr=" SEQ Figure \* ARABIC ">
        <w:r w:rsidR="009A04B0">
          <w:rPr>
            <w:noProof/>
          </w:rPr>
          <w:t>44</w:t>
        </w:r>
      </w:fldSimple>
      <w:bookmarkEnd w:id="598"/>
      <w:r w:rsidRPr="009B4EE3">
        <w:t xml:space="preserve">: </w:t>
      </w:r>
      <w:r>
        <w:t>Rate</w:t>
      </w:r>
      <w:r w:rsidRPr="009B4EE3">
        <w:t xml:space="preserve"> of </w:t>
      </w:r>
      <w:r>
        <w:t>people treated with ECT</w:t>
      </w:r>
      <w:r w:rsidRPr="009B4EE3">
        <w:t xml:space="preserve"> per 100,000 population, by DHB</w:t>
      </w:r>
      <w:r>
        <w:t xml:space="preserve"> of domicile</w:t>
      </w:r>
      <w:r w:rsidRPr="009B4EE3">
        <w:t>, 1 July 2020 to 30 June 2021</w:t>
      </w:r>
      <w:bookmarkEnd w:id="599"/>
      <w:bookmarkEnd w:id="600"/>
    </w:p>
    <w:p w14:paraId="5531822E" w14:textId="77777777" w:rsidR="001236DF" w:rsidRPr="001E77B4" w:rsidRDefault="001236DF" w:rsidP="001236DF">
      <w:r>
        <w:rPr>
          <w:noProof/>
        </w:rPr>
        <w:drawing>
          <wp:inline distT="0" distB="0" distL="0" distR="0" wp14:anchorId="3CD4CC92" wp14:editId="4FF59DB1">
            <wp:extent cx="5676900" cy="3257550"/>
            <wp:effectExtent l="0" t="0" r="0" b="0"/>
            <wp:docPr id="46" name="Chart 46" descr="This shows the national average rate of people treated with ECT per 100,000 population was 5.1 people. The highest was Lakes with 9.3 people and then Waikato with 9. The lowest was Whanganui with 1.4 people and then Auckland, MidCentral, and Hawke's Bay with around 3.2.">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675BF58D" w14:textId="77777777" w:rsidR="001236DF" w:rsidRDefault="001236DF" w:rsidP="001236DF">
      <w:pPr>
        <w:pStyle w:val="Source"/>
      </w:pPr>
      <w:r>
        <w:t>Note: No one living in South Canterbury, Tairāwhiti or West Coast DHBs received ECT treatment in the period and so these DHBs are excluded from this graph.</w:t>
      </w:r>
    </w:p>
    <w:p w14:paraId="4DE81011" w14:textId="77777777" w:rsidR="001236DF" w:rsidRDefault="001236DF" w:rsidP="001236DF">
      <w:pPr>
        <w:pStyle w:val="Source"/>
      </w:pPr>
      <w:r w:rsidRPr="00200234">
        <w:t>Sources: PRIMHD data</w:t>
      </w:r>
      <w:r>
        <w:t xml:space="preserve"> (extracted</w:t>
      </w:r>
      <w:r w:rsidRPr="00200234">
        <w:t xml:space="preserve"> </w:t>
      </w:r>
      <w:r>
        <w:t>3 June 2022)</w:t>
      </w:r>
      <w:r w:rsidRPr="00200234">
        <w:t xml:space="preserve"> and manual data from </w:t>
      </w:r>
      <w:r>
        <w:t>Lakes, Southern, Waikato and Waitematā DHBs</w:t>
      </w:r>
      <w:r w:rsidRPr="00200234">
        <w:t>.</w:t>
      </w:r>
    </w:p>
    <w:p w14:paraId="5ABD40F4" w14:textId="77777777" w:rsidR="001236DF" w:rsidRPr="00993F35" w:rsidRDefault="001236DF" w:rsidP="001236DF"/>
    <w:p w14:paraId="2971B63F" w14:textId="77777777" w:rsidR="001236DF" w:rsidRPr="00200234" w:rsidRDefault="001236DF" w:rsidP="001236DF">
      <w:pPr>
        <w:pStyle w:val="Heading2"/>
      </w:pPr>
      <w:bookmarkStart w:id="601" w:name="_Toc65141637"/>
      <w:bookmarkStart w:id="602" w:name="_Toc75176462"/>
      <w:bookmarkStart w:id="603" w:name="_Toc87429930"/>
      <w:bookmarkStart w:id="604" w:name="_Toc88826978"/>
      <w:bookmarkStart w:id="605" w:name="_Toc115188828"/>
      <w:bookmarkStart w:id="606" w:name="_Toc115431726"/>
      <w:r>
        <w:lastRenderedPageBreak/>
        <w:t xml:space="preserve">Age </w:t>
      </w:r>
      <w:r w:rsidRPr="00200234">
        <w:t xml:space="preserve">and </w:t>
      </w:r>
      <w:r>
        <w:t>gender</w:t>
      </w:r>
      <w:r w:rsidRPr="00200234">
        <w:t xml:space="preserve"> of people receiving ECT</w:t>
      </w:r>
      <w:bookmarkEnd w:id="601"/>
      <w:bookmarkEnd w:id="602"/>
      <w:bookmarkEnd w:id="603"/>
      <w:bookmarkEnd w:id="604"/>
      <w:bookmarkEnd w:id="605"/>
      <w:bookmarkEnd w:id="606"/>
    </w:p>
    <w:p w14:paraId="0A694E0E" w14:textId="77777777" w:rsidR="001236DF" w:rsidRDefault="001236DF" w:rsidP="001236DF">
      <w:pPr>
        <w:keepNext/>
      </w:pPr>
      <w:r>
        <w:t>Between 1 July 2020 and 30 June 2021</w:t>
      </w:r>
      <w:r w:rsidRPr="00200234">
        <w:t xml:space="preserve">, women were </w:t>
      </w:r>
      <w:r w:rsidRPr="00E741D0">
        <w:t>more</w:t>
      </w:r>
      <w:r w:rsidRPr="00200234">
        <w:t xml:space="preserve"> likely to receive ECT than men. </w:t>
      </w:r>
    </w:p>
    <w:p w14:paraId="04E42749" w14:textId="77777777" w:rsidR="001236DF" w:rsidRPr="00200234" w:rsidRDefault="001236DF" w:rsidP="001236DF">
      <w:pPr>
        <w:keepNext/>
      </w:pPr>
    </w:p>
    <w:p w14:paraId="3FC3D7D6" w14:textId="77777777" w:rsidR="001236DF" w:rsidRDefault="001236DF" w:rsidP="001236DF">
      <w:pPr>
        <w:keepNext/>
      </w:pPr>
      <w:r w:rsidRPr="00200234">
        <w:t>Older people were more likely to receive ECT than younger people</w:t>
      </w:r>
      <w:r>
        <w:t>.</w:t>
      </w:r>
      <w:r w:rsidRPr="00200234">
        <w:t xml:space="preserve"> </w:t>
      </w:r>
      <w:r>
        <w:t>P</w:t>
      </w:r>
      <w:r w:rsidRPr="00200234">
        <w:t>atients over 50</w:t>
      </w:r>
      <w:r>
        <w:t> </w:t>
      </w:r>
      <w:r w:rsidRPr="00200234">
        <w:t>years old represent</w:t>
      </w:r>
      <w:r>
        <w:t>ed</w:t>
      </w:r>
      <w:r w:rsidRPr="00200234">
        <w:t xml:space="preserve"> </w:t>
      </w:r>
      <w:r w:rsidRPr="00110E8C">
        <w:t>63.3%</w:t>
      </w:r>
      <w:r w:rsidRPr="00200234">
        <w:t xml:space="preserve"> of all patients </w:t>
      </w:r>
      <w:r>
        <w:t xml:space="preserve">receiving ECT </w:t>
      </w:r>
      <w:r w:rsidRPr="00200234">
        <w:t xml:space="preserve">in </w:t>
      </w:r>
      <w:r>
        <w:t xml:space="preserve">this period. </w:t>
      </w:r>
    </w:p>
    <w:p w14:paraId="573C0F0C" w14:textId="77777777" w:rsidR="001236DF" w:rsidRDefault="001236DF" w:rsidP="001236DF">
      <w:pPr>
        <w:keepNext/>
      </w:pPr>
    </w:p>
    <w:p w14:paraId="361A2530" w14:textId="77777777" w:rsidR="001236DF" w:rsidRPr="00200234" w:rsidRDefault="001236DF" w:rsidP="001236DF">
      <w:pPr>
        <w:keepNext/>
      </w:pPr>
      <w:r>
        <w:t>Figure 45 presents the numbers broken down by age group and gender.</w:t>
      </w:r>
    </w:p>
    <w:p w14:paraId="24117682" w14:textId="77777777" w:rsidR="001236DF" w:rsidRPr="00200234" w:rsidRDefault="001236DF" w:rsidP="001236DF">
      <w:pPr>
        <w:keepNext/>
      </w:pPr>
    </w:p>
    <w:p w14:paraId="4CFC2B6C" w14:textId="62885EEC" w:rsidR="001236DF" w:rsidRDefault="001236DF" w:rsidP="001236DF">
      <w:pPr>
        <w:pStyle w:val="Figure"/>
      </w:pPr>
      <w:bookmarkStart w:id="607" w:name="_Ref65672687"/>
      <w:bookmarkStart w:id="608" w:name="_Toc63764792"/>
      <w:bookmarkStart w:id="609" w:name="_Toc75176503"/>
      <w:bookmarkStart w:id="610" w:name="_Toc85442596"/>
      <w:bookmarkStart w:id="611" w:name="_Toc85445950"/>
      <w:bookmarkStart w:id="612" w:name="_Toc87429990"/>
      <w:bookmarkStart w:id="613" w:name="_Toc88561422"/>
      <w:bookmarkStart w:id="614" w:name="_Toc115188884"/>
      <w:bookmarkStart w:id="615" w:name="_Toc115272587"/>
      <w:r>
        <w:t>Fig</w:t>
      </w:r>
      <w:r w:rsidRPr="00BC75AF">
        <w:t>ure </w:t>
      </w:r>
      <w:fldSimple w:instr=" SEQ Figure \* ARABIC ">
        <w:r w:rsidR="009A04B0">
          <w:rPr>
            <w:noProof/>
          </w:rPr>
          <w:t>45</w:t>
        </w:r>
      </w:fldSimple>
      <w:bookmarkEnd w:id="607"/>
      <w:r w:rsidRPr="00BC75AF">
        <w:t xml:space="preserve">: Number of people treated with ECT, by age group and </w:t>
      </w:r>
      <w:r>
        <w:t>gender,</w:t>
      </w:r>
      <w:r w:rsidRPr="00BC75AF">
        <w:t xml:space="preserve"> 1 </w:t>
      </w:r>
      <w:bookmarkEnd w:id="608"/>
      <w:bookmarkEnd w:id="609"/>
      <w:bookmarkEnd w:id="610"/>
      <w:bookmarkEnd w:id="611"/>
      <w:bookmarkEnd w:id="612"/>
      <w:bookmarkEnd w:id="613"/>
      <w:r w:rsidRPr="00BC75AF">
        <w:t>July 2020 to 30 June 2021</w:t>
      </w:r>
      <w:bookmarkEnd w:id="614"/>
      <w:bookmarkEnd w:id="615"/>
    </w:p>
    <w:p w14:paraId="011AB20B" w14:textId="77777777" w:rsidR="001236DF" w:rsidRPr="00C9293D" w:rsidRDefault="001236DF" w:rsidP="001236DF">
      <w:r>
        <w:rPr>
          <w:noProof/>
        </w:rPr>
        <w:drawing>
          <wp:inline distT="0" distB="0" distL="0" distR="0" wp14:anchorId="3088625E" wp14:editId="025ACD7C">
            <wp:extent cx="5731510" cy="2571750"/>
            <wp:effectExtent l="0" t="0" r="2540" b="0"/>
            <wp:docPr id="47" name="Chart 47" descr="This bar graph shows that females were generally treated with ECT more often than males, with the exception of the 20-24 and 25-29 age groups, which had 6 and 8 males respectively to 4 females. The largest number of people who received the treatment were in the 60-64 age group, at about 30. There were just over 20 people in the 40-44, 50-54, 55-59, 65-69, and 70-74 age groups. It was less than 20 in all other age groups.">
              <a:extLst xmlns:a="http://schemas.openxmlformats.org/drawingml/2006/main">
                <a:ext uri="{FF2B5EF4-FFF2-40B4-BE49-F238E27FC236}">
                  <a16:creationId xmlns:a16="http://schemas.microsoft.com/office/drawing/2014/main" id="{00000000-0008-0000-09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782D015F" w14:textId="77777777" w:rsidR="001236DF" w:rsidRPr="00D7747A" w:rsidRDefault="001236DF" w:rsidP="001236DF">
      <w:pPr>
        <w:pStyle w:val="Source"/>
      </w:pPr>
      <w:r w:rsidRPr="00200234">
        <w:t>Sources: PRIMHD data</w:t>
      </w:r>
      <w:r>
        <w:t xml:space="preserve"> (extracted</w:t>
      </w:r>
      <w:r w:rsidRPr="00200234">
        <w:t xml:space="preserve"> </w:t>
      </w:r>
      <w:r>
        <w:t>3 June 2022)</w:t>
      </w:r>
      <w:r w:rsidRPr="00200234">
        <w:t xml:space="preserve"> and manual data from </w:t>
      </w:r>
      <w:r>
        <w:t>Lakes, Southern, Waikato and Waitematā DHBs</w:t>
      </w:r>
      <w:r w:rsidRPr="00200234">
        <w:t>.</w:t>
      </w:r>
    </w:p>
    <w:p w14:paraId="719A8E40" w14:textId="77777777" w:rsidR="001236DF" w:rsidRPr="00200234" w:rsidRDefault="001236DF" w:rsidP="001236DF">
      <w:pPr>
        <w:pStyle w:val="Heading2"/>
      </w:pPr>
      <w:bookmarkStart w:id="616" w:name="_Toc65141638"/>
      <w:bookmarkStart w:id="617" w:name="_Toc75176463"/>
      <w:bookmarkStart w:id="618" w:name="_Toc87429931"/>
      <w:bookmarkStart w:id="619" w:name="_Toc88826979"/>
      <w:bookmarkStart w:id="620" w:name="_Toc115188829"/>
      <w:bookmarkStart w:id="621" w:name="_Toc115431727"/>
      <w:r w:rsidRPr="00200234">
        <w:t xml:space="preserve">Ethnicity of people treated with </w:t>
      </w:r>
      <w:r w:rsidRPr="003A59E3">
        <w:t>ECT</w:t>
      </w:r>
      <w:bookmarkEnd w:id="616"/>
      <w:bookmarkEnd w:id="617"/>
      <w:bookmarkEnd w:id="618"/>
      <w:bookmarkEnd w:id="619"/>
      <w:bookmarkEnd w:id="620"/>
      <w:bookmarkEnd w:id="621"/>
    </w:p>
    <w:p w14:paraId="5150127A" w14:textId="77777777" w:rsidR="001236DF" w:rsidRPr="00200234" w:rsidRDefault="001236DF" w:rsidP="001236DF">
      <w:pPr>
        <w:keepNext/>
        <w:keepLines/>
      </w:pPr>
      <w:r w:rsidRPr="00BC75AF">
        <w:t>Table </w:t>
      </w:r>
      <w:r>
        <w:rPr>
          <w:noProof/>
        </w:rPr>
        <w:t>20</w:t>
      </w:r>
      <w:r w:rsidRPr="00200234">
        <w:t xml:space="preserve"> indicate</w:t>
      </w:r>
      <w:r>
        <w:t>s</w:t>
      </w:r>
      <w:r w:rsidRPr="00200234">
        <w:t xml:space="preserve"> that Asian, Māori and Pacific peoples </w:t>
      </w:r>
      <w:r>
        <w:t>we</w:t>
      </w:r>
      <w:r w:rsidRPr="00BC75AF">
        <w:t>re less likely</w:t>
      </w:r>
      <w:r w:rsidRPr="00200234">
        <w:t xml:space="preserve"> to receive ECT than other ethnicities, such as New Zealand European</w:t>
      </w:r>
      <w:r>
        <w:t>s</w:t>
      </w:r>
      <w:r w:rsidRPr="00200234">
        <w:t xml:space="preserve">. However, the numbers involved are so small that it is not statistically appropriate to compare the percentages of people receiving ECT in each ethnic group with the proportion of each ethnic group in the total population of </w:t>
      </w:r>
      <w:r>
        <w:t>Aotearoa</w:t>
      </w:r>
      <w:r w:rsidRPr="00200234">
        <w:t>.</w:t>
      </w:r>
    </w:p>
    <w:p w14:paraId="07E1BB73" w14:textId="77777777" w:rsidR="001236DF" w:rsidRPr="00200234" w:rsidRDefault="001236DF" w:rsidP="001236DF">
      <w:pPr>
        <w:keepNext/>
      </w:pPr>
    </w:p>
    <w:p w14:paraId="3A867726" w14:textId="77777777" w:rsidR="00B86C90" w:rsidRDefault="00B86C90" w:rsidP="001236DF">
      <w:pPr>
        <w:pStyle w:val="Table"/>
        <w:sectPr w:rsidR="00B86C90" w:rsidSect="00D40D3F">
          <w:pgSz w:w="11907" w:h="16840" w:code="9"/>
          <w:pgMar w:top="1418" w:right="1701" w:bottom="1134" w:left="1843" w:header="284" w:footer="425" w:gutter="284"/>
          <w:cols w:space="720"/>
        </w:sectPr>
      </w:pPr>
      <w:bookmarkStart w:id="622" w:name="_Ref85452367"/>
      <w:bookmarkStart w:id="623" w:name="_Toc87430017"/>
      <w:bookmarkStart w:id="624" w:name="_Toc88561374"/>
      <w:bookmarkStart w:id="625" w:name="_Toc115188909"/>
    </w:p>
    <w:p w14:paraId="79E0D82E" w14:textId="1F76FA0D" w:rsidR="001236DF" w:rsidRDefault="001236DF" w:rsidP="001236DF">
      <w:pPr>
        <w:pStyle w:val="Table"/>
      </w:pPr>
      <w:bookmarkStart w:id="626" w:name="_Toc115272611"/>
      <w:r w:rsidRPr="00BC75AF">
        <w:lastRenderedPageBreak/>
        <w:t>Table </w:t>
      </w:r>
      <w:fldSimple w:instr=" SEQ Table \* ARABIC ">
        <w:r w:rsidR="009A04B0">
          <w:rPr>
            <w:noProof/>
          </w:rPr>
          <w:t>20</w:t>
        </w:r>
      </w:fldSimple>
      <w:bookmarkEnd w:id="622"/>
      <w:r w:rsidRPr="00BC75AF">
        <w:t xml:space="preserve">: Number and rate per 100,000 population of people treated with ECT, by ethnicity, 1 </w:t>
      </w:r>
      <w:bookmarkEnd w:id="623"/>
      <w:bookmarkEnd w:id="624"/>
      <w:r w:rsidRPr="00BC75AF">
        <w:t>July 2020 to 30 June 2021</w:t>
      </w:r>
      <w:bookmarkEnd w:id="625"/>
      <w:bookmarkEnd w:id="626"/>
    </w:p>
    <w:tbl>
      <w:tblPr>
        <w:tblW w:w="8165" w:type="dxa"/>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4A0" w:firstRow="1" w:lastRow="0" w:firstColumn="1" w:lastColumn="0" w:noHBand="0" w:noVBand="1"/>
      </w:tblPr>
      <w:tblGrid>
        <w:gridCol w:w="1985"/>
        <w:gridCol w:w="3090"/>
        <w:gridCol w:w="3090"/>
      </w:tblGrid>
      <w:tr w:rsidR="001236DF" w:rsidRPr="0048119A" w14:paraId="70582DC3" w14:textId="77777777" w:rsidTr="00B86C90">
        <w:trPr>
          <w:cantSplit/>
          <w:trHeight w:val="359"/>
        </w:trPr>
        <w:tc>
          <w:tcPr>
            <w:tcW w:w="1985" w:type="dxa"/>
            <w:tcBorders>
              <w:top w:val="nil"/>
              <w:bottom w:val="nil"/>
            </w:tcBorders>
            <w:shd w:val="clear" w:color="auto" w:fill="D9D9D9"/>
          </w:tcPr>
          <w:p w14:paraId="41D25FC3" w14:textId="77777777" w:rsidR="001236DF" w:rsidRPr="0048119A" w:rsidRDefault="001236DF" w:rsidP="001236DF">
            <w:pPr>
              <w:pStyle w:val="TableText"/>
              <w:keepNext/>
              <w:rPr>
                <w:b/>
              </w:rPr>
            </w:pPr>
            <w:r w:rsidRPr="0048119A">
              <w:rPr>
                <w:b/>
              </w:rPr>
              <w:t>Ethnicity</w:t>
            </w:r>
          </w:p>
        </w:tc>
        <w:tc>
          <w:tcPr>
            <w:tcW w:w="3090" w:type="dxa"/>
            <w:tcBorders>
              <w:top w:val="nil"/>
              <w:bottom w:val="nil"/>
            </w:tcBorders>
            <w:shd w:val="clear" w:color="auto" w:fill="D9D9D9"/>
          </w:tcPr>
          <w:p w14:paraId="3EB089D7" w14:textId="281D6FD8" w:rsidR="001236DF" w:rsidRPr="0048119A" w:rsidRDefault="00B86C90" w:rsidP="00B86C90">
            <w:pPr>
              <w:pStyle w:val="TableText"/>
              <w:keepNext/>
              <w:rPr>
                <w:b/>
              </w:rPr>
            </w:pPr>
            <w:r>
              <w:rPr>
                <w:b/>
              </w:rPr>
              <w:t xml:space="preserve">      </w:t>
            </w:r>
            <w:r w:rsidR="001236DF" w:rsidRPr="0048119A">
              <w:rPr>
                <w:b/>
              </w:rPr>
              <w:t>Number</w:t>
            </w:r>
          </w:p>
        </w:tc>
        <w:tc>
          <w:tcPr>
            <w:tcW w:w="3090" w:type="dxa"/>
            <w:tcBorders>
              <w:top w:val="nil"/>
              <w:bottom w:val="nil"/>
            </w:tcBorders>
            <w:shd w:val="clear" w:color="auto" w:fill="D9D9D9"/>
          </w:tcPr>
          <w:p w14:paraId="15A4DA52" w14:textId="77777777" w:rsidR="001236DF" w:rsidRPr="0048119A" w:rsidRDefault="001236DF" w:rsidP="00B86C90">
            <w:pPr>
              <w:pStyle w:val="TableText"/>
              <w:keepNext/>
              <w:rPr>
                <w:b/>
              </w:rPr>
            </w:pPr>
            <w:r>
              <w:rPr>
                <w:b/>
              </w:rPr>
              <w:t>Rate per 100,000</w:t>
            </w:r>
          </w:p>
        </w:tc>
      </w:tr>
      <w:tr w:rsidR="001236DF" w:rsidRPr="00200234" w14:paraId="15D3589F" w14:textId="77777777" w:rsidTr="00B86C90">
        <w:trPr>
          <w:cantSplit/>
          <w:trHeight w:val="359"/>
        </w:trPr>
        <w:tc>
          <w:tcPr>
            <w:tcW w:w="1985" w:type="dxa"/>
            <w:tcBorders>
              <w:top w:val="nil"/>
            </w:tcBorders>
          </w:tcPr>
          <w:p w14:paraId="01E097F7" w14:textId="77777777" w:rsidR="001236DF" w:rsidRPr="00200234" w:rsidRDefault="001236DF" w:rsidP="001236DF">
            <w:pPr>
              <w:pStyle w:val="TableText"/>
              <w:keepNext/>
            </w:pPr>
            <w:r w:rsidRPr="00200234">
              <w:t>Asian</w:t>
            </w:r>
          </w:p>
        </w:tc>
        <w:tc>
          <w:tcPr>
            <w:tcW w:w="3090" w:type="dxa"/>
            <w:tcBorders>
              <w:top w:val="nil"/>
            </w:tcBorders>
          </w:tcPr>
          <w:p w14:paraId="2032979A" w14:textId="77777777" w:rsidR="001236DF" w:rsidRPr="00200234" w:rsidRDefault="001236DF" w:rsidP="001236DF">
            <w:pPr>
              <w:pStyle w:val="TableText"/>
              <w:keepNext/>
              <w:tabs>
                <w:tab w:val="decimal" w:pos="709"/>
              </w:tabs>
            </w:pPr>
            <w:r>
              <w:t>17</w:t>
            </w:r>
          </w:p>
        </w:tc>
        <w:tc>
          <w:tcPr>
            <w:tcW w:w="3090" w:type="dxa"/>
            <w:tcBorders>
              <w:top w:val="nil"/>
            </w:tcBorders>
          </w:tcPr>
          <w:p w14:paraId="4FEEC39E" w14:textId="77777777" w:rsidR="001236DF" w:rsidRDefault="001236DF" w:rsidP="001236DF">
            <w:pPr>
              <w:pStyle w:val="TableText"/>
              <w:keepNext/>
              <w:tabs>
                <w:tab w:val="decimal" w:pos="709"/>
              </w:tabs>
            </w:pPr>
            <w:r>
              <w:t>2.0</w:t>
            </w:r>
          </w:p>
        </w:tc>
      </w:tr>
      <w:tr w:rsidR="001236DF" w:rsidRPr="00200234" w14:paraId="29CFB0D3" w14:textId="77777777" w:rsidTr="00B86C90">
        <w:trPr>
          <w:cantSplit/>
          <w:trHeight w:val="360"/>
        </w:trPr>
        <w:tc>
          <w:tcPr>
            <w:tcW w:w="1985" w:type="dxa"/>
          </w:tcPr>
          <w:p w14:paraId="67FB8588" w14:textId="77777777" w:rsidR="001236DF" w:rsidRPr="00200234" w:rsidRDefault="001236DF" w:rsidP="001236DF">
            <w:pPr>
              <w:pStyle w:val="TableText"/>
              <w:keepNext/>
            </w:pPr>
            <w:r w:rsidRPr="00200234">
              <w:t>Māori</w:t>
            </w:r>
          </w:p>
        </w:tc>
        <w:tc>
          <w:tcPr>
            <w:tcW w:w="3090" w:type="dxa"/>
          </w:tcPr>
          <w:p w14:paraId="373E8DF8" w14:textId="77777777" w:rsidR="001236DF" w:rsidRPr="00200234" w:rsidRDefault="001236DF" w:rsidP="001236DF">
            <w:pPr>
              <w:pStyle w:val="TableText"/>
              <w:keepNext/>
              <w:tabs>
                <w:tab w:val="decimal" w:pos="709"/>
              </w:tabs>
            </w:pPr>
            <w:r>
              <w:t>31</w:t>
            </w:r>
          </w:p>
        </w:tc>
        <w:tc>
          <w:tcPr>
            <w:tcW w:w="3090" w:type="dxa"/>
          </w:tcPr>
          <w:p w14:paraId="75D93B95" w14:textId="77777777" w:rsidR="001236DF" w:rsidRDefault="001236DF" w:rsidP="001236DF">
            <w:pPr>
              <w:pStyle w:val="TableText"/>
              <w:keepNext/>
              <w:tabs>
                <w:tab w:val="decimal" w:pos="709"/>
              </w:tabs>
            </w:pPr>
            <w:r>
              <w:t>3.6</w:t>
            </w:r>
          </w:p>
        </w:tc>
      </w:tr>
      <w:tr w:rsidR="001236DF" w:rsidRPr="00200234" w14:paraId="027A2DF4" w14:textId="77777777" w:rsidTr="00B86C90">
        <w:trPr>
          <w:cantSplit/>
          <w:trHeight w:val="359"/>
        </w:trPr>
        <w:tc>
          <w:tcPr>
            <w:tcW w:w="1985" w:type="dxa"/>
          </w:tcPr>
          <w:p w14:paraId="1FBF657F" w14:textId="77777777" w:rsidR="001236DF" w:rsidRPr="00200234" w:rsidRDefault="001236DF" w:rsidP="001236DF">
            <w:pPr>
              <w:pStyle w:val="TableText"/>
            </w:pPr>
            <w:r w:rsidRPr="00200234">
              <w:t>Pacific</w:t>
            </w:r>
            <w:r>
              <w:t xml:space="preserve"> peoples</w:t>
            </w:r>
          </w:p>
        </w:tc>
        <w:tc>
          <w:tcPr>
            <w:tcW w:w="3090" w:type="dxa"/>
          </w:tcPr>
          <w:p w14:paraId="0CA5809F" w14:textId="77777777" w:rsidR="001236DF" w:rsidRPr="00200234" w:rsidRDefault="001236DF" w:rsidP="001236DF">
            <w:pPr>
              <w:pStyle w:val="TableText"/>
              <w:tabs>
                <w:tab w:val="decimal" w:pos="709"/>
              </w:tabs>
            </w:pPr>
            <w:r>
              <w:t>4</w:t>
            </w:r>
          </w:p>
        </w:tc>
        <w:tc>
          <w:tcPr>
            <w:tcW w:w="3090" w:type="dxa"/>
          </w:tcPr>
          <w:p w14:paraId="4444122D" w14:textId="77777777" w:rsidR="001236DF" w:rsidRDefault="001236DF" w:rsidP="001236DF">
            <w:pPr>
              <w:pStyle w:val="TableText"/>
              <w:tabs>
                <w:tab w:val="decimal" w:pos="709"/>
              </w:tabs>
            </w:pPr>
            <w:r>
              <w:t>1.1</w:t>
            </w:r>
          </w:p>
        </w:tc>
      </w:tr>
      <w:tr w:rsidR="001236DF" w:rsidRPr="00200234" w14:paraId="3BE2151D" w14:textId="77777777" w:rsidTr="00B86C90">
        <w:trPr>
          <w:cantSplit/>
          <w:trHeight w:val="359"/>
        </w:trPr>
        <w:tc>
          <w:tcPr>
            <w:tcW w:w="1985" w:type="dxa"/>
          </w:tcPr>
          <w:p w14:paraId="2441A8CF" w14:textId="77777777" w:rsidR="001236DF" w:rsidRPr="00200234" w:rsidRDefault="001236DF" w:rsidP="001236DF">
            <w:pPr>
              <w:pStyle w:val="TableText"/>
            </w:pPr>
            <w:r w:rsidRPr="00200234">
              <w:t>Other</w:t>
            </w:r>
          </w:p>
        </w:tc>
        <w:tc>
          <w:tcPr>
            <w:tcW w:w="3090" w:type="dxa"/>
          </w:tcPr>
          <w:p w14:paraId="05F5C567" w14:textId="77777777" w:rsidR="001236DF" w:rsidRPr="00200234" w:rsidRDefault="001236DF" w:rsidP="001236DF">
            <w:pPr>
              <w:pStyle w:val="TableText"/>
              <w:tabs>
                <w:tab w:val="decimal" w:pos="709"/>
              </w:tabs>
            </w:pPr>
            <w:r>
              <w:t>207</w:t>
            </w:r>
          </w:p>
        </w:tc>
        <w:tc>
          <w:tcPr>
            <w:tcW w:w="3090" w:type="dxa"/>
          </w:tcPr>
          <w:p w14:paraId="40A2AD60" w14:textId="77777777" w:rsidR="001236DF" w:rsidRDefault="001236DF" w:rsidP="001236DF">
            <w:pPr>
              <w:pStyle w:val="TableText"/>
              <w:tabs>
                <w:tab w:val="decimal" w:pos="709"/>
              </w:tabs>
            </w:pPr>
            <w:r>
              <w:t>6.8</w:t>
            </w:r>
          </w:p>
        </w:tc>
      </w:tr>
      <w:tr w:rsidR="001236DF" w:rsidRPr="0048119A" w14:paraId="0000CF06" w14:textId="77777777" w:rsidTr="00B86C90">
        <w:trPr>
          <w:cantSplit/>
          <w:trHeight w:val="360"/>
        </w:trPr>
        <w:tc>
          <w:tcPr>
            <w:tcW w:w="1985" w:type="dxa"/>
          </w:tcPr>
          <w:p w14:paraId="6B50E02F" w14:textId="77777777" w:rsidR="001236DF" w:rsidRPr="0048119A" w:rsidRDefault="001236DF" w:rsidP="001236DF">
            <w:pPr>
              <w:pStyle w:val="TableText"/>
              <w:rPr>
                <w:b/>
              </w:rPr>
            </w:pPr>
            <w:r w:rsidRPr="0048119A">
              <w:rPr>
                <w:b/>
              </w:rPr>
              <w:t>National total</w:t>
            </w:r>
          </w:p>
        </w:tc>
        <w:tc>
          <w:tcPr>
            <w:tcW w:w="3090" w:type="dxa"/>
          </w:tcPr>
          <w:p w14:paraId="18B5656F" w14:textId="77777777" w:rsidR="001236DF" w:rsidRPr="0048119A" w:rsidRDefault="001236DF" w:rsidP="001236DF">
            <w:pPr>
              <w:pStyle w:val="TableText"/>
              <w:tabs>
                <w:tab w:val="decimal" w:pos="709"/>
              </w:tabs>
              <w:rPr>
                <w:b/>
              </w:rPr>
            </w:pPr>
            <w:r w:rsidRPr="0048119A">
              <w:rPr>
                <w:b/>
              </w:rPr>
              <w:t>2</w:t>
            </w:r>
            <w:r>
              <w:rPr>
                <w:b/>
              </w:rPr>
              <w:t>59</w:t>
            </w:r>
          </w:p>
        </w:tc>
        <w:tc>
          <w:tcPr>
            <w:tcW w:w="3090" w:type="dxa"/>
          </w:tcPr>
          <w:p w14:paraId="02011EA2" w14:textId="77777777" w:rsidR="001236DF" w:rsidRPr="0048119A" w:rsidRDefault="001236DF" w:rsidP="001236DF">
            <w:pPr>
              <w:pStyle w:val="TableText"/>
              <w:tabs>
                <w:tab w:val="decimal" w:pos="709"/>
              </w:tabs>
              <w:rPr>
                <w:b/>
              </w:rPr>
            </w:pPr>
            <w:r>
              <w:rPr>
                <w:b/>
              </w:rPr>
              <w:t>5.1</w:t>
            </w:r>
          </w:p>
        </w:tc>
      </w:tr>
    </w:tbl>
    <w:p w14:paraId="3A12C611" w14:textId="77777777" w:rsidR="001236DF" w:rsidRPr="00993F35" w:rsidRDefault="001236DF" w:rsidP="001236DF">
      <w:pPr>
        <w:pStyle w:val="Source"/>
      </w:pPr>
      <w:r w:rsidRPr="00200234">
        <w:t>Sources: PRIMHD data</w:t>
      </w:r>
      <w:r>
        <w:t xml:space="preserve"> (extracted</w:t>
      </w:r>
      <w:r w:rsidRPr="00200234">
        <w:t xml:space="preserve"> </w:t>
      </w:r>
      <w:r>
        <w:t>3 June 2022)</w:t>
      </w:r>
      <w:r w:rsidRPr="00200234">
        <w:t xml:space="preserve"> and manual data from </w:t>
      </w:r>
      <w:r>
        <w:t>Lakes, Southern, Waikato and Waitematā DHBs.</w:t>
      </w:r>
    </w:p>
    <w:p w14:paraId="7D453D14" w14:textId="77777777" w:rsidR="001236DF" w:rsidRPr="00200234" w:rsidRDefault="001236DF" w:rsidP="001236DF">
      <w:pPr>
        <w:pStyle w:val="Heading2"/>
      </w:pPr>
      <w:bookmarkStart w:id="627" w:name="_Toc65141639"/>
      <w:bookmarkStart w:id="628" w:name="_Toc75176464"/>
      <w:bookmarkStart w:id="629" w:name="_Toc87429932"/>
      <w:bookmarkStart w:id="630" w:name="_Toc88826980"/>
      <w:bookmarkStart w:id="631" w:name="_Toc115188830"/>
      <w:bookmarkStart w:id="632" w:name="_Toc115431728"/>
      <w:r w:rsidRPr="00200234">
        <w:t xml:space="preserve">Consent to </w:t>
      </w:r>
      <w:r>
        <w:t xml:space="preserve">ECT </w:t>
      </w:r>
      <w:r w:rsidRPr="00200234">
        <w:t>treatment</w:t>
      </w:r>
      <w:bookmarkEnd w:id="627"/>
      <w:bookmarkEnd w:id="628"/>
      <w:bookmarkEnd w:id="629"/>
      <w:bookmarkEnd w:id="630"/>
      <w:bookmarkEnd w:id="631"/>
      <w:bookmarkEnd w:id="632"/>
    </w:p>
    <w:p w14:paraId="64451F7A" w14:textId="77777777" w:rsidR="001236DF" w:rsidRPr="00200234" w:rsidRDefault="001236DF" w:rsidP="001236DF">
      <w:r w:rsidRPr="00200234">
        <w:t>Under the Mental Health Act, a person can be treated with ECT if they consent in writing or if an independent psychiatrist appointed by the Mental Health Review Tribunal</w:t>
      </w:r>
      <w:r w:rsidRPr="0048119A">
        <w:rPr>
          <w:rStyle w:val="FootnoteReference"/>
        </w:rPr>
        <w:footnoteReference w:id="24"/>
      </w:r>
      <w:r w:rsidRPr="00200234">
        <w:t xml:space="preserve"> considers this treatment to be in the person</w:t>
      </w:r>
      <w:r>
        <w:t>’</w:t>
      </w:r>
      <w:r w:rsidRPr="00200234">
        <w:t>s interests. An independent psychiatrist cannot be the patient</w:t>
      </w:r>
      <w:r>
        <w:t>’</w:t>
      </w:r>
      <w:r w:rsidRPr="00200234">
        <w:t>s responsible clinician or part of the patient</w:t>
      </w:r>
      <w:r>
        <w:t>’</w:t>
      </w:r>
      <w:r w:rsidRPr="00200234">
        <w:t>s clinical team.</w:t>
      </w:r>
    </w:p>
    <w:p w14:paraId="4AD564DC" w14:textId="77777777" w:rsidR="001236DF" w:rsidRPr="00200234" w:rsidRDefault="001236DF" w:rsidP="001236DF"/>
    <w:p w14:paraId="778B2815" w14:textId="77777777" w:rsidR="001236DF" w:rsidRDefault="001236DF" w:rsidP="001236DF">
      <w:pPr>
        <w:rPr>
          <w:rFonts w:cs="Segoe UI"/>
        </w:rPr>
      </w:pPr>
      <w:r>
        <w:t>Between 1 July 2020 and 30 June 2021</w:t>
      </w:r>
      <w:r w:rsidRPr="00200234">
        <w:t xml:space="preserve">, services administered ECT to </w:t>
      </w:r>
      <w:r>
        <w:t>98</w:t>
      </w:r>
      <w:r w:rsidRPr="00200234">
        <w:t xml:space="preserve"> people who could not consent to treatment. </w:t>
      </w:r>
      <w:r>
        <w:t>In</w:t>
      </w:r>
      <w:r w:rsidRPr="00200234">
        <w:t xml:space="preserve"> total</w:t>
      </w:r>
      <w:r>
        <w:t>,</w:t>
      </w:r>
      <w:r w:rsidRPr="00200234">
        <w:t xml:space="preserve"> </w:t>
      </w:r>
      <w:r>
        <w:t xml:space="preserve">1,191 </w:t>
      </w:r>
      <w:r w:rsidRPr="00200234">
        <w:t xml:space="preserve">ECT treatments </w:t>
      </w:r>
      <w:r>
        <w:t xml:space="preserve">were </w:t>
      </w:r>
      <w:r w:rsidRPr="00200234">
        <w:t>administered without</w:t>
      </w:r>
      <w:r>
        <w:t xml:space="preserve"> the person’s</w:t>
      </w:r>
      <w:r w:rsidRPr="00200234">
        <w:t xml:space="preserve"> </w:t>
      </w:r>
      <w:r>
        <w:t xml:space="preserve">capacity to </w:t>
      </w:r>
      <w:r w:rsidRPr="00200234">
        <w:t>consent</w:t>
      </w:r>
      <w:r>
        <w:t xml:space="preserve">. </w:t>
      </w:r>
      <w:r w:rsidRPr="00200234">
        <w:t xml:space="preserve">An additional </w:t>
      </w:r>
      <w:r>
        <w:t>18</w:t>
      </w:r>
      <w:r w:rsidRPr="00200234">
        <w:t xml:space="preserve"> treatments were administered to </w:t>
      </w:r>
      <w:r>
        <w:t>4</w:t>
      </w:r>
      <w:r w:rsidRPr="00200234">
        <w:t xml:space="preserve"> people who </w:t>
      </w:r>
      <w:r>
        <w:t>had the</w:t>
      </w:r>
      <w:r w:rsidRPr="00200234">
        <w:t xml:space="preserve"> capacity to consent but refused</w:t>
      </w:r>
      <w:r>
        <w:t xml:space="preserve">. In all of these cases, </w:t>
      </w:r>
      <w:r w:rsidRPr="00200234">
        <w:t>the DHB</w:t>
      </w:r>
      <w:r>
        <w:t>s</w:t>
      </w:r>
      <w:r w:rsidRPr="00200234">
        <w:t xml:space="preserve"> gain</w:t>
      </w:r>
      <w:r>
        <w:t>ed</w:t>
      </w:r>
      <w:r w:rsidRPr="00200234">
        <w:t xml:space="preserve"> a second opinion from an independent psychiatrist. </w:t>
      </w:r>
      <w:r>
        <w:t>Table </w:t>
      </w:r>
      <w:r>
        <w:rPr>
          <w:noProof/>
        </w:rPr>
        <w:t>21</w:t>
      </w:r>
      <w:r w:rsidRPr="00200234">
        <w:rPr>
          <w:rFonts w:cs="Segoe UI"/>
        </w:rPr>
        <w:t xml:space="preserve"> show</w:t>
      </w:r>
      <w:r>
        <w:rPr>
          <w:rFonts w:cs="Segoe UI"/>
        </w:rPr>
        <w:t>s</w:t>
      </w:r>
      <w:r w:rsidRPr="00200234">
        <w:rPr>
          <w:rFonts w:cs="Segoe UI"/>
        </w:rPr>
        <w:t xml:space="preserve"> the number of treatments administered without consent during </w:t>
      </w:r>
      <w:r>
        <w:rPr>
          <w:rFonts w:cs="Segoe UI"/>
        </w:rPr>
        <w:t>this period.</w:t>
      </w:r>
    </w:p>
    <w:p w14:paraId="308D9781" w14:textId="77777777" w:rsidR="001236DF" w:rsidRPr="00200234" w:rsidRDefault="001236DF" w:rsidP="001236DF"/>
    <w:p w14:paraId="6DD84277" w14:textId="77777777" w:rsidR="00B86C90" w:rsidRDefault="00B86C90" w:rsidP="001236DF">
      <w:pPr>
        <w:pStyle w:val="Table"/>
        <w:sectPr w:rsidR="00B86C90" w:rsidSect="00D40D3F">
          <w:pgSz w:w="11907" w:h="16840" w:code="9"/>
          <w:pgMar w:top="1418" w:right="1701" w:bottom="1134" w:left="1843" w:header="284" w:footer="425" w:gutter="284"/>
          <w:cols w:space="720"/>
        </w:sectPr>
      </w:pPr>
      <w:bookmarkStart w:id="633" w:name="_Ref85452431"/>
      <w:bookmarkStart w:id="634" w:name="_Toc87430018"/>
      <w:bookmarkStart w:id="635" w:name="_Toc88561375"/>
      <w:bookmarkStart w:id="636" w:name="_Toc115188910"/>
    </w:p>
    <w:p w14:paraId="42F9FCAA" w14:textId="66D707BE" w:rsidR="001236DF" w:rsidRDefault="001236DF" w:rsidP="001236DF">
      <w:pPr>
        <w:pStyle w:val="Table"/>
      </w:pPr>
      <w:bookmarkStart w:id="637" w:name="_Toc115272612"/>
      <w:r>
        <w:lastRenderedPageBreak/>
        <w:t>Table </w:t>
      </w:r>
      <w:fldSimple w:instr=" SEQ Table \* ARABIC ">
        <w:r w:rsidR="009A04B0">
          <w:rPr>
            <w:noProof/>
          </w:rPr>
          <w:t>21</w:t>
        </w:r>
      </w:fldSimple>
      <w:bookmarkEnd w:id="633"/>
      <w:r w:rsidRPr="00B040CF">
        <w:t xml:space="preserve">: </w:t>
      </w:r>
      <w:r w:rsidRPr="009C189E">
        <w:t>ECT administered under second opinion without consent, by DHB of service, 1 </w:t>
      </w:r>
      <w:bookmarkEnd w:id="634"/>
      <w:bookmarkEnd w:id="635"/>
      <w:r w:rsidRPr="009C189E">
        <w:t>July 2020 to 30 June 2021</w:t>
      </w:r>
      <w:bookmarkEnd w:id="636"/>
      <w:bookmarkEnd w:id="637"/>
    </w:p>
    <w:tbl>
      <w:tblPr>
        <w:tblW w:w="4931" w:type="pct"/>
        <w:tblInd w:w="57" w:type="dxa"/>
        <w:tblBorders>
          <w:top w:val="single" w:sz="4" w:space="0" w:color="A6A6A6"/>
          <w:bottom w:val="single" w:sz="4" w:space="0" w:color="A6A6A6"/>
          <w:insideH w:val="single" w:sz="6" w:space="0" w:color="A6A6A6"/>
        </w:tblBorders>
        <w:tblLayout w:type="fixed"/>
        <w:tblCellMar>
          <w:left w:w="57" w:type="dxa"/>
          <w:right w:w="57" w:type="dxa"/>
        </w:tblCellMar>
        <w:tblLook w:val="01E0" w:firstRow="1" w:lastRow="1" w:firstColumn="1" w:lastColumn="1" w:noHBand="0" w:noVBand="0"/>
      </w:tblPr>
      <w:tblGrid>
        <w:gridCol w:w="2157"/>
        <w:gridCol w:w="1453"/>
        <w:gridCol w:w="1453"/>
        <w:gridCol w:w="1453"/>
        <w:gridCol w:w="1452"/>
      </w:tblGrid>
      <w:tr w:rsidR="001236DF" w:rsidRPr="0048119A" w14:paraId="578B4472" w14:textId="77777777" w:rsidTr="00B86C90">
        <w:trPr>
          <w:cantSplit/>
        </w:trPr>
        <w:tc>
          <w:tcPr>
            <w:tcW w:w="1353" w:type="pct"/>
            <w:vMerge w:val="restart"/>
            <w:tcBorders>
              <w:top w:val="nil"/>
              <w:bottom w:val="single" w:sz="6" w:space="0" w:color="A6A6A6"/>
              <w:right w:val="nil"/>
            </w:tcBorders>
            <w:shd w:val="clear" w:color="auto" w:fill="D9D9D9"/>
          </w:tcPr>
          <w:p w14:paraId="0B5EE692" w14:textId="77777777" w:rsidR="001236DF" w:rsidRPr="0048119A" w:rsidRDefault="001236DF" w:rsidP="001236DF">
            <w:pPr>
              <w:pStyle w:val="TableText"/>
              <w:keepNext/>
              <w:rPr>
                <w:b/>
              </w:rPr>
            </w:pPr>
            <w:r w:rsidRPr="0048119A">
              <w:rPr>
                <w:b/>
              </w:rPr>
              <w:t>DHB of service</w:t>
            </w:r>
          </w:p>
        </w:tc>
        <w:tc>
          <w:tcPr>
            <w:tcW w:w="1824" w:type="pct"/>
            <w:gridSpan w:val="2"/>
            <w:tcBorders>
              <w:top w:val="nil"/>
              <w:left w:val="nil"/>
              <w:bottom w:val="nil"/>
              <w:right w:val="nil"/>
            </w:tcBorders>
            <w:shd w:val="clear" w:color="auto" w:fill="D9D9D9"/>
          </w:tcPr>
          <w:p w14:paraId="52C0163A" w14:textId="77777777" w:rsidR="001236DF" w:rsidRPr="0048119A" w:rsidRDefault="001236DF" w:rsidP="001236DF">
            <w:pPr>
              <w:pStyle w:val="TableText"/>
              <w:keepNext/>
              <w:jc w:val="center"/>
              <w:rPr>
                <w:b/>
              </w:rPr>
            </w:pPr>
            <w:r w:rsidRPr="0048119A">
              <w:rPr>
                <w:b/>
              </w:rPr>
              <w:t>Second opinion where patient did not have the capacity to consent</w:t>
            </w:r>
          </w:p>
        </w:tc>
        <w:tc>
          <w:tcPr>
            <w:tcW w:w="1824" w:type="pct"/>
            <w:gridSpan w:val="2"/>
            <w:tcBorders>
              <w:top w:val="nil"/>
              <w:left w:val="nil"/>
              <w:bottom w:val="nil"/>
            </w:tcBorders>
            <w:shd w:val="clear" w:color="auto" w:fill="D9D9D9"/>
          </w:tcPr>
          <w:p w14:paraId="2E2188D6" w14:textId="77777777" w:rsidR="001236DF" w:rsidRPr="0048119A" w:rsidRDefault="001236DF" w:rsidP="001236DF">
            <w:pPr>
              <w:pStyle w:val="TableText"/>
              <w:keepNext/>
              <w:jc w:val="center"/>
              <w:rPr>
                <w:b/>
              </w:rPr>
            </w:pPr>
            <w:r w:rsidRPr="0048119A">
              <w:rPr>
                <w:b/>
              </w:rPr>
              <w:t>Second opinion where patient had the capacity but refused to consent</w:t>
            </w:r>
          </w:p>
        </w:tc>
      </w:tr>
      <w:tr w:rsidR="001236DF" w:rsidRPr="0048119A" w14:paraId="7660A298" w14:textId="77777777" w:rsidTr="00B86C90">
        <w:trPr>
          <w:cantSplit/>
        </w:trPr>
        <w:tc>
          <w:tcPr>
            <w:tcW w:w="1353" w:type="pct"/>
            <w:vMerge/>
            <w:tcBorders>
              <w:top w:val="single" w:sz="6" w:space="0" w:color="A6A6A6"/>
              <w:bottom w:val="single" w:sz="6" w:space="0" w:color="A6A6A6"/>
              <w:right w:val="nil"/>
            </w:tcBorders>
            <w:shd w:val="clear" w:color="auto" w:fill="D9D9D9"/>
          </w:tcPr>
          <w:p w14:paraId="14CDA6ED" w14:textId="77777777" w:rsidR="001236DF" w:rsidRPr="0048119A" w:rsidRDefault="001236DF" w:rsidP="001236DF">
            <w:pPr>
              <w:pStyle w:val="TableText"/>
              <w:rPr>
                <w:b/>
              </w:rPr>
            </w:pPr>
          </w:p>
        </w:tc>
        <w:tc>
          <w:tcPr>
            <w:tcW w:w="912" w:type="pct"/>
            <w:tcBorders>
              <w:top w:val="nil"/>
              <w:left w:val="nil"/>
              <w:right w:val="nil"/>
            </w:tcBorders>
            <w:shd w:val="clear" w:color="auto" w:fill="D9D9D9"/>
          </w:tcPr>
          <w:p w14:paraId="30899FF3" w14:textId="77777777" w:rsidR="001236DF" w:rsidRPr="0048119A" w:rsidRDefault="001236DF" w:rsidP="001236DF">
            <w:pPr>
              <w:pStyle w:val="TableText"/>
              <w:spacing w:before="0"/>
              <w:jc w:val="center"/>
              <w:rPr>
                <w:b/>
              </w:rPr>
            </w:pPr>
            <w:r w:rsidRPr="0048119A">
              <w:rPr>
                <w:b/>
              </w:rPr>
              <w:t>Number of people given ECT</w:t>
            </w:r>
          </w:p>
        </w:tc>
        <w:tc>
          <w:tcPr>
            <w:tcW w:w="912" w:type="pct"/>
            <w:tcBorders>
              <w:top w:val="nil"/>
              <w:left w:val="nil"/>
              <w:right w:val="nil"/>
            </w:tcBorders>
            <w:shd w:val="clear" w:color="auto" w:fill="D9D9D9"/>
          </w:tcPr>
          <w:p w14:paraId="2AC9FC8E" w14:textId="77777777" w:rsidR="001236DF" w:rsidRPr="0048119A" w:rsidRDefault="001236DF" w:rsidP="001236DF">
            <w:pPr>
              <w:pStyle w:val="TableText"/>
              <w:spacing w:before="0"/>
              <w:jc w:val="center"/>
              <w:rPr>
                <w:b/>
              </w:rPr>
            </w:pPr>
            <w:r w:rsidRPr="0048119A">
              <w:rPr>
                <w:b/>
              </w:rPr>
              <w:t>Number of treatments administered</w:t>
            </w:r>
          </w:p>
        </w:tc>
        <w:tc>
          <w:tcPr>
            <w:tcW w:w="912" w:type="pct"/>
            <w:tcBorders>
              <w:top w:val="nil"/>
              <w:left w:val="nil"/>
              <w:right w:val="nil"/>
            </w:tcBorders>
            <w:shd w:val="clear" w:color="auto" w:fill="D9D9D9"/>
          </w:tcPr>
          <w:p w14:paraId="21EA8DCF" w14:textId="77777777" w:rsidR="001236DF" w:rsidRPr="0048119A" w:rsidRDefault="001236DF" w:rsidP="001236DF">
            <w:pPr>
              <w:pStyle w:val="TableText"/>
              <w:spacing w:before="0"/>
              <w:jc w:val="center"/>
              <w:rPr>
                <w:b/>
              </w:rPr>
            </w:pPr>
            <w:r w:rsidRPr="0048119A">
              <w:rPr>
                <w:b/>
              </w:rPr>
              <w:t>Number of people given ECT</w:t>
            </w:r>
          </w:p>
        </w:tc>
        <w:tc>
          <w:tcPr>
            <w:tcW w:w="912" w:type="pct"/>
            <w:tcBorders>
              <w:top w:val="nil"/>
              <w:left w:val="nil"/>
            </w:tcBorders>
            <w:shd w:val="clear" w:color="auto" w:fill="D9D9D9"/>
          </w:tcPr>
          <w:p w14:paraId="3E4EF6D8" w14:textId="77777777" w:rsidR="001236DF" w:rsidRPr="0048119A" w:rsidRDefault="001236DF" w:rsidP="001236DF">
            <w:pPr>
              <w:pStyle w:val="TableText"/>
              <w:spacing w:before="0"/>
              <w:jc w:val="center"/>
              <w:rPr>
                <w:b/>
              </w:rPr>
            </w:pPr>
            <w:r w:rsidRPr="0048119A">
              <w:rPr>
                <w:b/>
              </w:rPr>
              <w:t>Number of treatments administered</w:t>
            </w:r>
          </w:p>
        </w:tc>
      </w:tr>
      <w:tr w:rsidR="001236DF" w:rsidRPr="00200234" w14:paraId="188C6820" w14:textId="77777777" w:rsidTr="00B86C90">
        <w:trPr>
          <w:cantSplit/>
        </w:trPr>
        <w:tc>
          <w:tcPr>
            <w:tcW w:w="1353" w:type="pct"/>
            <w:tcBorders>
              <w:top w:val="single" w:sz="6" w:space="0" w:color="A6A6A6"/>
              <w:bottom w:val="single" w:sz="6" w:space="0" w:color="A6A6A6"/>
              <w:right w:val="nil"/>
            </w:tcBorders>
            <w:shd w:val="clear" w:color="auto" w:fill="auto"/>
          </w:tcPr>
          <w:p w14:paraId="744A9129" w14:textId="77777777" w:rsidR="001236DF" w:rsidRPr="00200234" w:rsidRDefault="001236DF" w:rsidP="001236DF">
            <w:pPr>
              <w:pStyle w:val="TableText"/>
            </w:pPr>
            <w:r w:rsidRPr="00200234">
              <w:t>Auckland</w:t>
            </w:r>
          </w:p>
        </w:tc>
        <w:tc>
          <w:tcPr>
            <w:tcW w:w="912" w:type="pct"/>
            <w:tcBorders>
              <w:left w:val="nil"/>
              <w:right w:val="nil"/>
            </w:tcBorders>
            <w:shd w:val="clear" w:color="auto" w:fill="auto"/>
          </w:tcPr>
          <w:p w14:paraId="6BAFBA1E" w14:textId="77777777" w:rsidR="001236DF" w:rsidRPr="00CB4993" w:rsidRDefault="001236DF" w:rsidP="001236DF">
            <w:pPr>
              <w:pStyle w:val="TableText"/>
              <w:tabs>
                <w:tab w:val="decimal" w:pos="794"/>
              </w:tabs>
            </w:pPr>
            <w:r>
              <w:t>8</w:t>
            </w:r>
          </w:p>
        </w:tc>
        <w:tc>
          <w:tcPr>
            <w:tcW w:w="912" w:type="pct"/>
            <w:tcBorders>
              <w:left w:val="nil"/>
              <w:right w:val="nil"/>
            </w:tcBorders>
            <w:shd w:val="clear" w:color="auto" w:fill="auto"/>
          </w:tcPr>
          <w:p w14:paraId="4F840436" w14:textId="77777777" w:rsidR="001236DF" w:rsidRPr="00CB4993" w:rsidRDefault="001236DF" w:rsidP="001236DF">
            <w:pPr>
              <w:pStyle w:val="TableText"/>
              <w:tabs>
                <w:tab w:val="decimal" w:pos="794"/>
              </w:tabs>
            </w:pPr>
            <w:r>
              <w:t>117</w:t>
            </w:r>
          </w:p>
        </w:tc>
        <w:tc>
          <w:tcPr>
            <w:tcW w:w="912" w:type="pct"/>
            <w:tcBorders>
              <w:left w:val="nil"/>
              <w:right w:val="nil"/>
            </w:tcBorders>
            <w:shd w:val="clear" w:color="auto" w:fill="auto"/>
          </w:tcPr>
          <w:p w14:paraId="16A27A70" w14:textId="77777777" w:rsidR="001236DF" w:rsidRPr="00CB4993" w:rsidRDefault="001236DF" w:rsidP="001236DF">
            <w:pPr>
              <w:pStyle w:val="TableText"/>
              <w:jc w:val="center"/>
            </w:pPr>
            <w:r w:rsidRPr="00CB4993">
              <w:t>0</w:t>
            </w:r>
          </w:p>
        </w:tc>
        <w:tc>
          <w:tcPr>
            <w:tcW w:w="912" w:type="pct"/>
            <w:tcBorders>
              <w:left w:val="nil"/>
            </w:tcBorders>
            <w:shd w:val="clear" w:color="auto" w:fill="auto"/>
          </w:tcPr>
          <w:p w14:paraId="723FE6F6" w14:textId="77777777" w:rsidR="001236DF" w:rsidRPr="00CB4993" w:rsidRDefault="001236DF" w:rsidP="001236DF">
            <w:pPr>
              <w:pStyle w:val="TableText"/>
              <w:tabs>
                <w:tab w:val="decimal" w:pos="794"/>
              </w:tabs>
            </w:pPr>
            <w:r w:rsidRPr="00CB4993">
              <w:t>0</w:t>
            </w:r>
          </w:p>
        </w:tc>
      </w:tr>
      <w:tr w:rsidR="001236DF" w:rsidRPr="00200234" w14:paraId="0E75E54F" w14:textId="77777777" w:rsidTr="00B86C90">
        <w:trPr>
          <w:cantSplit/>
        </w:trPr>
        <w:tc>
          <w:tcPr>
            <w:tcW w:w="1353" w:type="pct"/>
            <w:tcBorders>
              <w:top w:val="single" w:sz="6" w:space="0" w:color="A6A6A6"/>
              <w:bottom w:val="single" w:sz="6" w:space="0" w:color="A6A6A6"/>
              <w:right w:val="nil"/>
            </w:tcBorders>
            <w:shd w:val="clear" w:color="auto" w:fill="auto"/>
          </w:tcPr>
          <w:p w14:paraId="5D8357BC" w14:textId="77777777" w:rsidR="001236DF" w:rsidRPr="00200234" w:rsidRDefault="001236DF" w:rsidP="001236DF">
            <w:pPr>
              <w:pStyle w:val="TableText"/>
            </w:pPr>
            <w:r w:rsidRPr="00200234">
              <w:t>Bay of Plenty</w:t>
            </w:r>
          </w:p>
        </w:tc>
        <w:tc>
          <w:tcPr>
            <w:tcW w:w="912" w:type="pct"/>
            <w:tcBorders>
              <w:left w:val="nil"/>
              <w:right w:val="nil"/>
            </w:tcBorders>
            <w:shd w:val="clear" w:color="auto" w:fill="auto"/>
          </w:tcPr>
          <w:p w14:paraId="12C9A569" w14:textId="77777777" w:rsidR="001236DF" w:rsidRPr="00CB4993" w:rsidRDefault="001236DF" w:rsidP="001236DF">
            <w:pPr>
              <w:pStyle w:val="TableText"/>
              <w:tabs>
                <w:tab w:val="decimal" w:pos="794"/>
              </w:tabs>
            </w:pPr>
            <w:r>
              <w:t>3</w:t>
            </w:r>
          </w:p>
        </w:tc>
        <w:tc>
          <w:tcPr>
            <w:tcW w:w="912" w:type="pct"/>
            <w:tcBorders>
              <w:left w:val="nil"/>
              <w:right w:val="nil"/>
            </w:tcBorders>
            <w:shd w:val="clear" w:color="auto" w:fill="auto"/>
          </w:tcPr>
          <w:p w14:paraId="5CDB6604" w14:textId="77777777" w:rsidR="001236DF" w:rsidRPr="00CB4993" w:rsidRDefault="001236DF" w:rsidP="001236DF">
            <w:pPr>
              <w:pStyle w:val="TableText"/>
              <w:tabs>
                <w:tab w:val="decimal" w:pos="794"/>
              </w:tabs>
            </w:pPr>
            <w:r>
              <w:t>8</w:t>
            </w:r>
          </w:p>
        </w:tc>
        <w:tc>
          <w:tcPr>
            <w:tcW w:w="912" w:type="pct"/>
            <w:tcBorders>
              <w:left w:val="nil"/>
              <w:right w:val="nil"/>
            </w:tcBorders>
            <w:shd w:val="clear" w:color="auto" w:fill="auto"/>
          </w:tcPr>
          <w:p w14:paraId="67E57C1F" w14:textId="77777777" w:rsidR="001236DF" w:rsidRPr="00CB4993" w:rsidRDefault="001236DF" w:rsidP="001236DF">
            <w:pPr>
              <w:pStyle w:val="TableText"/>
              <w:jc w:val="center"/>
            </w:pPr>
            <w:r>
              <w:t>0</w:t>
            </w:r>
          </w:p>
        </w:tc>
        <w:tc>
          <w:tcPr>
            <w:tcW w:w="912" w:type="pct"/>
            <w:tcBorders>
              <w:left w:val="nil"/>
            </w:tcBorders>
            <w:shd w:val="clear" w:color="auto" w:fill="auto"/>
          </w:tcPr>
          <w:p w14:paraId="69D794D7" w14:textId="77777777" w:rsidR="001236DF" w:rsidRPr="00CB4993" w:rsidRDefault="001236DF" w:rsidP="001236DF">
            <w:pPr>
              <w:pStyle w:val="TableText"/>
              <w:tabs>
                <w:tab w:val="decimal" w:pos="794"/>
              </w:tabs>
            </w:pPr>
            <w:r>
              <w:t>0</w:t>
            </w:r>
          </w:p>
        </w:tc>
      </w:tr>
      <w:tr w:rsidR="001236DF" w:rsidRPr="00200234" w14:paraId="61817AE8" w14:textId="77777777" w:rsidTr="00B86C90">
        <w:trPr>
          <w:cantSplit/>
        </w:trPr>
        <w:tc>
          <w:tcPr>
            <w:tcW w:w="1353" w:type="pct"/>
            <w:tcBorders>
              <w:top w:val="single" w:sz="6" w:space="0" w:color="A6A6A6"/>
              <w:bottom w:val="single" w:sz="6" w:space="0" w:color="A6A6A6"/>
              <w:right w:val="nil"/>
            </w:tcBorders>
            <w:shd w:val="clear" w:color="auto" w:fill="auto"/>
          </w:tcPr>
          <w:p w14:paraId="5BEABC13" w14:textId="77777777" w:rsidR="001236DF" w:rsidRPr="00200234" w:rsidRDefault="001236DF" w:rsidP="001236DF">
            <w:pPr>
              <w:pStyle w:val="TableText"/>
            </w:pPr>
            <w:r w:rsidRPr="00200234">
              <w:t>Canterbury</w:t>
            </w:r>
          </w:p>
        </w:tc>
        <w:tc>
          <w:tcPr>
            <w:tcW w:w="912" w:type="pct"/>
            <w:tcBorders>
              <w:left w:val="nil"/>
              <w:right w:val="nil"/>
            </w:tcBorders>
            <w:shd w:val="clear" w:color="auto" w:fill="auto"/>
          </w:tcPr>
          <w:p w14:paraId="573DFD77" w14:textId="77777777" w:rsidR="001236DF" w:rsidRPr="00CB4993" w:rsidRDefault="001236DF" w:rsidP="001236DF">
            <w:pPr>
              <w:pStyle w:val="TableText"/>
              <w:tabs>
                <w:tab w:val="decimal" w:pos="794"/>
              </w:tabs>
            </w:pPr>
            <w:r>
              <w:t>6</w:t>
            </w:r>
          </w:p>
        </w:tc>
        <w:tc>
          <w:tcPr>
            <w:tcW w:w="912" w:type="pct"/>
            <w:tcBorders>
              <w:left w:val="nil"/>
              <w:right w:val="nil"/>
            </w:tcBorders>
            <w:shd w:val="clear" w:color="auto" w:fill="auto"/>
          </w:tcPr>
          <w:p w14:paraId="0031B2E6" w14:textId="77777777" w:rsidR="001236DF" w:rsidRPr="00CB4993" w:rsidRDefault="001236DF" w:rsidP="001236DF">
            <w:pPr>
              <w:pStyle w:val="TableText"/>
              <w:tabs>
                <w:tab w:val="decimal" w:pos="794"/>
              </w:tabs>
            </w:pPr>
            <w:r>
              <w:t>86</w:t>
            </w:r>
          </w:p>
        </w:tc>
        <w:tc>
          <w:tcPr>
            <w:tcW w:w="912" w:type="pct"/>
            <w:tcBorders>
              <w:left w:val="nil"/>
              <w:right w:val="nil"/>
            </w:tcBorders>
            <w:shd w:val="clear" w:color="auto" w:fill="auto"/>
          </w:tcPr>
          <w:p w14:paraId="0DA8CDEA" w14:textId="77777777" w:rsidR="001236DF" w:rsidRPr="00CB4993" w:rsidRDefault="001236DF" w:rsidP="001236DF">
            <w:pPr>
              <w:pStyle w:val="TableText"/>
              <w:jc w:val="center"/>
            </w:pPr>
            <w:r>
              <w:t>0</w:t>
            </w:r>
          </w:p>
        </w:tc>
        <w:tc>
          <w:tcPr>
            <w:tcW w:w="912" w:type="pct"/>
            <w:tcBorders>
              <w:left w:val="nil"/>
            </w:tcBorders>
            <w:shd w:val="clear" w:color="auto" w:fill="auto"/>
          </w:tcPr>
          <w:p w14:paraId="1FF051DE" w14:textId="77777777" w:rsidR="001236DF" w:rsidRPr="00CB4993" w:rsidRDefault="001236DF" w:rsidP="001236DF">
            <w:pPr>
              <w:pStyle w:val="TableText"/>
              <w:tabs>
                <w:tab w:val="decimal" w:pos="794"/>
              </w:tabs>
            </w:pPr>
            <w:r>
              <w:t>0</w:t>
            </w:r>
          </w:p>
        </w:tc>
      </w:tr>
      <w:tr w:rsidR="001236DF" w:rsidRPr="00200234" w14:paraId="792AB601" w14:textId="77777777" w:rsidTr="00B86C90">
        <w:trPr>
          <w:cantSplit/>
        </w:trPr>
        <w:tc>
          <w:tcPr>
            <w:tcW w:w="1353" w:type="pct"/>
            <w:tcBorders>
              <w:top w:val="single" w:sz="6" w:space="0" w:color="A6A6A6"/>
              <w:bottom w:val="single" w:sz="6" w:space="0" w:color="A6A6A6"/>
              <w:right w:val="nil"/>
            </w:tcBorders>
            <w:shd w:val="clear" w:color="auto" w:fill="auto"/>
          </w:tcPr>
          <w:p w14:paraId="3F5510B7" w14:textId="77777777" w:rsidR="001236DF" w:rsidRPr="00200234" w:rsidRDefault="001236DF" w:rsidP="001236DF">
            <w:pPr>
              <w:pStyle w:val="TableText"/>
            </w:pPr>
            <w:r w:rsidRPr="00200234">
              <w:t>Capital &amp; Coast</w:t>
            </w:r>
          </w:p>
        </w:tc>
        <w:tc>
          <w:tcPr>
            <w:tcW w:w="912" w:type="pct"/>
            <w:tcBorders>
              <w:left w:val="nil"/>
              <w:right w:val="nil"/>
            </w:tcBorders>
            <w:shd w:val="clear" w:color="auto" w:fill="auto"/>
          </w:tcPr>
          <w:p w14:paraId="3D6F0EAD" w14:textId="77777777" w:rsidR="001236DF" w:rsidRPr="00CB4993" w:rsidRDefault="001236DF" w:rsidP="001236DF">
            <w:pPr>
              <w:pStyle w:val="TableText"/>
              <w:tabs>
                <w:tab w:val="decimal" w:pos="794"/>
              </w:tabs>
            </w:pPr>
            <w:r>
              <w:t>5</w:t>
            </w:r>
          </w:p>
        </w:tc>
        <w:tc>
          <w:tcPr>
            <w:tcW w:w="912" w:type="pct"/>
            <w:tcBorders>
              <w:left w:val="nil"/>
              <w:right w:val="nil"/>
            </w:tcBorders>
            <w:shd w:val="clear" w:color="auto" w:fill="auto"/>
          </w:tcPr>
          <w:p w14:paraId="6892E6A6" w14:textId="77777777" w:rsidR="001236DF" w:rsidRPr="00CB4993" w:rsidRDefault="001236DF" w:rsidP="001236DF">
            <w:pPr>
              <w:pStyle w:val="TableText"/>
              <w:tabs>
                <w:tab w:val="decimal" w:pos="794"/>
              </w:tabs>
            </w:pPr>
            <w:r>
              <w:t>58</w:t>
            </w:r>
          </w:p>
        </w:tc>
        <w:tc>
          <w:tcPr>
            <w:tcW w:w="912" w:type="pct"/>
            <w:tcBorders>
              <w:left w:val="nil"/>
              <w:right w:val="nil"/>
            </w:tcBorders>
            <w:shd w:val="clear" w:color="auto" w:fill="auto"/>
          </w:tcPr>
          <w:p w14:paraId="66A76C68" w14:textId="77777777" w:rsidR="001236DF" w:rsidRPr="00CB4993" w:rsidRDefault="001236DF" w:rsidP="001236DF">
            <w:pPr>
              <w:pStyle w:val="TableText"/>
              <w:jc w:val="center"/>
            </w:pPr>
            <w:r>
              <w:t>0</w:t>
            </w:r>
          </w:p>
        </w:tc>
        <w:tc>
          <w:tcPr>
            <w:tcW w:w="912" w:type="pct"/>
            <w:tcBorders>
              <w:left w:val="nil"/>
            </w:tcBorders>
            <w:shd w:val="clear" w:color="auto" w:fill="auto"/>
          </w:tcPr>
          <w:p w14:paraId="3FF6C685" w14:textId="77777777" w:rsidR="001236DF" w:rsidRPr="00CB4993" w:rsidRDefault="001236DF" w:rsidP="001236DF">
            <w:pPr>
              <w:pStyle w:val="TableText"/>
              <w:tabs>
                <w:tab w:val="decimal" w:pos="794"/>
              </w:tabs>
            </w:pPr>
            <w:r>
              <w:t>0</w:t>
            </w:r>
          </w:p>
        </w:tc>
      </w:tr>
      <w:tr w:rsidR="001236DF" w:rsidRPr="00200234" w14:paraId="44EA220C" w14:textId="77777777" w:rsidTr="00B86C90">
        <w:trPr>
          <w:cantSplit/>
        </w:trPr>
        <w:tc>
          <w:tcPr>
            <w:tcW w:w="1353" w:type="pct"/>
            <w:tcBorders>
              <w:top w:val="single" w:sz="6" w:space="0" w:color="A6A6A6"/>
              <w:bottom w:val="single" w:sz="6" w:space="0" w:color="A6A6A6"/>
              <w:right w:val="nil"/>
            </w:tcBorders>
            <w:shd w:val="clear" w:color="auto" w:fill="auto"/>
          </w:tcPr>
          <w:p w14:paraId="76952E75" w14:textId="77777777" w:rsidR="001236DF" w:rsidRPr="00200234" w:rsidRDefault="001236DF" w:rsidP="001236DF">
            <w:pPr>
              <w:pStyle w:val="TableText"/>
            </w:pPr>
            <w:r w:rsidRPr="00200234">
              <w:t>Counties Manukau</w:t>
            </w:r>
          </w:p>
        </w:tc>
        <w:tc>
          <w:tcPr>
            <w:tcW w:w="912" w:type="pct"/>
            <w:tcBorders>
              <w:left w:val="nil"/>
              <w:right w:val="nil"/>
            </w:tcBorders>
            <w:shd w:val="clear" w:color="auto" w:fill="auto"/>
          </w:tcPr>
          <w:p w14:paraId="5424467F" w14:textId="77777777" w:rsidR="001236DF" w:rsidRPr="00CB4993" w:rsidRDefault="001236DF" w:rsidP="001236DF">
            <w:pPr>
              <w:pStyle w:val="TableText"/>
              <w:tabs>
                <w:tab w:val="decimal" w:pos="794"/>
              </w:tabs>
            </w:pPr>
            <w:r>
              <w:t>13</w:t>
            </w:r>
          </w:p>
        </w:tc>
        <w:tc>
          <w:tcPr>
            <w:tcW w:w="912" w:type="pct"/>
            <w:tcBorders>
              <w:left w:val="nil"/>
              <w:right w:val="nil"/>
            </w:tcBorders>
            <w:shd w:val="clear" w:color="auto" w:fill="auto"/>
          </w:tcPr>
          <w:p w14:paraId="0EB16A0E" w14:textId="77777777" w:rsidR="001236DF" w:rsidRPr="00CB4993" w:rsidRDefault="001236DF" w:rsidP="001236DF">
            <w:pPr>
              <w:pStyle w:val="TableText"/>
              <w:tabs>
                <w:tab w:val="decimal" w:pos="794"/>
              </w:tabs>
            </w:pPr>
            <w:r>
              <w:t>95</w:t>
            </w:r>
          </w:p>
        </w:tc>
        <w:tc>
          <w:tcPr>
            <w:tcW w:w="912" w:type="pct"/>
            <w:tcBorders>
              <w:left w:val="nil"/>
              <w:right w:val="nil"/>
            </w:tcBorders>
            <w:shd w:val="clear" w:color="auto" w:fill="auto"/>
          </w:tcPr>
          <w:p w14:paraId="473E4E7D" w14:textId="77777777" w:rsidR="001236DF" w:rsidRPr="00CB4993" w:rsidRDefault="001236DF" w:rsidP="001236DF">
            <w:pPr>
              <w:pStyle w:val="TableText"/>
              <w:jc w:val="center"/>
            </w:pPr>
            <w:r>
              <w:t>0</w:t>
            </w:r>
          </w:p>
        </w:tc>
        <w:tc>
          <w:tcPr>
            <w:tcW w:w="912" w:type="pct"/>
            <w:tcBorders>
              <w:left w:val="nil"/>
            </w:tcBorders>
            <w:shd w:val="clear" w:color="auto" w:fill="auto"/>
          </w:tcPr>
          <w:p w14:paraId="3C55DC1D" w14:textId="77777777" w:rsidR="001236DF" w:rsidRPr="00CB4993" w:rsidRDefault="001236DF" w:rsidP="001236DF">
            <w:pPr>
              <w:pStyle w:val="TableText"/>
              <w:tabs>
                <w:tab w:val="decimal" w:pos="794"/>
              </w:tabs>
            </w:pPr>
            <w:r>
              <w:t>0</w:t>
            </w:r>
          </w:p>
        </w:tc>
      </w:tr>
      <w:tr w:rsidR="001236DF" w:rsidRPr="00200234" w14:paraId="647D3114" w14:textId="77777777" w:rsidTr="00B86C90">
        <w:trPr>
          <w:cantSplit/>
        </w:trPr>
        <w:tc>
          <w:tcPr>
            <w:tcW w:w="1353" w:type="pct"/>
            <w:tcBorders>
              <w:top w:val="single" w:sz="6" w:space="0" w:color="A6A6A6"/>
              <w:bottom w:val="single" w:sz="6" w:space="0" w:color="A6A6A6"/>
              <w:right w:val="nil"/>
            </w:tcBorders>
            <w:shd w:val="clear" w:color="auto" w:fill="auto"/>
          </w:tcPr>
          <w:p w14:paraId="6528F435" w14:textId="77777777" w:rsidR="001236DF" w:rsidRPr="00200234" w:rsidRDefault="001236DF" w:rsidP="001236DF">
            <w:pPr>
              <w:pStyle w:val="TableText"/>
            </w:pPr>
            <w:r w:rsidRPr="00200234">
              <w:t>Hawke</w:t>
            </w:r>
            <w:r>
              <w:t>’</w:t>
            </w:r>
            <w:r w:rsidRPr="00200234">
              <w:t>s Bay</w:t>
            </w:r>
          </w:p>
        </w:tc>
        <w:tc>
          <w:tcPr>
            <w:tcW w:w="912" w:type="pct"/>
            <w:tcBorders>
              <w:left w:val="nil"/>
              <w:bottom w:val="single" w:sz="6" w:space="0" w:color="A6A6A6"/>
              <w:right w:val="nil"/>
            </w:tcBorders>
            <w:shd w:val="clear" w:color="auto" w:fill="auto"/>
          </w:tcPr>
          <w:p w14:paraId="6F2D8AE4" w14:textId="77777777" w:rsidR="001236DF" w:rsidRPr="00CB4993" w:rsidRDefault="001236DF" w:rsidP="001236DF">
            <w:pPr>
              <w:pStyle w:val="TableText"/>
              <w:tabs>
                <w:tab w:val="decimal" w:pos="794"/>
              </w:tabs>
            </w:pPr>
            <w:r>
              <w:t>2</w:t>
            </w:r>
          </w:p>
        </w:tc>
        <w:tc>
          <w:tcPr>
            <w:tcW w:w="912" w:type="pct"/>
            <w:tcBorders>
              <w:left w:val="nil"/>
              <w:bottom w:val="single" w:sz="6" w:space="0" w:color="A6A6A6"/>
              <w:right w:val="nil"/>
            </w:tcBorders>
            <w:shd w:val="clear" w:color="auto" w:fill="auto"/>
          </w:tcPr>
          <w:p w14:paraId="41362D69" w14:textId="77777777" w:rsidR="001236DF" w:rsidRPr="00CB4993" w:rsidRDefault="001236DF" w:rsidP="001236DF">
            <w:pPr>
              <w:pStyle w:val="TableText"/>
              <w:tabs>
                <w:tab w:val="decimal" w:pos="794"/>
              </w:tabs>
            </w:pPr>
            <w:r>
              <w:t>42</w:t>
            </w:r>
          </w:p>
        </w:tc>
        <w:tc>
          <w:tcPr>
            <w:tcW w:w="912" w:type="pct"/>
            <w:tcBorders>
              <w:left w:val="nil"/>
              <w:bottom w:val="single" w:sz="6" w:space="0" w:color="A6A6A6"/>
              <w:right w:val="nil"/>
            </w:tcBorders>
            <w:shd w:val="clear" w:color="auto" w:fill="auto"/>
          </w:tcPr>
          <w:p w14:paraId="5678F43A" w14:textId="77777777" w:rsidR="001236DF" w:rsidRPr="00CB4993" w:rsidRDefault="001236DF" w:rsidP="001236DF">
            <w:pPr>
              <w:pStyle w:val="TableText"/>
              <w:jc w:val="center"/>
            </w:pPr>
            <w:r w:rsidRPr="00CB4993">
              <w:t>0</w:t>
            </w:r>
          </w:p>
        </w:tc>
        <w:tc>
          <w:tcPr>
            <w:tcW w:w="912" w:type="pct"/>
            <w:tcBorders>
              <w:left w:val="nil"/>
              <w:bottom w:val="single" w:sz="6" w:space="0" w:color="A6A6A6"/>
            </w:tcBorders>
            <w:shd w:val="clear" w:color="auto" w:fill="auto"/>
          </w:tcPr>
          <w:p w14:paraId="793E422A" w14:textId="77777777" w:rsidR="001236DF" w:rsidRPr="00CB4993" w:rsidRDefault="001236DF" w:rsidP="001236DF">
            <w:pPr>
              <w:pStyle w:val="TableText"/>
              <w:tabs>
                <w:tab w:val="decimal" w:pos="794"/>
              </w:tabs>
            </w:pPr>
            <w:r w:rsidRPr="00CB4993">
              <w:t>0</w:t>
            </w:r>
          </w:p>
        </w:tc>
      </w:tr>
      <w:tr w:rsidR="001236DF" w:rsidRPr="00200234" w14:paraId="6526C9A9" w14:textId="77777777" w:rsidTr="00B86C90">
        <w:trPr>
          <w:cantSplit/>
        </w:trPr>
        <w:tc>
          <w:tcPr>
            <w:tcW w:w="1353" w:type="pct"/>
            <w:tcBorders>
              <w:top w:val="single" w:sz="6" w:space="0" w:color="A6A6A6"/>
              <w:right w:val="nil"/>
            </w:tcBorders>
            <w:shd w:val="clear" w:color="auto" w:fill="auto"/>
          </w:tcPr>
          <w:p w14:paraId="31D0B4CB" w14:textId="77777777" w:rsidR="001236DF" w:rsidRPr="00200234" w:rsidRDefault="001236DF" w:rsidP="001236DF">
            <w:pPr>
              <w:pStyle w:val="TableText"/>
            </w:pPr>
            <w:r w:rsidRPr="00200234">
              <w:t>Hutt Valley</w:t>
            </w:r>
          </w:p>
        </w:tc>
        <w:tc>
          <w:tcPr>
            <w:tcW w:w="912" w:type="pct"/>
            <w:tcBorders>
              <w:top w:val="single" w:sz="6" w:space="0" w:color="A6A6A6"/>
              <w:left w:val="nil"/>
              <w:bottom w:val="single" w:sz="6" w:space="0" w:color="A6A6A6"/>
            </w:tcBorders>
            <w:shd w:val="clear" w:color="auto" w:fill="auto"/>
          </w:tcPr>
          <w:p w14:paraId="2EB49222" w14:textId="77777777" w:rsidR="001236DF" w:rsidRPr="00CB4993" w:rsidRDefault="001236DF" w:rsidP="001236DF">
            <w:pPr>
              <w:pStyle w:val="TableText"/>
              <w:tabs>
                <w:tab w:val="decimal" w:pos="794"/>
              </w:tabs>
            </w:pPr>
            <w:r>
              <w:t>5</w:t>
            </w:r>
          </w:p>
        </w:tc>
        <w:tc>
          <w:tcPr>
            <w:tcW w:w="912" w:type="pct"/>
            <w:tcBorders>
              <w:top w:val="single" w:sz="6" w:space="0" w:color="A6A6A6"/>
              <w:bottom w:val="single" w:sz="6" w:space="0" w:color="A6A6A6"/>
              <w:right w:val="nil"/>
            </w:tcBorders>
            <w:shd w:val="clear" w:color="auto" w:fill="auto"/>
          </w:tcPr>
          <w:p w14:paraId="6056F9A4" w14:textId="77777777" w:rsidR="001236DF" w:rsidRPr="00CB4993" w:rsidRDefault="001236DF" w:rsidP="001236DF">
            <w:pPr>
              <w:pStyle w:val="TableText"/>
              <w:tabs>
                <w:tab w:val="decimal" w:pos="794"/>
              </w:tabs>
            </w:pPr>
            <w:r>
              <w:t>27</w:t>
            </w:r>
          </w:p>
        </w:tc>
        <w:tc>
          <w:tcPr>
            <w:tcW w:w="912" w:type="pct"/>
            <w:tcBorders>
              <w:top w:val="single" w:sz="6" w:space="0" w:color="A6A6A6"/>
              <w:left w:val="nil"/>
            </w:tcBorders>
            <w:shd w:val="clear" w:color="auto" w:fill="auto"/>
          </w:tcPr>
          <w:p w14:paraId="03B3F9E0" w14:textId="77777777" w:rsidR="001236DF" w:rsidRPr="00CB4993" w:rsidRDefault="001236DF" w:rsidP="001236DF">
            <w:pPr>
              <w:pStyle w:val="TableText"/>
              <w:jc w:val="center"/>
            </w:pPr>
            <w:r>
              <w:t>2</w:t>
            </w:r>
          </w:p>
        </w:tc>
        <w:tc>
          <w:tcPr>
            <w:tcW w:w="912" w:type="pct"/>
            <w:tcBorders>
              <w:top w:val="single" w:sz="6" w:space="0" w:color="A6A6A6"/>
            </w:tcBorders>
            <w:shd w:val="clear" w:color="auto" w:fill="auto"/>
          </w:tcPr>
          <w:p w14:paraId="2A85AC11" w14:textId="77777777" w:rsidR="001236DF" w:rsidRPr="00CB4993" w:rsidRDefault="001236DF" w:rsidP="001236DF">
            <w:pPr>
              <w:pStyle w:val="TableText"/>
              <w:tabs>
                <w:tab w:val="decimal" w:pos="794"/>
              </w:tabs>
            </w:pPr>
            <w:r>
              <w:t>14</w:t>
            </w:r>
          </w:p>
        </w:tc>
      </w:tr>
      <w:tr w:rsidR="001236DF" w:rsidRPr="00200234" w14:paraId="7F04282D" w14:textId="77777777" w:rsidTr="00B86C90">
        <w:trPr>
          <w:cantSplit/>
        </w:trPr>
        <w:tc>
          <w:tcPr>
            <w:tcW w:w="1353" w:type="pct"/>
            <w:tcBorders>
              <w:right w:val="nil"/>
            </w:tcBorders>
            <w:shd w:val="clear" w:color="auto" w:fill="auto"/>
          </w:tcPr>
          <w:p w14:paraId="1C134F29" w14:textId="77777777" w:rsidR="001236DF" w:rsidRPr="00200234" w:rsidRDefault="001236DF" w:rsidP="001236DF">
            <w:pPr>
              <w:pStyle w:val="TableText"/>
            </w:pPr>
            <w:r w:rsidRPr="00200234">
              <w:t>Lakes</w:t>
            </w:r>
          </w:p>
        </w:tc>
        <w:tc>
          <w:tcPr>
            <w:tcW w:w="912" w:type="pct"/>
            <w:tcBorders>
              <w:top w:val="single" w:sz="6" w:space="0" w:color="A6A6A6"/>
              <w:left w:val="nil"/>
              <w:bottom w:val="single" w:sz="6" w:space="0" w:color="A6A6A6"/>
            </w:tcBorders>
            <w:shd w:val="clear" w:color="auto" w:fill="auto"/>
          </w:tcPr>
          <w:p w14:paraId="2BD0878D" w14:textId="77777777" w:rsidR="001236DF" w:rsidRPr="00CB4993" w:rsidRDefault="001236DF" w:rsidP="001236DF">
            <w:pPr>
              <w:pStyle w:val="TableText"/>
              <w:tabs>
                <w:tab w:val="decimal" w:pos="794"/>
              </w:tabs>
            </w:pPr>
            <w:r>
              <w:t>5</w:t>
            </w:r>
          </w:p>
        </w:tc>
        <w:tc>
          <w:tcPr>
            <w:tcW w:w="912" w:type="pct"/>
            <w:tcBorders>
              <w:top w:val="single" w:sz="6" w:space="0" w:color="A6A6A6"/>
              <w:bottom w:val="single" w:sz="6" w:space="0" w:color="A6A6A6"/>
              <w:right w:val="nil"/>
            </w:tcBorders>
            <w:shd w:val="clear" w:color="auto" w:fill="auto"/>
          </w:tcPr>
          <w:p w14:paraId="79ECF3C7" w14:textId="77777777" w:rsidR="001236DF" w:rsidRPr="00CB4993" w:rsidRDefault="001236DF" w:rsidP="001236DF">
            <w:pPr>
              <w:pStyle w:val="TableText"/>
              <w:tabs>
                <w:tab w:val="decimal" w:pos="794"/>
              </w:tabs>
            </w:pPr>
            <w:r>
              <w:t>39</w:t>
            </w:r>
          </w:p>
        </w:tc>
        <w:tc>
          <w:tcPr>
            <w:tcW w:w="912" w:type="pct"/>
            <w:tcBorders>
              <w:left w:val="nil"/>
            </w:tcBorders>
            <w:shd w:val="clear" w:color="auto" w:fill="auto"/>
          </w:tcPr>
          <w:p w14:paraId="1251050B" w14:textId="77777777" w:rsidR="001236DF" w:rsidRPr="00CB4993" w:rsidRDefault="001236DF" w:rsidP="001236DF">
            <w:pPr>
              <w:pStyle w:val="TableText"/>
              <w:jc w:val="center"/>
            </w:pPr>
            <w:r>
              <w:t>0</w:t>
            </w:r>
          </w:p>
        </w:tc>
        <w:tc>
          <w:tcPr>
            <w:tcW w:w="912" w:type="pct"/>
            <w:shd w:val="clear" w:color="auto" w:fill="auto"/>
          </w:tcPr>
          <w:p w14:paraId="493B3244" w14:textId="77777777" w:rsidR="001236DF" w:rsidRPr="00CB4993" w:rsidRDefault="001236DF" w:rsidP="001236DF">
            <w:pPr>
              <w:pStyle w:val="TableText"/>
              <w:tabs>
                <w:tab w:val="decimal" w:pos="794"/>
              </w:tabs>
            </w:pPr>
            <w:r>
              <w:t>0</w:t>
            </w:r>
          </w:p>
        </w:tc>
      </w:tr>
      <w:tr w:rsidR="001236DF" w:rsidRPr="00200234" w14:paraId="43D79000" w14:textId="77777777" w:rsidTr="00B86C90">
        <w:trPr>
          <w:cantSplit/>
        </w:trPr>
        <w:tc>
          <w:tcPr>
            <w:tcW w:w="1353" w:type="pct"/>
            <w:tcBorders>
              <w:right w:val="nil"/>
            </w:tcBorders>
            <w:shd w:val="clear" w:color="auto" w:fill="auto"/>
          </w:tcPr>
          <w:p w14:paraId="5D863F81" w14:textId="77777777" w:rsidR="001236DF" w:rsidRPr="00200234" w:rsidRDefault="001236DF" w:rsidP="001236DF">
            <w:pPr>
              <w:pStyle w:val="TableText"/>
            </w:pPr>
            <w:r>
              <w:t>MidCentral</w:t>
            </w:r>
          </w:p>
        </w:tc>
        <w:tc>
          <w:tcPr>
            <w:tcW w:w="912" w:type="pct"/>
            <w:tcBorders>
              <w:top w:val="single" w:sz="6" w:space="0" w:color="A6A6A6"/>
              <w:left w:val="nil"/>
              <w:bottom w:val="single" w:sz="6" w:space="0" w:color="A6A6A6"/>
            </w:tcBorders>
            <w:shd w:val="clear" w:color="auto" w:fill="auto"/>
          </w:tcPr>
          <w:p w14:paraId="023F2D21" w14:textId="77777777" w:rsidR="001236DF" w:rsidRPr="00CB4993" w:rsidRDefault="001236DF" w:rsidP="001236DF">
            <w:pPr>
              <w:pStyle w:val="TableText"/>
              <w:tabs>
                <w:tab w:val="decimal" w:pos="794"/>
              </w:tabs>
            </w:pPr>
            <w:r>
              <w:t>3</w:t>
            </w:r>
          </w:p>
        </w:tc>
        <w:tc>
          <w:tcPr>
            <w:tcW w:w="912" w:type="pct"/>
            <w:tcBorders>
              <w:top w:val="single" w:sz="6" w:space="0" w:color="A6A6A6"/>
              <w:bottom w:val="single" w:sz="6" w:space="0" w:color="A6A6A6"/>
              <w:right w:val="nil"/>
            </w:tcBorders>
            <w:shd w:val="clear" w:color="auto" w:fill="auto"/>
          </w:tcPr>
          <w:p w14:paraId="4CB308BB" w14:textId="77777777" w:rsidR="001236DF" w:rsidRPr="00CB4993" w:rsidRDefault="001236DF" w:rsidP="001236DF">
            <w:pPr>
              <w:pStyle w:val="TableText"/>
              <w:tabs>
                <w:tab w:val="decimal" w:pos="794"/>
              </w:tabs>
            </w:pPr>
            <w:r>
              <w:t>20</w:t>
            </w:r>
          </w:p>
        </w:tc>
        <w:tc>
          <w:tcPr>
            <w:tcW w:w="912" w:type="pct"/>
            <w:tcBorders>
              <w:left w:val="nil"/>
            </w:tcBorders>
            <w:shd w:val="clear" w:color="auto" w:fill="auto"/>
          </w:tcPr>
          <w:p w14:paraId="0B62BB31" w14:textId="77777777" w:rsidR="001236DF" w:rsidRDefault="001236DF" w:rsidP="001236DF">
            <w:pPr>
              <w:pStyle w:val="TableText"/>
              <w:jc w:val="center"/>
            </w:pPr>
            <w:r>
              <w:t>0</w:t>
            </w:r>
          </w:p>
        </w:tc>
        <w:tc>
          <w:tcPr>
            <w:tcW w:w="912" w:type="pct"/>
            <w:shd w:val="clear" w:color="auto" w:fill="auto"/>
          </w:tcPr>
          <w:p w14:paraId="65B3F554" w14:textId="77777777" w:rsidR="001236DF" w:rsidRDefault="001236DF" w:rsidP="001236DF">
            <w:pPr>
              <w:pStyle w:val="TableText"/>
              <w:tabs>
                <w:tab w:val="decimal" w:pos="794"/>
              </w:tabs>
            </w:pPr>
            <w:r>
              <w:t>0</w:t>
            </w:r>
          </w:p>
        </w:tc>
      </w:tr>
      <w:tr w:rsidR="001236DF" w:rsidRPr="00200234" w14:paraId="6465094E" w14:textId="77777777" w:rsidTr="00B86C90">
        <w:trPr>
          <w:cantSplit/>
        </w:trPr>
        <w:tc>
          <w:tcPr>
            <w:tcW w:w="1353" w:type="pct"/>
            <w:tcBorders>
              <w:right w:val="nil"/>
            </w:tcBorders>
            <w:shd w:val="clear" w:color="auto" w:fill="auto"/>
          </w:tcPr>
          <w:p w14:paraId="3FBC2CD6" w14:textId="77777777" w:rsidR="001236DF" w:rsidRPr="00200234" w:rsidRDefault="001236DF" w:rsidP="001236DF">
            <w:pPr>
              <w:pStyle w:val="TableText"/>
            </w:pPr>
            <w:r w:rsidRPr="00200234">
              <w:t>Nelson Marlborough</w:t>
            </w:r>
          </w:p>
        </w:tc>
        <w:tc>
          <w:tcPr>
            <w:tcW w:w="912" w:type="pct"/>
            <w:tcBorders>
              <w:top w:val="single" w:sz="6" w:space="0" w:color="A6A6A6"/>
              <w:left w:val="nil"/>
              <w:bottom w:val="single" w:sz="6" w:space="0" w:color="A6A6A6"/>
            </w:tcBorders>
            <w:shd w:val="clear" w:color="auto" w:fill="auto"/>
          </w:tcPr>
          <w:p w14:paraId="3110E99B" w14:textId="77777777" w:rsidR="001236DF" w:rsidRPr="00CB4993" w:rsidRDefault="001236DF" w:rsidP="001236DF">
            <w:pPr>
              <w:pStyle w:val="TableText"/>
              <w:tabs>
                <w:tab w:val="decimal" w:pos="794"/>
              </w:tabs>
            </w:pPr>
            <w:r>
              <w:t>1</w:t>
            </w:r>
          </w:p>
        </w:tc>
        <w:tc>
          <w:tcPr>
            <w:tcW w:w="912" w:type="pct"/>
            <w:tcBorders>
              <w:top w:val="single" w:sz="6" w:space="0" w:color="A6A6A6"/>
              <w:bottom w:val="single" w:sz="6" w:space="0" w:color="A6A6A6"/>
              <w:right w:val="nil"/>
            </w:tcBorders>
            <w:shd w:val="clear" w:color="auto" w:fill="auto"/>
          </w:tcPr>
          <w:p w14:paraId="70DEAD4E" w14:textId="77777777" w:rsidR="001236DF" w:rsidRPr="00CB4993" w:rsidRDefault="001236DF" w:rsidP="001236DF">
            <w:pPr>
              <w:pStyle w:val="TableText"/>
              <w:tabs>
                <w:tab w:val="decimal" w:pos="794"/>
              </w:tabs>
            </w:pPr>
            <w:r>
              <w:t>1</w:t>
            </w:r>
          </w:p>
        </w:tc>
        <w:tc>
          <w:tcPr>
            <w:tcW w:w="912" w:type="pct"/>
            <w:tcBorders>
              <w:left w:val="nil"/>
            </w:tcBorders>
            <w:shd w:val="clear" w:color="auto" w:fill="auto"/>
          </w:tcPr>
          <w:p w14:paraId="29AB8CE9" w14:textId="77777777" w:rsidR="001236DF" w:rsidRPr="00CB4993" w:rsidRDefault="001236DF" w:rsidP="001236DF">
            <w:pPr>
              <w:pStyle w:val="TableText"/>
              <w:jc w:val="center"/>
            </w:pPr>
            <w:r>
              <w:t>0</w:t>
            </w:r>
          </w:p>
        </w:tc>
        <w:tc>
          <w:tcPr>
            <w:tcW w:w="912" w:type="pct"/>
            <w:shd w:val="clear" w:color="auto" w:fill="auto"/>
          </w:tcPr>
          <w:p w14:paraId="35499EFC" w14:textId="77777777" w:rsidR="001236DF" w:rsidRPr="00CB4993" w:rsidRDefault="001236DF" w:rsidP="001236DF">
            <w:pPr>
              <w:pStyle w:val="TableText"/>
              <w:tabs>
                <w:tab w:val="decimal" w:pos="794"/>
              </w:tabs>
            </w:pPr>
            <w:r>
              <w:t>0</w:t>
            </w:r>
          </w:p>
        </w:tc>
      </w:tr>
      <w:tr w:rsidR="001236DF" w:rsidRPr="00200234" w14:paraId="2E47191E" w14:textId="77777777" w:rsidTr="00B86C90">
        <w:trPr>
          <w:cantSplit/>
        </w:trPr>
        <w:tc>
          <w:tcPr>
            <w:tcW w:w="1353" w:type="pct"/>
            <w:tcBorders>
              <w:right w:val="nil"/>
            </w:tcBorders>
            <w:shd w:val="clear" w:color="auto" w:fill="auto"/>
          </w:tcPr>
          <w:p w14:paraId="1322D46C" w14:textId="77777777" w:rsidR="001236DF" w:rsidRPr="00200234" w:rsidRDefault="001236DF" w:rsidP="001236DF">
            <w:pPr>
              <w:pStyle w:val="TableText"/>
            </w:pPr>
            <w:r w:rsidRPr="00200234">
              <w:t>Northland</w:t>
            </w:r>
          </w:p>
        </w:tc>
        <w:tc>
          <w:tcPr>
            <w:tcW w:w="912" w:type="pct"/>
            <w:tcBorders>
              <w:top w:val="single" w:sz="6" w:space="0" w:color="A6A6A6"/>
              <w:left w:val="nil"/>
              <w:bottom w:val="single" w:sz="6" w:space="0" w:color="A6A6A6"/>
            </w:tcBorders>
            <w:shd w:val="clear" w:color="auto" w:fill="auto"/>
          </w:tcPr>
          <w:p w14:paraId="3A3BF9F8" w14:textId="77777777" w:rsidR="001236DF" w:rsidRPr="00CB4993" w:rsidRDefault="001236DF" w:rsidP="001236DF">
            <w:pPr>
              <w:pStyle w:val="TableText"/>
              <w:tabs>
                <w:tab w:val="decimal" w:pos="794"/>
              </w:tabs>
            </w:pPr>
            <w:r>
              <w:t>6</w:t>
            </w:r>
          </w:p>
        </w:tc>
        <w:tc>
          <w:tcPr>
            <w:tcW w:w="912" w:type="pct"/>
            <w:tcBorders>
              <w:top w:val="single" w:sz="6" w:space="0" w:color="A6A6A6"/>
              <w:bottom w:val="single" w:sz="6" w:space="0" w:color="A6A6A6"/>
              <w:right w:val="nil"/>
            </w:tcBorders>
            <w:shd w:val="clear" w:color="auto" w:fill="auto"/>
          </w:tcPr>
          <w:p w14:paraId="29F1648E" w14:textId="77777777" w:rsidR="001236DF" w:rsidRPr="00CB4993" w:rsidRDefault="001236DF" w:rsidP="001236DF">
            <w:pPr>
              <w:pStyle w:val="TableText"/>
              <w:tabs>
                <w:tab w:val="decimal" w:pos="794"/>
              </w:tabs>
            </w:pPr>
            <w:r>
              <w:t>85</w:t>
            </w:r>
          </w:p>
        </w:tc>
        <w:tc>
          <w:tcPr>
            <w:tcW w:w="912" w:type="pct"/>
            <w:tcBorders>
              <w:left w:val="nil"/>
            </w:tcBorders>
            <w:shd w:val="clear" w:color="auto" w:fill="auto"/>
          </w:tcPr>
          <w:p w14:paraId="2CAB5DAD" w14:textId="77777777" w:rsidR="001236DF" w:rsidRPr="00CB4993" w:rsidRDefault="001236DF" w:rsidP="001236DF">
            <w:pPr>
              <w:pStyle w:val="TableText"/>
              <w:jc w:val="center"/>
            </w:pPr>
            <w:r w:rsidRPr="00CB4993">
              <w:t>0</w:t>
            </w:r>
          </w:p>
        </w:tc>
        <w:tc>
          <w:tcPr>
            <w:tcW w:w="912" w:type="pct"/>
            <w:shd w:val="clear" w:color="auto" w:fill="auto"/>
          </w:tcPr>
          <w:p w14:paraId="45357144" w14:textId="77777777" w:rsidR="001236DF" w:rsidRPr="00CB4993" w:rsidRDefault="001236DF" w:rsidP="001236DF">
            <w:pPr>
              <w:pStyle w:val="TableText"/>
              <w:tabs>
                <w:tab w:val="decimal" w:pos="794"/>
              </w:tabs>
            </w:pPr>
            <w:r w:rsidRPr="00CB4993">
              <w:t>0</w:t>
            </w:r>
          </w:p>
        </w:tc>
      </w:tr>
      <w:tr w:rsidR="001236DF" w:rsidRPr="00200234" w14:paraId="00B1F23C" w14:textId="77777777" w:rsidTr="00B86C90">
        <w:trPr>
          <w:cantSplit/>
        </w:trPr>
        <w:tc>
          <w:tcPr>
            <w:tcW w:w="1353" w:type="pct"/>
            <w:tcBorders>
              <w:right w:val="nil"/>
            </w:tcBorders>
            <w:shd w:val="clear" w:color="auto" w:fill="auto"/>
          </w:tcPr>
          <w:p w14:paraId="789B5E73" w14:textId="77777777" w:rsidR="001236DF" w:rsidRPr="00200234" w:rsidRDefault="001236DF" w:rsidP="001236DF">
            <w:pPr>
              <w:pStyle w:val="TableText"/>
            </w:pPr>
            <w:r w:rsidRPr="00200234">
              <w:t>South Canterbury</w:t>
            </w:r>
          </w:p>
        </w:tc>
        <w:tc>
          <w:tcPr>
            <w:tcW w:w="912" w:type="pct"/>
            <w:tcBorders>
              <w:top w:val="single" w:sz="6" w:space="0" w:color="A6A6A6"/>
              <w:left w:val="nil"/>
              <w:bottom w:val="single" w:sz="6" w:space="0" w:color="A6A6A6"/>
            </w:tcBorders>
            <w:shd w:val="clear" w:color="auto" w:fill="auto"/>
          </w:tcPr>
          <w:p w14:paraId="7B8357B6" w14:textId="77777777" w:rsidR="001236DF" w:rsidRPr="00CB4993" w:rsidRDefault="001236DF" w:rsidP="001236DF">
            <w:pPr>
              <w:pStyle w:val="TableText"/>
              <w:tabs>
                <w:tab w:val="decimal" w:pos="794"/>
              </w:tabs>
            </w:pPr>
            <w:r>
              <w:t>0</w:t>
            </w:r>
          </w:p>
        </w:tc>
        <w:tc>
          <w:tcPr>
            <w:tcW w:w="912" w:type="pct"/>
            <w:tcBorders>
              <w:top w:val="single" w:sz="6" w:space="0" w:color="A6A6A6"/>
              <w:bottom w:val="single" w:sz="6" w:space="0" w:color="A6A6A6"/>
              <w:right w:val="nil"/>
            </w:tcBorders>
            <w:shd w:val="clear" w:color="auto" w:fill="auto"/>
          </w:tcPr>
          <w:p w14:paraId="78C8DDB8" w14:textId="77777777" w:rsidR="001236DF" w:rsidRPr="00CB4993" w:rsidRDefault="001236DF" w:rsidP="001236DF">
            <w:pPr>
              <w:pStyle w:val="TableText"/>
              <w:tabs>
                <w:tab w:val="decimal" w:pos="794"/>
              </w:tabs>
            </w:pPr>
            <w:r>
              <w:t>0</w:t>
            </w:r>
          </w:p>
        </w:tc>
        <w:tc>
          <w:tcPr>
            <w:tcW w:w="912" w:type="pct"/>
            <w:tcBorders>
              <w:left w:val="nil"/>
            </w:tcBorders>
            <w:shd w:val="clear" w:color="auto" w:fill="auto"/>
          </w:tcPr>
          <w:p w14:paraId="4CEEDEBE" w14:textId="77777777" w:rsidR="001236DF" w:rsidRPr="00CB4993" w:rsidRDefault="001236DF" w:rsidP="001236DF">
            <w:pPr>
              <w:pStyle w:val="TableText"/>
              <w:jc w:val="center"/>
            </w:pPr>
            <w:r w:rsidRPr="00CB4993">
              <w:t>0</w:t>
            </w:r>
          </w:p>
        </w:tc>
        <w:tc>
          <w:tcPr>
            <w:tcW w:w="912" w:type="pct"/>
            <w:shd w:val="clear" w:color="auto" w:fill="auto"/>
          </w:tcPr>
          <w:p w14:paraId="02E40574" w14:textId="77777777" w:rsidR="001236DF" w:rsidRPr="00CB4993" w:rsidRDefault="001236DF" w:rsidP="001236DF">
            <w:pPr>
              <w:pStyle w:val="TableText"/>
              <w:tabs>
                <w:tab w:val="decimal" w:pos="794"/>
              </w:tabs>
            </w:pPr>
            <w:r w:rsidRPr="00CB4993">
              <w:t>0</w:t>
            </w:r>
          </w:p>
        </w:tc>
      </w:tr>
      <w:tr w:rsidR="001236DF" w:rsidRPr="00200234" w14:paraId="17774074" w14:textId="77777777" w:rsidTr="00B86C90">
        <w:trPr>
          <w:cantSplit/>
        </w:trPr>
        <w:tc>
          <w:tcPr>
            <w:tcW w:w="1353" w:type="pct"/>
            <w:tcBorders>
              <w:right w:val="nil"/>
            </w:tcBorders>
            <w:shd w:val="clear" w:color="auto" w:fill="auto"/>
          </w:tcPr>
          <w:p w14:paraId="45A69907" w14:textId="77777777" w:rsidR="001236DF" w:rsidRPr="00200234" w:rsidRDefault="001236DF" w:rsidP="001236DF">
            <w:pPr>
              <w:pStyle w:val="TableText"/>
            </w:pPr>
            <w:r w:rsidRPr="00200234">
              <w:t>Southern</w:t>
            </w:r>
          </w:p>
        </w:tc>
        <w:tc>
          <w:tcPr>
            <w:tcW w:w="912" w:type="pct"/>
            <w:tcBorders>
              <w:top w:val="single" w:sz="6" w:space="0" w:color="A6A6A6"/>
              <w:left w:val="nil"/>
              <w:bottom w:val="single" w:sz="6" w:space="0" w:color="A6A6A6"/>
            </w:tcBorders>
            <w:shd w:val="clear" w:color="auto" w:fill="auto"/>
          </w:tcPr>
          <w:p w14:paraId="234978FB" w14:textId="77777777" w:rsidR="001236DF" w:rsidRPr="00CB4993" w:rsidRDefault="001236DF" w:rsidP="001236DF">
            <w:pPr>
              <w:pStyle w:val="TableText"/>
              <w:tabs>
                <w:tab w:val="decimal" w:pos="794"/>
              </w:tabs>
            </w:pPr>
            <w:r>
              <w:t>15</w:t>
            </w:r>
          </w:p>
        </w:tc>
        <w:tc>
          <w:tcPr>
            <w:tcW w:w="912" w:type="pct"/>
            <w:tcBorders>
              <w:top w:val="single" w:sz="6" w:space="0" w:color="A6A6A6"/>
              <w:bottom w:val="single" w:sz="6" w:space="0" w:color="A6A6A6"/>
              <w:right w:val="nil"/>
            </w:tcBorders>
            <w:shd w:val="clear" w:color="auto" w:fill="auto"/>
          </w:tcPr>
          <w:p w14:paraId="54B2FAF1" w14:textId="77777777" w:rsidR="001236DF" w:rsidRPr="00CB4993" w:rsidRDefault="001236DF" w:rsidP="001236DF">
            <w:pPr>
              <w:pStyle w:val="TableText"/>
              <w:tabs>
                <w:tab w:val="decimal" w:pos="794"/>
              </w:tabs>
            </w:pPr>
            <w:r>
              <w:t>230</w:t>
            </w:r>
          </w:p>
        </w:tc>
        <w:tc>
          <w:tcPr>
            <w:tcW w:w="912" w:type="pct"/>
            <w:tcBorders>
              <w:left w:val="nil"/>
            </w:tcBorders>
            <w:shd w:val="clear" w:color="auto" w:fill="auto"/>
          </w:tcPr>
          <w:p w14:paraId="7151CD82" w14:textId="77777777" w:rsidR="001236DF" w:rsidRPr="00CB4993" w:rsidRDefault="001236DF" w:rsidP="001236DF">
            <w:pPr>
              <w:pStyle w:val="TableText"/>
              <w:jc w:val="center"/>
            </w:pPr>
            <w:r w:rsidRPr="00CB4993">
              <w:t>0</w:t>
            </w:r>
          </w:p>
        </w:tc>
        <w:tc>
          <w:tcPr>
            <w:tcW w:w="912" w:type="pct"/>
            <w:shd w:val="clear" w:color="auto" w:fill="auto"/>
          </w:tcPr>
          <w:p w14:paraId="6A45EBE3" w14:textId="77777777" w:rsidR="001236DF" w:rsidRPr="00CB4993" w:rsidRDefault="001236DF" w:rsidP="001236DF">
            <w:pPr>
              <w:pStyle w:val="TableText"/>
              <w:tabs>
                <w:tab w:val="decimal" w:pos="794"/>
              </w:tabs>
            </w:pPr>
            <w:r w:rsidRPr="00CB4993">
              <w:t>0</w:t>
            </w:r>
          </w:p>
        </w:tc>
      </w:tr>
      <w:tr w:rsidR="001236DF" w:rsidRPr="00200234" w14:paraId="0B34EB5A" w14:textId="77777777" w:rsidTr="00B86C90">
        <w:trPr>
          <w:cantSplit/>
        </w:trPr>
        <w:tc>
          <w:tcPr>
            <w:tcW w:w="1353" w:type="pct"/>
            <w:tcBorders>
              <w:right w:val="nil"/>
            </w:tcBorders>
            <w:shd w:val="clear" w:color="auto" w:fill="auto"/>
          </w:tcPr>
          <w:p w14:paraId="54F06593" w14:textId="77777777" w:rsidR="001236DF" w:rsidRPr="00200234" w:rsidRDefault="001236DF" w:rsidP="001236DF">
            <w:pPr>
              <w:pStyle w:val="TableText"/>
            </w:pPr>
            <w:r w:rsidRPr="00200234">
              <w:t>Tairāwhiti</w:t>
            </w:r>
          </w:p>
        </w:tc>
        <w:tc>
          <w:tcPr>
            <w:tcW w:w="912" w:type="pct"/>
            <w:tcBorders>
              <w:top w:val="single" w:sz="6" w:space="0" w:color="A6A6A6"/>
              <w:left w:val="nil"/>
              <w:bottom w:val="single" w:sz="6" w:space="0" w:color="A6A6A6"/>
            </w:tcBorders>
            <w:shd w:val="clear" w:color="auto" w:fill="auto"/>
          </w:tcPr>
          <w:p w14:paraId="2575A487" w14:textId="77777777" w:rsidR="001236DF" w:rsidRPr="00CB4993" w:rsidRDefault="001236DF" w:rsidP="001236DF">
            <w:pPr>
              <w:pStyle w:val="TableText"/>
              <w:tabs>
                <w:tab w:val="decimal" w:pos="794"/>
              </w:tabs>
            </w:pPr>
            <w:r>
              <w:t>1</w:t>
            </w:r>
          </w:p>
        </w:tc>
        <w:tc>
          <w:tcPr>
            <w:tcW w:w="912" w:type="pct"/>
            <w:tcBorders>
              <w:top w:val="single" w:sz="6" w:space="0" w:color="A6A6A6"/>
              <w:bottom w:val="single" w:sz="6" w:space="0" w:color="A6A6A6"/>
              <w:right w:val="nil"/>
            </w:tcBorders>
            <w:shd w:val="clear" w:color="auto" w:fill="auto"/>
          </w:tcPr>
          <w:p w14:paraId="2D3586A4" w14:textId="77777777" w:rsidR="001236DF" w:rsidRPr="00CB4993" w:rsidRDefault="001236DF" w:rsidP="001236DF">
            <w:pPr>
              <w:pStyle w:val="TableText"/>
              <w:tabs>
                <w:tab w:val="decimal" w:pos="794"/>
              </w:tabs>
            </w:pPr>
            <w:r>
              <w:t>8</w:t>
            </w:r>
          </w:p>
        </w:tc>
        <w:tc>
          <w:tcPr>
            <w:tcW w:w="912" w:type="pct"/>
            <w:tcBorders>
              <w:left w:val="nil"/>
            </w:tcBorders>
            <w:shd w:val="clear" w:color="auto" w:fill="auto"/>
          </w:tcPr>
          <w:p w14:paraId="797B12DF" w14:textId="77777777" w:rsidR="001236DF" w:rsidRPr="00CB4993" w:rsidRDefault="001236DF" w:rsidP="001236DF">
            <w:pPr>
              <w:pStyle w:val="TableText"/>
              <w:jc w:val="center"/>
            </w:pPr>
            <w:r>
              <w:t>1</w:t>
            </w:r>
          </w:p>
        </w:tc>
        <w:tc>
          <w:tcPr>
            <w:tcW w:w="912" w:type="pct"/>
            <w:shd w:val="clear" w:color="auto" w:fill="auto"/>
          </w:tcPr>
          <w:p w14:paraId="018FF84A" w14:textId="77777777" w:rsidR="001236DF" w:rsidRPr="00CB4993" w:rsidRDefault="001236DF" w:rsidP="001236DF">
            <w:pPr>
              <w:pStyle w:val="TableText"/>
              <w:tabs>
                <w:tab w:val="decimal" w:pos="794"/>
              </w:tabs>
            </w:pPr>
            <w:r>
              <w:t>3</w:t>
            </w:r>
          </w:p>
        </w:tc>
      </w:tr>
      <w:tr w:rsidR="001236DF" w:rsidRPr="00200234" w14:paraId="50E088D7" w14:textId="77777777" w:rsidTr="00B86C90">
        <w:trPr>
          <w:cantSplit/>
        </w:trPr>
        <w:tc>
          <w:tcPr>
            <w:tcW w:w="1353" w:type="pct"/>
            <w:tcBorders>
              <w:right w:val="nil"/>
            </w:tcBorders>
            <w:shd w:val="clear" w:color="auto" w:fill="auto"/>
          </w:tcPr>
          <w:p w14:paraId="0835A594" w14:textId="77777777" w:rsidR="001236DF" w:rsidRPr="00200234" w:rsidRDefault="001236DF" w:rsidP="001236DF">
            <w:pPr>
              <w:pStyle w:val="TableText"/>
            </w:pPr>
            <w:r w:rsidRPr="00200234">
              <w:t>Taranaki</w:t>
            </w:r>
          </w:p>
        </w:tc>
        <w:tc>
          <w:tcPr>
            <w:tcW w:w="912" w:type="pct"/>
            <w:tcBorders>
              <w:top w:val="single" w:sz="6" w:space="0" w:color="A6A6A6"/>
              <w:left w:val="nil"/>
              <w:bottom w:val="single" w:sz="6" w:space="0" w:color="A6A6A6"/>
            </w:tcBorders>
            <w:shd w:val="clear" w:color="auto" w:fill="auto"/>
          </w:tcPr>
          <w:p w14:paraId="0D1DE17E" w14:textId="77777777" w:rsidR="001236DF" w:rsidRPr="00CB4993" w:rsidRDefault="001236DF" w:rsidP="001236DF">
            <w:pPr>
              <w:pStyle w:val="TableText"/>
              <w:tabs>
                <w:tab w:val="decimal" w:pos="794"/>
              </w:tabs>
            </w:pPr>
            <w:r>
              <w:t>4</w:t>
            </w:r>
          </w:p>
        </w:tc>
        <w:tc>
          <w:tcPr>
            <w:tcW w:w="912" w:type="pct"/>
            <w:tcBorders>
              <w:top w:val="single" w:sz="6" w:space="0" w:color="A6A6A6"/>
              <w:bottom w:val="single" w:sz="6" w:space="0" w:color="A6A6A6"/>
              <w:right w:val="nil"/>
            </w:tcBorders>
            <w:shd w:val="clear" w:color="auto" w:fill="auto"/>
          </w:tcPr>
          <w:p w14:paraId="4E605BE0" w14:textId="77777777" w:rsidR="001236DF" w:rsidRPr="00CB4993" w:rsidRDefault="001236DF" w:rsidP="001236DF">
            <w:pPr>
              <w:pStyle w:val="TableText"/>
              <w:tabs>
                <w:tab w:val="decimal" w:pos="794"/>
              </w:tabs>
            </w:pPr>
            <w:r>
              <w:t>50</w:t>
            </w:r>
          </w:p>
        </w:tc>
        <w:tc>
          <w:tcPr>
            <w:tcW w:w="912" w:type="pct"/>
            <w:tcBorders>
              <w:left w:val="nil"/>
            </w:tcBorders>
            <w:shd w:val="clear" w:color="auto" w:fill="auto"/>
          </w:tcPr>
          <w:p w14:paraId="61B1924D" w14:textId="77777777" w:rsidR="001236DF" w:rsidRPr="00CB4993" w:rsidRDefault="001236DF" w:rsidP="001236DF">
            <w:pPr>
              <w:pStyle w:val="TableText"/>
              <w:jc w:val="center"/>
            </w:pPr>
            <w:r w:rsidRPr="00CB4993">
              <w:t>0</w:t>
            </w:r>
          </w:p>
        </w:tc>
        <w:tc>
          <w:tcPr>
            <w:tcW w:w="912" w:type="pct"/>
            <w:shd w:val="clear" w:color="auto" w:fill="auto"/>
          </w:tcPr>
          <w:p w14:paraId="7446881C" w14:textId="77777777" w:rsidR="001236DF" w:rsidRPr="00CB4993" w:rsidRDefault="001236DF" w:rsidP="001236DF">
            <w:pPr>
              <w:pStyle w:val="TableText"/>
              <w:tabs>
                <w:tab w:val="decimal" w:pos="794"/>
              </w:tabs>
            </w:pPr>
            <w:r w:rsidRPr="00CB4993">
              <w:t>0</w:t>
            </w:r>
          </w:p>
        </w:tc>
      </w:tr>
      <w:tr w:rsidR="001236DF" w:rsidRPr="00200234" w14:paraId="0A7EBA76" w14:textId="77777777" w:rsidTr="00B86C90">
        <w:trPr>
          <w:cantSplit/>
        </w:trPr>
        <w:tc>
          <w:tcPr>
            <w:tcW w:w="1353" w:type="pct"/>
            <w:tcBorders>
              <w:right w:val="nil"/>
            </w:tcBorders>
            <w:shd w:val="clear" w:color="auto" w:fill="auto"/>
          </w:tcPr>
          <w:p w14:paraId="50EE84E2" w14:textId="77777777" w:rsidR="001236DF" w:rsidRPr="00200234" w:rsidRDefault="001236DF" w:rsidP="001236DF">
            <w:pPr>
              <w:pStyle w:val="TableText"/>
            </w:pPr>
            <w:r w:rsidRPr="00200234">
              <w:t>Waikato</w:t>
            </w:r>
          </w:p>
        </w:tc>
        <w:tc>
          <w:tcPr>
            <w:tcW w:w="912" w:type="pct"/>
            <w:tcBorders>
              <w:top w:val="single" w:sz="6" w:space="0" w:color="A6A6A6"/>
              <w:left w:val="nil"/>
              <w:bottom w:val="single" w:sz="6" w:space="0" w:color="A6A6A6"/>
            </w:tcBorders>
            <w:shd w:val="clear" w:color="auto" w:fill="auto"/>
          </w:tcPr>
          <w:p w14:paraId="696CB7B4" w14:textId="77777777" w:rsidR="001236DF" w:rsidRPr="00CB4993" w:rsidRDefault="001236DF" w:rsidP="001236DF">
            <w:pPr>
              <w:pStyle w:val="TableText"/>
              <w:tabs>
                <w:tab w:val="decimal" w:pos="794"/>
              </w:tabs>
            </w:pPr>
            <w:r>
              <w:t>12</w:t>
            </w:r>
          </w:p>
        </w:tc>
        <w:tc>
          <w:tcPr>
            <w:tcW w:w="912" w:type="pct"/>
            <w:tcBorders>
              <w:top w:val="single" w:sz="6" w:space="0" w:color="A6A6A6"/>
              <w:bottom w:val="single" w:sz="6" w:space="0" w:color="A6A6A6"/>
              <w:right w:val="nil"/>
            </w:tcBorders>
            <w:shd w:val="clear" w:color="auto" w:fill="auto"/>
          </w:tcPr>
          <w:p w14:paraId="0AD059EC" w14:textId="77777777" w:rsidR="001236DF" w:rsidRPr="00CB4993" w:rsidRDefault="001236DF" w:rsidP="001236DF">
            <w:pPr>
              <w:pStyle w:val="TableText"/>
              <w:tabs>
                <w:tab w:val="decimal" w:pos="794"/>
              </w:tabs>
            </w:pPr>
            <w:r>
              <w:t>150</w:t>
            </w:r>
          </w:p>
        </w:tc>
        <w:tc>
          <w:tcPr>
            <w:tcW w:w="912" w:type="pct"/>
            <w:tcBorders>
              <w:left w:val="nil"/>
            </w:tcBorders>
            <w:shd w:val="clear" w:color="auto" w:fill="auto"/>
          </w:tcPr>
          <w:p w14:paraId="76166AED" w14:textId="77777777" w:rsidR="001236DF" w:rsidRPr="00CB4993" w:rsidRDefault="001236DF" w:rsidP="001236DF">
            <w:pPr>
              <w:pStyle w:val="TableText"/>
              <w:jc w:val="center"/>
            </w:pPr>
            <w:r w:rsidRPr="00CB4993">
              <w:t>0</w:t>
            </w:r>
          </w:p>
        </w:tc>
        <w:tc>
          <w:tcPr>
            <w:tcW w:w="912" w:type="pct"/>
            <w:shd w:val="clear" w:color="auto" w:fill="auto"/>
          </w:tcPr>
          <w:p w14:paraId="55110F24" w14:textId="77777777" w:rsidR="001236DF" w:rsidRPr="00CB4993" w:rsidRDefault="001236DF" w:rsidP="001236DF">
            <w:pPr>
              <w:pStyle w:val="TableText"/>
              <w:tabs>
                <w:tab w:val="decimal" w:pos="794"/>
              </w:tabs>
            </w:pPr>
            <w:r w:rsidRPr="00CB4993">
              <w:t>0</w:t>
            </w:r>
          </w:p>
        </w:tc>
      </w:tr>
      <w:tr w:rsidR="001236DF" w:rsidRPr="00200234" w14:paraId="2515E9CE" w14:textId="77777777" w:rsidTr="00B86C90">
        <w:trPr>
          <w:cantSplit/>
        </w:trPr>
        <w:tc>
          <w:tcPr>
            <w:tcW w:w="1353" w:type="pct"/>
            <w:tcBorders>
              <w:right w:val="nil"/>
            </w:tcBorders>
            <w:shd w:val="clear" w:color="auto" w:fill="auto"/>
          </w:tcPr>
          <w:p w14:paraId="3AC4074D" w14:textId="77777777" w:rsidR="001236DF" w:rsidRPr="00200234" w:rsidRDefault="001236DF" w:rsidP="001236DF">
            <w:pPr>
              <w:pStyle w:val="TableText"/>
            </w:pPr>
            <w:r w:rsidRPr="00200234">
              <w:t>Wairarapa</w:t>
            </w:r>
          </w:p>
        </w:tc>
        <w:tc>
          <w:tcPr>
            <w:tcW w:w="912" w:type="pct"/>
            <w:tcBorders>
              <w:top w:val="single" w:sz="6" w:space="0" w:color="A6A6A6"/>
              <w:left w:val="nil"/>
              <w:bottom w:val="single" w:sz="6" w:space="0" w:color="A6A6A6"/>
            </w:tcBorders>
            <w:shd w:val="clear" w:color="auto" w:fill="auto"/>
          </w:tcPr>
          <w:p w14:paraId="0D58E4ED" w14:textId="77777777" w:rsidR="001236DF" w:rsidRPr="00CB4993" w:rsidRDefault="001236DF" w:rsidP="001236DF">
            <w:pPr>
              <w:pStyle w:val="TableText"/>
              <w:tabs>
                <w:tab w:val="decimal" w:pos="794"/>
              </w:tabs>
            </w:pPr>
            <w:r w:rsidRPr="00CB4993">
              <w:t>–</w:t>
            </w:r>
          </w:p>
        </w:tc>
        <w:tc>
          <w:tcPr>
            <w:tcW w:w="912" w:type="pct"/>
            <w:tcBorders>
              <w:top w:val="single" w:sz="6" w:space="0" w:color="A6A6A6"/>
              <w:bottom w:val="single" w:sz="6" w:space="0" w:color="A6A6A6"/>
              <w:right w:val="nil"/>
            </w:tcBorders>
            <w:shd w:val="clear" w:color="auto" w:fill="auto"/>
          </w:tcPr>
          <w:p w14:paraId="2653044F" w14:textId="77777777" w:rsidR="001236DF" w:rsidRPr="00CB4993" w:rsidRDefault="001236DF" w:rsidP="001236DF">
            <w:pPr>
              <w:pStyle w:val="TableText"/>
              <w:tabs>
                <w:tab w:val="decimal" w:pos="794"/>
              </w:tabs>
            </w:pPr>
            <w:r w:rsidRPr="00CB4993">
              <w:t>–</w:t>
            </w:r>
          </w:p>
        </w:tc>
        <w:tc>
          <w:tcPr>
            <w:tcW w:w="912" w:type="pct"/>
            <w:tcBorders>
              <w:left w:val="nil"/>
            </w:tcBorders>
            <w:shd w:val="clear" w:color="auto" w:fill="auto"/>
          </w:tcPr>
          <w:p w14:paraId="59D9049E" w14:textId="77777777" w:rsidR="001236DF" w:rsidRPr="00CB4993" w:rsidRDefault="001236DF" w:rsidP="001236DF">
            <w:pPr>
              <w:pStyle w:val="TableText"/>
              <w:jc w:val="center"/>
            </w:pPr>
            <w:r w:rsidRPr="00CB4993">
              <w:t>–</w:t>
            </w:r>
          </w:p>
        </w:tc>
        <w:tc>
          <w:tcPr>
            <w:tcW w:w="912" w:type="pct"/>
            <w:shd w:val="clear" w:color="auto" w:fill="auto"/>
          </w:tcPr>
          <w:p w14:paraId="75930AE5" w14:textId="77777777" w:rsidR="001236DF" w:rsidRPr="00CB4993" w:rsidRDefault="001236DF" w:rsidP="001236DF">
            <w:pPr>
              <w:pStyle w:val="TableText"/>
              <w:tabs>
                <w:tab w:val="decimal" w:pos="794"/>
              </w:tabs>
            </w:pPr>
            <w:r w:rsidRPr="00CB4993">
              <w:t>–</w:t>
            </w:r>
          </w:p>
        </w:tc>
      </w:tr>
      <w:tr w:rsidR="001236DF" w:rsidRPr="00200234" w14:paraId="4E390C3F" w14:textId="77777777" w:rsidTr="00B86C90">
        <w:trPr>
          <w:cantSplit/>
        </w:trPr>
        <w:tc>
          <w:tcPr>
            <w:tcW w:w="1353" w:type="pct"/>
            <w:tcBorders>
              <w:right w:val="nil"/>
            </w:tcBorders>
            <w:shd w:val="clear" w:color="auto" w:fill="auto"/>
          </w:tcPr>
          <w:p w14:paraId="54B74BFE" w14:textId="77777777" w:rsidR="001236DF" w:rsidRPr="00200234" w:rsidRDefault="001236DF" w:rsidP="001236DF">
            <w:pPr>
              <w:pStyle w:val="TableText"/>
            </w:pPr>
            <w:r w:rsidRPr="00200234">
              <w:t>Waitematā</w:t>
            </w:r>
          </w:p>
        </w:tc>
        <w:tc>
          <w:tcPr>
            <w:tcW w:w="912" w:type="pct"/>
            <w:tcBorders>
              <w:top w:val="single" w:sz="6" w:space="0" w:color="A6A6A6"/>
              <w:left w:val="nil"/>
              <w:bottom w:val="single" w:sz="6" w:space="0" w:color="A6A6A6"/>
            </w:tcBorders>
            <w:shd w:val="clear" w:color="auto" w:fill="auto"/>
          </w:tcPr>
          <w:p w14:paraId="16EB260B" w14:textId="77777777" w:rsidR="001236DF" w:rsidRPr="00CB4993" w:rsidRDefault="001236DF" w:rsidP="001236DF">
            <w:pPr>
              <w:pStyle w:val="TableText"/>
              <w:tabs>
                <w:tab w:val="decimal" w:pos="794"/>
              </w:tabs>
            </w:pPr>
            <w:r>
              <w:t>10</w:t>
            </w:r>
          </w:p>
        </w:tc>
        <w:tc>
          <w:tcPr>
            <w:tcW w:w="912" w:type="pct"/>
            <w:tcBorders>
              <w:top w:val="single" w:sz="6" w:space="0" w:color="A6A6A6"/>
              <w:bottom w:val="single" w:sz="6" w:space="0" w:color="A6A6A6"/>
              <w:right w:val="nil"/>
            </w:tcBorders>
            <w:shd w:val="clear" w:color="auto" w:fill="auto"/>
          </w:tcPr>
          <w:p w14:paraId="561F3482" w14:textId="77777777" w:rsidR="001236DF" w:rsidRPr="00CB4993" w:rsidRDefault="001236DF" w:rsidP="001236DF">
            <w:pPr>
              <w:pStyle w:val="TableText"/>
              <w:tabs>
                <w:tab w:val="decimal" w:pos="794"/>
              </w:tabs>
            </w:pPr>
            <w:r>
              <w:t>160</w:t>
            </w:r>
          </w:p>
        </w:tc>
        <w:tc>
          <w:tcPr>
            <w:tcW w:w="912" w:type="pct"/>
            <w:tcBorders>
              <w:left w:val="nil"/>
            </w:tcBorders>
            <w:shd w:val="clear" w:color="auto" w:fill="auto"/>
          </w:tcPr>
          <w:p w14:paraId="062E4821" w14:textId="77777777" w:rsidR="001236DF" w:rsidRPr="00CB4993" w:rsidRDefault="001236DF" w:rsidP="001236DF">
            <w:pPr>
              <w:pStyle w:val="TableText"/>
              <w:jc w:val="center"/>
            </w:pPr>
            <w:r>
              <w:t>1</w:t>
            </w:r>
          </w:p>
        </w:tc>
        <w:tc>
          <w:tcPr>
            <w:tcW w:w="912" w:type="pct"/>
            <w:shd w:val="clear" w:color="auto" w:fill="auto"/>
          </w:tcPr>
          <w:p w14:paraId="3891D8DB" w14:textId="77777777" w:rsidR="001236DF" w:rsidRPr="00CB4993" w:rsidRDefault="001236DF" w:rsidP="001236DF">
            <w:pPr>
              <w:pStyle w:val="TableText"/>
              <w:tabs>
                <w:tab w:val="decimal" w:pos="794"/>
              </w:tabs>
            </w:pPr>
            <w:r>
              <w:t>1</w:t>
            </w:r>
          </w:p>
        </w:tc>
      </w:tr>
      <w:tr w:rsidR="001236DF" w:rsidRPr="00200234" w14:paraId="58222D38" w14:textId="77777777" w:rsidTr="00B86C90">
        <w:trPr>
          <w:cantSplit/>
        </w:trPr>
        <w:tc>
          <w:tcPr>
            <w:tcW w:w="1353" w:type="pct"/>
            <w:tcBorders>
              <w:right w:val="nil"/>
            </w:tcBorders>
            <w:shd w:val="clear" w:color="auto" w:fill="auto"/>
          </w:tcPr>
          <w:p w14:paraId="7D9799AF" w14:textId="77777777" w:rsidR="001236DF" w:rsidRPr="00200234" w:rsidRDefault="001236DF" w:rsidP="001236DF">
            <w:pPr>
              <w:pStyle w:val="TableText"/>
            </w:pPr>
            <w:r w:rsidRPr="00200234">
              <w:t>West Coast</w:t>
            </w:r>
          </w:p>
        </w:tc>
        <w:tc>
          <w:tcPr>
            <w:tcW w:w="912" w:type="pct"/>
            <w:tcBorders>
              <w:top w:val="single" w:sz="6" w:space="0" w:color="A6A6A6"/>
              <w:left w:val="nil"/>
              <w:bottom w:val="single" w:sz="6" w:space="0" w:color="A6A6A6"/>
            </w:tcBorders>
            <w:shd w:val="clear" w:color="auto" w:fill="auto"/>
          </w:tcPr>
          <w:p w14:paraId="3BEFD5BF" w14:textId="77777777" w:rsidR="001236DF" w:rsidRPr="00200234" w:rsidRDefault="001236DF" w:rsidP="001236DF">
            <w:pPr>
              <w:pStyle w:val="TableText"/>
              <w:tabs>
                <w:tab w:val="decimal" w:pos="794"/>
              </w:tabs>
            </w:pPr>
            <w:r w:rsidRPr="00200234">
              <w:t>–</w:t>
            </w:r>
          </w:p>
        </w:tc>
        <w:tc>
          <w:tcPr>
            <w:tcW w:w="912" w:type="pct"/>
            <w:tcBorders>
              <w:top w:val="single" w:sz="6" w:space="0" w:color="A6A6A6"/>
              <w:bottom w:val="single" w:sz="6" w:space="0" w:color="A6A6A6"/>
              <w:right w:val="nil"/>
            </w:tcBorders>
            <w:shd w:val="clear" w:color="auto" w:fill="auto"/>
          </w:tcPr>
          <w:p w14:paraId="7AE7CDEF" w14:textId="77777777" w:rsidR="001236DF" w:rsidRPr="00200234" w:rsidRDefault="001236DF" w:rsidP="001236DF">
            <w:pPr>
              <w:pStyle w:val="TableText"/>
              <w:tabs>
                <w:tab w:val="decimal" w:pos="794"/>
              </w:tabs>
            </w:pPr>
            <w:r w:rsidRPr="00200234">
              <w:t>–</w:t>
            </w:r>
          </w:p>
        </w:tc>
        <w:tc>
          <w:tcPr>
            <w:tcW w:w="912" w:type="pct"/>
            <w:tcBorders>
              <w:left w:val="nil"/>
            </w:tcBorders>
            <w:shd w:val="clear" w:color="auto" w:fill="auto"/>
          </w:tcPr>
          <w:p w14:paraId="29D449F4" w14:textId="77777777" w:rsidR="001236DF" w:rsidRPr="00200234" w:rsidRDefault="001236DF" w:rsidP="001236DF">
            <w:pPr>
              <w:pStyle w:val="TableText"/>
              <w:jc w:val="center"/>
            </w:pPr>
            <w:r w:rsidRPr="00200234">
              <w:t>–</w:t>
            </w:r>
          </w:p>
        </w:tc>
        <w:tc>
          <w:tcPr>
            <w:tcW w:w="912" w:type="pct"/>
            <w:shd w:val="clear" w:color="auto" w:fill="auto"/>
          </w:tcPr>
          <w:p w14:paraId="5025E07E" w14:textId="77777777" w:rsidR="001236DF" w:rsidRPr="00200234" w:rsidRDefault="001236DF" w:rsidP="001236DF">
            <w:pPr>
              <w:pStyle w:val="TableText"/>
              <w:tabs>
                <w:tab w:val="decimal" w:pos="794"/>
              </w:tabs>
            </w:pPr>
            <w:r>
              <w:t>–</w:t>
            </w:r>
          </w:p>
        </w:tc>
      </w:tr>
      <w:tr w:rsidR="001236DF" w:rsidRPr="00200234" w14:paraId="6E34AEDF" w14:textId="77777777" w:rsidTr="00B86C90">
        <w:trPr>
          <w:cantSplit/>
        </w:trPr>
        <w:tc>
          <w:tcPr>
            <w:tcW w:w="1353" w:type="pct"/>
            <w:tcBorders>
              <w:right w:val="nil"/>
            </w:tcBorders>
            <w:shd w:val="clear" w:color="auto" w:fill="auto"/>
          </w:tcPr>
          <w:p w14:paraId="322DA951" w14:textId="77777777" w:rsidR="001236DF" w:rsidRPr="00200234" w:rsidRDefault="001236DF" w:rsidP="001236DF">
            <w:pPr>
              <w:pStyle w:val="TableText"/>
            </w:pPr>
            <w:r w:rsidRPr="00200234">
              <w:t>Whanganui</w:t>
            </w:r>
          </w:p>
        </w:tc>
        <w:tc>
          <w:tcPr>
            <w:tcW w:w="912" w:type="pct"/>
            <w:tcBorders>
              <w:top w:val="single" w:sz="6" w:space="0" w:color="A6A6A6"/>
              <w:left w:val="nil"/>
              <w:bottom w:val="single" w:sz="6" w:space="0" w:color="A6A6A6"/>
            </w:tcBorders>
            <w:shd w:val="clear" w:color="auto" w:fill="auto"/>
          </w:tcPr>
          <w:p w14:paraId="1CC55874" w14:textId="77777777" w:rsidR="001236DF" w:rsidRPr="00200234" w:rsidRDefault="001236DF" w:rsidP="001236DF">
            <w:pPr>
              <w:pStyle w:val="TableText"/>
              <w:tabs>
                <w:tab w:val="decimal" w:pos="794"/>
              </w:tabs>
            </w:pPr>
            <w:r w:rsidRPr="00200234">
              <w:t>–</w:t>
            </w:r>
          </w:p>
        </w:tc>
        <w:tc>
          <w:tcPr>
            <w:tcW w:w="912" w:type="pct"/>
            <w:tcBorders>
              <w:top w:val="single" w:sz="6" w:space="0" w:color="A6A6A6"/>
              <w:bottom w:val="single" w:sz="6" w:space="0" w:color="A6A6A6"/>
              <w:right w:val="nil"/>
            </w:tcBorders>
            <w:shd w:val="clear" w:color="auto" w:fill="auto"/>
          </w:tcPr>
          <w:p w14:paraId="59DF0D51" w14:textId="77777777" w:rsidR="001236DF" w:rsidRPr="00200234" w:rsidRDefault="001236DF" w:rsidP="001236DF">
            <w:pPr>
              <w:pStyle w:val="TableText"/>
              <w:tabs>
                <w:tab w:val="decimal" w:pos="794"/>
              </w:tabs>
            </w:pPr>
            <w:r w:rsidRPr="00200234">
              <w:t>–</w:t>
            </w:r>
          </w:p>
        </w:tc>
        <w:tc>
          <w:tcPr>
            <w:tcW w:w="912" w:type="pct"/>
            <w:tcBorders>
              <w:left w:val="nil"/>
            </w:tcBorders>
            <w:shd w:val="clear" w:color="auto" w:fill="auto"/>
          </w:tcPr>
          <w:p w14:paraId="5D0EB896" w14:textId="77777777" w:rsidR="001236DF" w:rsidRPr="00200234" w:rsidRDefault="001236DF" w:rsidP="001236DF">
            <w:pPr>
              <w:pStyle w:val="TableText"/>
              <w:jc w:val="center"/>
            </w:pPr>
            <w:r w:rsidRPr="00200234">
              <w:t>–</w:t>
            </w:r>
          </w:p>
        </w:tc>
        <w:tc>
          <w:tcPr>
            <w:tcW w:w="912" w:type="pct"/>
            <w:shd w:val="clear" w:color="auto" w:fill="auto"/>
          </w:tcPr>
          <w:p w14:paraId="18CC3C5E" w14:textId="77777777" w:rsidR="001236DF" w:rsidRPr="00200234" w:rsidRDefault="001236DF" w:rsidP="001236DF">
            <w:pPr>
              <w:pStyle w:val="TableText"/>
              <w:tabs>
                <w:tab w:val="decimal" w:pos="794"/>
              </w:tabs>
            </w:pPr>
            <w:r>
              <w:t>–</w:t>
            </w:r>
          </w:p>
        </w:tc>
      </w:tr>
      <w:tr w:rsidR="001236DF" w:rsidRPr="005739A3" w14:paraId="74E5C091" w14:textId="77777777" w:rsidTr="00B86C90">
        <w:trPr>
          <w:cantSplit/>
        </w:trPr>
        <w:tc>
          <w:tcPr>
            <w:tcW w:w="1353" w:type="pct"/>
            <w:tcBorders>
              <w:right w:val="nil"/>
            </w:tcBorders>
            <w:shd w:val="clear" w:color="auto" w:fill="auto"/>
          </w:tcPr>
          <w:p w14:paraId="7625A136" w14:textId="77777777" w:rsidR="001236DF" w:rsidRPr="005739A3" w:rsidRDefault="001236DF" w:rsidP="001236DF">
            <w:pPr>
              <w:pStyle w:val="TableText"/>
              <w:rPr>
                <w:b/>
              </w:rPr>
            </w:pPr>
            <w:r w:rsidRPr="005739A3">
              <w:rPr>
                <w:b/>
              </w:rPr>
              <w:t>National total</w:t>
            </w:r>
          </w:p>
        </w:tc>
        <w:tc>
          <w:tcPr>
            <w:tcW w:w="912" w:type="pct"/>
            <w:tcBorders>
              <w:top w:val="single" w:sz="6" w:space="0" w:color="A6A6A6"/>
              <w:left w:val="nil"/>
              <w:bottom w:val="single" w:sz="4" w:space="0" w:color="A6A6A6"/>
            </w:tcBorders>
            <w:shd w:val="clear" w:color="auto" w:fill="auto"/>
          </w:tcPr>
          <w:p w14:paraId="1CA68CBB" w14:textId="77777777" w:rsidR="001236DF" w:rsidRPr="005739A3" w:rsidRDefault="001236DF" w:rsidP="001236DF">
            <w:pPr>
              <w:pStyle w:val="TableText"/>
              <w:tabs>
                <w:tab w:val="decimal" w:pos="794"/>
              </w:tabs>
              <w:rPr>
                <w:b/>
              </w:rPr>
            </w:pPr>
            <w:r>
              <w:rPr>
                <w:b/>
              </w:rPr>
              <w:t>98</w:t>
            </w:r>
          </w:p>
        </w:tc>
        <w:tc>
          <w:tcPr>
            <w:tcW w:w="912" w:type="pct"/>
            <w:tcBorders>
              <w:top w:val="single" w:sz="6" w:space="0" w:color="A6A6A6"/>
              <w:bottom w:val="single" w:sz="4" w:space="0" w:color="A6A6A6"/>
              <w:right w:val="nil"/>
            </w:tcBorders>
            <w:shd w:val="clear" w:color="auto" w:fill="auto"/>
          </w:tcPr>
          <w:p w14:paraId="3C719C01" w14:textId="77777777" w:rsidR="001236DF" w:rsidRPr="005739A3" w:rsidRDefault="001236DF" w:rsidP="001236DF">
            <w:pPr>
              <w:pStyle w:val="TableText"/>
              <w:tabs>
                <w:tab w:val="decimal" w:pos="794"/>
              </w:tabs>
              <w:rPr>
                <w:b/>
              </w:rPr>
            </w:pPr>
            <w:r>
              <w:rPr>
                <w:b/>
              </w:rPr>
              <w:t>1,173</w:t>
            </w:r>
          </w:p>
        </w:tc>
        <w:tc>
          <w:tcPr>
            <w:tcW w:w="912" w:type="pct"/>
            <w:tcBorders>
              <w:left w:val="nil"/>
            </w:tcBorders>
            <w:shd w:val="clear" w:color="auto" w:fill="auto"/>
          </w:tcPr>
          <w:p w14:paraId="6D7AA36F" w14:textId="77777777" w:rsidR="001236DF" w:rsidRPr="005739A3" w:rsidRDefault="001236DF" w:rsidP="001236DF">
            <w:pPr>
              <w:pStyle w:val="TableText"/>
              <w:jc w:val="center"/>
              <w:rPr>
                <w:b/>
                <w:bCs/>
              </w:rPr>
            </w:pPr>
            <w:r>
              <w:rPr>
                <w:b/>
                <w:bCs/>
              </w:rPr>
              <w:t>4</w:t>
            </w:r>
          </w:p>
        </w:tc>
        <w:tc>
          <w:tcPr>
            <w:tcW w:w="912" w:type="pct"/>
            <w:shd w:val="clear" w:color="auto" w:fill="auto"/>
          </w:tcPr>
          <w:p w14:paraId="14DCC7B2" w14:textId="77777777" w:rsidR="001236DF" w:rsidRPr="005739A3" w:rsidRDefault="001236DF" w:rsidP="001236DF">
            <w:pPr>
              <w:pStyle w:val="TableText"/>
              <w:tabs>
                <w:tab w:val="decimal" w:pos="794"/>
              </w:tabs>
              <w:rPr>
                <w:b/>
                <w:bCs/>
              </w:rPr>
            </w:pPr>
            <w:r>
              <w:rPr>
                <w:b/>
                <w:bCs/>
              </w:rPr>
              <w:t>18</w:t>
            </w:r>
          </w:p>
        </w:tc>
      </w:tr>
    </w:tbl>
    <w:p w14:paraId="2D1970C4" w14:textId="77777777" w:rsidR="001236DF" w:rsidRPr="00200234" w:rsidRDefault="001236DF" w:rsidP="001236DF">
      <w:pPr>
        <w:pStyle w:val="Note"/>
      </w:pPr>
      <w:r w:rsidRPr="00200234">
        <w:t xml:space="preserve">Notes: The data in this table cannot be reliably compared with the data in </w:t>
      </w:r>
      <w:r>
        <w:t>Table </w:t>
      </w:r>
      <w:r>
        <w:rPr>
          <w:noProof/>
        </w:rPr>
        <w:t>19</w:t>
      </w:r>
      <w:r>
        <w:t xml:space="preserve"> because</w:t>
      </w:r>
      <w:r w:rsidRPr="00200234">
        <w:t xml:space="preserve"> it relates to DHB of service rather than DHB of domicile.</w:t>
      </w:r>
      <w:r>
        <w:t xml:space="preserve"> The totals of people without capacity and people with capacity does not equal the number of individuals who received ECT without consent, as 2 individuals had fluctuating capacity. </w:t>
      </w:r>
      <w:r>
        <w:br/>
      </w:r>
      <w:r w:rsidRPr="009C189E">
        <w:t>A dash (–) indicates the DHB did not perform ECT in 2020</w:t>
      </w:r>
      <w:r>
        <w:t>/21; instead it</w:t>
      </w:r>
      <w:r w:rsidRPr="009C189E">
        <w:t xml:space="preserve"> sent people to other DHBs for treatment.</w:t>
      </w:r>
    </w:p>
    <w:p w14:paraId="4407CCDF" w14:textId="77777777" w:rsidR="001236DF" w:rsidRDefault="001236DF" w:rsidP="001236DF">
      <w:pPr>
        <w:pStyle w:val="Source"/>
      </w:pPr>
      <w:r w:rsidRPr="00200234">
        <w:t>Source: Manual data from DHBs.</w:t>
      </w:r>
    </w:p>
    <w:p w14:paraId="7A4B4D4B" w14:textId="77777777" w:rsidR="001236DF" w:rsidRDefault="001236DF" w:rsidP="001236DF">
      <w:pPr>
        <w:spacing w:after="160" w:line="259" w:lineRule="auto"/>
        <w:rPr>
          <w:sz w:val="17"/>
        </w:rPr>
      </w:pPr>
      <w:r>
        <w:br w:type="page"/>
      </w:r>
    </w:p>
    <w:p w14:paraId="35E11E9F" w14:textId="77777777" w:rsidR="001236DF" w:rsidRPr="00200234" w:rsidRDefault="001236DF" w:rsidP="001236DF">
      <w:pPr>
        <w:pStyle w:val="Heading1"/>
        <w:spacing w:after="0"/>
      </w:pPr>
      <w:bookmarkStart w:id="638" w:name="_Toc65141640"/>
      <w:bookmarkStart w:id="639" w:name="_Toc75176465"/>
      <w:bookmarkStart w:id="640" w:name="_Toc87429933"/>
      <w:bookmarkStart w:id="641" w:name="_Toc88826981"/>
      <w:bookmarkStart w:id="642" w:name="_Toc115188831"/>
      <w:bookmarkStart w:id="643" w:name="_Toc115431729"/>
      <w:r>
        <w:lastRenderedPageBreak/>
        <w:t>Substance</w:t>
      </w:r>
      <w:r w:rsidRPr="00200234">
        <w:t xml:space="preserve"> </w:t>
      </w:r>
      <w:r>
        <w:t>u</w:t>
      </w:r>
      <w:r w:rsidRPr="00200234">
        <w:t xml:space="preserve">se </w:t>
      </w:r>
      <w:r>
        <w:t>t</w:t>
      </w:r>
      <w:r w:rsidRPr="00200234">
        <w:t>reatment</w:t>
      </w:r>
      <w:bookmarkEnd w:id="638"/>
      <w:bookmarkEnd w:id="639"/>
      <w:bookmarkEnd w:id="640"/>
      <w:bookmarkEnd w:id="641"/>
      <w:bookmarkEnd w:id="642"/>
      <w:bookmarkEnd w:id="643"/>
    </w:p>
    <w:p w14:paraId="186094A7" w14:textId="77777777" w:rsidR="001236DF" w:rsidRPr="00200234" w:rsidRDefault="001236DF" w:rsidP="00B86C90">
      <w:pPr>
        <w:pStyle w:val="Heading2"/>
      </w:pPr>
      <w:bookmarkStart w:id="644" w:name="_Toc65141650"/>
      <w:bookmarkStart w:id="645" w:name="_Toc75176467"/>
      <w:bookmarkStart w:id="646" w:name="_Toc87429936"/>
      <w:bookmarkStart w:id="647" w:name="_Toc88826984"/>
      <w:bookmarkStart w:id="648" w:name="_Toc115188832"/>
      <w:bookmarkStart w:id="649" w:name="_Toc115431730"/>
      <w:r w:rsidRPr="00200234">
        <w:t>Opioid substitution treatment</w:t>
      </w:r>
      <w:bookmarkEnd w:id="644"/>
      <w:bookmarkEnd w:id="645"/>
      <w:bookmarkEnd w:id="646"/>
      <w:bookmarkEnd w:id="647"/>
      <w:bookmarkEnd w:id="648"/>
      <w:bookmarkEnd w:id="649"/>
    </w:p>
    <w:p w14:paraId="4C338ACE" w14:textId="77777777" w:rsidR="001236DF" w:rsidRPr="00200234" w:rsidRDefault="001236DF" w:rsidP="00B86C90">
      <w:pPr>
        <w:ind w:right="-285"/>
      </w:pPr>
      <w:r w:rsidRPr="00200234">
        <w:t xml:space="preserve">Opioid dependence is a complex, relapsing condition requiring a model of treatment and care much like any other chronic health problem. Opioid substitution treatment (OST) helps people </w:t>
      </w:r>
      <w:r>
        <w:t>who have an</w:t>
      </w:r>
      <w:r w:rsidRPr="00200234">
        <w:t xml:space="preserve"> opioid dependence to access treatment, including substitution therapy, </w:t>
      </w:r>
      <w:r>
        <w:t>which</w:t>
      </w:r>
      <w:r w:rsidRPr="00200234">
        <w:t xml:space="preserve"> provides them with the opportunity to recover their health and wellbeing.</w:t>
      </w:r>
    </w:p>
    <w:p w14:paraId="7060ED41" w14:textId="77777777" w:rsidR="001236DF" w:rsidRPr="00200234" w:rsidRDefault="001236DF" w:rsidP="001236DF"/>
    <w:p w14:paraId="517AD072" w14:textId="77777777" w:rsidR="001236DF" w:rsidRPr="00200234" w:rsidRDefault="001236DF" w:rsidP="001236DF">
      <w:r w:rsidRPr="00200234">
        <w:t xml:space="preserve">Specialist OST services are specified by the Minister of Health under section 24A of the Misuse of Drugs Act 1975 and notified in the </w:t>
      </w:r>
      <w:r w:rsidRPr="00DB1FB1">
        <w:rPr>
          <w:i/>
          <w:iCs/>
        </w:rPr>
        <w:t>New Zealand Gazette</w:t>
      </w:r>
      <w:r>
        <w:rPr>
          <w:iCs/>
        </w:rPr>
        <w:t>.</w:t>
      </w:r>
      <w:r w:rsidRPr="005561B0">
        <w:rPr>
          <w:rStyle w:val="FootnoteReference"/>
        </w:rPr>
        <w:footnoteReference w:id="25"/>
      </w:r>
      <w:r w:rsidRPr="00200234">
        <w:t xml:space="preserve"> OST services in </w:t>
      </w:r>
      <w:r>
        <w:t xml:space="preserve">Aotearoa </w:t>
      </w:r>
      <w:r w:rsidRPr="00200234">
        <w:t xml:space="preserve">are expected to provide a standardised approach underpinned by concepts of </w:t>
      </w:r>
      <w:r>
        <w:t xml:space="preserve">centring the </w:t>
      </w:r>
      <w:r w:rsidRPr="00200234">
        <w:t>person, family and whānau</w:t>
      </w:r>
      <w:r>
        <w:t xml:space="preserve"> at the heart of</w:t>
      </w:r>
      <w:r w:rsidRPr="00200234">
        <w:t xml:space="preserve"> treatment, recovery, wellbeing and citizenship. To help services take this approach, </w:t>
      </w:r>
      <w:r>
        <w:t xml:space="preserve">the </w:t>
      </w:r>
      <w:r w:rsidRPr="00DB1FB1">
        <w:rPr>
          <w:i/>
          <w:iCs/>
        </w:rPr>
        <w:t>New Zealand Practice Guidelines for Opioid Substitution Treatment</w:t>
      </w:r>
      <w:r w:rsidRPr="005561B0">
        <w:rPr>
          <w:rStyle w:val="FootnoteReference"/>
        </w:rPr>
        <w:footnoteReference w:id="26"/>
      </w:r>
      <w:r w:rsidRPr="00200234">
        <w:t xml:space="preserve"> provides clinical and procedural guidance for specialist services and primary </w:t>
      </w:r>
      <w:r>
        <w:t xml:space="preserve">health </w:t>
      </w:r>
      <w:r w:rsidRPr="00200234">
        <w:t>care providers who deliver OST.</w:t>
      </w:r>
    </w:p>
    <w:p w14:paraId="6F9B8CBD" w14:textId="77777777" w:rsidR="001236DF" w:rsidRPr="00200234" w:rsidRDefault="001236DF" w:rsidP="001236DF"/>
    <w:p w14:paraId="3D731B02" w14:textId="77777777" w:rsidR="001236DF" w:rsidRPr="00200234" w:rsidRDefault="001236DF" w:rsidP="001236DF">
      <w:pPr>
        <w:keepLines/>
      </w:pPr>
      <w:r w:rsidRPr="00200234">
        <w:t xml:space="preserve">The medical officer of health, acting under delegated authority from the Minister of Health, designates specialist services and lead clinicians to provide treatment with controlled drugs to people who are dependent on controlled drugs, according to section 24A(7)(b) of the Misuse of Drugs Act 1975. These services are also subject to a Ministry audit every </w:t>
      </w:r>
      <w:r>
        <w:t>3</w:t>
      </w:r>
      <w:r w:rsidRPr="00200234">
        <w:t xml:space="preserve"> years, through the </w:t>
      </w:r>
      <w:r w:rsidRPr="00250E77">
        <w:rPr>
          <w:i/>
          <w:iCs/>
        </w:rPr>
        <w:t>Specialist Opioid Substitution Treatment (OST) Service Audit and Review Tool</w:t>
      </w:r>
      <w:r w:rsidRPr="00200234">
        <w:t>.</w:t>
      </w:r>
      <w:r w:rsidRPr="005561B0">
        <w:rPr>
          <w:rStyle w:val="FootnoteReference"/>
        </w:rPr>
        <w:footnoteReference w:id="27"/>
      </w:r>
    </w:p>
    <w:p w14:paraId="03DFE862" w14:textId="77777777" w:rsidR="001236DF" w:rsidRPr="00200234" w:rsidRDefault="001236DF" w:rsidP="001236DF">
      <w:bookmarkStart w:id="650" w:name="_Toc65141651"/>
    </w:p>
    <w:p w14:paraId="3FE2A41C" w14:textId="77777777" w:rsidR="001236DF" w:rsidRPr="00DD75F8" w:rsidRDefault="001236DF" w:rsidP="001236DF">
      <w:r w:rsidRPr="009A4134">
        <w:t xml:space="preserve">In summary, </w:t>
      </w:r>
      <w:r>
        <w:t>from 1 July 2020 to 30 June 2021:</w:t>
      </w:r>
      <w:r w:rsidRPr="005561B0">
        <w:rPr>
          <w:rStyle w:val="FootnoteReference"/>
        </w:rPr>
        <w:footnoteReference w:id="28"/>
      </w:r>
      <w:bookmarkEnd w:id="650"/>
    </w:p>
    <w:p w14:paraId="74BE9BF6" w14:textId="77777777" w:rsidR="001236DF" w:rsidRPr="00ED4FA1" w:rsidRDefault="001236DF" w:rsidP="00B86C90">
      <w:pPr>
        <w:pStyle w:val="Bullet"/>
      </w:pPr>
      <w:r>
        <w:t xml:space="preserve">5,542 </w:t>
      </w:r>
      <w:r w:rsidRPr="00ED4FA1">
        <w:t>people received OST</w:t>
      </w:r>
    </w:p>
    <w:p w14:paraId="4F722BBF" w14:textId="77777777" w:rsidR="001236DF" w:rsidRPr="00ED4FA1" w:rsidRDefault="001236DF" w:rsidP="00B86C90">
      <w:pPr>
        <w:pStyle w:val="Bullet"/>
      </w:pPr>
      <w:r>
        <w:t>78.7%</w:t>
      </w:r>
      <w:r w:rsidRPr="00ED4FA1">
        <w:t xml:space="preserve"> of these people were New Zealand European, </w:t>
      </w:r>
      <w:r>
        <w:t>16.2%</w:t>
      </w:r>
      <w:r w:rsidRPr="00ED4FA1">
        <w:t xml:space="preserve"> were Māori, </w:t>
      </w:r>
      <w:r>
        <w:t>1.3%</w:t>
      </w:r>
      <w:r w:rsidRPr="00ED4FA1">
        <w:t xml:space="preserve"> were Pacific peoples and </w:t>
      </w:r>
      <w:r>
        <w:t>3.8%</w:t>
      </w:r>
      <w:r w:rsidRPr="00ED4FA1">
        <w:t xml:space="preserve"> were of other ethnicit</w:t>
      </w:r>
      <w:r>
        <w:t>ies</w:t>
      </w:r>
    </w:p>
    <w:p w14:paraId="6A051022" w14:textId="77777777" w:rsidR="001236DF" w:rsidRPr="00DB2D47" w:rsidRDefault="001236DF" w:rsidP="00B86C90">
      <w:pPr>
        <w:pStyle w:val="Bullet"/>
      </w:pPr>
      <w:r w:rsidRPr="00722611">
        <w:t>66.8%</w:t>
      </w:r>
      <w:r w:rsidRPr="00ED4FA1">
        <w:t xml:space="preserve"> of clients receiving OST were over </w:t>
      </w:r>
      <w:r>
        <w:t>45</w:t>
      </w:r>
      <w:r w:rsidRPr="00DB2D47">
        <w:t xml:space="preserve"> years old</w:t>
      </w:r>
    </w:p>
    <w:p w14:paraId="5F48C8B5" w14:textId="77777777" w:rsidR="001236DF" w:rsidRDefault="001236DF" w:rsidP="00B86C90">
      <w:pPr>
        <w:pStyle w:val="Bullet"/>
      </w:pPr>
      <w:r w:rsidRPr="00E743B8">
        <w:t>26.9%</w:t>
      </w:r>
      <w:r w:rsidRPr="00ED4FA1">
        <w:t xml:space="preserve"> of people receiving OST were being treated by a general practitioner in a shared-care arrangement.</w:t>
      </w:r>
      <w:bookmarkStart w:id="651" w:name="_Toc65141652"/>
    </w:p>
    <w:p w14:paraId="03A19034" w14:textId="77777777" w:rsidR="001236DF" w:rsidRPr="00B86C90" w:rsidRDefault="001236DF" w:rsidP="00B86C90">
      <w:pPr>
        <w:pStyle w:val="Heading3"/>
      </w:pPr>
      <w:bookmarkStart w:id="652" w:name="_Toc65141653"/>
      <w:bookmarkStart w:id="653" w:name="_Toc87429937"/>
      <w:bookmarkStart w:id="654" w:name="_Toc115188833"/>
      <w:bookmarkEnd w:id="651"/>
      <w:r w:rsidRPr="00B86C90">
        <w:lastRenderedPageBreak/>
        <w:t>Service providers</w:t>
      </w:r>
      <w:bookmarkEnd w:id="652"/>
      <w:bookmarkEnd w:id="653"/>
      <w:bookmarkEnd w:id="654"/>
    </w:p>
    <w:p w14:paraId="6825C0CD" w14:textId="77777777" w:rsidR="001236DF" w:rsidRPr="00200234" w:rsidRDefault="001236DF" w:rsidP="001236DF">
      <w:r w:rsidRPr="00200234">
        <w:t>Three types of providers undertake OST services.</w:t>
      </w:r>
    </w:p>
    <w:p w14:paraId="0B62753B" w14:textId="77777777" w:rsidR="001236DF" w:rsidRPr="00200234" w:rsidRDefault="001236DF" w:rsidP="001236DF"/>
    <w:p w14:paraId="5B381C78" w14:textId="77777777" w:rsidR="001236DF" w:rsidRDefault="001236DF" w:rsidP="001236DF">
      <w:r w:rsidRPr="00200234">
        <w:rPr>
          <w:rFonts w:ascii="Segoe UI Semibold" w:hAnsi="Segoe UI Semibold" w:cs="Segoe UI Semibold"/>
        </w:rPr>
        <w:t>Specialist services</w:t>
      </w:r>
      <w:r>
        <w:rPr>
          <w:rFonts w:ascii="Segoe UI Semibold" w:hAnsi="Segoe UI Semibold" w:cs="Segoe UI Semibold"/>
        </w:rPr>
        <w:t>:</w:t>
      </w:r>
      <w:r w:rsidRPr="00200234">
        <w:t xml:space="preserve"> Specialist OST services are the entry point for nearly all people requiring treatment with controlled drugs. Specialist OST services will comprehensively assess the needs of clients, provide specialist interventions and stabilise clients. This creates a pathway for recovery planning, referrals for co-existing health needs and social support and eventually the transfer of treatment to a primary health provider or withdrawal from treatment altogether.</w:t>
      </w:r>
      <w:r>
        <w:t xml:space="preserve"> </w:t>
      </w:r>
    </w:p>
    <w:p w14:paraId="12A8FEBD" w14:textId="77777777" w:rsidR="001236DF" w:rsidRDefault="001236DF" w:rsidP="001236DF"/>
    <w:p w14:paraId="784155A6" w14:textId="77777777" w:rsidR="001236DF" w:rsidRDefault="001236DF" w:rsidP="001236DF">
      <w:r>
        <w:t xml:space="preserve">Between 1 July 2020 and 30 June 2021, </w:t>
      </w:r>
      <w:r w:rsidRPr="0081458F">
        <w:t>72.8%</w:t>
      </w:r>
      <w:r>
        <w:t xml:space="preserve"> of OST clients received that treatment from specialist services.</w:t>
      </w:r>
    </w:p>
    <w:p w14:paraId="7D7FBBF5" w14:textId="77777777" w:rsidR="001236DF" w:rsidRPr="00200234" w:rsidRDefault="001236DF" w:rsidP="001236DF"/>
    <w:p w14:paraId="285AB38C" w14:textId="77777777" w:rsidR="001236DF" w:rsidRDefault="001236DF" w:rsidP="001236DF">
      <w:r w:rsidRPr="00200234">
        <w:rPr>
          <w:rFonts w:ascii="Segoe UI Semibold" w:hAnsi="Segoe UI Semibold" w:cs="Segoe UI Semibold"/>
        </w:rPr>
        <w:t>Primary health</w:t>
      </w:r>
      <w:r>
        <w:rPr>
          <w:rFonts w:ascii="Segoe UI Semibold" w:hAnsi="Segoe UI Semibold" w:cs="Segoe UI Semibold"/>
        </w:rPr>
        <w:t>:</w:t>
      </w:r>
      <w:r w:rsidRPr="00200234">
        <w:rPr>
          <w:rFonts w:ascii="Segoe UI Semibold" w:hAnsi="Segoe UI Semibold" w:cs="Segoe UI Semibold"/>
        </w:rPr>
        <w:t xml:space="preserve"> </w:t>
      </w:r>
      <w:r w:rsidRPr="00200234">
        <w:t xml:space="preserve">Specialist addiction services work together with primary health care. This approach allows specialist services to focus on clients </w:t>
      </w:r>
      <w:r>
        <w:t>who have</w:t>
      </w:r>
      <w:r w:rsidRPr="00200234">
        <w:t xml:space="preserve"> the highest need and normalises the treatment process. </w:t>
      </w:r>
    </w:p>
    <w:p w14:paraId="3AA6B9FB" w14:textId="77777777" w:rsidR="001236DF" w:rsidRDefault="001236DF" w:rsidP="001236DF"/>
    <w:p w14:paraId="2939ADE6" w14:textId="77777777" w:rsidR="001236DF" w:rsidRPr="00200234" w:rsidRDefault="001236DF" w:rsidP="001236DF">
      <w:r>
        <w:t>Between 1 July 2020 and 30 June 2021</w:t>
      </w:r>
      <w:r w:rsidRPr="00200234">
        <w:t xml:space="preserve">, </w:t>
      </w:r>
      <w:r w:rsidRPr="0081458F">
        <w:t>27.2%</w:t>
      </w:r>
      <w:r w:rsidRPr="00200234">
        <w:t xml:space="preserve"> of OST clients </w:t>
      </w:r>
      <w:r>
        <w:t>received</w:t>
      </w:r>
      <w:r w:rsidRPr="00200234">
        <w:t xml:space="preserve"> that treatment from their general practitioner. The Ministry</w:t>
      </w:r>
      <w:r>
        <w:t>’</w:t>
      </w:r>
      <w:r w:rsidRPr="00200234">
        <w:t xml:space="preserve">s target for service provision is 50:50 between primary and specialist health care services. </w:t>
      </w:r>
    </w:p>
    <w:p w14:paraId="24D1109F" w14:textId="77777777" w:rsidR="001236DF" w:rsidRPr="00200234" w:rsidRDefault="001236DF" w:rsidP="001236DF"/>
    <w:p w14:paraId="037762DB" w14:textId="77777777" w:rsidR="001236DF" w:rsidRDefault="001236DF" w:rsidP="001236DF">
      <w:pPr>
        <w:keepLines/>
      </w:pPr>
      <w:r>
        <w:rPr>
          <w:rFonts w:ascii="Segoe UI Semibold" w:hAnsi="Segoe UI Semibold" w:cs="Segoe UI Semibold"/>
        </w:rPr>
        <w:t>Ara Poutama</w:t>
      </w:r>
      <w:r>
        <w:rPr>
          <w:rFonts w:ascii="Segoe UI Semibold" w:hAnsi="Segoe UI Semibold" w:cs="Segoe UI Semibold"/>
          <w:lang w:val="mi-NZ"/>
        </w:rPr>
        <w:t xml:space="preserve"> </w:t>
      </w:r>
      <w:r>
        <w:rPr>
          <w:rFonts w:cs="Segoe UI"/>
          <w:lang w:val="mi-NZ"/>
        </w:rPr>
        <w:t>—</w:t>
      </w:r>
      <w:r>
        <w:rPr>
          <w:rFonts w:ascii="Segoe UI Semibold" w:hAnsi="Segoe UI Semibold" w:cs="Segoe UI Semibold"/>
          <w:lang w:val="mi-NZ"/>
        </w:rPr>
        <w:t xml:space="preserve"> </w:t>
      </w:r>
      <w:r w:rsidRPr="00200234">
        <w:rPr>
          <w:rFonts w:ascii="Segoe UI Semibold" w:hAnsi="Segoe UI Semibold" w:cs="Segoe UI Semibold"/>
        </w:rPr>
        <w:t>Department of Corrections</w:t>
      </w:r>
      <w:r>
        <w:t xml:space="preserve"> (Ara Poutama)</w:t>
      </w:r>
      <w:r w:rsidRPr="00BA5D8C">
        <w:rPr>
          <w:rFonts w:ascii="Segoe UI Semibold" w:hAnsi="Segoe UI Semibold" w:cs="Segoe UI Semibold"/>
        </w:rPr>
        <w:t>:</w:t>
      </w:r>
      <w:r w:rsidRPr="00200234">
        <w:rPr>
          <w:rFonts w:ascii="Segoe UI Semibold" w:hAnsi="Segoe UI Semibold" w:cs="Segoe UI Semibold"/>
        </w:rPr>
        <w:t xml:space="preserve"> </w:t>
      </w:r>
      <w:r w:rsidRPr="00200234">
        <w:t xml:space="preserve">When a person receiving OST goes to prison, </w:t>
      </w:r>
      <w:r>
        <w:t xml:space="preserve">Ara Poutama </w:t>
      </w:r>
      <w:r w:rsidRPr="00200234">
        <w:t xml:space="preserve">ensures that the person continues to receive OST services, including psychosocial support and treatment from specialist services. </w:t>
      </w:r>
    </w:p>
    <w:p w14:paraId="16181CCA" w14:textId="77777777" w:rsidR="001236DF" w:rsidRDefault="001236DF" w:rsidP="001236DF">
      <w:pPr>
        <w:keepLines/>
      </w:pPr>
    </w:p>
    <w:p w14:paraId="361531D2" w14:textId="77777777" w:rsidR="001236DF" w:rsidRDefault="001236DF" w:rsidP="001236DF">
      <w:pPr>
        <w:keepLines/>
      </w:pPr>
      <w:r>
        <w:t>Between 1 July 2020 and 30 June 2021</w:t>
      </w:r>
      <w:r w:rsidRPr="00200234">
        <w:t xml:space="preserve">, </w:t>
      </w:r>
      <w:r>
        <w:t>less than 1%</w:t>
      </w:r>
      <w:r w:rsidRPr="00200234">
        <w:t xml:space="preserve"> of OST clients </w:t>
      </w:r>
      <w:r>
        <w:t>received</w:t>
      </w:r>
      <w:r w:rsidRPr="00200234">
        <w:t xml:space="preserve"> that treatment from </w:t>
      </w:r>
      <w:r>
        <w:t xml:space="preserve">Ara Poutama. </w:t>
      </w:r>
      <w:r w:rsidRPr="00200234">
        <w:t xml:space="preserve">Service providers and </w:t>
      </w:r>
      <w:r>
        <w:t>Ara Poutama</w:t>
      </w:r>
      <w:r w:rsidRPr="00200234">
        <w:t xml:space="preserve"> work together to initiate OST as appropriate for people who are imprisoned.</w:t>
      </w:r>
    </w:p>
    <w:p w14:paraId="66252738" w14:textId="77777777" w:rsidR="001236DF" w:rsidRDefault="001236DF" w:rsidP="001236DF">
      <w:pPr>
        <w:keepLines/>
      </w:pPr>
    </w:p>
    <w:p w14:paraId="3A5E78B2" w14:textId="77777777" w:rsidR="001236DF" w:rsidRPr="00200234" w:rsidRDefault="001236DF" w:rsidP="001236DF">
      <w:r>
        <w:t>Figure </w:t>
      </w:r>
      <w:r>
        <w:rPr>
          <w:noProof/>
        </w:rPr>
        <w:t>46</w:t>
      </w:r>
      <w:r w:rsidRPr="00200234">
        <w:t xml:space="preserve"> present</w:t>
      </w:r>
      <w:r>
        <w:t>s</w:t>
      </w:r>
      <w:r w:rsidRPr="00200234">
        <w:t xml:space="preserve"> the percentage of people receiving OST from specialist services and general practice in each DHB</w:t>
      </w:r>
      <w:r>
        <w:t xml:space="preserve"> in 2020/21. Figure </w:t>
      </w:r>
      <w:r>
        <w:rPr>
          <w:noProof/>
        </w:rPr>
        <w:t>47</w:t>
      </w:r>
      <w:r w:rsidRPr="00200234">
        <w:t xml:space="preserve"> shows the number of people receiving OST from each of these types of providers from </w:t>
      </w:r>
      <w:r w:rsidRPr="00D81FE9">
        <w:t>200</w:t>
      </w:r>
      <w:r>
        <w:t>8</w:t>
      </w:r>
      <w:r w:rsidRPr="00D81FE9">
        <w:t>/0</w:t>
      </w:r>
      <w:r>
        <w:t>9</w:t>
      </w:r>
      <w:r w:rsidRPr="00D81FE9">
        <w:t xml:space="preserve"> to 2020/</w:t>
      </w:r>
      <w:r>
        <w:t xml:space="preserve">21. This year-on-year data is different to that of past reports, as those used numbers from the July to December 6-monthly reports, and this report is now using numbers from the January to June 6-monthly reports. </w:t>
      </w:r>
    </w:p>
    <w:p w14:paraId="554906FA" w14:textId="77777777" w:rsidR="001236DF" w:rsidRPr="00200234" w:rsidRDefault="001236DF" w:rsidP="001236DF"/>
    <w:p w14:paraId="6D9D7524" w14:textId="6FB3BE88" w:rsidR="001236DF" w:rsidRPr="00197AAF" w:rsidRDefault="001236DF" w:rsidP="001236DF">
      <w:pPr>
        <w:pStyle w:val="Figure"/>
        <w:spacing w:after="0"/>
      </w:pPr>
      <w:bookmarkStart w:id="655" w:name="_Ref65672817"/>
      <w:bookmarkStart w:id="656" w:name="_Toc63764798"/>
      <w:bookmarkStart w:id="657" w:name="_Toc75176504"/>
      <w:bookmarkStart w:id="658" w:name="_Toc85442597"/>
      <w:bookmarkStart w:id="659" w:name="_Toc85445953"/>
      <w:bookmarkStart w:id="660" w:name="_Toc87429991"/>
      <w:bookmarkStart w:id="661" w:name="_Toc88561423"/>
      <w:bookmarkStart w:id="662" w:name="_Toc115188885"/>
      <w:bookmarkStart w:id="663" w:name="_Toc115272588"/>
      <w:r>
        <w:lastRenderedPageBreak/>
        <w:t>Figure </w:t>
      </w:r>
      <w:fldSimple w:instr=" SEQ Figure \* ARABIC ">
        <w:r w:rsidR="009A04B0">
          <w:rPr>
            <w:noProof/>
          </w:rPr>
          <w:t>46</w:t>
        </w:r>
      </w:fldSimple>
      <w:bookmarkEnd w:id="655"/>
      <w:r w:rsidRPr="00200234">
        <w:t xml:space="preserve">: </w:t>
      </w:r>
      <w:r w:rsidRPr="0064348D">
        <w:t xml:space="preserve">Percentage of people receiving opioid substitution treatment from specialist services and general practice, by DHB, 1 </w:t>
      </w:r>
      <w:bookmarkEnd w:id="656"/>
      <w:bookmarkEnd w:id="657"/>
      <w:bookmarkEnd w:id="658"/>
      <w:bookmarkEnd w:id="659"/>
      <w:bookmarkEnd w:id="660"/>
      <w:bookmarkEnd w:id="661"/>
      <w:r w:rsidRPr="0064348D">
        <w:t>July 2020 to 30 June 2021</w:t>
      </w:r>
      <w:bookmarkEnd w:id="662"/>
      <w:bookmarkEnd w:id="663"/>
    </w:p>
    <w:p w14:paraId="4CA3DB7E" w14:textId="77777777" w:rsidR="001236DF" w:rsidRPr="0064348D" w:rsidRDefault="001236DF" w:rsidP="001236DF">
      <w:r>
        <w:rPr>
          <w:noProof/>
        </w:rPr>
        <w:drawing>
          <wp:inline distT="0" distB="0" distL="0" distR="0" wp14:anchorId="5BBC6DE7" wp14:editId="4C6830FD">
            <wp:extent cx="5481320" cy="3162300"/>
            <wp:effectExtent l="0" t="0" r="5080" b="0"/>
            <wp:docPr id="13" name="Chart 13" descr="This bar graph shows that most people received opioid substitution treatment from specialist services compared to general practice. Auckland had the largest number of people receiving it from their GP, at just over 40%, while Tairawhiti DHB had about 2.4% of people receiving treatment from their GP. Most other DHBs were between 30 and 10% GPs.">
              <a:extLst xmlns:a="http://schemas.openxmlformats.org/drawingml/2006/main">
                <a:ext uri="{FF2B5EF4-FFF2-40B4-BE49-F238E27FC236}">
                  <a16:creationId xmlns:a16="http://schemas.microsoft.com/office/drawing/2014/main" id="{34E3E825-E8C2-4376-8E5C-3A2B1D1419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45283C87" w14:textId="77777777" w:rsidR="001236DF" w:rsidRPr="00200234" w:rsidRDefault="001236DF" w:rsidP="001236DF">
      <w:pPr>
        <w:pStyle w:val="Note"/>
        <w:spacing w:before="0"/>
      </w:pPr>
      <w:r w:rsidRPr="00200234">
        <w:t>Note</w:t>
      </w:r>
      <w:r>
        <w:t>s</w:t>
      </w:r>
      <w:r w:rsidRPr="00200234">
        <w:t>: GP = general practitioner.</w:t>
      </w:r>
      <w:r>
        <w:t xml:space="preserve"> ‘Auckland’ includes Auckland, Counties Manukau and Waitematā DHBs. ‘Capital &amp; Coast’ includes Capital &amp; Coast and Hutt Valley DHBs. ‘Canterbury’ includes one GP service operating in Christchurch.</w:t>
      </w:r>
    </w:p>
    <w:p w14:paraId="33A6D305" w14:textId="77777777" w:rsidR="001236DF" w:rsidRPr="00200234" w:rsidRDefault="001236DF" w:rsidP="001236DF">
      <w:pPr>
        <w:pStyle w:val="Source"/>
      </w:pPr>
      <w:r w:rsidRPr="00200234">
        <w:t>Source: Data provided by OST services in</w:t>
      </w:r>
      <w:r>
        <w:t xml:space="preserve"> January to June</w:t>
      </w:r>
      <w:r w:rsidRPr="00200234">
        <w:t xml:space="preserve"> </w:t>
      </w:r>
      <w:r>
        <w:t>6</w:t>
      </w:r>
      <w:r w:rsidRPr="00200234">
        <w:t>-monthly reports.</w:t>
      </w:r>
    </w:p>
    <w:p w14:paraId="21FA47B3" w14:textId="77777777" w:rsidR="001236DF" w:rsidRPr="00200234" w:rsidRDefault="001236DF" w:rsidP="001236DF"/>
    <w:p w14:paraId="199D728D" w14:textId="0034F600" w:rsidR="001236DF" w:rsidRDefault="001236DF" w:rsidP="001236DF">
      <w:pPr>
        <w:pStyle w:val="Figure"/>
      </w:pPr>
      <w:bookmarkStart w:id="664" w:name="_Ref65672913"/>
      <w:bookmarkStart w:id="665" w:name="_Toc63764800"/>
      <w:bookmarkStart w:id="666" w:name="_Toc75176505"/>
      <w:bookmarkStart w:id="667" w:name="_Toc85442598"/>
      <w:bookmarkStart w:id="668" w:name="_Toc85445954"/>
      <w:bookmarkStart w:id="669" w:name="_Toc87429992"/>
      <w:bookmarkStart w:id="670" w:name="_Toc88561424"/>
      <w:bookmarkStart w:id="671" w:name="_Toc115188886"/>
      <w:bookmarkStart w:id="672" w:name="_Toc115272589"/>
      <w:r>
        <w:t>Figure </w:t>
      </w:r>
      <w:fldSimple w:instr=" SEQ Figure \* ARABIC ">
        <w:r w:rsidR="009A04B0">
          <w:rPr>
            <w:noProof/>
          </w:rPr>
          <w:t>47</w:t>
        </w:r>
      </w:fldSimple>
      <w:bookmarkEnd w:id="664"/>
      <w:r w:rsidRPr="00D81FE9">
        <w:t>: Number of people receiving opioid substitution treatment from a specialist service, general practice or prison service, 200</w:t>
      </w:r>
      <w:r>
        <w:t>8</w:t>
      </w:r>
      <w:r w:rsidRPr="00D81FE9">
        <w:t>/0</w:t>
      </w:r>
      <w:r>
        <w:t>9</w:t>
      </w:r>
      <w:r w:rsidRPr="00D81FE9">
        <w:t>–20</w:t>
      </w:r>
      <w:bookmarkEnd w:id="665"/>
      <w:r w:rsidRPr="00D81FE9">
        <w:t>20</w:t>
      </w:r>
      <w:bookmarkEnd w:id="666"/>
      <w:bookmarkEnd w:id="667"/>
      <w:bookmarkEnd w:id="668"/>
      <w:bookmarkEnd w:id="669"/>
      <w:bookmarkEnd w:id="670"/>
      <w:r w:rsidRPr="00D81FE9">
        <w:t>/21</w:t>
      </w:r>
      <w:bookmarkEnd w:id="671"/>
      <w:bookmarkEnd w:id="672"/>
    </w:p>
    <w:p w14:paraId="48403A81" w14:textId="77777777" w:rsidR="001236DF" w:rsidRPr="00200234" w:rsidRDefault="001236DF" w:rsidP="001236DF">
      <w:r>
        <w:rPr>
          <w:noProof/>
        </w:rPr>
        <w:drawing>
          <wp:inline distT="0" distB="0" distL="0" distR="0" wp14:anchorId="7DCD3086" wp14:editId="06E4BDBC">
            <wp:extent cx="6010275" cy="3524250"/>
            <wp:effectExtent l="0" t="0" r="0" b="0"/>
            <wp:docPr id="49" name="Chart 49" descr="This bar graph shows that the number of people receiving opioid substitution treatment has increased over time from just over 4700 in 2008/09 financial year to about 5500 in 2020/21 financial year. The proportion of people receiving treatment at specialist services compared to general practice has remained relatively steady. Beginning in 2013, a small number of people began receiving treatment at prison services.">
              <a:extLst xmlns:a="http://schemas.openxmlformats.org/drawingml/2006/main">
                <a:ext uri="{FF2B5EF4-FFF2-40B4-BE49-F238E27FC236}">
                  <a16:creationId xmlns:a16="http://schemas.microsoft.com/office/drawing/2014/main"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631131F1" w14:textId="77777777" w:rsidR="001236DF" w:rsidRPr="00200234" w:rsidRDefault="001236DF" w:rsidP="001236DF">
      <w:pPr>
        <w:pStyle w:val="Note"/>
      </w:pPr>
      <w:r w:rsidRPr="00200234">
        <w:t>Note: Data for clients seen in prison collected from July 2013.</w:t>
      </w:r>
    </w:p>
    <w:p w14:paraId="25B5C48B" w14:textId="77777777" w:rsidR="001236DF" w:rsidRPr="00200234" w:rsidRDefault="001236DF" w:rsidP="001236DF">
      <w:pPr>
        <w:pStyle w:val="Source"/>
      </w:pPr>
      <w:r w:rsidRPr="00200234">
        <w:t>Source: Data provided by OST services in</w:t>
      </w:r>
      <w:r>
        <w:t xml:space="preserve"> January to June</w:t>
      </w:r>
      <w:r w:rsidRPr="00200234">
        <w:t xml:space="preserve"> </w:t>
      </w:r>
      <w:r>
        <w:t>6</w:t>
      </w:r>
      <w:r w:rsidRPr="00200234">
        <w:t>-monthly reports.</w:t>
      </w:r>
    </w:p>
    <w:p w14:paraId="4941C1BE" w14:textId="77777777" w:rsidR="001236DF" w:rsidRPr="00200234" w:rsidRDefault="001236DF" w:rsidP="001236DF"/>
    <w:p w14:paraId="7AB2672B" w14:textId="77777777" w:rsidR="001236DF" w:rsidRPr="00B86C90" w:rsidRDefault="001236DF" w:rsidP="00B86C90">
      <w:pPr>
        <w:pStyle w:val="Heading3"/>
      </w:pPr>
      <w:bookmarkStart w:id="673" w:name="_Toc65141654"/>
      <w:bookmarkStart w:id="674" w:name="_Toc87429938"/>
      <w:bookmarkStart w:id="675" w:name="_Toc115188834"/>
      <w:r w:rsidRPr="00B86C90">
        <w:lastRenderedPageBreak/>
        <w:t>Prescribing opioid treatments</w:t>
      </w:r>
      <w:bookmarkEnd w:id="673"/>
      <w:bookmarkEnd w:id="674"/>
      <w:bookmarkEnd w:id="675"/>
    </w:p>
    <w:p w14:paraId="292CD1F6" w14:textId="77777777" w:rsidR="001236DF" w:rsidRPr="00200234" w:rsidRDefault="001236DF" w:rsidP="001236DF">
      <w:r w:rsidRPr="00200234">
        <w:t>Replacing addictive substances like opioids with prescribed drugs is called pharmacotherapy. The purpose of this treatment is to stabilise the opioid user</w:t>
      </w:r>
      <w:r>
        <w:t>’</w:t>
      </w:r>
      <w:r w:rsidRPr="00200234">
        <w:t>s life and reduce harms related to drug use, such as the risk of overdose, blood-borne virus transmission and substance-related criminal activity.</w:t>
      </w:r>
    </w:p>
    <w:p w14:paraId="377F8F3A" w14:textId="77777777" w:rsidR="001236DF" w:rsidRPr="00200234" w:rsidRDefault="001236DF" w:rsidP="001236DF"/>
    <w:p w14:paraId="33A67B23" w14:textId="77777777" w:rsidR="001236DF" w:rsidRPr="00200234" w:rsidRDefault="001236DF" w:rsidP="001236DF">
      <w:r w:rsidRPr="00200234">
        <w:t xml:space="preserve">The </w:t>
      </w:r>
      <w:r>
        <w:t>2</w:t>
      </w:r>
      <w:r w:rsidRPr="00200234">
        <w:t xml:space="preserve"> types of pharmacotherapy are:</w:t>
      </w:r>
    </w:p>
    <w:p w14:paraId="14CECA1B" w14:textId="77777777" w:rsidR="001236DF" w:rsidRPr="00B86C90" w:rsidRDefault="001236DF" w:rsidP="00B86C90">
      <w:pPr>
        <w:pStyle w:val="Number"/>
        <w:spacing w:before="90"/>
        <w:ind w:left="426" w:hanging="426"/>
      </w:pPr>
      <w:r w:rsidRPr="00B86C90">
        <w:t>maintenance therapy — using opioid substitutes to remain on a stable dose</w:t>
      </w:r>
    </w:p>
    <w:p w14:paraId="5C2C1FDC" w14:textId="77777777" w:rsidR="001236DF" w:rsidRPr="00B86C90" w:rsidRDefault="001236DF" w:rsidP="00B86C90">
      <w:pPr>
        <w:pStyle w:val="Number"/>
        <w:spacing w:before="90"/>
        <w:ind w:left="426" w:hanging="426"/>
      </w:pPr>
      <w:r w:rsidRPr="00B86C90">
        <w:t>detox — using opioid substitutes to gradually withdraw from the substitute so the client can be free of all opioid substances.</w:t>
      </w:r>
    </w:p>
    <w:p w14:paraId="23CF21A7" w14:textId="77777777" w:rsidR="001236DF" w:rsidRPr="00200234" w:rsidRDefault="001236DF" w:rsidP="001236DF"/>
    <w:p w14:paraId="5C4AB844" w14:textId="77777777" w:rsidR="001236DF" w:rsidRPr="00200234" w:rsidRDefault="001236DF" w:rsidP="001236DF">
      <w:r w:rsidRPr="00200234">
        <w:t xml:space="preserve">Methadone has historically been the main </w:t>
      </w:r>
      <w:r>
        <w:t>OST</w:t>
      </w:r>
      <w:r w:rsidRPr="00200234">
        <w:t xml:space="preserve"> available. Clients need a daily dose, which in turn makes it necessary to place limits on prescribing and dispensing.</w:t>
      </w:r>
    </w:p>
    <w:p w14:paraId="398BF62D" w14:textId="77777777" w:rsidR="001236DF" w:rsidRPr="00200234" w:rsidRDefault="001236DF" w:rsidP="001236DF"/>
    <w:p w14:paraId="496FDE49" w14:textId="77777777" w:rsidR="001236DF" w:rsidRDefault="001236DF" w:rsidP="001236DF">
      <w:r w:rsidRPr="00200234">
        <w:t xml:space="preserve">In 2012, </w:t>
      </w:r>
      <w:r>
        <w:t>the Pharmaceutical Management Agency Ltd (</w:t>
      </w:r>
      <w:r w:rsidRPr="00200234">
        <w:t>P</w:t>
      </w:r>
      <w:r>
        <w:t>harmac)</w:t>
      </w:r>
      <w:r w:rsidRPr="00200234">
        <w:t xml:space="preserve"> began funding a buprenorphine-naloxone (suboxone) combination. Suboxone can be administered in cumulative doses that last several days, which reduces the risk of drug diversion and offers clients more normality in their lives. </w:t>
      </w:r>
      <w:r>
        <w:t>Figure </w:t>
      </w:r>
      <w:r>
        <w:rPr>
          <w:noProof/>
        </w:rPr>
        <w:t>48</w:t>
      </w:r>
      <w:r w:rsidRPr="00200234">
        <w:t xml:space="preserve"> presents the number of people prescribed suboxone from </w:t>
      </w:r>
      <w:r w:rsidRPr="00FE1E7E">
        <w:t>200</w:t>
      </w:r>
      <w:r>
        <w:t>8</w:t>
      </w:r>
      <w:r w:rsidRPr="00FE1E7E">
        <w:t>/0</w:t>
      </w:r>
      <w:r>
        <w:t>9</w:t>
      </w:r>
      <w:r w:rsidRPr="00FE1E7E">
        <w:t xml:space="preserve"> to 2020/21</w:t>
      </w:r>
      <w:r>
        <w:t>.</w:t>
      </w:r>
      <w:r w:rsidRPr="00200234">
        <w:t xml:space="preserve"> </w:t>
      </w:r>
    </w:p>
    <w:p w14:paraId="63AF6A5D" w14:textId="77777777" w:rsidR="001236DF" w:rsidRDefault="001236DF" w:rsidP="001236DF"/>
    <w:p w14:paraId="5B905570" w14:textId="77777777" w:rsidR="001236DF" w:rsidRDefault="001236DF" w:rsidP="001236DF">
      <w:r>
        <w:t>In the period 1 July</w:t>
      </w:r>
      <w:r w:rsidRPr="00200234">
        <w:t xml:space="preserve"> 20</w:t>
      </w:r>
      <w:r>
        <w:t>20 to 30 June 2021</w:t>
      </w:r>
      <w:r w:rsidRPr="00200234">
        <w:t xml:space="preserve">, </w:t>
      </w:r>
      <w:r>
        <w:t>20.2%</w:t>
      </w:r>
      <w:r w:rsidRPr="00200234">
        <w:t xml:space="preserve"> of</w:t>
      </w:r>
      <w:r>
        <w:t xml:space="preserve"> OST</w:t>
      </w:r>
      <w:r w:rsidRPr="00200234">
        <w:t xml:space="preserve"> clients were prescribed suboxone.</w:t>
      </w:r>
    </w:p>
    <w:p w14:paraId="4B2A99DB" w14:textId="77777777" w:rsidR="001236DF" w:rsidRDefault="001236DF" w:rsidP="001236DF"/>
    <w:p w14:paraId="3C5D3D2D" w14:textId="335EB355" w:rsidR="001236DF" w:rsidRDefault="001236DF" w:rsidP="001236DF">
      <w:pPr>
        <w:pStyle w:val="Figure"/>
      </w:pPr>
      <w:bookmarkStart w:id="676" w:name="_Ref65672928"/>
      <w:bookmarkStart w:id="677" w:name="_Toc63764801"/>
      <w:bookmarkStart w:id="678" w:name="_Toc75176506"/>
      <w:bookmarkStart w:id="679" w:name="_Toc85442599"/>
      <w:bookmarkStart w:id="680" w:name="_Toc85445955"/>
      <w:bookmarkStart w:id="681" w:name="_Toc87429993"/>
      <w:bookmarkStart w:id="682" w:name="_Toc88561425"/>
      <w:bookmarkStart w:id="683" w:name="_Toc115188887"/>
      <w:bookmarkStart w:id="684" w:name="_Toc115272590"/>
      <w:r>
        <w:t>Figure </w:t>
      </w:r>
      <w:fldSimple w:instr=" SEQ Figure \* ARABIC ">
        <w:r w:rsidR="009A04B0">
          <w:rPr>
            <w:noProof/>
          </w:rPr>
          <w:t>48</w:t>
        </w:r>
      </w:fldSimple>
      <w:bookmarkEnd w:id="676"/>
      <w:r w:rsidRPr="00200234">
        <w:t xml:space="preserve">: </w:t>
      </w:r>
      <w:r w:rsidRPr="004272A8">
        <w:t>Number of people prescribed suboxone, 20</w:t>
      </w:r>
      <w:r>
        <w:t>08/09</w:t>
      </w:r>
      <w:r w:rsidRPr="004272A8">
        <w:t>–20</w:t>
      </w:r>
      <w:bookmarkEnd w:id="677"/>
      <w:r w:rsidRPr="004272A8">
        <w:t>20</w:t>
      </w:r>
      <w:bookmarkEnd w:id="678"/>
      <w:bookmarkEnd w:id="679"/>
      <w:bookmarkEnd w:id="680"/>
      <w:bookmarkEnd w:id="681"/>
      <w:bookmarkEnd w:id="682"/>
      <w:r w:rsidRPr="004272A8">
        <w:t>/21</w:t>
      </w:r>
      <w:bookmarkEnd w:id="683"/>
      <w:bookmarkEnd w:id="684"/>
    </w:p>
    <w:p w14:paraId="6000C049" w14:textId="77777777" w:rsidR="001236DF" w:rsidRPr="004272A8" w:rsidRDefault="001236DF" w:rsidP="001236DF">
      <w:r>
        <w:rPr>
          <w:noProof/>
        </w:rPr>
        <w:drawing>
          <wp:inline distT="0" distB="0" distL="0" distR="0" wp14:anchorId="7198E524" wp14:editId="2E95C804">
            <wp:extent cx="5314950" cy="3343275"/>
            <wp:effectExtent l="0" t="0" r="0" b="0"/>
            <wp:docPr id="50" name="Chart 50" descr="This line graph shows that the number of people prescribed suboxone has increased from around 50 in 2008/09 financial year to just around 1,100 in 2020/21.">
              <a:extLst xmlns:a="http://schemas.openxmlformats.org/drawingml/2006/main">
                <a:ext uri="{FF2B5EF4-FFF2-40B4-BE49-F238E27FC236}">
                  <a16:creationId xmlns:a16="http://schemas.microsoft.com/office/drawing/2014/main" id="{00000000-0008-0000-0C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17DDA1AA" w14:textId="77777777" w:rsidR="001236DF" w:rsidRPr="00993F35" w:rsidRDefault="001236DF" w:rsidP="001236DF">
      <w:pPr>
        <w:pStyle w:val="Source"/>
      </w:pPr>
      <w:r w:rsidRPr="00200234">
        <w:t xml:space="preserve">Source: Data provided by OST services in </w:t>
      </w:r>
      <w:r>
        <w:t>January to June</w:t>
      </w:r>
      <w:r w:rsidRPr="00200234">
        <w:t xml:space="preserve"> </w:t>
      </w:r>
      <w:r>
        <w:t>6</w:t>
      </w:r>
      <w:r w:rsidRPr="00200234">
        <w:t>-monthly reports.</w:t>
      </w:r>
    </w:p>
    <w:p w14:paraId="2C8FB4E0" w14:textId="77777777" w:rsidR="001236DF" w:rsidRPr="00B86C90" w:rsidRDefault="001236DF" w:rsidP="00B86C90">
      <w:pPr>
        <w:pStyle w:val="Heading3"/>
      </w:pPr>
      <w:bookmarkStart w:id="685" w:name="_Toc65141655"/>
      <w:bookmarkStart w:id="686" w:name="_Toc87429939"/>
      <w:bookmarkStart w:id="687" w:name="_Toc115188835"/>
      <w:r w:rsidRPr="00B86C90">
        <w:lastRenderedPageBreak/>
        <w:t>The ageing population of opioid substitution treatment clients</w:t>
      </w:r>
      <w:bookmarkEnd w:id="685"/>
      <w:bookmarkEnd w:id="686"/>
      <w:bookmarkEnd w:id="687"/>
    </w:p>
    <w:p w14:paraId="201ABF1B" w14:textId="77777777" w:rsidR="001236DF" w:rsidRDefault="001236DF" w:rsidP="001236DF">
      <w:r w:rsidRPr="00200234">
        <w:t>OST clients are an ageing population</w:t>
      </w:r>
      <w:r>
        <w:t>.</w:t>
      </w:r>
      <w:r w:rsidRPr="00200234">
        <w:t xml:space="preserve"> </w:t>
      </w:r>
      <w:r>
        <w:t>Figure </w:t>
      </w:r>
      <w:r>
        <w:rPr>
          <w:noProof/>
        </w:rPr>
        <w:t>49</w:t>
      </w:r>
      <w:r w:rsidRPr="00200234">
        <w:t xml:space="preserve"> shows how clients in older groups have been increasing in </w:t>
      </w:r>
      <w:r w:rsidRPr="004272A8">
        <w:t>number from 200</w:t>
      </w:r>
      <w:r>
        <w:t>8</w:t>
      </w:r>
      <w:r w:rsidRPr="004272A8">
        <w:t>/0</w:t>
      </w:r>
      <w:r>
        <w:t>9</w:t>
      </w:r>
      <w:r w:rsidRPr="004272A8">
        <w:t xml:space="preserve"> to 2020/21</w:t>
      </w:r>
      <w:r w:rsidRPr="00200234">
        <w:t xml:space="preserve"> to the point that those over 45 years of age are now the most likely </w:t>
      </w:r>
      <w:r>
        <w:t xml:space="preserve">age group </w:t>
      </w:r>
      <w:r w:rsidRPr="00200234">
        <w:t xml:space="preserve">to be receiving </w:t>
      </w:r>
      <w:r>
        <w:t>OST</w:t>
      </w:r>
      <w:r w:rsidRPr="00200234">
        <w:t xml:space="preserve">. </w:t>
      </w:r>
    </w:p>
    <w:p w14:paraId="3D223E75" w14:textId="77777777" w:rsidR="001236DF" w:rsidRDefault="001236DF" w:rsidP="001236DF"/>
    <w:p w14:paraId="65C2EB90" w14:textId="77777777" w:rsidR="001236DF" w:rsidRPr="00200234" w:rsidRDefault="001236DF" w:rsidP="001236DF">
      <w:r>
        <w:t>Between 1 July 2020 and 30 June 2021</w:t>
      </w:r>
      <w:r w:rsidRPr="00200234">
        <w:t xml:space="preserve">, </w:t>
      </w:r>
      <w:r>
        <w:t xml:space="preserve">the majority </w:t>
      </w:r>
      <w:r w:rsidRPr="00200234">
        <w:t xml:space="preserve">of clients </w:t>
      </w:r>
      <w:r>
        <w:t>(</w:t>
      </w:r>
      <w:r w:rsidRPr="00776A6A">
        <w:t>66.8%)</w:t>
      </w:r>
      <w:r w:rsidRPr="00200234">
        <w:t xml:space="preserve"> were over 45 years old</w:t>
      </w:r>
      <w:r>
        <w:t xml:space="preserve">. </w:t>
      </w:r>
      <w:r w:rsidRPr="00200234">
        <w:t>Treating an ageing population brings with it more health complications.</w:t>
      </w:r>
    </w:p>
    <w:p w14:paraId="01D3E415" w14:textId="77777777" w:rsidR="001236DF" w:rsidRPr="00200234" w:rsidRDefault="001236DF" w:rsidP="001236DF"/>
    <w:p w14:paraId="38E1BB44" w14:textId="7C775612" w:rsidR="001236DF" w:rsidRDefault="001236DF" w:rsidP="001236DF">
      <w:pPr>
        <w:pStyle w:val="Figure"/>
      </w:pPr>
      <w:bookmarkStart w:id="688" w:name="_Ref65672935"/>
      <w:bookmarkStart w:id="689" w:name="_Toc63764802"/>
      <w:bookmarkStart w:id="690" w:name="_Toc75176507"/>
      <w:bookmarkStart w:id="691" w:name="_Toc85442600"/>
      <w:bookmarkStart w:id="692" w:name="_Toc85445956"/>
      <w:bookmarkStart w:id="693" w:name="_Toc87429994"/>
      <w:bookmarkStart w:id="694" w:name="_Toc88561426"/>
      <w:bookmarkStart w:id="695" w:name="_Toc115188888"/>
      <w:bookmarkStart w:id="696" w:name="_Toc115272591"/>
      <w:r>
        <w:t>Figure </w:t>
      </w:r>
      <w:fldSimple w:instr=" SEQ Figure \* ARABIC ">
        <w:r w:rsidR="009A04B0">
          <w:rPr>
            <w:noProof/>
          </w:rPr>
          <w:t>49</w:t>
        </w:r>
      </w:fldSimple>
      <w:bookmarkEnd w:id="688"/>
      <w:r w:rsidRPr="00200234">
        <w:t xml:space="preserve">: </w:t>
      </w:r>
      <w:r w:rsidRPr="00197AAF">
        <w:t>Number of opioid substitution treatment clients, by age group, 200</w:t>
      </w:r>
      <w:r>
        <w:t>8</w:t>
      </w:r>
      <w:r w:rsidRPr="00197AAF">
        <w:t>/0</w:t>
      </w:r>
      <w:r>
        <w:t>9</w:t>
      </w:r>
      <w:r w:rsidRPr="00197AAF">
        <w:t>–20</w:t>
      </w:r>
      <w:bookmarkEnd w:id="689"/>
      <w:r w:rsidRPr="00197AAF">
        <w:t>20</w:t>
      </w:r>
      <w:bookmarkEnd w:id="690"/>
      <w:bookmarkEnd w:id="691"/>
      <w:bookmarkEnd w:id="692"/>
      <w:bookmarkEnd w:id="693"/>
      <w:bookmarkEnd w:id="694"/>
      <w:r w:rsidRPr="00197AAF">
        <w:t>/21</w:t>
      </w:r>
      <w:bookmarkEnd w:id="695"/>
      <w:bookmarkEnd w:id="696"/>
    </w:p>
    <w:p w14:paraId="46D9FE0A" w14:textId="77777777" w:rsidR="001236DF" w:rsidRDefault="001236DF" w:rsidP="001236DF">
      <w:r>
        <w:rPr>
          <w:noProof/>
        </w:rPr>
        <w:drawing>
          <wp:inline distT="0" distB="0" distL="0" distR="0" wp14:anchorId="1488ABE1" wp14:editId="5F06F7AE">
            <wp:extent cx="5362575" cy="3333750"/>
            <wp:effectExtent l="0" t="0" r="0" b="0"/>
            <wp:docPr id="51" name="Chart 51" descr="This line graph shows that in 2008/09 there were about 2600 clients aged 30-44, decreasing to about 1550 in 2020/21. The number of clients aged 45-59 has increased from about 1770 in 2008/09 to just around 2800 in 2020/21. The number of clients aged 19-29 has gradually decreased from around 430 in 2008/09 to 300 in 2020/21. The number of clients over 60 has increased from about 60 to about 870 in the same period.">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33F3AA6A" w14:textId="77777777" w:rsidR="001236DF" w:rsidRDefault="001236DF" w:rsidP="001236DF">
      <w:pPr>
        <w:pStyle w:val="Source"/>
      </w:pPr>
      <w:r w:rsidRPr="00200234">
        <w:t xml:space="preserve">Source: Data provided by OST services in </w:t>
      </w:r>
      <w:r>
        <w:t>January to June</w:t>
      </w:r>
      <w:r w:rsidRPr="00200234">
        <w:t xml:space="preserve"> </w:t>
      </w:r>
      <w:r>
        <w:t>6</w:t>
      </w:r>
      <w:r w:rsidRPr="00200234">
        <w:t>-monthly reports.</w:t>
      </w:r>
    </w:p>
    <w:p w14:paraId="25DD63C0" w14:textId="77777777" w:rsidR="001236DF" w:rsidRPr="00B86C90" w:rsidRDefault="001236DF" w:rsidP="00B86C90">
      <w:pPr>
        <w:pStyle w:val="Heading3"/>
      </w:pPr>
      <w:bookmarkStart w:id="697" w:name="_Toc65141656"/>
      <w:bookmarkStart w:id="698" w:name="_Toc87429940"/>
      <w:bookmarkStart w:id="699" w:name="_Toc115188836"/>
      <w:r w:rsidRPr="00B86C90">
        <w:t>Exit from</w:t>
      </w:r>
      <w:bookmarkEnd w:id="697"/>
      <w:r w:rsidRPr="00B86C90">
        <w:t xml:space="preserve"> opioid substitution treatment</w:t>
      </w:r>
      <w:bookmarkEnd w:id="698"/>
      <w:bookmarkEnd w:id="699"/>
    </w:p>
    <w:p w14:paraId="39487BEA" w14:textId="77777777" w:rsidR="001236DF" w:rsidRPr="00200234" w:rsidRDefault="001236DF" w:rsidP="001236DF">
      <w:r w:rsidRPr="009A4134">
        <w:t xml:space="preserve">In summary, </w:t>
      </w:r>
      <w:r>
        <w:t>between 1 July 2020 and 30 June 2021</w:t>
      </w:r>
      <w:r w:rsidRPr="00200234">
        <w:t>:</w:t>
      </w:r>
    </w:p>
    <w:p w14:paraId="2CC69E92" w14:textId="77777777" w:rsidR="001236DF" w:rsidRDefault="001236DF" w:rsidP="001236DF">
      <w:pPr>
        <w:pStyle w:val="Bullet"/>
      </w:pPr>
      <w:r>
        <w:t>311</w:t>
      </w:r>
      <w:r w:rsidRPr="00ED4FA1">
        <w:t xml:space="preserve"> people voluntarily withdrew from OST, which accounted for</w:t>
      </w:r>
      <w:r>
        <w:t xml:space="preserve"> 93.7%</w:t>
      </w:r>
      <w:r w:rsidRPr="00ED4FA1">
        <w:t xml:space="preserve"> of all people who exited from OST that year</w:t>
      </w:r>
    </w:p>
    <w:p w14:paraId="5ABE035B" w14:textId="77777777" w:rsidR="001236DF" w:rsidRPr="00ED4FA1" w:rsidRDefault="001236DF" w:rsidP="001236DF">
      <w:pPr>
        <w:pStyle w:val="Bullet"/>
      </w:pPr>
      <w:r>
        <w:t>there was a total of 21</w:t>
      </w:r>
      <w:r w:rsidRPr="00ED4FA1">
        <w:t xml:space="preserve"> involuntary withdrawals (</w:t>
      </w:r>
      <w:r>
        <w:t>6.3%</w:t>
      </w:r>
      <w:r w:rsidRPr="00ED4FA1">
        <w:t xml:space="preserve"> of all </w:t>
      </w:r>
      <w:r>
        <w:t>exits</w:t>
      </w:r>
      <w:r w:rsidRPr="00ED4FA1">
        <w:t>).</w:t>
      </w:r>
      <w:r>
        <w:t xml:space="preserve"> </w:t>
      </w:r>
      <w:r w:rsidRPr="00ED4FA1">
        <w:t>Involuntary withdrawals are the result of behavioural risks that jeopardise the safety of the client or others</w:t>
      </w:r>
    </w:p>
    <w:p w14:paraId="46939C5D" w14:textId="77777777" w:rsidR="001236DF" w:rsidRPr="00ED4FA1" w:rsidRDefault="001236DF" w:rsidP="001236DF">
      <w:pPr>
        <w:pStyle w:val="Bullet"/>
      </w:pPr>
      <w:r>
        <w:t xml:space="preserve">63 </w:t>
      </w:r>
      <w:r w:rsidRPr="00ED4FA1">
        <w:t xml:space="preserve">people </w:t>
      </w:r>
      <w:r>
        <w:t xml:space="preserve">who had been </w:t>
      </w:r>
      <w:r w:rsidRPr="00ED4FA1">
        <w:t xml:space="preserve">receiving OST died. A small proportion of these people died of a suspected overdose. When a client dies of a suspected overdose, the Ministry requires services to conduct an incident review and report it to the medical officer of health. The remaining deaths </w:t>
      </w:r>
      <w:r>
        <w:t>can be the result of</w:t>
      </w:r>
      <w:r w:rsidRPr="00ED4FA1">
        <w:t xml:space="preserve"> a range of other causes, such as cancer and cardiovascular disease.</w:t>
      </w:r>
    </w:p>
    <w:p w14:paraId="27E2819D" w14:textId="77777777" w:rsidR="001236DF" w:rsidRDefault="001236DF" w:rsidP="001236DF"/>
    <w:p w14:paraId="3793381B" w14:textId="6C23A386" w:rsidR="001236DF" w:rsidRDefault="001236DF" w:rsidP="001236DF">
      <w:r>
        <w:lastRenderedPageBreak/>
        <w:t>Figure 50</w:t>
      </w:r>
      <w:r w:rsidRPr="00ED4FA1">
        <w:t xml:space="preserve"> gives an overview of the reasons for </w:t>
      </w:r>
      <w:r>
        <w:t>exit from treatment</w:t>
      </w:r>
      <w:r w:rsidRPr="00ED4FA1">
        <w:t xml:space="preserve"> (voluntary, involuntary or death) over time, from </w:t>
      </w:r>
      <w:r w:rsidRPr="00D35256">
        <w:t>2008/09 to 2020/21</w:t>
      </w:r>
      <w:r w:rsidRPr="00ED4FA1">
        <w:t>.</w:t>
      </w:r>
    </w:p>
    <w:p w14:paraId="2E454A3C" w14:textId="77777777" w:rsidR="00F10DDC" w:rsidRPr="00200234" w:rsidRDefault="00F10DDC" w:rsidP="001236DF"/>
    <w:p w14:paraId="25DC3602" w14:textId="0A6C1FE8" w:rsidR="001236DF" w:rsidRDefault="001236DF" w:rsidP="001236DF">
      <w:pPr>
        <w:pStyle w:val="Figure"/>
      </w:pPr>
      <w:bookmarkStart w:id="700" w:name="_Ref65672943"/>
      <w:bookmarkStart w:id="701" w:name="_Toc63764803"/>
      <w:bookmarkStart w:id="702" w:name="_Toc75176508"/>
      <w:bookmarkStart w:id="703" w:name="_Toc85442601"/>
      <w:bookmarkStart w:id="704" w:name="_Toc85445957"/>
      <w:bookmarkStart w:id="705" w:name="_Toc87429995"/>
      <w:bookmarkStart w:id="706" w:name="_Toc88561427"/>
      <w:bookmarkStart w:id="707" w:name="_Toc115188889"/>
      <w:bookmarkStart w:id="708" w:name="_Toc115272592"/>
      <w:r>
        <w:t>Figure </w:t>
      </w:r>
      <w:fldSimple w:instr=" SEQ Figure \* ARABIC ">
        <w:r w:rsidR="009A04B0">
          <w:rPr>
            <w:noProof/>
          </w:rPr>
          <w:t>50</w:t>
        </w:r>
      </w:fldSimple>
      <w:bookmarkEnd w:id="700"/>
      <w:r w:rsidRPr="00D35256">
        <w:t xml:space="preserve">: Percentage of </w:t>
      </w:r>
      <w:r>
        <w:t>exits</w:t>
      </w:r>
      <w:r w:rsidRPr="00D35256">
        <w:t xml:space="preserve"> from opioid substitution treatment programmes, by reason (voluntary, involuntary or death), 2008</w:t>
      </w:r>
      <w:r>
        <w:t>/09</w:t>
      </w:r>
      <w:r w:rsidRPr="00D35256">
        <w:t>–20</w:t>
      </w:r>
      <w:bookmarkEnd w:id="701"/>
      <w:r w:rsidRPr="00D35256">
        <w:t>20</w:t>
      </w:r>
      <w:bookmarkEnd w:id="702"/>
      <w:bookmarkEnd w:id="703"/>
      <w:bookmarkEnd w:id="704"/>
      <w:bookmarkEnd w:id="705"/>
      <w:bookmarkEnd w:id="706"/>
      <w:r>
        <w:t>/21</w:t>
      </w:r>
      <w:bookmarkEnd w:id="707"/>
      <w:bookmarkEnd w:id="708"/>
    </w:p>
    <w:p w14:paraId="0C10A82C" w14:textId="77777777" w:rsidR="001236DF" w:rsidRPr="00200234" w:rsidRDefault="001236DF" w:rsidP="001236DF">
      <w:r>
        <w:rPr>
          <w:noProof/>
        </w:rPr>
        <w:drawing>
          <wp:inline distT="0" distB="0" distL="0" distR="0" wp14:anchorId="7C9A2C88" wp14:editId="26FDC45F">
            <wp:extent cx="5540375" cy="4048125"/>
            <wp:effectExtent l="0" t="0" r="3175" b="0"/>
            <wp:docPr id="52" name="Chart 52" descr="This bar graph shows most people withdraw voluntarily. This has varied over the years from 74% in 2008/09 to 79% in 2020/21. Apart from years 2010/11-2011/12, client deaths have been the next largest group. After 2012, the number of involuntary withdrawals was never higher than 7%, except 10% in 2016/17.">
              <a:extLst xmlns:a="http://schemas.openxmlformats.org/drawingml/2006/main">
                <a:ext uri="{FF2B5EF4-FFF2-40B4-BE49-F238E27FC236}">
                  <a16:creationId xmlns:a16="http://schemas.microsoft.com/office/drawing/2014/main" id="{00000000-0008-0000-0C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7610515C" w14:textId="77777777" w:rsidR="001236DF" w:rsidRPr="00200234" w:rsidRDefault="001236DF" w:rsidP="001236DF">
      <w:pPr>
        <w:pStyle w:val="Source"/>
        <w:rPr>
          <w:rFonts w:cs="Segoe UI"/>
        </w:rPr>
      </w:pPr>
      <w:r w:rsidRPr="00200234">
        <w:t xml:space="preserve">Source: Data provided by OST services in </w:t>
      </w:r>
      <w:r>
        <w:t>6</w:t>
      </w:r>
      <w:r w:rsidRPr="00200234">
        <w:t>-monthly reports</w:t>
      </w:r>
      <w:r>
        <w:t>.</w:t>
      </w:r>
    </w:p>
    <w:p w14:paraId="6B0E2B28" w14:textId="77777777" w:rsidR="001236DF" w:rsidRDefault="001236DF" w:rsidP="001236DF">
      <w:pPr>
        <w:pStyle w:val="Heading2"/>
      </w:pPr>
      <w:bookmarkStart w:id="709" w:name="_Toc87429934"/>
      <w:bookmarkStart w:id="710" w:name="_Toc88826982"/>
      <w:bookmarkStart w:id="711" w:name="_Toc115188837"/>
      <w:bookmarkStart w:id="712" w:name="_Toc65141649"/>
      <w:bookmarkStart w:id="713" w:name="_Toc75176466"/>
      <w:bookmarkStart w:id="714" w:name="_Toc115431731"/>
      <w:r>
        <w:t>Substance Addiction (Compulsory Assessment and Treatment) Act 2017</w:t>
      </w:r>
      <w:bookmarkEnd w:id="709"/>
      <w:bookmarkEnd w:id="710"/>
      <w:bookmarkEnd w:id="711"/>
      <w:bookmarkEnd w:id="714"/>
    </w:p>
    <w:p w14:paraId="199A9DBC" w14:textId="77777777" w:rsidR="001236DF" w:rsidRDefault="001236DF" w:rsidP="001236DF">
      <w:r>
        <w:t>In February 2018, the Substance Addiction (Compulsory Assessment and Treatment) Act 2017 (the Substance Addiction Act) came into force, replacing the Alcoholism and Drug Addiction Act 1996. The Substance Addiction Act is designed to help people who have a severe substance addiction and impaired capacity to make decisions about engaging in treatment. This legislation is better equipped than the earlier Act to protect the human rights and cultural needs of patients and their families and whānau, and it places greater emphasis on enhancing mana and following a health-based approach.</w:t>
      </w:r>
    </w:p>
    <w:p w14:paraId="5BA2070B" w14:textId="77777777" w:rsidR="001236DF" w:rsidRDefault="001236DF" w:rsidP="001236DF"/>
    <w:p w14:paraId="71F5115A" w14:textId="77777777" w:rsidR="001236DF" w:rsidRDefault="001236DF" w:rsidP="001236DF">
      <w:r>
        <w:t xml:space="preserve">Section 119 of the Substance Addiction Act requires the Ministry to publish certain information in its annual report, such as the number of people who received </w:t>
      </w:r>
      <w:r>
        <w:lastRenderedPageBreak/>
        <w:t xml:space="preserve">compulsory treatment. You can find the latest annual report, covering the 2020/21 financial year, by searching ‘annual reports’ on the Ministry’s website, </w:t>
      </w:r>
      <w:hyperlink r:id="rId79" w:history="1">
        <w:r w:rsidRPr="00172C65">
          <w:rPr>
            <w:rStyle w:val="Hyperlink"/>
          </w:rPr>
          <w:t>health.govt.nz</w:t>
        </w:r>
      </w:hyperlink>
      <w:r>
        <w:t>.</w:t>
      </w:r>
    </w:p>
    <w:p w14:paraId="61A79A29" w14:textId="77777777" w:rsidR="001236DF" w:rsidRPr="00200234" w:rsidRDefault="001236DF" w:rsidP="001236DF">
      <w:pPr>
        <w:pStyle w:val="Heading2"/>
      </w:pPr>
      <w:bookmarkStart w:id="715" w:name="_Toc87429935"/>
      <w:bookmarkStart w:id="716" w:name="_Toc88826983"/>
      <w:bookmarkStart w:id="717" w:name="_Toc115188838"/>
      <w:bookmarkStart w:id="718" w:name="_Toc115431732"/>
      <w:r w:rsidRPr="00200234">
        <w:t>Land Transport Act 1998</w:t>
      </w:r>
      <w:bookmarkEnd w:id="712"/>
      <w:bookmarkEnd w:id="713"/>
      <w:bookmarkEnd w:id="715"/>
      <w:bookmarkEnd w:id="716"/>
      <w:bookmarkEnd w:id="717"/>
      <w:bookmarkEnd w:id="718"/>
    </w:p>
    <w:p w14:paraId="75D20975" w14:textId="77777777" w:rsidR="001236DF" w:rsidRPr="00200234" w:rsidRDefault="001236DF" w:rsidP="001236DF">
      <w:pPr>
        <w:keepLines/>
      </w:pPr>
      <w:r w:rsidRPr="00200234">
        <w:t xml:space="preserve">In </w:t>
      </w:r>
      <w:r>
        <w:t>2021</w:t>
      </w:r>
      <w:r w:rsidRPr="00200234">
        <w:t xml:space="preserve">, the Office of the Director of Mental Health and Addiction Services continued to work with </w:t>
      </w:r>
      <w:r>
        <w:t>Waka Kotahi New Zealand</w:t>
      </w:r>
      <w:r w:rsidRPr="00200234">
        <w:t xml:space="preserve"> Transport Agency</w:t>
      </w:r>
      <w:r>
        <w:t xml:space="preserve"> (Waka Kotahi)</w:t>
      </w:r>
      <w:r w:rsidRPr="00200234">
        <w:t xml:space="preserve">, </w:t>
      </w:r>
      <w:r>
        <w:t xml:space="preserve">the </w:t>
      </w:r>
      <w:r w:rsidRPr="00200234">
        <w:t xml:space="preserve">Ministry of Transport and </w:t>
      </w:r>
      <w:r w:rsidRPr="00271864">
        <w:t>the Drug and Alcohol Practitioners</w:t>
      </w:r>
      <w:r>
        <w:t>’</w:t>
      </w:r>
      <w:r w:rsidRPr="00271864">
        <w:t xml:space="preserve"> Association Aotearoa</w:t>
      </w:r>
      <w:r>
        <w:t xml:space="preserve"> </w:t>
      </w:r>
      <w:r w:rsidRPr="00271864">
        <w:t>New Zealand (DAPAANZ)</w:t>
      </w:r>
      <w:r w:rsidRPr="00200234">
        <w:t xml:space="preserve"> to monitor the reinstatement of drivers disqualified for offences involving alcohol or drugs and to approve assessment centres as stated under section 65A of the Land Transport Act 1998. This section provides for the mandatory indefinite disqualification of driver licences and assessment for repeat driving offenders involving drugs or alcohol. For a </w:t>
      </w:r>
      <w:r>
        <w:t xml:space="preserve">driver </w:t>
      </w:r>
      <w:r w:rsidRPr="00200234">
        <w:t xml:space="preserve">licence to be reinstated, the person must </w:t>
      </w:r>
      <w:r>
        <w:t>undergo</w:t>
      </w:r>
      <w:r w:rsidRPr="00200234">
        <w:t xml:space="preserve"> an assessment of how well they are managing their substance use or addictive behaviours </w:t>
      </w:r>
      <w:r>
        <w:t xml:space="preserve">at </w:t>
      </w:r>
      <w:r w:rsidRPr="00200234">
        <w:t xml:space="preserve">an approved assessment centre. The assessment centres send copies of their reports to </w:t>
      </w:r>
      <w:r>
        <w:t>Waka Kotahi</w:t>
      </w:r>
      <w:r w:rsidRPr="00200234">
        <w:t>, which decides whether to reinstate the person</w:t>
      </w:r>
      <w:r>
        <w:t>’</w:t>
      </w:r>
      <w:r w:rsidRPr="00200234">
        <w:t>s licence.</w:t>
      </w:r>
    </w:p>
    <w:p w14:paraId="15C1C34B" w14:textId="77777777" w:rsidR="001236DF" w:rsidRPr="00200234" w:rsidRDefault="001236DF" w:rsidP="001236DF"/>
    <w:p w14:paraId="456DDC67" w14:textId="77777777" w:rsidR="001236DF" w:rsidRDefault="001236DF" w:rsidP="001236DF">
      <w:r w:rsidRPr="00200234">
        <w:t>The Director-General of Health approves assessment centres. Establishments and individuals applying to be an approved assessment centre must demonstrate that they are competent in assessing alcohol and other drug problems and are a registered and experienced alcohol and drug practitioner.</w:t>
      </w:r>
    </w:p>
    <w:p w14:paraId="22AD3230" w14:textId="77777777" w:rsidR="001236DF" w:rsidRDefault="001236DF" w:rsidP="001236DF">
      <w:pPr>
        <w:spacing w:after="160" w:line="259" w:lineRule="auto"/>
      </w:pPr>
      <w:r>
        <w:br w:type="page"/>
      </w:r>
    </w:p>
    <w:p w14:paraId="696B1BF3" w14:textId="77777777" w:rsidR="001236DF" w:rsidRPr="00200234" w:rsidRDefault="001236DF" w:rsidP="001236DF">
      <w:pPr>
        <w:pStyle w:val="Heading1"/>
      </w:pPr>
      <w:bookmarkStart w:id="719" w:name="_Toc65141657"/>
      <w:bookmarkStart w:id="720" w:name="_Toc75176468"/>
      <w:bookmarkStart w:id="721" w:name="_Toc87429941"/>
      <w:bookmarkStart w:id="722" w:name="_Ref88547600"/>
      <w:bookmarkStart w:id="723" w:name="_Toc88826985"/>
      <w:bookmarkStart w:id="724" w:name="_Toc115188839"/>
      <w:bookmarkStart w:id="725" w:name="_Toc115431733"/>
      <w:r w:rsidRPr="00200234">
        <w:lastRenderedPageBreak/>
        <w:t>Appendix: Additional</w:t>
      </w:r>
      <w:r>
        <w:t> s</w:t>
      </w:r>
      <w:r w:rsidRPr="00200234">
        <w:t>tatistics</w:t>
      </w:r>
      <w:bookmarkStart w:id="726" w:name="_Toc65141658"/>
      <w:bookmarkStart w:id="727" w:name="_Toc75176469"/>
      <w:bookmarkStart w:id="728" w:name="_Toc87429942"/>
      <w:bookmarkStart w:id="729" w:name="_Toc88826986"/>
      <w:bookmarkEnd w:id="719"/>
      <w:bookmarkEnd w:id="720"/>
      <w:bookmarkEnd w:id="721"/>
      <w:bookmarkEnd w:id="722"/>
      <w:bookmarkEnd w:id="723"/>
      <w:r>
        <w:t xml:space="preserve"> – </w:t>
      </w:r>
      <w:r w:rsidRPr="00200234">
        <w:t>Ministry of Justice</w:t>
      </w:r>
      <w:bookmarkEnd w:id="724"/>
      <w:bookmarkEnd w:id="725"/>
      <w:bookmarkEnd w:id="726"/>
      <w:bookmarkEnd w:id="727"/>
      <w:bookmarkEnd w:id="728"/>
      <w:bookmarkEnd w:id="729"/>
    </w:p>
    <w:p w14:paraId="4D1C222D" w14:textId="77777777" w:rsidR="001236DF" w:rsidRPr="00200234" w:rsidRDefault="001236DF" w:rsidP="001236DF">
      <w:r w:rsidRPr="00200234">
        <w:t xml:space="preserve">Table A1 presents data on applications for a compulsory treatment order </w:t>
      </w:r>
      <w:r w:rsidRPr="00EC646D">
        <w:t>from the 2004/05 financial year to 2020/21</w:t>
      </w:r>
      <w:r w:rsidRPr="00200234">
        <w:t>. Table A2 shows the types of orders granted over the same period.</w:t>
      </w:r>
    </w:p>
    <w:p w14:paraId="4B57FD93" w14:textId="77777777" w:rsidR="001236DF" w:rsidRPr="00200234" w:rsidRDefault="001236DF" w:rsidP="001236DF"/>
    <w:p w14:paraId="09A7D975" w14:textId="1E77015A" w:rsidR="001236DF" w:rsidRPr="00200234" w:rsidRDefault="001236DF" w:rsidP="001236DF">
      <w:pPr>
        <w:pStyle w:val="Table"/>
      </w:pPr>
      <w:bookmarkStart w:id="730" w:name="_Toc63764687"/>
      <w:bookmarkStart w:id="731" w:name="_Toc75176540"/>
      <w:bookmarkStart w:id="732" w:name="_Toc87430019"/>
      <w:bookmarkStart w:id="733" w:name="_Toc88561376"/>
      <w:bookmarkStart w:id="734" w:name="_Toc115188911"/>
      <w:bookmarkStart w:id="735" w:name="_Toc115272613"/>
      <w:r w:rsidRPr="00200234">
        <w:t>Table A</w:t>
      </w:r>
      <w:fldSimple w:instr=" SEQ Table_A \* ARABIC ">
        <w:r w:rsidR="009A04B0">
          <w:rPr>
            <w:noProof/>
          </w:rPr>
          <w:t>1</w:t>
        </w:r>
      </w:fldSimple>
      <w:r w:rsidRPr="00D67725">
        <w:t>: Applications for compulsory treatment orders or extensions, 2004/05–20</w:t>
      </w:r>
      <w:bookmarkEnd w:id="730"/>
      <w:r w:rsidRPr="00D67725">
        <w:t>20</w:t>
      </w:r>
      <w:bookmarkEnd w:id="731"/>
      <w:bookmarkEnd w:id="732"/>
      <w:bookmarkEnd w:id="733"/>
      <w:r w:rsidRPr="00D67725">
        <w:t>/21</w:t>
      </w:r>
      <w:bookmarkEnd w:id="734"/>
      <w:bookmarkEnd w:id="735"/>
    </w:p>
    <w:tbl>
      <w:tblPr>
        <w:tblW w:w="4931"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936"/>
        <w:gridCol w:w="1406"/>
        <w:gridCol w:w="1406"/>
        <w:gridCol w:w="1407"/>
        <w:gridCol w:w="1406"/>
        <w:gridCol w:w="1407"/>
      </w:tblGrid>
      <w:tr w:rsidR="001236DF" w:rsidRPr="001509BE" w14:paraId="7E8DE5C0" w14:textId="77777777" w:rsidTr="001236DF">
        <w:trPr>
          <w:cantSplit/>
        </w:trPr>
        <w:tc>
          <w:tcPr>
            <w:tcW w:w="587" w:type="pct"/>
            <w:tcBorders>
              <w:top w:val="nil"/>
              <w:bottom w:val="nil"/>
            </w:tcBorders>
            <w:shd w:val="clear" w:color="auto" w:fill="D9D9D9" w:themeFill="background1" w:themeFillShade="D9"/>
          </w:tcPr>
          <w:p w14:paraId="074E03F2" w14:textId="77777777" w:rsidR="001236DF" w:rsidRPr="001509BE" w:rsidRDefault="001236DF" w:rsidP="001236DF">
            <w:pPr>
              <w:pStyle w:val="TableText"/>
              <w:rPr>
                <w:b/>
              </w:rPr>
            </w:pPr>
            <w:r>
              <w:rPr>
                <w:b/>
              </w:rPr>
              <w:t>Financial y</w:t>
            </w:r>
            <w:r w:rsidRPr="001509BE">
              <w:rPr>
                <w:b/>
              </w:rPr>
              <w:t>ear</w:t>
            </w:r>
          </w:p>
        </w:tc>
        <w:tc>
          <w:tcPr>
            <w:tcW w:w="882" w:type="pct"/>
            <w:tcBorders>
              <w:top w:val="nil"/>
              <w:bottom w:val="nil"/>
            </w:tcBorders>
            <w:shd w:val="clear" w:color="auto" w:fill="D9D9D9" w:themeFill="background1" w:themeFillShade="D9"/>
          </w:tcPr>
          <w:p w14:paraId="56FA155B" w14:textId="77777777" w:rsidR="001236DF" w:rsidRPr="001509BE" w:rsidRDefault="001236DF" w:rsidP="001236DF">
            <w:pPr>
              <w:pStyle w:val="TableText"/>
              <w:jc w:val="center"/>
              <w:rPr>
                <w:b/>
              </w:rPr>
            </w:pPr>
            <w:r w:rsidRPr="001509BE">
              <w:rPr>
                <w:b/>
              </w:rPr>
              <w:t>Number of applications for a CTO, or extension to a CTO</w:t>
            </w:r>
          </w:p>
        </w:tc>
        <w:tc>
          <w:tcPr>
            <w:tcW w:w="882" w:type="pct"/>
            <w:tcBorders>
              <w:top w:val="nil"/>
              <w:bottom w:val="nil"/>
            </w:tcBorders>
            <w:shd w:val="clear" w:color="auto" w:fill="D9D9D9" w:themeFill="background1" w:themeFillShade="D9"/>
          </w:tcPr>
          <w:p w14:paraId="531237F9" w14:textId="77777777" w:rsidR="001236DF" w:rsidRPr="001509BE" w:rsidRDefault="001236DF" w:rsidP="001236DF">
            <w:pPr>
              <w:pStyle w:val="TableText"/>
              <w:jc w:val="center"/>
              <w:rPr>
                <w:b/>
              </w:rPr>
            </w:pPr>
            <w:r w:rsidRPr="001509BE">
              <w:rPr>
                <w:b/>
              </w:rPr>
              <w:t>Number of applications granted or granted with consent</w:t>
            </w:r>
          </w:p>
        </w:tc>
        <w:tc>
          <w:tcPr>
            <w:tcW w:w="883" w:type="pct"/>
            <w:tcBorders>
              <w:top w:val="nil"/>
              <w:bottom w:val="nil"/>
            </w:tcBorders>
            <w:shd w:val="clear" w:color="auto" w:fill="D9D9D9" w:themeFill="background1" w:themeFillShade="D9"/>
          </w:tcPr>
          <w:p w14:paraId="7CFA2538" w14:textId="77777777" w:rsidR="001236DF" w:rsidRPr="001509BE" w:rsidRDefault="001236DF" w:rsidP="001236DF">
            <w:pPr>
              <w:pStyle w:val="TableText"/>
              <w:jc w:val="center"/>
              <w:rPr>
                <w:b/>
              </w:rPr>
            </w:pPr>
            <w:r w:rsidRPr="001509BE">
              <w:rPr>
                <w:b/>
              </w:rPr>
              <w:t>Number of applications dismissed or struck out</w:t>
            </w:r>
          </w:p>
        </w:tc>
        <w:tc>
          <w:tcPr>
            <w:tcW w:w="882" w:type="pct"/>
            <w:tcBorders>
              <w:top w:val="nil"/>
              <w:bottom w:val="nil"/>
            </w:tcBorders>
            <w:shd w:val="clear" w:color="auto" w:fill="D9D9D9" w:themeFill="background1" w:themeFillShade="D9"/>
          </w:tcPr>
          <w:p w14:paraId="2372C66A" w14:textId="77777777" w:rsidR="001236DF" w:rsidRPr="001509BE" w:rsidRDefault="001236DF" w:rsidP="001236DF">
            <w:pPr>
              <w:pStyle w:val="TableText"/>
              <w:jc w:val="center"/>
              <w:rPr>
                <w:b/>
              </w:rPr>
            </w:pPr>
            <w:r w:rsidRPr="001509BE">
              <w:rPr>
                <w:b/>
              </w:rPr>
              <w:t>Number of applications withdrawn, lapsed or discontinued</w:t>
            </w:r>
          </w:p>
        </w:tc>
        <w:tc>
          <w:tcPr>
            <w:tcW w:w="883" w:type="pct"/>
            <w:tcBorders>
              <w:top w:val="nil"/>
              <w:bottom w:val="nil"/>
            </w:tcBorders>
            <w:shd w:val="clear" w:color="auto" w:fill="D9D9D9" w:themeFill="background1" w:themeFillShade="D9"/>
          </w:tcPr>
          <w:p w14:paraId="053287BC" w14:textId="77777777" w:rsidR="001236DF" w:rsidRPr="001509BE" w:rsidRDefault="001236DF" w:rsidP="001236DF">
            <w:pPr>
              <w:pStyle w:val="TableText"/>
              <w:jc w:val="center"/>
              <w:rPr>
                <w:b/>
              </w:rPr>
            </w:pPr>
            <w:r w:rsidRPr="001509BE">
              <w:rPr>
                <w:b/>
              </w:rPr>
              <w:t>Number of applications transferred to the High Court</w:t>
            </w:r>
          </w:p>
        </w:tc>
      </w:tr>
      <w:tr w:rsidR="001236DF" w:rsidRPr="00BA51FF" w14:paraId="43538AB5" w14:textId="77777777" w:rsidTr="001236DF">
        <w:trPr>
          <w:cantSplit/>
        </w:trPr>
        <w:tc>
          <w:tcPr>
            <w:tcW w:w="587" w:type="pct"/>
            <w:tcBorders>
              <w:top w:val="nil"/>
            </w:tcBorders>
          </w:tcPr>
          <w:p w14:paraId="24B3E845" w14:textId="77777777" w:rsidR="001236DF" w:rsidRPr="00BA51FF" w:rsidRDefault="001236DF" w:rsidP="001236DF">
            <w:pPr>
              <w:pStyle w:val="TableText"/>
            </w:pPr>
            <w:r w:rsidRPr="00BA51FF">
              <w:rPr>
                <w:w w:val="105"/>
              </w:rPr>
              <w:t>2004</w:t>
            </w:r>
            <w:r>
              <w:rPr>
                <w:w w:val="105"/>
              </w:rPr>
              <w:t>/05</w:t>
            </w:r>
          </w:p>
        </w:tc>
        <w:tc>
          <w:tcPr>
            <w:tcW w:w="882" w:type="pct"/>
            <w:tcBorders>
              <w:top w:val="nil"/>
            </w:tcBorders>
          </w:tcPr>
          <w:p w14:paraId="24E259BD" w14:textId="77777777" w:rsidR="001236DF" w:rsidRPr="00BA51FF" w:rsidRDefault="001236DF" w:rsidP="001236DF">
            <w:pPr>
              <w:pStyle w:val="TableText"/>
              <w:jc w:val="center"/>
            </w:pPr>
            <w:r w:rsidRPr="009F1011">
              <w:t>4,416</w:t>
            </w:r>
          </w:p>
        </w:tc>
        <w:tc>
          <w:tcPr>
            <w:tcW w:w="882" w:type="pct"/>
            <w:tcBorders>
              <w:top w:val="nil"/>
            </w:tcBorders>
          </w:tcPr>
          <w:p w14:paraId="1A9963C1" w14:textId="77777777" w:rsidR="001236DF" w:rsidRPr="00BA51FF" w:rsidRDefault="001236DF" w:rsidP="001236DF">
            <w:pPr>
              <w:pStyle w:val="TableText"/>
              <w:jc w:val="center"/>
            </w:pPr>
            <w:r w:rsidRPr="00DF5D30">
              <w:t>3,824</w:t>
            </w:r>
          </w:p>
        </w:tc>
        <w:tc>
          <w:tcPr>
            <w:tcW w:w="883" w:type="pct"/>
            <w:tcBorders>
              <w:top w:val="nil"/>
            </w:tcBorders>
          </w:tcPr>
          <w:p w14:paraId="0994B085" w14:textId="77777777" w:rsidR="001236DF" w:rsidRPr="00BA51FF" w:rsidRDefault="001236DF" w:rsidP="001236DF">
            <w:pPr>
              <w:pStyle w:val="TableText"/>
              <w:tabs>
                <w:tab w:val="decimal" w:pos="788"/>
              </w:tabs>
            </w:pPr>
            <w:r w:rsidRPr="00BD3FDF">
              <w:t>108</w:t>
            </w:r>
          </w:p>
        </w:tc>
        <w:tc>
          <w:tcPr>
            <w:tcW w:w="882" w:type="pct"/>
            <w:tcBorders>
              <w:top w:val="nil"/>
            </w:tcBorders>
          </w:tcPr>
          <w:p w14:paraId="284483C8" w14:textId="77777777" w:rsidR="001236DF" w:rsidRPr="00BA51FF" w:rsidRDefault="001236DF" w:rsidP="001236DF">
            <w:pPr>
              <w:pStyle w:val="TableText"/>
              <w:jc w:val="center"/>
            </w:pPr>
            <w:r w:rsidRPr="001D2699">
              <w:t>496</w:t>
            </w:r>
          </w:p>
        </w:tc>
        <w:tc>
          <w:tcPr>
            <w:tcW w:w="883" w:type="pct"/>
            <w:tcBorders>
              <w:top w:val="nil"/>
            </w:tcBorders>
          </w:tcPr>
          <w:p w14:paraId="6780629A" w14:textId="77777777" w:rsidR="001236DF" w:rsidRPr="00BA51FF" w:rsidRDefault="001236DF" w:rsidP="001236DF">
            <w:pPr>
              <w:pStyle w:val="TableText"/>
              <w:jc w:val="center"/>
            </w:pPr>
            <w:r w:rsidRPr="00216AA7">
              <w:t>0</w:t>
            </w:r>
          </w:p>
        </w:tc>
      </w:tr>
      <w:tr w:rsidR="001236DF" w:rsidRPr="00BA51FF" w14:paraId="2B978FC4" w14:textId="77777777" w:rsidTr="001236DF">
        <w:trPr>
          <w:cantSplit/>
        </w:trPr>
        <w:tc>
          <w:tcPr>
            <w:tcW w:w="587" w:type="pct"/>
          </w:tcPr>
          <w:p w14:paraId="76FD16A5" w14:textId="77777777" w:rsidR="001236DF" w:rsidRPr="00BA51FF" w:rsidRDefault="001236DF" w:rsidP="001236DF">
            <w:pPr>
              <w:pStyle w:val="TableText"/>
            </w:pPr>
            <w:r w:rsidRPr="00BA51FF">
              <w:rPr>
                <w:w w:val="105"/>
              </w:rPr>
              <w:t>2005</w:t>
            </w:r>
            <w:r>
              <w:rPr>
                <w:w w:val="105"/>
              </w:rPr>
              <w:t>/06</w:t>
            </w:r>
          </w:p>
        </w:tc>
        <w:tc>
          <w:tcPr>
            <w:tcW w:w="882" w:type="pct"/>
          </w:tcPr>
          <w:p w14:paraId="665AB06D" w14:textId="77777777" w:rsidR="001236DF" w:rsidRPr="00BA51FF" w:rsidRDefault="001236DF" w:rsidP="001236DF">
            <w:pPr>
              <w:pStyle w:val="TableText"/>
              <w:jc w:val="center"/>
            </w:pPr>
            <w:r w:rsidRPr="009F1011">
              <w:t>4,299</w:t>
            </w:r>
          </w:p>
        </w:tc>
        <w:tc>
          <w:tcPr>
            <w:tcW w:w="882" w:type="pct"/>
          </w:tcPr>
          <w:p w14:paraId="402F226F" w14:textId="77777777" w:rsidR="001236DF" w:rsidRPr="00BA51FF" w:rsidRDefault="001236DF" w:rsidP="001236DF">
            <w:pPr>
              <w:pStyle w:val="TableText"/>
              <w:jc w:val="center"/>
            </w:pPr>
            <w:r w:rsidRPr="00DF5D30">
              <w:t>3,635</w:t>
            </w:r>
          </w:p>
        </w:tc>
        <w:tc>
          <w:tcPr>
            <w:tcW w:w="883" w:type="pct"/>
          </w:tcPr>
          <w:p w14:paraId="6B48D82F" w14:textId="77777777" w:rsidR="001236DF" w:rsidRPr="00BA51FF" w:rsidRDefault="001236DF" w:rsidP="001236DF">
            <w:pPr>
              <w:pStyle w:val="TableText"/>
              <w:tabs>
                <w:tab w:val="decimal" w:pos="788"/>
              </w:tabs>
            </w:pPr>
            <w:r w:rsidRPr="00BD3FDF">
              <w:t>114</w:t>
            </w:r>
          </w:p>
        </w:tc>
        <w:tc>
          <w:tcPr>
            <w:tcW w:w="882" w:type="pct"/>
          </w:tcPr>
          <w:p w14:paraId="649A7770" w14:textId="77777777" w:rsidR="001236DF" w:rsidRPr="00BA51FF" w:rsidRDefault="001236DF" w:rsidP="001236DF">
            <w:pPr>
              <w:pStyle w:val="TableText"/>
              <w:jc w:val="center"/>
            </w:pPr>
            <w:r w:rsidRPr="001D2699">
              <w:t>519</w:t>
            </w:r>
          </w:p>
        </w:tc>
        <w:tc>
          <w:tcPr>
            <w:tcW w:w="883" w:type="pct"/>
          </w:tcPr>
          <w:p w14:paraId="14E4E0FA" w14:textId="77777777" w:rsidR="001236DF" w:rsidRPr="00BA51FF" w:rsidRDefault="001236DF" w:rsidP="001236DF">
            <w:pPr>
              <w:pStyle w:val="TableText"/>
              <w:jc w:val="center"/>
            </w:pPr>
            <w:r w:rsidRPr="00216AA7">
              <w:t>1</w:t>
            </w:r>
          </w:p>
        </w:tc>
      </w:tr>
      <w:tr w:rsidR="001236DF" w:rsidRPr="00BA51FF" w14:paraId="77C5F7C3" w14:textId="77777777" w:rsidTr="001236DF">
        <w:trPr>
          <w:cantSplit/>
        </w:trPr>
        <w:tc>
          <w:tcPr>
            <w:tcW w:w="587" w:type="pct"/>
          </w:tcPr>
          <w:p w14:paraId="70732DD6" w14:textId="77777777" w:rsidR="001236DF" w:rsidRPr="00BA51FF" w:rsidRDefault="001236DF" w:rsidP="001236DF">
            <w:pPr>
              <w:pStyle w:val="TableText"/>
            </w:pPr>
            <w:r w:rsidRPr="00BA51FF">
              <w:rPr>
                <w:w w:val="105"/>
              </w:rPr>
              <w:t>2006</w:t>
            </w:r>
            <w:r>
              <w:rPr>
                <w:w w:val="105"/>
              </w:rPr>
              <w:t>/07</w:t>
            </w:r>
          </w:p>
        </w:tc>
        <w:tc>
          <w:tcPr>
            <w:tcW w:w="882" w:type="pct"/>
          </w:tcPr>
          <w:p w14:paraId="0DB27091" w14:textId="77777777" w:rsidR="001236DF" w:rsidRPr="00BA51FF" w:rsidRDefault="001236DF" w:rsidP="001236DF">
            <w:pPr>
              <w:pStyle w:val="TableText"/>
              <w:jc w:val="center"/>
            </w:pPr>
            <w:r w:rsidRPr="009F1011">
              <w:t>4,385</w:t>
            </w:r>
          </w:p>
        </w:tc>
        <w:tc>
          <w:tcPr>
            <w:tcW w:w="882" w:type="pct"/>
          </w:tcPr>
          <w:p w14:paraId="11952E0A" w14:textId="77777777" w:rsidR="001236DF" w:rsidRPr="00BA51FF" w:rsidRDefault="001236DF" w:rsidP="001236DF">
            <w:pPr>
              <w:pStyle w:val="TableText"/>
              <w:jc w:val="center"/>
            </w:pPr>
            <w:r w:rsidRPr="00DF5D30">
              <w:t>3,818</w:t>
            </w:r>
          </w:p>
        </w:tc>
        <w:tc>
          <w:tcPr>
            <w:tcW w:w="883" w:type="pct"/>
          </w:tcPr>
          <w:p w14:paraId="2313F46D" w14:textId="77777777" w:rsidR="001236DF" w:rsidRPr="00BA51FF" w:rsidRDefault="001236DF" w:rsidP="001236DF">
            <w:pPr>
              <w:pStyle w:val="TableText"/>
              <w:tabs>
                <w:tab w:val="decimal" w:pos="788"/>
              </w:tabs>
            </w:pPr>
            <w:r w:rsidRPr="00BD3FDF">
              <w:t>95</w:t>
            </w:r>
          </w:p>
        </w:tc>
        <w:tc>
          <w:tcPr>
            <w:tcW w:w="882" w:type="pct"/>
          </w:tcPr>
          <w:p w14:paraId="4F94B551" w14:textId="77777777" w:rsidR="001236DF" w:rsidRPr="00BA51FF" w:rsidRDefault="001236DF" w:rsidP="001236DF">
            <w:pPr>
              <w:pStyle w:val="TableText"/>
              <w:jc w:val="center"/>
            </w:pPr>
            <w:r w:rsidRPr="001D2699">
              <w:t>494</w:t>
            </w:r>
          </w:p>
        </w:tc>
        <w:tc>
          <w:tcPr>
            <w:tcW w:w="883" w:type="pct"/>
          </w:tcPr>
          <w:p w14:paraId="16FCB55A" w14:textId="77777777" w:rsidR="001236DF" w:rsidRPr="00BA51FF" w:rsidRDefault="001236DF" w:rsidP="001236DF">
            <w:pPr>
              <w:pStyle w:val="TableText"/>
              <w:jc w:val="center"/>
            </w:pPr>
            <w:r w:rsidRPr="00216AA7">
              <w:t>0</w:t>
            </w:r>
          </w:p>
        </w:tc>
      </w:tr>
      <w:tr w:rsidR="001236DF" w:rsidRPr="00BA51FF" w14:paraId="3B657016" w14:textId="77777777" w:rsidTr="001236DF">
        <w:trPr>
          <w:cantSplit/>
        </w:trPr>
        <w:tc>
          <w:tcPr>
            <w:tcW w:w="587" w:type="pct"/>
          </w:tcPr>
          <w:p w14:paraId="00BEEB48" w14:textId="77777777" w:rsidR="001236DF" w:rsidRPr="00BA51FF" w:rsidRDefault="001236DF" w:rsidP="001236DF">
            <w:pPr>
              <w:pStyle w:val="TableText"/>
            </w:pPr>
            <w:r w:rsidRPr="00BA51FF">
              <w:rPr>
                <w:w w:val="105"/>
              </w:rPr>
              <w:t>2007</w:t>
            </w:r>
            <w:r>
              <w:rPr>
                <w:w w:val="105"/>
              </w:rPr>
              <w:t>/08</w:t>
            </w:r>
          </w:p>
        </w:tc>
        <w:tc>
          <w:tcPr>
            <w:tcW w:w="882" w:type="pct"/>
          </w:tcPr>
          <w:p w14:paraId="3754CAF3" w14:textId="77777777" w:rsidR="001236DF" w:rsidRPr="00BA51FF" w:rsidRDefault="001236DF" w:rsidP="001236DF">
            <w:pPr>
              <w:pStyle w:val="TableText"/>
              <w:jc w:val="center"/>
            </w:pPr>
            <w:r w:rsidRPr="009F1011">
              <w:t>4,579</w:t>
            </w:r>
          </w:p>
        </w:tc>
        <w:tc>
          <w:tcPr>
            <w:tcW w:w="882" w:type="pct"/>
          </w:tcPr>
          <w:p w14:paraId="4AFAA30C" w14:textId="77777777" w:rsidR="001236DF" w:rsidRPr="00BA51FF" w:rsidRDefault="001236DF" w:rsidP="001236DF">
            <w:pPr>
              <w:pStyle w:val="TableText"/>
              <w:jc w:val="center"/>
            </w:pPr>
            <w:r w:rsidRPr="00DF5D30">
              <w:t>3,899</w:t>
            </w:r>
          </w:p>
        </w:tc>
        <w:tc>
          <w:tcPr>
            <w:tcW w:w="883" w:type="pct"/>
          </w:tcPr>
          <w:p w14:paraId="0C4DCF57" w14:textId="77777777" w:rsidR="001236DF" w:rsidRPr="00BA51FF" w:rsidRDefault="001236DF" w:rsidP="001236DF">
            <w:pPr>
              <w:pStyle w:val="TableText"/>
              <w:tabs>
                <w:tab w:val="decimal" w:pos="788"/>
              </w:tabs>
            </w:pPr>
            <w:r w:rsidRPr="00BD3FDF">
              <w:t>105</w:t>
            </w:r>
          </w:p>
        </w:tc>
        <w:tc>
          <w:tcPr>
            <w:tcW w:w="882" w:type="pct"/>
          </w:tcPr>
          <w:p w14:paraId="2017F720" w14:textId="77777777" w:rsidR="001236DF" w:rsidRPr="00BA51FF" w:rsidRDefault="001236DF" w:rsidP="001236DF">
            <w:pPr>
              <w:pStyle w:val="TableText"/>
              <w:jc w:val="center"/>
            </w:pPr>
            <w:r w:rsidRPr="001D2699">
              <w:t>540</w:t>
            </w:r>
          </w:p>
        </w:tc>
        <w:tc>
          <w:tcPr>
            <w:tcW w:w="883" w:type="pct"/>
          </w:tcPr>
          <w:p w14:paraId="52705B25" w14:textId="77777777" w:rsidR="001236DF" w:rsidRPr="00BA51FF" w:rsidRDefault="001236DF" w:rsidP="001236DF">
            <w:pPr>
              <w:pStyle w:val="TableText"/>
              <w:jc w:val="center"/>
            </w:pPr>
            <w:r w:rsidRPr="00216AA7">
              <w:t>0</w:t>
            </w:r>
          </w:p>
        </w:tc>
      </w:tr>
      <w:tr w:rsidR="001236DF" w:rsidRPr="00BA51FF" w14:paraId="48B71B9E" w14:textId="77777777" w:rsidTr="001236DF">
        <w:trPr>
          <w:cantSplit/>
        </w:trPr>
        <w:tc>
          <w:tcPr>
            <w:tcW w:w="587" w:type="pct"/>
          </w:tcPr>
          <w:p w14:paraId="3D89C712" w14:textId="77777777" w:rsidR="001236DF" w:rsidRPr="00BA51FF" w:rsidRDefault="001236DF" w:rsidP="001236DF">
            <w:pPr>
              <w:pStyle w:val="TableText"/>
            </w:pPr>
            <w:r w:rsidRPr="00BA51FF">
              <w:rPr>
                <w:w w:val="105"/>
              </w:rPr>
              <w:t>2008</w:t>
            </w:r>
            <w:r>
              <w:rPr>
                <w:w w:val="105"/>
              </w:rPr>
              <w:t>/09</w:t>
            </w:r>
          </w:p>
        </w:tc>
        <w:tc>
          <w:tcPr>
            <w:tcW w:w="882" w:type="pct"/>
          </w:tcPr>
          <w:p w14:paraId="69A6D787" w14:textId="77777777" w:rsidR="001236DF" w:rsidRPr="00BA51FF" w:rsidRDefault="001236DF" w:rsidP="001236DF">
            <w:pPr>
              <w:pStyle w:val="TableText"/>
              <w:jc w:val="center"/>
            </w:pPr>
            <w:r w:rsidRPr="009F1011">
              <w:t>4,570</w:t>
            </w:r>
          </w:p>
        </w:tc>
        <w:tc>
          <w:tcPr>
            <w:tcW w:w="882" w:type="pct"/>
          </w:tcPr>
          <w:p w14:paraId="40A735A7" w14:textId="77777777" w:rsidR="001236DF" w:rsidRPr="00BA51FF" w:rsidRDefault="001236DF" w:rsidP="001236DF">
            <w:pPr>
              <w:pStyle w:val="TableText"/>
              <w:jc w:val="center"/>
            </w:pPr>
            <w:r w:rsidRPr="00DF5D30">
              <w:t>4,003</w:t>
            </w:r>
          </w:p>
        </w:tc>
        <w:tc>
          <w:tcPr>
            <w:tcW w:w="883" w:type="pct"/>
          </w:tcPr>
          <w:p w14:paraId="69C218D0" w14:textId="77777777" w:rsidR="001236DF" w:rsidRPr="00BA51FF" w:rsidRDefault="001236DF" w:rsidP="001236DF">
            <w:pPr>
              <w:pStyle w:val="TableText"/>
              <w:tabs>
                <w:tab w:val="decimal" w:pos="788"/>
              </w:tabs>
            </w:pPr>
            <w:r w:rsidRPr="00BD3FDF">
              <w:t>76</w:t>
            </w:r>
          </w:p>
        </w:tc>
        <w:tc>
          <w:tcPr>
            <w:tcW w:w="882" w:type="pct"/>
          </w:tcPr>
          <w:p w14:paraId="563ED8E6" w14:textId="77777777" w:rsidR="001236DF" w:rsidRPr="00BA51FF" w:rsidRDefault="001236DF" w:rsidP="001236DF">
            <w:pPr>
              <w:pStyle w:val="TableText"/>
              <w:jc w:val="center"/>
            </w:pPr>
            <w:r w:rsidRPr="001D2699">
              <w:t>496</w:t>
            </w:r>
          </w:p>
        </w:tc>
        <w:tc>
          <w:tcPr>
            <w:tcW w:w="883" w:type="pct"/>
          </w:tcPr>
          <w:p w14:paraId="4413DAA1" w14:textId="77777777" w:rsidR="001236DF" w:rsidRPr="00BA51FF" w:rsidRDefault="001236DF" w:rsidP="001236DF">
            <w:pPr>
              <w:pStyle w:val="TableText"/>
              <w:jc w:val="center"/>
            </w:pPr>
            <w:r w:rsidRPr="00216AA7">
              <w:t>0</w:t>
            </w:r>
          </w:p>
        </w:tc>
      </w:tr>
      <w:tr w:rsidR="001236DF" w:rsidRPr="00BA51FF" w14:paraId="12FFFA51" w14:textId="77777777" w:rsidTr="001236DF">
        <w:trPr>
          <w:cantSplit/>
        </w:trPr>
        <w:tc>
          <w:tcPr>
            <w:tcW w:w="587" w:type="pct"/>
          </w:tcPr>
          <w:p w14:paraId="33AB6107" w14:textId="77777777" w:rsidR="001236DF" w:rsidRPr="00BA51FF" w:rsidRDefault="001236DF" w:rsidP="001236DF">
            <w:pPr>
              <w:pStyle w:val="TableText"/>
              <w:rPr>
                <w:w w:val="105"/>
              </w:rPr>
            </w:pPr>
            <w:r w:rsidRPr="00BA51FF">
              <w:rPr>
                <w:w w:val="105"/>
              </w:rPr>
              <w:t>2009</w:t>
            </w:r>
            <w:r>
              <w:rPr>
                <w:w w:val="105"/>
              </w:rPr>
              <w:t>/10</w:t>
            </w:r>
          </w:p>
        </w:tc>
        <w:tc>
          <w:tcPr>
            <w:tcW w:w="882" w:type="pct"/>
          </w:tcPr>
          <w:p w14:paraId="50B62135" w14:textId="77777777" w:rsidR="001236DF" w:rsidRPr="00BA51FF" w:rsidRDefault="001236DF" w:rsidP="001236DF">
            <w:pPr>
              <w:pStyle w:val="TableText"/>
              <w:jc w:val="center"/>
            </w:pPr>
            <w:r w:rsidRPr="009F1011">
              <w:t>4,661</w:t>
            </w:r>
          </w:p>
        </w:tc>
        <w:tc>
          <w:tcPr>
            <w:tcW w:w="882" w:type="pct"/>
          </w:tcPr>
          <w:p w14:paraId="7624DC05" w14:textId="77777777" w:rsidR="001236DF" w:rsidRPr="00BA51FF" w:rsidRDefault="001236DF" w:rsidP="001236DF">
            <w:pPr>
              <w:pStyle w:val="TableText"/>
              <w:jc w:val="center"/>
            </w:pPr>
            <w:r w:rsidRPr="00DF5D30">
              <w:t>4,101</w:t>
            </w:r>
          </w:p>
        </w:tc>
        <w:tc>
          <w:tcPr>
            <w:tcW w:w="883" w:type="pct"/>
          </w:tcPr>
          <w:p w14:paraId="7F19AFFD" w14:textId="77777777" w:rsidR="001236DF" w:rsidRPr="00BA51FF" w:rsidRDefault="001236DF" w:rsidP="001236DF">
            <w:pPr>
              <w:pStyle w:val="TableText"/>
              <w:tabs>
                <w:tab w:val="decimal" w:pos="788"/>
              </w:tabs>
            </w:pPr>
            <w:r w:rsidRPr="00BD3FDF">
              <w:t>72</w:t>
            </w:r>
          </w:p>
        </w:tc>
        <w:tc>
          <w:tcPr>
            <w:tcW w:w="882" w:type="pct"/>
          </w:tcPr>
          <w:p w14:paraId="178166A3" w14:textId="77777777" w:rsidR="001236DF" w:rsidRPr="00BA51FF" w:rsidRDefault="001236DF" w:rsidP="001236DF">
            <w:pPr>
              <w:pStyle w:val="TableText"/>
              <w:jc w:val="center"/>
            </w:pPr>
            <w:r w:rsidRPr="001D2699">
              <w:t>507</w:t>
            </w:r>
          </w:p>
        </w:tc>
        <w:tc>
          <w:tcPr>
            <w:tcW w:w="883" w:type="pct"/>
          </w:tcPr>
          <w:p w14:paraId="5A4B3A14" w14:textId="77777777" w:rsidR="001236DF" w:rsidRPr="00BA51FF" w:rsidRDefault="001236DF" w:rsidP="001236DF">
            <w:pPr>
              <w:pStyle w:val="TableText"/>
              <w:jc w:val="center"/>
            </w:pPr>
            <w:r w:rsidRPr="00216AA7">
              <w:t>0</w:t>
            </w:r>
          </w:p>
        </w:tc>
      </w:tr>
      <w:tr w:rsidR="001236DF" w:rsidRPr="00BA51FF" w14:paraId="4B88CD44" w14:textId="77777777" w:rsidTr="001236DF">
        <w:trPr>
          <w:cantSplit/>
        </w:trPr>
        <w:tc>
          <w:tcPr>
            <w:tcW w:w="587" w:type="pct"/>
          </w:tcPr>
          <w:p w14:paraId="0132C23B" w14:textId="77777777" w:rsidR="001236DF" w:rsidRPr="00BA51FF" w:rsidRDefault="001236DF" w:rsidP="001236DF">
            <w:pPr>
              <w:pStyle w:val="TableText"/>
              <w:rPr>
                <w:w w:val="105"/>
              </w:rPr>
            </w:pPr>
            <w:r w:rsidRPr="00BA51FF">
              <w:rPr>
                <w:w w:val="105"/>
              </w:rPr>
              <w:t>2010</w:t>
            </w:r>
            <w:r>
              <w:rPr>
                <w:w w:val="105"/>
              </w:rPr>
              <w:t>/11</w:t>
            </w:r>
          </w:p>
        </w:tc>
        <w:tc>
          <w:tcPr>
            <w:tcW w:w="882" w:type="pct"/>
          </w:tcPr>
          <w:p w14:paraId="13520BE1" w14:textId="77777777" w:rsidR="001236DF" w:rsidRPr="00BA51FF" w:rsidRDefault="001236DF" w:rsidP="001236DF">
            <w:pPr>
              <w:pStyle w:val="TableText"/>
              <w:jc w:val="center"/>
            </w:pPr>
            <w:r w:rsidRPr="009F1011">
              <w:t>4,807</w:t>
            </w:r>
          </w:p>
        </w:tc>
        <w:tc>
          <w:tcPr>
            <w:tcW w:w="882" w:type="pct"/>
          </w:tcPr>
          <w:p w14:paraId="4D9E844A" w14:textId="77777777" w:rsidR="001236DF" w:rsidRPr="00BA51FF" w:rsidRDefault="001236DF" w:rsidP="001236DF">
            <w:pPr>
              <w:pStyle w:val="TableText"/>
              <w:jc w:val="center"/>
            </w:pPr>
            <w:r w:rsidRPr="00DF5D30">
              <w:t>4,198</w:t>
            </w:r>
          </w:p>
        </w:tc>
        <w:tc>
          <w:tcPr>
            <w:tcW w:w="883" w:type="pct"/>
          </w:tcPr>
          <w:p w14:paraId="5545F026" w14:textId="77777777" w:rsidR="001236DF" w:rsidRPr="00BA51FF" w:rsidRDefault="001236DF" w:rsidP="001236DF">
            <w:pPr>
              <w:pStyle w:val="TableText"/>
              <w:tabs>
                <w:tab w:val="decimal" w:pos="788"/>
              </w:tabs>
            </w:pPr>
            <w:r w:rsidRPr="00BD3FDF">
              <w:t>63</w:t>
            </w:r>
          </w:p>
        </w:tc>
        <w:tc>
          <w:tcPr>
            <w:tcW w:w="882" w:type="pct"/>
          </w:tcPr>
          <w:p w14:paraId="771ABB1E" w14:textId="77777777" w:rsidR="001236DF" w:rsidRPr="00BA51FF" w:rsidRDefault="001236DF" w:rsidP="001236DF">
            <w:pPr>
              <w:pStyle w:val="TableText"/>
              <w:jc w:val="center"/>
            </w:pPr>
            <w:r w:rsidRPr="001D2699">
              <w:t>542</w:t>
            </w:r>
          </w:p>
        </w:tc>
        <w:tc>
          <w:tcPr>
            <w:tcW w:w="883" w:type="pct"/>
          </w:tcPr>
          <w:p w14:paraId="57895B84" w14:textId="77777777" w:rsidR="001236DF" w:rsidRPr="00BA51FF" w:rsidRDefault="001236DF" w:rsidP="001236DF">
            <w:pPr>
              <w:pStyle w:val="TableText"/>
              <w:jc w:val="center"/>
            </w:pPr>
            <w:r w:rsidRPr="00216AA7">
              <w:t>1</w:t>
            </w:r>
          </w:p>
        </w:tc>
      </w:tr>
      <w:tr w:rsidR="001236DF" w:rsidRPr="00BA51FF" w14:paraId="0E7A01D7" w14:textId="77777777" w:rsidTr="001236DF">
        <w:trPr>
          <w:cantSplit/>
        </w:trPr>
        <w:tc>
          <w:tcPr>
            <w:tcW w:w="587" w:type="pct"/>
          </w:tcPr>
          <w:p w14:paraId="5A377C46" w14:textId="77777777" w:rsidR="001236DF" w:rsidRPr="00BA51FF" w:rsidRDefault="001236DF" w:rsidP="001236DF">
            <w:pPr>
              <w:pStyle w:val="TableText"/>
              <w:rPr>
                <w:w w:val="105"/>
              </w:rPr>
            </w:pPr>
            <w:r w:rsidRPr="00BA51FF">
              <w:rPr>
                <w:w w:val="105"/>
              </w:rPr>
              <w:t>2011</w:t>
            </w:r>
            <w:r>
              <w:rPr>
                <w:w w:val="105"/>
              </w:rPr>
              <w:t>/12</w:t>
            </w:r>
          </w:p>
        </w:tc>
        <w:tc>
          <w:tcPr>
            <w:tcW w:w="882" w:type="pct"/>
          </w:tcPr>
          <w:p w14:paraId="1DA769B7" w14:textId="77777777" w:rsidR="001236DF" w:rsidRPr="00BA51FF" w:rsidRDefault="001236DF" w:rsidP="001236DF">
            <w:pPr>
              <w:pStyle w:val="TableText"/>
              <w:jc w:val="center"/>
            </w:pPr>
            <w:r w:rsidRPr="009F1011">
              <w:t>4,838</w:t>
            </w:r>
          </w:p>
        </w:tc>
        <w:tc>
          <w:tcPr>
            <w:tcW w:w="882" w:type="pct"/>
          </w:tcPr>
          <w:p w14:paraId="3A8F549E" w14:textId="77777777" w:rsidR="001236DF" w:rsidRPr="00BA51FF" w:rsidRDefault="001236DF" w:rsidP="001236DF">
            <w:pPr>
              <w:pStyle w:val="TableText"/>
              <w:jc w:val="center"/>
            </w:pPr>
            <w:r w:rsidRPr="00DF5D30">
              <w:t>4,272</w:t>
            </w:r>
          </w:p>
        </w:tc>
        <w:tc>
          <w:tcPr>
            <w:tcW w:w="883" w:type="pct"/>
          </w:tcPr>
          <w:p w14:paraId="27AE01A6" w14:textId="77777777" w:rsidR="001236DF" w:rsidRPr="00BA51FF" w:rsidRDefault="001236DF" w:rsidP="001236DF">
            <w:pPr>
              <w:pStyle w:val="TableText"/>
              <w:tabs>
                <w:tab w:val="decimal" w:pos="788"/>
              </w:tabs>
            </w:pPr>
            <w:r w:rsidRPr="00BD3FDF">
              <w:t>69</w:t>
            </w:r>
          </w:p>
        </w:tc>
        <w:tc>
          <w:tcPr>
            <w:tcW w:w="882" w:type="pct"/>
          </w:tcPr>
          <w:p w14:paraId="59820562" w14:textId="77777777" w:rsidR="001236DF" w:rsidRPr="00BA51FF" w:rsidRDefault="001236DF" w:rsidP="001236DF">
            <w:pPr>
              <w:pStyle w:val="TableText"/>
              <w:jc w:val="center"/>
            </w:pPr>
            <w:r w:rsidRPr="001D2699">
              <w:t>475</w:t>
            </w:r>
          </w:p>
        </w:tc>
        <w:tc>
          <w:tcPr>
            <w:tcW w:w="883" w:type="pct"/>
          </w:tcPr>
          <w:p w14:paraId="6C1576C3" w14:textId="77777777" w:rsidR="001236DF" w:rsidRPr="00BA51FF" w:rsidRDefault="001236DF" w:rsidP="001236DF">
            <w:pPr>
              <w:pStyle w:val="TableText"/>
              <w:jc w:val="center"/>
            </w:pPr>
            <w:r w:rsidRPr="00216AA7">
              <w:t>0</w:t>
            </w:r>
          </w:p>
        </w:tc>
      </w:tr>
      <w:tr w:rsidR="001236DF" w:rsidRPr="00BA51FF" w14:paraId="127DFBD0" w14:textId="77777777" w:rsidTr="001236DF">
        <w:trPr>
          <w:cantSplit/>
        </w:trPr>
        <w:tc>
          <w:tcPr>
            <w:tcW w:w="587" w:type="pct"/>
          </w:tcPr>
          <w:p w14:paraId="79A55744" w14:textId="77777777" w:rsidR="001236DF" w:rsidRPr="00BA51FF" w:rsidRDefault="001236DF" w:rsidP="001236DF">
            <w:pPr>
              <w:pStyle w:val="TableText"/>
              <w:rPr>
                <w:w w:val="105"/>
              </w:rPr>
            </w:pPr>
            <w:r w:rsidRPr="00BA51FF">
              <w:rPr>
                <w:w w:val="105"/>
              </w:rPr>
              <w:t>2012</w:t>
            </w:r>
            <w:r>
              <w:rPr>
                <w:w w:val="105"/>
              </w:rPr>
              <w:t>/13</w:t>
            </w:r>
          </w:p>
        </w:tc>
        <w:tc>
          <w:tcPr>
            <w:tcW w:w="882" w:type="pct"/>
          </w:tcPr>
          <w:p w14:paraId="5711B474" w14:textId="77777777" w:rsidR="001236DF" w:rsidRPr="00BA51FF" w:rsidRDefault="001236DF" w:rsidP="001236DF">
            <w:pPr>
              <w:pStyle w:val="TableText"/>
              <w:jc w:val="center"/>
            </w:pPr>
            <w:r w:rsidRPr="009F1011">
              <w:t>4,950</w:t>
            </w:r>
          </w:p>
        </w:tc>
        <w:tc>
          <w:tcPr>
            <w:tcW w:w="882" w:type="pct"/>
          </w:tcPr>
          <w:p w14:paraId="5D449D95" w14:textId="77777777" w:rsidR="001236DF" w:rsidRPr="00BA51FF" w:rsidRDefault="001236DF" w:rsidP="001236DF">
            <w:pPr>
              <w:pStyle w:val="TableText"/>
              <w:jc w:val="center"/>
            </w:pPr>
            <w:r w:rsidRPr="00DF5D30">
              <w:t>4,480</w:t>
            </w:r>
          </w:p>
        </w:tc>
        <w:tc>
          <w:tcPr>
            <w:tcW w:w="883" w:type="pct"/>
          </w:tcPr>
          <w:p w14:paraId="2C5E35FF" w14:textId="77777777" w:rsidR="001236DF" w:rsidRPr="00BA51FF" w:rsidRDefault="001236DF" w:rsidP="001236DF">
            <w:pPr>
              <w:pStyle w:val="TableText"/>
              <w:tabs>
                <w:tab w:val="decimal" w:pos="788"/>
              </w:tabs>
            </w:pPr>
            <w:r w:rsidRPr="00BD3FDF">
              <w:t>75</w:t>
            </w:r>
          </w:p>
        </w:tc>
        <w:tc>
          <w:tcPr>
            <w:tcW w:w="882" w:type="pct"/>
          </w:tcPr>
          <w:p w14:paraId="354A3B73" w14:textId="77777777" w:rsidR="001236DF" w:rsidRPr="00BA51FF" w:rsidRDefault="001236DF" w:rsidP="001236DF">
            <w:pPr>
              <w:pStyle w:val="TableText"/>
              <w:jc w:val="center"/>
            </w:pPr>
            <w:r w:rsidRPr="001D2699">
              <w:t>397</w:t>
            </w:r>
          </w:p>
        </w:tc>
        <w:tc>
          <w:tcPr>
            <w:tcW w:w="883" w:type="pct"/>
          </w:tcPr>
          <w:p w14:paraId="7BD76D03" w14:textId="77777777" w:rsidR="001236DF" w:rsidRPr="00BA51FF" w:rsidRDefault="001236DF" w:rsidP="001236DF">
            <w:pPr>
              <w:pStyle w:val="TableText"/>
              <w:jc w:val="center"/>
            </w:pPr>
            <w:r w:rsidRPr="00216AA7">
              <w:t>0</w:t>
            </w:r>
          </w:p>
        </w:tc>
      </w:tr>
      <w:tr w:rsidR="001236DF" w:rsidRPr="00BA51FF" w14:paraId="66315980" w14:textId="77777777" w:rsidTr="001236DF">
        <w:trPr>
          <w:cantSplit/>
        </w:trPr>
        <w:tc>
          <w:tcPr>
            <w:tcW w:w="587" w:type="pct"/>
          </w:tcPr>
          <w:p w14:paraId="06320773" w14:textId="77777777" w:rsidR="001236DF" w:rsidRPr="00BA51FF" w:rsidRDefault="001236DF" w:rsidP="001236DF">
            <w:pPr>
              <w:pStyle w:val="TableText"/>
              <w:rPr>
                <w:w w:val="105"/>
              </w:rPr>
            </w:pPr>
            <w:r w:rsidRPr="00BA51FF">
              <w:rPr>
                <w:w w:val="105"/>
              </w:rPr>
              <w:t>2013</w:t>
            </w:r>
            <w:r>
              <w:rPr>
                <w:w w:val="105"/>
              </w:rPr>
              <w:t>/14</w:t>
            </w:r>
          </w:p>
        </w:tc>
        <w:tc>
          <w:tcPr>
            <w:tcW w:w="882" w:type="pct"/>
          </w:tcPr>
          <w:p w14:paraId="485472AF" w14:textId="77777777" w:rsidR="001236DF" w:rsidRPr="00BA51FF" w:rsidRDefault="001236DF" w:rsidP="001236DF">
            <w:pPr>
              <w:pStyle w:val="TableText"/>
              <w:jc w:val="center"/>
            </w:pPr>
            <w:r w:rsidRPr="009F1011">
              <w:t>5,181</w:t>
            </w:r>
          </w:p>
        </w:tc>
        <w:tc>
          <w:tcPr>
            <w:tcW w:w="882" w:type="pct"/>
          </w:tcPr>
          <w:p w14:paraId="6AC08E58" w14:textId="77777777" w:rsidR="001236DF" w:rsidRPr="00BA51FF" w:rsidRDefault="001236DF" w:rsidP="001236DF">
            <w:pPr>
              <w:pStyle w:val="TableText"/>
              <w:jc w:val="center"/>
            </w:pPr>
            <w:r w:rsidRPr="00DF5D30">
              <w:t>4,610</w:t>
            </w:r>
          </w:p>
        </w:tc>
        <w:tc>
          <w:tcPr>
            <w:tcW w:w="883" w:type="pct"/>
          </w:tcPr>
          <w:p w14:paraId="7821BFF3" w14:textId="77777777" w:rsidR="001236DF" w:rsidRPr="00BA51FF" w:rsidRDefault="001236DF" w:rsidP="001236DF">
            <w:pPr>
              <w:pStyle w:val="TableText"/>
              <w:tabs>
                <w:tab w:val="decimal" w:pos="788"/>
              </w:tabs>
            </w:pPr>
            <w:r w:rsidRPr="00BD3FDF">
              <w:t>53</w:t>
            </w:r>
          </w:p>
        </w:tc>
        <w:tc>
          <w:tcPr>
            <w:tcW w:w="882" w:type="pct"/>
          </w:tcPr>
          <w:p w14:paraId="41CDC264" w14:textId="77777777" w:rsidR="001236DF" w:rsidRPr="00BA51FF" w:rsidRDefault="001236DF" w:rsidP="001236DF">
            <w:pPr>
              <w:pStyle w:val="TableText"/>
              <w:jc w:val="center"/>
            </w:pPr>
            <w:r w:rsidRPr="001D2699">
              <w:t>522</w:t>
            </w:r>
          </w:p>
        </w:tc>
        <w:tc>
          <w:tcPr>
            <w:tcW w:w="883" w:type="pct"/>
          </w:tcPr>
          <w:p w14:paraId="0DA74C93" w14:textId="77777777" w:rsidR="001236DF" w:rsidRPr="00BA51FF" w:rsidRDefault="001236DF" w:rsidP="001236DF">
            <w:pPr>
              <w:pStyle w:val="TableText"/>
              <w:jc w:val="center"/>
            </w:pPr>
            <w:r w:rsidRPr="00216AA7">
              <w:t>0</w:t>
            </w:r>
          </w:p>
        </w:tc>
      </w:tr>
      <w:tr w:rsidR="001236DF" w:rsidRPr="00BA51FF" w14:paraId="0EFD34F5" w14:textId="77777777" w:rsidTr="001236DF">
        <w:trPr>
          <w:cantSplit/>
        </w:trPr>
        <w:tc>
          <w:tcPr>
            <w:tcW w:w="587" w:type="pct"/>
          </w:tcPr>
          <w:p w14:paraId="0E4362E3" w14:textId="77777777" w:rsidR="001236DF" w:rsidRPr="00BA51FF" w:rsidRDefault="001236DF" w:rsidP="001236DF">
            <w:pPr>
              <w:pStyle w:val="TableText"/>
              <w:rPr>
                <w:w w:val="105"/>
              </w:rPr>
            </w:pPr>
            <w:r w:rsidRPr="00BA51FF">
              <w:rPr>
                <w:w w:val="105"/>
              </w:rPr>
              <w:t>2014</w:t>
            </w:r>
            <w:r>
              <w:rPr>
                <w:w w:val="105"/>
              </w:rPr>
              <w:t>/15</w:t>
            </w:r>
          </w:p>
        </w:tc>
        <w:tc>
          <w:tcPr>
            <w:tcW w:w="882" w:type="pct"/>
          </w:tcPr>
          <w:p w14:paraId="4A355AB5" w14:textId="77777777" w:rsidR="001236DF" w:rsidRPr="00BA51FF" w:rsidRDefault="001236DF" w:rsidP="001236DF">
            <w:pPr>
              <w:pStyle w:val="TableText"/>
              <w:jc w:val="center"/>
            </w:pPr>
            <w:r w:rsidRPr="009F1011">
              <w:t>5,184</w:t>
            </w:r>
          </w:p>
        </w:tc>
        <w:tc>
          <w:tcPr>
            <w:tcW w:w="882" w:type="pct"/>
          </w:tcPr>
          <w:p w14:paraId="7BE5AD17" w14:textId="77777777" w:rsidR="001236DF" w:rsidRPr="00BA51FF" w:rsidRDefault="001236DF" w:rsidP="001236DF">
            <w:pPr>
              <w:pStyle w:val="TableText"/>
              <w:jc w:val="center"/>
            </w:pPr>
            <w:r w:rsidRPr="00DF5D30">
              <w:t>4,629</w:t>
            </w:r>
          </w:p>
        </w:tc>
        <w:tc>
          <w:tcPr>
            <w:tcW w:w="883" w:type="pct"/>
          </w:tcPr>
          <w:p w14:paraId="352E354E" w14:textId="77777777" w:rsidR="001236DF" w:rsidRPr="00BA51FF" w:rsidRDefault="001236DF" w:rsidP="001236DF">
            <w:pPr>
              <w:pStyle w:val="TableText"/>
              <w:tabs>
                <w:tab w:val="decimal" w:pos="788"/>
              </w:tabs>
            </w:pPr>
            <w:r w:rsidRPr="00BD3FDF">
              <w:t>55</w:t>
            </w:r>
          </w:p>
        </w:tc>
        <w:tc>
          <w:tcPr>
            <w:tcW w:w="882" w:type="pct"/>
          </w:tcPr>
          <w:p w14:paraId="48BFC52E" w14:textId="77777777" w:rsidR="001236DF" w:rsidRPr="00BA51FF" w:rsidRDefault="001236DF" w:rsidP="001236DF">
            <w:pPr>
              <w:pStyle w:val="TableText"/>
              <w:jc w:val="center"/>
            </w:pPr>
            <w:r w:rsidRPr="001D2699">
              <w:t>526</w:t>
            </w:r>
          </w:p>
        </w:tc>
        <w:tc>
          <w:tcPr>
            <w:tcW w:w="883" w:type="pct"/>
          </w:tcPr>
          <w:p w14:paraId="7FFC595D" w14:textId="77777777" w:rsidR="001236DF" w:rsidRPr="00BA51FF" w:rsidRDefault="001236DF" w:rsidP="001236DF">
            <w:pPr>
              <w:pStyle w:val="TableText"/>
              <w:jc w:val="center"/>
            </w:pPr>
            <w:r w:rsidRPr="00216AA7">
              <w:t>0</w:t>
            </w:r>
          </w:p>
        </w:tc>
      </w:tr>
      <w:tr w:rsidR="001236DF" w:rsidRPr="00BA51FF" w14:paraId="7C7B1BC4" w14:textId="77777777" w:rsidTr="001236DF">
        <w:trPr>
          <w:cantSplit/>
        </w:trPr>
        <w:tc>
          <w:tcPr>
            <w:tcW w:w="587" w:type="pct"/>
          </w:tcPr>
          <w:p w14:paraId="22E54B56" w14:textId="77777777" w:rsidR="001236DF" w:rsidRPr="00BA51FF" w:rsidRDefault="001236DF" w:rsidP="001236DF">
            <w:pPr>
              <w:pStyle w:val="TableText"/>
              <w:rPr>
                <w:w w:val="105"/>
              </w:rPr>
            </w:pPr>
            <w:r w:rsidRPr="00BA51FF">
              <w:rPr>
                <w:w w:val="105"/>
              </w:rPr>
              <w:t>2015</w:t>
            </w:r>
            <w:r>
              <w:rPr>
                <w:w w:val="105"/>
              </w:rPr>
              <w:t>/16</w:t>
            </w:r>
          </w:p>
        </w:tc>
        <w:tc>
          <w:tcPr>
            <w:tcW w:w="882" w:type="pct"/>
          </w:tcPr>
          <w:p w14:paraId="5187DBC9" w14:textId="77777777" w:rsidR="001236DF" w:rsidRPr="00BA51FF" w:rsidRDefault="001236DF" w:rsidP="001236DF">
            <w:pPr>
              <w:pStyle w:val="TableText"/>
              <w:jc w:val="center"/>
            </w:pPr>
            <w:r w:rsidRPr="009F1011">
              <w:t>5,564</w:t>
            </w:r>
          </w:p>
        </w:tc>
        <w:tc>
          <w:tcPr>
            <w:tcW w:w="882" w:type="pct"/>
          </w:tcPr>
          <w:p w14:paraId="64079B0A" w14:textId="77777777" w:rsidR="001236DF" w:rsidRPr="00BA51FF" w:rsidRDefault="001236DF" w:rsidP="001236DF">
            <w:pPr>
              <w:pStyle w:val="TableText"/>
              <w:jc w:val="center"/>
            </w:pPr>
            <w:r w:rsidRPr="00DF5D30">
              <w:t>4,918</w:t>
            </w:r>
          </w:p>
        </w:tc>
        <w:tc>
          <w:tcPr>
            <w:tcW w:w="883" w:type="pct"/>
          </w:tcPr>
          <w:p w14:paraId="12D3B37D" w14:textId="77777777" w:rsidR="001236DF" w:rsidRPr="00BA51FF" w:rsidRDefault="001236DF" w:rsidP="001236DF">
            <w:pPr>
              <w:pStyle w:val="TableText"/>
              <w:tabs>
                <w:tab w:val="decimal" w:pos="788"/>
              </w:tabs>
            </w:pPr>
            <w:r w:rsidRPr="00BD3FDF">
              <w:t>51</w:t>
            </w:r>
          </w:p>
        </w:tc>
        <w:tc>
          <w:tcPr>
            <w:tcW w:w="882" w:type="pct"/>
          </w:tcPr>
          <w:p w14:paraId="5E99889E" w14:textId="77777777" w:rsidR="001236DF" w:rsidRPr="00BA51FF" w:rsidRDefault="001236DF" w:rsidP="001236DF">
            <w:pPr>
              <w:pStyle w:val="TableText"/>
              <w:jc w:val="center"/>
            </w:pPr>
            <w:r w:rsidRPr="001D2699">
              <w:t>560</w:t>
            </w:r>
          </w:p>
        </w:tc>
        <w:tc>
          <w:tcPr>
            <w:tcW w:w="883" w:type="pct"/>
          </w:tcPr>
          <w:p w14:paraId="431AF6CE" w14:textId="77777777" w:rsidR="001236DF" w:rsidRPr="00BA51FF" w:rsidRDefault="001236DF" w:rsidP="001236DF">
            <w:pPr>
              <w:pStyle w:val="TableText"/>
              <w:jc w:val="center"/>
            </w:pPr>
            <w:r w:rsidRPr="00216AA7">
              <w:t>0</w:t>
            </w:r>
          </w:p>
        </w:tc>
      </w:tr>
      <w:tr w:rsidR="001236DF" w:rsidRPr="00BA51FF" w14:paraId="187EE12F" w14:textId="77777777" w:rsidTr="001236DF">
        <w:trPr>
          <w:cantSplit/>
        </w:trPr>
        <w:tc>
          <w:tcPr>
            <w:tcW w:w="587" w:type="pct"/>
          </w:tcPr>
          <w:p w14:paraId="19E533BA" w14:textId="77777777" w:rsidR="001236DF" w:rsidRPr="00BA51FF" w:rsidRDefault="001236DF" w:rsidP="001236DF">
            <w:pPr>
              <w:pStyle w:val="TableText"/>
              <w:rPr>
                <w:w w:val="105"/>
              </w:rPr>
            </w:pPr>
            <w:r w:rsidRPr="00BA51FF">
              <w:rPr>
                <w:w w:val="105"/>
              </w:rPr>
              <w:t>2016</w:t>
            </w:r>
            <w:r>
              <w:rPr>
                <w:w w:val="105"/>
              </w:rPr>
              <w:t>/17</w:t>
            </w:r>
          </w:p>
        </w:tc>
        <w:tc>
          <w:tcPr>
            <w:tcW w:w="882" w:type="pct"/>
          </w:tcPr>
          <w:p w14:paraId="08FE346D" w14:textId="77777777" w:rsidR="001236DF" w:rsidRPr="00BA51FF" w:rsidRDefault="001236DF" w:rsidP="001236DF">
            <w:pPr>
              <w:pStyle w:val="TableText"/>
              <w:jc w:val="center"/>
            </w:pPr>
            <w:r w:rsidRPr="009F1011">
              <w:t>5,607</w:t>
            </w:r>
          </w:p>
        </w:tc>
        <w:tc>
          <w:tcPr>
            <w:tcW w:w="882" w:type="pct"/>
          </w:tcPr>
          <w:p w14:paraId="1B2DE283" w14:textId="77777777" w:rsidR="001236DF" w:rsidRPr="00BA51FF" w:rsidRDefault="001236DF" w:rsidP="001236DF">
            <w:pPr>
              <w:pStyle w:val="TableText"/>
              <w:jc w:val="center"/>
            </w:pPr>
            <w:r w:rsidRPr="00DF5D30">
              <w:t>4,927</w:t>
            </w:r>
          </w:p>
        </w:tc>
        <w:tc>
          <w:tcPr>
            <w:tcW w:w="883" w:type="pct"/>
          </w:tcPr>
          <w:p w14:paraId="4A5775CF" w14:textId="77777777" w:rsidR="001236DF" w:rsidRPr="00BA51FF" w:rsidRDefault="001236DF" w:rsidP="001236DF">
            <w:pPr>
              <w:pStyle w:val="TableText"/>
              <w:tabs>
                <w:tab w:val="decimal" w:pos="788"/>
              </w:tabs>
            </w:pPr>
            <w:r w:rsidRPr="00BD3FDF">
              <w:t>73</w:t>
            </w:r>
          </w:p>
        </w:tc>
        <w:tc>
          <w:tcPr>
            <w:tcW w:w="882" w:type="pct"/>
          </w:tcPr>
          <w:p w14:paraId="184F6536" w14:textId="77777777" w:rsidR="001236DF" w:rsidRPr="00BA51FF" w:rsidRDefault="001236DF" w:rsidP="001236DF">
            <w:pPr>
              <w:pStyle w:val="TableText"/>
              <w:jc w:val="center"/>
            </w:pPr>
            <w:r w:rsidRPr="001D2699">
              <w:t>563</w:t>
            </w:r>
          </w:p>
        </w:tc>
        <w:tc>
          <w:tcPr>
            <w:tcW w:w="883" w:type="pct"/>
          </w:tcPr>
          <w:p w14:paraId="38EA8862" w14:textId="77777777" w:rsidR="001236DF" w:rsidRPr="00BA51FF" w:rsidRDefault="001236DF" w:rsidP="001236DF">
            <w:pPr>
              <w:pStyle w:val="TableText"/>
              <w:jc w:val="center"/>
              <w:rPr>
                <w:w w:val="102"/>
              </w:rPr>
            </w:pPr>
            <w:r w:rsidRPr="00216AA7">
              <w:t>0</w:t>
            </w:r>
          </w:p>
        </w:tc>
      </w:tr>
      <w:tr w:rsidR="001236DF" w:rsidRPr="00BA51FF" w14:paraId="169F1A25" w14:textId="77777777" w:rsidTr="001236DF">
        <w:trPr>
          <w:cantSplit/>
        </w:trPr>
        <w:tc>
          <w:tcPr>
            <w:tcW w:w="587" w:type="pct"/>
          </w:tcPr>
          <w:p w14:paraId="569189C9" w14:textId="77777777" w:rsidR="001236DF" w:rsidRPr="00BA51FF" w:rsidRDefault="001236DF" w:rsidP="001236DF">
            <w:pPr>
              <w:pStyle w:val="TableText"/>
              <w:rPr>
                <w:w w:val="105"/>
              </w:rPr>
            </w:pPr>
            <w:r w:rsidRPr="00BA51FF">
              <w:rPr>
                <w:w w:val="105"/>
              </w:rPr>
              <w:t>2017</w:t>
            </w:r>
            <w:r>
              <w:rPr>
                <w:w w:val="105"/>
              </w:rPr>
              <w:t>/18</w:t>
            </w:r>
          </w:p>
        </w:tc>
        <w:tc>
          <w:tcPr>
            <w:tcW w:w="882" w:type="pct"/>
          </w:tcPr>
          <w:p w14:paraId="285FC953" w14:textId="77777777" w:rsidR="001236DF" w:rsidRPr="00BA51FF" w:rsidRDefault="001236DF" w:rsidP="001236DF">
            <w:pPr>
              <w:pStyle w:val="TableText"/>
              <w:jc w:val="center"/>
            </w:pPr>
            <w:r w:rsidRPr="009F1011">
              <w:t>5,570</w:t>
            </w:r>
          </w:p>
        </w:tc>
        <w:tc>
          <w:tcPr>
            <w:tcW w:w="882" w:type="pct"/>
          </w:tcPr>
          <w:p w14:paraId="7DBB3ECE" w14:textId="77777777" w:rsidR="001236DF" w:rsidRPr="00BA51FF" w:rsidRDefault="001236DF" w:rsidP="001236DF">
            <w:pPr>
              <w:pStyle w:val="TableText"/>
              <w:jc w:val="center"/>
            </w:pPr>
            <w:r w:rsidRPr="00DF5D30">
              <w:t>4,959</w:t>
            </w:r>
          </w:p>
        </w:tc>
        <w:tc>
          <w:tcPr>
            <w:tcW w:w="883" w:type="pct"/>
          </w:tcPr>
          <w:p w14:paraId="136553E2" w14:textId="77777777" w:rsidR="001236DF" w:rsidRPr="00BA51FF" w:rsidRDefault="001236DF" w:rsidP="001236DF">
            <w:pPr>
              <w:pStyle w:val="TableText"/>
              <w:tabs>
                <w:tab w:val="decimal" w:pos="788"/>
              </w:tabs>
            </w:pPr>
            <w:r w:rsidRPr="00BD3FDF">
              <w:t>74</w:t>
            </w:r>
          </w:p>
        </w:tc>
        <w:tc>
          <w:tcPr>
            <w:tcW w:w="882" w:type="pct"/>
          </w:tcPr>
          <w:p w14:paraId="314FC012" w14:textId="77777777" w:rsidR="001236DF" w:rsidRPr="00BA51FF" w:rsidRDefault="001236DF" w:rsidP="001236DF">
            <w:pPr>
              <w:pStyle w:val="TableText"/>
              <w:jc w:val="center"/>
            </w:pPr>
            <w:r w:rsidRPr="001D2699">
              <w:t>566</w:t>
            </w:r>
          </w:p>
        </w:tc>
        <w:tc>
          <w:tcPr>
            <w:tcW w:w="883" w:type="pct"/>
          </w:tcPr>
          <w:p w14:paraId="5B884A81" w14:textId="77777777" w:rsidR="001236DF" w:rsidRPr="00BA51FF" w:rsidRDefault="001236DF" w:rsidP="001236DF">
            <w:pPr>
              <w:pStyle w:val="TableText"/>
              <w:jc w:val="center"/>
              <w:rPr>
                <w:w w:val="102"/>
              </w:rPr>
            </w:pPr>
            <w:r w:rsidRPr="00216AA7">
              <w:t>0</w:t>
            </w:r>
          </w:p>
        </w:tc>
      </w:tr>
      <w:tr w:rsidR="001236DF" w:rsidRPr="00BA51FF" w14:paraId="717C0BD9" w14:textId="77777777" w:rsidTr="001236DF">
        <w:trPr>
          <w:cantSplit/>
        </w:trPr>
        <w:tc>
          <w:tcPr>
            <w:tcW w:w="587" w:type="pct"/>
          </w:tcPr>
          <w:p w14:paraId="70BACAC4" w14:textId="77777777" w:rsidR="001236DF" w:rsidRPr="00BA51FF" w:rsidRDefault="001236DF" w:rsidP="001236DF">
            <w:pPr>
              <w:pStyle w:val="TableText"/>
              <w:rPr>
                <w:w w:val="105"/>
              </w:rPr>
            </w:pPr>
            <w:r w:rsidRPr="00BA51FF">
              <w:rPr>
                <w:w w:val="105"/>
              </w:rPr>
              <w:t>2018</w:t>
            </w:r>
            <w:r>
              <w:rPr>
                <w:w w:val="105"/>
              </w:rPr>
              <w:t>/19</w:t>
            </w:r>
          </w:p>
        </w:tc>
        <w:tc>
          <w:tcPr>
            <w:tcW w:w="882" w:type="pct"/>
          </w:tcPr>
          <w:p w14:paraId="4901AC6D" w14:textId="77777777" w:rsidR="001236DF" w:rsidRPr="00BA51FF" w:rsidRDefault="001236DF" w:rsidP="001236DF">
            <w:pPr>
              <w:pStyle w:val="TableText"/>
              <w:jc w:val="center"/>
            </w:pPr>
            <w:r w:rsidRPr="009F1011">
              <w:t>5,619</w:t>
            </w:r>
          </w:p>
        </w:tc>
        <w:tc>
          <w:tcPr>
            <w:tcW w:w="882" w:type="pct"/>
          </w:tcPr>
          <w:p w14:paraId="6040A8BD" w14:textId="77777777" w:rsidR="001236DF" w:rsidRPr="00BA51FF" w:rsidRDefault="001236DF" w:rsidP="001236DF">
            <w:pPr>
              <w:pStyle w:val="TableText"/>
              <w:jc w:val="center"/>
            </w:pPr>
            <w:r w:rsidRPr="00DF5D30">
              <w:t>4,972</w:t>
            </w:r>
          </w:p>
        </w:tc>
        <w:tc>
          <w:tcPr>
            <w:tcW w:w="883" w:type="pct"/>
          </w:tcPr>
          <w:p w14:paraId="2B963E04" w14:textId="77777777" w:rsidR="001236DF" w:rsidRPr="00BA51FF" w:rsidRDefault="001236DF" w:rsidP="001236DF">
            <w:pPr>
              <w:pStyle w:val="TableText"/>
              <w:tabs>
                <w:tab w:val="decimal" w:pos="788"/>
              </w:tabs>
            </w:pPr>
            <w:r w:rsidRPr="00BD3FDF">
              <w:t>64</w:t>
            </w:r>
          </w:p>
        </w:tc>
        <w:tc>
          <w:tcPr>
            <w:tcW w:w="882" w:type="pct"/>
          </w:tcPr>
          <w:p w14:paraId="3DD5F3BF" w14:textId="77777777" w:rsidR="001236DF" w:rsidRPr="00BA51FF" w:rsidRDefault="001236DF" w:rsidP="001236DF">
            <w:pPr>
              <w:pStyle w:val="TableText"/>
              <w:jc w:val="center"/>
            </w:pPr>
            <w:r w:rsidRPr="001D2699">
              <w:t>571</w:t>
            </w:r>
          </w:p>
        </w:tc>
        <w:tc>
          <w:tcPr>
            <w:tcW w:w="883" w:type="pct"/>
          </w:tcPr>
          <w:p w14:paraId="53F4CD7D" w14:textId="77777777" w:rsidR="001236DF" w:rsidRPr="00BA51FF" w:rsidRDefault="001236DF" w:rsidP="001236DF">
            <w:pPr>
              <w:pStyle w:val="TableText"/>
              <w:jc w:val="center"/>
              <w:rPr>
                <w:w w:val="102"/>
              </w:rPr>
            </w:pPr>
            <w:r w:rsidRPr="00216AA7">
              <w:t>0</w:t>
            </w:r>
          </w:p>
        </w:tc>
      </w:tr>
      <w:tr w:rsidR="001236DF" w:rsidRPr="00BA51FF" w14:paraId="005A0102" w14:textId="77777777" w:rsidTr="001236DF">
        <w:trPr>
          <w:cantSplit/>
        </w:trPr>
        <w:tc>
          <w:tcPr>
            <w:tcW w:w="587" w:type="pct"/>
          </w:tcPr>
          <w:p w14:paraId="3EDF8310" w14:textId="77777777" w:rsidR="001236DF" w:rsidRPr="00BA51FF" w:rsidRDefault="001236DF" w:rsidP="001236DF">
            <w:pPr>
              <w:pStyle w:val="TableText"/>
              <w:rPr>
                <w:w w:val="105"/>
              </w:rPr>
            </w:pPr>
            <w:r w:rsidRPr="00BA51FF">
              <w:rPr>
                <w:w w:val="105"/>
              </w:rPr>
              <w:t>2019</w:t>
            </w:r>
            <w:r>
              <w:rPr>
                <w:w w:val="105"/>
              </w:rPr>
              <w:t>/20</w:t>
            </w:r>
          </w:p>
        </w:tc>
        <w:tc>
          <w:tcPr>
            <w:tcW w:w="882" w:type="pct"/>
          </w:tcPr>
          <w:p w14:paraId="1FB3C0C6" w14:textId="77777777" w:rsidR="001236DF" w:rsidRPr="00BA51FF" w:rsidRDefault="001236DF" w:rsidP="001236DF">
            <w:pPr>
              <w:pStyle w:val="TableText"/>
              <w:jc w:val="center"/>
            </w:pPr>
            <w:r w:rsidRPr="009F1011">
              <w:t>5,710</w:t>
            </w:r>
          </w:p>
        </w:tc>
        <w:tc>
          <w:tcPr>
            <w:tcW w:w="882" w:type="pct"/>
          </w:tcPr>
          <w:p w14:paraId="4DF73C1A" w14:textId="77777777" w:rsidR="001236DF" w:rsidRPr="00BA51FF" w:rsidRDefault="001236DF" w:rsidP="001236DF">
            <w:pPr>
              <w:pStyle w:val="TableText"/>
              <w:jc w:val="center"/>
            </w:pPr>
            <w:r w:rsidRPr="00DF5D30">
              <w:t>5,021</w:t>
            </w:r>
          </w:p>
        </w:tc>
        <w:tc>
          <w:tcPr>
            <w:tcW w:w="883" w:type="pct"/>
          </w:tcPr>
          <w:p w14:paraId="20C998EC" w14:textId="77777777" w:rsidR="001236DF" w:rsidRPr="00BA51FF" w:rsidRDefault="001236DF" w:rsidP="001236DF">
            <w:pPr>
              <w:pStyle w:val="TableText"/>
              <w:tabs>
                <w:tab w:val="decimal" w:pos="788"/>
              </w:tabs>
            </w:pPr>
            <w:r w:rsidRPr="00BD3FDF">
              <w:t>52</w:t>
            </w:r>
          </w:p>
        </w:tc>
        <w:tc>
          <w:tcPr>
            <w:tcW w:w="882" w:type="pct"/>
          </w:tcPr>
          <w:p w14:paraId="70FC69A7" w14:textId="77777777" w:rsidR="001236DF" w:rsidRPr="00BA51FF" w:rsidRDefault="001236DF" w:rsidP="001236DF">
            <w:pPr>
              <w:pStyle w:val="TableText"/>
              <w:jc w:val="center"/>
            </w:pPr>
            <w:r w:rsidRPr="001D2699">
              <w:t>622</w:t>
            </w:r>
          </w:p>
        </w:tc>
        <w:tc>
          <w:tcPr>
            <w:tcW w:w="883" w:type="pct"/>
          </w:tcPr>
          <w:p w14:paraId="1E6E164B" w14:textId="77777777" w:rsidR="001236DF" w:rsidRPr="00BA51FF" w:rsidRDefault="001236DF" w:rsidP="001236DF">
            <w:pPr>
              <w:pStyle w:val="TableText"/>
              <w:jc w:val="center"/>
              <w:rPr>
                <w:w w:val="102"/>
              </w:rPr>
            </w:pPr>
            <w:r w:rsidRPr="00216AA7">
              <w:t>0</w:t>
            </w:r>
          </w:p>
        </w:tc>
      </w:tr>
      <w:tr w:rsidR="001236DF" w:rsidRPr="00BA51FF" w14:paraId="023BEFC0" w14:textId="77777777" w:rsidTr="001236DF">
        <w:trPr>
          <w:cantSplit/>
        </w:trPr>
        <w:tc>
          <w:tcPr>
            <w:tcW w:w="587" w:type="pct"/>
          </w:tcPr>
          <w:p w14:paraId="17E56153" w14:textId="77777777" w:rsidR="001236DF" w:rsidRPr="00BA51FF" w:rsidRDefault="001236DF" w:rsidP="001236DF">
            <w:pPr>
              <w:pStyle w:val="TableText"/>
              <w:rPr>
                <w:w w:val="105"/>
              </w:rPr>
            </w:pPr>
            <w:r>
              <w:rPr>
                <w:w w:val="105"/>
              </w:rPr>
              <w:t>2020/21</w:t>
            </w:r>
          </w:p>
        </w:tc>
        <w:tc>
          <w:tcPr>
            <w:tcW w:w="882" w:type="pct"/>
          </w:tcPr>
          <w:p w14:paraId="55D37E73" w14:textId="77777777" w:rsidR="001236DF" w:rsidRPr="00BA51FF" w:rsidRDefault="001236DF" w:rsidP="001236DF">
            <w:pPr>
              <w:pStyle w:val="TableText"/>
              <w:jc w:val="center"/>
            </w:pPr>
            <w:r w:rsidRPr="009F1011">
              <w:t>5,902</w:t>
            </w:r>
          </w:p>
        </w:tc>
        <w:tc>
          <w:tcPr>
            <w:tcW w:w="882" w:type="pct"/>
          </w:tcPr>
          <w:p w14:paraId="2DA6ED0F" w14:textId="77777777" w:rsidR="001236DF" w:rsidRPr="00BA51FF" w:rsidRDefault="001236DF" w:rsidP="001236DF">
            <w:pPr>
              <w:pStyle w:val="TableText"/>
              <w:jc w:val="center"/>
            </w:pPr>
            <w:r w:rsidRPr="00DF5D30">
              <w:t>5,241</w:t>
            </w:r>
          </w:p>
        </w:tc>
        <w:tc>
          <w:tcPr>
            <w:tcW w:w="883" w:type="pct"/>
          </w:tcPr>
          <w:p w14:paraId="77E117FC" w14:textId="77777777" w:rsidR="001236DF" w:rsidRPr="00BA51FF" w:rsidRDefault="001236DF" w:rsidP="001236DF">
            <w:pPr>
              <w:pStyle w:val="TableText"/>
              <w:tabs>
                <w:tab w:val="decimal" w:pos="788"/>
              </w:tabs>
            </w:pPr>
            <w:r w:rsidRPr="00BD3FDF">
              <w:t>62</w:t>
            </w:r>
          </w:p>
        </w:tc>
        <w:tc>
          <w:tcPr>
            <w:tcW w:w="882" w:type="pct"/>
          </w:tcPr>
          <w:p w14:paraId="11621FF4" w14:textId="77777777" w:rsidR="001236DF" w:rsidRPr="00BA51FF" w:rsidRDefault="001236DF" w:rsidP="001236DF">
            <w:pPr>
              <w:pStyle w:val="TableText"/>
              <w:jc w:val="center"/>
            </w:pPr>
            <w:r w:rsidRPr="001D2699">
              <w:t>608</w:t>
            </w:r>
          </w:p>
        </w:tc>
        <w:tc>
          <w:tcPr>
            <w:tcW w:w="883" w:type="pct"/>
          </w:tcPr>
          <w:p w14:paraId="7C707B6D" w14:textId="77777777" w:rsidR="001236DF" w:rsidRPr="00BA51FF" w:rsidRDefault="001236DF" w:rsidP="001236DF">
            <w:pPr>
              <w:pStyle w:val="TableText"/>
              <w:jc w:val="center"/>
              <w:rPr>
                <w:w w:val="102"/>
              </w:rPr>
            </w:pPr>
            <w:r w:rsidRPr="00216AA7">
              <w:t>0</w:t>
            </w:r>
          </w:p>
        </w:tc>
      </w:tr>
    </w:tbl>
    <w:p w14:paraId="506942A2" w14:textId="77777777" w:rsidR="001236DF" w:rsidRPr="00BA51FF" w:rsidRDefault="001236DF" w:rsidP="001236DF">
      <w:pPr>
        <w:pStyle w:val="Note"/>
      </w:pPr>
      <w:r w:rsidRPr="00BA51FF">
        <w:t xml:space="preserve">Notes: CTO = compulsory treatment order. The table presents applications that had been processed at the time of data extraction on </w:t>
      </w:r>
      <w:r>
        <w:t>9 May 2022</w:t>
      </w:r>
      <w:r w:rsidRPr="00BA51FF">
        <w:t>. The year is determined by the final outcome date. The case management system (CMS) is a live operational database. Figures are subject to minor changes at any time.</w:t>
      </w:r>
    </w:p>
    <w:p w14:paraId="712E2F4C" w14:textId="77777777" w:rsidR="001236DF" w:rsidRDefault="001236DF" w:rsidP="001236DF">
      <w:pPr>
        <w:pStyle w:val="Source"/>
      </w:pPr>
      <w:r w:rsidRPr="00BA51FF">
        <w:t>Source: Ministry of Justice Integrated Sector Intelligence System, which uses data entered into the CMS</w:t>
      </w:r>
      <w:r>
        <w:t xml:space="preserve"> (extracted</w:t>
      </w:r>
      <w:r w:rsidRPr="00BA51FF">
        <w:t xml:space="preserve"> </w:t>
      </w:r>
      <w:r>
        <w:t>9 May 2022).</w:t>
      </w:r>
    </w:p>
    <w:p w14:paraId="13D95D6A" w14:textId="77777777" w:rsidR="001236DF" w:rsidRPr="001509BE" w:rsidRDefault="001236DF" w:rsidP="001236DF"/>
    <w:p w14:paraId="14E16714" w14:textId="5E77CC99" w:rsidR="001236DF" w:rsidRPr="00200234" w:rsidRDefault="001236DF" w:rsidP="001236DF">
      <w:pPr>
        <w:pStyle w:val="Table"/>
      </w:pPr>
      <w:bookmarkStart w:id="736" w:name="_Toc63764688"/>
      <w:bookmarkStart w:id="737" w:name="_Toc75176541"/>
      <w:bookmarkStart w:id="738" w:name="_Toc87430020"/>
      <w:bookmarkStart w:id="739" w:name="_Toc88561377"/>
      <w:bookmarkStart w:id="740" w:name="_Toc115188912"/>
      <w:bookmarkStart w:id="741" w:name="_Toc115272614"/>
      <w:r w:rsidRPr="00200234">
        <w:t>Table</w:t>
      </w:r>
      <w:r>
        <w:t> </w:t>
      </w:r>
      <w:r w:rsidRPr="00200234">
        <w:t>A</w:t>
      </w:r>
      <w:fldSimple w:instr=" SEQ Table_A \* ARABIC ">
        <w:r w:rsidR="009A04B0">
          <w:rPr>
            <w:noProof/>
          </w:rPr>
          <w:t>2</w:t>
        </w:r>
      </w:fldSimple>
      <w:r w:rsidRPr="00200234">
        <w:t xml:space="preserve">: </w:t>
      </w:r>
      <w:r w:rsidRPr="00EC646D">
        <w:t>Types of compulsory treatment orders made on granted applications, 2004/05–20</w:t>
      </w:r>
      <w:bookmarkEnd w:id="736"/>
      <w:r w:rsidRPr="00EC646D">
        <w:t>20</w:t>
      </w:r>
      <w:bookmarkEnd w:id="737"/>
      <w:bookmarkEnd w:id="738"/>
      <w:bookmarkEnd w:id="739"/>
      <w:r w:rsidRPr="00EC646D">
        <w:t>/21</w:t>
      </w:r>
      <w:bookmarkEnd w:id="740"/>
      <w:bookmarkEnd w:id="741"/>
    </w:p>
    <w:tbl>
      <w:tblPr>
        <w:tblW w:w="5000"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926"/>
        <w:gridCol w:w="1264"/>
        <w:gridCol w:w="1123"/>
        <w:gridCol w:w="1121"/>
        <w:gridCol w:w="1543"/>
        <w:gridCol w:w="840"/>
        <w:gridCol w:w="1262"/>
      </w:tblGrid>
      <w:tr w:rsidR="001236DF" w:rsidRPr="001509BE" w14:paraId="08B91314" w14:textId="77777777" w:rsidTr="001236DF">
        <w:trPr>
          <w:cantSplit/>
        </w:trPr>
        <w:tc>
          <w:tcPr>
            <w:tcW w:w="573" w:type="pct"/>
            <w:tcBorders>
              <w:top w:val="nil"/>
              <w:bottom w:val="nil"/>
            </w:tcBorders>
            <w:shd w:val="clear" w:color="auto" w:fill="D9D9D9" w:themeFill="background1" w:themeFillShade="D9"/>
          </w:tcPr>
          <w:p w14:paraId="263C2D41" w14:textId="77777777" w:rsidR="001236DF" w:rsidRPr="00EC646D" w:rsidRDefault="001236DF" w:rsidP="001236DF">
            <w:pPr>
              <w:pStyle w:val="TableText"/>
              <w:rPr>
                <w:b/>
                <w:bCs/>
              </w:rPr>
            </w:pPr>
            <w:r w:rsidRPr="00EC646D">
              <w:rPr>
                <w:b/>
                <w:bCs/>
              </w:rPr>
              <w:t>Financial year</w:t>
            </w:r>
          </w:p>
        </w:tc>
        <w:tc>
          <w:tcPr>
            <w:tcW w:w="782" w:type="pct"/>
            <w:tcBorders>
              <w:top w:val="nil"/>
              <w:bottom w:val="nil"/>
            </w:tcBorders>
            <w:shd w:val="clear" w:color="auto" w:fill="D9D9D9"/>
          </w:tcPr>
          <w:p w14:paraId="6DA0D8EC" w14:textId="77777777" w:rsidR="001236DF" w:rsidRPr="001509BE" w:rsidRDefault="001236DF" w:rsidP="001236DF">
            <w:pPr>
              <w:pStyle w:val="TableText"/>
              <w:jc w:val="center"/>
              <w:rPr>
                <w:b/>
              </w:rPr>
            </w:pPr>
            <w:r w:rsidRPr="001509BE">
              <w:rPr>
                <w:b/>
              </w:rPr>
              <w:t>Number of granted applications for orders</w:t>
            </w:r>
          </w:p>
        </w:tc>
        <w:tc>
          <w:tcPr>
            <w:tcW w:w="695" w:type="pct"/>
            <w:tcBorders>
              <w:top w:val="nil"/>
              <w:bottom w:val="nil"/>
            </w:tcBorders>
            <w:shd w:val="clear" w:color="auto" w:fill="D9D9D9" w:themeFill="background1" w:themeFillShade="D9"/>
          </w:tcPr>
          <w:p w14:paraId="4EAECC6C" w14:textId="77777777" w:rsidR="001236DF" w:rsidRPr="001509BE" w:rsidRDefault="001236DF" w:rsidP="001236DF">
            <w:pPr>
              <w:pStyle w:val="TableText"/>
              <w:jc w:val="center"/>
              <w:rPr>
                <w:b/>
              </w:rPr>
            </w:pPr>
            <w:r w:rsidRPr="001509BE">
              <w:rPr>
                <w:b/>
              </w:rPr>
              <w:t xml:space="preserve">Number of community </w:t>
            </w:r>
            <w:r>
              <w:rPr>
                <w:b/>
              </w:rPr>
              <w:t>CTOs</w:t>
            </w:r>
            <w:r w:rsidRPr="001509BE">
              <w:rPr>
                <w:b/>
              </w:rPr>
              <w:t xml:space="preserve"> (or extension)</w:t>
            </w:r>
          </w:p>
        </w:tc>
        <w:tc>
          <w:tcPr>
            <w:tcW w:w="694" w:type="pct"/>
            <w:tcBorders>
              <w:top w:val="nil"/>
              <w:bottom w:val="nil"/>
            </w:tcBorders>
            <w:shd w:val="clear" w:color="auto" w:fill="D9D9D9" w:themeFill="background1" w:themeFillShade="D9"/>
          </w:tcPr>
          <w:p w14:paraId="22E51A49" w14:textId="77777777" w:rsidR="001236DF" w:rsidRPr="001509BE" w:rsidRDefault="001236DF" w:rsidP="001236DF">
            <w:pPr>
              <w:pStyle w:val="TableText"/>
              <w:jc w:val="center"/>
              <w:rPr>
                <w:b/>
              </w:rPr>
            </w:pPr>
            <w:r w:rsidRPr="001509BE">
              <w:rPr>
                <w:b/>
              </w:rPr>
              <w:t xml:space="preserve">Number of inpatient </w:t>
            </w:r>
            <w:r>
              <w:rPr>
                <w:b/>
              </w:rPr>
              <w:t>CTOs</w:t>
            </w:r>
            <w:r w:rsidRPr="001509BE">
              <w:rPr>
                <w:b/>
              </w:rPr>
              <w:t xml:space="preserve"> (or extension)</w:t>
            </w:r>
          </w:p>
        </w:tc>
        <w:tc>
          <w:tcPr>
            <w:tcW w:w="955" w:type="pct"/>
            <w:tcBorders>
              <w:top w:val="nil"/>
              <w:bottom w:val="nil"/>
            </w:tcBorders>
            <w:shd w:val="clear" w:color="auto" w:fill="D9D9D9" w:themeFill="background1" w:themeFillShade="D9"/>
          </w:tcPr>
          <w:p w14:paraId="4A2E2E32" w14:textId="77777777" w:rsidR="001236DF" w:rsidRPr="001509BE" w:rsidRDefault="001236DF" w:rsidP="001236DF">
            <w:pPr>
              <w:pStyle w:val="TableText"/>
              <w:jc w:val="center"/>
              <w:rPr>
                <w:b/>
              </w:rPr>
            </w:pPr>
            <w:r w:rsidRPr="001509BE">
              <w:rPr>
                <w:b/>
              </w:rPr>
              <w:t xml:space="preserve">Number of orders recorded as both community and inpatient </w:t>
            </w:r>
            <w:r>
              <w:rPr>
                <w:b/>
              </w:rPr>
              <w:t>CTOs</w:t>
            </w:r>
            <w:r w:rsidRPr="001509BE">
              <w:rPr>
                <w:b/>
              </w:rPr>
              <w:t xml:space="preserve"> (or extension)</w:t>
            </w:r>
          </w:p>
        </w:tc>
        <w:tc>
          <w:tcPr>
            <w:tcW w:w="520" w:type="pct"/>
            <w:tcBorders>
              <w:top w:val="nil"/>
              <w:bottom w:val="nil"/>
            </w:tcBorders>
            <w:shd w:val="clear" w:color="auto" w:fill="D9D9D9" w:themeFill="background1" w:themeFillShade="D9"/>
          </w:tcPr>
          <w:p w14:paraId="68AF1F89" w14:textId="77777777" w:rsidR="001236DF" w:rsidRPr="001509BE" w:rsidRDefault="001236DF" w:rsidP="001236DF">
            <w:pPr>
              <w:pStyle w:val="TableText"/>
              <w:jc w:val="center"/>
              <w:rPr>
                <w:b/>
              </w:rPr>
            </w:pPr>
            <w:r w:rsidRPr="001509BE">
              <w:rPr>
                <w:b/>
              </w:rPr>
              <w:t>Number of other orders</w:t>
            </w:r>
          </w:p>
        </w:tc>
        <w:tc>
          <w:tcPr>
            <w:tcW w:w="781" w:type="pct"/>
            <w:tcBorders>
              <w:top w:val="nil"/>
              <w:bottom w:val="nil"/>
            </w:tcBorders>
            <w:shd w:val="clear" w:color="auto" w:fill="D9D9D9" w:themeFill="background1" w:themeFillShade="D9"/>
          </w:tcPr>
          <w:p w14:paraId="2159AFC6" w14:textId="77777777" w:rsidR="001236DF" w:rsidRPr="001509BE" w:rsidRDefault="001236DF" w:rsidP="001236DF">
            <w:pPr>
              <w:pStyle w:val="TableText"/>
              <w:jc w:val="center"/>
              <w:rPr>
                <w:b/>
              </w:rPr>
            </w:pPr>
            <w:r w:rsidRPr="001509BE">
              <w:rPr>
                <w:b/>
              </w:rPr>
              <w:t>Number of applications where type of order was not recorded</w:t>
            </w:r>
          </w:p>
        </w:tc>
      </w:tr>
      <w:tr w:rsidR="001236DF" w:rsidRPr="00200234" w14:paraId="534257AF" w14:textId="77777777" w:rsidTr="001236DF">
        <w:trPr>
          <w:cantSplit/>
        </w:trPr>
        <w:tc>
          <w:tcPr>
            <w:tcW w:w="573" w:type="pct"/>
            <w:tcBorders>
              <w:top w:val="nil"/>
            </w:tcBorders>
          </w:tcPr>
          <w:p w14:paraId="3F1D9911" w14:textId="77777777" w:rsidR="001236DF" w:rsidRPr="00200234" w:rsidRDefault="001236DF" w:rsidP="001236DF">
            <w:pPr>
              <w:pStyle w:val="TableText"/>
            </w:pPr>
            <w:r w:rsidRPr="0084484B">
              <w:t>2004/05</w:t>
            </w:r>
          </w:p>
        </w:tc>
        <w:tc>
          <w:tcPr>
            <w:tcW w:w="782" w:type="pct"/>
            <w:tcBorders>
              <w:top w:val="nil"/>
            </w:tcBorders>
          </w:tcPr>
          <w:p w14:paraId="6D8600DB" w14:textId="77777777" w:rsidR="001236DF" w:rsidRPr="00200234" w:rsidRDefault="001236DF" w:rsidP="001236DF">
            <w:pPr>
              <w:pStyle w:val="TableText"/>
              <w:jc w:val="center"/>
            </w:pPr>
            <w:r w:rsidRPr="003E671C">
              <w:t>3,824</w:t>
            </w:r>
          </w:p>
        </w:tc>
        <w:tc>
          <w:tcPr>
            <w:tcW w:w="695" w:type="pct"/>
            <w:tcBorders>
              <w:top w:val="nil"/>
            </w:tcBorders>
          </w:tcPr>
          <w:p w14:paraId="48DBD00A" w14:textId="77777777" w:rsidR="001236DF" w:rsidRPr="00200234" w:rsidRDefault="001236DF" w:rsidP="001236DF">
            <w:pPr>
              <w:pStyle w:val="TableText"/>
              <w:jc w:val="center"/>
            </w:pPr>
            <w:r w:rsidRPr="00414DD7">
              <w:t>1,816</w:t>
            </w:r>
          </w:p>
        </w:tc>
        <w:tc>
          <w:tcPr>
            <w:tcW w:w="694" w:type="pct"/>
            <w:tcBorders>
              <w:top w:val="nil"/>
            </w:tcBorders>
          </w:tcPr>
          <w:p w14:paraId="33C8DA7D" w14:textId="77777777" w:rsidR="001236DF" w:rsidRPr="00200234" w:rsidRDefault="001236DF" w:rsidP="001236DF">
            <w:pPr>
              <w:pStyle w:val="TableText"/>
              <w:jc w:val="center"/>
            </w:pPr>
            <w:r w:rsidRPr="00FF2C70">
              <w:t>1,585</w:t>
            </w:r>
          </w:p>
        </w:tc>
        <w:tc>
          <w:tcPr>
            <w:tcW w:w="955" w:type="pct"/>
            <w:tcBorders>
              <w:top w:val="nil"/>
            </w:tcBorders>
          </w:tcPr>
          <w:p w14:paraId="3B72B27F" w14:textId="77777777" w:rsidR="001236DF" w:rsidRPr="00200234" w:rsidRDefault="001236DF" w:rsidP="001236DF">
            <w:pPr>
              <w:pStyle w:val="TableText"/>
              <w:tabs>
                <w:tab w:val="decimal" w:pos="911"/>
              </w:tabs>
            </w:pPr>
            <w:r w:rsidRPr="00CA131A">
              <w:t>101</w:t>
            </w:r>
          </w:p>
        </w:tc>
        <w:tc>
          <w:tcPr>
            <w:tcW w:w="520" w:type="pct"/>
            <w:tcBorders>
              <w:top w:val="nil"/>
            </w:tcBorders>
          </w:tcPr>
          <w:p w14:paraId="3A3677BF" w14:textId="77777777" w:rsidR="001236DF" w:rsidRPr="00200234" w:rsidRDefault="001236DF" w:rsidP="001236DF">
            <w:pPr>
              <w:pStyle w:val="TableText"/>
              <w:tabs>
                <w:tab w:val="decimal" w:pos="496"/>
              </w:tabs>
            </w:pPr>
            <w:r w:rsidRPr="00A05749">
              <w:t>9</w:t>
            </w:r>
          </w:p>
        </w:tc>
        <w:tc>
          <w:tcPr>
            <w:tcW w:w="781" w:type="pct"/>
            <w:tcBorders>
              <w:top w:val="nil"/>
            </w:tcBorders>
          </w:tcPr>
          <w:p w14:paraId="569CAA69" w14:textId="77777777" w:rsidR="001236DF" w:rsidRPr="00200234" w:rsidRDefault="001236DF" w:rsidP="001236DF">
            <w:pPr>
              <w:pStyle w:val="TableText"/>
              <w:tabs>
                <w:tab w:val="decimal" w:pos="706"/>
              </w:tabs>
            </w:pPr>
            <w:r w:rsidRPr="00F243AA">
              <w:t>313</w:t>
            </w:r>
          </w:p>
        </w:tc>
      </w:tr>
      <w:tr w:rsidR="001236DF" w:rsidRPr="00200234" w14:paraId="7E2922B7" w14:textId="77777777" w:rsidTr="001236DF">
        <w:trPr>
          <w:cantSplit/>
        </w:trPr>
        <w:tc>
          <w:tcPr>
            <w:tcW w:w="573" w:type="pct"/>
          </w:tcPr>
          <w:p w14:paraId="332AB0BD" w14:textId="77777777" w:rsidR="001236DF" w:rsidRPr="00200234" w:rsidRDefault="001236DF" w:rsidP="001236DF">
            <w:pPr>
              <w:pStyle w:val="TableText"/>
              <w:rPr>
                <w:w w:val="105"/>
              </w:rPr>
            </w:pPr>
            <w:r w:rsidRPr="0084484B">
              <w:t>2005/06</w:t>
            </w:r>
          </w:p>
        </w:tc>
        <w:tc>
          <w:tcPr>
            <w:tcW w:w="782" w:type="pct"/>
          </w:tcPr>
          <w:p w14:paraId="07CB062D" w14:textId="77777777" w:rsidR="001236DF" w:rsidRPr="00200234" w:rsidRDefault="001236DF" w:rsidP="001236DF">
            <w:pPr>
              <w:pStyle w:val="TableText"/>
              <w:jc w:val="center"/>
            </w:pPr>
            <w:r w:rsidRPr="003E671C">
              <w:t>3,635</w:t>
            </w:r>
          </w:p>
        </w:tc>
        <w:tc>
          <w:tcPr>
            <w:tcW w:w="695" w:type="pct"/>
          </w:tcPr>
          <w:p w14:paraId="12B892B7" w14:textId="77777777" w:rsidR="001236DF" w:rsidRPr="00200234" w:rsidRDefault="001236DF" w:rsidP="001236DF">
            <w:pPr>
              <w:pStyle w:val="TableText"/>
              <w:jc w:val="center"/>
            </w:pPr>
            <w:r w:rsidRPr="00414DD7">
              <w:t>1,519</w:t>
            </w:r>
          </w:p>
        </w:tc>
        <w:tc>
          <w:tcPr>
            <w:tcW w:w="694" w:type="pct"/>
          </w:tcPr>
          <w:p w14:paraId="4DE129F5" w14:textId="77777777" w:rsidR="001236DF" w:rsidRPr="00200234" w:rsidRDefault="001236DF" w:rsidP="001236DF">
            <w:pPr>
              <w:pStyle w:val="TableText"/>
              <w:jc w:val="center"/>
            </w:pPr>
            <w:r w:rsidRPr="00FF2C70">
              <w:t>1,364</w:t>
            </w:r>
          </w:p>
        </w:tc>
        <w:tc>
          <w:tcPr>
            <w:tcW w:w="955" w:type="pct"/>
          </w:tcPr>
          <w:p w14:paraId="52136DAD" w14:textId="77777777" w:rsidR="001236DF" w:rsidRPr="00200234" w:rsidRDefault="001236DF" w:rsidP="001236DF">
            <w:pPr>
              <w:pStyle w:val="TableText"/>
              <w:tabs>
                <w:tab w:val="decimal" w:pos="911"/>
              </w:tabs>
            </w:pPr>
            <w:r w:rsidRPr="00CA131A">
              <w:t>104</w:t>
            </w:r>
          </w:p>
        </w:tc>
        <w:tc>
          <w:tcPr>
            <w:tcW w:w="520" w:type="pct"/>
          </w:tcPr>
          <w:p w14:paraId="4E635F3D" w14:textId="77777777" w:rsidR="001236DF" w:rsidRPr="00200234" w:rsidRDefault="001236DF" w:rsidP="001236DF">
            <w:pPr>
              <w:pStyle w:val="TableText"/>
              <w:tabs>
                <w:tab w:val="decimal" w:pos="496"/>
              </w:tabs>
            </w:pPr>
            <w:r w:rsidRPr="00A05749">
              <w:t>14</w:t>
            </w:r>
          </w:p>
        </w:tc>
        <w:tc>
          <w:tcPr>
            <w:tcW w:w="781" w:type="pct"/>
          </w:tcPr>
          <w:p w14:paraId="55497562" w14:textId="77777777" w:rsidR="001236DF" w:rsidRPr="00200234" w:rsidRDefault="001236DF" w:rsidP="001236DF">
            <w:pPr>
              <w:pStyle w:val="TableText"/>
              <w:tabs>
                <w:tab w:val="decimal" w:pos="706"/>
              </w:tabs>
            </w:pPr>
            <w:r w:rsidRPr="00F243AA">
              <w:t>634</w:t>
            </w:r>
          </w:p>
        </w:tc>
      </w:tr>
      <w:tr w:rsidR="001236DF" w:rsidRPr="00200234" w14:paraId="096DCCCD" w14:textId="77777777" w:rsidTr="001236DF">
        <w:trPr>
          <w:cantSplit/>
        </w:trPr>
        <w:tc>
          <w:tcPr>
            <w:tcW w:w="573" w:type="pct"/>
          </w:tcPr>
          <w:p w14:paraId="0B25B8D3" w14:textId="77777777" w:rsidR="001236DF" w:rsidRPr="00200234" w:rsidRDefault="001236DF" w:rsidP="001236DF">
            <w:pPr>
              <w:pStyle w:val="TableText"/>
              <w:rPr>
                <w:w w:val="105"/>
              </w:rPr>
            </w:pPr>
            <w:r w:rsidRPr="0084484B">
              <w:t>2006/07</w:t>
            </w:r>
          </w:p>
        </w:tc>
        <w:tc>
          <w:tcPr>
            <w:tcW w:w="782" w:type="pct"/>
          </w:tcPr>
          <w:p w14:paraId="41303152" w14:textId="77777777" w:rsidR="001236DF" w:rsidRPr="00200234" w:rsidRDefault="001236DF" w:rsidP="001236DF">
            <w:pPr>
              <w:pStyle w:val="TableText"/>
              <w:jc w:val="center"/>
            </w:pPr>
            <w:r w:rsidRPr="003E671C">
              <w:t>3,818</w:t>
            </w:r>
          </w:p>
        </w:tc>
        <w:tc>
          <w:tcPr>
            <w:tcW w:w="695" w:type="pct"/>
          </w:tcPr>
          <w:p w14:paraId="70E0F93E" w14:textId="77777777" w:rsidR="001236DF" w:rsidRPr="00200234" w:rsidRDefault="001236DF" w:rsidP="001236DF">
            <w:pPr>
              <w:pStyle w:val="TableText"/>
              <w:jc w:val="center"/>
            </w:pPr>
            <w:r w:rsidRPr="00414DD7">
              <w:t>1,730</w:t>
            </w:r>
          </w:p>
        </w:tc>
        <w:tc>
          <w:tcPr>
            <w:tcW w:w="694" w:type="pct"/>
          </w:tcPr>
          <w:p w14:paraId="01C6B34B" w14:textId="77777777" w:rsidR="001236DF" w:rsidRPr="00200234" w:rsidRDefault="001236DF" w:rsidP="001236DF">
            <w:pPr>
              <w:pStyle w:val="TableText"/>
              <w:jc w:val="center"/>
            </w:pPr>
            <w:r w:rsidRPr="00FF2C70">
              <w:t>1,411</w:t>
            </w:r>
          </w:p>
        </w:tc>
        <w:tc>
          <w:tcPr>
            <w:tcW w:w="955" w:type="pct"/>
          </w:tcPr>
          <w:p w14:paraId="3ED8E9C9" w14:textId="77777777" w:rsidR="001236DF" w:rsidRPr="00200234" w:rsidRDefault="001236DF" w:rsidP="001236DF">
            <w:pPr>
              <w:pStyle w:val="TableText"/>
              <w:tabs>
                <w:tab w:val="decimal" w:pos="911"/>
              </w:tabs>
            </w:pPr>
            <w:r w:rsidRPr="00CA131A">
              <w:t>102</w:t>
            </w:r>
          </w:p>
        </w:tc>
        <w:tc>
          <w:tcPr>
            <w:tcW w:w="520" w:type="pct"/>
          </w:tcPr>
          <w:p w14:paraId="228D9DF0" w14:textId="77777777" w:rsidR="001236DF" w:rsidRPr="00200234" w:rsidRDefault="001236DF" w:rsidP="001236DF">
            <w:pPr>
              <w:pStyle w:val="TableText"/>
              <w:tabs>
                <w:tab w:val="decimal" w:pos="496"/>
              </w:tabs>
            </w:pPr>
            <w:r w:rsidRPr="00A05749">
              <w:t>21</w:t>
            </w:r>
          </w:p>
        </w:tc>
        <w:tc>
          <w:tcPr>
            <w:tcW w:w="781" w:type="pct"/>
          </w:tcPr>
          <w:p w14:paraId="2DF0C978" w14:textId="77777777" w:rsidR="001236DF" w:rsidRPr="00200234" w:rsidRDefault="001236DF" w:rsidP="001236DF">
            <w:pPr>
              <w:pStyle w:val="TableText"/>
              <w:tabs>
                <w:tab w:val="decimal" w:pos="706"/>
              </w:tabs>
            </w:pPr>
            <w:r w:rsidRPr="00F243AA">
              <w:t>554</w:t>
            </w:r>
          </w:p>
        </w:tc>
      </w:tr>
      <w:tr w:rsidR="001236DF" w:rsidRPr="00200234" w14:paraId="1BFD4CE7" w14:textId="77777777" w:rsidTr="001236DF">
        <w:trPr>
          <w:cantSplit/>
        </w:trPr>
        <w:tc>
          <w:tcPr>
            <w:tcW w:w="573" w:type="pct"/>
          </w:tcPr>
          <w:p w14:paraId="54567D88" w14:textId="77777777" w:rsidR="001236DF" w:rsidRPr="00200234" w:rsidRDefault="001236DF" w:rsidP="001236DF">
            <w:pPr>
              <w:pStyle w:val="TableText"/>
              <w:rPr>
                <w:w w:val="105"/>
              </w:rPr>
            </w:pPr>
            <w:r w:rsidRPr="0084484B">
              <w:t>2007/08</w:t>
            </w:r>
          </w:p>
        </w:tc>
        <w:tc>
          <w:tcPr>
            <w:tcW w:w="782" w:type="pct"/>
          </w:tcPr>
          <w:p w14:paraId="151AB8EE" w14:textId="77777777" w:rsidR="001236DF" w:rsidRPr="00200234" w:rsidRDefault="001236DF" w:rsidP="001236DF">
            <w:pPr>
              <w:pStyle w:val="TableText"/>
              <w:jc w:val="center"/>
            </w:pPr>
            <w:r w:rsidRPr="003E671C">
              <w:t>3,899</w:t>
            </w:r>
          </w:p>
        </w:tc>
        <w:tc>
          <w:tcPr>
            <w:tcW w:w="695" w:type="pct"/>
          </w:tcPr>
          <w:p w14:paraId="3D3532DD" w14:textId="77777777" w:rsidR="001236DF" w:rsidRPr="00200234" w:rsidRDefault="001236DF" w:rsidP="001236DF">
            <w:pPr>
              <w:pStyle w:val="TableText"/>
              <w:jc w:val="center"/>
            </w:pPr>
            <w:r w:rsidRPr="00414DD7">
              <w:t>1,676</w:t>
            </w:r>
          </w:p>
        </w:tc>
        <w:tc>
          <w:tcPr>
            <w:tcW w:w="694" w:type="pct"/>
          </w:tcPr>
          <w:p w14:paraId="3CED2F2A" w14:textId="77777777" w:rsidR="001236DF" w:rsidRPr="00200234" w:rsidRDefault="001236DF" w:rsidP="001236DF">
            <w:pPr>
              <w:pStyle w:val="TableText"/>
              <w:jc w:val="center"/>
            </w:pPr>
            <w:r w:rsidRPr="00FF2C70">
              <w:t>1,293</w:t>
            </w:r>
          </w:p>
        </w:tc>
        <w:tc>
          <w:tcPr>
            <w:tcW w:w="955" w:type="pct"/>
          </w:tcPr>
          <w:p w14:paraId="723720CB" w14:textId="77777777" w:rsidR="001236DF" w:rsidRPr="00200234" w:rsidRDefault="001236DF" w:rsidP="001236DF">
            <w:pPr>
              <w:pStyle w:val="TableText"/>
              <w:tabs>
                <w:tab w:val="decimal" w:pos="911"/>
              </w:tabs>
            </w:pPr>
            <w:r w:rsidRPr="00CA131A">
              <w:t>127</w:t>
            </w:r>
          </w:p>
        </w:tc>
        <w:tc>
          <w:tcPr>
            <w:tcW w:w="520" w:type="pct"/>
          </w:tcPr>
          <w:p w14:paraId="47F1F0F9" w14:textId="77777777" w:rsidR="001236DF" w:rsidRPr="00200234" w:rsidRDefault="001236DF" w:rsidP="001236DF">
            <w:pPr>
              <w:pStyle w:val="TableText"/>
              <w:tabs>
                <w:tab w:val="decimal" w:pos="496"/>
              </w:tabs>
            </w:pPr>
            <w:r w:rsidRPr="00A05749">
              <w:t>22</w:t>
            </w:r>
          </w:p>
        </w:tc>
        <w:tc>
          <w:tcPr>
            <w:tcW w:w="781" w:type="pct"/>
          </w:tcPr>
          <w:p w14:paraId="27B66995" w14:textId="77777777" w:rsidR="001236DF" w:rsidRPr="00200234" w:rsidRDefault="001236DF" w:rsidP="001236DF">
            <w:pPr>
              <w:pStyle w:val="TableText"/>
              <w:tabs>
                <w:tab w:val="decimal" w:pos="706"/>
              </w:tabs>
            </w:pPr>
            <w:r w:rsidRPr="00F243AA">
              <w:t>781</w:t>
            </w:r>
          </w:p>
        </w:tc>
      </w:tr>
      <w:tr w:rsidR="001236DF" w:rsidRPr="00200234" w14:paraId="71307CC4" w14:textId="77777777" w:rsidTr="001236DF">
        <w:trPr>
          <w:cantSplit/>
        </w:trPr>
        <w:tc>
          <w:tcPr>
            <w:tcW w:w="573" w:type="pct"/>
          </w:tcPr>
          <w:p w14:paraId="5F7BF03D" w14:textId="77777777" w:rsidR="001236DF" w:rsidRPr="00200234" w:rsidRDefault="001236DF" w:rsidP="001236DF">
            <w:pPr>
              <w:pStyle w:val="TableText"/>
              <w:rPr>
                <w:w w:val="105"/>
              </w:rPr>
            </w:pPr>
            <w:r w:rsidRPr="0084484B">
              <w:t>2008/09</w:t>
            </w:r>
          </w:p>
        </w:tc>
        <w:tc>
          <w:tcPr>
            <w:tcW w:w="782" w:type="pct"/>
          </w:tcPr>
          <w:p w14:paraId="30BC4873" w14:textId="77777777" w:rsidR="001236DF" w:rsidRPr="00200234" w:rsidRDefault="001236DF" w:rsidP="001236DF">
            <w:pPr>
              <w:pStyle w:val="TableText"/>
              <w:jc w:val="center"/>
            </w:pPr>
            <w:r w:rsidRPr="003E671C">
              <w:t>4,003</w:t>
            </w:r>
          </w:p>
        </w:tc>
        <w:tc>
          <w:tcPr>
            <w:tcW w:w="695" w:type="pct"/>
          </w:tcPr>
          <w:p w14:paraId="42343A05" w14:textId="77777777" w:rsidR="001236DF" w:rsidRPr="00200234" w:rsidRDefault="001236DF" w:rsidP="001236DF">
            <w:pPr>
              <w:pStyle w:val="TableText"/>
              <w:jc w:val="center"/>
            </w:pPr>
            <w:r w:rsidRPr="00414DD7">
              <w:t>2,020</w:t>
            </w:r>
          </w:p>
        </w:tc>
        <w:tc>
          <w:tcPr>
            <w:tcW w:w="694" w:type="pct"/>
          </w:tcPr>
          <w:p w14:paraId="68A2AE47" w14:textId="77777777" w:rsidR="001236DF" w:rsidRPr="00200234" w:rsidRDefault="001236DF" w:rsidP="001236DF">
            <w:pPr>
              <w:pStyle w:val="TableText"/>
              <w:jc w:val="center"/>
            </w:pPr>
            <w:r w:rsidRPr="00FF2C70">
              <w:t>1,520</w:t>
            </w:r>
          </w:p>
        </w:tc>
        <w:tc>
          <w:tcPr>
            <w:tcW w:w="955" w:type="pct"/>
          </w:tcPr>
          <w:p w14:paraId="4404B92D" w14:textId="77777777" w:rsidR="001236DF" w:rsidRPr="00200234" w:rsidRDefault="001236DF" w:rsidP="001236DF">
            <w:pPr>
              <w:pStyle w:val="TableText"/>
              <w:tabs>
                <w:tab w:val="decimal" w:pos="911"/>
              </w:tabs>
            </w:pPr>
            <w:r w:rsidRPr="00CA131A">
              <w:t>99</w:t>
            </w:r>
          </w:p>
        </w:tc>
        <w:tc>
          <w:tcPr>
            <w:tcW w:w="520" w:type="pct"/>
          </w:tcPr>
          <w:p w14:paraId="0440D5F5" w14:textId="77777777" w:rsidR="001236DF" w:rsidRPr="00200234" w:rsidRDefault="001236DF" w:rsidP="001236DF">
            <w:pPr>
              <w:pStyle w:val="TableText"/>
              <w:tabs>
                <w:tab w:val="decimal" w:pos="496"/>
              </w:tabs>
            </w:pPr>
            <w:r w:rsidRPr="00A05749">
              <w:t>15</w:t>
            </w:r>
          </w:p>
        </w:tc>
        <w:tc>
          <w:tcPr>
            <w:tcW w:w="781" w:type="pct"/>
          </w:tcPr>
          <w:p w14:paraId="465CCCFA" w14:textId="77777777" w:rsidR="001236DF" w:rsidRPr="00200234" w:rsidRDefault="001236DF" w:rsidP="001236DF">
            <w:pPr>
              <w:pStyle w:val="TableText"/>
              <w:tabs>
                <w:tab w:val="decimal" w:pos="706"/>
              </w:tabs>
            </w:pPr>
            <w:r w:rsidRPr="00F243AA">
              <w:t>349</w:t>
            </w:r>
          </w:p>
        </w:tc>
      </w:tr>
      <w:tr w:rsidR="001236DF" w:rsidRPr="00200234" w14:paraId="770F8BAB" w14:textId="77777777" w:rsidTr="001236DF">
        <w:trPr>
          <w:cantSplit/>
        </w:trPr>
        <w:tc>
          <w:tcPr>
            <w:tcW w:w="573" w:type="pct"/>
          </w:tcPr>
          <w:p w14:paraId="6C2F6542" w14:textId="77777777" w:rsidR="001236DF" w:rsidRPr="00200234" w:rsidRDefault="001236DF" w:rsidP="001236DF">
            <w:pPr>
              <w:pStyle w:val="TableText"/>
              <w:rPr>
                <w:w w:val="105"/>
              </w:rPr>
            </w:pPr>
            <w:r w:rsidRPr="0084484B">
              <w:t>2009/10</w:t>
            </w:r>
          </w:p>
        </w:tc>
        <w:tc>
          <w:tcPr>
            <w:tcW w:w="782" w:type="pct"/>
          </w:tcPr>
          <w:p w14:paraId="714C9121" w14:textId="77777777" w:rsidR="001236DF" w:rsidRPr="00200234" w:rsidRDefault="001236DF" w:rsidP="001236DF">
            <w:pPr>
              <w:pStyle w:val="TableText"/>
              <w:jc w:val="center"/>
            </w:pPr>
            <w:r w:rsidRPr="003E671C">
              <w:t>4,101</w:t>
            </w:r>
          </w:p>
        </w:tc>
        <w:tc>
          <w:tcPr>
            <w:tcW w:w="695" w:type="pct"/>
          </w:tcPr>
          <w:p w14:paraId="21689E72" w14:textId="77777777" w:rsidR="001236DF" w:rsidRPr="00200234" w:rsidRDefault="001236DF" w:rsidP="001236DF">
            <w:pPr>
              <w:pStyle w:val="TableText"/>
              <w:jc w:val="center"/>
            </w:pPr>
            <w:r w:rsidRPr="00414DD7">
              <w:t>2,148</w:t>
            </w:r>
          </w:p>
        </w:tc>
        <w:tc>
          <w:tcPr>
            <w:tcW w:w="694" w:type="pct"/>
          </w:tcPr>
          <w:p w14:paraId="45932DD7" w14:textId="77777777" w:rsidR="001236DF" w:rsidRPr="00200234" w:rsidRDefault="001236DF" w:rsidP="001236DF">
            <w:pPr>
              <w:pStyle w:val="TableText"/>
              <w:jc w:val="center"/>
            </w:pPr>
            <w:r w:rsidRPr="00FF2C70">
              <w:t>1,628</w:t>
            </w:r>
          </w:p>
        </w:tc>
        <w:tc>
          <w:tcPr>
            <w:tcW w:w="955" w:type="pct"/>
          </w:tcPr>
          <w:p w14:paraId="3A527450" w14:textId="77777777" w:rsidR="001236DF" w:rsidRPr="00200234" w:rsidRDefault="001236DF" w:rsidP="001236DF">
            <w:pPr>
              <w:pStyle w:val="TableText"/>
              <w:tabs>
                <w:tab w:val="decimal" w:pos="911"/>
              </w:tabs>
            </w:pPr>
            <w:r w:rsidRPr="00CA131A">
              <w:t>116</w:t>
            </w:r>
          </w:p>
        </w:tc>
        <w:tc>
          <w:tcPr>
            <w:tcW w:w="520" w:type="pct"/>
          </w:tcPr>
          <w:p w14:paraId="0844E76D" w14:textId="77777777" w:rsidR="001236DF" w:rsidRPr="00200234" w:rsidRDefault="001236DF" w:rsidP="001236DF">
            <w:pPr>
              <w:pStyle w:val="TableText"/>
              <w:tabs>
                <w:tab w:val="decimal" w:pos="496"/>
              </w:tabs>
            </w:pPr>
            <w:r w:rsidRPr="00A05749">
              <w:t>6</w:t>
            </w:r>
          </w:p>
        </w:tc>
        <w:tc>
          <w:tcPr>
            <w:tcW w:w="781" w:type="pct"/>
          </w:tcPr>
          <w:p w14:paraId="566EE337" w14:textId="77777777" w:rsidR="001236DF" w:rsidRPr="00200234" w:rsidRDefault="001236DF" w:rsidP="001236DF">
            <w:pPr>
              <w:pStyle w:val="TableText"/>
              <w:tabs>
                <w:tab w:val="decimal" w:pos="706"/>
              </w:tabs>
            </w:pPr>
            <w:r w:rsidRPr="00F243AA">
              <w:t>203</w:t>
            </w:r>
          </w:p>
        </w:tc>
      </w:tr>
      <w:tr w:rsidR="001236DF" w:rsidRPr="00200234" w14:paraId="051912FD" w14:textId="77777777" w:rsidTr="001236DF">
        <w:trPr>
          <w:cantSplit/>
        </w:trPr>
        <w:tc>
          <w:tcPr>
            <w:tcW w:w="573" w:type="pct"/>
          </w:tcPr>
          <w:p w14:paraId="2A6E2565" w14:textId="77777777" w:rsidR="001236DF" w:rsidRPr="00200234" w:rsidRDefault="001236DF" w:rsidP="001236DF">
            <w:pPr>
              <w:pStyle w:val="TableText"/>
              <w:rPr>
                <w:w w:val="105"/>
              </w:rPr>
            </w:pPr>
            <w:r w:rsidRPr="0084484B">
              <w:t>2010/11</w:t>
            </w:r>
          </w:p>
        </w:tc>
        <w:tc>
          <w:tcPr>
            <w:tcW w:w="782" w:type="pct"/>
          </w:tcPr>
          <w:p w14:paraId="5E9D5A59" w14:textId="77777777" w:rsidR="001236DF" w:rsidRPr="00200234" w:rsidRDefault="001236DF" w:rsidP="001236DF">
            <w:pPr>
              <w:pStyle w:val="TableText"/>
              <w:jc w:val="center"/>
            </w:pPr>
            <w:r w:rsidRPr="003E671C">
              <w:t>4,198</w:t>
            </w:r>
          </w:p>
        </w:tc>
        <w:tc>
          <w:tcPr>
            <w:tcW w:w="695" w:type="pct"/>
          </w:tcPr>
          <w:p w14:paraId="559FED2F" w14:textId="77777777" w:rsidR="001236DF" w:rsidRPr="00200234" w:rsidRDefault="001236DF" w:rsidP="001236DF">
            <w:pPr>
              <w:pStyle w:val="TableText"/>
              <w:jc w:val="center"/>
            </w:pPr>
            <w:r w:rsidRPr="00414DD7">
              <w:t>2,283</w:t>
            </w:r>
          </w:p>
        </w:tc>
        <w:tc>
          <w:tcPr>
            <w:tcW w:w="694" w:type="pct"/>
          </w:tcPr>
          <w:p w14:paraId="735B10A4" w14:textId="77777777" w:rsidR="001236DF" w:rsidRPr="00200234" w:rsidRDefault="001236DF" w:rsidP="001236DF">
            <w:pPr>
              <w:pStyle w:val="TableText"/>
              <w:jc w:val="center"/>
            </w:pPr>
            <w:r w:rsidRPr="00FF2C70">
              <w:t>1,668</w:t>
            </w:r>
          </w:p>
        </w:tc>
        <w:tc>
          <w:tcPr>
            <w:tcW w:w="955" w:type="pct"/>
          </w:tcPr>
          <w:p w14:paraId="079A6B5A" w14:textId="77777777" w:rsidR="001236DF" w:rsidRPr="00200234" w:rsidRDefault="001236DF" w:rsidP="001236DF">
            <w:pPr>
              <w:pStyle w:val="TableText"/>
              <w:tabs>
                <w:tab w:val="decimal" w:pos="911"/>
              </w:tabs>
            </w:pPr>
            <w:r w:rsidRPr="00CA131A">
              <w:t>95</w:t>
            </w:r>
          </w:p>
        </w:tc>
        <w:tc>
          <w:tcPr>
            <w:tcW w:w="520" w:type="pct"/>
          </w:tcPr>
          <w:p w14:paraId="4A151444" w14:textId="77777777" w:rsidR="001236DF" w:rsidRPr="00200234" w:rsidRDefault="001236DF" w:rsidP="001236DF">
            <w:pPr>
              <w:pStyle w:val="TableText"/>
              <w:tabs>
                <w:tab w:val="decimal" w:pos="496"/>
              </w:tabs>
            </w:pPr>
            <w:r w:rsidRPr="00A05749">
              <w:t>10</w:t>
            </w:r>
          </w:p>
        </w:tc>
        <w:tc>
          <w:tcPr>
            <w:tcW w:w="781" w:type="pct"/>
          </w:tcPr>
          <w:p w14:paraId="25B753DD" w14:textId="77777777" w:rsidR="001236DF" w:rsidRPr="00200234" w:rsidRDefault="001236DF" w:rsidP="001236DF">
            <w:pPr>
              <w:pStyle w:val="TableText"/>
              <w:tabs>
                <w:tab w:val="decimal" w:pos="706"/>
              </w:tabs>
            </w:pPr>
            <w:r w:rsidRPr="00F243AA">
              <w:t>142</w:t>
            </w:r>
          </w:p>
        </w:tc>
      </w:tr>
      <w:tr w:rsidR="001236DF" w:rsidRPr="00200234" w14:paraId="29B57AE9" w14:textId="77777777" w:rsidTr="001236DF">
        <w:trPr>
          <w:cantSplit/>
        </w:trPr>
        <w:tc>
          <w:tcPr>
            <w:tcW w:w="573" w:type="pct"/>
          </w:tcPr>
          <w:p w14:paraId="2DFA3540" w14:textId="77777777" w:rsidR="001236DF" w:rsidRPr="00200234" w:rsidRDefault="001236DF" w:rsidP="001236DF">
            <w:pPr>
              <w:pStyle w:val="TableText"/>
              <w:rPr>
                <w:w w:val="105"/>
              </w:rPr>
            </w:pPr>
            <w:r w:rsidRPr="0084484B">
              <w:t>2011/12</w:t>
            </w:r>
          </w:p>
        </w:tc>
        <w:tc>
          <w:tcPr>
            <w:tcW w:w="782" w:type="pct"/>
          </w:tcPr>
          <w:p w14:paraId="72D99AB5" w14:textId="77777777" w:rsidR="001236DF" w:rsidRPr="00200234" w:rsidRDefault="001236DF" w:rsidP="001236DF">
            <w:pPr>
              <w:pStyle w:val="TableText"/>
              <w:jc w:val="center"/>
            </w:pPr>
            <w:r w:rsidRPr="003E671C">
              <w:t>4,272</w:t>
            </w:r>
          </w:p>
        </w:tc>
        <w:tc>
          <w:tcPr>
            <w:tcW w:w="695" w:type="pct"/>
          </w:tcPr>
          <w:p w14:paraId="21111661" w14:textId="77777777" w:rsidR="001236DF" w:rsidRPr="00200234" w:rsidRDefault="001236DF" w:rsidP="001236DF">
            <w:pPr>
              <w:pStyle w:val="TableText"/>
              <w:jc w:val="center"/>
            </w:pPr>
            <w:r w:rsidRPr="00414DD7">
              <w:t>2,297</w:t>
            </w:r>
          </w:p>
        </w:tc>
        <w:tc>
          <w:tcPr>
            <w:tcW w:w="694" w:type="pct"/>
          </w:tcPr>
          <w:p w14:paraId="27944E32" w14:textId="77777777" w:rsidR="001236DF" w:rsidRPr="00200234" w:rsidRDefault="001236DF" w:rsidP="001236DF">
            <w:pPr>
              <w:pStyle w:val="TableText"/>
              <w:jc w:val="center"/>
            </w:pPr>
            <w:r w:rsidRPr="00FF2C70">
              <w:t>1,664</w:t>
            </w:r>
          </w:p>
        </w:tc>
        <w:tc>
          <w:tcPr>
            <w:tcW w:w="955" w:type="pct"/>
          </w:tcPr>
          <w:p w14:paraId="7F88AE86" w14:textId="77777777" w:rsidR="001236DF" w:rsidRPr="00200234" w:rsidRDefault="001236DF" w:rsidP="001236DF">
            <w:pPr>
              <w:pStyle w:val="TableText"/>
              <w:tabs>
                <w:tab w:val="decimal" w:pos="911"/>
              </w:tabs>
            </w:pPr>
            <w:r w:rsidRPr="00CA131A">
              <w:t>97</w:t>
            </w:r>
          </w:p>
        </w:tc>
        <w:tc>
          <w:tcPr>
            <w:tcW w:w="520" w:type="pct"/>
          </w:tcPr>
          <w:p w14:paraId="399C4D21" w14:textId="77777777" w:rsidR="001236DF" w:rsidRPr="00200234" w:rsidRDefault="001236DF" w:rsidP="001236DF">
            <w:pPr>
              <w:pStyle w:val="TableText"/>
              <w:tabs>
                <w:tab w:val="decimal" w:pos="496"/>
              </w:tabs>
            </w:pPr>
            <w:r w:rsidRPr="00A05749">
              <w:t>8</w:t>
            </w:r>
          </w:p>
        </w:tc>
        <w:tc>
          <w:tcPr>
            <w:tcW w:w="781" w:type="pct"/>
          </w:tcPr>
          <w:p w14:paraId="3C47CDF8" w14:textId="77777777" w:rsidR="001236DF" w:rsidRPr="00200234" w:rsidRDefault="001236DF" w:rsidP="001236DF">
            <w:pPr>
              <w:pStyle w:val="TableText"/>
              <w:tabs>
                <w:tab w:val="decimal" w:pos="706"/>
              </w:tabs>
            </w:pPr>
            <w:r w:rsidRPr="00F243AA">
              <w:t>206</w:t>
            </w:r>
          </w:p>
        </w:tc>
      </w:tr>
      <w:tr w:rsidR="001236DF" w:rsidRPr="00200234" w14:paraId="07292C16" w14:textId="77777777" w:rsidTr="001236DF">
        <w:trPr>
          <w:cantSplit/>
        </w:trPr>
        <w:tc>
          <w:tcPr>
            <w:tcW w:w="573" w:type="pct"/>
          </w:tcPr>
          <w:p w14:paraId="323911FD" w14:textId="77777777" w:rsidR="001236DF" w:rsidRPr="00200234" w:rsidRDefault="001236DF" w:rsidP="001236DF">
            <w:pPr>
              <w:pStyle w:val="TableText"/>
              <w:rPr>
                <w:w w:val="105"/>
              </w:rPr>
            </w:pPr>
            <w:r w:rsidRPr="0084484B">
              <w:t>2012/13</w:t>
            </w:r>
          </w:p>
        </w:tc>
        <w:tc>
          <w:tcPr>
            <w:tcW w:w="782" w:type="pct"/>
          </w:tcPr>
          <w:p w14:paraId="5273EC7A" w14:textId="77777777" w:rsidR="001236DF" w:rsidRPr="00200234" w:rsidRDefault="001236DF" w:rsidP="001236DF">
            <w:pPr>
              <w:pStyle w:val="TableText"/>
              <w:jc w:val="center"/>
            </w:pPr>
            <w:r w:rsidRPr="003E671C">
              <w:t>4,480</w:t>
            </w:r>
          </w:p>
        </w:tc>
        <w:tc>
          <w:tcPr>
            <w:tcW w:w="695" w:type="pct"/>
          </w:tcPr>
          <w:p w14:paraId="4443EECB" w14:textId="77777777" w:rsidR="001236DF" w:rsidRPr="00200234" w:rsidRDefault="001236DF" w:rsidP="001236DF">
            <w:pPr>
              <w:pStyle w:val="TableText"/>
              <w:jc w:val="center"/>
            </w:pPr>
            <w:r w:rsidRPr="00414DD7">
              <w:t>2,591</w:t>
            </w:r>
          </w:p>
        </w:tc>
        <w:tc>
          <w:tcPr>
            <w:tcW w:w="694" w:type="pct"/>
          </w:tcPr>
          <w:p w14:paraId="7D2CBFDA" w14:textId="77777777" w:rsidR="001236DF" w:rsidRPr="00200234" w:rsidRDefault="001236DF" w:rsidP="001236DF">
            <w:pPr>
              <w:pStyle w:val="TableText"/>
              <w:jc w:val="center"/>
            </w:pPr>
            <w:r w:rsidRPr="00FF2C70">
              <w:t>1,731</w:t>
            </w:r>
          </w:p>
        </w:tc>
        <w:tc>
          <w:tcPr>
            <w:tcW w:w="955" w:type="pct"/>
          </w:tcPr>
          <w:p w14:paraId="38C913CB" w14:textId="77777777" w:rsidR="001236DF" w:rsidRPr="00200234" w:rsidRDefault="001236DF" w:rsidP="001236DF">
            <w:pPr>
              <w:pStyle w:val="TableText"/>
              <w:tabs>
                <w:tab w:val="decimal" w:pos="911"/>
              </w:tabs>
            </w:pPr>
            <w:r w:rsidRPr="00CA131A">
              <w:t>62</w:t>
            </w:r>
          </w:p>
        </w:tc>
        <w:tc>
          <w:tcPr>
            <w:tcW w:w="520" w:type="pct"/>
          </w:tcPr>
          <w:p w14:paraId="1509277E" w14:textId="77777777" w:rsidR="001236DF" w:rsidRPr="00200234" w:rsidRDefault="001236DF" w:rsidP="001236DF">
            <w:pPr>
              <w:pStyle w:val="TableText"/>
              <w:tabs>
                <w:tab w:val="decimal" w:pos="496"/>
              </w:tabs>
            </w:pPr>
            <w:r w:rsidRPr="00A05749">
              <w:t>0</w:t>
            </w:r>
          </w:p>
        </w:tc>
        <w:tc>
          <w:tcPr>
            <w:tcW w:w="781" w:type="pct"/>
          </w:tcPr>
          <w:p w14:paraId="1B3CD0F6" w14:textId="77777777" w:rsidR="001236DF" w:rsidRPr="00200234" w:rsidRDefault="001236DF" w:rsidP="001236DF">
            <w:pPr>
              <w:pStyle w:val="TableText"/>
              <w:tabs>
                <w:tab w:val="decimal" w:pos="706"/>
              </w:tabs>
            </w:pPr>
            <w:r w:rsidRPr="00F243AA">
              <w:t>96</w:t>
            </w:r>
          </w:p>
        </w:tc>
      </w:tr>
      <w:tr w:rsidR="001236DF" w:rsidRPr="00200234" w14:paraId="7C2551F0" w14:textId="77777777" w:rsidTr="001236DF">
        <w:trPr>
          <w:cantSplit/>
        </w:trPr>
        <w:tc>
          <w:tcPr>
            <w:tcW w:w="573" w:type="pct"/>
          </w:tcPr>
          <w:p w14:paraId="518CFCBE" w14:textId="77777777" w:rsidR="001236DF" w:rsidRPr="00200234" w:rsidRDefault="001236DF" w:rsidP="001236DF">
            <w:pPr>
              <w:pStyle w:val="TableText"/>
              <w:rPr>
                <w:w w:val="105"/>
              </w:rPr>
            </w:pPr>
            <w:r w:rsidRPr="0084484B">
              <w:t>2013/14</w:t>
            </w:r>
          </w:p>
        </w:tc>
        <w:tc>
          <w:tcPr>
            <w:tcW w:w="782" w:type="pct"/>
          </w:tcPr>
          <w:p w14:paraId="28C8DA12" w14:textId="77777777" w:rsidR="001236DF" w:rsidRPr="00200234" w:rsidRDefault="001236DF" w:rsidP="001236DF">
            <w:pPr>
              <w:pStyle w:val="TableText"/>
              <w:jc w:val="center"/>
            </w:pPr>
            <w:r w:rsidRPr="003E671C">
              <w:t>4,610</w:t>
            </w:r>
          </w:p>
        </w:tc>
        <w:tc>
          <w:tcPr>
            <w:tcW w:w="695" w:type="pct"/>
          </w:tcPr>
          <w:p w14:paraId="3C629E3C" w14:textId="77777777" w:rsidR="001236DF" w:rsidRPr="00200234" w:rsidRDefault="001236DF" w:rsidP="001236DF">
            <w:pPr>
              <w:pStyle w:val="TableText"/>
              <w:jc w:val="center"/>
            </w:pPr>
            <w:r w:rsidRPr="00414DD7">
              <w:t>2,616</w:t>
            </w:r>
          </w:p>
        </w:tc>
        <w:tc>
          <w:tcPr>
            <w:tcW w:w="694" w:type="pct"/>
          </w:tcPr>
          <w:p w14:paraId="2E5D3864" w14:textId="77777777" w:rsidR="001236DF" w:rsidRPr="00200234" w:rsidRDefault="001236DF" w:rsidP="001236DF">
            <w:pPr>
              <w:pStyle w:val="TableText"/>
              <w:jc w:val="center"/>
            </w:pPr>
            <w:r w:rsidRPr="00FF2C70">
              <w:t>1,756</w:t>
            </w:r>
          </w:p>
        </w:tc>
        <w:tc>
          <w:tcPr>
            <w:tcW w:w="955" w:type="pct"/>
          </w:tcPr>
          <w:p w14:paraId="494930F0" w14:textId="77777777" w:rsidR="001236DF" w:rsidRPr="00200234" w:rsidRDefault="001236DF" w:rsidP="001236DF">
            <w:pPr>
              <w:pStyle w:val="TableText"/>
              <w:tabs>
                <w:tab w:val="decimal" w:pos="911"/>
              </w:tabs>
            </w:pPr>
            <w:r w:rsidRPr="00CA131A">
              <w:t>88</w:t>
            </w:r>
          </w:p>
        </w:tc>
        <w:tc>
          <w:tcPr>
            <w:tcW w:w="520" w:type="pct"/>
          </w:tcPr>
          <w:p w14:paraId="17E75483" w14:textId="77777777" w:rsidR="001236DF" w:rsidRPr="00200234" w:rsidRDefault="001236DF" w:rsidP="001236DF">
            <w:pPr>
              <w:pStyle w:val="TableText"/>
              <w:tabs>
                <w:tab w:val="decimal" w:pos="496"/>
              </w:tabs>
            </w:pPr>
            <w:r w:rsidRPr="00A05749">
              <w:t>2</w:t>
            </w:r>
          </w:p>
        </w:tc>
        <w:tc>
          <w:tcPr>
            <w:tcW w:w="781" w:type="pct"/>
          </w:tcPr>
          <w:p w14:paraId="20A1D998" w14:textId="77777777" w:rsidR="001236DF" w:rsidRPr="00200234" w:rsidRDefault="001236DF" w:rsidP="001236DF">
            <w:pPr>
              <w:pStyle w:val="TableText"/>
              <w:tabs>
                <w:tab w:val="decimal" w:pos="706"/>
              </w:tabs>
            </w:pPr>
            <w:r w:rsidRPr="00F243AA">
              <w:t>148</w:t>
            </w:r>
          </w:p>
        </w:tc>
      </w:tr>
      <w:tr w:rsidR="001236DF" w:rsidRPr="00200234" w14:paraId="1A85014F" w14:textId="77777777" w:rsidTr="001236DF">
        <w:trPr>
          <w:cantSplit/>
        </w:trPr>
        <w:tc>
          <w:tcPr>
            <w:tcW w:w="573" w:type="pct"/>
          </w:tcPr>
          <w:p w14:paraId="3EC56D75" w14:textId="77777777" w:rsidR="001236DF" w:rsidRPr="00200234" w:rsidRDefault="001236DF" w:rsidP="001236DF">
            <w:pPr>
              <w:pStyle w:val="TableText"/>
              <w:rPr>
                <w:w w:val="105"/>
              </w:rPr>
            </w:pPr>
            <w:r w:rsidRPr="0084484B">
              <w:t>2014/15</w:t>
            </w:r>
          </w:p>
        </w:tc>
        <w:tc>
          <w:tcPr>
            <w:tcW w:w="782" w:type="pct"/>
          </w:tcPr>
          <w:p w14:paraId="3704F25A" w14:textId="77777777" w:rsidR="001236DF" w:rsidRPr="00200234" w:rsidRDefault="001236DF" w:rsidP="001236DF">
            <w:pPr>
              <w:pStyle w:val="TableText"/>
              <w:jc w:val="center"/>
            </w:pPr>
            <w:r w:rsidRPr="003E671C">
              <w:t>4,629</w:t>
            </w:r>
          </w:p>
        </w:tc>
        <w:tc>
          <w:tcPr>
            <w:tcW w:w="695" w:type="pct"/>
          </w:tcPr>
          <w:p w14:paraId="53D24029" w14:textId="77777777" w:rsidR="001236DF" w:rsidRPr="00200234" w:rsidRDefault="001236DF" w:rsidP="001236DF">
            <w:pPr>
              <w:pStyle w:val="TableText"/>
              <w:jc w:val="center"/>
            </w:pPr>
            <w:r w:rsidRPr="00414DD7">
              <w:t>2,688</w:t>
            </w:r>
          </w:p>
        </w:tc>
        <w:tc>
          <w:tcPr>
            <w:tcW w:w="694" w:type="pct"/>
          </w:tcPr>
          <w:p w14:paraId="43F43A17" w14:textId="77777777" w:rsidR="001236DF" w:rsidRPr="00200234" w:rsidRDefault="001236DF" w:rsidP="001236DF">
            <w:pPr>
              <w:pStyle w:val="TableText"/>
              <w:jc w:val="center"/>
            </w:pPr>
            <w:r w:rsidRPr="00FF2C70">
              <w:t>1,782</w:t>
            </w:r>
          </w:p>
        </w:tc>
        <w:tc>
          <w:tcPr>
            <w:tcW w:w="955" w:type="pct"/>
          </w:tcPr>
          <w:p w14:paraId="0B654BFE" w14:textId="77777777" w:rsidR="001236DF" w:rsidRPr="00200234" w:rsidRDefault="001236DF" w:rsidP="001236DF">
            <w:pPr>
              <w:pStyle w:val="TableText"/>
              <w:tabs>
                <w:tab w:val="decimal" w:pos="911"/>
              </w:tabs>
            </w:pPr>
            <w:r w:rsidRPr="00CA131A">
              <w:t>84</w:t>
            </w:r>
          </w:p>
        </w:tc>
        <w:tc>
          <w:tcPr>
            <w:tcW w:w="520" w:type="pct"/>
          </w:tcPr>
          <w:p w14:paraId="4820F543" w14:textId="77777777" w:rsidR="001236DF" w:rsidRPr="00200234" w:rsidRDefault="001236DF" w:rsidP="001236DF">
            <w:pPr>
              <w:pStyle w:val="TableText"/>
              <w:tabs>
                <w:tab w:val="decimal" w:pos="496"/>
              </w:tabs>
            </w:pPr>
            <w:r w:rsidRPr="00A05749">
              <w:t>0</w:t>
            </w:r>
          </w:p>
        </w:tc>
        <w:tc>
          <w:tcPr>
            <w:tcW w:w="781" w:type="pct"/>
          </w:tcPr>
          <w:p w14:paraId="336DE8B4" w14:textId="77777777" w:rsidR="001236DF" w:rsidRPr="00200234" w:rsidRDefault="001236DF" w:rsidP="001236DF">
            <w:pPr>
              <w:pStyle w:val="TableText"/>
              <w:tabs>
                <w:tab w:val="decimal" w:pos="706"/>
              </w:tabs>
            </w:pPr>
            <w:r w:rsidRPr="00F243AA">
              <w:t>75</w:t>
            </w:r>
          </w:p>
        </w:tc>
      </w:tr>
      <w:tr w:rsidR="001236DF" w:rsidRPr="00200234" w14:paraId="505BC347" w14:textId="77777777" w:rsidTr="001236DF">
        <w:trPr>
          <w:cantSplit/>
        </w:trPr>
        <w:tc>
          <w:tcPr>
            <w:tcW w:w="573" w:type="pct"/>
          </w:tcPr>
          <w:p w14:paraId="7B8FE4D9" w14:textId="77777777" w:rsidR="001236DF" w:rsidRPr="00200234" w:rsidRDefault="001236DF" w:rsidP="001236DF">
            <w:pPr>
              <w:pStyle w:val="TableText"/>
              <w:rPr>
                <w:w w:val="105"/>
              </w:rPr>
            </w:pPr>
            <w:r w:rsidRPr="0084484B">
              <w:t>2015/16</w:t>
            </w:r>
          </w:p>
        </w:tc>
        <w:tc>
          <w:tcPr>
            <w:tcW w:w="782" w:type="pct"/>
          </w:tcPr>
          <w:p w14:paraId="5A4B5F07" w14:textId="77777777" w:rsidR="001236DF" w:rsidRPr="00200234" w:rsidRDefault="001236DF" w:rsidP="001236DF">
            <w:pPr>
              <w:pStyle w:val="TableText"/>
              <w:jc w:val="center"/>
            </w:pPr>
            <w:r w:rsidRPr="003E671C">
              <w:t>4,918</w:t>
            </w:r>
          </w:p>
        </w:tc>
        <w:tc>
          <w:tcPr>
            <w:tcW w:w="695" w:type="pct"/>
          </w:tcPr>
          <w:p w14:paraId="188975AC" w14:textId="77777777" w:rsidR="001236DF" w:rsidRPr="00200234" w:rsidRDefault="001236DF" w:rsidP="001236DF">
            <w:pPr>
              <w:pStyle w:val="TableText"/>
              <w:jc w:val="center"/>
            </w:pPr>
            <w:r w:rsidRPr="00414DD7">
              <w:t>2,897</w:t>
            </w:r>
          </w:p>
        </w:tc>
        <w:tc>
          <w:tcPr>
            <w:tcW w:w="694" w:type="pct"/>
          </w:tcPr>
          <w:p w14:paraId="6C741110" w14:textId="77777777" w:rsidR="001236DF" w:rsidRPr="00200234" w:rsidRDefault="001236DF" w:rsidP="001236DF">
            <w:pPr>
              <w:pStyle w:val="TableText"/>
              <w:jc w:val="center"/>
            </w:pPr>
            <w:r w:rsidRPr="00FF2C70">
              <w:t>1,822</w:t>
            </w:r>
          </w:p>
        </w:tc>
        <w:tc>
          <w:tcPr>
            <w:tcW w:w="955" w:type="pct"/>
          </w:tcPr>
          <w:p w14:paraId="3BBF7AE3" w14:textId="77777777" w:rsidR="001236DF" w:rsidRPr="00200234" w:rsidRDefault="001236DF" w:rsidP="001236DF">
            <w:pPr>
              <w:pStyle w:val="TableText"/>
              <w:tabs>
                <w:tab w:val="decimal" w:pos="911"/>
              </w:tabs>
            </w:pPr>
            <w:r w:rsidRPr="00CA131A">
              <w:t>59</w:t>
            </w:r>
          </w:p>
        </w:tc>
        <w:tc>
          <w:tcPr>
            <w:tcW w:w="520" w:type="pct"/>
          </w:tcPr>
          <w:p w14:paraId="3BDA3BD8" w14:textId="77777777" w:rsidR="001236DF" w:rsidRPr="00200234" w:rsidRDefault="001236DF" w:rsidP="001236DF">
            <w:pPr>
              <w:pStyle w:val="TableText"/>
              <w:tabs>
                <w:tab w:val="decimal" w:pos="496"/>
              </w:tabs>
            </w:pPr>
            <w:r w:rsidRPr="00A05749">
              <w:t>4</w:t>
            </w:r>
          </w:p>
        </w:tc>
        <w:tc>
          <w:tcPr>
            <w:tcW w:w="781" w:type="pct"/>
          </w:tcPr>
          <w:p w14:paraId="3E369E18" w14:textId="77777777" w:rsidR="001236DF" w:rsidRPr="00200234" w:rsidRDefault="001236DF" w:rsidP="001236DF">
            <w:pPr>
              <w:pStyle w:val="TableText"/>
              <w:tabs>
                <w:tab w:val="decimal" w:pos="706"/>
              </w:tabs>
            </w:pPr>
            <w:r w:rsidRPr="00F243AA">
              <w:t>136</w:t>
            </w:r>
          </w:p>
        </w:tc>
      </w:tr>
      <w:tr w:rsidR="001236DF" w:rsidRPr="00200234" w14:paraId="5294F2AE" w14:textId="77777777" w:rsidTr="001236DF">
        <w:trPr>
          <w:cantSplit/>
        </w:trPr>
        <w:tc>
          <w:tcPr>
            <w:tcW w:w="573" w:type="pct"/>
          </w:tcPr>
          <w:p w14:paraId="6B5F5C59" w14:textId="77777777" w:rsidR="001236DF" w:rsidRPr="00200234" w:rsidRDefault="001236DF" w:rsidP="001236DF">
            <w:pPr>
              <w:pStyle w:val="TableText"/>
              <w:rPr>
                <w:w w:val="105"/>
              </w:rPr>
            </w:pPr>
            <w:r w:rsidRPr="0084484B">
              <w:t>2016/17</w:t>
            </w:r>
          </w:p>
        </w:tc>
        <w:tc>
          <w:tcPr>
            <w:tcW w:w="782" w:type="pct"/>
          </w:tcPr>
          <w:p w14:paraId="4466AF34" w14:textId="77777777" w:rsidR="001236DF" w:rsidRPr="00200234" w:rsidRDefault="001236DF" w:rsidP="001236DF">
            <w:pPr>
              <w:pStyle w:val="TableText"/>
              <w:jc w:val="center"/>
            </w:pPr>
            <w:r w:rsidRPr="003E671C">
              <w:t>4,927</w:t>
            </w:r>
          </w:p>
        </w:tc>
        <w:tc>
          <w:tcPr>
            <w:tcW w:w="695" w:type="pct"/>
          </w:tcPr>
          <w:p w14:paraId="325C34E2" w14:textId="77777777" w:rsidR="001236DF" w:rsidRPr="00200234" w:rsidRDefault="001236DF" w:rsidP="001236DF">
            <w:pPr>
              <w:pStyle w:val="TableText"/>
              <w:jc w:val="center"/>
            </w:pPr>
            <w:r w:rsidRPr="00414DD7">
              <w:t>2,727</w:t>
            </w:r>
          </w:p>
        </w:tc>
        <w:tc>
          <w:tcPr>
            <w:tcW w:w="694" w:type="pct"/>
          </w:tcPr>
          <w:p w14:paraId="16659786" w14:textId="77777777" w:rsidR="001236DF" w:rsidRPr="00200234" w:rsidRDefault="001236DF" w:rsidP="001236DF">
            <w:pPr>
              <w:pStyle w:val="TableText"/>
              <w:jc w:val="center"/>
            </w:pPr>
            <w:r w:rsidRPr="00FF2C70">
              <w:t>1,654</w:t>
            </w:r>
          </w:p>
        </w:tc>
        <w:tc>
          <w:tcPr>
            <w:tcW w:w="955" w:type="pct"/>
          </w:tcPr>
          <w:p w14:paraId="5272A5DA" w14:textId="77777777" w:rsidR="001236DF" w:rsidRPr="00200234" w:rsidRDefault="001236DF" w:rsidP="001236DF">
            <w:pPr>
              <w:pStyle w:val="TableText"/>
              <w:tabs>
                <w:tab w:val="decimal" w:pos="911"/>
              </w:tabs>
            </w:pPr>
            <w:r w:rsidRPr="00CA131A">
              <w:t>74</w:t>
            </w:r>
          </w:p>
        </w:tc>
        <w:tc>
          <w:tcPr>
            <w:tcW w:w="520" w:type="pct"/>
          </w:tcPr>
          <w:p w14:paraId="1351828D" w14:textId="77777777" w:rsidR="001236DF" w:rsidRPr="00200234" w:rsidRDefault="001236DF" w:rsidP="001236DF">
            <w:pPr>
              <w:pStyle w:val="TableText"/>
              <w:tabs>
                <w:tab w:val="decimal" w:pos="496"/>
              </w:tabs>
            </w:pPr>
            <w:r w:rsidRPr="00A05749">
              <w:t>2</w:t>
            </w:r>
          </w:p>
        </w:tc>
        <w:tc>
          <w:tcPr>
            <w:tcW w:w="781" w:type="pct"/>
          </w:tcPr>
          <w:p w14:paraId="390A1358" w14:textId="77777777" w:rsidR="001236DF" w:rsidRPr="00200234" w:rsidRDefault="001236DF" w:rsidP="001236DF">
            <w:pPr>
              <w:pStyle w:val="TableText"/>
              <w:tabs>
                <w:tab w:val="decimal" w:pos="706"/>
              </w:tabs>
            </w:pPr>
            <w:r w:rsidRPr="00F243AA">
              <w:t>470</w:t>
            </w:r>
          </w:p>
        </w:tc>
      </w:tr>
      <w:tr w:rsidR="001236DF" w:rsidRPr="00200234" w14:paraId="32F40F4C" w14:textId="77777777" w:rsidTr="001236DF">
        <w:trPr>
          <w:cantSplit/>
        </w:trPr>
        <w:tc>
          <w:tcPr>
            <w:tcW w:w="573" w:type="pct"/>
          </w:tcPr>
          <w:p w14:paraId="372EE3A4" w14:textId="77777777" w:rsidR="001236DF" w:rsidRPr="00200234" w:rsidRDefault="001236DF" w:rsidP="001236DF">
            <w:pPr>
              <w:pStyle w:val="TableText"/>
              <w:rPr>
                <w:w w:val="105"/>
              </w:rPr>
            </w:pPr>
            <w:r w:rsidRPr="0084484B">
              <w:t>2017/18</w:t>
            </w:r>
          </w:p>
        </w:tc>
        <w:tc>
          <w:tcPr>
            <w:tcW w:w="782" w:type="pct"/>
          </w:tcPr>
          <w:p w14:paraId="1CDFC9AC" w14:textId="77777777" w:rsidR="001236DF" w:rsidRPr="00200234" w:rsidRDefault="001236DF" w:rsidP="001236DF">
            <w:pPr>
              <w:pStyle w:val="TableText"/>
              <w:jc w:val="center"/>
            </w:pPr>
            <w:r w:rsidRPr="003E671C">
              <w:t>4,959</w:t>
            </w:r>
          </w:p>
        </w:tc>
        <w:tc>
          <w:tcPr>
            <w:tcW w:w="695" w:type="pct"/>
          </w:tcPr>
          <w:p w14:paraId="50487CB6" w14:textId="77777777" w:rsidR="001236DF" w:rsidRPr="00200234" w:rsidRDefault="001236DF" w:rsidP="001236DF">
            <w:pPr>
              <w:pStyle w:val="TableText"/>
              <w:jc w:val="center"/>
            </w:pPr>
            <w:r w:rsidRPr="00414DD7">
              <w:t>2,594</w:t>
            </w:r>
          </w:p>
        </w:tc>
        <w:tc>
          <w:tcPr>
            <w:tcW w:w="694" w:type="pct"/>
          </w:tcPr>
          <w:p w14:paraId="07E538EC" w14:textId="77777777" w:rsidR="001236DF" w:rsidRPr="00200234" w:rsidRDefault="001236DF" w:rsidP="001236DF">
            <w:pPr>
              <w:pStyle w:val="TableText"/>
              <w:jc w:val="center"/>
            </w:pPr>
            <w:r w:rsidRPr="00FF2C70">
              <w:t>1,710</w:t>
            </w:r>
          </w:p>
        </w:tc>
        <w:tc>
          <w:tcPr>
            <w:tcW w:w="955" w:type="pct"/>
          </w:tcPr>
          <w:p w14:paraId="7FC5714C" w14:textId="77777777" w:rsidR="001236DF" w:rsidRPr="00200234" w:rsidRDefault="001236DF" w:rsidP="001236DF">
            <w:pPr>
              <w:pStyle w:val="TableText"/>
              <w:tabs>
                <w:tab w:val="decimal" w:pos="911"/>
              </w:tabs>
            </w:pPr>
            <w:r w:rsidRPr="00CA131A">
              <w:t>48</w:t>
            </w:r>
          </w:p>
        </w:tc>
        <w:tc>
          <w:tcPr>
            <w:tcW w:w="520" w:type="pct"/>
          </w:tcPr>
          <w:p w14:paraId="54988052" w14:textId="77777777" w:rsidR="001236DF" w:rsidRPr="00200234" w:rsidRDefault="001236DF" w:rsidP="001236DF">
            <w:pPr>
              <w:pStyle w:val="TableText"/>
              <w:tabs>
                <w:tab w:val="decimal" w:pos="496"/>
              </w:tabs>
            </w:pPr>
            <w:r w:rsidRPr="00A05749">
              <w:t>4</w:t>
            </w:r>
          </w:p>
        </w:tc>
        <w:tc>
          <w:tcPr>
            <w:tcW w:w="781" w:type="pct"/>
          </w:tcPr>
          <w:p w14:paraId="797FB29C" w14:textId="77777777" w:rsidR="001236DF" w:rsidRPr="00200234" w:rsidRDefault="001236DF" w:rsidP="001236DF">
            <w:pPr>
              <w:pStyle w:val="TableText"/>
              <w:tabs>
                <w:tab w:val="decimal" w:pos="706"/>
              </w:tabs>
            </w:pPr>
            <w:r w:rsidRPr="00F243AA">
              <w:t>603</w:t>
            </w:r>
          </w:p>
        </w:tc>
      </w:tr>
      <w:tr w:rsidR="001236DF" w:rsidRPr="00200234" w14:paraId="04BBC2BD" w14:textId="77777777" w:rsidTr="001236DF">
        <w:trPr>
          <w:cantSplit/>
        </w:trPr>
        <w:tc>
          <w:tcPr>
            <w:tcW w:w="573" w:type="pct"/>
          </w:tcPr>
          <w:p w14:paraId="57FB9D91" w14:textId="77777777" w:rsidR="001236DF" w:rsidRPr="00200234" w:rsidRDefault="001236DF" w:rsidP="001236DF">
            <w:pPr>
              <w:pStyle w:val="TableText"/>
              <w:rPr>
                <w:w w:val="105"/>
              </w:rPr>
            </w:pPr>
            <w:r w:rsidRPr="0084484B">
              <w:t>2018/19</w:t>
            </w:r>
          </w:p>
        </w:tc>
        <w:tc>
          <w:tcPr>
            <w:tcW w:w="782" w:type="pct"/>
          </w:tcPr>
          <w:p w14:paraId="6AD89E09" w14:textId="77777777" w:rsidR="001236DF" w:rsidRPr="00200234" w:rsidRDefault="001236DF" w:rsidP="001236DF">
            <w:pPr>
              <w:pStyle w:val="TableText"/>
              <w:jc w:val="center"/>
            </w:pPr>
            <w:r w:rsidRPr="003E671C">
              <w:t>4,972</w:t>
            </w:r>
          </w:p>
        </w:tc>
        <w:tc>
          <w:tcPr>
            <w:tcW w:w="695" w:type="pct"/>
          </w:tcPr>
          <w:p w14:paraId="1333C1B9" w14:textId="77777777" w:rsidR="001236DF" w:rsidRPr="00200234" w:rsidRDefault="001236DF" w:rsidP="001236DF">
            <w:pPr>
              <w:pStyle w:val="TableText"/>
              <w:jc w:val="center"/>
            </w:pPr>
            <w:r w:rsidRPr="00414DD7">
              <w:t>2,748</w:t>
            </w:r>
          </w:p>
        </w:tc>
        <w:tc>
          <w:tcPr>
            <w:tcW w:w="694" w:type="pct"/>
          </w:tcPr>
          <w:p w14:paraId="439B92D3" w14:textId="77777777" w:rsidR="001236DF" w:rsidRPr="00200234" w:rsidRDefault="001236DF" w:rsidP="001236DF">
            <w:pPr>
              <w:pStyle w:val="TableText"/>
              <w:jc w:val="center"/>
            </w:pPr>
            <w:r w:rsidRPr="00FF2C70">
              <w:t>1,814</w:t>
            </w:r>
          </w:p>
        </w:tc>
        <w:tc>
          <w:tcPr>
            <w:tcW w:w="955" w:type="pct"/>
          </w:tcPr>
          <w:p w14:paraId="425C8078" w14:textId="77777777" w:rsidR="001236DF" w:rsidRPr="00200234" w:rsidRDefault="001236DF" w:rsidP="001236DF">
            <w:pPr>
              <w:pStyle w:val="TableText"/>
              <w:tabs>
                <w:tab w:val="decimal" w:pos="911"/>
              </w:tabs>
            </w:pPr>
            <w:r w:rsidRPr="00CA131A">
              <w:t>46</w:t>
            </w:r>
          </w:p>
        </w:tc>
        <w:tc>
          <w:tcPr>
            <w:tcW w:w="520" w:type="pct"/>
          </w:tcPr>
          <w:p w14:paraId="71B950EF" w14:textId="77777777" w:rsidR="001236DF" w:rsidRPr="00200234" w:rsidRDefault="001236DF" w:rsidP="001236DF">
            <w:pPr>
              <w:pStyle w:val="TableText"/>
              <w:tabs>
                <w:tab w:val="decimal" w:pos="496"/>
              </w:tabs>
            </w:pPr>
            <w:r w:rsidRPr="00A05749">
              <w:t>1</w:t>
            </w:r>
          </w:p>
        </w:tc>
        <w:tc>
          <w:tcPr>
            <w:tcW w:w="781" w:type="pct"/>
          </w:tcPr>
          <w:p w14:paraId="6D62DCC1" w14:textId="77777777" w:rsidR="001236DF" w:rsidRPr="00200234" w:rsidRDefault="001236DF" w:rsidP="001236DF">
            <w:pPr>
              <w:pStyle w:val="TableText"/>
              <w:tabs>
                <w:tab w:val="decimal" w:pos="706"/>
              </w:tabs>
            </w:pPr>
            <w:r w:rsidRPr="00F243AA">
              <w:t>363</w:t>
            </w:r>
          </w:p>
        </w:tc>
      </w:tr>
      <w:tr w:rsidR="001236DF" w:rsidRPr="00200234" w14:paraId="4C684E84" w14:textId="77777777" w:rsidTr="001236DF">
        <w:trPr>
          <w:cantSplit/>
        </w:trPr>
        <w:tc>
          <w:tcPr>
            <w:tcW w:w="573" w:type="pct"/>
          </w:tcPr>
          <w:p w14:paraId="322A926B" w14:textId="77777777" w:rsidR="001236DF" w:rsidRPr="00200234" w:rsidRDefault="001236DF" w:rsidP="001236DF">
            <w:pPr>
              <w:pStyle w:val="TableText"/>
              <w:rPr>
                <w:w w:val="105"/>
              </w:rPr>
            </w:pPr>
            <w:r w:rsidRPr="0084484B">
              <w:t>2019/20</w:t>
            </w:r>
          </w:p>
        </w:tc>
        <w:tc>
          <w:tcPr>
            <w:tcW w:w="782" w:type="pct"/>
          </w:tcPr>
          <w:p w14:paraId="263FF0D5" w14:textId="77777777" w:rsidR="001236DF" w:rsidRPr="00200234" w:rsidRDefault="001236DF" w:rsidP="001236DF">
            <w:pPr>
              <w:pStyle w:val="TableText"/>
              <w:jc w:val="center"/>
            </w:pPr>
            <w:r w:rsidRPr="003E671C">
              <w:t>5,021</w:t>
            </w:r>
          </w:p>
        </w:tc>
        <w:tc>
          <w:tcPr>
            <w:tcW w:w="695" w:type="pct"/>
          </w:tcPr>
          <w:p w14:paraId="7E06ECAC" w14:textId="77777777" w:rsidR="001236DF" w:rsidRPr="00200234" w:rsidRDefault="001236DF" w:rsidP="001236DF">
            <w:pPr>
              <w:pStyle w:val="TableText"/>
              <w:jc w:val="center"/>
            </w:pPr>
            <w:r w:rsidRPr="00414DD7">
              <w:t>2,898</w:t>
            </w:r>
          </w:p>
        </w:tc>
        <w:tc>
          <w:tcPr>
            <w:tcW w:w="694" w:type="pct"/>
          </w:tcPr>
          <w:p w14:paraId="6AB285C2" w14:textId="77777777" w:rsidR="001236DF" w:rsidRPr="00200234" w:rsidRDefault="001236DF" w:rsidP="001236DF">
            <w:pPr>
              <w:pStyle w:val="TableText"/>
              <w:jc w:val="center"/>
            </w:pPr>
            <w:r w:rsidRPr="00FF2C70">
              <w:t>1,747</w:t>
            </w:r>
          </w:p>
        </w:tc>
        <w:tc>
          <w:tcPr>
            <w:tcW w:w="955" w:type="pct"/>
          </w:tcPr>
          <w:p w14:paraId="5DC2464E" w14:textId="77777777" w:rsidR="001236DF" w:rsidRPr="00200234" w:rsidRDefault="001236DF" w:rsidP="001236DF">
            <w:pPr>
              <w:pStyle w:val="TableText"/>
              <w:tabs>
                <w:tab w:val="decimal" w:pos="911"/>
              </w:tabs>
            </w:pPr>
            <w:r w:rsidRPr="00CA131A">
              <w:t>63</w:t>
            </w:r>
          </w:p>
        </w:tc>
        <w:tc>
          <w:tcPr>
            <w:tcW w:w="520" w:type="pct"/>
          </w:tcPr>
          <w:p w14:paraId="01100E95" w14:textId="77777777" w:rsidR="001236DF" w:rsidRPr="00200234" w:rsidRDefault="001236DF" w:rsidP="001236DF">
            <w:pPr>
              <w:pStyle w:val="TableText"/>
              <w:tabs>
                <w:tab w:val="decimal" w:pos="496"/>
              </w:tabs>
            </w:pPr>
            <w:r w:rsidRPr="00A05749">
              <w:t>0</w:t>
            </w:r>
          </w:p>
        </w:tc>
        <w:tc>
          <w:tcPr>
            <w:tcW w:w="781" w:type="pct"/>
          </w:tcPr>
          <w:p w14:paraId="600C2159" w14:textId="77777777" w:rsidR="001236DF" w:rsidRPr="00200234" w:rsidRDefault="001236DF" w:rsidP="001236DF">
            <w:pPr>
              <w:pStyle w:val="TableText"/>
              <w:tabs>
                <w:tab w:val="decimal" w:pos="706"/>
              </w:tabs>
            </w:pPr>
            <w:r w:rsidRPr="00F243AA">
              <w:t>313</w:t>
            </w:r>
          </w:p>
        </w:tc>
      </w:tr>
      <w:tr w:rsidR="001236DF" w:rsidRPr="00200234" w14:paraId="2D13C91B" w14:textId="77777777" w:rsidTr="001236DF">
        <w:trPr>
          <w:cantSplit/>
        </w:trPr>
        <w:tc>
          <w:tcPr>
            <w:tcW w:w="573" w:type="pct"/>
          </w:tcPr>
          <w:p w14:paraId="5898F492" w14:textId="77777777" w:rsidR="001236DF" w:rsidRPr="00200234" w:rsidRDefault="001236DF" w:rsidP="001236DF">
            <w:pPr>
              <w:pStyle w:val="TableText"/>
              <w:rPr>
                <w:w w:val="105"/>
              </w:rPr>
            </w:pPr>
            <w:r w:rsidRPr="0084484B">
              <w:t>2020/21</w:t>
            </w:r>
          </w:p>
        </w:tc>
        <w:tc>
          <w:tcPr>
            <w:tcW w:w="782" w:type="pct"/>
          </w:tcPr>
          <w:p w14:paraId="7EEB5DFA" w14:textId="77777777" w:rsidR="001236DF" w:rsidRPr="00200234" w:rsidRDefault="001236DF" w:rsidP="001236DF">
            <w:pPr>
              <w:pStyle w:val="TableText"/>
              <w:jc w:val="center"/>
            </w:pPr>
            <w:r w:rsidRPr="003E671C">
              <w:t>5,241</w:t>
            </w:r>
          </w:p>
        </w:tc>
        <w:tc>
          <w:tcPr>
            <w:tcW w:w="695" w:type="pct"/>
          </w:tcPr>
          <w:p w14:paraId="268130F7" w14:textId="77777777" w:rsidR="001236DF" w:rsidRPr="00200234" w:rsidRDefault="001236DF" w:rsidP="001236DF">
            <w:pPr>
              <w:pStyle w:val="TableText"/>
              <w:jc w:val="center"/>
            </w:pPr>
            <w:r w:rsidRPr="00414DD7">
              <w:t>3,031</w:t>
            </w:r>
          </w:p>
        </w:tc>
        <w:tc>
          <w:tcPr>
            <w:tcW w:w="694" w:type="pct"/>
          </w:tcPr>
          <w:p w14:paraId="454031FF" w14:textId="77777777" w:rsidR="001236DF" w:rsidRPr="00200234" w:rsidRDefault="001236DF" w:rsidP="001236DF">
            <w:pPr>
              <w:pStyle w:val="TableText"/>
              <w:jc w:val="center"/>
            </w:pPr>
            <w:r w:rsidRPr="00FF2C70">
              <w:t>1,939</w:t>
            </w:r>
          </w:p>
        </w:tc>
        <w:tc>
          <w:tcPr>
            <w:tcW w:w="955" w:type="pct"/>
          </w:tcPr>
          <w:p w14:paraId="4ACADB4D" w14:textId="77777777" w:rsidR="001236DF" w:rsidRPr="00200234" w:rsidRDefault="001236DF" w:rsidP="001236DF">
            <w:pPr>
              <w:pStyle w:val="TableText"/>
              <w:tabs>
                <w:tab w:val="decimal" w:pos="911"/>
              </w:tabs>
            </w:pPr>
            <w:r w:rsidRPr="00CA131A">
              <w:t>48</w:t>
            </w:r>
          </w:p>
        </w:tc>
        <w:tc>
          <w:tcPr>
            <w:tcW w:w="520" w:type="pct"/>
          </w:tcPr>
          <w:p w14:paraId="634C06BE" w14:textId="77777777" w:rsidR="001236DF" w:rsidRPr="00200234" w:rsidRDefault="001236DF" w:rsidP="001236DF">
            <w:pPr>
              <w:pStyle w:val="TableText"/>
              <w:tabs>
                <w:tab w:val="decimal" w:pos="496"/>
              </w:tabs>
            </w:pPr>
            <w:r w:rsidRPr="00A05749">
              <w:t>3</w:t>
            </w:r>
          </w:p>
        </w:tc>
        <w:tc>
          <w:tcPr>
            <w:tcW w:w="781" w:type="pct"/>
          </w:tcPr>
          <w:p w14:paraId="76AB84D5" w14:textId="77777777" w:rsidR="001236DF" w:rsidRPr="00200234" w:rsidRDefault="001236DF" w:rsidP="001236DF">
            <w:pPr>
              <w:pStyle w:val="TableText"/>
              <w:tabs>
                <w:tab w:val="decimal" w:pos="706"/>
              </w:tabs>
            </w:pPr>
            <w:r w:rsidRPr="00F243AA">
              <w:t>220</w:t>
            </w:r>
          </w:p>
        </w:tc>
      </w:tr>
    </w:tbl>
    <w:p w14:paraId="6B16CFAC" w14:textId="77777777" w:rsidR="001236DF" w:rsidRPr="00200234" w:rsidRDefault="001236DF" w:rsidP="001236DF">
      <w:pPr>
        <w:pStyle w:val="Note"/>
      </w:pPr>
      <w:r w:rsidRPr="00200234">
        <w:t xml:space="preserve">Notes: </w:t>
      </w:r>
      <w:r w:rsidRPr="00BA51FF">
        <w:t xml:space="preserve">CTO = compulsory treatment order. </w:t>
      </w:r>
      <w:r w:rsidRPr="00200234">
        <w:t xml:space="preserve">The table presents applications that had been processed at the time of data extraction on </w:t>
      </w:r>
      <w:r>
        <w:t>9 May 2022.</w:t>
      </w:r>
      <w:r w:rsidRPr="00200234">
        <w:t xml:space="preserve"> The year is determined by the date the application was granted. Where more than one type of order is shown, it is likely to be because new orders are being linked to a previous application in the case management system (CMS). The CMS is a live operational database. Figures are subject to minor changes at any time.</w:t>
      </w:r>
    </w:p>
    <w:p w14:paraId="28235804" w14:textId="40CAB082" w:rsidR="009A42D5" w:rsidRDefault="001236DF" w:rsidP="00F10DDC">
      <w:pPr>
        <w:pStyle w:val="Source"/>
      </w:pPr>
      <w:r w:rsidRPr="00200234">
        <w:t>Source: Ministry of Justice Integrated Sector Intelligence System, which uses data entered into the CMS</w:t>
      </w:r>
      <w:r w:rsidRPr="008E5CCD">
        <w:t xml:space="preserve"> </w:t>
      </w:r>
      <w:r>
        <w:t>(extracted</w:t>
      </w:r>
      <w:r w:rsidRPr="00BA51FF">
        <w:t xml:space="preserve"> </w:t>
      </w:r>
      <w:bookmarkStart w:id="742" w:name="_Hlk63161974"/>
      <w:r>
        <w:t>9 May 2022).</w:t>
      </w:r>
      <w:bookmarkEnd w:id="742"/>
    </w:p>
    <w:sectPr w:rsidR="009A42D5" w:rsidSect="00F10DDC">
      <w:headerReference w:type="default" r:id="rId80"/>
      <w:footerReference w:type="even" r:id="rId81"/>
      <w:footerReference w:type="default" r:id="rId82"/>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69D1" w14:textId="77777777" w:rsidR="00173DD8" w:rsidRDefault="00173DD8">
      <w:r>
        <w:separator/>
      </w:r>
    </w:p>
    <w:p w14:paraId="5C9A45F9" w14:textId="77777777" w:rsidR="00173DD8" w:rsidRDefault="00173DD8"/>
  </w:endnote>
  <w:endnote w:type="continuationSeparator" w:id="0">
    <w:p w14:paraId="073F1A83" w14:textId="77777777" w:rsidR="00173DD8" w:rsidRDefault="00173DD8">
      <w:r>
        <w:continuationSeparator/>
      </w:r>
    </w:p>
    <w:p w14:paraId="1AE8D23C" w14:textId="77777777" w:rsidR="00173DD8" w:rsidRDefault="00173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7AB6F630" w:rsidR="001236DF" w:rsidRPr="00581136" w:rsidRDefault="001236DF" w:rsidP="005A79E5">
    <w:pPr>
      <w:pStyle w:val="Footer"/>
      <w:pBdr>
        <w:bottom w:val="single" w:sz="4" w:space="1" w:color="auto"/>
      </w:pBdr>
      <w:tabs>
        <w:tab w:val="right" w:pos="9639"/>
      </w:tabs>
      <w:rPr>
        <w:b/>
      </w:rPr>
    </w:pPr>
    <w:r w:rsidRPr="00581136">
      <w:rPr>
        <w:b/>
      </w:rPr>
      <w:t>Released 20</w:t>
    </w:r>
    <w:r>
      <w:rPr>
        <w:b/>
      </w:rPr>
      <w:t>22</w:t>
    </w:r>
    <w:r w:rsidRPr="00581136">
      <w:rPr>
        <w:b/>
      </w:rPr>
      <w:tab/>
      <w:t>health.govt.nz</w:t>
    </w:r>
  </w:p>
  <w:p w14:paraId="524869F6" w14:textId="77777777" w:rsidR="001236DF" w:rsidRPr="005A79E5" w:rsidRDefault="001236DF">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1236DF" w14:paraId="7E34FA6B" w14:textId="77777777" w:rsidTr="00D662F8">
      <w:trPr>
        <w:cantSplit/>
      </w:trPr>
      <w:tc>
        <w:tcPr>
          <w:tcW w:w="675" w:type="dxa"/>
          <w:vAlign w:val="center"/>
        </w:tcPr>
        <w:p w14:paraId="6281C317" w14:textId="77777777" w:rsidR="001236DF" w:rsidRPr="00931466" w:rsidRDefault="001236D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1F56D776" w14:textId="77777777" w:rsidR="001236DF" w:rsidRPr="00F10DDC" w:rsidRDefault="001236DF" w:rsidP="00F10DDC">
          <w:pPr>
            <w:pStyle w:val="RectoFooter"/>
            <w:jc w:val="left"/>
            <w:rPr>
              <w:bCs/>
            </w:rPr>
          </w:pPr>
          <w:r w:rsidRPr="00F10DDC">
            <w:rPr>
              <w:bCs/>
            </w:rPr>
            <w:t xml:space="preserve">Office of the Director of mental health and addiction services </w:t>
          </w:r>
        </w:p>
        <w:p w14:paraId="27262A64" w14:textId="1E6AA566" w:rsidR="001236DF" w:rsidRDefault="001236DF" w:rsidP="00F10DDC">
          <w:pPr>
            <w:pStyle w:val="RectoFooter"/>
            <w:jc w:val="left"/>
          </w:pPr>
          <w:r w:rsidRPr="00F10DDC">
            <w:rPr>
              <w:bCs/>
            </w:rPr>
            <w:t xml:space="preserve"> Regulatory Report 1 July 2020 to 30 June 2021</w:t>
          </w:r>
        </w:p>
      </w:tc>
    </w:tr>
  </w:tbl>
  <w:p w14:paraId="5177CEA2" w14:textId="77777777" w:rsidR="001236DF" w:rsidRPr="00571223" w:rsidRDefault="001236DF"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236DF" w14:paraId="47337729" w14:textId="77777777" w:rsidTr="00D662F8">
      <w:trPr>
        <w:cantSplit/>
      </w:trPr>
      <w:tc>
        <w:tcPr>
          <w:tcW w:w="8080" w:type="dxa"/>
          <w:vAlign w:val="center"/>
        </w:tcPr>
        <w:p w14:paraId="236B6B88" w14:textId="77777777" w:rsidR="001236DF" w:rsidRPr="00F10DDC" w:rsidRDefault="001236DF" w:rsidP="00F10DDC">
          <w:pPr>
            <w:pStyle w:val="RectoFooter"/>
            <w:rPr>
              <w:bCs/>
            </w:rPr>
          </w:pPr>
          <w:r w:rsidRPr="00F10DDC">
            <w:rPr>
              <w:bCs/>
            </w:rPr>
            <w:t xml:space="preserve">Office of the Director of mental health and addiction services </w:t>
          </w:r>
        </w:p>
        <w:p w14:paraId="1A33CBD1" w14:textId="54A2F2B1" w:rsidR="001236DF" w:rsidRDefault="001236DF" w:rsidP="00F10DDC">
          <w:pPr>
            <w:pStyle w:val="RectoFooter"/>
          </w:pPr>
          <w:r w:rsidRPr="00F10DDC">
            <w:rPr>
              <w:bCs/>
            </w:rPr>
            <w:t xml:space="preserve"> Regulatory Report 1 July 2020 to 30 June 2021</w:t>
          </w:r>
        </w:p>
      </w:tc>
      <w:tc>
        <w:tcPr>
          <w:tcW w:w="709" w:type="dxa"/>
          <w:vAlign w:val="center"/>
        </w:tcPr>
        <w:p w14:paraId="501EC334" w14:textId="77777777" w:rsidR="001236DF" w:rsidRPr="00931466" w:rsidRDefault="001236D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1236DF" w:rsidRPr="00581EB8" w:rsidRDefault="001236DF"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1236DF" w:rsidRDefault="001236DF"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1236DF" w:rsidRDefault="001236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236DF" w14:paraId="246A08A6" w14:textId="77777777" w:rsidTr="001236DF">
      <w:trPr>
        <w:cantSplit/>
      </w:trPr>
      <w:tc>
        <w:tcPr>
          <w:tcW w:w="709" w:type="dxa"/>
          <w:vAlign w:val="center"/>
        </w:tcPr>
        <w:p w14:paraId="2625103D" w14:textId="77777777" w:rsidR="001236DF" w:rsidRPr="00931466" w:rsidRDefault="001236DF" w:rsidP="00D728CA">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76ECC5FB" w14:textId="77777777" w:rsidR="001236DF" w:rsidRPr="00F10DDC" w:rsidRDefault="001236DF" w:rsidP="00F10DDC">
          <w:pPr>
            <w:pStyle w:val="RectoFooter"/>
            <w:jc w:val="left"/>
            <w:rPr>
              <w:bCs/>
            </w:rPr>
          </w:pPr>
          <w:r w:rsidRPr="00F10DDC">
            <w:rPr>
              <w:bCs/>
            </w:rPr>
            <w:t xml:space="preserve">Office of the Director of mental health and addiction services </w:t>
          </w:r>
        </w:p>
        <w:p w14:paraId="74741582" w14:textId="77777777" w:rsidR="001236DF" w:rsidRDefault="001236DF" w:rsidP="00F10DDC">
          <w:pPr>
            <w:pStyle w:val="RectoFooter"/>
            <w:jc w:val="left"/>
          </w:pPr>
          <w:r w:rsidRPr="00F10DDC">
            <w:rPr>
              <w:bCs/>
            </w:rPr>
            <w:t xml:space="preserve"> Regulatory Report 1 July 2020 to 30 June 2021</w:t>
          </w:r>
        </w:p>
      </w:tc>
    </w:tr>
  </w:tbl>
  <w:p w14:paraId="172F2DDB" w14:textId="77777777" w:rsidR="001236DF" w:rsidRPr="00571223" w:rsidRDefault="001236DF"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236DF" w14:paraId="71F3685B" w14:textId="77777777" w:rsidTr="00D662F8">
      <w:trPr>
        <w:cantSplit/>
      </w:trPr>
      <w:tc>
        <w:tcPr>
          <w:tcW w:w="8080" w:type="dxa"/>
          <w:vAlign w:val="center"/>
        </w:tcPr>
        <w:p w14:paraId="5CDA8710" w14:textId="5BF75F0A" w:rsidR="001236DF" w:rsidRPr="00F10DDC" w:rsidRDefault="001236DF" w:rsidP="00F10DDC">
          <w:pPr>
            <w:pStyle w:val="RectoFooter"/>
            <w:rPr>
              <w:bCs/>
            </w:rPr>
          </w:pPr>
          <w:r w:rsidRPr="00F10DDC">
            <w:rPr>
              <w:bCs/>
            </w:rPr>
            <w:t xml:space="preserve">Office of the Director of mental health and addiction services </w:t>
          </w:r>
        </w:p>
        <w:p w14:paraId="5784B1D8" w14:textId="60C56FB0" w:rsidR="001236DF" w:rsidRPr="00F10DDC" w:rsidRDefault="001236DF" w:rsidP="00F10DDC">
          <w:pPr>
            <w:pStyle w:val="RectoFooter"/>
            <w:rPr>
              <w:bCs/>
            </w:rPr>
          </w:pPr>
          <w:r w:rsidRPr="00F10DDC">
            <w:rPr>
              <w:bCs/>
            </w:rPr>
            <w:t xml:space="preserve"> Regulatory Report 1 July 2020 to 30 June 2021</w:t>
          </w:r>
        </w:p>
      </w:tc>
      <w:tc>
        <w:tcPr>
          <w:tcW w:w="709" w:type="dxa"/>
          <w:vAlign w:val="center"/>
        </w:tcPr>
        <w:p w14:paraId="18A7A1B5" w14:textId="77777777" w:rsidR="001236DF" w:rsidRPr="00931466" w:rsidRDefault="001236D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1F74F77" w14:textId="77777777" w:rsidR="001236DF" w:rsidRPr="00581EB8" w:rsidRDefault="001236DF"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236DF" w14:paraId="4C3A3BF7" w14:textId="77777777" w:rsidTr="00D662F8">
      <w:trPr>
        <w:cantSplit/>
      </w:trPr>
      <w:tc>
        <w:tcPr>
          <w:tcW w:w="709" w:type="dxa"/>
          <w:vAlign w:val="center"/>
        </w:tcPr>
        <w:p w14:paraId="28F87ED7" w14:textId="77777777" w:rsidR="001236DF" w:rsidRPr="00931466" w:rsidRDefault="001236DF" w:rsidP="00F10DDC">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047FEBE9" w14:textId="77777777" w:rsidR="00F10DDC" w:rsidRPr="00B70C79" w:rsidRDefault="00F10DDC" w:rsidP="00F10DDC">
          <w:pPr>
            <w:pStyle w:val="RectoFooter"/>
            <w:jc w:val="left"/>
            <w:rPr>
              <w:bCs/>
            </w:rPr>
          </w:pPr>
          <w:r w:rsidRPr="00B70C79">
            <w:rPr>
              <w:bCs/>
            </w:rPr>
            <w:t xml:space="preserve">Office of the Director of mental health and addiction services </w:t>
          </w:r>
        </w:p>
        <w:p w14:paraId="6026D159" w14:textId="3A8A0C1B" w:rsidR="001236DF" w:rsidRDefault="00F10DDC" w:rsidP="00F10DDC">
          <w:pPr>
            <w:pStyle w:val="RectoFooter"/>
            <w:jc w:val="left"/>
          </w:pPr>
          <w:r w:rsidRPr="00B70C79">
            <w:rPr>
              <w:bCs/>
            </w:rPr>
            <w:t xml:space="preserve"> Regulatory Report 1 July 2020 to 30 June 2021</w:t>
          </w:r>
        </w:p>
      </w:tc>
    </w:tr>
  </w:tbl>
  <w:p w14:paraId="711B5D80" w14:textId="77777777" w:rsidR="001236DF" w:rsidRPr="00571223" w:rsidRDefault="001236DF"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236DF" w14:paraId="58AAB149" w14:textId="77777777" w:rsidTr="00D662F8">
      <w:trPr>
        <w:cantSplit/>
      </w:trPr>
      <w:tc>
        <w:tcPr>
          <w:tcW w:w="8080" w:type="dxa"/>
          <w:vAlign w:val="center"/>
        </w:tcPr>
        <w:p w14:paraId="56A493EE" w14:textId="77777777" w:rsidR="001236DF" w:rsidRPr="00F10DDC" w:rsidRDefault="001236DF" w:rsidP="00F10DDC">
          <w:pPr>
            <w:pStyle w:val="RectoFooter"/>
            <w:rPr>
              <w:bCs/>
            </w:rPr>
          </w:pPr>
          <w:r w:rsidRPr="00F10DDC">
            <w:rPr>
              <w:bCs/>
            </w:rPr>
            <w:t xml:space="preserve">Office of the Director of mental health and addiction services </w:t>
          </w:r>
        </w:p>
        <w:p w14:paraId="20E2F0CC" w14:textId="63BE3E44" w:rsidR="001236DF" w:rsidRDefault="001236DF" w:rsidP="00F10DDC">
          <w:pPr>
            <w:pStyle w:val="RectoFooter"/>
          </w:pPr>
          <w:r w:rsidRPr="00F10DDC">
            <w:rPr>
              <w:bCs/>
            </w:rPr>
            <w:t xml:space="preserve"> Regulatory Report 1 July 2020 to 30 June 2021</w:t>
          </w:r>
        </w:p>
      </w:tc>
      <w:tc>
        <w:tcPr>
          <w:tcW w:w="709" w:type="dxa"/>
          <w:vAlign w:val="center"/>
        </w:tcPr>
        <w:p w14:paraId="3D3C9847" w14:textId="77777777" w:rsidR="001236DF" w:rsidRPr="00931466" w:rsidRDefault="001236D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1236DF" w:rsidRPr="00581EB8" w:rsidRDefault="001236DF"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236DF" w14:paraId="7DB74E0B" w14:textId="77777777" w:rsidTr="00F10DDC">
      <w:trPr>
        <w:cantSplit/>
        <w:trHeight w:val="291"/>
      </w:trPr>
      <w:tc>
        <w:tcPr>
          <w:tcW w:w="709" w:type="dxa"/>
          <w:vAlign w:val="center"/>
        </w:tcPr>
        <w:p w14:paraId="7FB9EB7B" w14:textId="77777777" w:rsidR="001236DF" w:rsidRPr="00931466" w:rsidRDefault="001236D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3AF29A28" w14:textId="084D0362" w:rsidR="001236DF" w:rsidRPr="00B70C79" w:rsidRDefault="001236DF" w:rsidP="00B70C79">
          <w:pPr>
            <w:pStyle w:val="RectoFooter"/>
            <w:jc w:val="left"/>
            <w:rPr>
              <w:bCs/>
            </w:rPr>
          </w:pPr>
          <w:r w:rsidRPr="00B70C79">
            <w:rPr>
              <w:bCs/>
            </w:rPr>
            <w:t xml:space="preserve">Office of the Director of mental health and addiction services </w:t>
          </w:r>
        </w:p>
        <w:p w14:paraId="1A8BBBFB" w14:textId="0810D1CB" w:rsidR="001236DF" w:rsidRDefault="001236DF" w:rsidP="00B70C79">
          <w:pPr>
            <w:pStyle w:val="RectoFooter"/>
            <w:jc w:val="left"/>
          </w:pPr>
          <w:r w:rsidRPr="00B70C79">
            <w:rPr>
              <w:bCs/>
            </w:rPr>
            <w:t xml:space="preserve"> Regulatory Report 1 July 2020 to 30 June 2021</w:t>
          </w:r>
        </w:p>
      </w:tc>
    </w:tr>
  </w:tbl>
  <w:p w14:paraId="7C39EF3C" w14:textId="77777777" w:rsidR="001236DF" w:rsidRPr="00571223" w:rsidRDefault="001236DF"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236DF" w14:paraId="423138CB" w14:textId="77777777" w:rsidTr="00D662F8">
      <w:trPr>
        <w:cantSplit/>
      </w:trPr>
      <w:tc>
        <w:tcPr>
          <w:tcW w:w="8080" w:type="dxa"/>
          <w:vAlign w:val="center"/>
        </w:tcPr>
        <w:p w14:paraId="641B4D6D" w14:textId="77777777" w:rsidR="001236DF" w:rsidRPr="00B70C79" w:rsidRDefault="001236DF" w:rsidP="00B70C79">
          <w:pPr>
            <w:pStyle w:val="RectoFooter"/>
            <w:rPr>
              <w:bCs/>
            </w:rPr>
          </w:pPr>
          <w:r w:rsidRPr="00B70C79">
            <w:rPr>
              <w:bCs/>
            </w:rPr>
            <w:t xml:space="preserve">Office of the Director of mental health and addiction services </w:t>
          </w:r>
        </w:p>
        <w:p w14:paraId="520A68A6" w14:textId="03890259" w:rsidR="001236DF" w:rsidRDefault="001236DF" w:rsidP="00B70C79">
          <w:pPr>
            <w:pStyle w:val="RectoFooter"/>
          </w:pPr>
          <w:r w:rsidRPr="00B70C79">
            <w:rPr>
              <w:bCs/>
            </w:rPr>
            <w:t xml:space="preserve"> Regulatory Report 1 July 2020 to 30 June 2021</w:t>
          </w:r>
        </w:p>
      </w:tc>
      <w:tc>
        <w:tcPr>
          <w:tcW w:w="709" w:type="dxa"/>
          <w:vAlign w:val="center"/>
        </w:tcPr>
        <w:p w14:paraId="745D812B" w14:textId="77777777" w:rsidR="001236DF" w:rsidRPr="00931466" w:rsidRDefault="001236DF"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1236DF" w:rsidRPr="00581EB8" w:rsidRDefault="001236DF"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A5A4" w14:textId="77777777" w:rsidR="00173DD8" w:rsidRPr="00A26E6B" w:rsidRDefault="00173DD8" w:rsidP="00A26E6B"/>
  </w:footnote>
  <w:footnote w:type="continuationSeparator" w:id="0">
    <w:p w14:paraId="2B988330" w14:textId="77777777" w:rsidR="00173DD8" w:rsidRDefault="00173DD8">
      <w:r>
        <w:continuationSeparator/>
      </w:r>
    </w:p>
    <w:p w14:paraId="14ED9312" w14:textId="77777777" w:rsidR="00173DD8" w:rsidRDefault="00173DD8"/>
  </w:footnote>
  <w:footnote w:id="1">
    <w:p w14:paraId="235721B5" w14:textId="0B2BA161" w:rsidR="001236DF" w:rsidRPr="00D728CA" w:rsidRDefault="001236DF">
      <w:pPr>
        <w:pStyle w:val="FootnoteText"/>
        <w:rPr>
          <w:lang w:val="en-US"/>
        </w:rPr>
      </w:pPr>
      <w:r>
        <w:rPr>
          <w:rStyle w:val="FootnoteReference"/>
        </w:rPr>
        <w:footnoteRef/>
      </w:r>
      <w:r>
        <w:t xml:space="preserve"> </w:t>
      </w:r>
      <w:r w:rsidRPr="00D728CA">
        <w:t xml:space="preserve">Government Inquiry into Mental Health and Addiction. 2018. </w:t>
      </w:r>
      <w:r w:rsidRPr="00D728CA">
        <w:rPr>
          <w:i/>
          <w:iCs/>
        </w:rPr>
        <w:t>He Ara Oranga: Report of the Government Inquiry into Mental Health and Addiction</w:t>
      </w:r>
      <w:r w:rsidRPr="00D728CA">
        <w:t>. Wellington: Government Inquiry into Mental Health and Addiction.</w:t>
      </w:r>
    </w:p>
  </w:footnote>
  <w:footnote w:id="2">
    <w:p w14:paraId="2BCEFD19" w14:textId="374A3ADD" w:rsidR="001236DF" w:rsidRPr="00D728CA" w:rsidRDefault="001236DF">
      <w:pPr>
        <w:pStyle w:val="FootnoteText"/>
        <w:rPr>
          <w:lang w:val="en-US"/>
        </w:rPr>
      </w:pPr>
      <w:r>
        <w:rPr>
          <w:rStyle w:val="FootnoteReference"/>
        </w:rPr>
        <w:footnoteRef/>
      </w:r>
      <w:r>
        <w:t xml:space="preserve"> </w:t>
      </w:r>
      <w:r w:rsidRPr="00D728CA">
        <w:t>Mental Health Act sections 11, 13, 14(4), 15(1), 15(2), 29, 30 and 31.</w:t>
      </w:r>
    </w:p>
  </w:footnote>
  <w:footnote w:id="3">
    <w:p w14:paraId="11FF6C83" w14:textId="384CA7CE" w:rsidR="001236DF" w:rsidRPr="00D728CA" w:rsidRDefault="001236DF" w:rsidP="00D728CA">
      <w:pPr>
        <w:pStyle w:val="FootnoteText"/>
        <w:ind w:left="0" w:firstLine="0"/>
        <w:rPr>
          <w:lang w:val="en-US"/>
        </w:rPr>
      </w:pPr>
      <w:r>
        <w:rPr>
          <w:rStyle w:val="FootnoteReference"/>
        </w:rPr>
        <w:footnoteRef/>
      </w:r>
      <w:r>
        <w:rPr>
          <w:lang w:val="en-US"/>
        </w:rPr>
        <w:t xml:space="preserve"> </w:t>
      </w:r>
      <w:r w:rsidRPr="00D728CA">
        <w:rPr>
          <w:lang w:val="en-US"/>
        </w:rPr>
        <w:t>‘Other ethnicities’ encompasses all ethnicities except for Māori and Pacific peoples.</w:t>
      </w:r>
    </w:p>
  </w:footnote>
  <w:footnote w:id="4">
    <w:p w14:paraId="441EA606" w14:textId="10738637" w:rsidR="001236DF" w:rsidRPr="00D728CA" w:rsidRDefault="001236DF">
      <w:pPr>
        <w:pStyle w:val="FootnoteText"/>
        <w:rPr>
          <w:lang w:val="en-US"/>
        </w:rPr>
      </w:pPr>
      <w:r>
        <w:rPr>
          <w:rStyle w:val="FootnoteReference"/>
        </w:rPr>
        <w:footnoteRef/>
      </w:r>
      <w:r>
        <w:t xml:space="preserve"> </w:t>
      </w:r>
      <w:r w:rsidRPr="00D728CA">
        <w:t>Source: Programme for the Integration of Mental Health Data (PRIMHD) data (extracted 3 June 2022).</w:t>
      </w:r>
    </w:p>
  </w:footnote>
  <w:footnote w:id="5">
    <w:p w14:paraId="182E1633" w14:textId="2A7B80D0" w:rsidR="001236DF" w:rsidRPr="00D728CA" w:rsidRDefault="001236DF">
      <w:pPr>
        <w:pStyle w:val="FootnoteText"/>
        <w:rPr>
          <w:lang w:val="en-US"/>
        </w:rPr>
      </w:pPr>
      <w:r>
        <w:rPr>
          <w:rStyle w:val="FootnoteReference"/>
        </w:rPr>
        <w:footnoteRef/>
      </w:r>
      <w:r>
        <w:t xml:space="preserve"> </w:t>
      </w:r>
      <w:r w:rsidRPr="00D728CA">
        <w:t>Source: Ministry of Justice’s case management system data (extracted 9 May 2022).</w:t>
      </w:r>
    </w:p>
  </w:footnote>
  <w:footnote w:id="6">
    <w:p w14:paraId="0A277F6A" w14:textId="14C4B736" w:rsidR="001236DF" w:rsidRPr="00D728CA" w:rsidRDefault="001236DF">
      <w:pPr>
        <w:pStyle w:val="FootnoteText"/>
        <w:rPr>
          <w:lang w:val="en-US"/>
        </w:rPr>
      </w:pPr>
      <w:r>
        <w:rPr>
          <w:rStyle w:val="FootnoteReference"/>
        </w:rPr>
        <w:footnoteRef/>
      </w:r>
      <w:r>
        <w:t xml:space="preserve"> </w:t>
      </w:r>
      <w:r w:rsidRPr="00D728CA">
        <w:t>Sources: PRIMHD data (extracted 3 June 2022) and manual data from Auckland, Lakes (compulsory treatment orders) and Waikato (assessments) DHBs.</w:t>
      </w:r>
    </w:p>
  </w:footnote>
  <w:footnote w:id="7">
    <w:p w14:paraId="3CC2DDC9" w14:textId="77777777" w:rsidR="001236DF" w:rsidRPr="001005E1" w:rsidRDefault="001236DF" w:rsidP="0016455D">
      <w:pPr>
        <w:pStyle w:val="FootnoteText"/>
        <w:spacing w:before="0"/>
      </w:pPr>
      <w:r w:rsidRPr="001005E1">
        <w:rPr>
          <w:rStyle w:val="FootnoteReference"/>
        </w:rPr>
        <w:footnoteRef/>
      </w:r>
      <w:r>
        <w:t xml:space="preserve"> </w:t>
      </w:r>
      <w:r>
        <w:tab/>
      </w:r>
      <w:r w:rsidRPr="0016455D">
        <w:t xml:space="preserve">Sources: </w:t>
      </w:r>
      <w:r w:rsidRPr="0016455D">
        <w:rPr>
          <w:rFonts w:eastAsia="MS Gothic"/>
        </w:rPr>
        <w:t>PRIMHD data (extracted 3 June 2022) and manual data from Auckland and Lakes DHBs.</w:t>
      </w:r>
    </w:p>
  </w:footnote>
  <w:footnote w:id="8">
    <w:p w14:paraId="1AC3454F" w14:textId="77777777" w:rsidR="001236DF" w:rsidRDefault="001236DF" w:rsidP="0016455D">
      <w:pPr>
        <w:pStyle w:val="FootnoteText"/>
        <w:spacing w:before="0"/>
      </w:pPr>
      <w:r w:rsidRPr="008B6AFE">
        <w:rPr>
          <w:rStyle w:val="FootnoteReference"/>
        </w:rPr>
        <w:footnoteRef/>
      </w:r>
      <w:r>
        <w:tab/>
        <w:t>Source: Ministry of Justice’s case management system data (extracted 9 May 2022).</w:t>
      </w:r>
    </w:p>
  </w:footnote>
  <w:footnote w:id="9">
    <w:p w14:paraId="4FC5E885" w14:textId="77777777" w:rsidR="001236DF" w:rsidRDefault="001236DF" w:rsidP="0016455D">
      <w:pPr>
        <w:pStyle w:val="FootnoteText"/>
      </w:pPr>
      <w:r w:rsidRPr="00B048AF">
        <w:rPr>
          <w:rStyle w:val="FootnoteReference"/>
        </w:rPr>
        <w:footnoteRef/>
      </w:r>
      <w:r>
        <w:tab/>
        <w:t>These ratios are based on the age-standardised rates of the Māori, Pacific peoples and other populations. Source: PRIMHD data (extracted 3 June 2022). See the Appendix: Additional statistics for a time-series extraction and analysis of the rate ratio between Māori and non-Māori under section 29 of the Mental Health Act.</w:t>
      </w:r>
    </w:p>
  </w:footnote>
  <w:footnote w:id="10">
    <w:p w14:paraId="76760BA8" w14:textId="77777777" w:rsidR="001236DF" w:rsidRDefault="001236DF" w:rsidP="0016455D">
      <w:pPr>
        <w:pStyle w:val="FootnoteText"/>
      </w:pPr>
      <w:r w:rsidRPr="00B048AF">
        <w:rPr>
          <w:rStyle w:val="FootnoteReference"/>
        </w:rPr>
        <w:footnoteRef/>
      </w:r>
      <w:r>
        <w:tab/>
      </w:r>
      <w:r w:rsidRPr="00940BE5">
        <w:t xml:space="preserve">Source: </w:t>
      </w:r>
      <w:r>
        <w:t>PRIMHD data (extracted 3 June 2022). Deprivation quintiles are ranked 1–5, where 1 represents areas with the least deprived scores and 5 areas with the most deprived scores.</w:t>
      </w:r>
    </w:p>
  </w:footnote>
  <w:footnote w:id="11">
    <w:p w14:paraId="61C67759" w14:textId="77777777" w:rsidR="001236DF" w:rsidRDefault="001236DF" w:rsidP="001236DF">
      <w:pPr>
        <w:pStyle w:val="FootnoteText"/>
      </w:pPr>
      <w:r w:rsidRPr="0029060A">
        <w:rPr>
          <w:rStyle w:val="FootnoteReference"/>
        </w:rPr>
        <w:footnoteRef/>
      </w:r>
      <w:r>
        <w:tab/>
        <w:t xml:space="preserve">Sources: </w:t>
      </w:r>
      <w:r w:rsidRPr="0069579E">
        <w:t>PRIMHD data</w:t>
      </w:r>
      <w:r>
        <w:t xml:space="preserve"> (extracted</w:t>
      </w:r>
      <w:r w:rsidRPr="0069579E">
        <w:t xml:space="preserve"> </w:t>
      </w:r>
      <w:r>
        <w:t>3 June 2022)</w:t>
      </w:r>
      <w:r w:rsidRPr="0069579E">
        <w:t xml:space="preserve"> and manual data from </w:t>
      </w:r>
      <w:r>
        <w:t>Auckland and Lakes DHBs.</w:t>
      </w:r>
    </w:p>
  </w:footnote>
  <w:footnote w:id="12">
    <w:p w14:paraId="27558AED" w14:textId="77777777" w:rsidR="001236DF" w:rsidRDefault="001236DF" w:rsidP="001236DF">
      <w:pPr>
        <w:pStyle w:val="FootnoteText"/>
      </w:pPr>
      <w:r w:rsidRPr="00D90A5D">
        <w:rPr>
          <w:rStyle w:val="FootnoteReference"/>
        </w:rPr>
        <w:footnoteRef/>
      </w:r>
      <w:r>
        <w:tab/>
        <w:t xml:space="preserve">Standards New Zealand. 2021. </w:t>
      </w:r>
      <w:r w:rsidRPr="00DF0495">
        <w:rPr>
          <w:i/>
          <w:iCs/>
        </w:rPr>
        <w:t>Ng</w:t>
      </w:r>
      <w:r w:rsidRPr="00DF0495">
        <w:rPr>
          <w:i/>
          <w:iCs/>
          <w:lang w:val="mi-NZ"/>
        </w:rPr>
        <w:t>ā Paerewa</w:t>
      </w:r>
      <w:r>
        <w:rPr>
          <w:lang w:val="mi-NZ"/>
        </w:rPr>
        <w:t xml:space="preserve"> </w:t>
      </w:r>
      <w:r w:rsidRPr="00C236F9">
        <w:rPr>
          <w:i/>
          <w:iCs/>
        </w:rPr>
        <w:t>Health and Disability Services Standard</w:t>
      </w:r>
      <w:r>
        <w:t>. Wellington: Standards New Zealand.</w:t>
      </w:r>
    </w:p>
  </w:footnote>
  <w:footnote w:id="13">
    <w:p w14:paraId="17BF6989" w14:textId="77777777" w:rsidR="001236DF" w:rsidRDefault="001236DF" w:rsidP="001236DF">
      <w:pPr>
        <w:pStyle w:val="FootnoteText"/>
      </w:pPr>
      <w:r>
        <w:rPr>
          <w:rStyle w:val="FootnoteReference"/>
        </w:rPr>
        <w:footnoteRef/>
      </w:r>
      <w:r>
        <w:t xml:space="preserve"> </w:t>
      </w:r>
      <w:r>
        <w:tab/>
        <w:t xml:space="preserve">Sources: PRIMHD data (extracted 3 June 2022) </w:t>
      </w:r>
      <w:r w:rsidRPr="00314226">
        <w:t xml:space="preserve">and manual data from </w:t>
      </w:r>
      <w:r>
        <w:t>Southern, Waikato and Waitematā DHBs.</w:t>
      </w:r>
    </w:p>
  </w:footnote>
  <w:footnote w:id="14">
    <w:p w14:paraId="25407288" w14:textId="77777777" w:rsidR="001236DF" w:rsidRDefault="001236DF" w:rsidP="001236DF">
      <w:pPr>
        <w:pStyle w:val="FootnoteText"/>
      </w:pPr>
      <w:r w:rsidRPr="00D90A5D">
        <w:rPr>
          <w:rStyle w:val="FootnoteReference"/>
        </w:rPr>
        <w:footnoteRef/>
      </w:r>
      <w:r>
        <w:tab/>
        <w:t>We are comparing the latest data with 2009 because in that year seclusion reduction policies were introduced in Aotearoa.</w:t>
      </w:r>
    </w:p>
  </w:footnote>
  <w:footnote w:id="15">
    <w:p w14:paraId="671BD0DE" w14:textId="77777777" w:rsidR="001236DF" w:rsidRDefault="001236DF" w:rsidP="001236DF">
      <w:pPr>
        <w:pStyle w:val="Source"/>
      </w:pPr>
      <w:r w:rsidRPr="00D23889">
        <w:rPr>
          <w:rStyle w:val="FootnoteReference"/>
        </w:rPr>
        <w:footnoteRef/>
      </w:r>
      <w:r>
        <w:t xml:space="preserve"> Data in this section e</w:t>
      </w:r>
      <w:r w:rsidRPr="00935D12">
        <w:t xml:space="preserve">xcludes forensic services unless specified otherwise. Bed nights are measured by team types that use seclusion. </w:t>
      </w:r>
      <w:r>
        <w:t xml:space="preserve">This may differ from denominator figures used in other entities’ seclusion reporting. </w:t>
      </w:r>
      <w:r w:rsidRPr="00935D12">
        <w:t xml:space="preserve">This </w:t>
      </w:r>
      <w:r>
        <w:t>data</w:t>
      </w:r>
      <w:r w:rsidRPr="00935D12">
        <w:t xml:space="preserve"> cannot be compared with years before 2017, when bed nights were measured by acute and sub-acute bed nights. Sources: PRIMHD data (extracted 3 June 2022) and manual data from Southern, Waikato and Waitematā DHBs.</w:t>
      </w:r>
    </w:p>
  </w:footnote>
  <w:footnote w:id="16">
    <w:p w14:paraId="3128B981" w14:textId="77777777" w:rsidR="001236DF" w:rsidRDefault="001236DF" w:rsidP="001236DF">
      <w:pPr>
        <w:pStyle w:val="FootnoteText"/>
      </w:pPr>
      <w:r w:rsidRPr="00D23889">
        <w:rPr>
          <w:rStyle w:val="FootnoteReference"/>
        </w:rPr>
        <w:footnoteRef/>
      </w:r>
      <w:r>
        <w:tab/>
        <w:t>If a person in Wairarapa DHB required admission to mental health inpatient services, they were transported to either Hutt Valley DHB or MidCentral DHB. In this case, any seclusion statistics relating to this service user would appear on the database of the DHB where they were receiving treatment.</w:t>
      </w:r>
    </w:p>
  </w:footnote>
  <w:footnote w:id="17">
    <w:p w14:paraId="02615013" w14:textId="77777777" w:rsidR="001236DF" w:rsidRDefault="001236DF" w:rsidP="001236DF">
      <w:pPr>
        <w:pStyle w:val="FootnoteText"/>
      </w:pPr>
      <w:r w:rsidRPr="008C1BFB">
        <w:rPr>
          <w:rStyle w:val="FootnoteReference"/>
        </w:rPr>
        <w:footnoteRef/>
      </w:r>
      <w:r>
        <w:tab/>
        <w:t>Capital &amp; Coast DHB also operated a forensic service in Whanganui.</w:t>
      </w:r>
    </w:p>
  </w:footnote>
  <w:footnote w:id="18">
    <w:p w14:paraId="6A49A3F2" w14:textId="77777777" w:rsidR="001236DF" w:rsidRPr="00FE388F" w:rsidRDefault="001236DF" w:rsidP="001236DF">
      <w:pPr>
        <w:pStyle w:val="FootnoteText"/>
        <w:rPr>
          <w:lang w:val="mi-NZ"/>
        </w:rPr>
      </w:pPr>
      <w:r w:rsidRPr="00872974">
        <w:rPr>
          <w:rStyle w:val="FootnoteReference"/>
        </w:rPr>
        <w:footnoteRef/>
      </w:r>
      <w:r>
        <w:tab/>
      </w:r>
      <w:r>
        <w:rPr>
          <w:lang w:val="mi-NZ"/>
        </w:rPr>
        <w:t xml:space="preserve">Ministry of Health. 1995. </w:t>
      </w:r>
      <w:r>
        <w:rPr>
          <w:i/>
          <w:iCs/>
          <w:lang w:val="mi-NZ"/>
        </w:rPr>
        <w:t xml:space="preserve">Night Safety Procedures. </w:t>
      </w:r>
      <w:r>
        <w:rPr>
          <w:lang w:val="mi-NZ"/>
        </w:rPr>
        <w:t xml:space="preserve">Wellington: Ministry of Health. URL: </w:t>
      </w:r>
      <w:hyperlink r:id="rId1" w:history="1">
        <w:r w:rsidRPr="00F52816">
          <w:rPr>
            <w:rStyle w:val="Hyperlink"/>
            <w:lang w:val="mi-NZ"/>
          </w:rPr>
          <w:t>www.moh.govt.nz/notebook/nbbooks.nsf/0/FD5F690DFDAAD3EACC25737F007C2720/$file/nightsafety.pdf</w:t>
        </w:r>
      </w:hyperlink>
      <w:r>
        <w:rPr>
          <w:lang w:val="mi-NZ"/>
        </w:rPr>
        <w:t xml:space="preserve"> (accessed 27 October 2021).</w:t>
      </w:r>
    </w:p>
  </w:footnote>
  <w:footnote w:id="19">
    <w:p w14:paraId="262359DA" w14:textId="77777777" w:rsidR="001236DF" w:rsidRPr="00FE388F" w:rsidRDefault="001236DF" w:rsidP="001236DF">
      <w:pPr>
        <w:pStyle w:val="FootnoteText"/>
        <w:rPr>
          <w:lang w:val="mi-NZ"/>
        </w:rPr>
      </w:pPr>
      <w:r w:rsidRPr="00872974">
        <w:rPr>
          <w:rStyle w:val="FootnoteReference"/>
        </w:rPr>
        <w:footnoteRef/>
      </w:r>
      <w:r>
        <w:tab/>
      </w:r>
      <w:r>
        <w:rPr>
          <w:lang w:val="mi-NZ"/>
        </w:rPr>
        <w:t xml:space="preserve">Ministry of Health. 2018. </w:t>
      </w:r>
      <w:r>
        <w:rPr>
          <w:i/>
          <w:iCs/>
          <w:lang w:val="mi-NZ"/>
        </w:rPr>
        <w:t xml:space="preserve">Night Safety Procedures: Transitional guideline. </w:t>
      </w:r>
      <w:r>
        <w:rPr>
          <w:lang w:val="mi-NZ"/>
        </w:rPr>
        <w:t xml:space="preserve">Wellington: Ministry of Health. URL: </w:t>
      </w:r>
      <w:hyperlink r:id="rId2" w:history="1">
        <w:r w:rsidRPr="00F52816">
          <w:rPr>
            <w:rStyle w:val="Hyperlink"/>
            <w:lang w:val="mi-NZ"/>
          </w:rPr>
          <w:t>www.health.govt.nz/system/files/documents/publications/night-safety-procedures-transitional-guideline-feb18.pdf</w:t>
        </w:r>
      </w:hyperlink>
      <w:r>
        <w:rPr>
          <w:lang w:val="mi-NZ"/>
        </w:rPr>
        <w:t xml:space="preserve"> (accessed 27 October 2021).</w:t>
      </w:r>
    </w:p>
  </w:footnote>
  <w:footnote w:id="20">
    <w:p w14:paraId="353ACFFF" w14:textId="77777777" w:rsidR="001236DF" w:rsidRDefault="001236DF" w:rsidP="001236DF">
      <w:pPr>
        <w:pStyle w:val="FootnoteText"/>
      </w:pPr>
      <w:r w:rsidRPr="008E5A9E">
        <w:rPr>
          <w:rStyle w:val="FootnoteReference"/>
        </w:rPr>
        <w:footnoteRef/>
      </w:r>
      <w:r>
        <w:tab/>
        <w:t>An adverse event is an event that results in harm or has the potential to result in harm to a consumer.</w:t>
      </w:r>
    </w:p>
  </w:footnote>
  <w:footnote w:id="21">
    <w:p w14:paraId="2C4A2E46" w14:textId="77777777" w:rsidR="001236DF" w:rsidRDefault="001236DF" w:rsidP="001236DF">
      <w:pPr>
        <w:pStyle w:val="FootnoteText"/>
      </w:pPr>
      <w:r w:rsidRPr="008E5A9E">
        <w:rPr>
          <w:rStyle w:val="FootnoteReference"/>
        </w:rPr>
        <w:footnoteRef/>
      </w:r>
      <w:r>
        <w:tab/>
        <w:t xml:space="preserve">A </w:t>
      </w:r>
      <w:r w:rsidRPr="00200234">
        <w:t>Severity Assessment Code</w:t>
      </w:r>
      <w:r w:rsidDel="001B4873">
        <w:t xml:space="preserve"> </w:t>
      </w:r>
      <w:r>
        <w:t>is a numerical rating of how severe an adverse event is, which in turn indicates what level of reporting and investigation is needed for that event.</w:t>
      </w:r>
    </w:p>
  </w:footnote>
  <w:footnote w:id="22">
    <w:p w14:paraId="34DDF598" w14:textId="77777777" w:rsidR="001236DF" w:rsidRDefault="001236DF" w:rsidP="001236DF">
      <w:pPr>
        <w:pStyle w:val="FootnoteText"/>
      </w:pPr>
      <w:r w:rsidRPr="008E5A9E">
        <w:rPr>
          <w:rStyle w:val="FootnoteReference"/>
        </w:rPr>
        <w:footnoteRef/>
      </w:r>
      <w:r>
        <w:tab/>
        <w:t xml:space="preserve">See the National Adverse Events Reporting Policy on the HQSC website at: </w:t>
      </w:r>
      <w:hyperlink r:id="rId3" w:history="1">
        <w:r w:rsidRPr="00F52816">
          <w:rPr>
            <w:rStyle w:val="Hyperlink"/>
          </w:rPr>
          <w:t>www.hqsc.govt.nz/our-programmes/adverse-events/national-adverse-events-policy/</w:t>
        </w:r>
      </w:hyperlink>
      <w:r>
        <w:t>.</w:t>
      </w:r>
    </w:p>
  </w:footnote>
  <w:footnote w:id="23">
    <w:p w14:paraId="42238A9B" w14:textId="77777777" w:rsidR="001236DF" w:rsidRDefault="001236DF" w:rsidP="001236DF">
      <w:pPr>
        <w:pStyle w:val="FootnoteText"/>
      </w:pPr>
      <w:r>
        <w:rPr>
          <w:rStyle w:val="FootnoteReference"/>
        </w:rPr>
        <w:footnoteRef/>
      </w:r>
      <w:r>
        <w:t xml:space="preserve"> Sources: PRIMHD data (extracted 3 June 2022) and manual data from Lakes, Southern, Waikato and Waitematā DHBs.</w:t>
      </w:r>
    </w:p>
  </w:footnote>
  <w:footnote w:id="24">
    <w:p w14:paraId="68893399" w14:textId="77777777" w:rsidR="001236DF" w:rsidRPr="00FE388F" w:rsidRDefault="001236DF" w:rsidP="001236DF">
      <w:pPr>
        <w:pStyle w:val="FootnoteText"/>
        <w:rPr>
          <w:lang w:val="mi-NZ"/>
        </w:rPr>
      </w:pPr>
      <w:r w:rsidRPr="0048119A">
        <w:rPr>
          <w:rStyle w:val="FootnoteReference"/>
        </w:rPr>
        <w:footnoteRef/>
      </w:r>
      <w:r>
        <w:tab/>
      </w:r>
      <w:r>
        <w:rPr>
          <w:lang w:val="mi-NZ"/>
        </w:rPr>
        <w:t>The Mental Health Review Tribunal is an independent body appointed by the Minister of Health under the Mental Health Act. For more information, see the Mental Health Review Tribunal webpage on Manat</w:t>
      </w:r>
      <w:r>
        <w:rPr>
          <w:rFonts w:cs="Segoe UI"/>
          <w:lang w:val="mi-NZ"/>
        </w:rPr>
        <w:t>ū</w:t>
      </w:r>
      <w:r>
        <w:rPr>
          <w:lang w:val="mi-NZ"/>
        </w:rPr>
        <w:t xml:space="preserve"> Hauora’s website at: </w:t>
      </w:r>
      <w:hyperlink r:id="rId4" w:history="1">
        <w:r w:rsidRPr="00C30187">
          <w:rPr>
            <w:rStyle w:val="Hyperlink"/>
            <w:lang w:val="mi-NZ"/>
          </w:rPr>
          <w:t>health.govt.nz/new-zealand-health-system/key-health-sector-organisations-and-people/mental-health-review-tribunal</w:t>
        </w:r>
      </w:hyperlink>
      <w:r>
        <w:t xml:space="preserve"> (accessed 21 September 2022)</w:t>
      </w:r>
      <w:r>
        <w:rPr>
          <w:lang w:val="mi-NZ"/>
        </w:rPr>
        <w:t>.</w:t>
      </w:r>
    </w:p>
  </w:footnote>
  <w:footnote w:id="25">
    <w:p w14:paraId="728D65DF" w14:textId="77777777" w:rsidR="001236DF" w:rsidRPr="0039221C" w:rsidRDefault="001236DF" w:rsidP="001236DF">
      <w:pPr>
        <w:pStyle w:val="FootnoteText"/>
      </w:pPr>
      <w:r w:rsidRPr="005561B0">
        <w:rPr>
          <w:rStyle w:val="FootnoteReference"/>
        </w:rPr>
        <w:footnoteRef/>
      </w:r>
      <w:r>
        <w:tab/>
        <w:t xml:space="preserve">For more information about the </w:t>
      </w:r>
      <w:r>
        <w:rPr>
          <w:i/>
          <w:iCs/>
        </w:rPr>
        <w:t>New Zealand Gazette</w:t>
      </w:r>
      <w:r w:rsidRPr="004D070B">
        <w:t>,</w:t>
      </w:r>
      <w:r>
        <w:rPr>
          <w:i/>
          <w:iCs/>
        </w:rPr>
        <w:t xml:space="preserve"> </w:t>
      </w:r>
      <w:r>
        <w:t xml:space="preserve">see the Gazette website at: </w:t>
      </w:r>
      <w:hyperlink r:id="rId5" w:history="1">
        <w:r w:rsidRPr="00B0114E">
          <w:rPr>
            <w:rStyle w:val="Hyperlink"/>
          </w:rPr>
          <w:t>gazette.govt.nz</w:t>
        </w:r>
      </w:hyperlink>
      <w:r>
        <w:t xml:space="preserve"> </w:t>
      </w:r>
      <w:r w:rsidRPr="00F37BF5">
        <w:t xml:space="preserve">(accessed </w:t>
      </w:r>
      <w:r>
        <w:t>21 September</w:t>
      </w:r>
      <w:r w:rsidRPr="00F37BF5">
        <w:t xml:space="preserve"> 2022)</w:t>
      </w:r>
      <w:r>
        <w:t>.</w:t>
      </w:r>
    </w:p>
  </w:footnote>
  <w:footnote w:id="26">
    <w:p w14:paraId="358A0E6E" w14:textId="77777777" w:rsidR="001236DF" w:rsidRPr="00F37BF5" w:rsidRDefault="001236DF" w:rsidP="001236DF">
      <w:pPr>
        <w:pStyle w:val="FootnoteText"/>
      </w:pPr>
      <w:r w:rsidRPr="005561B0">
        <w:rPr>
          <w:rStyle w:val="FootnoteReference"/>
        </w:rPr>
        <w:footnoteRef/>
      </w:r>
      <w:r>
        <w:tab/>
      </w:r>
      <w:r w:rsidRPr="0039221C">
        <w:t xml:space="preserve">Ministry of Health. 2014. </w:t>
      </w:r>
      <w:r w:rsidRPr="00DB1FB1">
        <w:rPr>
          <w:i/>
          <w:iCs/>
        </w:rPr>
        <w:t>New Zealand Practice Guidelines for Opioid Substitution Treatment</w:t>
      </w:r>
      <w:r>
        <w:rPr>
          <w:i/>
          <w:iCs/>
        </w:rPr>
        <w:t xml:space="preserve">. </w:t>
      </w:r>
      <w:r>
        <w:t xml:space="preserve">Wellington: Ministry of Health. URL: </w:t>
      </w:r>
      <w:hyperlink r:id="rId6" w:history="1">
        <w:r w:rsidRPr="004D070B">
          <w:rPr>
            <w:rStyle w:val="Hyperlink"/>
          </w:rPr>
          <w:t>health.govt.nz/publication/new-zealand-practice-guidelines-opioid-substitution-treatment-2014</w:t>
        </w:r>
      </w:hyperlink>
      <w:r>
        <w:t xml:space="preserve"> </w:t>
      </w:r>
      <w:r w:rsidRPr="00F37BF5">
        <w:t>(accessed 17 June 2022).</w:t>
      </w:r>
    </w:p>
  </w:footnote>
  <w:footnote w:id="27">
    <w:p w14:paraId="0C585387" w14:textId="77777777" w:rsidR="001236DF" w:rsidRPr="0039221C" w:rsidRDefault="001236DF" w:rsidP="001236DF">
      <w:pPr>
        <w:pStyle w:val="FootnoteText"/>
        <w:rPr>
          <w:i/>
          <w:iCs/>
        </w:rPr>
      </w:pPr>
      <w:r w:rsidRPr="00F37BF5">
        <w:rPr>
          <w:rStyle w:val="FootnoteReference"/>
        </w:rPr>
        <w:footnoteRef/>
      </w:r>
      <w:r w:rsidRPr="00F37BF5">
        <w:tab/>
        <w:t>For more information, see Ministry of Health</w:t>
      </w:r>
      <w:r w:rsidRPr="0039221C">
        <w:t xml:space="preserve">. 2014. </w:t>
      </w:r>
      <w:r w:rsidRPr="004D070B">
        <w:rPr>
          <w:i/>
          <w:iCs/>
        </w:rPr>
        <w:t>Specialist Opioid Substitution Treatment (OST) Service Audit and Review Tool</w:t>
      </w:r>
      <w:r>
        <w:t xml:space="preserve">. Wellington: Ministry of Health. URL: </w:t>
      </w:r>
      <w:hyperlink r:id="rId7" w:history="1">
        <w:r w:rsidRPr="004D070B">
          <w:rPr>
            <w:rStyle w:val="Hyperlink"/>
          </w:rPr>
          <w:t>www.health.govt.nz/publication/specialist-opioid-substitution-treatment-ost-service-audit-and-review-tool</w:t>
        </w:r>
      </w:hyperlink>
      <w:r>
        <w:t xml:space="preserve"> </w:t>
      </w:r>
      <w:r w:rsidRPr="00F37BF5">
        <w:t>(accessed 17 June 2022).</w:t>
      </w:r>
    </w:p>
  </w:footnote>
  <w:footnote w:id="28">
    <w:p w14:paraId="3389130C" w14:textId="77777777" w:rsidR="001236DF" w:rsidRDefault="001236DF" w:rsidP="001236DF">
      <w:pPr>
        <w:pStyle w:val="FootnoteText"/>
      </w:pPr>
      <w:r w:rsidRPr="005561B0">
        <w:rPr>
          <w:rStyle w:val="FootnoteReference"/>
        </w:rPr>
        <w:footnoteRef/>
      </w:r>
      <w:r>
        <w:tab/>
        <w:t>Source: Data provided by OST services in 6-monthly reports. These 6-monthly reports do not collect data by National Health Index (NHI) numbers. The Aotearoa total is a sum of the DHB figures, so it can double count people who had services from more than one DHB.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5210"/>
      <w:gridCol w:w="4429"/>
    </w:tblGrid>
    <w:tr w:rsidR="001236DF" w14:paraId="11530A0D" w14:textId="77777777" w:rsidTr="008F2B72">
      <w:trPr>
        <w:cantSplit/>
      </w:trPr>
      <w:tc>
        <w:tcPr>
          <w:tcW w:w="5210" w:type="dxa"/>
          <w:vAlign w:val="center"/>
        </w:tcPr>
        <w:p w14:paraId="2BDE3162" w14:textId="4E67EED4" w:rsidR="001236DF" w:rsidRDefault="001236DF" w:rsidP="00B26F0F">
          <w:pPr>
            <w:pStyle w:val="Header"/>
          </w:pPr>
          <w:bookmarkStart w:id="0" w:name="_Hlk110933925"/>
          <w:r>
            <w:rPr>
              <w:noProof/>
              <w:lang w:eastAsia="en-NZ"/>
            </w:rPr>
            <w:drawing>
              <wp:inline distT="0" distB="0" distL="0" distR="0" wp14:anchorId="04421456" wp14:editId="628A0006">
                <wp:extent cx="2294626" cy="542925"/>
                <wp:effectExtent l="0" t="0" r="0" b="0"/>
                <wp:docPr id="1" name="Picture 1" descr="New Zealand Government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1236DF" w:rsidRDefault="001236DF" w:rsidP="001236DF">
          <w:pPr>
            <w:pStyle w:val="Header"/>
            <w:jc w:val="right"/>
          </w:pPr>
          <w:r>
            <w:rPr>
              <w:noProof/>
            </w:rPr>
            <w:drawing>
              <wp:anchor distT="0" distB="0" distL="114300" distR="114300" simplePos="0" relativeHeight="251658240" behindDoc="0" locked="0" layoutInCell="1" allowOverlap="1" wp14:anchorId="1D75C094" wp14:editId="7CDD68BB">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1236DF" w:rsidRDefault="00123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5B58" w14:textId="77777777" w:rsidR="001236DF" w:rsidRDefault="001236DF"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34B1" w14:textId="77777777" w:rsidR="001236DF" w:rsidRDefault="001236DF"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1236DF" w:rsidRDefault="001236DF"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1236DF" w:rsidRDefault="001236DF"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1236DF" w:rsidRDefault="001236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6096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4"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7"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9"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2"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4"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5"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6"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7" w15:restartNumberingAfterBreak="0">
    <w:nsid w:val="35D4557C"/>
    <w:multiLevelType w:val="hybridMultilevel"/>
    <w:tmpl w:val="80F25802"/>
    <w:lvl w:ilvl="0" w:tplc="151AD1D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1"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2"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4"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5"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6"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7"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8"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9" w15:restartNumberingAfterBreak="0">
    <w:nsid w:val="6BA9117A"/>
    <w:multiLevelType w:val="hybridMultilevel"/>
    <w:tmpl w:val="4F7A8D04"/>
    <w:lvl w:ilvl="0" w:tplc="A7421F8E">
      <w:numFmt w:val="bullet"/>
      <w:lvlText w:val=""/>
      <w:lvlJc w:val="left"/>
      <w:pPr>
        <w:ind w:left="1080" w:hanging="72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2"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4"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5"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25"/>
  </w:num>
  <w:num w:numId="3">
    <w:abstractNumId w:val="18"/>
  </w:num>
  <w:num w:numId="4">
    <w:abstractNumId w:val="19"/>
  </w:num>
  <w:num w:numId="5">
    <w:abstractNumId w:val="2"/>
  </w:num>
  <w:num w:numId="6">
    <w:abstractNumId w:val="35"/>
  </w:num>
  <w:num w:numId="7">
    <w:abstractNumId w:val="14"/>
  </w:num>
  <w:num w:numId="8">
    <w:abstractNumId w:val="4"/>
  </w:num>
  <w:num w:numId="9">
    <w:abstractNumId w:val="32"/>
  </w:num>
  <w:num w:numId="10">
    <w:abstractNumId w:val="3"/>
  </w:num>
  <w:num w:numId="11">
    <w:abstractNumId w:val="30"/>
  </w:num>
  <w:num w:numId="12">
    <w:abstractNumId w:val="5"/>
  </w:num>
  <w:num w:numId="13">
    <w:abstractNumId w:val="9"/>
  </w:num>
  <w:num w:numId="14">
    <w:abstractNumId w:val="7"/>
  </w:num>
  <w:num w:numId="15">
    <w:abstractNumId w:val="10"/>
  </w:num>
  <w:num w:numId="16">
    <w:abstractNumId w:val="22"/>
  </w:num>
  <w:num w:numId="17">
    <w:abstractNumId w:val="12"/>
  </w:num>
  <w:num w:numId="18">
    <w:abstractNumId w:val="27"/>
  </w:num>
  <w:num w:numId="19">
    <w:abstractNumId w:val="13"/>
  </w:num>
  <w:num w:numId="20">
    <w:abstractNumId w:val="21"/>
  </w:num>
  <w:num w:numId="21">
    <w:abstractNumId w:val="8"/>
  </w:num>
  <w:num w:numId="22">
    <w:abstractNumId w:val="6"/>
  </w:num>
  <w:num w:numId="23">
    <w:abstractNumId w:val="24"/>
  </w:num>
  <w:num w:numId="24">
    <w:abstractNumId w:val="23"/>
  </w:num>
  <w:num w:numId="25">
    <w:abstractNumId w:val="34"/>
  </w:num>
  <w:num w:numId="26">
    <w:abstractNumId w:val="15"/>
  </w:num>
  <w:num w:numId="27">
    <w:abstractNumId w:val="28"/>
  </w:num>
  <w:num w:numId="28">
    <w:abstractNumId w:val="26"/>
  </w:num>
  <w:num w:numId="29">
    <w:abstractNumId w:val="20"/>
  </w:num>
  <w:num w:numId="30">
    <w:abstractNumId w:val="11"/>
  </w:num>
  <w:num w:numId="31">
    <w:abstractNumId w:val="31"/>
  </w:num>
  <w:num w:numId="32">
    <w:abstractNumId w:val="16"/>
  </w:num>
  <w:num w:numId="33">
    <w:abstractNumId w:val="1"/>
  </w:num>
  <w:num w:numId="34">
    <w:abstractNumId w:val="29"/>
  </w:num>
  <w:num w:numId="35">
    <w:abstractNumId w:val="0"/>
  </w:num>
  <w:num w:numId="3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7CB0"/>
    <w:rsid w:val="00054B44"/>
    <w:rsid w:val="0006228D"/>
    <w:rsid w:val="00072BD6"/>
    <w:rsid w:val="00075B78"/>
    <w:rsid w:val="000763E9"/>
    <w:rsid w:val="00082CD6"/>
    <w:rsid w:val="0008437D"/>
    <w:rsid w:val="00085AFE"/>
    <w:rsid w:val="00094800"/>
    <w:rsid w:val="000A41ED"/>
    <w:rsid w:val="000B0730"/>
    <w:rsid w:val="000D19F4"/>
    <w:rsid w:val="000D58DD"/>
    <w:rsid w:val="000D62B8"/>
    <w:rsid w:val="000F2AE2"/>
    <w:rsid w:val="000F2BFF"/>
    <w:rsid w:val="00102063"/>
    <w:rsid w:val="0010541C"/>
    <w:rsid w:val="00106F93"/>
    <w:rsid w:val="00111D50"/>
    <w:rsid w:val="00113B8E"/>
    <w:rsid w:val="0012053C"/>
    <w:rsid w:val="00122363"/>
    <w:rsid w:val="001236DF"/>
    <w:rsid w:val="00130635"/>
    <w:rsid w:val="0013213F"/>
    <w:rsid w:val="001342C7"/>
    <w:rsid w:val="0013585C"/>
    <w:rsid w:val="00142261"/>
    <w:rsid w:val="00142954"/>
    <w:rsid w:val="001460E0"/>
    <w:rsid w:val="001472F0"/>
    <w:rsid w:val="00147F71"/>
    <w:rsid w:val="00150A6E"/>
    <w:rsid w:val="0016304B"/>
    <w:rsid w:val="0016455D"/>
    <w:rsid w:val="0016468A"/>
    <w:rsid w:val="00173DD8"/>
    <w:rsid w:val="0018662D"/>
    <w:rsid w:val="00197427"/>
    <w:rsid w:val="001A21B4"/>
    <w:rsid w:val="001A5CF5"/>
    <w:rsid w:val="001B39D2"/>
    <w:rsid w:val="001B4BF8"/>
    <w:rsid w:val="001C4326"/>
    <w:rsid w:val="001C6530"/>
    <w:rsid w:val="001C665E"/>
    <w:rsid w:val="001D3541"/>
    <w:rsid w:val="001D3E4E"/>
    <w:rsid w:val="001E20A4"/>
    <w:rsid w:val="001E254A"/>
    <w:rsid w:val="001E591D"/>
    <w:rsid w:val="001E7386"/>
    <w:rsid w:val="001F45A7"/>
    <w:rsid w:val="001F6D4B"/>
    <w:rsid w:val="00201A01"/>
    <w:rsid w:val="0020754B"/>
    <w:rsid w:val="002104D3"/>
    <w:rsid w:val="00213A33"/>
    <w:rsid w:val="0021763B"/>
    <w:rsid w:val="00230EB5"/>
    <w:rsid w:val="002328EE"/>
    <w:rsid w:val="00246DB1"/>
    <w:rsid w:val="002476B5"/>
    <w:rsid w:val="002520CC"/>
    <w:rsid w:val="00253ECF"/>
    <w:rsid w:val="002546A1"/>
    <w:rsid w:val="002628F4"/>
    <w:rsid w:val="0026359F"/>
    <w:rsid w:val="00273E3B"/>
    <w:rsid w:val="00275D08"/>
    <w:rsid w:val="00276D05"/>
    <w:rsid w:val="002858E3"/>
    <w:rsid w:val="00286A2A"/>
    <w:rsid w:val="002901A8"/>
    <w:rsid w:val="0029190A"/>
    <w:rsid w:val="00292C5A"/>
    <w:rsid w:val="00295241"/>
    <w:rsid w:val="00295A05"/>
    <w:rsid w:val="002A4DFC"/>
    <w:rsid w:val="002B047D"/>
    <w:rsid w:val="002B732B"/>
    <w:rsid w:val="002B76A7"/>
    <w:rsid w:val="002C2219"/>
    <w:rsid w:val="002C2552"/>
    <w:rsid w:val="002C380A"/>
    <w:rsid w:val="002C586D"/>
    <w:rsid w:val="002D0DF2"/>
    <w:rsid w:val="002D23BD"/>
    <w:rsid w:val="002E0B47"/>
    <w:rsid w:val="002E6D6D"/>
    <w:rsid w:val="002F12EE"/>
    <w:rsid w:val="002F4685"/>
    <w:rsid w:val="002F7213"/>
    <w:rsid w:val="0030382F"/>
    <w:rsid w:val="0030408D"/>
    <w:rsid w:val="003060E4"/>
    <w:rsid w:val="003160E7"/>
    <w:rsid w:val="0031739E"/>
    <w:rsid w:val="003309CA"/>
    <w:rsid w:val="003325AB"/>
    <w:rsid w:val="003332D1"/>
    <w:rsid w:val="0033412B"/>
    <w:rsid w:val="00337883"/>
    <w:rsid w:val="00341161"/>
    <w:rsid w:val="00343365"/>
    <w:rsid w:val="003445F4"/>
    <w:rsid w:val="00352A81"/>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6720"/>
    <w:rsid w:val="003E74C8"/>
    <w:rsid w:val="003E7C46"/>
    <w:rsid w:val="003F2106"/>
    <w:rsid w:val="003F3EA2"/>
    <w:rsid w:val="003F52A7"/>
    <w:rsid w:val="003F7013"/>
    <w:rsid w:val="0040240C"/>
    <w:rsid w:val="00413021"/>
    <w:rsid w:val="00417C1E"/>
    <w:rsid w:val="004301C6"/>
    <w:rsid w:val="0043478F"/>
    <w:rsid w:val="0043602B"/>
    <w:rsid w:val="00440BE0"/>
    <w:rsid w:val="00442C1C"/>
    <w:rsid w:val="0044584B"/>
    <w:rsid w:val="0044627F"/>
    <w:rsid w:val="00447CB7"/>
    <w:rsid w:val="00455BE8"/>
    <w:rsid w:val="00455CC9"/>
    <w:rsid w:val="00460826"/>
    <w:rsid w:val="00460EA7"/>
    <w:rsid w:val="0046195B"/>
    <w:rsid w:val="00462344"/>
    <w:rsid w:val="0046362D"/>
    <w:rsid w:val="0046596D"/>
    <w:rsid w:val="00487C04"/>
    <w:rsid w:val="004907E1"/>
    <w:rsid w:val="004A035B"/>
    <w:rsid w:val="004A2108"/>
    <w:rsid w:val="004A38D7"/>
    <w:rsid w:val="004A778C"/>
    <w:rsid w:val="004B48C7"/>
    <w:rsid w:val="004C2E6A"/>
    <w:rsid w:val="004C4537"/>
    <w:rsid w:val="004C64B8"/>
    <w:rsid w:val="004D2A2D"/>
    <w:rsid w:val="004D479F"/>
    <w:rsid w:val="004D6689"/>
    <w:rsid w:val="004E1D1D"/>
    <w:rsid w:val="004E7AC8"/>
    <w:rsid w:val="004F0C94"/>
    <w:rsid w:val="004F280F"/>
    <w:rsid w:val="005019AE"/>
    <w:rsid w:val="005030A0"/>
    <w:rsid w:val="00503749"/>
    <w:rsid w:val="00504CF4"/>
    <w:rsid w:val="005058B6"/>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18CB"/>
    <w:rsid w:val="005763E0"/>
    <w:rsid w:val="00581136"/>
    <w:rsid w:val="00581EB8"/>
    <w:rsid w:val="0059506E"/>
    <w:rsid w:val="005A27CA"/>
    <w:rsid w:val="005A43BD"/>
    <w:rsid w:val="005A79E5"/>
    <w:rsid w:val="005D034C"/>
    <w:rsid w:val="005D1F57"/>
    <w:rsid w:val="005D39C5"/>
    <w:rsid w:val="005E226E"/>
    <w:rsid w:val="005E2636"/>
    <w:rsid w:val="005E566B"/>
    <w:rsid w:val="005E63C3"/>
    <w:rsid w:val="005E6D01"/>
    <w:rsid w:val="005F1CD9"/>
    <w:rsid w:val="005F77FC"/>
    <w:rsid w:val="006015D7"/>
    <w:rsid w:val="00601B21"/>
    <w:rsid w:val="006041F0"/>
    <w:rsid w:val="00605C6D"/>
    <w:rsid w:val="00606D32"/>
    <w:rsid w:val="006120CA"/>
    <w:rsid w:val="00624174"/>
    <w:rsid w:val="00626CF8"/>
    <w:rsid w:val="006273A4"/>
    <w:rsid w:val="006314AF"/>
    <w:rsid w:val="00634ED8"/>
    <w:rsid w:val="00636D7D"/>
    <w:rsid w:val="00637408"/>
    <w:rsid w:val="00642868"/>
    <w:rsid w:val="006462AB"/>
    <w:rsid w:val="00647AFE"/>
    <w:rsid w:val="006512BC"/>
    <w:rsid w:val="00651CC6"/>
    <w:rsid w:val="006525EA"/>
    <w:rsid w:val="00653A5A"/>
    <w:rsid w:val="006554AC"/>
    <w:rsid w:val="006575F4"/>
    <w:rsid w:val="006579E6"/>
    <w:rsid w:val="00660682"/>
    <w:rsid w:val="00660F74"/>
    <w:rsid w:val="00663EDC"/>
    <w:rsid w:val="00667E20"/>
    <w:rsid w:val="00671078"/>
    <w:rsid w:val="00672C2F"/>
    <w:rsid w:val="006756C6"/>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931"/>
    <w:rsid w:val="006F4D9C"/>
    <w:rsid w:val="0070091D"/>
    <w:rsid w:val="00702854"/>
    <w:rsid w:val="0071741C"/>
    <w:rsid w:val="00742B90"/>
    <w:rsid w:val="0074317D"/>
    <w:rsid w:val="0074434D"/>
    <w:rsid w:val="007570C4"/>
    <w:rsid w:val="007605B8"/>
    <w:rsid w:val="00771538"/>
    <w:rsid w:val="00771B1E"/>
    <w:rsid w:val="00773C95"/>
    <w:rsid w:val="0078171E"/>
    <w:rsid w:val="00784E74"/>
    <w:rsid w:val="0078658E"/>
    <w:rsid w:val="007920E2"/>
    <w:rsid w:val="0079566E"/>
    <w:rsid w:val="00795B34"/>
    <w:rsid w:val="007A067F"/>
    <w:rsid w:val="007A7C0A"/>
    <w:rsid w:val="007B1770"/>
    <w:rsid w:val="007B4D3E"/>
    <w:rsid w:val="007B7C70"/>
    <w:rsid w:val="007B7DEB"/>
    <w:rsid w:val="007C0449"/>
    <w:rsid w:val="007C12DD"/>
    <w:rsid w:val="007D2151"/>
    <w:rsid w:val="007D3B90"/>
    <w:rsid w:val="007D42CC"/>
    <w:rsid w:val="007D5DE4"/>
    <w:rsid w:val="007D7C3A"/>
    <w:rsid w:val="007E0777"/>
    <w:rsid w:val="007E1341"/>
    <w:rsid w:val="007E1B41"/>
    <w:rsid w:val="007E1EC4"/>
    <w:rsid w:val="007E30B9"/>
    <w:rsid w:val="007E74F1"/>
    <w:rsid w:val="007F0F0C"/>
    <w:rsid w:val="007F1288"/>
    <w:rsid w:val="007F15F6"/>
    <w:rsid w:val="00800A8A"/>
    <w:rsid w:val="0080155C"/>
    <w:rsid w:val="00804DE8"/>
    <w:rsid w:val="008052E1"/>
    <w:rsid w:val="00822F2C"/>
    <w:rsid w:val="00823DEE"/>
    <w:rsid w:val="008241B4"/>
    <w:rsid w:val="008305E8"/>
    <w:rsid w:val="00836165"/>
    <w:rsid w:val="0084640C"/>
    <w:rsid w:val="00854AB9"/>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5D4C"/>
    <w:rsid w:val="008D74D5"/>
    <w:rsid w:val="008E0ED1"/>
    <w:rsid w:val="008E1FE9"/>
    <w:rsid w:val="008E3A07"/>
    <w:rsid w:val="008E537B"/>
    <w:rsid w:val="008E7A08"/>
    <w:rsid w:val="008F29BE"/>
    <w:rsid w:val="008F2B72"/>
    <w:rsid w:val="008F4AE5"/>
    <w:rsid w:val="008F51EB"/>
    <w:rsid w:val="008F6818"/>
    <w:rsid w:val="00900197"/>
    <w:rsid w:val="00902F55"/>
    <w:rsid w:val="0090582B"/>
    <w:rsid w:val="009060C0"/>
    <w:rsid w:val="009067BF"/>
    <w:rsid w:val="009114A2"/>
    <w:rsid w:val="009133F5"/>
    <w:rsid w:val="0091756F"/>
    <w:rsid w:val="00920A27"/>
    <w:rsid w:val="00921216"/>
    <w:rsid w:val="009216CC"/>
    <w:rsid w:val="00925EA5"/>
    <w:rsid w:val="00926083"/>
    <w:rsid w:val="00930D08"/>
    <w:rsid w:val="00931466"/>
    <w:rsid w:val="00932D69"/>
    <w:rsid w:val="00934CBF"/>
    <w:rsid w:val="00935589"/>
    <w:rsid w:val="0093779E"/>
    <w:rsid w:val="00944647"/>
    <w:rsid w:val="0095565C"/>
    <w:rsid w:val="00964AB6"/>
    <w:rsid w:val="00966F9A"/>
    <w:rsid w:val="00977B8A"/>
    <w:rsid w:val="00982971"/>
    <w:rsid w:val="009845AD"/>
    <w:rsid w:val="00984835"/>
    <w:rsid w:val="009849E0"/>
    <w:rsid w:val="0098639B"/>
    <w:rsid w:val="009933EF"/>
    <w:rsid w:val="009951E6"/>
    <w:rsid w:val="00995BA0"/>
    <w:rsid w:val="009A04B0"/>
    <w:rsid w:val="009A418B"/>
    <w:rsid w:val="009A426F"/>
    <w:rsid w:val="009A42D5"/>
    <w:rsid w:val="009A4473"/>
    <w:rsid w:val="009B05C9"/>
    <w:rsid w:val="009B286C"/>
    <w:rsid w:val="009B31BF"/>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1CA7"/>
    <w:rsid w:val="00A4201A"/>
    <w:rsid w:val="00A5465D"/>
    <w:rsid w:val="00A553CE"/>
    <w:rsid w:val="00A5677A"/>
    <w:rsid w:val="00A56DCC"/>
    <w:rsid w:val="00A625E8"/>
    <w:rsid w:val="00A63DFF"/>
    <w:rsid w:val="00A6490D"/>
    <w:rsid w:val="00A7415D"/>
    <w:rsid w:val="00A80363"/>
    <w:rsid w:val="00A80939"/>
    <w:rsid w:val="00A83CCA"/>
    <w:rsid w:val="00A83E9D"/>
    <w:rsid w:val="00A87C05"/>
    <w:rsid w:val="00A9169D"/>
    <w:rsid w:val="00A94FFE"/>
    <w:rsid w:val="00A969C4"/>
    <w:rsid w:val="00AA240C"/>
    <w:rsid w:val="00AB1263"/>
    <w:rsid w:val="00AC101C"/>
    <w:rsid w:val="00AD26BA"/>
    <w:rsid w:val="00AD4CF1"/>
    <w:rsid w:val="00AD5988"/>
    <w:rsid w:val="00AD6293"/>
    <w:rsid w:val="00AE30BB"/>
    <w:rsid w:val="00AE55DC"/>
    <w:rsid w:val="00AF1BA8"/>
    <w:rsid w:val="00AF7800"/>
    <w:rsid w:val="00B00CF5"/>
    <w:rsid w:val="00B072E0"/>
    <w:rsid w:val="00B1007E"/>
    <w:rsid w:val="00B253F6"/>
    <w:rsid w:val="00B26675"/>
    <w:rsid w:val="00B26F0F"/>
    <w:rsid w:val="00B305DB"/>
    <w:rsid w:val="00B332F8"/>
    <w:rsid w:val="00B3492B"/>
    <w:rsid w:val="00B41E50"/>
    <w:rsid w:val="00B4646F"/>
    <w:rsid w:val="00B539D9"/>
    <w:rsid w:val="00B55C7D"/>
    <w:rsid w:val="00B63038"/>
    <w:rsid w:val="00B64BD8"/>
    <w:rsid w:val="00B701D1"/>
    <w:rsid w:val="00B70C79"/>
    <w:rsid w:val="00B73AF2"/>
    <w:rsid w:val="00B7551A"/>
    <w:rsid w:val="00B773F1"/>
    <w:rsid w:val="00B86AB1"/>
    <w:rsid w:val="00B86C90"/>
    <w:rsid w:val="00B93A38"/>
    <w:rsid w:val="00B97F07"/>
    <w:rsid w:val="00BA5826"/>
    <w:rsid w:val="00BA7EBA"/>
    <w:rsid w:val="00BB2A06"/>
    <w:rsid w:val="00BB2CBB"/>
    <w:rsid w:val="00BB4198"/>
    <w:rsid w:val="00BC03EE"/>
    <w:rsid w:val="00BC59F1"/>
    <w:rsid w:val="00BF3DE1"/>
    <w:rsid w:val="00BF4843"/>
    <w:rsid w:val="00BF5205"/>
    <w:rsid w:val="00C05132"/>
    <w:rsid w:val="00C12190"/>
    <w:rsid w:val="00C12508"/>
    <w:rsid w:val="00C23728"/>
    <w:rsid w:val="00C3026C"/>
    <w:rsid w:val="00C313A9"/>
    <w:rsid w:val="00C441CF"/>
    <w:rsid w:val="00C45AA2"/>
    <w:rsid w:val="00C4792C"/>
    <w:rsid w:val="00C55BEF"/>
    <w:rsid w:val="00C56F8D"/>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2402"/>
    <w:rsid w:val="00D05D74"/>
    <w:rsid w:val="00D2055E"/>
    <w:rsid w:val="00D20C59"/>
    <w:rsid w:val="00D23323"/>
    <w:rsid w:val="00D2392A"/>
    <w:rsid w:val="00D25FFE"/>
    <w:rsid w:val="00D30BBE"/>
    <w:rsid w:val="00D37D80"/>
    <w:rsid w:val="00D40D3F"/>
    <w:rsid w:val="00D4476F"/>
    <w:rsid w:val="00D50573"/>
    <w:rsid w:val="00D54D50"/>
    <w:rsid w:val="00D560B4"/>
    <w:rsid w:val="00D662F8"/>
    <w:rsid w:val="00D66797"/>
    <w:rsid w:val="00D70210"/>
    <w:rsid w:val="00D7074B"/>
    <w:rsid w:val="00D7087C"/>
    <w:rsid w:val="00D70C3C"/>
    <w:rsid w:val="00D71DF7"/>
    <w:rsid w:val="00D728CA"/>
    <w:rsid w:val="00D72BE5"/>
    <w:rsid w:val="00D81462"/>
    <w:rsid w:val="00D82F26"/>
    <w:rsid w:val="00D863D0"/>
    <w:rsid w:val="00D86B00"/>
    <w:rsid w:val="00D86FB9"/>
    <w:rsid w:val="00D87C87"/>
    <w:rsid w:val="00D90BB4"/>
    <w:rsid w:val="00D90E07"/>
    <w:rsid w:val="00D932C2"/>
    <w:rsid w:val="00DB20AC"/>
    <w:rsid w:val="00DB39CF"/>
    <w:rsid w:val="00DB4645"/>
    <w:rsid w:val="00DB7256"/>
    <w:rsid w:val="00DC0401"/>
    <w:rsid w:val="00DC20BD"/>
    <w:rsid w:val="00DD0BCD"/>
    <w:rsid w:val="00DD447A"/>
    <w:rsid w:val="00DE3B20"/>
    <w:rsid w:val="00DE5AD9"/>
    <w:rsid w:val="00DE6C94"/>
    <w:rsid w:val="00DE6FD7"/>
    <w:rsid w:val="00DF7E5D"/>
    <w:rsid w:val="00E02D27"/>
    <w:rsid w:val="00E23271"/>
    <w:rsid w:val="00E24F80"/>
    <w:rsid w:val="00E259F3"/>
    <w:rsid w:val="00E30985"/>
    <w:rsid w:val="00E30FD9"/>
    <w:rsid w:val="00E33238"/>
    <w:rsid w:val="00E376B7"/>
    <w:rsid w:val="00E42F5D"/>
    <w:rsid w:val="00E4486C"/>
    <w:rsid w:val="00E460B6"/>
    <w:rsid w:val="00E511D5"/>
    <w:rsid w:val="00E53A9F"/>
    <w:rsid w:val="00E5730E"/>
    <w:rsid w:val="00E60249"/>
    <w:rsid w:val="00E61A6E"/>
    <w:rsid w:val="00E65269"/>
    <w:rsid w:val="00E71B08"/>
    <w:rsid w:val="00E76D66"/>
    <w:rsid w:val="00E812F4"/>
    <w:rsid w:val="00EA796A"/>
    <w:rsid w:val="00EB1856"/>
    <w:rsid w:val="00EC0CFD"/>
    <w:rsid w:val="00EC50CE"/>
    <w:rsid w:val="00EC5B34"/>
    <w:rsid w:val="00ED021E"/>
    <w:rsid w:val="00ED323C"/>
    <w:rsid w:val="00EE2D5C"/>
    <w:rsid w:val="00EE4ADE"/>
    <w:rsid w:val="00EE4DE8"/>
    <w:rsid w:val="00EE5CB7"/>
    <w:rsid w:val="00F024FE"/>
    <w:rsid w:val="00F0406C"/>
    <w:rsid w:val="00F0488E"/>
    <w:rsid w:val="00F05AD4"/>
    <w:rsid w:val="00F10DDC"/>
    <w:rsid w:val="00F10EB6"/>
    <w:rsid w:val="00F13F07"/>
    <w:rsid w:val="00F140B2"/>
    <w:rsid w:val="00F25970"/>
    <w:rsid w:val="00F27B6F"/>
    <w:rsid w:val="00F311A9"/>
    <w:rsid w:val="00F372A0"/>
    <w:rsid w:val="00F5180D"/>
    <w:rsid w:val="00F63781"/>
    <w:rsid w:val="00F67496"/>
    <w:rsid w:val="00F7412C"/>
    <w:rsid w:val="00F801BA"/>
    <w:rsid w:val="00F869BE"/>
    <w:rsid w:val="00F9366A"/>
    <w:rsid w:val="00F946C9"/>
    <w:rsid w:val="00FA0EA5"/>
    <w:rsid w:val="00FA74EE"/>
    <w:rsid w:val="00FB0ECB"/>
    <w:rsid w:val="00FB237A"/>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16455D"/>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16455D"/>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16455D"/>
    <w:rPr>
      <w:rFonts w:ascii="Segoe UI" w:hAnsi="Segoe UI"/>
      <w:b/>
      <w:lang w:eastAsia="en-GB"/>
    </w:rPr>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styleId="UnresolvedMention">
    <w:name w:val="Unresolved Mention"/>
    <w:basedOn w:val="DefaultParagraphFont"/>
    <w:uiPriority w:val="99"/>
    <w:semiHidden/>
    <w:unhideWhenUsed/>
    <w:rsid w:val="00D02402"/>
    <w:rPr>
      <w:color w:val="605E5C"/>
      <w:shd w:val="clear" w:color="auto" w:fill="E1DFDD"/>
    </w:rPr>
  </w:style>
  <w:style w:type="paragraph" w:styleId="CommentText">
    <w:name w:val="annotation text"/>
    <w:basedOn w:val="Normal"/>
    <w:link w:val="CommentTextChar"/>
    <w:uiPriority w:val="99"/>
    <w:unhideWhenUsed/>
    <w:rsid w:val="001236DF"/>
    <w:rPr>
      <w:sz w:val="20"/>
    </w:rPr>
  </w:style>
  <w:style w:type="character" w:customStyle="1" w:styleId="CommentTextChar">
    <w:name w:val="Comment Text Char"/>
    <w:basedOn w:val="DefaultParagraphFont"/>
    <w:link w:val="CommentText"/>
    <w:uiPriority w:val="99"/>
    <w:rsid w:val="001236DF"/>
    <w:rPr>
      <w:rFonts w:ascii="Segoe UI" w:hAnsi="Segoe UI"/>
      <w:lang w:eastAsia="en-GB"/>
    </w:rPr>
  </w:style>
  <w:style w:type="paragraph" w:styleId="TOCHeading">
    <w:name w:val="TOC Heading"/>
    <w:basedOn w:val="Heading1"/>
    <w:next w:val="Normal"/>
    <w:uiPriority w:val="39"/>
    <w:unhideWhenUsed/>
    <w:qFormat/>
    <w:rsid w:val="001236DF"/>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ableofFigures">
    <w:name w:val="table of figures"/>
    <w:basedOn w:val="Normal"/>
    <w:next w:val="Normal"/>
    <w:uiPriority w:val="99"/>
    <w:unhideWhenUsed/>
    <w:rsid w:val="001236DF"/>
  </w:style>
  <w:style w:type="paragraph" w:styleId="ListParagraph">
    <w:name w:val="List Paragraph"/>
    <w:basedOn w:val="Normal"/>
    <w:uiPriority w:val="34"/>
    <w:qFormat/>
    <w:rsid w:val="001236D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uiPriority w:val="99"/>
    <w:semiHidden/>
    <w:rsid w:val="001236DF"/>
    <w:rPr>
      <w:rFonts w:ascii="Segoe UI" w:hAnsi="Segoe UI"/>
      <w:b/>
      <w:bCs/>
      <w:lang w:eastAsia="en-GB"/>
    </w:rPr>
  </w:style>
  <w:style w:type="paragraph" w:styleId="CommentSubject">
    <w:name w:val="annotation subject"/>
    <w:basedOn w:val="CommentText"/>
    <w:next w:val="CommentText"/>
    <w:link w:val="CommentSubjectChar"/>
    <w:uiPriority w:val="99"/>
    <w:semiHidden/>
    <w:unhideWhenUsed/>
    <w:rsid w:val="001236DF"/>
    <w:rPr>
      <w:b/>
      <w:bCs/>
    </w:rPr>
  </w:style>
  <w:style w:type="paragraph" w:styleId="ListBullet">
    <w:name w:val="List Bullet"/>
    <w:basedOn w:val="Normal"/>
    <w:uiPriority w:val="99"/>
    <w:unhideWhenUsed/>
    <w:rsid w:val="001236DF"/>
    <w:pPr>
      <w:numPr>
        <w:numId w:val="35"/>
      </w:numPr>
      <w:contextualSpacing/>
    </w:pPr>
  </w:style>
  <w:style w:type="paragraph" w:styleId="Subtitle">
    <w:name w:val="Subtitle"/>
    <w:basedOn w:val="Normal"/>
    <w:next w:val="Normal"/>
    <w:link w:val="SubtitleChar"/>
    <w:uiPriority w:val="11"/>
    <w:qFormat/>
    <w:rsid w:val="001236DF"/>
    <w:pPr>
      <w:numPr>
        <w:ilvl w:val="1"/>
      </w:numPr>
      <w:spacing w:after="160"/>
    </w:pPr>
    <w:rPr>
      <w:rFonts w:asciiTheme="minorHAnsi" w:eastAsiaTheme="minorEastAsia" w:hAnsiTheme="minorHAnsi" w:cstheme="minorBidi"/>
      <w:color w:val="5A5A5A" w:themeColor="text1" w:themeTint="A5"/>
      <w:spacing w:val="15"/>
      <w:sz w:val="36"/>
      <w:szCs w:val="22"/>
    </w:rPr>
  </w:style>
  <w:style w:type="character" w:customStyle="1" w:styleId="SubtitleChar">
    <w:name w:val="Subtitle Char"/>
    <w:basedOn w:val="DefaultParagraphFont"/>
    <w:link w:val="Subtitle"/>
    <w:uiPriority w:val="11"/>
    <w:rsid w:val="001236DF"/>
    <w:rPr>
      <w:rFonts w:asciiTheme="minorHAnsi" w:eastAsiaTheme="minorEastAsia" w:hAnsiTheme="minorHAnsi" w:cstheme="minorBidi"/>
      <w:color w:val="5A5A5A" w:themeColor="text1" w:themeTint="A5"/>
      <w:spacing w:val="15"/>
      <w:sz w:val="36"/>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8.xml"/><Relationship Id="rId39" Type="http://schemas.openxmlformats.org/officeDocument/2006/relationships/chart" Target="charts/chart12.xml"/><Relationship Id="rId21" Type="http://schemas.openxmlformats.org/officeDocument/2006/relationships/footer" Target="footer5.xml"/><Relationship Id="rId34" Type="http://schemas.openxmlformats.org/officeDocument/2006/relationships/chart" Target="charts/chart7.xml"/><Relationship Id="rId42" Type="http://schemas.openxmlformats.org/officeDocument/2006/relationships/chart" Target="charts/chart15.xml"/><Relationship Id="rId47" Type="http://schemas.openxmlformats.org/officeDocument/2006/relationships/chart" Target="charts/chart20.xml"/><Relationship Id="rId50" Type="http://schemas.openxmlformats.org/officeDocument/2006/relationships/chart" Target="charts/chart23.xml"/><Relationship Id="rId55" Type="http://schemas.openxmlformats.org/officeDocument/2006/relationships/chart" Target="charts/chart28.xml"/><Relationship Id="rId63" Type="http://schemas.openxmlformats.org/officeDocument/2006/relationships/chart" Target="charts/chart36.xml"/><Relationship Id="rId68" Type="http://schemas.openxmlformats.org/officeDocument/2006/relationships/hyperlink" Target="http://www.health.govt.nz" TargetMode="External"/><Relationship Id="rId76" Type="http://schemas.openxmlformats.org/officeDocument/2006/relationships/chart" Target="charts/chart48.xm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chart" Target="charts/chart43.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chart" Target="charts/chart2.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chart" Target="charts/chart13.xml"/><Relationship Id="rId45" Type="http://schemas.openxmlformats.org/officeDocument/2006/relationships/chart" Target="charts/chart18.xml"/><Relationship Id="rId53" Type="http://schemas.openxmlformats.org/officeDocument/2006/relationships/chart" Target="charts/chart26.xml"/><Relationship Id="rId58" Type="http://schemas.openxmlformats.org/officeDocument/2006/relationships/chart" Target="charts/chart31.xml"/><Relationship Id="rId66" Type="http://schemas.openxmlformats.org/officeDocument/2006/relationships/chart" Target="charts/chart39.xml"/><Relationship Id="rId74" Type="http://schemas.openxmlformats.org/officeDocument/2006/relationships/chart" Target="charts/chart46.xml"/><Relationship Id="rId79" Type="http://schemas.openxmlformats.org/officeDocument/2006/relationships/hyperlink" Target="https://www.health.govt.nz" TargetMode="External"/><Relationship Id="rId5" Type="http://schemas.openxmlformats.org/officeDocument/2006/relationships/numbering" Target="numbering.xml"/><Relationship Id="rId61" Type="http://schemas.openxmlformats.org/officeDocument/2006/relationships/chart" Target="charts/chart34.xml"/><Relationship Id="rId82"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chart" Target="charts/chart4.xml"/><Relationship Id="rId44" Type="http://schemas.openxmlformats.org/officeDocument/2006/relationships/chart" Target="charts/chart17.xml"/><Relationship Id="rId52" Type="http://schemas.openxmlformats.org/officeDocument/2006/relationships/chart" Target="charts/chart25.xml"/><Relationship Id="rId60" Type="http://schemas.openxmlformats.org/officeDocument/2006/relationships/chart" Target="charts/chart33.xml"/><Relationship Id="rId65" Type="http://schemas.openxmlformats.org/officeDocument/2006/relationships/chart" Target="charts/chart38.xml"/><Relationship Id="rId73" Type="http://schemas.openxmlformats.org/officeDocument/2006/relationships/chart" Target="charts/chart45.xml"/><Relationship Id="rId78" Type="http://schemas.openxmlformats.org/officeDocument/2006/relationships/chart" Target="charts/chart50.xml"/><Relationship Id="rId8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chart" Target="charts/chart3.xml"/><Relationship Id="rId35" Type="http://schemas.openxmlformats.org/officeDocument/2006/relationships/chart" Target="charts/chart8.xml"/><Relationship Id="rId43" Type="http://schemas.openxmlformats.org/officeDocument/2006/relationships/chart" Target="charts/chart16.xml"/><Relationship Id="rId48" Type="http://schemas.openxmlformats.org/officeDocument/2006/relationships/chart" Target="charts/chart21.xml"/><Relationship Id="rId56" Type="http://schemas.openxmlformats.org/officeDocument/2006/relationships/chart" Target="charts/chart29.xml"/><Relationship Id="rId64" Type="http://schemas.openxmlformats.org/officeDocument/2006/relationships/chart" Target="charts/chart37.xml"/><Relationship Id="rId69" Type="http://schemas.openxmlformats.org/officeDocument/2006/relationships/chart" Target="charts/chart41.xml"/><Relationship Id="rId77" Type="http://schemas.openxmlformats.org/officeDocument/2006/relationships/chart" Target="charts/chart49.xml"/><Relationship Id="rId8" Type="http://schemas.openxmlformats.org/officeDocument/2006/relationships/webSettings" Target="webSettings.xml"/><Relationship Id="rId51" Type="http://schemas.openxmlformats.org/officeDocument/2006/relationships/chart" Target="charts/chart24.xml"/><Relationship Id="rId72" Type="http://schemas.openxmlformats.org/officeDocument/2006/relationships/chart" Target="charts/chart44.xml"/><Relationship Id="rId80"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govt.nz/our-work/mental-health-and-addiction/mental-health-and-addiction-monitoring-reporting-and-data" TargetMode="External"/><Relationship Id="rId25" Type="http://schemas.openxmlformats.org/officeDocument/2006/relationships/footer" Target="footer7.xml"/><Relationship Id="rId33" Type="http://schemas.openxmlformats.org/officeDocument/2006/relationships/chart" Target="charts/chart6.xml"/><Relationship Id="rId38" Type="http://schemas.openxmlformats.org/officeDocument/2006/relationships/chart" Target="charts/chart11.xml"/><Relationship Id="rId46" Type="http://schemas.openxmlformats.org/officeDocument/2006/relationships/chart" Target="charts/chart19.xml"/><Relationship Id="rId59" Type="http://schemas.openxmlformats.org/officeDocument/2006/relationships/chart" Target="charts/chart32.xml"/><Relationship Id="rId67" Type="http://schemas.openxmlformats.org/officeDocument/2006/relationships/chart" Target="charts/chart40.xml"/><Relationship Id="rId20" Type="http://schemas.openxmlformats.org/officeDocument/2006/relationships/footer" Target="footer4.xml"/><Relationship Id="rId41" Type="http://schemas.openxmlformats.org/officeDocument/2006/relationships/chart" Target="charts/chart14.xml"/><Relationship Id="rId54" Type="http://schemas.openxmlformats.org/officeDocument/2006/relationships/chart" Target="charts/chart27.xml"/><Relationship Id="rId62" Type="http://schemas.openxmlformats.org/officeDocument/2006/relationships/chart" Target="charts/chart35.xml"/><Relationship Id="rId70" Type="http://schemas.openxmlformats.org/officeDocument/2006/relationships/chart" Target="charts/chart42.xml"/><Relationship Id="rId75" Type="http://schemas.openxmlformats.org/officeDocument/2006/relationships/chart" Target="charts/chart47.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chart" Target="charts/chart1.xml"/><Relationship Id="rId36" Type="http://schemas.openxmlformats.org/officeDocument/2006/relationships/chart" Target="charts/chart9.xml"/><Relationship Id="rId49" Type="http://schemas.openxmlformats.org/officeDocument/2006/relationships/chart" Target="charts/chart22.xml"/><Relationship Id="rId57" Type="http://schemas.openxmlformats.org/officeDocument/2006/relationships/chart" Target="charts/chart30.xml"/></Relationships>
</file>

<file path=word/_rels/footnotes.xml.rels><?xml version="1.0" encoding="UTF-8" standalone="yes"?>
<Relationships xmlns="http://schemas.openxmlformats.org/package/2006/relationships"><Relationship Id="rId3" Type="http://schemas.openxmlformats.org/officeDocument/2006/relationships/hyperlink" Target="http://www.hqsc.govt.nz/our-programmes/adverse-events/national-adverse-events-policy/" TargetMode="External"/><Relationship Id="rId7" Type="http://schemas.openxmlformats.org/officeDocument/2006/relationships/hyperlink" Target="http://www.health.govt.nz/publication/specialist-opioid-substitution-treatment-ost-service-audit-and-review-tool" TargetMode="External"/><Relationship Id="rId2" Type="http://schemas.openxmlformats.org/officeDocument/2006/relationships/hyperlink" Target="http://www.health.govt.nz/system/files/documents/publications/night-safety-procedures-transitional-guideline-feb18.pdf" TargetMode="External"/><Relationship Id="rId1" Type="http://schemas.openxmlformats.org/officeDocument/2006/relationships/hyperlink" Target="http://www.moh.govt.nz/notebook/nbbooks.nsf/0/FD5F690DFDAAD3EACC25737F007C2720/$file/nightsafety.pdf" TargetMode="External"/><Relationship Id="rId6" Type="http://schemas.openxmlformats.org/officeDocument/2006/relationships/hyperlink" Target="http://www.health.govt.nz/publication/new-zealand-practice-guidelines-opioid-substitution-treatment-2014" TargetMode="External"/><Relationship Id="rId5" Type="http://schemas.openxmlformats.org/officeDocument/2006/relationships/hyperlink" Target="https://gazette.govt.nz/" TargetMode="External"/><Relationship Id="rId4" Type="http://schemas.openxmlformats.org/officeDocument/2006/relationships/hyperlink" Target="http://www.health.govt.nz/new-zealand-health-system/key-health-sector-organisations-and-people/mental-health-review-tribu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MNTFP\Group\Mental%20Health%20Protection%20Team\Annual%20Reports\Regulatory%20Report%202020-21\Data\Annual%20Report%20Data%202020-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15.xml.rels><?xml version="1.0" encoding="UTF-8" standalone="yes"?>
<Relationships xmlns="http://schemas.openxmlformats.org/package/2006/relationships"><Relationship Id="rId3" Type="http://schemas.openxmlformats.org/officeDocument/2006/relationships/oleObject" Target="file:///\\WMNTFP\Group\Mental%20Health%20Protection%20Team\Annual%20Reports\Regulatory%20Report%202020-21\Manual%20data%20from%20ODMHAS\ODMHAS%207a%20consultation%202020-21.xlsx" TargetMode="External"/><Relationship Id="rId2" Type="http://schemas.microsoft.com/office/2011/relationships/chartColorStyle" Target="colors6.xml"/><Relationship Id="rId1" Type="http://schemas.microsoft.com/office/2011/relationships/chartStyle" Target="style6.xml"/></Relationships>
</file>

<file path=word/charts/_rels/chart1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1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3" Type="http://schemas.openxmlformats.org/officeDocument/2006/relationships/oleObject" Target="file:///\\WMNTFP\Group\Mental%20Health%20Protection%20Team\Annual%20Reports\Regulatory%20Report%202020-21\Data\Annual%20Report%20Data%202020-2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WMNTFP\Group\Mental%20Health%20Protection%20Team\Annual%20Reports\Regulatory%20Report%202020-21\Data\Annual%20Report%20Data%202020-21.xlsx" TargetMode="External"/><Relationship Id="rId2" Type="http://schemas.microsoft.com/office/2011/relationships/chartColorStyle" Target="colors9.xml"/><Relationship Id="rId1" Type="http://schemas.microsoft.com/office/2011/relationships/chartStyle" Target="style9.xml"/></Relationships>
</file>

<file path=word/charts/_rels/chart2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WMNTFP\Group\Mental%20Health%20Protection%20Team\Annual%20Reports\Regulatory%20Report%202020-21\Data\Annual%20Report%20Data%202020-21.xlsx" TargetMode="External"/><Relationship Id="rId2" Type="http://schemas.microsoft.com/office/2011/relationships/chartColorStyle" Target="colors11.xml"/><Relationship Id="rId1" Type="http://schemas.microsoft.com/office/2011/relationships/chartStyle" Target="style11.xml"/></Relationships>
</file>

<file path=word/charts/_rels/chart3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2.xml"/><Relationship Id="rId1" Type="http://schemas.microsoft.com/office/2011/relationships/chartStyle" Target="style12.xml"/></Relationships>
</file>

<file path=word/charts/_rels/chart3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3.xml"/><Relationship Id="rId1" Type="http://schemas.microsoft.com/office/2011/relationships/chartStyle" Target="style13.xml"/></Relationships>
</file>

<file path=word/charts/_rels/chart3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4.xml.rels><?xml version="1.0" encoding="UTF-8" standalone="yes"?>
<Relationships xmlns="http://schemas.openxmlformats.org/package/2006/relationships"><Relationship Id="rId3" Type="http://schemas.openxmlformats.org/officeDocument/2006/relationships/oleObject" Target="file:///\\WMNTFP\Group\Mental%20Health%20Protection%20Team\Annual%20Reports\Regulatory%20Report%202020-21\Data\Annual%20Report%20Data%202020-21.xlsx" TargetMode="External"/><Relationship Id="rId2" Type="http://schemas.microsoft.com/office/2011/relationships/chartColorStyle" Target="colors14.xml"/><Relationship Id="rId1" Type="http://schemas.microsoft.com/office/2011/relationships/chartStyle" Target="style14.xml"/></Relationships>
</file>

<file path=word/charts/_rels/chart35.xml.rels><?xml version="1.0" encoding="UTF-8" standalone="yes"?>
<Relationships xmlns="http://schemas.openxmlformats.org/package/2006/relationships"><Relationship Id="rId3" Type="http://schemas.openxmlformats.org/officeDocument/2006/relationships/oleObject" Target="file:///\\WMNTFP\Group\Mental%20Health%20Protection%20Team\Annual%20Reports\Regulatory%20Report%202020-21\Data\Annual%20Report%20Data%202020-21.xlsx" TargetMode="External"/><Relationship Id="rId2" Type="http://schemas.microsoft.com/office/2011/relationships/chartColorStyle" Target="colors15.xml"/><Relationship Id="rId1" Type="http://schemas.microsoft.com/office/2011/relationships/chartStyle" Target="style15.xml"/></Relationships>
</file>

<file path=word/charts/_rels/chart36.xml.rels><?xml version="1.0" encoding="UTF-8" standalone="yes"?>
<Relationships xmlns="http://schemas.openxmlformats.org/package/2006/relationships"><Relationship Id="rId3" Type="http://schemas.openxmlformats.org/officeDocument/2006/relationships/oleObject" Target="file:///\\WMNTFP\Group\Mental%20Health%20Protection%20Team\Annual%20Reports\Regulatory%20Report%202020-21\Data\Annual%20Report%20Data%202020-21%20(version%202).xlsx" TargetMode="External"/><Relationship Id="rId2" Type="http://schemas.microsoft.com/office/2011/relationships/chartColorStyle" Target="colors16.xml"/><Relationship Id="rId1" Type="http://schemas.microsoft.com/office/2011/relationships/chartStyle" Target="style16.xml"/></Relationships>
</file>

<file path=word/charts/_rels/chart3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7.xml"/><Relationship Id="rId1" Type="http://schemas.microsoft.com/office/2011/relationships/chartStyle" Target="style17.xml"/></Relationships>
</file>

<file path=word/charts/_rels/chart3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8.xml"/><Relationship Id="rId1" Type="http://schemas.microsoft.com/office/2011/relationships/chartStyle" Target="style18.xml"/></Relationships>
</file>

<file path=word/charts/_rels/chart3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9.xml"/><Relationship Id="rId1" Type="http://schemas.microsoft.com/office/2011/relationships/chartStyle" Target="style19.xml"/></Relationships>
</file>

<file path=word/charts/_rels/chart4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WMNTFP\Group\Mental%20Health%20Protection%20Team\Annual%20Reports\Regulatory%20Report%202020-21\Data\Annual%20Report%20Data%202020-21%20(version%202).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0.xml"/><Relationship Id="rId1" Type="http://schemas.microsoft.com/office/2011/relationships/chartStyle" Target="style20.xml"/></Relationships>
</file>

<file path=word/charts/_rels/chart4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1.xml"/><Relationship Id="rId1" Type="http://schemas.microsoft.com/office/2011/relationships/chartStyle" Target="style21.xml"/></Relationships>
</file>

<file path=word/charts/_rels/chart4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2.xml"/><Relationship Id="rId1" Type="http://schemas.microsoft.com/office/2011/relationships/chartStyle" Target="style22.xml"/></Relationships>
</file>

<file path=word/charts/_rels/chart4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3.xml"/><Relationship Id="rId1" Type="http://schemas.microsoft.com/office/2011/relationships/chartStyle" Target="style23.xml"/></Relationships>
</file>

<file path=word/charts/_rels/chart4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WMNTFP\Group\Mental%20Health%20Protection%20Team\Annual%20Reports\Regulatory%20Report%202020-21\Data\Annual%20Report%20Data%202020-21.xlsx" TargetMode="External"/><Relationship Id="rId2" Type="http://schemas.microsoft.com/office/2011/relationships/chartColorStyle" Target="colors3.xml"/><Relationship Id="rId1" Type="http://schemas.microsoft.com/office/2011/relationships/chartStyle" Target="style3.xml"/></Relationships>
</file>

<file path=word/charts/_rels/chart5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5.xml"/><Relationship Id="rId1" Type="http://schemas.microsoft.com/office/2011/relationships/chartStyle" Target="style25.xml"/></Relationships>
</file>

<file path=word/charts/_rels/chart6.xml.rels><?xml version="1.0" encoding="UTF-8" standalone="yes"?>
<Relationships xmlns="http://schemas.openxmlformats.org/package/2006/relationships"><Relationship Id="rId3" Type="http://schemas.openxmlformats.org/officeDocument/2006/relationships/oleObject" Target="file:///\\WMNTFP\Group\Mental%20Health%20Protection%20Team\Annual%20Reports\Regulatory%20Report%202020-21\Data\Annual%20Report%20Data%202020-21.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843547343687476E-2"/>
          <c:y val="8.4357639727549394E-2"/>
          <c:w val="0.90253142467332614"/>
          <c:h val="0.69227845273175204"/>
        </c:manualLayout>
      </c:layout>
      <c:lineChart>
        <c:grouping val="standard"/>
        <c:varyColors val="0"/>
        <c:ser>
          <c:idx val="0"/>
          <c:order val="0"/>
          <c:tx>
            <c:v>Total applications</c:v>
          </c:tx>
          <c:spPr>
            <a:ln w="28575" cap="rnd">
              <a:solidFill>
                <a:schemeClr val="accent1"/>
              </a:solidFill>
              <a:round/>
            </a:ln>
            <a:effectLst/>
          </c:spPr>
          <c:marker>
            <c:symbol val="none"/>
          </c:marker>
          <c:cat>
            <c:strRef>
              <c:f>Justice!$B$9:$B$25</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Justice!$C$9:$C$25</c:f>
              <c:numCache>
                <c:formatCode>#,##0</c:formatCode>
                <c:ptCount val="17"/>
                <c:pt idx="0">
                  <c:v>4416</c:v>
                </c:pt>
                <c:pt idx="1">
                  <c:v>4299</c:v>
                </c:pt>
                <c:pt idx="2">
                  <c:v>4385</c:v>
                </c:pt>
                <c:pt idx="3">
                  <c:v>4579</c:v>
                </c:pt>
                <c:pt idx="4">
                  <c:v>4570</c:v>
                </c:pt>
                <c:pt idx="5">
                  <c:v>4661</c:v>
                </c:pt>
                <c:pt idx="6">
                  <c:v>4807</c:v>
                </c:pt>
                <c:pt idx="7">
                  <c:v>4838</c:v>
                </c:pt>
                <c:pt idx="8">
                  <c:v>4950</c:v>
                </c:pt>
                <c:pt idx="9">
                  <c:v>5181</c:v>
                </c:pt>
                <c:pt idx="10">
                  <c:v>5184</c:v>
                </c:pt>
                <c:pt idx="11">
                  <c:v>5564</c:v>
                </c:pt>
                <c:pt idx="12">
                  <c:v>5607</c:v>
                </c:pt>
                <c:pt idx="13">
                  <c:v>5570</c:v>
                </c:pt>
                <c:pt idx="14">
                  <c:v>5619</c:v>
                </c:pt>
                <c:pt idx="15">
                  <c:v>5710</c:v>
                </c:pt>
                <c:pt idx="16">
                  <c:v>5902</c:v>
                </c:pt>
              </c:numCache>
            </c:numRef>
          </c:val>
          <c:smooth val="0"/>
          <c:extLst>
            <c:ext xmlns:c16="http://schemas.microsoft.com/office/drawing/2014/chart" uri="{C3380CC4-5D6E-409C-BE32-E72D297353CC}">
              <c16:uniqueId val="{00000000-BF55-45FE-A2F9-FFC3BE4596B2}"/>
            </c:ext>
          </c:extLst>
        </c:ser>
        <c:ser>
          <c:idx val="1"/>
          <c:order val="1"/>
          <c:tx>
            <c:v>Granted applications</c:v>
          </c:tx>
          <c:spPr>
            <a:ln w="28575" cap="rnd">
              <a:solidFill>
                <a:schemeClr val="accent2"/>
              </a:solidFill>
              <a:round/>
            </a:ln>
            <a:effectLst/>
          </c:spPr>
          <c:marker>
            <c:symbol val="none"/>
          </c:marker>
          <c:cat>
            <c:strRef>
              <c:f>Justice!$B$9:$B$25</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Justice!$D$9:$D$25</c:f>
              <c:numCache>
                <c:formatCode>#,##0</c:formatCode>
                <c:ptCount val="17"/>
                <c:pt idx="0">
                  <c:v>3824</c:v>
                </c:pt>
                <c:pt idx="1">
                  <c:v>3635</c:v>
                </c:pt>
                <c:pt idx="2">
                  <c:v>3818</c:v>
                </c:pt>
                <c:pt idx="3">
                  <c:v>3899</c:v>
                </c:pt>
                <c:pt idx="4">
                  <c:v>4003</c:v>
                </c:pt>
                <c:pt idx="5">
                  <c:v>4101</c:v>
                </c:pt>
                <c:pt idx="6">
                  <c:v>4198</c:v>
                </c:pt>
                <c:pt idx="7">
                  <c:v>4272</c:v>
                </c:pt>
                <c:pt idx="8">
                  <c:v>4480</c:v>
                </c:pt>
                <c:pt idx="9">
                  <c:v>4610</c:v>
                </c:pt>
                <c:pt idx="10">
                  <c:v>4629</c:v>
                </c:pt>
                <c:pt idx="11">
                  <c:v>4918</c:v>
                </c:pt>
                <c:pt idx="12">
                  <c:v>4927</c:v>
                </c:pt>
                <c:pt idx="13">
                  <c:v>4959</c:v>
                </c:pt>
                <c:pt idx="14">
                  <c:v>4972</c:v>
                </c:pt>
                <c:pt idx="15">
                  <c:v>5021</c:v>
                </c:pt>
                <c:pt idx="16">
                  <c:v>5241</c:v>
                </c:pt>
              </c:numCache>
            </c:numRef>
          </c:val>
          <c:smooth val="0"/>
          <c:extLst>
            <c:ext xmlns:c16="http://schemas.microsoft.com/office/drawing/2014/chart" uri="{C3380CC4-5D6E-409C-BE32-E72D297353CC}">
              <c16:uniqueId val="{00000001-BF55-45FE-A2F9-FFC3BE4596B2}"/>
            </c:ext>
          </c:extLst>
        </c:ser>
        <c:ser>
          <c:idx val="2"/>
          <c:order val="2"/>
          <c:tx>
            <c:v>Dismissed applications</c:v>
          </c:tx>
          <c:spPr>
            <a:ln w="28575" cap="rnd">
              <a:solidFill>
                <a:schemeClr val="accent3"/>
              </a:solidFill>
              <a:round/>
            </a:ln>
            <a:effectLst/>
          </c:spPr>
          <c:marker>
            <c:symbol val="none"/>
          </c:marker>
          <c:cat>
            <c:strRef>
              <c:f>Justice!$B$9:$B$25</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Justice!$E$9:$E$25</c:f>
              <c:numCache>
                <c:formatCode>General</c:formatCode>
                <c:ptCount val="17"/>
                <c:pt idx="0">
                  <c:v>108</c:v>
                </c:pt>
                <c:pt idx="1">
                  <c:v>114</c:v>
                </c:pt>
                <c:pt idx="2">
                  <c:v>95</c:v>
                </c:pt>
                <c:pt idx="3">
                  <c:v>105</c:v>
                </c:pt>
                <c:pt idx="4">
                  <c:v>76</c:v>
                </c:pt>
                <c:pt idx="5">
                  <c:v>72</c:v>
                </c:pt>
                <c:pt idx="6">
                  <c:v>63</c:v>
                </c:pt>
                <c:pt idx="7">
                  <c:v>69</c:v>
                </c:pt>
                <c:pt idx="8">
                  <c:v>75</c:v>
                </c:pt>
                <c:pt idx="9">
                  <c:v>53</c:v>
                </c:pt>
                <c:pt idx="10">
                  <c:v>55</c:v>
                </c:pt>
                <c:pt idx="11">
                  <c:v>51</c:v>
                </c:pt>
                <c:pt idx="12">
                  <c:v>73</c:v>
                </c:pt>
                <c:pt idx="13">
                  <c:v>74</c:v>
                </c:pt>
                <c:pt idx="14">
                  <c:v>64</c:v>
                </c:pt>
                <c:pt idx="15">
                  <c:v>52</c:v>
                </c:pt>
                <c:pt idx="16">
                  <c:v>62</c:v>
                </c:pt>
              </c:numCache>
            </c:numRef>
          </c:val>
          <c:smooth val="0"/>
          <c:extLst>
            <c:ext xmlns:c16="http://schemas.microsoft.com/office/drawing/2014/chart" uri="{C3380CC4-5D6E-409C-BE32-E72D297353CC}">
              <c16:uniqueId val="{00000002-BF55-45FE-A2F9-FFC3BE4596B2}"/>
            </c:ext>
          </c:extLst>
        </c:ser>
        <c:ser>
          <c:idx val="3"/>
          <c:order val="3"/>
          <c:tx>
            <c:v>Withdrawn applications</c:v>
          </c:tx>
          <c:spPr>
            <a:ln w="28575" cap="rnd">
              <a:solidFill>
                <a:schemeClr val="accent4"/>
              </a:solidFill>
              <a:round/>
            </a:ln>
            <a:effectLst/>
          </c:spPr>
          <c:marker>
            <c:symbol val="none"/>
          </c:marker>
          <c:cat>
            <c:strRef>
              <c:f>Justice!$B$9:$B$25</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Justice!$F$9:$F$25</c:f>
              <c:numCache>
                <c:formatCode>General</c:formatCode>
                <c:ptCount val="17"/>
                <c:pt idx="0">
                  <c:v>496</c:v>
                </c:pt>
                <c:pt idx="1">
                  <c:v>519</c:v>
                </c:pt>
                <c:pt idx="2">
                  <c:v>494</c:v>
                </c:pt>
                <c:pt idx="3">
                  <c:v>540</c:v>
                </c:pt>
                <c:pt idx="4">
                  <c:v>496</c:v>
                </c:pt>
                <c:pt idx="5">
                  <c:v>507</c:v>
                </c:pt>
                <c:pt idx="6">
                  <c:v>542</c:v>
                </c:pt>
                <c:pt idx="7">
                  <c:v>475</c:v>
                </c:pt>
                <c:pt idx="8">
                  <c:v>397</c:v>
                </c:pt>
                <c:pt idx="9">
                  <c:v>522</c:v>
                </c:pt>
                <c:pt idx="10">
                  <c:v>526</c:v>
                </c:pt>
                <c:pt idx="11">
                  <c:v>560</c:v>
                </c:pt>
                <c:pt idx="12">
                  <c:v>563</c:v>
                </c:pt>
                <c:pt idx="13">
                  <c:v>566</c:v>
                </c:pt>
                <c:pt idx="14">
                  <c:v>571</c:v>
                </c:pt>
                <c:pt idx="15">
                  <c:v>622</c:v>
                </c:pt>
                <c:pt idx="16">
                  <c:v>608</c:v>
                </c:pt>
              </c:numCache>
            </c:numRef>
          </c:val>
          <c:smooth val="0"/>
          <c:extLst>
            <c:ext xmlns:c16="http://schemas.microsoft.com/office/drawing/2014/chart" uri="{C3380CC4-5D6E-409C-BE32-E72D297353CC}">
              <c16:uniqueId val="{00000003-BF55-45FE-A2F9-FFC3BE4596B2}"/>
            </c:ext>
          </c:extLst>
        </c:ser>
        <c:dLbls>
          <c:showLegendKey val="0"/>
          <c:showVal val="0"/>
          <c:showCatName val="0"/>
          <c:showSerName val="0"/>
          <c:showPercent val="0"/>
          <c:showBubbleSize val="0"/>
        </c:dLbls>
        <c:smooth val="0"/>
        <c:axId val="728692320"/>
        <c:axId val="728690024"/>
      </c:lineChart>
      <c:catAx>
        <c:axId val="728692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Financial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out"/>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690024"/>
        <c:crosses val="autoZero"/>
        <c:auto val="1"/>
        <c:lblAlgn val="ctr"/>
        <c:lblOffset val="100"/>
        <c:noMultiLvlLbl val="0"/>
      </c:catAx>
      <c:valAx>
        <c:axId val="728690024"/>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a:t>
                </a:r>
              </a:p>
            </c:rich>
          </c:tx>
          <c:layout>
            <c:manualLayout>
              <c:xMode val="edge"/>
              <c:yMode val="edge"/>
              <c:x val="0"/>
              <c:y val="2.5729433360707206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692320"/>
        <c:crosses val="autoZero"/>
        <c:crossBetween val="between"/>
        <c:minorUnit val="500"/>
      </c:valAx>
      <c:spPr>
        <a:noFill/>
        <a:ln>
          <a:noFill/>
        </a:ln>
        <a:effectLst/>
      </c:spPr>
    </c:plotArea>
    <c:legend>
      <c:legendPos val="t"/>
      <c:layout>
        <c:manualLayout>
          <c:xMode val="edge"/>
          <c:yMode val="edge"/>
          <c:x val="0.23721622607785176"/>
          <c:y val="0"/>
          <c:w val="0.76062463313643902"/>
          <c:h val="0.118866842181537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88843061284006"/>
          <c:y val="0.13643413302434187"/>
          <c:w val="0.88048827229929616"/>
          <c:h val="0.77124939650102264"/>
        </c:manualLayout>
      </c:layout>
      <c:barChart>
        <c:barDir val="col"/>
        <c:grouping val="clustered"/>
        <c:varyColors val="0"/>
        <c:ser>
          <c:idx val="0"/>
          <c:order val="0"/>
          <c:tx>
            <c:v>Māori</c:v>
          </c:tx>
          <c:invertIfNegative val="0"/>
          <c:dLbls>
            <c:spPr>
              <a:noFill/>
              <a:ln>
                <a:noFill/>
              </a:ln>
              <a:effectLst/>
            </c:spPr>
            <c:txPr>
              <a:bodyPr wrap="square" lIns="38100" tIns="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'Māori &amp; the MHA'!$B$330:$B$332</c:f>
              <c:strCache>
                <c:ptCount val="3"/>
                <c:pt idx="0">
                  <c:v>Less than 1 year</c:v>
                </c:pt>
                <c:pt idx="1">
                  <c:v>1-2 years</c:v>
                </c:pt>
                <c:pt idx="2">
                  <c:v>2+ years</c:v>
                </c:pt>
              </c:strCache>
            </c:strRef>
          </c:cat>
          <c:val>
            <c:numRef>
              <c:f>'Māori &amp; the MHA'!$C$330:$C$332</c:f>
              <c:numCache>
                <c:formatCode>0%</c:formatCode>
                <c:ptCount val="3"/>
                <c:pt idx="0">
                  <c:v>0.72563585998489044</c:v>
                </c:pt>
                <c:pt idx="1">
                  <c:v>0.10010073029463611</c:v>
                </c:pt>
                <c:pt idx="2">
                  <c:v>0.17426340972047344</c:v>
                </c:pt>
              </c:numCache>
            </c:numRef>
          </c:val>
          <c:extLst>
            <c:ext xmlns:c16="http://schemas.microsoft.com/office/drawing/2014/chart" uri="{C3380CC4-5D6E-409C-BE32-E72D297353CC}">
              <c16:uniqueId val="{00000000-4F45-4C2D-A920-068FED9EB2FA}"/>
            </c:ext>
          </c:extLst>
        </c:ser>
        <c:ser>
          <c:idx val="1"/>
          <c:order val="1"/>
          <c:tx>
            <c:v>Pacific peoples</c:v>
          </c:tx>
          <c:invertIfNegative val="0"/>
          <c:dLbls>
            <c:spPr>
              <a:noFill/>
              <a:ln>
                <a:noFill/>
              </a:ln>
              <a:effectLst/>
            </c:spPr>
            <c:txPr>
              <a:bodyPr wrap="square" lIns="38100" tIns="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'Māori &amp; the MHA'!$B$330:$B$332</c:f>
              <c:strCache>
                <c:ptCount val="3"/>
                <c:pt idx="0">
                  <c:v>Less than 1 year</c:v>
                </c:pt>
                <c:pt idx="1">
                  <c:v>1-2 years</c:v>
                </c:pt>
                <c:pt idx="2">
                  <c:v>2+ years</c:v>
                </c:pt>
              </c:strCache>
            </c:strRef>
          </c:cat>
          <c:val>
            <c:numRef>
              <c:f>'Māori &amp; the MHA'!$D$330:$D$332</c:f>
              <c:numCache>
                <c:formatCode>0%</c:formatCode>
                <c:ptCount val="3"/>
                <c:pt idx="0">
                  <c:v>0.73641173641173641</c:v>
                </c:pt>
                <c:pt idx="1">
                  <c:v>7.9365079365079361E-2</c:v>
                </c:pt>
                <c:pt idx="2">
                  <c:v>0.18422318422318423</c:v>
                </c:pt>
              </c:numCache>
            </c:numRef>
          </c:val>
          <c:extLst>
            <c:ext xmlns:c16="http://schemas.microsoft.com/office/drawing/2014/chart" uri="{C3380CC4-5D6E-409C-BE32-E72D297353CC}">
              <c16:uniqueId val="{00000001-4F45-4C2D-A920-068FED9EB2FA}"/>
            </c:ext>
          </c:extLst>
        </c:ser>
        <c:ser>
          <c:idx val="2"/>
          <c:order val="2"/>
          <c:tx>
            <c:strRef>
              <c:f>'Māori &amp; the MHA'!$E$329</c:f>
              <c:strCache>
                <c:ptCount val="1"/>
                <c:pt idx="0">
                  <c:v>Other</c:v>
                </c:pt>
              </c:strCache>
            </c:strRef>
          </c:tx>
          <c:invertIfNegative val="0"/>
          <c:dLbls>
            <c:spPr>
              <a:noFill/>
              <a:ln>
                <a:noFill/>
              </a:ln>
              <a:effectLst/>
            </c:spPr>
            <c:txPr>
              <a:bodyPr wrap="square" lIns="38100" tIns="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'Māori &amp; the MHA'!$B$330:$B$332</c:f>
              <c:strCache>
                <c:ptCount val="3"/>
                <c:pt idx="0">
                  <c:v>Less than 1 year</c:v>
                </c:pt>
                <c:pt idx="1">
                  <c:v>1-2 years</c:v>
                </c:pt>
                <c:pt idx="2">
                  <c:v>2+ years</c:v>
                </c:pt>
              </c:strCache>
            </c:strRef>
          </c:cat>
          <c:val>
            <c:numRef>
              <c:f>'Māori &amp; the MHA'!$E$330:$E$332</c:f>
              <c:numCache>
                <c:formatCode>0%</c:formatCode>
                <c:ptCount val="3"/>
                <c:pt idx="0">
                  <c:v>0.76384323640960805</c:v>
                </c:pt>
                <c:pt idx="1">
                  <c:v>7.7707543194268855E-2</c:v>
                </c:pt>
                <c:pt idx="2">
                  <c:v>0.15844922039612305</c:v>
                </c:pt>
              </c:numCache>
            </c:numRef>
          </c:val>
          <c:extLst>
            <c:ext xmlns:c16="http://schemas.microsoft.com/office/drawing/2014/chart" uri="{C3380CC4-5D6E-409C-BE32-E72D297353CC}">
              <c16:uniqueId val="{00000002-4F45-4C2D-A920-068FED9EB2FA}"/>
            </c:ext>
          </c:extLst>
        </c:ser>
        <c:dLbls>
          <c:dLblPos val="inEnd"/>
          <c:showLegendKey val="0"/>
          <c:showVal val="1"/>
          <c:showCatName val="0"/>
          <c:showSerName val="0"/>
          <c:showPercent val="0"/>
          <c:showBubbleSize val="0"/>
        </c:dLbls>
        <c:gapWidth val="40"/>
        <c:overlap val="-12"/>
        <c:axId val="209245848"/>
        <c:axId val="209246632"/>
      </c:barChart>
      <c:catAx>
        <c:axId val="209245848"/>
        <c:scaling>
          <c:orientation val="minMax"/>
        </c:scaling>
        <c:delete val="0"/>
        <c:axPos val="b"/>
        <c:numFmt formatCode="General" sourceLinked="0"/>
        <c:majorTickMark val="out"/>
        <c:minorTickMark val="none"/>
        <c:tickLblPos val="nextTo"/>
        <c:spPr>
          <a:ln>
            <a:solidFill>
              <a:schemeClr val="tx1"/>
            </a:solidFill>
          </a:ln>
        </c:spPr>
        <c:crossAx val="209246632"/>
        <c:crosses val="autoZero"/>
        <c:auto val="1"/>
        <c:lblAlgn val="ctr"/>
        <c:lblOffset val="100"/>
        <c:noMultiLvlLbl val="0"/>
      </c:catAx>
      <c:valAx>
        <c:axId val="209246632"/>
        <c:scaling>
          <c:orientation val="minMax"/>
          <c:max val="1"/>
        </c:scaling>
        <c:delete val="0"/>
        <c:axPos val="l"/>
        <c:majorGridlines>
          <c:spPr>
            <a:ln>
              <a:noFill/>
            </a:ln>
          </c:spPr>
        </c:majorGridlines>
        <c:title>
          <c:tx>
            <c:rich>
              <a:bodyPr rot="0" vert="horz"/>
              <a:lstStyle/>
              <a:p>
                <a:pPr algn="l">
                  <a:defRPr b="0"/>
                </a:pPr>
                <a:r>
                  <a:rPr lang="en-NZ" b="0"/>
                  <a:t>Percentage subject to order</a:t>
                </a:r>
              </a:p>
            </c:rich>
          </c:tx>
          <c:layout>
            <c:manualLayout>
              <c:xMode val="edge"/>
              <c:yMode val="edge"/>
              <c:x val="0"/>
              <c:y val="3.8648513417428171E-3"/>
            </c:manualLayout>
          </c:layout>
          <c:overlay val="0"/>
        </c:title>
        <c:numFmt formatCode="0%" sourceLinked="0"/>
        <c:majorTickMark val="out"/>
        <c:minorTickMark val="out"/>
        <c:tickLblPos val="nextTo"/>
        <c:spPr>
          <a:ln>
            <a:solidFill>
              <a:schemeClr val="tx1"/>
            </a:solidFill>
          </a:ln>
        </c:spPr>
        <c:crossAx val="209245848"/>
        <c:crosses val="autoZero"/>
        <c:crossBetween val="between"/>
        <c:minorUnit val="5.000000000000001E-2"/>
      </c:valAx>
    </c:plotArea>
    <c:legend>
      <c:legendPos val="r"/>
      <c:layout>
        <c:manualLayout>
          <c:xMode val="edge"/>
          <c:yMode val="edge"/>
          <c:x val="0.77086572511769358"/>
          <c:y val="4.4211346373222967E-3"/>
          <c:w val="0.22913427488230637"/>
          <c:h val="0.21838885523924895"/>
        </c:manualLayout>
      </c:layout>
      <c:overlay val="0"/>
    </c:legend>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762975192617044E-2"/>
          <c:y val="0.13650603674540682"/>
          <c:w val="0.8973778680890695"/>
          <c:h val="0.77437550306211722"/>
        </c:manualLayout>
      </c:layout>
      <c:barChart>
        <c:barDir val="col"/>
        <c:grouping val="clustered"/>
        <c:varyColors val="0"/>
        <c:ser>
          <c:idx val="0"/>
          <c:order val="0"/>
          <c:tx>
            <c:v>Māori</c:v>
          </c:tx>
          <c:invertIfNegative val="0"/>
          <c:dLbls>
            <c:dLbl>
              <c:idx val="0"/>
              <c:spPr>
                <a:noFill/>
                <a:ln>
                  <a:noFill/>
                </a:ln>
                <a:effectLst/>
              </c:spPr>
              <c:txPr>
                <a:bodyPr wrap="square" lIns="38100" tIns="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CD9B-4352-9158-60ABD316CFDA}"/>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'Māori &amp; the MHA'!$B$651:$B$653</c:f>
              <c:strCache>
                <c:ptCount val="3"/>
                <c:pt idx="0">
                  <c:v>Less than 1 year</c:v>
                </c:pt>
                <c:pt idx="1">
                  <c:v>1-2 years</c:v>
                </c:pt>
                <c:pt idx="2">
                  <c:v>2+ years</c:v>
                </c:pt>
              </c:strCache>
            </c:strRef>
          </c:cat>
          <c:val>
            <c:numRef>
              <c:f>'Māori &amp; the MHA'!$C$651:$C$653</c:f>
              <c:numCache>
                <c:formatCode>0%</c:formatCode>
                <c:ptCount val="3"/>
                <c:pt idx="0">
                  <c:v>0.94783441014596792</c:v>
                </c:pt>
                <c:pt idx="1">
                  <c:v>2.2493419478344101E-2</c:v>
                </c:pt>
                <c:pt idx="2">
                  <c:v>2.9672170375687965E-2</c:v>
                </c:pt>
              </c:numCache>
            </c:numRef>
          </c:val>
          <c:extLst>
            <c:ext xmlns:c16="http://schemas.microsoft.com/office/drawing/2014/chart" uri="{C3380CC4-5D6E-409C-BE32-E72D297353CC}">
              <c16:uniqueId val="{00000001-CD9B-4352-9158-60ABD316CFDA}"/>
            </c:ext>
          </c:extLst>
        </c:ser>
        <c:ser>
          <c:idx val="1"/>
          <c:order val="1"/>
          <c:tx>
            <c:v>Pacific peoples</c:v>
          </c:tx>
          <c:invertIfNegative val="0"/>
          <c:dLbls>
            <c:dLbl>
              <c:idx val="0"/>
              <c:spPr>
                <a:noFill/>
                <a:ln>
                  <a:noFill/>
                </a:ln>
                <a:effectLst/>
              </c:spPr>
              <c:txPr>
                <a:bodyPr wrap="square" lIns="38100" tIns="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CD9B-4352-9158-60ABD316CFDA}"/>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'Māori &amp; the MHA'!$B$651:$B$653</c:f>
              <c:strCache>
                <c:ptCount val="3"/>
                <c:pt idx="0">
                  <c:v>Less than 1 year</c:v>
                </c:pt>
                <c:pt idx="1">
                  <c:v>1-2 years</c:v>
                </c:pt>
                <c:pt idx="2">
                  <c:v>2+ years</c:v>
                </c:pt>
              </c:strCache>
            </c:strRef>
          </c:cat>
          <c:val>
            <c:numRef>
              <c:f>'Māori &amp; the MHA'!$D$651:$D$653</c:f>
              <c:numCache>
                <c:formatCode>0%</c:formatCode>
                <c:ptCount val="3"/>
                <c:pt idx="0">
                  <c:v>0.95013599274705351</c:v>
                </c:pt>
                <c:pt idx="1">
                  <c:v>2.2665457842248413E-2</c:v>
                </c:pt>
                <c:pt idx="2">
                  <c:v>2.7198549410698096E-2</c:v>
                </c:pt>
              </c:numCache>
            </c:numRef>
          </c:val>
          <c:extLst>
            <c:ext xmlns:c16="http://schemas.microsoft.com/office/drawing/2014/chart" uri="{C3380CC4-5D6E-409C-BE32-E72D297353CC}">
              <c16:uniqueId val="{00000003-CD9B-4352-9158-60ABD316CFDA}"/>
            </c:ext>
          </c:extLst>
        </c:ser>
        <c:ser>
          <c:idx val="2"/>
          <c:order val="2"/>
          <c:tx>
            <c:strRef>
              <c:f>'Māori &amp; the MHA'!$E$650</c:f>
              <c:strCache>
                <c:ptCount val="1"/>
                <c:pt idx="0">
                  <c:v>Other</c:v>
                </c:pt>
              </c:strCache>
            </c:strRef>
          </c:tx>
          <c:invertIfNegative val="0"/>
          <c:dLbls>
            <c:dLbl>
              <c:idx val="0"/>
              <c:spPr>
                <a:noFill/>
                <a:ln>
                  <a:noFill/>
                </a:ln>
                <a:effectLst/>
              </c:spPr>
              <c:txPr>
                <a:bodyPr wrap="square" lIns="38100" tIns="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CD9B-4352-9158-60ABD316CFDA}"/>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'Māori &amp; the MHA'!$B$651:$B$653</c:f>
              <c:strCache>
                <c:ptCount val="3"/>
                <c:pt idx="0">
                  <c:v>Less than 1 year</c:v>
                </c:pt>
                <c:pt idx="1">
                  <c:v>1-2 years</c:v>
                </c:pt>
                <c:pt idx="2">
                  <c:v>2+ years</c:v>
                </c:pt>
              </c:strCache>
            </c:strRef>
          </c:cat>
          <c:val>
            <c:numRef>
              <c:f>'Māori &amp; the MHA'!$E$651:$E$653</c:f>
              <c:numCache>
                <c:formatCode>0%</c:formatCode>
                <c:ptCount val="3"/>
                <c:pt idx="0">
                  <c:v>0.95366336633663362</c:v>
                </c:pt>
                <c:pt idx="1">
                  <c:v>1.9537953795379537E-2</c:v>
                </c:pt>
                <c:pt idx="2">
                  <c:v>2.6798679867986799E-2</c:v>
                </c:pt>
              </c:numCache>
            </c:numRef>
          </c:val>
          <c:extLst>
            <c:ext xmlns:c16="http://schemas.microsoft.com/office/drawing/2014/chart" uri="{C3380CC4-5D6E-409C-BE32-E72D297353CC}">
              <c16:uniqueId val="{00000005-CD9B-4352-9158-60ABD316CFDA}"/>
            </c:ext>
          </c:extLst>
        </c:ser>
        <c:dLbls>
          <c:dLblPos val="inEnd"/>
          <c:showLegendKey val="0"/>
          <c:showVal val="1"/>
          <c:showCatName val="0"/>
          <c:showSerName val="0"/>
          <c:showPercent val="0"/>
          <c:showBubbleSize val="0"/>
        </c:dLbls>
        <c:gapWidth val="40"/>
        <c:overlap val="-12"/>
        <c:axId val="209337992"/>
        <c:axId val="209334464"/>
      </c:barChart>
      <c:catAx>
        <c:axId val="209337992"/>
        <c:scaling>
          <c:orientation val="minMax"/>
        </c:scaling>
        <c:delete val="0"/>
        <c:axPos val="b"/>
        <c:numFmt formatCode="General" sourceLinked="0"/>
        <c:majorTickMark val="out"/>
        <c:minorTickMark val="none"/>
        <c:tickLblPos val="nextTo"/>
        <c:spPr>
          <a:ln>
            <a:solidFill>
              <a:schemeClr val="tx1"/>
            </a:solidFill>
          </a:ln>
        </c:spPr>
        <c:crossAx val="209334464"/>
        <c:crosses val="autoZero"/>
        <c:auto val="1"/>
        <c:lblAlgn val="ctr"/>
        <c:lblOffset val="100"/>
        <c:noMultiLvlLbl val="0"/>
      </c:catAx>
      <c:valAx>
        <c:axId val="209334464"/>
        <c:scaling>
          <c:orientation val="minMax"/>
          <c:max val="1"/>
        </c:scaling>
        <c:delete val="0"/>
        <c:axPos val="l"/>
        <c:majorGridlines>
          <c:spPr>
            <a:ln>
              <a:noFill/>
            </a:ln>
          </c:spPr>
        </c:majorGridlines>
        <c:title>
          <c:tx>
            <c:rich>
              <a:bodyPr rot="0" vert="horz"/>
              <a:lstStyle/>
              <a:p>
                <a:pPr algn="l">
                  <a:defRPr b="0"/>
                </a:pPr>
                <a:r>
                  <a:rPr lang="en-NZ" b="0"/>
                  <a:t>Percentage subject to order</a:t>
                </a:r>
              </a:p>
            </c:rich>
          </c:tx>
          <c:layout>
            <c:manualLayout>
              <c:xMode val="edge"/>
              <c:yMode val="edge"/>
              <c:x val="0"/>
              <c:y val="1.5751531058617731E-3"/>
            </c:manualLayout>
          </c:layout>
          <c:overlay val="0"/>
        </c:title>
        <c:numFmt formatCode="0%" sourceLinked="0"/>
        <c:majorTickMark val="out"/>
        <c:minorTickMark val="out"/>
        <c:tickLblPos val="nextTo"/>
        <c:spPr>
          <a:ln>
            <a:solidFill>
              <a:schemeClr val="tx1"/>
            </a:solidFill>
          </a:ln>
        </c:spPr>
        <c:crossAx val="209337992"/>
        <c:crosses val="autoZero"/>
        <c:crossBetween val="between"/>
        <c:majorUnit val="0.1"/>
        <c:minorUnit val="5.000000000000001E-2"/>
      </c:valAx>
    </c:plotArea>
    <c:legend>
      <c:legendPos val="tr"/>
      <c:layout>
        <c:manualLayout>
          <c:xMode val="edge"/>
          <c:yMode val="edge"/>
          <c:x val="0.75741977817288964"/>
          <c:y val="2.6666666666666668E-2"/>
          <c:w val="0.22645118956904581"/>
          <c:h val="0.21888328958880135"/>
        </c:manualLayout>
      </c:layout>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7781666611416541E-2"/>
          <c:y val="7.1051562103124202E-2"/>
          <c:w val="0.93784430281025422"/>
          <c:h val="0.54823328535545957"/>
        </c:manualLayout>
      </c:layout>
      <c:lineChart>
        <c:grouping val="standard"/>
        <c:varyColors val="0"/>
        <c:ser>
          <c:idx val="0"/>
          <c:order val="0"/>
          <c:tx>
            <c:v>Māori to non-Māori rate ratio</c:v>
          </c:tx>
          <c:spPr>
            <a:ln>
              <a:noFill/>
            </a:ln>
          </c:spPr>
          <c:errBars>
            <c:errDir val="y"/>
            <c:errBarType val="both"/>
            <c:errValType val="cust"/>
            <c:noEndCap val="0"/>
            <c:plus>
              <c:numRef>
                <c:f>'Error bars'!$O$458:$O$477</c:f>
                <c:numCache>
                  <c:formatCode>General</c:formatCode>
                  <c:ptCount val="19"/>
                  <c:pt idx="0">
                    <c:v>0.91173120469566449</c:v>
                  </c:pt>
                  <c:pt idx="1">
                    <c:v>1.7201466733271396</c:v>
                  </c:pt>
                  <c:pt idx="2">
                    <c:v>0.85223197299753073</c:v>
                  </c:pt>
                  <c:pt idx="3">
                    <c:v>0.79430516650498717</c:v>
                  </c:pt>
                  <c:pt idx="4">
                    <c:v>0.5339894833206853</c:v>
                  </c:pt>
                  <c:pt idx="5">
                    <c:v>1.0170888124202051</c:v>
                  </c:pt>
                  <c:pt idx="6">
                    <c:v>1.2616849285664995</c:v>
                  </c:pt>
                  <c:pt idx="7">
                    <c:v>1.8671149030020677</c:v>
                  </c:pt>
                  <c:pt idx="8">
                    <c:v>1.3222524954823784</c:v>
                  </c:pt>
                  <c:pt idx="9">
                    <c:v>1.7320873450226526</c:v>
                  </c:pt>
                  <c:pt idx="10">
                    <c:v>0.9380128467652975</c:v>
                  </c:pt>
                  <c:pt idx="11">
                    <c:v>3.3363775796270194</c:v>
                  </c:pt>
                  <c:pt idx="12">
                    <c:v>1.1378220560893277</c:v>
                  </c:pt>
                  <c:pt idx="13">
                    <c:v>3.2924683553463274</c:v>
                  </c:pt>
                  <c:pt idx="14">
                    <c:v>1.7316162010943699</c:v>
                  </c:pt>
                  <c:pt idx="15">
                    <c:v>0.82313640062758875</c:v>
                  </c:pt>
                  <c:pt idx="16">
                    <c:v>0.78300126541180459</c:v>
                  </c:pt>
                  <c:pt idx="17">
                    <c:v>3.7652518056694566</c:v>
                  </c:pt>
                  <c:pt idx="18">
                    <c:v>1.420710802792446</c:v>
                  </c:pt>
                </c:numCache>
                <c:extLst/>
              </c:numRef>
            </c:plus>
            <c:minus>
              <c:numRef>
                <c:f>'Error bars'!$N$458:$N$477</c:f>
                <c:numCache>
                  <c:formatCode>General</c:formatCode>
                  <c:ptCount val="19"/>
                  <c:pt idx="0">
                    <c:v>0.74486362878778412</c:v>
                  </c:pt>
                  <c:pt idx="1">
                    <c:v>1.2153969279517431</c:v>
                  </c:pt>
                  <c:pt idx="2">
                    <c:v>0.6794924223160268</c:v>
                  </c:pt>
                  <c:pt idx="3">
                    <c:v>0.64728414964375824</c:v>
                  </c:pt>
                  <c:pt idx="4">
                    <c:v>0.44328301603025988</c:v>
                  </c:pt>
                  <c:pt idx="5">
                    <c:v>0.77991670343892716</c:v>
                  </c:pt>
                  <c:pt idx="6">
                    <c:v>0.90129198100870456</c:v>
                  </c:pt>
                  <c:pt idx="7">
                    <c:v>1.2113481433259632</c:v>
                  </c:pt>
                  <c:pt idx="8">
                    <c:v>0.97599913826003082</c:v>
                  </c:pt>
                  <c:pt idx="9">
                    <c:v>1.1496031067770538</c:v>
                  </c:pt>
                  <c:pt idx="10">
                    <c:v>0.74046673148838238</c:v>
                  </c:pt>
                  <c:pt idx="11">
                    <c:v>1.5707464663663693</c:v>
                  </c:pt>
                  <c:pt idx="12">
                    <c:v>0.82928541109371379</c:v>
                  </c:pt>
                  <c:pt idx="13">
                    <c:v>1.5367917437368634</c:v>
                  </c:pt>
                  <c:pt idx="14">
                    <c:v>1.154683936568083</c:v>
                  </c:pt>
                  <c:pt idx="15">
                    <c:v>0.68903995043131872</c:v>
                  </c:pt>
                  <c:pt idx="16">
                    <c:v>0.64697367578593523</c:v>
                  </c:pt>
                  <c:pt idx="17">
                    <c:v>1.3601959997045716</c:v>
                  </c:pt>
                  <c:pt idx="18">
                    <c:v>0.91459676354095421</c:v>
                  </c:pt>
                </c:numCache>
                <c:extLst/>
              </c:numRef>
            </c:minus>
          </c:errBars>
          <c:cat>
            <c:strRef>
              <c:f>'Error bars'!$B$603:$B$622</c:f>
              <c:strCache>
                <c:ptCount val="19"/>
                <c:pt idx="0">
                  <c:v>Auckland</c:v>
                </c:pt>
                <c:pt idx="1">
                  <c:v>Bay of Plenty</c:v>
                </c:pt>
                <c:pt idx="2">
                  <c:v>Canterbury</c:v>
                </c:pt>
                <c:pt idx="3">
                  <c:v>Capital &amp; Coast</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Waitematā</c:v>
                </c:pt>
                <c:pt idx="17">
                  <c:v>West Coast</c:v>
                </c:pt>
                <c:pt idx="18">
                  <c:v>Whanganui</c:v>
                </c:pt>
              </c:strCache>
              <c:extLst/>
            </c:strRef>
          </c:cat>
          <c:val>
            <c:numRef>
              <c:f>'Error bars'!$K$603:$K$622</c:f>
              <c:numCache>
                <c:formatCode>_-* #,##0.0_-;\-* #,##0.0_-;_-* "-"??_-;_-@_-</c:formatCode>
                <c:ptCount val="19"/>
                <c:pt idx="0">
                  <c:v>3.3258733328873902</c:v>
                </c:pt>
                <c:pt idx="1">
                  <c:v>4.7514002024836755</c:v>
                </c:pt>
                <c:pt idx="2">
                  <c:v>2.7404674499926309</c:v>
                </c:pt>
                <c:pt idx="3">
                  <c:v>2.7699297732949999</c:v>
                </c:pt>
                <c:pt idx="4">
                  <c:v>3.3902102682196515</c:v>
                </c:pt>
                <c:pt idx="5">
                  <c:v>4.5322250808100799</c:v>
                </c:pt>
                <c:pt idx="6">
                  <c:v>3.573408179631115</c:v>
                </c:pt>
                <c:pt idx="7">
                  <c:v>2.4829558196905133</c:v>
                </c:pt>
                <c:pt idx="8">
                  <c:v>2.6837122041422612</c:v>
                </c:pt>
                <c:pt idx="9">
                  <c:v>2.5321671688427632</c:v>
                </c:pt>
                <c:pt idx="10">
                  <c:v>3.8773200441977087</c:v>
                </c:pt>
                <c:pt idx="11">
                  <c:v>3.0116375121477161</c:v>
                </c:pt>
                <c:pt idx="12">
                  <c:v>1.9960756229200607</c:v>
                </c:pt>
                <c:pt idx="13">
                  <c:v>1.6490915568222302</c:v>
                </c:pt>
                <c:pt idx="14">
                  <c:v>3.1565158978952077</c:v>
                </c:pt>
                <c:pt idx="15">
                  <c:v>4.5827367841409696</c:v>
                </c:pt>
                <c:pt idx="16">
                  <c:v>3.2732642571591737</c:v>
                </c:pt>
                <c:pt idx="17">
                  <c:v>1.5588558855885588</c:v>
                </c:pt>
                <c:pt idx="18">
                  <c:v>2.4500526553332325</c:v>
                </c:pt>
              </c:numCache>
              <c:extLst/>
            </c:numRef>
          </c:val>
          <c:smooth val="0"/>
          <c:extLst>
            <c:ext xmlns:c16="http://schemas.microsoft.com/office/drawing/2014/chart" uri="{C3380CC4-5D6E-409C-BE32-E72D297353CC}">
              <c16:uniqueId val="{00000000-814A-45E7-B3D9-789E3C8A1482}"/>
            </c:ext>
          </c:extLst>
        </c:ser>
        <c:ser>
          <c:idx val="1"/>
          <c:order val="1"/>
          <c:tx>
            <c:v>New Zealand average</c:v>
          </c:tx>
          <c:marker>
            <c:symbol val="none"/>
          </c:marker>
          <c:cat>
            <c:strRef>
              <c:f>'Error bars'!$B$603:$B$622</c:f>
              <c:strCache>
                <c:ptCount val="19"/>
                <c:pt idx="0">
                  <c:v>Auckland</c:v>
                </c:pt>
                <c:pt idx="1">
                  <c:v>Bay of Plenty</c:v>
                </c:pt>
                <c:pt idx="2">
                  <c:v>Canterbury</c:v>
                </c:pt>
                <c:pt idx="3">
                  <c:v>Capital &amp; Coast</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Waitematā</c:v>
                </c:pt>
                <c:pt idx="17">
                  <c:v>West Coast</c:v>
                </c:pt>
                <c:pt idx="18">
                  <c:v>Whanganui</c:v>
                </c:pt>
              </c:strCache>
              <c:extLst/>
            </c:strRef>
          </c:cat>
          <c:val>
            <c:numRef>
              <c:f>'Error bars'!$P$603:$P$622</c:f>
              <c:numCache>
                <c:formatCode>0.0</c:formatCode>
                <c:ptCount val="19"/>
                <c:pt idx="0">
                  <c:v>2.9361460557979875</c:v>
                </c:pt>
                <c:pt idx="1">
                  <c:v>2.9361460557979875</c:v>
                </c:pt>
                <c:pt idx="2">
                  <c:v>2.9361460557979875</c:v>
                </c:pt>
                <c:pt idx="3">
                  <c:v>2.9361460557979875</c:v>
                </c:pt>
                <c:pt idx="4">
                  <c:v>2.9361460557979875</c:v>
                </c:pt>
                <c:pt idx="5">
                  <c:v>2.9361460557979875</c:v>
                </c:pt>
                <c:pt idx="6">
                  <c:v>2.9361460557979875</c:v>
                </c:pt>
                <c:pt idx="7">
                  <c:v>2.9361460557979875</c:v>
                </c:pt>
                <c:pt idx="8">
                  <c:v>2.9361460557979875</c:v>
                </c:pt>
                <c:pt idx="9">
                  <c:v>2.9361460557979875</c:v>
                </c:pt>
                <c:pt idx="10">
                  <c:v>2.9361460557979875</c:v>
                </c:pt>
                <c:pt idx="11">
                  <c:v>2.9361460557979875</c:v>
                </c:pt>
                <c:pt idx="12">
                  <c:v>2.9361460557979875</c:v>
                </c:pt>
                <c:pt idx="13">
                  <c:v>2.9361460557979875</c:v>
                </c:pt>
                <c:pt idx="14">
                  <c:v>2.9361460557979875</c:v>
                </c:pt>
                <c:pt idx="15">
                  <c:v>2.9361460557979875</c:v>
                </c:pt>
                <c:pt idx="16">
                  <c:v>2.9361460557979875</c:v>
                </c:pt>
                <c:pt idx="17">
                  <c:v>2.9361460557979875</c:v>
                </c:pt>
                <c:pt idx="18">
                  <c:v>2.9361460557979875</c:v>
                </c:pt>
              </c:numCache>
              <c:extLst/>
            </c:numRef>
          </c:val>
          <c:smooth val="0"/>
          <c:extLst>
            <c:ext xmlns:c16="http://schemas.microsoft.com/office/drawing/2014/chart" uri="{C3380CC4-5D6E-409C-BE32-E72D297353CC}">
              <c16:uniqueId val="{00000001-814A-45E7-B3D9-789E3C8A1482}"/>
            </c:ext>
          </c:extLst>
        </c:ser>
        <c:ser>
          <c:idx val="2"/>
          <c:order val="2"/>
          <c:tx>
            <c:v>No difference (1:1)</c:v>
          </c:tx>
          <c:spPr>
            <a:ln w="28575">
              <a:solidFill>
                <a:srgbClr val="92D050"/>
              </a:solidFill>
            </a:ln>
          </c:spPr>
          <c:marker>
            <c:symbol val="none"/>
          </c:marker>
          <c:cat>
            <c:strRef>
              <c:f>'Error bars'!$B$603:$B$622</c:f>
              <c:strCache>
                <c:ptCount val="19"/>
                <c:pt idx="0">
                  <c:v>Auckland</c:v>
                </c:pt>
                <c:pt idx="1">
                  <c:v>Bay of Plenty</c:v>
                </c:pt>
                <c:pt idx="2">
                  <c:v>Canterbury</c:v>
                </c:pt>
                <c:pt idx="3">
                  <c:v>Capital &amp; Coast</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Waitematā</c:v>
                </c:pt>
                <c:pt idx="17">
                  <c:v>West Coast</c:v>
                </c:pt>
                <c:pt idx="18">
                  <c:v>Whanganui</c:v>
                </c:pt>
              </c:strCache>
              <c:extLst/>
            </c:strRef>
          </c:cat>
          <c:val>
            <c:numRef>
              <c:f>'Error bars'!$Q$603:$Q$622</c:f>
              <c:numCache>
                <c:formatCode>0.0</c:formatCode>
                <c:ptCount val="19"/>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numCache>
              <c:extLst/>
            </c:numRef>
          </c:val>
          <c:smooth val="0"/>
          <c:extLst>
            <c:ext xmlns:c16="http://schemas.microsoft.com/office/drawing/2014/chart" uri="{C3380CC4-5D6E-409C-BE32-E72D297353CC}">
              <c16:uniqueId val="{00000002-814A-45E7-B3D9-789E3C8A1482}"/>
            </c:ext>
          </c:extLst>
        </c:ser>
        <c:dLbls>
          <c:showLegendKey val="0"/>
          <c:showVal val="0"/>
          <c:showCatName val="0"/>
          <c:showSerName val="0"/>
          <c:showPercent val="0"/>
          <c:showBubbleSize val="0"/>
        </c:dLbls>
        <c:marker val="1"/>
        <c:smooth val="0"/>
        <c:axId val="555322568"/>
        <c:axId val="555311984"/>
      </c:lineChart>
      <c:catAx>
        <c:axId val="555322568"/>
        <c:scaling>
          <c:orientation val="minMax"/>
        </c:scaling>
        <c:delete val="0"/>
        <c:axPos val="b"/>
        <c:title>
          <c:tx>
            <c:rich>
              <a:bodyPr/>
              <a:lstStyle/>
              <a:p>
                <a:pPr>
                  <a:defRPr b="0"/>
                </a:pPr>
                <a:r>
                  <a:rPr lang="en-NZ" b="0"/>
                  <a:t>DHB</a:t>
                </a:r>
              </a:p>
            </c:rich>
          </c:tx>
          <c:overlay val="0"/>
        </c:title>
        <c:numFmt formatCode="General" sourceLinked="0"/>
        <c:majorTickMark val="out"/>
        <c:minorTickMark val="none"/>
        <c:tickLblPos val="nextTo"/>
        <c:spPr>
          <a:ln>
            <a:solidFill>
              <a:schemeClr val="tx1"/>
            </a:solidFill>
          </a:ln>
        </c:spPr>
        <c:txPr>
          <a:bodyPr rot="-5400000" vert="horz"/>
          <a:lstStyle/>
          <a:p>
            <a:pPr>
              <a:defRPr/>
            </a:pPr>
            <a:endParaRPr lang="en-US"/>
          </a:p>
        </c:txPr>
        <c:crossAx val="555311984"/>
        <c:crosses val="autoZero"/>
        <c:auto val="1"/>
        <c:lblAlgn val="ctr"/>
        <c:lblOffset val="100"/>
        <c:noMultiLvlLbl val="0"/>
      </c:catAx>
      <c:valAx>
        <c:axId val="555311984"/>
        <c:scaling>
          <c:orientation val="minMax"/>
          <c:max val="7"/>
        </c:scaling>
        <c:delete val="0"/>
        <c:axPos val="l"/>
        <c:title>
          <c:tx>
            <c:rich>
              <a:bodyPr rot="0" vert="horz"/>
              <a:lstStyle/>
              <a:p>
                <a:pPr>
                  <a:defRPr b="0"/>
                </a:pPr>
                <a:r>
                  <a:rPr lang="en-NZ" b="0"/>
                  <a:t>Rate ratio</a:t>
                </a:r>
              </a:p>
            </c:rich>
          </c:tx>
          <c:layout>
            <c:manualLayout>
              <c:xMode val="edge"/>
              <c:yMode val="edge"/>
              <c:x val="0"/>
              <c:y val="3.3312907870951805E-3"/>
            </c:manualLayout>
          </c:layout>
          <c:overlay val="0"/>
        </c:title>
        <c:numFmt formatCode="#,##0" sourceLinked="0"/>
        <c:majorTickMark val="out"/>
        <c:minorTickMark val="out"/>
        <c:tickLblPos val="nextTo"/>
        <c:spPr>
          <a:ln>
            <a:solidFill>
              <a:schemeClr val="tx1"/>
            </a:solidFill>
          </a:ln>
        </c:spPr>
        <c:crossAx val="555322568"/>
        <c:crosses val="autoZero"/>
        <c:crossBetween val="between"/>
        <c:minorUnit val="0.5"/>
      </c:valAx>
    </c:plotArea>
    <c:legend>
      <c:legendPos val="b"/>
      <c:layout>
        <c:manualLayout>
          <c:xMode val="edge"/>
          <c:yMode val="edge"/>
          <c:x val="0.12976946738294098"/>
          <c:y val="3.5684304053433037E-3"/>
          <c:w val="0.86897850653667186"/>
          <c:h val="7.0361530684150866E-2"/>
        </c:manualLayout>
      </c:layout>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914085467878448E-2"/>
          <c:y val="8.2546033885842085E-2"/>
          <c:w val="0.92484860010712711"/>
          <c:h val="0.62343423511749751"/>
        </c:manualLayout>
      </c:layout>
      <c:lineChart>
        <c:grouping val="standard"/>
        <c:varyColors val="0"/>
        <c:ser>
          <c:idx val="0"/>
          <c:order val="0"/>
          <c:tx>
            <c:v>Māori to non-Māori rate ratio</c:v>
          </c:tx>
          <c:spPr>
            <a:ln>
              <a:noFill/>
            </a:ln>
          </c:spPr>
          <c:errBars>
            <c:errDir val="y"/>
            <c:errBarType val="both"/>
            <c:errValType val="cust"/>
            <c:noEndCap val="0"/>
            <c:plus>
              <c:numRef>
                <c:f>'Error bars'!$O$458:$O$477</c:f>
                <c:numCache>
                  <c:formatCode>General</c:formatCode>
                  <c:ptCount val="12"/>
                  <c:pt idx="0">
                    <c:v>0.91173120469566449</c:v>
                  </c:pt>
                  <c:pt idx="1">
                    <c:v>1.7201466733271396</c:v>
                  </c:pt>
                  <c:pt idx="2">
                    <c:v>0.85223197299753073</c:v>
                  </c:pt>
                  <c:pt idx="3">
                    <c:v>0.79430516650498717</c:v>
                  </c:pt>
                  <c:pt idx="4">
                    <c:v>0.5339894833206853</c:v>
                  </c:pt>
                  <c:pt idx="5">
                    <c:v>1.0170888124202051</c:v>
                  </c:pt>
                  <c:pt idx="6">
                    <c:v>1.2616849285664995</c:v>
                  </c:pt>
                  <c:pt idx="7">
                    <c:v>1.3222524954823784</c:v>
                  </c:pt>
                  <c:pt idx="8">
                    <c:v>1.1378220560893277</c:v>
                  </c:pt>
                  <c:pt idx="9">
                    <c:v>0.82313640062758875</c:v>
                  </c:pt>
                  <c:pt idx="10">
                    <c:v>0.78300126541180459</c:v>
                  </c:pt>
                  <c:pt idx="11">
                    <c:v>1.420710802792446</c:v>
                  </c:pt>
                </c:numCache>
                <c:extLst/>
              </c:numRef>
            </c:plus>
            <c:minus>
              <c:numRef>
                <c:f>'Error bars'!$N$458:$N$477</c:f>
                <c:numCache>
                  <c:formatCode>General</c:formatCode>
                  <c:ptCount val="12"/>
                  <c:pt idx="0">
                    <c:v>0.74486362878778412</c:v>
                  </c:pt>
                  <c:pt idx="1">
                    <c:v>1.2153969279517431</c:v>
                  </c:pt>
                  <c:pt idx="2">
                    <c:v>0.6794924223160268</c:v>
                  </c:pt>
                  <c:pt idx="3">
                    <c:v>0.64728414964375824</c:v>
                  </c:pt>
                  <c:pt idx="4">
                    <c:v>0.44328301603025988</c:v>
                  </c:pt>
                  <c:pt idx="5">
                    <c:v>0.77991670343892716</c:v>
                  </c:pt>
                  <c:pt idx="6">
                    <c:v>0.90129198100870456</c:v>
                  </c:pt>
                  <c:pt idx="7">
                    <c:v>0.97599913826003082</c:v>
                  </c:pt>
                  <c:pt idx="8">
                    <c:v>0.82928541109371379</c:v>
                  </c:pt>
                  <c:pt idx="9">
                    <c:v>0.68903995043131872</c:v>
                  </c:pt>
                  <c:pt idx="10">
                    <c:v>0.64697367578593523</c:v>
                  </c:pt>
                  <c:pt idx="11">
                    <c:v>0.91459676354095421</c:v>
                  </c:pt>
                </c:numCache>
                <c:extLst/>
              </c:numRef>
            </c:minus>
          </c:errBars>
          <c:cat>
            <c:strRef>
              <c:f>'Error bars'!$B$640:$B$659</c:f>
              <c:strCache>
                <c:ptCount val="12"/>
                <c:pt idx="0">
                  <c:v>Auckland</c:v>
                </c:pt>
                <c:pt idx="1">
                  <c:v>Bay of Plenty</c:v>
                </c:pt>
                <c:pt idx="2">
                  <c:v>Canterbury</c:v>
                </c:pt>
                <c:pt idx="3">
                  <c:v>Capital &amp; Coast</c:v>
                </c:pt>
                <c:pt idx="4">
                  <c:v>Counties Manukau</c:v>
                </c:pt>
                <c:pt idx="5">
                  <c:v>Hawke's Bay</c:v>
                </c:pt>
                <c:pt idx="6">
                  <c:v>Hutt Valley</c:v>
                </c:pt>
                <c:pt idx="7">
                  <c:v>MidCentral</c:v>
                </c:pt>
                <c:pt idx="8">
                  <c:v>Southern</c:v>
                </c:pt>
                <c:pt idx="9">
                  <c:v>Waikato</c:v>
                </c:pt>
                <c:pt idx="10">
                  <c:v>Waitematā</c:v>
                </c:pt>
                <c:pt idx="11">
                  <c:v>Whanganui</c:v>
                </c:pt>
              </c:strCache>
              <c:extLst/>
            </c:strRef>
          </c:cat>
          <c:val>
            <c:numRef>
              <c:f>'Error bars'!$K$640:$K$659</c:f>
              <c:numCache>
                <c:formatCode>_-* #,##0.0_-;\-* #,##0.0_-;_-* "-"??_-;_-@_-</c:formatCode>
                <c:ptCount val="12"/>
                <c:pt idx="0">
                  <c:v>2.5040572025387648</c:v>
                </c:pt>
                <c:pt idx="1">
                  <c:v>3.7767540071024088</c:v>
                </c:pt>
                <c:pt idx="2">
                  <c:v>2.9762065854758677</c:v>
                </c:pt>
                <c:pt idx="3">
                  <c:v>5.811743299041221</c:v>
                </c:pt>
                <c:pt idx="4">
                  <c:v>1.7017526052239818</c:v>
                </c:pt>
                <c:pt idx="5">
                  <c:v>2.5493766079556699</c:v>
                </c:pt>
                <c:pt idx="6">
                  <c:v>4.519310344827586</c:v>
                </c:pt>
                <c:pt idx="7">
                  <c:v>5.4419719695106954</c:v>
                </c:pt>
                <c:pt idx="8">
                  <c:v>0.6234828286044013</c:v>
                </c:pt>
                <c:pt idx="9">
                  <c:v>6.9832179567862394</c:v>
                </c:pt>
                <c:pt idx="10">
                  <c:v>3.6532871972318337</c:v>
                </c:pt>
                <c:pt idx="11">
                  <c:v>1.2621483375959077</c:v>
                </c:pt>
              </c:numCache>
              <c:extLst/>
            </c:numRef>
          </c:val>
          <c:smooth val="0"/>
          <c:extLst>
            <c:ext xmlns:c16="http://schemas.microsoft.com/office/drawing/2014/chart" uri="{C3380CC4-5D6E-409C-BE32-E72D297353CC}">
              <c16:uniqueId val="{00000000-30E4-452E-86BC-D752A27D64F5}"/>
            </c:ext>
          </c:extLst>
        </c:ser>
        <c:ser>
          <c:idx val="1"/>
          <c:order val="1"/>
          <c:tx>
            <c:v>New Zealand average</c:v>
          </c:tx>
          <c:marker>
            <c:symbol val="none"/>
          </c:marker>
          <c:cat>
            <c:strRef>
              <c:f>'Error bars'!$B$640:$B$659</c:f>
              <c:strCache>
                <c:ptCount val="12"/>
                <c:pt idx="0">
                  <c:v>Auckland</c:v>
                </c:pt>
                <c:pt idx="1">
                  <c:v>Bay of Plenty</c:v>
                </c:pt>
                <c:pt idx="2">
                  <c:v>Canterbury</c:v>
                </c:pt>
                <c:pt idx="3">
                  <c:v>Capital &amp; Coast</c:v>
                </c:pt>
                <c:pt idx="4">
                  <c:v>Counties Manukau</c:v>
                </c:pt>
                <c:pt idx="5">
                  <c:v>Hawke's Bay</c:v>
                </c:pt>
                <c:pt idx="6">
                  <c:v>Hutt Valley</c:v>
                </c:pt>
                <c:pt idx="7">
                  <c:v>MidCentral</c:v>
                </c:pt>
                <c:pt idx="8">
                  <c:v>Southern</c:v>
                </c:pt>
                <c:pt idx="9">
                  <c:v>Waikato</c:v>
                </c:pt>
                <c:pt idx="10">
                  <c:v>Waitematā</c:v>
                </c:pt>
                <c:pt idx="11">
                  <c:v>Whanganui</c:v>
                </c:pt>
              </c:strCache>
              <c:extLst/>
            </c:strRef>
          </c:cat>
          <c:val>
            <c:numRef>
              <c:f>'Error bars'!$P$640:$P$659</c:f>
              <c:numCache>
                <c:formatCode>0.0</c:formatCode>
                <c:ptCount val="12"/>
                <c:pt idx="0">
                  <c:v>2.9367332850091468</c:v>
                </c:pt>
                <c:pt idx="1">
                  <c:v>2.9367332850091468</c:v>
                </c:pt>
                <c:pt idx="2">
                  <c:v>2.9367332850091468</c:v>
                </c:pt>
                <c:pt idx="3">
                  <c:v>2.9367332850091468</c:v>
                </c:pt>
                <c:pt idx="4">
                  <c:v>2.9367332850091468</c:v>
                </c:pt>
                <c:pt idx="5">
                  <c:v>2.9367332850091468</c:v>
                </c:pt>
                <c:pt idx="6">
                  <c:v>2.9367332850091468</c:v>
                </c:pt>
                <c:pt idx="7">
                  <c:v>2.9367332850091468</c:v>
                </c:pt>
                <c:pt idx="8">
                  <c:v>2.9367332850091468</c:v>
                </c:pt>
                <c:pt idx="9">
                  <c:v>2.9367332850091468</c:v>
                </c:pt>
                <c:pt idx="10">
                  <c:v>2.9367332850091468</c:v>
                </c:pt>
                <c:pt idx="11">
                  <c:v>2.9367332850091468</c:v>
                </c:pt>
              </c:numCache>
              <c:extLst/>
            </c:numRef>
          </c:val>
          <c:smooth val="0"/>
          <c:extLst>
            <c:ext xmlns:c16="http://schemas.microsoft.com/office/drawing/2014/chart" uri="{C3380CC4-5D6E-409C-BE32-E72D297353CC}">
              <c16:uniqueId val="{00000001-30E4-452E-86BC-D752A27D64F5}"/>
            </c:ext>
          </c:extLst>
        </c:ser>
        <c:ser>
          <c:idx val="2"/>
          <c:order val="2"/>
          <c:tx>
            <c:v>No difference (1:1)</c:v>
          </c:tx>
          <c:spPr>
            <a:ln w="28575">
              <a:solidFill>
                <a:srgbClr val="92D050"/>
              </a:solidFill>
            </a:ln>
          </c:spPr>
          <c:marker>
            <c:symbol val="none"/>
          </c:marker>
          <c:cat>
            <c:strRef>
              <c:f>'Error bars'!$B$640:$B$659</c:f>
              <c:strCache>
                <c:ptCount val="12"/>
                <c:pt idx="0">
                  <c:v>Auckland</c:v>
                </c:pt>
                <c:pt idx="1">
                  <c:v>Bay of Plenty</c:v>
                </c:pt>
                <c:pt idx="2">
                  <c:v>Canterbury</c:v>
                </c:pt>
                <c:pt idx="3">
                  <c:v>Capital &amp; Coast</c:v>
                </c:pt>
                <c:pt idx="4">
                  <c:v>Counties Manukau</c:v>
                </c:pt>
                <c:pt idx="5">
                  <c:v>Hawke's Bay</c:v>
                </c:pt>
                <c:pt idx="6">
                  <c:v>Hutt Valley</c:v>
                </c:pt>
                <c:pt idx="7">
                  <c:v>MidCentral</c:v>
                </c:pt>
                <c:pt idx="8">
                  <c:v>Southern</c:v>
                </c:pt>
                <c:pt idx="9">
                  <c:v>Waikato</c:v>
                </c:pt>
                <c:pt idx="10">
                  <c:v>Waitematā</c:v>
                </c:pt>
                <c:pt idx="11">
                  <c:v>Whanganui</c:v>
                </c:pt>
              </c:strCache>
              <c:extLst/>
            </c:strRef>
          </c:cat>
          <c:val>
            <c:numRef>
              <c:f>'Error bars'!$Q$640:$Q$659</c:f>
              <c:numCache>
                <c:formatCode>0.0</c:formatCode>
                <c:ptCount val="12"/>
                <c:pt idx="0">
                  <c:v>1</c:v>
                </c:pt>
                <c:pt idx="1">
                  <c:v>1</c:v>
                </c:pt>
                <c:pt idx="2">
                  <c:v>1</c:v>
                </c:pt>
                <c:pt idx="3">
                  <c:v>1</c:v>
                </c:pt>
                <c:pt idx="4">
                  <c:v>1</c:v>
                </c:pt>
                <c:pt idx="5">
                  <c:v>1</c:v>
                </c:pt>
                <c:pt idx="6">
                  <c:v>1</c:v>
                </c:pt>
                <c:pt idx="7">
                  <c:v>1</c:v>
                </c:pt>
                <c:pt idx="8">
                  <c:v>1</c:v>
                </c:pt>
                <c:pt idx="9">
                  <c:v>1</c:v>
                </c:pt>
                <c:pt idx="10">
                  <c:v>1</c:v>
                </c:pt>
                <c:pt idx="11">
                  <c:v>1</c:v>
                </c:pt>
              </c:numCache>
              <c:extLst/>
            </c:numRef>
          </c:val>
          <c:smooth val="0"/>
          <c:extLst>
            <c:ext xmlns:c16="http://schemas.microsoft.com/office/drawing/2014/chart" uri="{C3380CC4-5D6E-409C-BE32-E72D297353CC}">
              <c16:uniqueId val="{00000002-30E4-452E-86BC-D752A27D64F5}"/>
            </c:ext>
          </c:extLst>
        </c:ser>
        <c:dLbls>
          <c:showLegendKey val="0"/>
          <c:showVal val="0"/>
          <c:showCatName val="0"/>
          <c:showSerName val="0"/>
          <c:showPercent val="0"/>
          <c:showBubbleSize val="0"/>
        </c:dLbls>
        <c:marker val="1"/>
        <c:smooth val="0"/>
        <c:axId val="555322568"/>
        <c:axId val="555311984"/>
      </c:lineChart>
      <c:catAx>
        <c:axId val="555322568"/>
        <c:scaling>
          <c:orientation val="minMax"/>
        </c:scaling>
        <c:delete val="0"/>
        <c:axPos val="b"/>
        <c:title>
          <c:tx>
            <c:rich>
              <a:bodyPr/>
              <a:lstStyle/>
              <a:p>
                <a:pPr>
                  <a:defRPr b="0"/>
                </a:pPr>
                <a:r>
                  <a:rPr lang="en-NZ" b="0"/>
                  <a:t>DHB</a:t>
                </a:r>
              </a:p>
            </c:rich>
          </c:tx>
          <c:overlay val="0"/>
        </c:title>
        <c:numFmt formatCode="General" sourceLinked="0"/>
        <c:majorTickMark val="out"/>
        <c:minorTickMark val="none"/>
        <c:tickLblPos val="nextTo"/>
        <c:spPr>
          <a:ln>
            <a:solidFill>
              <a:schemeClr val="tx1"/>
            </a:solidFill>
          </a:ln>
        </c:spPr>
        <c:txPr>
          <a:bodyPr rot="-5400000" vert="horz"/>
          <a:lstStyle/>
          <a:p>
            <a:pPr>
              <a:defRPr/>
            </a:pPr>
            <a:endParaRPr lang="en-US"/>
          </a:p>
        </c:txPr>
        <c:crossAx val="555311984"/>
        <c:crosses val="autoZero"/>
        <c:auto val="1"/>
        <c:lblAlgn val="ctr"/>
        <c:lblOffset val="100"/>
        <c:noMultiLvlLbl val="0"/>
      </c:catAx>
      <c:valAx>
        <c:axId val="555311984"/>
        <c:scaling>
          <c:orientation val="minMax"/>
          <c:max val="8"/>
        </c:scaling>
        <c:delete val="0"/>
        <c:axPos val="l"/>
        <c:title>
          <c:tx>
            <c:rich>
              <a:bodyPr rot="0" vert="horz"/>
              <a:lstStyle/>
              <a:p>
                <a:pPr>
                  <a:defRPr b="0"/>
                </a:pPr>
                <a:r>
                  <a:rPr lang="en-NZ" b="0"/>
                  <a:t>Rate ratio</a:t>
                </a:r>
              </a:p>
            </c:rich>
          </c:tx>
          <c:layout>
            <c:manualLayout>
              <c:xMode val="edge"/>
              <c:yMode val="edge"/>
              <c:x val="0"/>
              <c:y val="2.9930451300591394E-3"/>
            </c:manualLayout>
          </c:layout>
          <c:overlay val="0"/>
        </c:title>
        <c:numFmt formatCode="#,##0" sourceLinked="0"/>
        <c:majorTickMark val="out"/>
        <c:minorTickMark val="out"/>
        <c:tickLblPos val="nextTo"/>
        <c:spPr>
          <a:ln>
            <a:solidFill>
              <a:schemeClr val="tx1"/>
            </a:solidFill>
          </a:ln>
        </c:spPr>
        <c:crossAx val="555322568"/>
        <c:crosses val="autoZero"/>
        <c:crossBetween val="between"/>
        <c:minorUnit val="0.5"/>
      </c:valAx>
    </c:plotArea>
    <c:legend>
      <c:legendPos val="b"/>
      <c:layout>
        <c:manualLayout>
          <c:xMode val="edge"/>
          <c:yMode val="edge"/>
          <c:x val="9.8747973919612805E-2"/>
          <c:y val="3.5684304053433037E-3"/>
          <c:w val="0.9"/>
          <c:h val="7.0361530684150866E-2"/>
        </c:manualLayout>
      </c:layout>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115524906281761E-2"/>
          <c:y val="0.12081476301948743"/>
          <c:w val="0.89347833662119858"/>
          <c:h val="0.7247336390643477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'2020-21 merged forensic'!$M$36:$P$36</c:f>
              <c:strCache>
                <c:ptCount val="4"/>
                <c:pt idx="0">
                  <c:v>Section 10</c:v>
                </c:pt>
                <c:pt idx="1">
                  <c:v>Section 12</c:v>
                </c:pt>
                <c:pt idx="2">
                  <c:v>Section 14</c:v>
                </c:pt>
                <c:pt idx="3">
                  <c:v>Sections 76/77/78</c:v>
                </c:pt>
              </c:strCache>
            </c:strRef>
          </c:cat>
          <c:val>
            <c:numRef>
              <c:f>'2020-21 merged forensic'!$M$42:$P$42</c:f>
              <c:numCache>
                <c:formatCode>0.0%</c:formatCode>
                <c:ptCount val="4"/>
                <c:pt idx="0">
                  <c:v>0.70898656215005595</c:v>
                </c:pt>
                <c:pt idx="1">
                  <c:v>0.69451651963328143</c:v>
                </c:pt>
                <c:pt idx="2">
                  <c:v>0.74652322225137757</c:v>
                </c:pt>
                <c:pt idx="3">
                  <c:v>0.58827285303820365</c:v>
                </c:pt>
              </c:numCache>
            </c:numRef>
          </c:val>
          <c:extLst>
            <c:ext xmlns:c16="http://schemas.microsoft.com/office/drawing/2014/chart" uri="{C3380CC4-5D6E-409C-BE32-E72D297353CC}">
              <c16:uniqueId val="{00000000-3D46-481C-8720-800A13C67E10}"/>
            </c:ext>
          </c:extLst>
        </c:ser>
        <c:dLbls>
          <c:showLegendKey val="0"/>
          <c:showVal val="0"/>
          <c:showCatName val="0"/>
          <c:showSerName val="0"/>
          <c:showPercent val="0"/>
          <c:showBubbleSize val="0"/>
        </c:dLbls>
        <c:gapWidth val="68"/>
        <c:overlap val="-27"/>
        <c:axId val="549228224"/>
        <c:axId val="549227568"/>
      </c:barChart>
      <c:catAx>
        <c:axId val="549228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Assessment or treatment phase</a:t>
                </a:r>
              </a:p>
            </c:rich>
          </c:tx>
          <c:layout>
            <c:manualLayout>
              <c:xMode val="edge"/>
              <c:yMode val="edge"/>
              <c:x val="0.3288281149010549"/>
              <c:y val="0.9246609558420582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49227568"/>
        <c:crosses val="autoZero"/>
        <c:auto val="1"/>
        <c:lblAlgn val="ctr"/>
        <c:lblOffset val="100"/>
        <c:noMultiLvlLbl val="0"/>
      </c:catAx>
      <c:valAx>
        <c:axId val="549227568"/>
        <c:scaling>
          <c:orientation val="minMax"/>
        </c:scaling>
        <c:delete val="0"/>
        <c:axPos val="l"/>
        <c:title>
          <c:tx>
            <c:rich>
              <a:bodyPr rot="0" spcFirstLastPara="1" vertOverflow="ellipsis"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Percentage</a:t>
                </a:r>
              </a:p>
            </c:rich>
          </c:tx>
          <c:layout>
            <c:manualLayout>
              <c:xMode val="edge"/>
              <c:yMode val="edge"/>
              <c:x val="0"/>
              <c:y val="1.8413622573337079E-5"/>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492282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09598388113573E-2"/>
          <c:y val="7.23599719468732E-2"/>
          <c:w val="0.9005801821068663"/>
          <c:h val="0.61235266666631272"/>
        </c:manualLayout>
      </c:layout>
      <c:barChart>
        <c:barDir val="col"/>
        <c:grouping val="clustered"/>
        <c:varyColors val="0"/>
        <c:ser>
          <c:idx val="0"/>
          <c:order val="0"/>
          <c:tx>
            <c:v>Percentage of successful consultation</c:v>
          </c:tx>
          <c:spPr>
            <a:solidFill>
              <a:schemeClr val="accent1"/>
            </a:solidFill>
            <a:ln>
              <a:noFill/>
            </a:ln>
            <a:effectLst/>
          </c:spPr>
          <c:invertIfNegative val="0"/>
          <c:dLbls>
            <c:dLbl>
              <c:idx val="1"/>
              <c:layout>
                <c:manualLayout>
                  <c:x val="0"/>
                  <c:y val="0.1347962637847838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C1-4A68-A316-EC856E902A31}"/>
                </c:ext>
              </c:extLst>
            </c:dLbl>
            <c:dLbl>
              <c:idx val="2"/>
              <c:layout>
                <c:manualLayout>
                  <c:x val="-1.8861236160029618E-17"/>
                  <c:y val="0.1314584800731684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C1-4A68-A316-EC856E902A31}"/>
                </c:ext>
              </c:extLst>
            </c:dLbl>
            <c:dLbl>
              <c:idx val="9"/>
              <c:layout>
                <c:manualLayout>
                  <c:x val="-7.5444944640118471E-17"/>
                  <c:y val="0.1514851823428613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C1-4A68-A316-EC856E902A31}"/>
                </c:ext>
              </c:extLst>
            </c:dLbl>
            <c:dLbl>
              <c:idx val="11"/>
              <c:layout>
                <c:manualLayout>
                  <c:x val="-7.5444944640118471E-17"/>
                  <c:y val="0.1648363171893232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C1-4A68-A316-EC856E902A31}"/>
                </c:ext>
              </c:extLst>
            </c:dLbl>
            <c:dLbl>
              <c:idx val="14"/>
              <c:layout>
                <c:manualLayout>
                  <c:x val="0"/>
                  <c:y val="0.1214451289383219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C1-4A68-A316-EC856E902A31}"/>
                </c:ext>
              </c:extLst>
            </c:dLbl>
            <c:dLbl>
              <c:idx val="17"/>
              <c:layout>
                <c:manualLayout>
                  <c:x val="0"/>
                  <c:y val="0.1648363171893232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C1-4A68-A316-EC856E902A31}"/>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'2020-21 merged forensic'!$L$12:$L$31</c:f>
              <c:strCache>
                <c:ptCount val="20"/>
                <c:pt idx="0">
                  <c:v>Auckland</c:v>
                </c:pt>
                <c:pt idx="1">
                  <c:v>Bay of Plenty</c:v>
                </c:pt>
                <c:pt idx="2">
                  <c:v>Canterbury</c:v>
                </c:pt>
                <c:pt idx="3">
                  <c:v>Capital &amp; Coast</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Wairarapa</c:v>
                </c:pt>
                <c:pt idx="17">
                  <c:v>Waitematā</c:v>
                </c:pt>
                <c:pt idx="18">
                  <c:v>West Coast</c:v>
                </c:pt>
                <c:pt idx="19">
                  <c:v>Whanganui</c:v>
                </c:pt>
              </c:strCache>
            </c:strRef>
          </c:cat>
          <c:val>
            <c:numRef>
              <c:f>'2020-21 merged forensic'!$O$12:$O$31</c:f>
              <c:numCache>
                <c:formatCode>0.0%</c:formatCode>
                <c:ptCount val="20"/>
                <c:pt idx="0">
                  <c:v>0.6497975708502024</c:v>
                </c:pt>
                <c:pt idx="1">
                  <c:v>0.73509015256588073</c:v>
                </c:pt>
                <c:pt idx="2">
                  <c:v>0.71513235875148162</c:v>
                </c:pt>
                <c:pt idx="3">
                  <c:v>0.64490644490644489</c:v>
                </c:pt>
                <c:pt idx="4">
                  <c:v>0.64590163934426226</c:v>
                </c:pt>
                <c:pt idx="5">
                  <c:v>0.84605597964376589</c:v>
                </c:pt>
                <c:pt idx="6">
                  <c:v>0.70581113801452788</c:v>
                </c:pt>
                <c:pt idx="7">
                  <c:v>0.66890756302521004</c:v>
                </c:pt>
                <c:pt idx="8">
                  <c:v>0.57743785850860418</c:v>
                </c:pt>
                <c:pt idx="9">
                  <c:v>0.74796747967479671</c:v>
                </c:pt>
                <c:pt idx="10">
                  <c:v>0.47538337368845845</c:v>
                </c:pt>
                <c:pt idx="11">
                  <c:v>0.77168949771689499</c:v>
                </c:pt>
                <c:pt idx="12">
                  <c:v>0.67385620915032685</c:v>
                </c:pt>
                <c:pt idx="13">
                  <c:v>0.8545454545454545</c:v>
                </c:pt>
                <c:pt idx="14">
                  <c:v>0.70921052631578951</c:v>
                </c:pt>
                <c:pt idx="15">
                  <c:v>0.57020648967551624</c:v>
                </c:pt>
                <c:pt idx="16">
                  <c:v>0.64880952380952384</c:v>
                </c:pt>
                <c:pt idx="17">
                  <c:v>0.76718856364874066</c:v>
                </c:pt>
                <c:pt idx="18">
                  <c:v>0.65</c:v>
                </c:pt>
                <c:pt idx="19">
                  <c:v>0.6353944562899787</c:v>
                </c:pt>
              </c:numCache>
            </c:numRef>
          </c:val>
          <c:extLst>
            <c:ext xmlns:c16="http://schemas.microsoft.com/office/drawing/2014/chart" uri="{C3380CC4-5D6E-409C-BE32-E72D297353CC}">
              <c16:uniqueId val="{00000006-51C1-4A68-A316-EC856E902A31}"/>
            </c:ext>
          </c:extLst>
        </c:ser>
        <c:dLbls>
          <c:showLegendKey val="0"/>
          <c:showVal val="0"/>
          <c:showCatName val="0"/>
          <c:showSerName val="0"/>
          <c:showPercent val="0"/>
          <c:showBubbleSize val="0"/>
        </c:dLbls>
        <c:gapWidth val="28"/>
        <c:overlap val="52"/>
        <c:axId val="340670728"/>
        <c:axId val="544148032"/>
      </c:barChart>
      <c:lineChart>
        <c:grouping val="standard"/>
        <c:varyColors val="0"/>
        <c:ser>
          <c:idx val="1"/>
          <c:order val="1"/>
          <c:tx>
            <c:v>National average</c:v>
          </c:tx>
          <c:spPr>
            <a:ln w="28575" cap="rnd">
              <a:solidFill>
                <a:schemeClr val="accent3"/>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7-51C1-4A68-A316-EC856E902A31}"/>
                </c:ext>
              </c:extLst>
            </c:dLbl>
            <c:dLbl>
              <c:idx val="1"/>
              <c:delete val="1"/>
              <c:extLst>
                <c:ext xmlns:c15="http://schemas.microsoft.com/office/drawing/2012/chart" uri="{CE6537A1-D6FC-4f65-9D91-7224C49458BB}"/>
                <c:ext xmlns:c16="http://schemas.microsoft.com/office/drawing/2014/chart" uri="{C3380CC4-5D6E-409C-BE32-E72D297353CC}">
                  <c16:uniqueId val="{00000008-51C1-4A68-A316-EC856E902A31}"/>
                </c:ext>
              </c:extLst>
            </c:dLbl>
            <c:dLbl>
              <c:idx val="2"/>
              <c:delete val="1"/>
              <c:extLst>
                <c:ext xmlns:c15="http://schemas.microsoft.com/office/drawing/2012/chart" uri="{CE6537A1-D6FC-4f65-9D91-7224C49458BB}"/>
                <c:ext xmlns:c16="http://schemas.microsoft.com/office/drawing/2014/chart" uri="{C3380CC4-5D6E-409C-BE32-E72D297353CC}">
                  <c16:uniqueId val="{00000009-51C1-4A68-A316-EC856E902A31}"/>
                </c:ext>
              </c:extLst>
            </c:dLbl>
            <c:dLbl>
              <c:idx val="3"/>
              <c:delete val="1"/>
              <c:extLst>
                <c:ext xmlns:c15="http://schemas.microsoft.com/office/drawing/2012/chart" uri="{CE6537A1-D6FC-4f65-9D91-7224C49458BB}"/>
                <c:ext xmlns:c16="http://schemas.microsoft.com/office/drawing/2014/chart" uri="{C3380CC4-5D6E-409C-BE32-E72D297353CC}">
                  <c16:uniqueId val="{0000000A-51C1-4A68-A316-EC856E902A31}"/>
                </c:ext>
              </c:extLst>
            </c:dLbl>
            <c:dLbl>
              <c:idx val="4"/>
              <c:delete val="1"/>
              <c:extLst>
                <c:ext xmlns:c15="http://schemas.microsoft.com/office/drawing/2012/chart" uri="{CE6537A1-D6FC-4f65-9D91-7224C49458BB}"/>
                <c:ext xmlns:c16="http://schemas.microsoft.com/office/drawing/2014/chart" uri="{C3380CC4-5D6E-409C-BE32-E72D297353CC}">
                  <c16:uniqueId val="{0000000B-51C1-4A68-A316-EC856E902A31}"/>
                </c:ext>
              </c:extLst>
            </c:dLbl>
            <c:dLbl>
              <c:idx val="5"/>
              <c:delete val="1"/>
              <c:extLst>
                <c:ext xmlns:c15="http://schemas.microsoft.com/office/drawing/2012/chart" uri="{CE6537A1-D6FC-4f65-9D91-7224C49458BB}"/>
                <c:ext xmlns:c16="http://schemas.microsoft.com/office/drawing/2014/chart" uri="{C3380CC4-5D6E-409C-BE32-E72D297353CC}">
                  <c16:uniqueId val="{0000000C-51C1-4A68-A316-EC856E902A31}"/>
                </c:ext>
              </c:extLst>
            </c:dLbl>
            <c:dLbl>
              <c:idx val="6"/>
              <c:delete val="1"/>
              <c:extLst>
                <c:ext xmlns:c15="http://schemas.microsoft.com/office/drawing/2012/chart" uri="{CE6537A1-D6FC-4f65-9D91-7224C49458BB}"/>
                <c:ext xmlns:c16="http://schemas.microsoft.com/office/drawing/2014/chart" uri="{C3380CC4-5D6E-409C-BE32-E72D297353CC}">
                  <c16:uniqueId val="{0000000D-51C1-4A68-A316-EC856E902A31}"/>
                </c:ext>
              </c:extLst>
            </c:dLbl>
            <c:dLbl>
              <c:idx val="7"/>
              <c:delete val="1"/>
              <c:extLst>
                <c:ext xmlns:c15="http://schemas.microsoft.com/office/drawing/2012/chart" uri="{CE6537A1-D6FC-4f65-9D91-7224C49458BB}"/>
                <c:ext xmlns:c16="http://schemas.microsoft.com/office/drawing/2014/chart" uri="{C3380CC4-5D6E-409C-BE32-E72D297353CC}">
                  <c16:uniqueId val="{0000000E-51C1-4A68-A316-EC856E902A31}"/>
                </c:ext>
              </c:extLst>
            </c:dLbl>
            <c:dLbl>
              <c:idx val="8"/>
              <c:delete val="1"/>
              <c:extLst>
                <c:ext xmlns:c15="http://schemas.microsoft.com/office/drawing/2012/chart" uri="{CE6537A1-D6FC-4f65-9D91-7224C49458BB}"/>
                <c:ext xmlns:c16="http://schemas.microsoft.com/office/drawing/2014/chart" uri="{C3380CC4-5D6E-409C-BE32-E72D297353CC}">
                  <c16:uniqueId val="{0000000F-51C1-4A68-A316-EC856E902A31}"/>
                </c:ext>
              </c:extLst>
            </c:dLbl>
            <c:dLbl>
              <c:idx val="9"/>
              <c:delete val="1"/>
              <c:extLst>
                <c:ext xmlns:c15="http://schemas.microsoft.com/office/drawing/2012/chart" uri="{CE6537A1-D6FC-4f65-9D91-7224C49458BB}"/>
                <c:ext xmlns:c16="http://schemas.microsoft.com/office/drawing/2014/chart" uri="{C3380CC4-5D6E-409C-BE32-E72D297353CC}">
                  <c16:uniqueId val="{00000010-51C1-4A68-A316-EC856E902A31}"/>
                </c:ext>
              </c:extLst>
            </c:dLbl>
            <c:dLbl>
              <c:idx val="10"/>
              <c:delete val="1"/>
              <c:extLst>
                <c:ext xmlns:c15="http://schemas.microsoft.com/office/drawing/2012/chart" uri="{CE6537A1-D6FC-4f65-9D91-7224C49458BB}"/>
                <c:ext xmlns:c16="http://schemas.microsoft.com/office/drawing/2014/chart" uri="{C3380CC4-5D6E-409C-BE32-E72D297353CC}">
                  <c16:uniqueId val="{00000011-51C1-4A68-A316-EC856E902A31}"/>
                </c:ext>
              </c:extLst>
            </c:dLbl>
            <c:dLbl>
              <c:idx val="11"/>
              <c:delete val="1"/>
              <c:extLst>
                <c:ext xmlns:c15="http://schemas.microsoft.com/office/drawing/2012/chart" uri="{CE6537A1-D6FC-4f65-9D91-7224C49458BB}"/>
                <c:ext xmlns:c16="http://schemas.microsoft.com/office/drawing/2014/chart" uri="{C3380CC4-5D6E-409C-BE32-E72D297353CC}">
                  <c16:uniqueId val="{00000012-51C1-4A68-A316-EC856E902A31}"/>
                </c:ext>
              </c:extLst>
            </c:dLbl>
            <c:dLbl>
              <c:idx val="12"/>
              <c:delete val="1"/>
              <c:extLst>
                <c:ext xmlns:c15="http://schemas.microsoft.com/office/drawing/2012/chart" uri="{CE6537A1-D6FC-4f65-9D91-7224C49458BB}"/>
                <c:ext xmlns:c16="http://schemas.microsoft.com/office/drawing/2014/chart" uri="{C3380CC4-5D6E-409C-BE32-E72D297353CC}">
                  <c16:uniqueId val="{00000013-51C1-4A68-A316-EC856E902A31}"/>
                </c:ext>
              </c:extLst>
            </c:dLbl>
            <c:dLbl>
              <c:idx val="13"/>
              <c:delete val="1"/>
              <c:extLst>
                <c:ext xmlns:c15="http://schemas.microsoft.com/office/drawing/2012/chart" uri="{CE6537A1-D6FC-4f65-9D91-7224C49458BB}"/>
                <c:ext xmlns:c16="http://schemas.microsoft.com/office/drawing/2014/chart" uri="{C3380CC4-5D6E-409C-BE32-E72D297353CC}">
                  <c16:uniqueId val="{00000014-51C1-4A68-A316-EC856E902A31}"/>
                </c:ext>
              </c:extLst>
            </c:dLbl>
            <c:dLbl>
              <c:idx val="14"/>
              <c:delete val="1"/>
              <c:extLst>
                <c:ext xmlns:c15="http://schemas.microsoft.com/office/drawing/2012/chart" uri="{CE6537A1-D6FC-4f65-9D91-7224C49458BB}"/>
                <c:ext xmlns:c16="http://schemas.microsoft.com/office/drawing/2014/chart" uri="{C3380CC4-5D6E-409C-BE32-E72D297353CC}">
                  <c16:uniqueId val="{00000015-51C1-4A68-A316-EC856E902A31}"/>
                </c:ext>
              </c:extLst>
            </c:dLbl>
            <c:dLbl>
              <c:idx val="15"/>
              <c:delete val="1"/>
              <c:extLst>
                <c:ext xmlns:c15="http://schemas.microsoft.com/office/drawing/2012/chart" uri="{CE6537A1-D6FC-4f65-9D91-7224C49458BB}"/>
                <c:ext xmlns:c16="http://schemas.microsoft.com/office/drawing/2014/chart" uri="{C3380CC4-5D6E-409C-BE32-E72D297353CC}">
                  <c16:uniqueId val="{00000016-51C1-4A68-A316-EC856E902A31}"/>
                </c:ext>
              </c:extLst>
            </c:dLbl>
            <c:dLbl>
              <c:idx val="16"/>
              <c:delete val="1"/>
              <c:extLst>
                <c:ext xmlns:c15="http://schemas.microsoft.com/office/drawing/2012/chart" uri="{CE6537A1-D6FC-4f65-9D91-7224C49458BB}"/>
                <c:ext xmlns:c16="http://schemas.microsoft.com/office/drawing/2014/chart" uri="{C3380CC4-5D6E-409C-BE32-E72D297353CC}">
                  <c16:uniqueId val="{00000017-51C1-4A68-A316-EC856E902A31}"/>
                </c:ext>
              </c:extLst>
            </c:dLbl>
            <c:dLbl>
              <c:idx val="17"/>
              <c:delete val="1"/>
              <c:extLst>
                <c:ext xmlns:c15="http://schemas.microsoft.com/office/drawing/2012/chart" uri="{CE6537A1-D6FC-4f65-9D91-7224C49458BB}"/>
                <c:ext xmlns:c16="http://schemas.microsoft.com/office/drawing/2014/chart" uri="{C3380CC4-5D6E-409C-BE32-E72D297353CC}">
                  <c16:uniqueId val="{00000018-51C1-4A68-A316-EC856E902A31}"/>
                </c:ext>
              </c:extLst>
            </c:dLbl>
            <c:dLbl>
              <c:idx val="18"/>
              <c:delete val="1"/>
              <c:extLst>
                <c:ext xmlns:c15="http://schemas.microsoft.com/office/drawing/2012/chart" uri="{CE6537A1-D6FC-4f65-9D91-7224C49458BB}"/>
                <c:ext xmlns:c16="http://schemas.microsoft.com/office/drawing/2014/chart" uri="{C3380CC4-5D6E-409C-BE32-E72D297353CC}">
                  <c16:uniqueId val="{00000019-51C1-4A68-A316-EC856E902A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'2020-21 merged forensic'!$L$12:$L$31</c:f>
              <c:strCache>
                <c:ptCount val="20"/>
                <c:pt idx="0">
                  <c:v>Auckland</c:v>
                </c:pt>
                <c:pt idx="1">
                  <c:v>Bay of Plenty</c:v>
                </c:pt>
                <c:pt idx="2">
                  <c:v>Canterbury</c:v>
                </c:pt>
                <c:pt idx="3">
                  <c:v>Capital &amp; Coast</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Wairarapa</c:v>
                </c:pt>
                <c:pt idx="17">
                  <c:v>Waitematā</c:v>
                </c:pt>
                <c:pt idx="18">
                  <c:v>West Coast</c:v>
                </c:pt>
                <c:pt idx="19">
                  <c:v>Whanganui</c:v>
                </c:pt>
              </c:strCache>
            </c:strRef>
          </c:cat>
          <c:val>
            <c:numRef>
              <c:f>'2020-21 merged forensic'!$P$12:$P$31</c:f>
              <c:numCache>
                <c:formatCode>0.0%</c:formatCode>
                <c:ptCount val="20"/>
                <c:pt idx="0">
                  <c:v>0.68466461400629308</c:v>
                </c:pt>
                <c:pt idx="1">
                  <c:v>0.68466461400629308</c:v>
                </c:pt>
                <c:pt idx="2">
                  <c:v>0.68466461400629308</c:v>
                </c:pt>
                <c:pt idx="3">
                  <c:v>0.68466461400629308</c:v>
                </c:pt>
                <c:pt idx="4">
                  <c:v>0.68466461400629308</c:v>
                </c:pt>
                <c:pt idx="5">
                  <c:v>0.68466461400629308</c:v>
                </c:pt>
                <c:pt idx="6">
                  <c:v>0.68466461400629308</c:v>
                </c:pt>
                <c:pt idx="7">
                  <c:v>0.68466461400629308</c:v>
                </c:pt>
                <c:pt idx="8">
                  <c:v>0.68466461400629308</c:v>
                </c:pt>
                <c:pt idx="9">
                  <c:v>0.68466461400629308</c:v>
                </c:pt>
                <c:pt idx="10">
                  <c:v>0.68466461400629308</c:v>
                </c:pt>
                <c:pt idx="11">
                  <c:v>0.68466461400629308</c:v>
                </c:pt>
                <c:pt idx="12">
                  <c:v>0.68466461400629308</c:v>
                </c:pt>
                <c:pt idx="13">
                  <c:v>0.68466461400629308</c:v>
                </c:pt>
                <c:pt idx="14">
                  <c:v>0.68466461400629308</c:v>
                </c:pt>
                <c:pt idx="15">
                  <c:v>0.68466461400629308</c:v>
                </c:pt>
                <c:pt idx="16">
                  <c:v>0.68466461400629308</c:v>
                </c:pt>
                <c:pt idx="17">
                  <c:v>0.68466461400629308</c:v>
                </c:pt>
                <c:pt idx="18">
                  <c:v>0.68466461400629308</c:v>
                </c:pt>
                <c:pt idx="19">
                  <c:v>0.68466461400629308</c:v>
                </c:pt>
              </c:numCache>
            </c:numRef>
          </c:val>
          <c:smooth val="0"/>
          <c:extLst>
            <c:ext xmlns:c16="http://schemas.microsoft.com/office/drawing/2014/chart" uri="{C3380CC4-5D6E-409C-BE32-E72D297353CC}">
              <c16:uniqueId val="{0000001A-51C1-4A68-A316-EC856E902A31}"/>
            </c:ext>
          </c:extLst>
        </c:ser>
        <c:dLbls>
          <c:showLegendKey val="0"/>
          <c:showVal val="0"/>
          <c:showCatName val="0"/>
          <c:showSerName val="0"/>
          <c:showPercent val="0"/>
          <c:showBubbleSize val="0"/>
        </c:dLbls>
        <c:marker val="1"/>
        <c:smooth val="0"/>
        <c:axId val="340670728"/>
        <c:axId val="544148032"/>
      </c:lineChart>
      <c:catAx>
        <c:axId val="340670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DHB</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148032"/>
        <c:crosses val="autoZero"/>
        <c:auto val="1"/>
        <c:lblAlgn val="ctr"/>
        <c:lblOffset val="100"/>
        <c:noMultiLvlLbl val="0"/>
      </c:catAx>
      <c:valAx>
        <c:axId val="544148032"/>
        <c:scaling>
          <c:orientation val="minMax"/>
          <c:max val="1"/>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Percentage</a:t>
                </a:r>
              </a:p>
            </c:rich>
          </c:tx>
          <c:layout>
            <c:manualLayout>
              <c:xMode val="edge"/>
              <c:yMode val="edge"/>
              <c:x val="0"/>
              <c:y val="2.6933549194200993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670728"/>
        <c:crosses val="autoZero"/>
        <c:crossBetween val="between"/>
        <c:minorUnit val="5.000000000000001E-2"/>
      </c:valAx>
      <c:spPr>
        <a:noFill/>
        <a:ln>
          <a:noFill/>
        </a:ln>
        <a:effectLst/>
      </c:spPr>
    </c:plotArea>
    <c:legend>
      <c:legendPos val="b"/>
      <c:layout>
        <c:manualLayout>
          <c:xMode val="edge"/>
          <c:yMode val="edge"/>
          <c:x val="0.13320031755289849"/>
          <c:y val="1.2648097726101992E-2"/>
          <c:w val="0.84989353443495619"/>
          <c:h val="7.843765440534886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31720120350808"/>
          <c:y val="9.0997649684033385E-2"/>
          <c:w val="0.85642814160425051"/>
          <c:h val="0.71430217564267884"/>
        </c:manualLayout>
      </c:layout>
      <c:barChart>
        <c:barDir val="col"/>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34CE-49B7-8D9B-5C34E160EB74}"/>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34CE-49B7-8D9B-5C34E160EB74}"/>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34CE-49B7-8D9B-5C34E160EB74}"/>
              </c:ext>
            </c:extLst>
          </c:dPt>
          <c:dLbls>
            <c:dLbl>
              <c:idx val="0"/>
              <c:layout>
                <c:manualLayout>
                  <c:x val="0"/>
                  <c:y val="2.78745644599303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CE-49B7-8D9B-5C34E160EB74}"/>
                </c:ext>
              </c:extLst>
            </c:dLbl>
            <c:dLbl>
              <c:idx val="1"/>
              <c:layout>
                <c:manualLayout>
                  <c:x val="0"/>
                  <c:y val="2.787456445993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CE-49B7-8D9B-5C34E160EB74}"/>
                </c:ext>
              </c:extLst>
            </c:dLbl>
            <c:dLbl>
              <c:idx val="2"/>
              <c:layout>
                <c:manualLayout>
                  <c:x val="0"/>
                  <c:y val="2.787456445993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4CE-49B7-8D9B-5C34E160EB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'2020-21 merged forensic'!$L$47:$L$49</c:f>
              <c:strCache>
                <c:ptCount val="3"/>
                <c:pt idx="0">
                  <c:v>No – not reasonably practicable</c:v>
                </c:pt>
                <c:pt idx="1">
                  <c:v>No – not in best interests</c:v>
                </c:pt>
                <c:pt idx="2">
                  <c:v>Not recorded</c:v>
                </c:pt>
              </c:strCache>
            </c:strRef>
          </c:cat>
          <c:val>
            <c:numRef>
              <c:f>'2020-21 merged forensic'!$R$47:$R$49</c:f>
              <c:numCache>
                <c:formatCode>0.0%</c:formatCode>
                <c:ptCount val="3"/>
                <c:pt idx="0">
                  <c:v>0.80405551941010622</c:v>
                </c:pt>
                <c:pt idx="1">
                  <c:v>9.9219258295380613E-2</c:v>
                </c:pt>
                <c:pt idx="2">
                  <c:v>3.795272175233138E-2</c:v>
                </c:pt>
              </c:numCache>
            </c:numRef>
          </c:val>
          <c:extLst>
            <c:ext xmlns:c16="http://schemas.microsoft.com/office/drawing/2014/chart" uri="{C3380CC4-5D6E-409C-BE32-E72D297353CC}">
              <c16:uniqueId val="{00000006-34CE-49B7-8D9B-5C34E160EB74}"/>
            </c:ext>
          </c:extLst>
        </c:ser>
        <c:dLbls>
          <c:showLegendKey val="0"/>
          <c:showVal val="0"/>
          <c:showCatName val="0"/>
          <c:showSerName val="0"/>
          <c:showPercent val="0"/>
          <c:showBubbleSize val="0"/>
        </c:dLbls>
        <c:gapWidth val="100"/>
        <c:axId val="483633464"/>
        <c:axId val="483627888"/>
      </c:barChart>
      <c:catAx>
        <c:axId val="483633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Reason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83627888"/>
        <c:crosses val="autoZero"/>
        <c:auto val="1"/>
        <c:lblAlgn val="ctr"/>
        <c:lblOffset val="100"/>
        <c:noMultiLvlLbl val="0"/>
      </c:catAx>
      <c:valAx>
        <c:axId val="483627888"/>
        <c:scaling>
          <c:orientation val="minMax"/>
        </c:scaling>
        <c:delete val="0"/>
        <c:axPos val="l"/>
        <c:title>
          <c:tx>
            <c:rich>
              <a:bodyPr rot="0" spcFirstLastPara="1" vertOverflow="ellipsis"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Percentage</a:t>
                </a:r>
              </a:p>
            </c:rich>
          </c:tx>
          <c:layout>
            <c:manualLayout>
              <c:xMode val="edge"/>
              <c:yMode val="edge"/>
              <c:x val="0"/>
              <c:y val="1.6794242183141989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836334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001514595621781E-2"/>
          <c:y val="7.3664825046040522E-2"/>
          <c:w val="0.9121816762152043"/>
          <c:h val="0.57761082350893989"/>
        </c:manualLayout>
      </c:layout>
      <c:barChart>
        <c:barDir val="col"/>
        <c:grouping val="clustered"/>
        <c:varyColors val="0"/>
        <c:ser>
          <c:idx val="0"/>
          <c:order val="0"/>
          <c:tx>
            <c:strRef>
              <c:f>'Indefinite orders'!$D$75</c:f>
              <c:strCache>
                <c:ptCount val="1"/>
                <c:pt idx="0">
                  <c:v>Rate per 100,000 population</c:v>
                </c:pt>
              </c:strCache>
            </c:strRef>
          </c:tx>
          <c:spPr>
            <a:solidFill>
              <a:schemeClr val="accent1"/>
            </a:solidFill>
            <a:ln>
              <a:noFill/>
            </a:ln>
            <a:effectLst/>
          </c:spPr>
          <c:invertIfNegative val="0"/>
          <c:dPt>
            <c:idx val="20"/>
            <c:invertIfNegative val="0"/>
            <c:bubble3D val="0"/>
            <c:spPr>
              <a:solidFill>
                <a:schemeClr val="accent5"/>
              </a:solidFill>
              <a:ln>
                <a:noFill/>
              </a:ln>
              <a:effectLst/>
            </c:spPr>
            <c:extLst>
              <c:ext xmlns:c16="http://schemas.microsoft.com/office/drawing/2014/chart" uri="{C3380CC4-5D6E-409C-BE32-E72D297353CC}">
                <c16:uniqueId val="{00000001-1BCE-43F7-92FA-86DE177D7E55}"/>
              </c:ext>
            </c:extLst>
          </c:dPt>
          <c:dLbls>
            <c:dLbl>
              <c:idx val="5"/>
              <c:layout>
                <c:manualLayout>
                  <c:x val="-4.3806742049101052E-17"/>
                  <c:y val="9.28780035092297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CE-43F7-92FA-86DE177D7E55}"/>
                </c:ext>
              </c:extLst>
            </c:dLbl>
            <c:spPr>
              <a:noFill/>
              <a:ln>
                <a:noFill/>
              </a:ln>
              <a:effectLst/>
            </c:spPr>
            <c:txPr>
              <a:bodyPr rot="-5400000" spcFirstLastPara="1" vertOverflow="ellipsis" vert="horz" wrap="square" lIns="38100" tIns="19050" rIns="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'Indefinite orders'!$A$76:$A$96</c:f>
              <c:strCache>
                <c:ptCount val="21"/>
                <c:pt idx="0">
                  <c:v>Auckland</c:v>
                </c:pt>
                <c:pt idx="1">
                  <c:v>Bay of Plenty</c:v>
                </c:pt>
                <c:pt idx="2">
                  <c:v>Canterbury</c:v>
                </c:pt>
                <c:pt idx="3">
                  <c:v>Capital &amp; Coast </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Wairarapa</c:v>
                </c:pt>
                <c:pt idx="17">
                  <c:v>Waitematā</c:v>
                </c:pt>
                <c:pt idx="18">
                  <c:v>West Coast</c:v>
                </c:pt>
                <c:pt idx="19">
                  <c:v>Whanganui</c:v>
                </c:pt>
                <c:pt idx="20">
                  <c:v>National total</c:v>
                </c:pt>
              </c:strCache>
            </c:strRef>
          </c:cat>
          <c:val>
            <c:numRef>
              <c:f>'Indefinite orders'!$D$76:$D$96</c:f>
              <c:numCache>
                <c:formatCode>_-* #,##0.0_-;\-* #,##0.0_-;_-* "-"??_-;_-@_-</c:formatCode>
                <c:ptCount val="21"/>
                <c:pt idx="0">
                  <c:v>57.759179583898153</c:v>
                </c:pt>
                <c:pt idx="1">
                  <c:v>31.178392998009091</c:v>
                </c:pt>
                <c:pt idx="2">
                  <c:v>44.975978738628235</c:v>
                </c:pt>
                <c:pt idx="3">
                  <c:v>103.54440461967343</c:v>
                </c:pt>
                <c:pt idx="4">
                  <c:v>35.412060050873663</c:v>
                </c:pt>
                <c:pt idx="5">
                  <c:v>13.939224979091163</c:v>
                </c:pt>
                <c:pt idx="6">
                  <c:v>48.106959890041232</c:v>
                </c:pt>
                <c:pt idx="7">
                  <c:v>29.560810810810811</c:v>
                </c:pt>
                <c:pt idx="8">
                  <c:v>67.474232281372849</c:v>
                </c:pt>
                <c:pt idx="9">
                  <c:v>47.574915044794565</c:v>
                </c:pt>
                <c:pt idx="10">
                  <c:v>103.09804522023173</c:v>
                </c:pt>
                <c:pt idx="11">
                  <c:v>73.925271193250296</c:v>
                </c:pt>
                <c:pt idx="12">
                  <c:v>47.441834038805716</c:v>
                </c:pt>
                <c:pt idx="13">
                  <c:v>35.145953333984188</c:v>
                </c:pt>
                <c:pt idx="14">
                  <c:v>64.567556795536063</c:v>
                </c:pt>
                <c:pt idx="15">
                  <c:v>72.422767907660969</c:v>
                </c:pt>
                <c:pt idx="16">
                  <c:v>46.90527174467217</c:v>
                </c:pt>
                <c:pt idx="17">
                  <c:v>43.643792366979291</c:v>
                </c:pt>
                <c:pt idx="18">
                  <c:v>67.943174799258799</c:v>
                </c:pt>
                <c:pt idx="19">
                  <c:v>97.242380261248186</c:v>
                </c:pt>
                <c:pt idx="20">
                  <c:v>52.07748771016184</c:v>
                </c:pt>
              </c:numCache>
            </c:numRef>
          </c:val>
          <c:extLst>
            <c:ext xmlns:c16="http://schemas.microsoft.com/office/drawing/2014/chart" uri="{C3380CC4-5D6E-409C-BE32-E72D297353CC}">
              <c16:uniqueId val="{00000003-1BCE-43F7-92FA-86DE177D7E55}"/>
            </c:ext>
          </c:extLst>
        </c:ser>
        <c:dLbls>
          <c:showLegendKey val="0"/>
          <c:showVal val="0"/>
          <c:showCatName val="0"/>
          <c:showSerName val="0"/>
          <c:showPercent val="0"/>
          <c:showBubbleSize val="0"/>
        </c:dLbls>
        <c:gapWidth val="40"/>
        <c:overlap val="-12"/>
        <c:axId val="703984328"/>
        <c:axId val="703990560"/>
      </c:barChart>
      <c:catAx>
        <c:axId val="703984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DHB</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03990560"/>
        <c:crosses val="autoZero"/>
        <c:auto val="1"/>
        <c:lblAlgn val="ctr"/>
        <c:lblOffset val="100"/>
        <c:noMultiLvlLbl val="0"/>
      </c:catAx>
      <c:valAx>
        <c:axId val="703990560"/>
        <c:scaling>
          <c:orientation val="minMax"/>
          <c:max val="110"/>
          <c:min val="0"/>
        </c:scaling>
        <c:delete val="0"/>
        <c:axPos val="l"/>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Rate</a:t>
                </a:r>
              </a:p>
            </c:rich>
          </c:tx>
          <c:layout>
            <c:manualLayout>
              <c:xMode val="edge"/>
              <c:yMode val="edge"/>
              <c:x val="0"/>
              <c:y val="1.1348443323037632E-3"/>
            </c:manualLayout>
          </c:layout>
          <c:overlay val="0"/>
          <c:spPr>
            <a:noFill/>
            <a:ln>
              <a:noFill/>
            </a:ln>
            <a:effectLst/>
          </c:spPr>
        </c:title>
        <c:numFmt formatCode="#,##0.0" sourceLinked="0"/>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03984328"/>
        <c:crosses val="autoZero"/>
        <c:crossBetween val="between"/>
        <c:majorUnit val="10"/>
        <c:min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808518164566732E-2"/>
          <c:y val="7.2686775691500088E-2"/>
          <c:w val="0.90688942177090115"/>
          <c:h val="0.55447122955784367"/>
        </c:manualLayout>
      </c:layout>
      <c:barChart>
        <c:barDir val="col"/>
        <c:grouping val="clustered"/>
        <c:varyColors val="0"/>
        <c:ser>
          <c:idx val="0"/>
          <c:order val="0"/>
          <c:tx>
            <c:strRef>
              <c:f>'Indefinite orders'!$H$130</c:f>
              <c:strCache>
                <c:ptCount val="1"/>
                <c:pt idx="0">
                  <c:v>Rate Ratio Maori: Non-Maori</c:v>
                </c:pt>
              </c:strCache>
            </c:strRef>
          </c:tx>
          <c:spPr>
            <a:solidFill>
              <a:schemeClr val="accent1"/>
            </a:solidFill>
            <a:ln>
              <a:noFill/>
            </a:ln>
            <a:effectLst/>
          </c:spPr>
          <c:invertIfNegative val="0"/>
          <c:dPt>
            <c:idx val="20"/>
            <c:invertIfNegative val="0"/>
            <c:bubble3D val="0"/>
            <c:spPr>
              <a:solidFill>
                <a:schemeClr val="accent5"/>
              </a:solidFill>
              <a:ln>
                <a:noFill/>
              </a:ln>
              <a:effectLst/>
            </c:spPr>
            <c:extLst>
              <c:ext xmlns:c16="http://schemas.microsoft.com/office/drawing/2014/chart" uri="{C3380CC4-5D6E-409C-BE32-E72D297353CC}">
                <c16:uniqueId val="{00000001-BA6D-4454-A688-37EEF240525D}"/>
              </c:ext>
            </c:extLst>
          </c:dPt>
          <c:dLbls>
            <c:spPr>
              <a:noFill/>
              <a:ln>
                <a:noFill/>
              </a:ln>
              <a:effectLst/>
            </c:spPr>
            <c:txPr>
              <a:bodyPr rot="0" spcFirstLastPara="1" vertOverflow="ellipsis" vert="horz" wrap="square" lIns="0" tIns="0" rIns="360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'Indefinite orders'!$A$131:$A$151</c:f>
              <c:strCache>
                <c:ptCount val="21"/>
                <c:pt idx="0">
                  <c:v>Auckland</c:v>
                </c:pt>
                <c:pt idx="1">
                  <c:v>Bay of Plenty</c:v>
                </c:pt>
                <c:pt idx="2">
                  <c:v>Canterbury</c:v>
                </c:pt>
                <c:pt idx="3">
                  <c:v>Capital &amp; Coast </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Wairarapa</c:v>
                </c:pt>
                <c:pt idx="17">
                  <c:v>Waitematā</c:v>
                </c:pt>
                <c:pt idx="18">
                  <c:v>West Coast</c:v>
                </c:pt>
                <c:pt idx="19">
                  <c:v>Whanganui</c:v>
                </c:pt>
                <c:pt idx="20">
                  <c:v>National total</c:v>
                </c:pt>
              </c:strCache>
            </c:strRef>
          </c:cat>
          <c:val>
            <c:numRef>
              <c:f>'Indefinite orders'!$H$131:$H$151</c:f>
              <c:numCache>
                <c:formatCode>_-* #,##0.0_-;\-* #,##0.0_-;_-* "-"??_-;_-@_-</c:formatCode>
                <c:ptCount val="21"/>
                <c:pt idx="0">
                  <c:v>3.3258733328873902</c:v>
                </c:pt>
                <c:pt idx="1">
                  <c:v>4.7514002024836755</c:v>
                </c:pt>
                <c:pt idx="2">
                  <c:v>2.7404674499926309</c:v>
                </c:pt>
                <c:pt idx="3">
                  <c:v>2.7699297732949999</c:v>
                </c:pt>
                <c:pt idx="4">
                  <c:v>3.3902102682196515</c:v>
                </c:pt>
                <c:pt idx="5">
                  <c:v>4.5322250808100799</c:v>
                </c:pt>
                <c:pt idx="6">
                  <c:v>3.573408179631115</c:v>
                </c:pt>
                <c:pt idx="7">
                  <c:v>2.4829558196905133</c:v>
                </c:pt>
                <c:pt idx="8">
                  <c:v>2.6837122041422612</c:v>
                </c:pt>
                <c:pt idx="9">
                  <c:v>2.5321671688427632</c:v>
                </c:pt>
                <c:pt idx="10">
                  <c:v>3.8773200441977087</c:v>
                </c:pt>
                <c:pt idx="11">
                  <c:v>3.0116375121477161</c:v>
                </c:pt>
                <c:pt idx="12">
                  <c:v>1.9960756229200607</c:v>
                </c:pt>
                <c:pt idx="13">
                  <c:v>1.6490915568222302</c:v>
                </c:pt>
                <c:pt idx="14">
                  <c:v>3.1565158978952077</c:v>
                </c:pt>
                <c:pt idx="15">
                  <c:v>4.5827367841409696</c:v>
                </c:pt>
                <c:pt idx="16">
                  <c:v>4.006526104417671</c:v>
                </c:pt>
                <c:pt idx="17">
                  <c:v>3.2732642571591737</c:v>
                </c:pt>
                <c:pt idx="18">
                  <c:v>1.5588558855885588</c:v>
                </c:pt>
                <c:pt idx="19">
                  <c:v>2.4500526553332325</c:v>
                </c:pt>
                <c:pt idx="20">
                  <c:v>2.9361460557979875</c:v>
                </c:pt>
              </c:numCache>
            </c:numRef>
          </c:val>
          <c:extLst>
            <c:ext xmlns:c16="http://schemas.microsoft.com/office/drawing/2014/chart" uri="{C3380CC4-5D6E-409C-BE32-E72D297353CC}">
              <c16:uniqueId val="{00000002-BA6D-4454-A688-37EEF240525D}"/>
            </c:ext>
          </c:extLst>
        </c:ser>
        <c:dLbls>
          <c:dLblPos val="inEnd"/>
          <c:showLegendKey val="0"/>
          <c:showVal val="1"/>
          <c:showCatName val="0"/>
          <c:showSerName val="0"/>
          <c:showPercent val="0"/>
          <c:showBubbleSize val="0"/>
        </c:dLbls>
        <c:gapWidth val="30"/>
        <c:overlap val="-12"/>
        <c:axId val="638809760"/>
        <c:axId val="638808120"/>
      </c:barChart>
      <c:catAx>
        <c:axId val="638809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DHB</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38808120"/>
        <c:crosses val="autoZero"/>
        <c:auto val="1"/>
        <c:lblAlgn val="ctr"/>
        <c:lblOffset val="100"/>
        <c:noMultiLvlLbl val="0"/>
      </c:catAx>
      <c:valAx>
        <c:axId val="638808120"/>
        <c:scaling>
          <c:orientation val="minMax"/>
        </c:scaling>
        <c:delete val="0"/>
        <c:axPos val="l"/>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Rate ratio</a:t>
                </a:r>
              </a:p>
            </c:rich>
          </c:tx>
          <c:layout>
            <c:manualLayout>
              <c:xMode val="edge"/>
              <c:yMode val="edge"/>
              <c:x val="0"/>
              <c:y val="4.0386979491340742E-3"/>
            </c:manualLayout>
          </c:layout>
          <c:overlay val="0"/>
          <c:spPr>
            <a:noFill/>
            <a:ln>
              <a:noFill/>
            </a:ln>
            <a:effectLst/>
          </c:spPr>
        </c:title>
        <c:numFmt formatCode="_-* #,##0.0_-;\-* #,##0.0_-;_-* &quot;-&quot;??_-;_-@_-"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38809760"/>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498031496062983E-2"/>
          <c:y val="0.11574074074074074"/>
          <c:w val="0.86994641294838149"/>
          <c:h val="0.80000801983085446"/>
        </c:manualLayout>
      </c:layout>
      <c:barChart>
        <c:barDir val="col"/>
        <c:grouping val="clustered"/>
        <c:varyColors val="0"/>
        <c:ser>
          <c:idx val="0"/>
          <c:order val="0"/>
          <c:tx>
            <c:v>Māori</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'Indefinite orders'!$B$198:$B$199</c:f>
              <c:strCache>
                <c:ptCount val="2"/>
                <c:pt idx="0">
                  <c:v> Female </c:v>
                </c:pt>
                <c:pt idx="1">
                  <c:v> Male </c:v>
                </c:pt>
              </c:strCache>
            </c:strRef>
          </c:cat>
          <c:val>
            <c:numRef>
              <c:f>'Indefinite orders'!$C$198:$C$199</c:f>
              <c:numCache>
                <c:formatCode>_-* #,##0_-;\-* #,##0_-;_-* "-"??_-;_-@_-</c:formatCode>
                <c:ptCount val="2"/>
                <c:pt idx="0">
                  <c:v>315</c:v>
                </c:pt>
                <c:pt idx="1">
                  <c:v>736</c:v>
                </c:pt>
              </c:numCache>
            </c:numRef>
          </c:val>
          <c:extLst>
            <c:ext xmlns:c16="http://schemas.microsoft.com/office/drawing/2014/chart" uri="{C3380CC4-5D6E-409C-BE32-E72D297353CC}">
              <c16:uniqueId val="{00000000-D3DE-4AD9-BA49-39C24B488178}"/>
            </c:ext>
          </c:extLst>
        </c:ser>
        <c:ser>
          <c:idx val="1"/>
          <c:order val="1"/>
          <c:tx>
            <c:v>Non-Māori</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'Indefinite orders'!$B$198:$B$199</c:f>
              <c:strCache>
                <c:ptCount val="2"/>
                <c:pt idx="0">
                  <c:v> Female </c:v>
                </c:pt>
                <c:pt idx="1">
                  <c:v> Male </c:v>
                </c:pt>
              </c:strCache>
            </c:strRef>
          </c:cat>
          <c:val>
            <c:numRef>
              <c:f>'Indefinite orders'!$D$198:$D$199</c:f>
              <c:numCache>
                <c:formatCode>_-* #,##0_-;\-* #,##0_-;_-* "-"??_-;_-@_-</c:formatCode>
                <c:ptCount val="2"/>
                <c:pt idx="0">
                  <c:v>552</c:v>
                </c:pt>
                <c:pt idx="1">
                  <c:v>1158</c:v>
                </c:pt>
              </c:numCache>
            </c:numRef>
          </c:val>
          <c:extLst>
            <c:ext xmlns:c16="http://schemas.microsoft.com/office/drawing/2014/chart" uri="{C3380CC4-5D6E-409C-BE32-E72D297353CC}">
              <c16:uniqueId val="{00000001-D3DE-4AD9-BA49-39C24B488178}"/>
            </c:ext>
          </c:extLst>
        </c:ser>
        <c:dLbls>
          <c:dLblPos val="inEnd"/>
          <c:showLegendKey val="0"/>
          <c:showVal val="1"/>
          <c:showCatName val="0"/>
          <c:showSerName val="0"/>
          <c:showPercent val="0"/>
          <c:showBubbleSize val="0"/>
        </c:dLbls>
        <c:gapWidth val="40"/>
        <c:overlap val="-12"/>
        <c:axId val="727204896"/>
        <c:axId val="727211128"/>
      </c:barChart>
      <c:catAx>
        <c:axId val="727204896"/>
        <c:scaling>
          <c:orientation val="minMax"/>
        </c:scaling>
        <c:delete val="0"/>
        <c:axPos val="b"/>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27211128"/>
        <c:crosses val="autoZero"/>
        <c:auto val="1"/>
        <c:lblAlgn val="ctr"/>
        <c:lblOffset val="100"/>
        <c:noMultiLvlLbl val="0"/>
      </c:catAx>
      <c:valAx>
        <c:axId val="727211128"/>
        <c:scaling>
          <c:orientation val="minMax"/>
          <c:max val="1200"/>
        </c:scaling>
        <c:delete val="0"/>
        <c:axPos val="l"/>
        <c:title>
          <c:tx>
            <c:rich>
              <a:bodyPr rot="0" spcFirstLastPara="1" vertOverflow="ellipsis"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Number</a:t>
                </a:r>
              </a:p>
            </c:rich>
          </c:tx>
          <c:layout>
            <c:manualLayout>
              <c:xMode val="edge"/>
              <c:yMode val="edge"/>
              <c:x val="0"/>
              <c:y val="3.9851268591425777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title>
        <c:numFmt formatCode="_-* #,##0_-;\-* #,##0_-;_-* &quot;-&quot;??_-;_-@_-"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27204896"/>
        <c:crosses val="autoZero"/>
        <c:crossBetween val="between"/>
        <c:minorUnit val="100"/>
      </c:valAx>
      <c:spPr>
        <a:noFill/>
        <a:ln>
          <a:noFill/>
        </a:ln>
        <a:effectLst/>
      </c:spPr>
    </c:plotArea>
    <c:legend>
      <c:legendPos val="b"/>
      <c:layout>
        <c:manualLayout>
          <c:xMode val="edge"/>
          <c:yMode val="edge"/>
          <c:x val="0.66792418646784191"/>
          <c:y val="5.7815689705453485E-4"/>
          <c:w val="0.28928622860195574"/>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298478774815183E-2"/>
          <c:y val="8.5867560473859683E-2"/>
          <c:w val="0.90399907343717656"/>
          <c:h val="0.67294134685866969"/>
        </c:manualLayout>
      </c:layout>
      <c:lineChart>
        <c:grouping val="standard"/>
        <c:varyColors val="0"/>
        <c:ser>
          <c:idx val="0"/>
          <c:order val="0"/>
          <c:tx>
            <c:v>Community CTO</c:v>
          </c:tx>
          <c:spPr>
            <a:ln w="28575" cap="rnd">
              <a:solidFill>
                <a:schemeClr val="accent1"/>
              </a:solidFill>
              <a:round/>
            </a:ln>
            <a:effectLst/>
          </c:spPr>
          <c:marker>
            <c:symbol val="none"/>
          </c:marker>
          <c:cat>
            <c:strRef>
              <c:f>Justice!$B$36:$B$52</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Justice!$D$36:$D$52</c:f>
              <c:numCache>
                <c:formatCode>#,##0</c:formatCode>
                <c:ptCount val="17"/>
                <c:pt idx="0">
                  <c:v>1816</c:v>
                </c:pt>
                <c:pt idx="1">
                  <c:v>1519</c:v>
                </c:pt>
                <c:pt idx="2">
                  <c:v>1730</c:v>
                </c:pt>
                <c:pt idx="3">
                  <c:v>1676</c:v>
                </c:pt>
                <c:pt idx="4">
                  <c:v>2020</c:v>
                </c:pt>
                <c:pt idx="5">
                  <c:v>2148</c:v>
                </c:pt>
                <c:pt idx="6">
                  <c:v>2283</c:v>
                </c:pt>
                <c:pt idx="7">
                  <c:v>2297</c:v>
                </c:pt>
                <c:pt idx="8">
                  <c:v>2591</c:v>
                </c:pt>
                <c:pt idx="9">
                  <c:v>2616</c:v>
                </c:pt>
                <c:pt idx="10">
                  <c:v>2688</c:v>
                </c:pt>
                <c:pt idx="11">
                  <c:v>2897</c:v>
                </c:pt>
                <c:pt idx="12">
                  <c:v>2727</c:v>
                </c:pt>
                <c:pt idx="13">
                  <c:v>2594</c:v>
                </c:pt>
                <c:pt idx="14">
                  <c:v>2748</c:v>
                </c:pt>
                <c:pt idx="15">
                  <c:v>2898</c:v>
                </c:pt>
                <c:pt idx="16">
                  <c:v>3031</c:v>
                </c:pt>
              </c:numCache>
            </c:numRef>
          </c:val>
          <c:smooth val="0"/>
          <c:extLst>
            <c:ext xmlns:c16="http://schemas.microsoft.com/office/drawing/2014/chart" uri="{C3380CC4-5D6E-409C-BE32-E72D297353CC}">
              <c16:uniqueId val="{00000000-ADF0-4ED1-854A-B044007817E2}"/>
            </c:ext>
          </c:extLst>
        </c:ser>
        <c:ser>
          <c:idx val="1"/>
          <c:order val="1"/>
          <c:tx>
            <c:v>Inpatient CTO</c:v>
          </c:tx>
          <c:spPr>
            <a:ln w="28575" cap="rnd">
              <a:solidFill>
                <a:schemeClr val="accent2"/>
              </a:solidFill>
              <a:round/>
            </a:ln>
            <a:effectLst/>
          </c:spPr>
          <c:marker>
            <c:symbol val="none"/>
          </c:marker>
          <c:cat>
            <c:strRef>
              <c:f>Justice!$B$36:$B$52</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Justice!$E$36:$E$52</c:f>
              <c:numCache>
                <c:formatCode>#,##0</c:formatCode>
                <c:ptCount val="17"/>
                <c:pt idx="0">
                  <c:v>1585</c:v>
                </c:pt>
                <c:pt idx="1">
                  <c:v>1364</c:v>
                </c:pt>
                <c:pt idx="2">
                  <c:v>1411</c:v>
                </c:pt>
                <c:pt idx="3">
                  <c:v>1293</c:v>
                </c:pt>
                <c:pt idx="4">
                  <c:v>1520</c:v>
                </c:pt>
                <c:pt idx="5">
                  <c:v>1628</c:v>
                </c:pt>
                <c:pt idx="6">
                  <c:v>1668</c:v>
                </c:pt>
                <c:pt idx="7">
                  <c:v>1664</c:v>
                </c:pt>
                <c:pt idx="8">
                  <c:v>1731</c:v>
                </c:pt>
                <c:pt idx="9">
                  <c:v>1756</c:v>
                </c:pt>
                <c:pt idx="10">
                  <c:v>1782</c:v>
                </c:pt>
                <c:pt idx="11">
                  <c:v>1822</c:v>
                </c:pt>
                <c:pt idx="12">
                  <c:v>1654</c:v>
                </c:pt>
                <c:pt idx="13">
                  <c:v>1710</c:v>
                </c:pt>
                <c:pt idx="14">
                  <c:v>1814</c:v>
                </c:pt>
                <c:pt idx="15">
                  <c:v>1747</c:v>
                </c:pt>
                <c:pt idx="16">
                  <c:v>1939</c:v>
                </c:pt>
              </c:numCache>
            </c:numRef>
          </c:val>
          <c:smooth val="0"/>
          <c:extLst>
            <c:ext xmlns:c16="http://schemas.microsoft.com/office/drawing/2014/chart" uri="{C3380CC4-5D6E-409C-BE32-E72D297353CC}">
              <c16:uniqueId val="{00000001-ADF0-4ED1-854A-B044007817E2}"/>
            </c:ext>
          </c:extLst>
        </c:ser>
        <c:dLbls>
          <c:showLegendKey val="0"/>
          <c:showVal val="0"/>
          <c:showCatName val="0"/>
          <c:showSerName val="0"/>
          <c:showPercent val="0"/>
          <c:showBubbleSize val="0"/>
        </c:dLbls>
        <c:smooth val="0"/>
        <c:axId val="728681496"/>
        <c:axId val="728680184"/>
      </c:lineChart>
      <c:catAx>
        <c:axId val="728681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Financial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out"/>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680184"/>
        <c:crosses val="autoZero"/>
        <c:auto val="1"/>
        <c:lblAlgn val="ctr"/>
        <c:lblOffset val="100"/>
        <c:noMultiLvlLbl val="0"/>
      </c:catAx>
      <c:valAx>
        <c:axId val="728680184"/>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a:t>
                </a:r>
              </a:p>
            </c:rich>
          </c:tx>
          <c:layout>
            <c:manualLayout>
              <c:xMode val="edge"/>
              <c:yMode val="edge"/>
              <c:x val="0"/>
              <c:y val="1.5328320446430588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681496"/>
        <c:crosses val="autoZero"/>
        <c:crossBetween val="between"/>
        <c:minorUnit val="25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948670238425734E-2"/>
          <c:y val="7.7348066298342538E-2"/>
          <c:w val="0.91954445304239441"/>
          <c:h val="0.56512492568263217"/>
        </c:manualLayout>
      </c:layout>
      <c:barChart>
        <c:barDir val="col"/>
        <c:grouping val="clustered"/>
        <c:varyColors val="0"/>
        <c:ser>
          <c:idx val="0"/>
          <c:order val="0"/>
          <c:tx>
            <c:strRef>
              <c:f>'Indefinite orders'!$D$75</c:f>
              <c:strCache>
                <c:ptCount val="1"/>
                <c:pt idx="0">
                  <c:v>Rate per 100,000 population</c:v>
                </c:pt>
              </c:strCache>
            </c:strRef>
          </c:tx>
          <c:spPr>
            <a:solidFill>
              <a:schemeClr val="accent1"/>
            </a:solidFill>
            <a:ln>
              <a:noFill/>
            </a:ln>
            <a:effectLst/>
          </c:spPr>
          <c:invertIfNegative val="0"/>
          <c:dPt>
            <c:idx val="16"/>
            <c:invertIfNegative val="0"/>
            <c:bubble3D val="0"/>
            <c:spPr>
              <a:solidFill>
                <a:schemeClr val="accent2"/>
              </a:solidFill>
              <a:ln>
                <a:noFill/>
              </a:ln>
              <a:effectLst/>
            </c:spPr>
            <c:extLst>
              <c:ext xmlns:c16="http://schemas.microsoft.com/office/drawing/2014/chart" uri="{C3380CC4-5D6E-409C-BE32-E72D297353CC}">
                <c16:uniqueId val="{00000001-4D9A-4503-BEA4-99C80C070B66}"/>
              </c:ext>
            </c:extLst>
          </c:dPt>
          <c:dLbls>
            <c:dLbl>
              <c:idx val="0"/>
              <c:spPr>
                <a:noFill/>
                <a:ln>
                  <a:noFill/>
                </a:ln>
                <a:effectLst/>
              </c:spPr>
              <c:txPr>
                <a:bodyPr rot="0" spcFirstLastPara="1" vertOverflow="ellipsis" vert="horz" wrap="square" lIns="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2-4D9A-4503-BEA4-99C80C070B66}"/>
                </c:ext>
              </c:extLst>
            </c:dLbl>
            <c:dLbl>
              <c:idx val="1"/>
              <c:spPr>
                <a:noFill/>
                <a:ln>
                  <a:noFill/>
                </a:ln>
                <a:effectLst/>
              </c:spPr>
              <c:txPr>
                <a:bodyPr rot="0" spcFirstLastPara="1" vertOverflow="ellipsis" vert="horz" wrap="square" lIns="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4D9A-4503-BEA4-99C80C070B66}"/>
                </c:ext>
              </c:extLst>
            </c:dLbl>
            <c:dLbl>
              <c:idx val="2"/>
              <c:spPr>
                <a:noFill/>
                <a:ln>
                  <a:noFill/>
                </a:ln>
                <a:effectLst/>
              </c:spPr>
              <c:txPr>
                <a:bodyPr rot="0" spcFirstLastPara="1" vertOverflow="ellipsis" vert="horz" wrap="square" lIns="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4-4D9A-4503-BEA4-99C80C070B66}"/>
                </c:ext>
              </c:extLst>
            </c:dLbl>
            <c:dLbl>
              <c:idx val="3"/>
              <c:spPr>
                <a:noFill/>
                <a:ln>
                  <a:noFill/>
                </a:ln>
                <a:effectLst/>
              </c:spPr>
              <c:txPr>
                <a:bodyPr rot="0" spcFirstLastPara="1" vertOverflow="ellipsis" vert="horz" wrap="square" lIns="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4D9A-4503-BEA4-99C80C070B66}"/>
                </c:ext>
              </c:extLst>
            </c:dLbl>
            <c:dLbl>
              <c:idx val="4"/>
              <c:layout>
                <c:manualLayout>
                  <c:x val="0"/>
                  <c:y val="2.28485665811109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9A-4503-BEA4-99C80C070B66}"/>
                </c:ext>
              </c:extLst>
            </c:dLbl>
            <c:dLbl>
              <c:idx val="5"/>
              <c:layout>
                <c:manualLayout>
                  <c:x val="-4.5844264935105749E-17"/>
                  <c:y val="2.0459970128043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D9A-4503-BEA4-99C80C070B66}"/>
                </c:ext>
              </c:extLst>
            </c:dLbl>
            <c:dLbl>
              <c:idx val="6"/>
              <c:spPr>
                <a:noFill/>
                <a:ln>
                  <a:noFill/>
                </a:ln>
                <a:effectLst/>
              </c:spPr>
              <c:txPr>
                <a:bodyPr rot="0" spcFirstLastPara="1" vertOverflow="ellipsis" vert="horz" wrap="square" lIns="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8-4D9A-4503-BEA4-99C80C070B66}"/>
                </c:ext>
              </c:extLst>
            </c:dLbl>
            <c:dLbl>
              <c:idx val="7"/>
              <c:spPr>
                <a:noFill/>
                <a:ln>
                  <a:noFill/>
                </a:ln>
                <a:effectLst/>
              </c:spPr>
              <c:txPr>
                <a:bodyPr rot="0" spcFirstLastPara="1" vertOverflow="ellipsis" vert="horz" wrap="square" lIns="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4D9A-4503-BEA4-99C80C070B66}"/>
                </c:ext>
              </c:extLst>
            </c:dLbl>
            <c:dLbl>
              <c:idx val="8"/>
              <c:spPr>
                <a:noFill/>
                <a:ln>
                  <a:noFill/>
                </a:ln>
                <a:effectLst/>
              </c:spPr>
              <c:txPr>
                <a:bodyPr rot="0" spcFirstLastPara="1" vertOverflow="ellipsis" vert="horz" wrap="square" lIns="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A-4D9A-4503-BEA4-99C80C070B66}"/>
                </c:ext>
              </c:extLst>
            </c:dLbl>
            <c:dLbl>
              <c:idx val="9"/>
              <c:layout>
                <c:manualLayout>
                  <c:x val="0"/>
                  <c:y val="1.77935354765736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D9A-4503-BEA4-99C80C070B66}"/>
                </c:ext>
              </c:extLst>
            </c:dLbl>
            <c:dLbl>
              <c:idx val="10"/>
              <c:spPr>
                <a:noFill/>
                <a:ln>
                  <a:noFill/>
                </a:ln>
                <a:effectLst/>
              </c:spPr>
              <c:txPr>
                <a:bodyPr rot="0" spcFirstLastPara="1" vertOverflow="ellipsis" vert="horz" wrap="square" lIns="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C-4D9A-4503-BEA4-99C80C070B66}"/>
                </c:ext>
              </c:extLst>
            </c:dLbl>
            <c:dLbl>
              <c:idx val="11"/>
              <c:layout>
                <c:manualLayout>
                  <c:x val="0"/>
                  <c:y val="1.92650918635170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D9A-4503-BEA4-99C80C070B66}"/>
                </c:ext>
              </c:extLst>
            </c:dLbl>
            <c:dLbl>
              <c:idx val="12"/>
              <c:spPr>
                <a:noFill/>
                <a:ln>
                  <a:noFill/>
                </a:ln>
                <a:effectLst/>
              </c:spPr>
              <c:txPr>
                <a:bodyPr rot="0" spcFirstLastPara="1" vertOverflow="ellipsis" vert="horz" wrap="square" lIns="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E-4D9A-4503-BEA4-99C80C070B66}"/>
                </c:ext>
              </c:extLst>
            </c:dLbl>
            <c:dLbl>
              <c:idx val="13"/>
              <c:spPr>
                <a:noFill/>
                <a:ln>
                  <a:noFill/>
                </a:ln>
                <a:effectLst/>
              </c:spPr>
              <c:txPr>
                <a:bodyPr rot="0" spcFirstLastPara="1" vertOverflow="ellipsis" vert="horz" wrap="square" lIns="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F-4D9A-4503-BEA4-99C80C070B66}"/>
                </c:ext>
              </c:extLst>
            </c:dLbl>
            <c:dLbl>
              <c:idx val="14"/>
              <c:spPr>
                <a:noFill/>
                <a:ln>
                  <a:noFill/>
                </a:ln>
                <a:effectLst/>
              </c:spPr>
              <c:txPr>
                <a:bodyPr rot="0" spcFirstLastPara="1" vertOverflow="ellipsis" vert="horz" wrap="square" lIns="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0-4D9A-4503-BEA4-99C80C070B66}"/>
                </c:ext>
              </c:extLst>
            </c:dLbl>
            <c:dLbl>
              <c:idx val="15"/>
              <c:spPr>
                <a:noFill/>
                <a:ln>
                  <a:noFill/>
                </a:ln>
                <a:effectLst/>
              </c:spPr>
              <c:txPr>
                <a:bodyPr rot="0" spcFirstLastPara="1" vertOverflow="ellipsis" vert="horz" wrap="square" lIns="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1-4D9A-4503-BEA4-99C80C070B66}"/>
                </c:ext>
              </c:extLst>
            </c:dLbl>
            <c:dLbl>
              <c:idx val="16"/>
              <c:spPr>
                <a:noFill/>
                <a:ln>
                  <a:noFill/>
                </a:ln>
                <a:effectLst/>
              </c:spPr>
              <c:txPr>
                <a:bodyPr rot="0" spcFirstLastPara="1" vertOverflow="ellipsis" vert="horz" wrap="square" lIns="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4D9A-4503-BEA4-99C80C070B66}"/>
                </c:ext>
              </c:extLst>
            </c:dLbl>
            <c:spPr>
              <a:noFill/>
              <a:ln>
                <a:noFill/>
              </a:ln>
              <a:effectLst/>
            </c:spPr>
            <c:txPr>
              <a:bodyPr rot="0" spcFirstLastPara="1" vertOverflow="ellipsis" vert="horz" wrap="square" lIns="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prstDash val="solid"/>
                      <a:round/>
                    </a:ln>
                    <a:effectLst/>
                  </c:spPr>
                </c15:leaderLines>
              </c:ext>
            </c:extLst>
          </c:dLbls>
          <c:cat>
            <c:strRef>
              <c:f>'Indefinite orders'!$A$103:$A$123</c:f>
              <c:strCache>
                <c:ptCount val="17"/>
                <c:pt idx="0">
                  <c:v>Auckland</c:v>
                </c:pt>
                <c:pt idx="1">
                  <c:v>Bay of Plenty</c:v>
                </c:pt>
                <c:pt idx="2">
                  <c:v>Canterbury</c:v>
                </c:pt>
                <c:pt idx="3">
                  <c:v>Capital &amp; Coast </c:v>
                </c:pt>
                <c:pt idx="4">
                  <c:v>Counties Manukau</c:v>
                </c:pt>
                <c:pt idx="5">
                  <c:v>Hawke's Bay</c:v>
                </c:pt>
                <c:pt idx="6">
                  <c:v>Hutt Valley</c:v>
                </c:pt>
                <c:pt idx="7">
                  <c:v>MidCentral</c:v>
                </c:pt>
                <c:pt idx="8">
                  <c:v>Nelson Marlborough</c:v>
                </c:pt>
                <c:pt idx="9">
                  <c:v>Northland</c:v>
                </c:pt>
                <c:pt idx="10">
                  <c:v>Southern</c:v>
                </c:pt>
                <c:pt idx="11">
                  <c:v>Taranaki</c:v>
                </c:pt>
                <c:pt idx="12">
                  <c:v>Waikato</c:v>
                </c:pt>
                <c:pt idx="13">
                  <c:v>Waitematā</c:v>
                </c:pt>
                <c:pt idx="14">
                  <c:v>West Coast</c:v>
                </c:pt>
                <c:pt idx="15">
                  <c:v>Whanganui</c:v>
                </c:pt>
                <c:pt idx="16">
                  <c:v>National total</c:v>
                </c:pt>
              </c:strCache>
            </c:strRef>
          </c:cat>
          <c:val>
            <c:numRef>
              <c:f>'Indefinite orders'!$D$103:$D$123</c:f>
              <c:numCache>
                <c:formatCode>_-* #,##0.0_-;\-* #,##0.0_-;_-* "-"??_-;_-@_-</c:formatCode>
                <c:ptCount val="17"/>
                <c:pt idx="0">
                  <c:v>2.1610577395336046</c:v>
                </c:pt>
                <c:pt idx="1">
                  <c:v>2.6295030239284776</c:v>
                </c:pt>
                <c:pt idx="2">
                  <c:v>3.407271116562745</c:v>
                </c:pt>
                <c:pt idx="3">
                  <c:v>18.074319149587964</c:v>
                </c:pt>
                <c:pt idx="4">
                  <c:v>1.3300304244459591</c:v>
                </c:pt>
                <c:pt idx="5">
                  <c:v>1.1151379983272931</c:v>
                </c:pt>
                <c:pt idx="6">
                  <c:v>2.4990628514307134</c:v>
                </c:pt>
                <c:pt idx="7">
                  <c:v>2.6564658378493249</c:v>
                </c:pt>
                <c:pt idx="8">
                  <c:v>2.4714241581711462</c:v>
                </c:pt>
                <c:pt idx="9">
                  <c:v>1.0207727249527894</c:v>
                </c:pt>
                <c:pt idx="10">
                  <c:v>3.9771597397801202</c:v>
                </c:pt>
                <c:pt idx="11">
                  <c:v>1.5942606616181745</c:v>
                </c:pt>
                <c:pt idx="12">
                  <c:v>5.2053864433631327</c:v>
                </c:pt>
                <c:pt idx="13">
                  <c:v>3.7143653078280248</c:v>
                </c:pt>
                <c:pt idx="14">
                  <c:v>3.0883261272390365</c:v>
                </c:pt>
                <c:pt idx="15">
                  <c:v>13.062409288824382</c:v>
                </c:pt>
                <c:pt idx="16">
                  <c:v>3.7477052625004026</c:v>
                </c:pt>
              </c:numCache>
            </c:numRef>
          </c:val>
          <c:extLst>
            <c:ext xmlns:c16="http://schemas.microsoft.com/office/drawing/2014/chart" uri="{C3380CC4-5D6E-409C-BE32-E72D297353CC}">
              <c16:uniqueId val="{00000012-4D9A-4503-BEA4-99C80C070B66}"/>
            </c:ext>
          </c:extLst>
        </c:ser>
        <c:dLbls>
          <c:showLegendKey val="0"/>
          <c:showVal val="0"/>
          <c:showCatName val="0"/>
          <c:showSerName val="0"/>
          <c:showPercent val="0"/>
          <c:showBubbleSize val="0"/>
        </c:dLbls>
        <c:gapWidth val="30"/>
        <c:overlap val="-12"/>
        <c:axId val="703984328"/>
        <c:axId val="703990560"/>
      </c:barChart>
      <c:catAx>
        <c:axId val="703984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DHB</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prstDash val="solid"/>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990560"/>
        <c:crosses val="autoZero"/>
        <c:auto val="1"/>
        <c:lblAlgn val="ctr"/>
        <c:lblOffset val="100"/>
        <c:noMultiLvlLbl val="0"/>
      </c:catAx>
      <c:valAx>
        <c:axId val="703990560"/>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Rate</a:t>
                </a:r>
              </a:p>
            </c:rich>
          </c:tx>
          <c:layout>
            <c:manualLayout>
              <c:xMode val="edge"/>
              <c:yMode val="edge"/>
              <c:x val="1.6506095027693931E-3"/>
              <c:y val="4.1675729760300921E-4"/>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out"/>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984328"/>
        <c:crosses val="autoZero"/>
        <c:crossBetween val="between"/>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683494578841375E-2"/>
          <c:y val="8.8593576965669996E-2"/>
          <c:w val="0.9025996277289513"/>
          <c:h val="0.56972994654737918"/>
        </c:manualLayout>
      </c:layout>
      <c:barChart>
        <c:barDir val="col"/>
        <c:grouping val="clustered"/>
        <c:varyColors val="0"/>
        <c:ser>
          <c:idx val="0"/>
          <c:order val="0"/>
          <c:tx>
            <c:strRef>
              <c:f>'Indefinite orders'!$R$130</c:f>
              <c:strCache>
                <c:ptCount val="1"/>
                <c:pt idx="0">
                  <c:v>Rate Ratio Maori: Non-Maori</c:v>
                </c:pt>
              </c:strCache>
            </c:strRef>
          </c:tx>
          <c:spPr>
            <a:solidFill>
              <a:schemeClr val="accent1"/>
            </a:solidFill>
            <a:ln>
              <a:noFill/>
            </a:ln>
            <a:effectLst/>
          </c:spPr>
          <c:invertIfNegative val="0"/>
          <c:dPt>
            <c:idx val="8"/>
            <c:invertIfNegative val="0"/>
            <c:bubble3D val="0"/>
            <c:extLst>
              <c:ext xmlns:c16="http://schemas.microsoft.com/office/drawing/2014/chart" uri="{C3380CC4-5D6E-409C-BE32-E72D297353CC}">
                <c16:uniqueId val="{00000000-01E2-45AC-AD0C-03FB5BB1D945}"/>
              </c:ext>
            </c:extLst>
          </c:dPt>
          <c:dPt>
            <c:idx val="12"/>
            <c:invertIfNegative val="0"/>
            <c:bubble3D val="0"/>
            <c:spPr>
              <a:solidFill>
                <a:schemeClr val="accent2"/>
              </a:solidFill>
              <a:ln>
                <a:noFill/>
              </a:ln>
              <a:effectLst/>
            </c:spPr>
            <c:extLst>
              <c:ext xmlns:c16="http://schemas.microsoft.com/office/drawing/2014/chart" uri="{C3380CC4-5D6E-409C-BE32-E72D297353CC}">
                <c16:uniqueId val="{00000002-01E2-45AC-AD0C-03FB5BB1D945}"/>
              </c:ext>
            </c:extLst>
          </c:dPt>
          <c:dLbls>
            <c:dLbl>
              <c:idx val="7"/>
              <c:layout>
                <c:manualLayout>
                  <c:x val="-9.5721819854059732E-17"/>
                  <c:y val="6.82971095490035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E2-45AC-AD0C-03FB5BB1D945}"/>
                </c:ext>
              </c:extLst>
            </c:dLbl>
            <c:dLbl>
              <c:idx val="8"/>
              <c:layout>
                <c:manualLayout>
                  <c:x val="0"/>
                  <c:y val="1.4959470760161289E-2"/>
                </c:manualLayout>
              </c:layout>
              <c:spPr>
                <a:noFill/>
                <a:ln>
                  <a:noFill/>
                </a:ln>
                <a:effectLst/>
              </c:spPr>
              <c:txPr>
                <a:bodyPr rot="0" spcFirstLastPara="1" vertOverflow="ellipsis" vert="horz" wrap="square" lIns="0" tIns="0" rIns="360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01E2-45AC-AD0C-03FB5BB1D945}"/>
                </c:ext>
              </c:extLst>
            </c:dLbl>
            <c:spPr>
              <a:noFill/>
              <a:ln>
                <a:noFill/>
              </a:ln>
              <a:effectLst/>
            </c:spPr>
            <c:txPr>
              <a:bodyPr rot="0" spcFirstLastPara="1" vertOverflow="ellipsis" vert="horz" wrap="square" lIns="0" tIns="0" rIns="360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'Indefinite orders'!$K$131:$K$151</c:f>
              <c:strCache>
                <c:ptCount val="13"/>
                <c:pt idx="0">
                  <c:v>Auckland</c:v>
                </c:pt>
                <c:pt idx="1">
                  <c:v>Bay of Plenty</c:v>
                </c:pt>
                <c:pt idx="2">
                  <c:v>Canterbury</c:v>
                </c:pt>
                <c:pt idx="3">
                  <c:v>Capital &amp; Coast</c:v>
                </c:pt>
                <c:pt idx="4">
                  <c:v>Counties Manukau</c:v>
                </c:pt>
                <c:pt idx="5">
                  <c:v>Hawke's Bay</c:v>
                </c:pt>
                <c:pt idx="6">
                  <c:v>Hutt Valley</c:v>
                </c:pt>
                <c:pt idx="7">
                  <c:v>MidCentral</c:v>
                </c:pt>
                <c:pt idx="8">
                  <c:v>Southern</c:v>
                </c:pt>
                <c:pt idx="9">
                  <c:v>Waikato</c:v>
                </c:pt>
                <c:pt idx="10">
                  <c:v>Waitematā</c:v>
                </c:pt>
                <c:pt idx="11">
                  <c:v>Whanganui</c:v>
                </c:pt>
                <c:pt idx="12">
                  <c:v>National total</c:v>
                </c:pt>
              </c:strCache>
            </c:strRef>
          </c:cat>
          <c:val>
            <c:numRef>
              <c:f>'Indefinite orders'!$R$131:$R$151</c:f>
              <c:numCache>
                <c:formatCode>_-* #,##0.0_-;\-* #,##0.0_-;_-* "-"??_-;_-@_-</c:formatCode>
                <c:ptCount val="13"/>
                <c:pt idx="0">
                  <c:v>2.5040572025387648</c:v>
                </c:pt>
                <c:pt idx="1">
                  <c:v>3.7767540071024088</c:v>
                </c:pt>
                <c:pt idx="2">
                  <c:v>2.9762065854758677</c:v>
                </c:pt>
                <c:pt idx="3">
                  <c:v>5.811743299041221</c:v>
                </c:pt>
                <c:pt idx="4">
                  <c:v>1.7017526052239818</c:v>
                </c:pt>
                <c:pt idx="5">
                  <c:v>2.5493766079556699</c:v>
                </c:pt>
                <c:pt idx="6">
                  <c:v>4.519310344827586</c:v>
                </c:pt>
                <c:pt idx="7">
                  <c:v>5.4419719695106954</c:v>
                </c:pt>
                <c:pt idx="8">
                  <c:v>0.6234828286044013</c:v>
                </c:pt>
                <c:pt idx="9">
                  <c:v>6.9832179567862394</c:v>
                </c:pt>
                <c:pt idx="10">
                  <c:v>3.6532871972318337</c:v>
                </c:pt>
                <c:pt idx="11">
                  <c:v>1.2621483375959077</c:v>
                </c:pt>
                <c:pt idx="12">
                  <c:v>2.9367332850091468</c:v>
                </c:pt>
              </c:numCache>
            </c:numRef>
          </c:val>
          <c:extLst>
            <c:ext xmlns:c16="http://schemas.microsoft.com/office/drawing/2014/chart" uri="{C3380CC4-5D6E-409C-BE32-E72D297353CC}">
              <c16:uniqueId val="{00000004-01E2-45AC-AD0C-03FB5BB1D945}"/>
            </c:ext>
          </c:extLst>
        </c:ser>
        <c:dLbls>
          <c:dLblPos val="inEnd"/>
          <c:showLegendKey val="0"/>
          <c:showVal val="1"/>
          <c:showCatName val="0"/>
          <c:showSerName val="0"/>
          <c:showPercent val="0"/>
          <c:showBubbleSize val="0"/>
        </c:dLbls>
        <c:gapWidth val="40"/>
        <c:overlap val="-12"/>
        <c:axId val="638809760"/>
        <c:axId val="638808120"/>
      </c:barChart>
      <c:catAx>
        <c:axId val="638809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DHB</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38808120"/>
        <c:crosses val="autoZero"/>
        <c:auto val="1"/>
        <c:lblAlgn val="ctr"/>
        <c:lblOffset val="100"/>
        <c:noMultiLvlLbl val="0"/>
      </c:catAx>
      <c:valAx>
        <c:axId val="638808120"/>
        <c:scaling>
          <c:orientation val="minMax"/>
        </c:scaling>
        <c:delete val="0"/>
        <c:axPos val="l"/>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Rate ratio</a:t>
                </a:r>
              </a:p>
            </c:rich>
          </c:tx>
          <c:layout>
            <c:manualLayout>
              <c:xMode val="edge"/>
              <c:yMode val="edge"/>
              <c:x val="0"/>
              <c:y val="3.1262371273358329E-3"/>
            </c:manualLayout>
          </c:layout>
          <c:overlay val="0"/>
          <c:spPr>
            <a:noFill/>
            <a:ln>
              <a:noFill/>
            </a:ln>
            <a:effectLst/>
          </c:spPr>
        </c:title>
        <c:numFmt formatCode="_-* #,##0.0_-;\-* #,##0.0_-;_-* &quot;-&quot;??_-;_-@_-"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38809760"/>
        <c:crosses val="autoZero"/>
        <c:crossBetween val="between"/>
        <c:minorUnit val="0.5"/>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817366579177621E-2"/>
          <c:y val="0.10648148148148148"/>
          <c:w val="0.89162707786526685"/>
          <c:h val="0.80521580635753864"/>
        </c:manualLayout>
      </c:layout>
      <c:barChart>
        <c:barDir val="col"/>
        <c:grouping val="clustered"/>
        <c:varyColors val="0"/>
        <c:ser>
          <c:idx val="0"/>
          <c:order val="0"/>
          <c:tx>
            <c:v>Māori</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'Indefinite orders'!$B$201:$B$202</c:f>
              <c:strCache>
                <c:ptCount val="2"/>
                <c:pt idx="0">
                  <c:v> Female </c:v>
                </c:pt>
                <c:pt idx="1">
                  <c:v> Male </c:v>
                </c:pt>
              </c:strCache>
            </c:strRef>
          </c:cat>
          <c:val>
            <c:numRef>
              <c:f>'Indefinite orders'!$C$201:$C$202</c:f>
              <c:numCache>
                <c:formatCode>_-* #,##0_-;\-* #,##0_-;_-* "-"??_-;_-@_-</c:formatCode>
                <c:ptCount val="2"/>
                <c:pt idx="0">
                  <c:v>13</c:v>
                </c:pt>
                <c:pt idx="1">
                  <c:v>59</c:v>
                </c:pt>
              </c:numCache>
            </c:numRef>
          </c:val>
          <c:extLst>
            <c:ext xmlns:c16="http://schemas.microsoft.com/office/drawing/2014/chart" uri="{C3380CC4-5D6E-409C-BE32-E72D297353CC}">
              <c16:uniqueId val="{00000000-B37A-439F-9294-4BE612AC80DF}"/>
            </c:ext>
          </c:extLst>
        </c:ser>
        <c:ser>
          <c:idx val="1"/>
          <c:order val="1"/>
          <c:tx>
            <c:v>Non-Māori</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'Indefinite orders'!$B$201:$B$202</c:f>
              <c:strCache>
                <c:ptCount val="2"/>
                <c:pt idx="0">
                  <c:v> Female </c:v>
                </c:pt>
                <c:pt idx="1">
                  <c:v> Male </c:v>
                </c:pt>
              </c:strCache>
            </c:strRef>
          </c:cat>
          <c:val>
            <c:numRef>
              <c:f>'Indefinite orders'!$D$201:$D$202</c:f>
              <c:numCache>
                <c:formatCode>_-* #,##0_-;\-* #,##0_-;_-* "-"??_-;_-@_-</c:formatCode>
                <c:ptCount val="2"/>
                <c:pt idx="0">
                  <c:v>31</c:v>
                </c:pt>
                <c:pt idx="1">
                  <c:v>92</c:v>
                </c:pt>
              </c:numCache>
            </c:numRef>
          </c:val>
          <c:extLst>
            <c:ext xmlns:c16="http://schemas.microsoft.com/office/drawing/2014/chart" uri="{C3380CC4-5D6E-409C-BE32-E72D297353CC}">
              <c16:uniqueId val="{00000001-B37A-439F-9294-4BE612AC80DF}"/>
            </c:ext>
          </c:extLst>
        </c:ser>
        <c:dLbls>
          <c:dLblPos val="inEnd"/>
          <c:showLegendKey val="0"/>
          <c:showVal val="1"/>
          <c:showCatName val="0"/>
          <c:showSerName val="0"/>
          <c:showPercent val="0"/>
          <c:showBubbleSize val="0"/>
        </c:dLbls>
        <c:gapWidth val="40"/>
        <c:overlap val="-12"/>
        <c:axId val="632992304"/>
        <c:axId val="632993288"/>
      </c:barChart>
      <c:catAx>
        <c:axId val="632992304"/>
        <c:scaling>
          <c:orientation val="minMax"/>
        </c:scaling>
        <c:delete val="0"/>
        <c:axPos val="b"/>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32993288"/>
        <c:crosses val="autoZero"/>
        <c:auto val="1"/>
        <c:lblAlgn val="ctr"/>
        <c:lblOffset val="100"/>
        <c:noMultiLvlLbl val="0"/>
      </c:catAx>
      <c:valAx>
        <c:axId val="632993288"/>
        <c:scaling>
          <c:orientation val="minMax"/>
        </c:scaling>
        <c:delete val="0"/>
        <c:axPos val="l"/>
        <c:title>
          <c:tx>
            <c:rich>
              <a:bodyPr rot="0" spcFirstLastPara="1" vertOverflow="ellipsis"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Number</a:t>
                </a:r>
              </a:p>
            </c:rich>
          </c:tx>
          <c:layout>
            <c:manualLayout>
              <c:xMode val="edge"/>
              <c:yMode val="edge"/>
              <c:x val="0"/>
              <c:y val="3.9851268591425777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title>
        <c:numFmt formatCode="_-* #,##0_-;\-* #,##0_-;_-* &quot;-&quot;??_-;_-@_-"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32992304"/>
        <c:crosses val="autoZero"/>
        <c:crossBetween val="between"/>
        <c:minorUnit val="5"/>
      </c:valAx>
      <c:spPr>
        <a:noFill/>
        <a:ln>
          <a:noFill/>
        </a:ln>
        <a:effectLst/>
      </c:spPr>
    </c:plotArea>
    <c:legend>
      <c:legendPos val="b"/>
      <c:layout>
        <c:manualLayout>
          <c:xMode val="edge"/>
          <c:yMode val="edge"/>
          <c:x val="0.6218009881117802"/>
          <c:y val="5.7815689705453485E-4"/>
          <c:w val="0.3410385466522566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723653605644671E-2"/>
          <c:y val="7.2685630995052236E-2"/>
          <c:w val="0.88272080166129652"/>
          <c:h val="0.74188995775492872"/>
        </c:manualLayout>
      </c:layout>
      <c:lineChart>
        <c:grouping val="standard"/>
        <c:varyColors val="0"/>
        <c:ser>
          <c:idx val="1"/>
          <c:order val="0"/>
          <c:tx>
            <c:strRef>
              <c:f>Seclusion!$F$8</c:f>
              <c:strCache>
                <c:ptCount val="1"/>
                <c:pt idx="0">
                  <c:v>number of people (excluding outlier)</c:v>
                </c:pt>
              </c:strCache>
            </c:strRef>
          </c:tx>
          <c:marker>
            <c:symbol val="none"/>
          </c:marker>
          <c:cat>
            <c:strRef>
              <c:f>Seclusion!$C$9:$C$23</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2020/21</c:v>
                </c:pt>
              </c:strCache>
            </c:strRef>
          </c:cat>
          <c:val>
            <c:numRef>
              <c:f>Seclusion!$F$9:$F$23</c:f>
              <c:numCache>
                <c:formatCode>General</c:formatCode>
                <c:ptCount val="15"/>
                <c:pt idx="0">
                  <c:v>1143</c:v>
                </c:pt>
                <c:pt idx="1">
                  <c:v>1023</c:v>
                </c:pt>
                <c:pt idx="2">
                  <c:v>1075</c:v>
                </c:pt>
                <c:pt idx="3">
                  <c:v>1065</c:v>
                </c:pt>
                <c:pt idx="4">
                  <c:v>967</c:v>
                </c:pt>
                <c:pt idx="5">
                  <c:v>882</c:v>
                </c:pt>
                <c:pt idx="6">
                  <c:v>768</c:v>
                </c:pt>
                <c:pt idx="7">
                  <c:v>736</c:v>
                </c:pt>
                <c:pt idx="8">
                  <c:v>754</c:v>
                </c:pt>
                <c:pt idx="9">
                  <c:v>802</c:v>
                </c:pt>
                <c:pt idx="10">
                  <c:v>775</c:v>
                </c:pt>
                <c:pt idx="11">
                  <c:v>852</c:v>
                </c:pt>
                <c:pt idx="12">
                  <c:v>929</c:v>
                </c:pt>
                <c:pt idx="13">
                  <c:v>933</c:v>
                </c:pt>
                <c:pt idx="14">
                  <c:v>815</c:v>
                </c:pt>
              </c:numCache>
            </c:numRef>
          </c:val>
          <c:smooth val="0"/>
          <c:extLst>
            <c:ext xmlns:c16="http://schemas.microsoft.com/office/drawing/2014/chart" uri="{C3380CC4-5D6E-409C-BE32-E72D297353CC}">
              <c16:uniqueId val="{00000000-E2D3-469C-9FD0-A80368E1A8E5}"/>
            </c:ext>
          </c:extLst>
        </c:ser>
        <c:dLbls>
          <c:showLegendKey val="0"/>
          <c:showVal val="0"/>
          <c:showCatName val="0"/>
          <c:showSerName val="0"/>
          <c:showPercent val="0"/>
          <c:showBubbleSize val="0"/>
        </c:dLbls>
        <c:smooth val="0"/>
        <c:axId val="209263936"/>
        <c:axId val="209264328"/>
      </c:lineChart>
      <c:catAx>
        <c:axId val="209263936"/>
        <c:scaling>
          <c:orientation val="minMax"/>
        </c:scaling>
        <c:delete val="0"/>
        <c:axPos val="b"/>
        <c:title>
          <c:tx>
            <c:rich>
              <a:bodyPr/>
              <a:lstStyle/>
              <a:p>
                <a:pPr>
                  <a:defRPr/>
                </a:pPr>
                <a:r>
                  <a:rPr lang="en-NZ" b="0"/>
                  <a:t>Year</a:t>
                </a:r>
              </a:p>
            </c:rich>
          </c:tx>
          <c:overlay val="0"/>
        </c:title>
        <c:numFmt formatCode="General" sourceLinked="1"/>
        <c:majorTickMark val="none"/>
        <c:minorTickMark val="out"/>
        <c:tickLblPos val="nextTo"/>
        <c:spPr>
          <a:ln>
            <a:solidFill>
              <a:schemeClr val="tx1"/>
            </a:solidFill>
          </a:ln>
        </c:spPr>
        <c:txPr>
          <a:bodyPr rot="-5400000" vert="horz"/>
          <a:lstStyle/>
          <a:p>
            <a:pPr>
              <a:defRPr/>
            </a:pPr>
            <a:endParaRPr lang="en-US"/>
          </a:p>
        </c:txPr>
        <c:crossAx val="209264328"/>
        <c:crosses val="autoZero"/>
        <c:auto val="1"/>
        <c:lblAlgn val="ctr"/>
        <c:lblOffset val="100"/>
        <c:noMultiLvlLbl val="0"/>
      </c:catAx>
      <c:valAx>
        <c:axId val="209264328"/>
        <c:scaling>
          <c:orientation val="minMax"/>
        </c:scaling>
        <c:delete val="0"/>
        <c:axPos val="l"/>
        <c:title>
          <c:tx>
            <c:rich>
              <a:bodyPr rot="0" vert="horz"/>
              <a:lstStyle/>
              <a:p>
                <a:pPr>
                  <a:defRPr/>
                </a:pPr>
                <a:r>
                  <a:rPr lang="en-NZ" b="0"/>
                  <a:t>Number</a:t>
                </a:r>
              </a:p>
            </c:rich>
          </c:tx>
          <c:layout>
            <c:manualLayout>
              <c:xMode val="edge"/>
              <c:yMode val="edge"/>
              <c:x val="1.2149984220799716E-3"/>
              <c:y val="6.5951636390339404E-4"/>
            </c:manualLayout>
          </c:layout>
          <c:overlay val="0"/>
        </c:title>
        <c:numFmt formatCode="#,##0" sourceLinked="0"/>
        <c:majorTickMark val="out"/>
        <c:minorTickMark val="out"/>
        <c:tickLblPos val="nextTo"/>
        <c:spPr>
          <a:ln>
            <a:solidFill>
              <a:schemeClr val="tx1"/>
            </a:solidFill>
          </a:ln>
        </c:spPr>
        <c:crossAx val="209263936"/>
        <c:crosses val="autoZero"/>
        <c:crossBetween val="between"/>
        <c:majorUnit val="200"/>
        <c:minorUnit val="50"/>
      </c:valAx>
      <c:spPr>
        <a:noFill/>
        <a:ln>
          <a:noFill/>
        </a:ln>
      </c:spPr>
    </c:plotArea>
    <c:plotVisOnly val="1"/>
    <c:dispBlanksAs val="gap"/>
    <c:showDLblsOverMax val="0"/>
  </c:chart>
  <c:spPr>
    <a:ln>
      <a:noFill/>
    </a:ln>
  </c:spPr>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141510205831"/>
          <c:y val="8.9277494159383922E-2"/>
          <c:w val="0.85303252852918388"/>
          <c:h val="0.74387095843788753"/>
        </c:manualLayout>
      </c:layout>
      <c:lineChart>
        <c:grouping val="standard"/>
        <c:varyColors val="0"/>
        <c:ser>
          <c:idx val="1"/>
          <c:order val="0"/>
          <c:tx>
            <c:strRef>
              <c:f>Seclusion!$D$8</c:f>
              <c:strCache>
                <c:ptCount val="1"/>
                <c:pt idx="0">
                  <c:v>number of people (including outlier)</c:v>
                </c:pt>
              </c:strCache>
            </c:strRef>
          </c:tx>
          <c:marker>
            <c:symbol val="none"/>
          </c:marker>
          <c:cat>
            <c:strRef>
              <c:f>Seclusion!$C$60:$C$74</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2020/21</c:v>
                </c:pt>
              </c:strCache>
            </c:strRef>
          </c:cat>
          <c:val>
            <c:numRef>
              <c:f>Seclusion!$D$60:$D$74</c:f>
              <c:numCache>
                <c:formatCode>General</c:formatCode>
                <c:ptCount val="15"/>
                <c:pt idx="0">
                  <c:v>77816</c:v>
                </c:pt>
                <c:pt idx="1">
                  <c:v>87109</c:v>
                </c:pt>
                <c:pt idx="2">
                  <c:v>91313</c:v>
                </c:pt>
                <c:pt idx="3">
                  <c:v>79898</c:v>
                </c:pt>
                <c:pt idx="4">
                  <c:v>62028</c:v>
                </c:pt>
                <c:pt idx="5">
                  <c:v>58046</c:v>
                </c:pt>
                <c:pt idx="6" formatCode="0">
                  <c:v>45658.400000000009</c:v>
                </c:pt>
                <c:pt idx="7" formatCode="0">
                  <c:v>41476.667777771763</c:v>
                </c:pt>
                <c:pt idx="8" formatCode="0">
                  <c:v>38781.500000000087</c:v>
                </c:pt>
                <c:pt idx="9" formatCode="0">
                  <c:v>34446.866666665941</c:v>
                </c:pt>
                <c:pt idx="10" formatCode="0">
                  <c:v>37120.6</c:v>
                </c:pt>
                <c:pt idx="11" formatCode="0">
                  <c:v>46312.099999999977</c:v>
                </c:pt>
                <c:pt idx="12" formatCode="0">
                  <c:v>55804.6</c:v>
                </c:pt>
                <c:pt idx="13" formatCode="0">
                  <c:v>47188.061666668276</c:v>
                </c:pt>
                <c:pt idx="14" formatCode="0">
                  <c:v>36572</c:v>
                </c:pt>
              </c:numCache>
            </c:numRef>
          </c:val>
          <c:smooth val="0"/>
          <c:extLst>
            <c:ext xmlns:c16="http://schemas.microsoft.com/office/drawing/2014/chart" uri="{C3380CC4-5D6E-409C-BE32-E72D297353CC}">
              <c16:uniqueId val="{00000000-68D0-4C6D-8161-D0BD820EDEEC}"/>
            </c:ext>
          </c:extLst>
        </c:ser>
        <c:dLbls>
          <c:showLegendKey val="0"/>
          <c:showVal val="0"/>
          <c:showCatName val="0"/>
          <c:showSerName val="0"/>
          <c:showPercent val="0"/>
          <c:showBubbleSize val="0"/>
        </c:dLbls>
        <c:smooth val="0"/>
        <c:axId val="209265504"/>
        <c:axId val="209265112"/>
      </c:lineChart>
      <c:catAx>
        <c:axId val="209265504"/>
        <c:scaling>
          <c:orientation val="minMax"/>
        </c:scaling>
        <c:delete val="0"/>
        <c:axPos val="b"/>
        <c:title>
          <c:tx>
            <c:rich>
              <a:bodyPr/>
              <a:lstStyle/>
              <a:p>
                <a:pPr>
                  <a:defRPr/>
                </a:pPr>
                <a:r>
                  <a:rPr lang="en-NZ" b="0"/>
                  <a:t>Year</a:t>
                </a:r>
              </a:p>
            </c:rich>
          </c:tx>
          <c:overlay val="0"/>
        </c:title>
        <c:numFmt formatCode="General" sourceLinked="1"/>
        <c:majorTickMark val="none"/>
        <c:minorTickMark val="out"/>
        <c:tickLblPos val="nextTo"/>
        <c:spPr>
          <a:ln>
            <a:solidFill>
              <a:schemeClr val="tx1"/>
            </a:solidFill>
          </a:ln>
        </c:spPr>
        <c:txPr>
          <a:bodyPr rot="-5400000" vert="horz"/>
          <a:lstStyle/>
          <a:p>
            <a:pPr>
              <a:defRPr/>
            </a:pPr>
            <a:endParaRPr lang="en-US"/>
          </a:p>
        </c:txPr>
        <c:crossAx val="209265112"/>
        <c:crosses val="autoZero"/>
        <c:auto val="1"/>
        <c:lblAlgn val="ctr"/>
        <c:lblOffset val="100"/>
        <c:noMultiLvlLbl val="0"/>
      </c:catAx>
      <c:valAx>
        <c:axId val="209265112"/>
        <c:scaling>
          <c:orientation val="minMax"/>
        </c:scaling>
        <c:delete val="0"/>
        <c:axPos val="l"/>
        <c:title>
          <c:tx>
            <c:rich>
              <a:bodyPr rot="0" vert="horz"/>
              <a:lstStyle/>
              <a:p>
                <a:pPr>
                  <a:defRPr/>
                </a:pPr>
                <a:r>
                  <a:rPr lang="en-NZ" b="0"/>
                  <a:t>Number</a:t>
                </a:r>
              </a:p>
            </c:rich>
          </c:tx>
          <c:layout>
            <c:manualLayout>
              <c:xMode val="edge"/>
              <c:yMode val="edge"/>
              <c:x val="1.2149984220799716E-3"/>
              <c:y val="1.4116351161285426E-3"/>
            </c:manualLayout>
          </c:layout>
          <c:overlay val="0"/>
        </c:title>
        <c:numFmt formatCode="#,##0" sourceLinked="0"/>
        <c:majorTickMark val="out"/>
        <c:minorTickMark val="out"/>
        <c:tickLblPos val="nextTo"/>
        <c:spPr>
          <a:ln>
            <a:solidFill>
              <a:schemeClr val="tx1"/>
            </a:solidFill>
          </a:ln>
        </c:spPr>
        <c:crossAx val="209265504"/>
        <c:crosses val="autoZero"/>
        <c:crossBetween val="between"/>
        <c:minorUnit val="5000"/>
      </c:valAx>
    </c:plotArea>
    <c:plotVisOnly val="1"/>
    <c:dispBlanksAs val="gap"/>
    <c:showDLblsOverMax val="0"/>
  </c:chart>
  <c:spPr>
    <a:ln>
      <a:noFill/>
    </a:ln>
  </c:sp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49835175948991E-2"/>
          <c:y val="0.12547462817147856"/>
          <c:w val="0.9059462394786858"/>
          <c:h val="0.73928389792397442"/>
        </c:manualLayout>
      </c:layout>
      <c:barChart>
        <c:barDir val="col"/>
        <c:grouping val="clustered"/>
        <c:varyColors val="0"/>
        <c:ser>
          <c:idx val="0"/>
          <c:order val="0"/>
          <c:tx>
            <c:strRef>
              <c:f>Seclusion!$D$108</c:f>
              <c:strCache>
                <c:ptCount val="1"/>
                <c:pt idx="0">
                  <c:v>Number of clients - excluding outlier</c:v>
                </c:pt>
              </c:strCache>
            </c:strRef>
          </c:tx>
          <c:invertIfNegative val="0"/>
          <c:dLbls>
            <c:dLbl>
              <c:idx val="10"/>
              <c:layout>
                <c:manualLayout>
                  <c:x val="-1.6971184029205082E-16"/>
                  <c:y val="6.85302654925143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7D-40D7-B8ED-8D1BBE108DB7}"/>
                </c:ext>
              </c:extLst>
            </c:dLbl>
            <c:spPr>
              <a:noFill/>
              <a:ln>
                <a:noFill/>
              </a:ln>
              <a:effectLst/>
            </c:spPr>
            <c:txPr>
              <a:bodyPr wrap="square" lIns="38100" tIns="1905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Seclusion!$C$109:$C$119</c:f>
              <c:strCache>
                <c:ptCount val="11"/>
                <c:pt idx="0">
                  <c:v>0–19</c:v>
                </c:pt>
                <c:pt idx="1">
                  <c:v>20–24</c:v>
                </c:pt>
                <c:pt idx="2">
                  <c:v>25–29</c:v>
                </c:pt>
                <c:pt idx="3">
                  <c:v>30–34</c:v>
                </c:pt>
                <c:pt idx="4">
                  <c:v>35–39</c:v>
                </c:pt>
                <c:pt idx="5">
                  <c:v>40–44</c:v>
                </c:pt>
                <c:pt idx="6">
                  <c:v>45–49</c:v>
                </c:pt>
                <c:pt idx="7">
                  <c:v>50–54</c:v>
                </c:pt>
                <c:pt idx="8">
                  <c:v>55–59</c:v>
                </c:pt>
                <c:pt idx="9">
                  <c:v>60–64</c:v>
                </c:pt>
                <c:pt idx="10">
                  <c:v>65+</c:v>
                </c:pt>
              </c:strCache>
            </c:strRef>
          </c:cat>
          <c:val>
            <c:numRef>
              <c:f>Seclusion!$D$109:$D$119</c:f>
              <c:numCache>
                <c:formatCode>General</c:formatCode>
                <c:ptCount val="11"/>
                <c:pt idx="0">
                  <c:v>104</c:v>
                </c:pt>
                <c:pt idx="1">
                  <c:v>194</c:v>
                </c:pt>
                <c:pt idx="2">
                  <c:v>176</c:v>
                </c:pt>
                <c:pt idx="3">
                  <c:v>156</c:v>
                </c:pt>
                <c:pt idx="4">
                  <c:v>98</c:v>
                </c:pt>
                <c:pt idx="5">
                  <c:v>84</c:v>
                </c:pt>
                <c:pt idx="6">
                  <c:v>76</c:v>
                </c:pt>
                <c:pt idx="7">
                  <c:v>76</c:v>
                </c:pt>
                <c:pt idx="8">
                  <c:v>48</c:v>
                </c:pt>
                <c:pt idx="9">
                  <c:v>27</c:v>
                </c:pt>
                <c:pt idx="10">
                  <c:v>15</c:v>
                </c:pt>
              </c:numCache>
            </c:numRef>
          </c:val>
          <c:extLst>
            <c:ext xmlns:c16="http://schemas.microsoft.com/office/drawing/2014/chart" uri="{C3380CC4-5D6E-409C-BE32-E72D297353CC}">
              <c16:uniqueId val="{00000001-AB7D-40D7-B8ED-8D1BBE108DB7}"/>
            </c:ext>
          </c:extLst>
        </c:ser>
        <c:dLbls>
          <c:showLegendKey val="0"/>
          <c:showVal val="0"/>
          <c:showCatName val="0"/>
          <c:showSerName val="0"/>
          <c:showPercent val="0"/>
          <c:showBubbleSize val="0"/>
        </c:dLbls>
        <c:gapWidth val="40"/>
        <c:overlap val="-12"/>
        <c:axId val="209266288"/>
        <c:axId val="209263544"/>
      </c:barChart>
      <c:catAx>
        <c:axId val="209266288"/>
        <c:scaling>
          <c:orientation val="minMax"/>
        </c:scaling>
        <c:delete val="0"/>
        <c:axPos val="b"/>
        <c:title>
          <c:tx>
            <c:rich>
              <a:bodyPr/>
              <a:lstStyle/>
              <a:p>
                <a:pPr>
                  <a:defRPr/>
                </a:pPr>
                <a:r>
                  <a:rPr lang="en-NZ" b="0"/>
                  <a:t>Age group (years)</a:t>
                </a:r>
              </a:p>
            </c:rich>
          </c:tx>
          <c:layout>
            <c:manualLayout>
              <c:xMode val="edge"/>
              <c:yMode val="edge"/>
              <c:x val="0.42428407684864433"/>
              <c:y val="0.94202452695626659"/>
            </c:manualLayout>
          </c:layout>
          <c:overlay val="0"/>
        </c:title>
        <c:numFmt formatCode="General" sourceLinked="0"/>
        <c:majorTickMark val="out"/>
        <c:minorTickMark val="none"/>
        <c:tickLblPos val="nextTo"/>
        <c:crossAx val="209263544"/>
        <c:crosses val="autoZero"/>
        <c:auto val="1"/>
        <c:lblAlgn val="ctr"/>
        <c:lblOffset val="100"/>
        <c:noMultiLvlLbl val="0"/>
      </c:catAx>
      <c:valAx>
        <c:axId val="209263544"/>
        <c:scaling>
          <c:orientation val="minMax"/>
          <c:max val="200"/>
        </c:scaling>
        <c:delete val="0"/>
        <c:axPos val="l"/>
        <c:title>
          <c:tx>
            <c:rich>
              <a:bodyPr rot="0" vert="horz"/>
              <a:lstStyle/>
              <a:p>
                <a:pPr algn="l">
                  <a:defRPr/>
                </a:pPr>
                <a:r>
                  <a:rPr lang="en-NZ" b="0"/>
                  <a:t>Number of people secluded</a:t>
                </a:r>
              </a:p>
            </c:rich>
          </c:tx>
          <c:layout>
            <c:manualLayout>
              <c:xMode val="edge"/>
              <c:yMode val="edge"/>
              <c:x val="3.2800806170915076E-6"/>
              <c:y val="2.2659038123831634E-3"/>
            </c:manualLayout>
          </c:layout>
          <c:overlay val="0"/>
        </c:title>
        <c:numFmt formatCode="General" sourceLinked="1"/>
        <c:majorTickMark val="out"/>
        <c:minorTickMark val="out"/>
        <c:tickLblPos val="nextTo"/>
        <c:spPr>
          <a:ln/>
        </c:spPr>
        <c:crossAx val="209266288"/>
        <c:crosses val="autoZero"/>
        <c:crossBetween val="between"/>
        <c:majorUnit val="20"/>
        <c:minorUnit val="10"/>
      </c:valAx>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725611575309123E-2"/>
          <c:y val="8.6042796052362619E-2"/>
          <c:w val="0.93368065309141923"/>
          <c:h val="0.72054455809846196"/>
        </c:manualLayout>
      </c:layout>
      <c:barChart>
        <c:barDir val="col"/>
        <c:grouping val="clustered"/>
        <c:varyColors val="0"/>
        <c:ser>
          <c:idx val="0"/>
          <c:order val="0"/>
          <c:tx>
            <c:strRef>
              <c:f>Seclusion!$D$168</c:f>
              <c:strCache>
                <c:ptCount val="1"/>
                <c:pt idx="0">
                  <c:v>Number of events (excl outlier)</c:v>
                </c:pt>
              </c:strCache>
            </c:strRef>
          </c:tx>
          <c:invertIfNegative val="0"/>
          <c:dLbls>
            <c:dLbl>
              <c:idx val="23"/>
              <c:layout>
                <c:manualLayout>
                  <c:x val="-2.2158209616662972E-3"/>
                  <c:y val="6.30411852724017E-3"/>
                </c:manualLayout>
              </c:layout>
              <c:spPr>
                <a:noFill/>
                <a:ln>
                  <a:noFill/>
                </a:ln>
                <a:effectLst/>
              </c:spPr>
              <c:txPr>
                <a:bodyPr rot="-5400000" vert="horz" wrap="square" lIns="0" tIns="0" rIns="0" bIns="0" anchor="ctr">
                  <a:spAutoFit/>
                </a:bodyPr>
                <a:lstStyle/>
                <a:p>
                  <a:pPr>
                    <a:defRPr>
                      <a:solidFill>
                        <a:sysClr val="windowText" lastClr="00000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6939-4D98-B4C2-2703AE09EC77}"/>
                </c:ext>
              </c:extLst>
            </c:dLbl>
            <c:spPr>
              <a:noFill/>
              <a:ln>
                <a:noFill/>
              </a:ln>
              <a:effectLst/>
            </c:spPr>
            <c:txPr>
              <a:bodyPr rot="-5400000" vert="horz" wrap="square" lIns="0" tIns="0" rIns="0" bIns="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Seclusion!$C$169:$C$195</c:f>
              <c:strCache>
                <c:ptCount val="27"/>
                <c:pt idx="0">
                  <c:v> 0–1</c:v>
                </c:pt>
                <c:pt idx="1">
                  <c:v> 1–2</c:v>
                </c:pt>
                <c:pt idx="2">
                  <c:v> 2–3</c:v>
                </c:pt>
                <c:pt idx="3">
                  <c:v> 3–4</c:v>
                </c:pt>
                <c:pt idx="4">
                  <c:v> 4–5</c:v>
                </c:pt>
                <c:pt idx="5">
                  <c:v> 5–6</c:v>
                </c:pt>
                <c:pt idx="6">
                  <c:v> 6–7</c:v>
                </c:pt>
                <c:pt idx="7">
                  <c:v> 7–8</c:v>
                </c:pt>
                <c:pt idx="8">
                  <c:v> 8–9</c:v>
                </c:pt>
                <c:pt idx="9">
                  <c:v> 9–10</c:v>
                </c:pt>
                <c:pt idx="10">
                  <c:v>10–11</c:v>
                </c:pt>
                <c:pt idx="11">
                  <c:v>11–12</c:v>
                </c:pt>
                <c:pt idx="12">
                  <c:v>12–13</c:v>
                </c:pt>
                <c:pt idx="13">
                  <c:v>13–14</c:v>
                </c:pt>
                <c:pt idx="14">
                  <c:v>14–15</c:v>
                </c:pt>
                <c:pt idx="15">
                  <c:v>15–16</c:v>
                </c:pt>
                <c:pt idx="16">
                  <c:v>16–17</c:v>
                </c:pt>
                <c:pt idx="17">
                  <c:v>17–18</c:v>
                </c:pt>
                <c:pt idx="18">
                  <c:v>18–19</c:v>
                </c:pt>
                <c:pt idx="19">
                  <c:v>19–20</c:v>
                </c:pt>
                <c:pt idx="20">
                  <c:v>20–21</c:v>
                </c:pt>
                <c:pt idx="21">
                  <c:v>21–22</c:v>
                </c:pt>
                <c:pt idx="22">
                  <c:v>22–23</c:v>
                </c:pt>
                <c:pt idx="23">
                  <c:v>23–24</c:v>
                </c:pt>
                <c:pt idx="24">
                  <c:v>24–35</c:v>
                </c:pt>
                <c:pt idx="25">
                  <c:v>36–47</c:v>
                </c:pt>
                <c:pt idx="26">
                  <c:v>48+</c:v>
                </c:pt>
              </c:strCache>
            </c:strRef>
          </c:cat>
          <c:val>
            <c:numRef>
              <c:f>Seclusion!$D$169:$D$195</c:f>
              <c:numCache>
                <c:formatCode>General</c:formatCode>
                <c:ptCount val="27"/>
                <c:pt idx="0">
                  <c:v>161</c:v>
                </c:pt>
                <c:pt idx="1">
                  <c:v>266</c:v>
                </c:pt>
                <c:pt idx="2">
                  <c:v>197</c:v>
                </c:pt>
                <c:pt idx="3">
                  <c:v>140</c:v>
                </c:pt>
                <c:pt idx="4">
                  <c:v>109</c:v>
                </c:pt>
                <c:pt idx="5">
                  <c:v>90</c:v>
                </c:pt>
                <c:pt idx="6">
                  <c:v>82</c:v>
                </c:pt>
                <c:pt idx="7">
                  <c:v>63</c:v>
                </c:pt>
                <c:pt idx="8">
                  <c:v>72</c:v>
                </c:pt>
                <c:pt idx="9">
                  <c:v>62</c:v>
                </c:pt>
                <c:pt idx="10">
                  <c:v>74</c:v>
                </c:pt>
                <c:pt idx="11">
                  <c:v>76</c:v>
                </c:pt>
                <c:pt idx="12">
                  <c:v>90</c:v>
                </c:pt>
                <c:pt idx="13">
                  <c:v>83</c:v>
                </c:pt>
                <c:pt idx="14">
                  <c:v>69</c:v>
                </c:pt>
                <c:pt idx="15">
                  <c:v>61</c:v>
                </c:pt>
                <c:pt idx="16">
                  <c:v>43</c:v>
                </c:pt>
                <c:pt idx="17">
                  <c:v>37</c:v>
                </c:pt>
                <c:pt idx="18">
                  <c:v>55</c:v>
                </c:pt>
                <c:pt idx="19">
                  <c:v>41</c:v>
                </c:pt>
                <c:pt idx="20">
                  <c:v>45</c:v>
                </c:pt>
                <c:pt idx="21">
                  <c:v>46</c:v>
                </c:pt>
                <c:pt idx="22">
                  <c:v>43</c:v>
                </c:pt>
                <c:pt idx="23">
                  <c:v>28</c:v>
                </c:pt>
                <c:pt idx="24">
                  <c:v>172</c:v>
                </c:pt>
                <c:pt idx="25">
                  <c:v>130</c:v>
                </c:pt>
                <c:pt idx="26">
                  <c:v>306</c:v>
                </c:pt>
              </c:numCache>
            </c:numRef>
          </c:val>
          <c:extLst>
            <c:ext xmlns:c16="http://schemas.microsoft.com/office/drawing/2014/chart" uri="{C3380CC4-5D6E-409C-BE32-E72D297353CC}">
              <c16:uniqueId val="{00000001-6939-4D98-B4C2-2703AE09EC77}"/>
            </c:ext>
          </c:extLst>
        </c:ser>
        <c:dLbls>
          <c:showLegendKey val="0"/>
          <c:showVal val="0"/>
          <c:showCatName val="0"/>
          <c:showSerName val="0"/>
          <c:showPercent val="0"/>
          <c:showBubbleSize val="0"/>
        </c:dLbls>
        <c:gapWidth val="40"/>
        <c:overlap val="-12"/>
        <c:axId val="245920184"/>
        <c:axId val="245919792"/>
      </c:barChart>
      <c:catAx>
        <c:axId val="245920184"/>
        <c:scaling>
          <c:orientation val="minMax"/>
        </c:scaling>
        <c:delete val="0"/>
        <c:axPos val="b"/>
        <c:title>
          <c:tx>
            <c:rich>
              <a:bodyPr/>
              <a:lstStyle/>
              <a:p>
                <a:pPr>
                  <a:defRPr/>
                </a:pPr>
                <a:r>
                  <a:rPr lang="en-NZ" b="0"/>
                  <a:t>Hours</a:t>
                </a:r>
              </a:p>
            </c:rich>
          </c:tx>
          <c:layout>
            <c:manualLayout>
              <c:xMode val="edge"/>
              <c:yMode val="edge"/>
              <c:x val="0.48588958232647245"/>
              <c:y val="0.93280807188821024"/>
            </c:manualLayout>
          </c:layout>
          <c:overlay val="0"/>
        </c:title>
        <c:numFmt formatCode="General" sourceLinked="0"/>
        <c:majorTickMark val="out"/>
        <c:minorTickMark val="none"/>
        <c:tickLblPos val="nextTo"/>
        <c:crossAx val="245919792"/>
        <c:crosses val="autoZero"/>
        <c:auto val="1"/>
        <c:lblAlgn val="ctr"/>
        <c:lblOffset val="100"/>
        <c:noMultiLvlLbl val="0"/>
      </c:catAx>
      <c:valAx>
        <c:axId val="245919792"/>
        <c:scaling>
          <c:orientation val="minMax"/>
        </c:scaling>
        <c:delete val="0"/>
        <c:axPos val="l"/>
        <c:title>
          <c:tx>
            <c:rich>
              <a:bodyPr rot="0" vert="horz"/>
              <a:lstStyle/>
              <a:p>
                <a:pPr algn="l">
                  <a:defRPr/>
                </a:pPr>
                <a:r>
                  <a:rPr lang="en-NZ" b="0"/>
                  <a:t>Number</a:t>
                </a:r>
              </a:p>
            </c:rich>
          </c:tx>
          <c:layout>
            <c:manualLayout>
              <c:xMode val="edge"/>
              <c:yMode val="edge"/>
              <c:x val="1.5711391936854343E-3"/>
              <c:y val="3.2706089227051518E-3"/>
            </c:manualLayout>
          </c:layout>
          <c:overlay val="0"/>
        </c:title>
        <c:numFmt formatCode="General" sourceLinked="1"/>
        <c:majorTickMark val="out"/>
        <c:minorTickMark val="out"/>
        <c:tickLblPos val="nextTo"/>
        <c:spPr>
          <a:ln>
            <a:solidFill>
              <a:schemeClr val="tx1"/>
            </a:solidFill>
          </a:ln>
        </c:spPr>
        <c:crossAx val="245920184"/>
        <c:crosses val="autoZero"/>
        <c:crossBetween val="between"/>
        <c:minorUnit val="25"/>
      </c:valAx>
    </c:plotArea>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677219101878475E-2"/>
          <c:y val="7.2738622659882499E-2"/>
          <c:w val="0.93932278089812149"/>
          <c:h val="0.74913022298805443"/>
        </c:manualLayout>
      </c:layout>
      <c:barChart>
        <c:barDir val="col"/>
        <c:grouping val="clustered"/>
        <c:varyColors val="0"/>
        <c:ser>
          <c:idx val="0"/>
          <c:order val="0"/>
          <c:tx>
            <c:v>Māori</c:v>
          </c:tx>
          <c:invertIfNegative val="0"/>
          <c:cat>
            <c:strRef>
              <c:f>Seclusion!$T$169:$T$195</c:f>
              <c:strCache>
                <c:ptCount val="27"/>
                <c:pt idx="0">
                  <c:v> 0–1</c:v>
                </c:pt>
                <c:pt idx="1">
                  <c:v> 1–2</c:v>
                </c:pt>
                <c:pt idx="2">
                  <c:v> 2–3</c:v>
                </c:pt>
                <c:pt idx="3">
                  <c:v> 3–4</c:v>
                </c:pt>
                <c:pt idx="4">
                  <c:v> 4–5</c:v>
                </c:pt>
                <c:pt idx="5">
                  <c:v> 5–6</c:v>
                </c:pt>
                <c:pt idx="6">
                  <c:v> 6–7</c:v>
                </c:pt>
                <c:pt idx="7">
                  <c:v> 7–8</c:v>
                </c:pt>
                <c:pt idx="8">
                  <c:v> 8–9</c:v>
                </c:pt>
                <c:pt idx="9">
                  <c:v> 9–10</c:v>
                </c:pt>
                <c:pt idx="10">
                  <c:v>10–11</c:v>
                </c:pt>
                <c:pt idx="11">
                  <c:v>11–12</c:v>
                </c:pt>
                <c:pt idx="12">
                  <c:v>12–13</c:v>
                </c:pt>
                <c:pt idx="13">
                  <c:v>13–14</c:v>
                </c:pt>
                <c:pt idx="14">
                  <c:v>14–15</c:v>
                </c:pt>
                <c:pt idx="15">
                  <c:v>15–16</c:v>
                </c:pt>
                <c:pt idx="16">
                  <c:v>16–17</c:v>
                </c:pt>
                <c:pt idx="17">
                  <c:v>17–18</c:v>
                </c:pt>
                <c:pt idx="18">
                  <c:v>18–19</c:v>
                </c:pt>
                <c:pt idx="19">
                  <c:v>19–20</c:v>
                </c:pt>
                <c:pt idx="20">
                  <c:v>20–21</c:v>
                </c:pt>
                <c:pt idx="21">
                  <c:v>21–22</c:v>
                </c:pt>
                <c:pt idx="22">
                  <c:v>22–23</c:v>
                </c:pt>
                <c:pt idx="23">
                  <c:v>23–24</c:v>
                </c:pt>
                <c:pt idx="24">
                  <c:v>24–35</c:v>
                </c:pt>
                <c:pt idx="25">
                  <c:v>36–47</c:v>
                </c:pt>
                <c:pt idx="26">
                  <c:v>48+</c:v>
                </c:pt>
              </c:strCache>
            </c:strRef>
          </c:cat>
          <c:val>
            <c:numRef>
              <c:f>Seclusion!$AC$169:$AC$195</c:f>
              <c:numCache>
                <c:formatCode>General</c:formatCode>
                <c:ptCount val="27"/>
                <c:pt idx="0">
                  <c:v>42</c:v>
                </c:pt>
                <c:pt idx="1">
                  <c:v>56</c:v>
                </c:pt>
                <c:pt idx="2">
                  <c:v>51</c:v>
                </c:pt>
                <c:pt idx="3">
                  <c:v>42</c:v>
                </c:pt>
                <c:pt idx="4">
                  <c:v>38</c:v>
                </c:pt>
                <c:pt idx="5">
                  <c:v>31</c:v>
                </c:pt>
                <c:pt idx="6">
                  <c:v>31</c:v>
                </c:pt>
                <c:pt idx="7">
                  <c:v>28</c:v>
                </c:pt>
                <c:pt idx="8">
                  <c:v>23</c:v>
                </c:pt>
                <c:pt idx="9">
                  <c:v>29</c:v>
                </c:pt>
                <c:pt idx="10">
                  <c:v>25</c:v>
                </c:pt>
                <c:pt idx="11">
                  <c:v>34</c:v>
                </c:pt>
                <c:pt idx="12">
                  <c:v>27</c:v>
                </c:pt>
                <c:pt idx="13">
                  <c:v>31</c:v>
                </c:pt>
                <c:pt idx="14">
                  <c:v>34</c:v>
                </c:pt>
                <c:pt idx="15">
                  <c:v>30</c:v>
                </c:pt>
                <c:pt idx="16">
                  <c:v>22</c:v>
                </c:pt>
                <c:pt idx="17">
                  <c:v>16</c:v>
                </c:pt>
                <c:pt idx="18">
                  <c:v>24</c:v>
                </c:pt>
                <c:pt idx="19">
                  <c:v>19</c:v>
                </c:pt>
                <c:pt idx="20">
                  <c:v>16</c:v>
                </c:pt>
                <c:pt idx="21">
                  <c:v>22</c:v>
                </c:pt>
                <c:pt idx="22">
                  <c:v>19</c:v>
                </c:pt>
                <c:pt idx="23">
                  <c:v>13</c:v>
                </c:pt>
                <c:pt idx="24">
                  <c:v>89</c:v>
                </c:pt>
                <c:pt idx="25">
                  <c:v>69</c:v>
                </c:pt>
                <c:pt idx="26">
                  <c:v>134</c:v>
                </c:pt>
              </c:numCache>
            </c:numRef>
          </c:val>
          <c:extLst>
            <c:ext xmlns:c16="http://schemas.microsoft.com/office/drawing/2014/chart" uri="{C3380CC4-5D6E-409C-BE32-E72D297353CC}">
              <c16:uniqueId val="{00000000-F186-429F-8BE3-753E18E6E9F6}"/>
            </c:ext>
          </c:extLst>
        </c:ser>
        <c:ser>
          <c:idx val="1"/>
          <c:order val="1"/>
          <c:tx>
            <c:v>Pacific peoples</c:v>
          </c:tx>
          <c:invertIfNegative val="0"/>
          <c:cat>
            <c:strRef>
              <c:f>Seclusion!$T$169:$T$195</c:f>
              <c:strCache>
                <c:ptCount val="27"/>
                <c:pt idx="0">
                  <c:v> 0–1</c:v>
                </c:pt>
                <c:pt idx="1">
                  <c:v> 1–2</c:v>
                </c:pt>
                <c:pt idx="2">
                  <c:v> 2–3</c:v>
                </c:pt>
                <c:pt idx="3">
                  <c:v> 3–4</c:v>
                </c:pt>
                <c:pt idx="4">
                  <c:v> 4–5</c:v>
                </c:pt>
                <c:pt idx="5">
                  <c:v> 5–6</c:v>
                </c:pt>
                <c:pt idx="6">
                  <c:v> 6–7</c:v>
                </c:pt>
                <c:pt idx="7">
                  <c:v> 7–8</c:v>
                </c:pt>
                <c:pt idx="8">
                  <c:v> 8–9</c:v>
                </c:pt>
                <c:pt idx="9">
                  <c:v> 9–10</c:v>
                </c:pt>
                <c:pt idx="10">
                  <c:v>10–11</c:v>
                </c:pt>
                <c:pt idx="11">
                  <c:v>11–12</c:v>
                </c:pt>
                <c:pt idx="12">
                  <c:v>12–13</c:v>
                </c:pt>
                <c:pt idx="13">
                  <c:v>13–14</c:v>
                </c:pt>
                <c:pt idx="14">
                  <c:v>14–15</c:v>
                </c:pt>
                <c:pt idx="15">
                  <c:v>15–16</c:v>
                </c:pt>
                <c:pt idx="16">
                  <c:v>16–17</c:v>
                </c:pt>
                <c:pt idx="17">
                  <c:v>17–18</c:v>
                </c:pt>
                <c:pt idx="18">
                  <c:v>18–19</c:v>
                </c:pt>
                <c:pt idx="19">
                  <c:v>19–20</c:v>
                </c:pt>
                <c:pt idx="20">
                  <c:v>20–21</c:v>
                </c:pt>
                <c:pt idx="21">
                  <c:v>21–22</c:v>
                </c:pt>
                <c:pt idx="22">
                  <c:v>22–23</c:v>
                </c:pt>
                <c:pt idx="23">
                  <c:v>23–24</c:v>
                </c:pt>
                <c:pt idx="24">
                  <c:v>24–35</c:v>
                </c:pt>
                <c:pt idx="25">
                  <c:v>36–47</c:v>
                </c:pt>
                <c:pt idx="26">
                  <c:v>48+</c:v>
                </c:pt>
              </c:strCache>
            </c:strRef>
          </c:cat>
          <c:val>
            <c:numRef>
              <c:f>Seclusion!$AD$169:$AD$195</c:f>
              <c:numCache>
                <c:formatCode>General</c:formatCode>
                <c:ptCount val="27"/>
                <c:pt idx="0">
                  <c:v>14</c:v>
                </c:pt>
                <c:pt idx="1">
                  <c:v>17</c:v>
                </c:pt>
                <c:pt idx="2">
                  <c:v>9</c:v>
                </c:pt>
                <c:pt idx="3">
                  <c:v>5</c:v>
                </c:pt>
                <c:pt idx="4">
                  <c:v>7</c:v>
                </c:pt>
                <c:pt idx="5">
                  <c:v>3</c:v>
                </c:pt>
                <c:pt idx="6">
                  <c:v>4</c:v>
                </c:pt>
                <c:pt idx="7">
                  <c:v>1</c:v>
                </c:pt>
                <c:pt idx="8">
                  <c:v>3</c:v>
                </c:pt>
                <c:pt idx="9">
                  <c:v>5</c:v>
                </c:pt>
                <c:pt idx="10">
                  <c:v>14</c:v>
                </c:pt>
                <c:pt idx="11">
                  <c:v>1</c:v>
                </c:pt>
                <c:pt idx="12">
                  <c:v>8</c:v>
                </c:pt>
                <c:pt idx="13">
                  <c:v>13</c:v>
                </c:pt>
                <c:pt idx="14">
                  <c:v>4</c:v>
                </c:pt>
                <c:pt idx="15">
                  <c:v>5</c:v>
                </c:pt>
                <c:pt idx="16">
                  <c:v>2</c:v>
                </c:pt>
                <c:pt idx="17">
                  <c:v>1</c:v>
                </c:pt>
                <c:pt idx="18">
                  <c:v>5</c:v>
                </c:pt>
                <c:pt idx="20">
                  <c:v>8</c:v>
                </c:pt>
                <c:pt idx="21">
                  <c:v>4</c:v>
                </c:pt>
                <c:pt idx="22">
                  <c:v>3</c:v>
                </c:pt>
                <c:pt idx="24">
                  <c:v>16</c:v>
                </c:pt>
                <c:pt idx="25">
                  <c:v>12</c:v>
                </c:pt>
                <c:pt idx="26">
                  <c:v>39</c:v>
                </c:pt>
              </c:numCache>
            </c:numRef>
          </c:val>
          <c:extLst>
            <c:ext xmlns:c16="http://schemas.microsoft.com/office/drawing/2014/chart" uri="{C3380CC4-5D6E-409C-BE32-E72D297353CC}">
              <c16:uniqueId val="{00000001-F186-429F-8BE3-753E18E6E9F6}"/>
            </c:ext>
          </c:extLst>
        </c:ser>
        <c:ser>
          <c:idx val="2"/>
          <c:order val="2"/>
          <c:tx>
            <c:v>Other</c:v>
          </c:tx>
          <c:invertIfNegative val="0"/>
          <c:cat>
            <c:strRef>
              <c:f>Seclusion!$T$169:$T$195</c:f>
              <c:strCache>
                <c:ptCount val="27"/>
                <c:pt idx="0">
                  <c:v> 0–1</c:v>
                </c:pt>
                <c:pt idx="1">
                  <c:v> 1–2</c:v>
                </c:pt>
                <c:pt idx="2">
                  <c:v> 2–3</c:v>
                </c:pt>
                <c:pt idx="3">
                  <c:v> 3–4</c:v>
                </c:pt>
                <c:pt idx="4">
                  <c:v> 4–5</c:v>
                </c:pt>
                <c:pt idx="5">
                  <c:v> 5–6</c:v>
                </c:pt>
                <c:pt idx="6">
                  <c:v> 6–7</c:v>
                </c:pt>
                <c:pt idx="7">
                  <c:v> 7–8</c:v>
                </c:pt>
                <c:pt idx="8">
                  <c:v> 8–9</c:v>
                </c:pt>
                <c:pt idx="9">
                  <c:v> 9–10</c:v>
                </c:pt>
                <c:pt idx="10">
                  <c:v>10–11</c:v>
                </c:pt>
                <c:pt idx="11">
                  <c:v>11–12</c:v>
                </c:pt>
                <c:pt idx="12">
                  <c:v>12–13</c:v>
                </c:pt>
                <c:pt idx="13">
                  <c:v>13–14</c:v>
                </c:pt>
                <c:pt idx="14">
                  <c:v>14–15</c:v>
                </c:pt>
                <c:pt idx="15">
                  <c:v>15–16</c:v>
                </c:pt>
                <c:pt idx="16">
                  <c:v>16–17</c:v>
                </c:pt>
                <c:pt idx="17">
                  <c:v>17–18</c:v>
                </c:pt>
                <c:pt idx="18">
                  <c:v>18–19</c:v>
                </c:pt>
                <c:pt idx="19">
                  <c:v>19–20</c:v>
                </c:pt>
                <c:pt idx="20">
                  <c:v>20–21</c:v>
                </c:pt>
                <c:pt idx="21">
                  <c:v>21–22</c:v>
                </c:pt>
                <c:pt idx="22">
                  <c:v>22–23</c:v>
                </c:pt>
                <c:pt idx="23">
                  <c:v>23–24</c:v>
                </c:pt>
                <c:pt idx="24">
                  <c:v>24–35</c:v>
                </c:pt>
                <c:pt idx="25">
                  <c:v>36–47</c:v>
                </c:pt>
                <c:pt idx="26">
                  <c:v>48+</c:v>
                </c:pt>
              </c:strCache>
            </c:strRef>
          </c:cat>
          <c:val>
            <c:numRef>
              <c:f>Seclusion!$AE$169:$AE$195</c:f>
              <c:numCache>
                <c:formatCode>General</c:formatCode>
                <c:ptCount val="27"/>
                <c:pt idx="0">
                  <c:v>105</c:v>
                </c:pt>
                <c:pt idx="1">
                  <c:v>193</c:v>
                </c:pt>
                <c:pt idx="2">
                  <c:v>137</c:v>
                </c:pt>
                <c:pt idx="3">
                  <c:v>93</c:v>
                </c:pt>
                <c:pt idx="4">
                  <c:v>64</c:v>
                </c:pt>
                <c:pt idx="5">
                  <c:v>56</c:v>
                </c:pt>
                <c:pt idx="6">
                  <c:v>47</c:v>
                </c:pt>
                <c:pt idx="7">
                  <c:v>34</c:v>
                </c:pt>
                <c:pt idx="8">
                  <c:v>46</c:v>
                </c:pt>
                <c:pt idx="9">
                  <c:v>28</c:v>
                </c:pt>
                <c:pt idx="10">
                  <c:v>35</c:v>
                </c:pt>
                <c:pt idx="11">
                  <c:v>41</c:v>
                </c:pt>
                <c:pt idx="12">
                  <c:v>55</c:v>
                </c:pt>
                <c:pt idx="13">
                  <c:v>39</c:v>
                </c:pt>
                <c:pt idx="14">
                  <c:v>31</c:v>
                </c:pt>
                <c:pt idx="15">
                  <c:v>26</c:v>
                </c:pt>
                <c:pt idx="16">
                  <c:v>19</c:v>
                </c:pt>
                <c:pt idx="17">
                  <c:v>20</c:v>
                </c:pt>
                <c:pt idx="18">
                  <c:v>26</c:v>
                </c:pt>
                <c:pt idx="19">
                  <c:v>22</c:v>
                </c:pt>
                <c:pt idx="20">
                  <c:v>21</c:v>
                </c:pt>
                <c:pt idx="21">
                  <c:v>20</c:v>
                </c:pt>
                <c:pt idx="22">
                  <c:v>21</c:v>
                </c:pt>
                <c:pt idx="23">
                  <c:v>15</c:v>
                </c:pt>
                <c:pt idx="24">
                  <c:v>67</c:v>
                </c:pt>
                <c:pt idx="25">
                  <c:v>49</c:v>
                </c:pt>
                <c:pt idx="26">
                  <c:v>133</c:v>
                </c:pt>
              </c:numCache>
            </c:numRef>
          </c:val>
          <c:extLst>
            <c:ext xmlns:c16="http://schemas.microsoft.com/office/drawing/2014/chart" uri="{C3380CC4-5D6E-409C-BE32-E72D297353CC}">
              <c16:uniqueId val="{00000002-F186-429F-8BE3-753E18E6E9F6}"/>
            </c:ext>
          </c:extLst>
        </c:ser>
        <c:dLbls>
          <c:showLegendKey val="0"/>
          <c:showVal val="0"/>
          <c:showCatName val="0"/>
          <c:showSerName val="0"/>
          <c:showPercent val="0"/>
          <c:showBubbleSize val="0"/>
        </c:dLbls>
        <c:gapWidth val="40"/>
        <c:axId val="245920184"/>
        <c:axId val="245919792"/>
      </c:barChart>
      <c:catAx>
        <c:axId val="245920184"/>
        <c:scaling>
          <c:orientation val="minMax"/>
        </c:scaling>
        <c:delete val="0"/>
        <c:axPos val="b"/>
        <c:title>
          <c:tx>
            <c:rich>
              <a:bodyPr/>
              <a:lstStyle/>
              <a:p>
                <a:pPr>
                  <a:defRPr/>
                </a:pPr>
                <a:r>
                  <a:rPr lang="en-NZ" b="0"/>
                  <a:t>Hours</a:t>
                </a:r>
              </a:p>
            </c:rich>
          </c:tx>
          <c:layout>
            <c:manualLayout>
              <c:xMode val="edge"/>
              <c:yMode val="edge"/>
              <c:x val="0.48588965628443193"/>
              <c:y val="0.94281901560057801"/>
            </c:manualLayout>
          </c:layout>
          <c:overlay val="0"/>
        </c:title>
        <c:numFmt formatCode="General" sourceLinked="1"/>
        <c:majorTickMark val="out"/>
        <c:minorTickMark val="none"/>
        <c:tickLblPos val="nextTo"/>
        <c:spPr>
          <a:ln>
            <a:solidFill>
              <a:schemeClr val="tx1"/>
            </a:solidFill>
          </a:ln>
        </c:spPr>
        <c:crossAx val="245919792"/>
        <c:crosses val="autoZero"/>
        <c:auto val="1"/>
        <c:lblAlgn val="ctr"/>
        <c:lblOffset val="100"/>
        <c:noMultiLvlLbl val="0"/>
      </c:catAx>
      <c:valAx>
        <c:axId val="245919792"/>
        <c:scaling>
          <c:orientation val="minMax"/>
          <c:max val="200"/>
        </c:scaling>
        <c:delete val="0"/>
        <c:axPos val="l"/>
        <c:title>
          <c:tx>
            <c:rich>
              <a:bodyPr rot="0" vert="horz"/>
              <a:lstStyle/>
              <a:p>
                <a:pPr>
                  <a:defRPr/>
                </a:pPr>
                <a:r>
                  <a:rPr lang="en-NZ" b="0"/>
                  <a:t>Number</a:t>
                </a:r>
              </a:p>
            </c:rich>
          </c:tx>
          <c:layout>
            <c:manualLayout>
              <c:xMode val="edge"/>
              <c:yMode val="edge"/>
              <c:x val="1.2736377236121938E-3"/>
              <c:y val="3.0690177812280508E-3"/>
            </c:manualLayout>
          </c:layout>
          <c:overlay val="0"/>
        </c:title>
        <c:numFmt formatCode="General" sourceLinked="1"/>
        <c:majorTickMark val="out"/>
        <c:minorTickMark val="out"/>
        <c:tickLblPos val="nextTo"/>
        <c:spPr>
          <a:ln>
            <a:solidFill>
              <a:schemeClr val="tx1"/>
            </a:solidFill>
          </a:ln>
        </c:spPr>
        <c:crossAx val="245920184"/>
        <c:crosses val="autoZero"/>
        <c:crossBetween val="between"/>
        <c:minorUnit val="10"/>
      </c:valAx>
    </c:plotArea>
    <c:legend>
      <c:legendPos val="t"/>
      <c:overlay val="0"/>
    </c:legend>
    <c:plotVisOnly val="1"/>
    <c:dispBlanksAs val="gap"/>
    <c:showDLblsOverMax val="0"/>
  </c:chart>
  <c:spPr>
    <a:noFill/>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270070190926998E-2"/>
          <c:y val="6.8619580447180958E-2"/>
          <c:w val="0.94047798922099068"/>
          <c:h val="0.56860997638453092"/>
        </c:manualLayout>
      </c:layout>
      <c:lineChart>
        <c:grouping val="standard"/>
        <c:varyColors val="0"/>
        <c:ser>
          <c:idx val="0"/>
          <c:order val="0"/>
          <c:tx>
            <c:strRef>
              <c:f>'Error bars'!$B$250</c:f>
              <c:strCache>
                <c:ptCount val="1"/>
                <c:pt idx="0">
                  <c:v>People secluded</c:v>
                </c:pt>
              </c:strCache>
            </c:strRef>
          </c:tx>
          <c:spPr>
            <a:ln>
              <a:noFill/>
            </a:ln>
          </c:spPr>
          <c:errBars>
            <c:errDir val="y"/>
            <c:errBarType val="both"/>
            <c:errValType val="cust"/>
            <c:noEndCap val="0"/>
            <c:plus>
              <c:numRef>
                <c:f>'Error bars'!$F$252:$F$271</c:f>
                <c:numCache>
                  <c:formatCode>General</c:formatCode>
                  <c:ptCount val="19"/>
                  <c:pt idx="0">
                    <c:v>3.0054848500499314</c:v>
                  </c:pt>
                  <c:pt idx="1">
                    <c:v>19.738871741477567</c:v>
                  </c:pt>
                  <c:pt idx="2">
                    <c:v>7.7214228251924375</c:v>
                  </c:pt>
                  <c:pt idx="3">
                    <c:v>12.120891617481185</c:v>
                  </c:pt>
                  <c:pt idx="4">
                    <c:v>7.4087403650440073</c:v>
                  </c:pt>
                  <c:pt idx="5">
                    <c:v>18.705405225823547</c:v>
                  </c:pt>
                  <c:pt idx="6">
                    <c:v>22.124519845454742</c:v>
                  </c:pt>
                  <c:pt idx="7">
                    <c:v>24.382524030589984</c:v>
                  </c:pt>
                  <c:pt idx="8">
                    <c:v>17.248475319021082</c:v>
                  </c:pt>
                  <c:pt idx="9">
                    <c:v>22.787964005756308</c:v>
                  </c:pt>
                  <c:pt idx="10">
                    <c:v>16.049894400892246</c:v>
                  </c:pt>
                  <c:pt idx="11">
                    <c:v>35.361598969947345</c:v>
                  </c:pt>
                  <c:pt idx="12">
                    <c:v>12.867499024995155</c:v>
                  </c:pt>
                  <c:pt idx="13">
                    <c:v>47.540835969142115</c:v>
                  </c:pt>
                  <c:pt idx="14">
                    <c:v>25.113848998788839</c:v>
                  </c:pt>
                  <c:pt idx="15">
                    <c:v>11.530521637374193</c:v>
                  </c:pt>
                  <c:pt idx="16">
                    <c:v>3.9987274243592257</c:v>
                  </c:pt>
                  <c:pt idx="17">
                    <c:v>50.204441212746318</c:v>
                  </c:pt>
                  <c:pt idx="18">
                    <c:v>23.164662495918023</c:v>
                  </c:pt>
                </c:numCache>
                <c:extLst/>
              </c:numRef>
            </c:plus>
            <c:minus>
              <c:numRef>
                <c:f>'Error bars'!$E$252:$E$271</c:f>
                <c:numCache>
                  <c:formatCode>General</c:formatCode>
                  <c:ptCount val="19"/>
                  <c:pt idx="0">
                    <c:v>1.4718576745559586</c:v>
                  </c:pt>
                  <c:pt idx="1">
                    <c:v>16.357782773902372</c:v>
                  </c:pt>
                  <c:pt idx="2">
                    <c:v>6.3393508446135094</c:v>
                  </c:pt>
                  <c:pt idx="3">
                    <c:v>9.7326628832996143</c:v>
                  </c:pt>
                  <c:pt idx="4">
                    <c:v>6.0398754879709564</c:v>
                  </c:pt>
                  <c:pt idx="5">
                    <c:v>13.640680101151755</c:v>
                  </c:pt>
                  <c:pt idx="6">
                    <c:v>16.995649549792375</c:v>
                  </c:pt>
                  <c:pt idx="7">
                    <c:v>16.893350454798718</c:v>
                  </c:pt>
                  <c:pt idx="8">
                    <c:v>12.519780937440135</c:v>
                  </c:pt>
                  <c:pt idx="9">
                    <c:v>17.255039112883374</c:v>
                  </c:pt>
                  <c:pt idx="10">
                    <c:v>11.271221740754319</c:v>
                  </c:pt>
                  <c:pt idx="11">
                    <c:v>20.547046874011556</c:v>
                  </c:pt>
                  <c:pt idx="12">
                    <c:v>10.515627013842604</c:v>
                  </c:pt>
                  <c:pt idx="13">
                    <c:v>29.276417732931183</c:v>
                  </c:pt>
                  <c:pt idx="14">
                    <c:v>17.95188985620614</c:v>
                  </c:pt>
                  <c:pt idx="15">
                    <c:v>9.5736295378706693</c:v>
                  </c:pt>
                  <c:pt idx="16">
                    <c:v>2.728813840541283</c:v>
                  </c:pt>
                  <c:pt idx="17">
                    <c:v>21.520284001907697</c:v>
                  </c:pt>
                  <c:pt idx="18">
                    <c:v>8.969793683268442</c:v>
                  </c:pt>
                </c:numCache>
                <c:extLst/>
              </c:numRef>
            </c:minus>
          </c:errBars>
          <c:cat>
            <c:strRef>
              <c:f>'Error bars'!$B$252:$B$271</c:f>
              <c:strCache>
                <c:ptCount val="19"/>
                <c:pt idx="0">
                  <c:v>Auckland </c:v>
                </c:pt>
                <c:pt idx="1">
                  <c:v>Bay of Plenty</c:v>
                </c:pt>
                <c:pt idx="2">
                  <c:v>Canterbury</c:v>
                </c:pt>
                <c:pt idx="3">
                  <c:v>Capital &amp; Coast </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Waitematā</c:v>
                </c:pt>
                <c:pt idx="17">
                  <c:v>West Coast</c:v>
                </c:pt>
                <c:pt idx="18">
                  <c:v>Whanganui</c:v>
                </c:pt>
              </c:strCache>
              <c:extLst/>
            </c:strRef>
          </c:cat>
          <c:val>
            <c:numRef>
              <c:f>'Error bars'!$C$252:$C$271</c:f>
              <c:numCache>
                <c:formatCode>0.0</c:formatCode>
                <c:ptCount val="19"/>
                <c:pt idx="0">
                  <c:v>2.0761040424711568</c:v>
                </c:pt>
                <c:pt idx="1">
                  <c:v>67.86703601108033</c:v>
                </c:pt>
                <c:pt idx="2">
                  <c:v>25.163278577285194</c:v>
                </c:pt>
                <c:pt idx="3">
                  <c:v>35.075753885126908</c:v>
                </c:pt>
                <c:pt idx="4">
                  <c:v>23.221330050639285</c:v>
                </c:pt>
                <c:pt idx="5">
                  <c:v>35.728868926092282</c:v>
                </c:pt>
                <c:pt idx="6">
                  <c:v>52.01831044527674</c:v>
                </c:pt>
                <c:pt idx="7">
                  <c:v>39.00975243810953</c:v>
                </c:pt>
                <c:pt idx="8">
                  <c:v>32.387121356448844</c:v>
                </c:pt>
                <c:pt idx="9">
                  <c:v>50.414519381581897</c:v>
                </c:pt>
                <c:pt idx="10">
                  <c:v>26.848211717326688</c:v>
                </c:pt>
                <c:pt idx="11">
                  <c:v>34.939583636628335</c:v>
                </c:pt>
                <c:pt idx="12">
                  <c:v>40.871279511468003</c:v>
                </c:pt>
                <c:pt idx="13">
                  <c:v>54.17118093174431</c:v>
                </c:pt>
                <c:pt idx="14">
                  <c:v>44.642857142857139</c:v>
                </c:pt>
                <c:pt idx="15">
                  <c:v>40.091408411177483</c:v>
                </c:pt>
                <c:pt idx="16">
                  <c:v>6.0952380952380949</c:v>
                </c:pt>
                <c:pt idx="17">
                  <c:v>27.434842249657066</c:v>
                </c:pt>
                <c:pt idx="18">
                  <c:v>10.781671159029649</c:v>
                </c:pt>
              </c:numCache>
              <c:extLst/>
            </c:numRef>
          </c:val>
          <c:smooth val="0"/>
          <c:extLst>
            <c:ext xmlns:c16="http://schemas.microsoft.com/office/drawing/2014/chart" uri="{C3380CC4-5D6E-409C-BE32-E72D297353CC}">
              <c16:uniqueId val="{00000000-5F2B-4353-9D04-21208175D4DA}"/>
            </c:ext>
          </c:extLst>
        </c:ser>
        <c:ser>
          <c:idx val="1"/>
          <c:order val="1"/>
          <c:tx>
            <c:v>National Average</c:v>
          </c:tx>
          <c:marker>
            <c:symbol val="none"/>
          </c:marker>
          <c:cat>
            <c:strRef>
              <c:f>'Error bars'!$B$252:$B$271</c:f>
              <c:strCache>
                <c:ptCount val="19"/>
                <c:pt idx="0">
                  <c:v>Auckland </c:v>
                </c:pt>
                <c:pt idx="1">
                  <c:v>Bay of Plenty</c:v>
                </c:pt>
                <c:pt idx="2">
                  <c:v>Canterbury</c:v>
                </c:pt>
                <c:pt idx="3">
                  <c:v>Capital &amp; Coast </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Waitematā</c:v>
                </c:pt>
                <c:pt idx="17">
                  <c:v>West Coast</c:v>
                </c:pt>
                <c:pt idx="18">
                  <c:v>Whanganui</c:v>
                </c:pt>
              </c:strCache>
              <c:extLst/>
            </c:strRef>
          </c:cat>
          <c:val>
            <c:numRef>
              <c:f>'Error bars'!$D$252:$D$271</c:f>
              <c:numCache>
                <c:formatCode>0</c:formatCode>
                <c:ptCount val="19"/>
                <c:pt idx="0">
                  <c:v>26.975098508756975</c:v>
                </c:pt>
                <c:pt idx="1">
                  <c:v>26.975098508756975</c:v>
                </c:pt>
                <c:pt idx="2">
                  <c:v>26.975098508756975</c:v>
                </c:pt>
                <c:pt idx="3">
                  <c:v>26.975098508756975</c:v>
                </c:pt>
                <c:pt idx="4">
                  <c:v>26.975098508756975</c:v>
                </c:pt>
                <c:pt idx="5">
                  <c:v>26.975098508756975</c:v>
                </c:pt>
                <c:pt idx="6">
                  <c:v>26.975098508756975</c:v>
                </c:pt>
                <c:pt idx="7">
                  <c:v>26.975098508756975</c:v>
                </c:pt>
                <c:pt idx="8">
                  <c:v>26.975098508756975</c:v>
                </c:pt>
                <c:pt idx="9">
                  <c:v>26.975098508756975</c:v>
                </c:pt>
                <c:pt idx="10">
                  <c:v>26.975098508756975</c:v>
                </c:pt>
                <c:pt idx="11">
                  <c:v>26.975098508756975</c:v>
                </c:pt>
                <c:pt idx="12">
                  <c:v>26.975098508756975</c:v>
                </c:pt>
                <c:pt idx="13">
                  <c:v>26.975098508756975</c:v>
                </c:pt>
                <c:pt idx="14">
                  <c:v>26.975098508756975</c:v>
                </c:pt>
                <c:pt idx="15">
                  <c:v>26.975098508756975</c:v>
                </c:pt>
                <c:pt idx="16">
                  <c:v>26.975098508756975</c:v>
                </c:pt>
                <c:pt idx="17">
                  <c:v>26.975098508756975</c:v>
                </c:pt>
                <c:pt idx="18">
                  <c:v>26.975098508756975</c:v>
                </c:pt>
              </c:numCache>
              <c:extLst/>
            </c:numRef>
          </c:val>
          <c:smooth val="0"/>
          <c:extLst>
            <c:ext xmlns:c16="http://schemas.microsoft.com/office/drawing/2014/chart" uri="{C3380CC4-5D6E-409C-BE32-E72D297353CC}">
              <c16:uniqueId val="{00000001-5F2B-4353-9D04-21208175D4DA}"/>
            </c:ext>
          </c:extLst>
        </c:ser>
        <c:dLbls>
          <c:showLegendKey val="0"/>
          <c:showVal val="0"/>
          <c:showCatName val="0"/>
          <c:showSerName val="0"/>
          <c:showPercent val="0"/>
          <c:showBubbleSize val="0"/>
        </c:dLbls>
        <c:marker val="1"/>
        <c:smooth val="0"/>
        <c:axId val="555319432"/>
        <c:axId val="555322960"/>
      </c:lineChart>
      <c:catAx>
        <c:axId val="555319432"/>
        <c:scaling>
          <c:orientation val="minMax"/>
        </c:scaling>
        <c:delete val="0"/>
        <c:axPos val="b"/>
        <c:title>
          <c:tx>
            <c:rich>
              <a:bodyPr/>
              <a:lstStyle/>
              <a:p>
                <a:pPr>
                  <a:defRPr b="0"/>
                </a:pPr>
                <a:r>
                  <a:rPr lang="en-NZ" b="0"/>
                  <a:t>DHB</a:t>
                </a:r>
              </a:p>
            </c:rich>
          </c:tx>
          <c:overlay val="0"/>
        </c:title>
        <c:numFmt formatCode="General" sourceLinked="0"/>
        <c:majorTickMark val="out"/>
        <c:minorTickMark val="none"/>
        <c:tickLblPos val="nextTo"/>
        <c:spPr>
          <a:ln>
            <a:solidFill>
              <a:schemeClr val="tx1"/>
            </a:solidFill>
          </a:ln>
        </c:spPr>
        <c:txPr>
          <a:bodyPr rot="-5400000" vert="horz"/>
          <a:lstStyle/>
          <a:p>
            <a:pPr>
              <a:defRPr>
                <a:solidFill>
                  <a:schemeClr val="tx1"/>
                </a:solidFill>
              </a:defRPr>
            </a:pPr>
            <a:endParaRPr lang="en-US"/>
          </a:p>
        </c:txPr>
        <c:crossAx val="555322960"/>
        <c:crosses val="autoZero"/>
        <c:auto val="1"/>
        <c:lblAlgn val="ctr"/>
        <c:lblOffset val="100"/>
        <c:noMultiLvlLbl val="0"/>
      </c:catAx>
      <c:valAx>
        <c:axId val="555322960"/>
        <c:scaling>
          <c:orientation val="minMax"/>
        </c:scaling>
        <c:delete val="0"/>
        <c:axPos val="l"/>
        <c:title>
          <c:tx>
            <c:rich>
              <a:bodyPr rot="0" vert="horz"/>
              <a:lstStyle/>
              <a:p>
                <a:pPr>
                  <a:defRPr b="0"/>
                </a:pPr>
                <a:r>
                  <a:rPr lang="en-NZ" b="0"/>
                  <a:t>Number</a:t>
                </a:r>
              </a:p>
            </c:rich>
          </c:tx>
          <c:layout>
            <c:manualLayout>
              <c:xMode val="edge"/>
              <c:yMode val="edge"/>
              <c:x val="0"/>
              <c:y val="1.1391372688583591E-3"/>
            </c:manualLayout>
          </c:layout>
          <c:overlay val="0"/>
        </c:title>
        <c:numFmt formatCode="0" sourceLinked="0"/>
        <c:majorTickMark val="out"/>
        <c:minorTickMark val="out"/>
        <c:tickLblPos val="nextTo"/>
        <c:spPr>
          <a:ln>
            <a:solidFill>
              <a:schemeClr val="tx1"/>
            </a:solidFill>
          </a:ln>
        </c:spPr>
        <c:crossAx val="555319432"/>
        <c:crosses val="autoZero"/>
        <c:crossBetween val="between"/>
        <c:minorUnit val="10"/>
      </c:valAx>
    </c:plotArea>
    <c:legend>
      <c:legendPos val="r"/>
      <c:layout>
        <c:manualLayout>
          <c:xMode val="edge"/>
          <c:yMode val="edge"/>
          <c:x val="0.37293278734574303"/>
          <c:y val="1.8113525283023437E-3"/>
          <c:w val="0.55172929995760278"/>
          <c:h val="7.4071267407363556E-2"/>
        </c:manualLayout>
      </c:layout>
      <c:overlay val="0"/>
    </c:legend>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46143136700898E-2"/>
          <c:y val="6.3319294390526776E-2"/>
          <c:w val="0.91857590757060525"/>
          <c:h val="0.57390438598275995"/>
        </c:manualLayout>
      </c:layout>
      <c:lineChart>
        <c:grouping val="standard"/>
        <c:varyColors val="0"/>
        <c:ser>
          <c:idx val="0"/>
          <c:order val="0"/>
          <c:tx>
            <c:strRef>
              <c:f>'Error bars'!$B$287</c:f>
              <c:strCache>
                <c:ptCount val="1"/>
                <c:pt idx="0">
                  <c:v>Number of events</c:v>
                </c:pt>
              </c:strCache>
            </c:strRef>
          </c:tx>
          <c:spPr>
            <a:ln>
              <a:noFill/>
            </a:ln>
          </c:spPr>
          <c:errBars>
            <c:errDir val="y"/>
            <c:errBarType val="both"/>
            <c:errValType val="cust"/>
            <c:noEndCap val="0"/>
            <c:plus>
              <c:numRef>
                <c:f>'Error bars'!$F$289:$F$308</c:f>
                <c:numCache>
                  <c:formatCode>General</c:formatCode>
                  <c:ptCount val="19"/>
                  <c:pt idx="0">
                    <c:v>3.1373567423861473</c:v>
                  </c:pt>
                  <c:pt idx="1">
                    <c:v>27.964150629039807</c:v>
                  </c:pt>
                  <c:pt idx="2">
                    <c:v>9.4605494045041709</c:v>
                  </c:pt>
                  <c:pt idx="3">
                    <c:v>21.202204678219886</c:v>
                  </c:pt>
                  <c:pt idx="4">
                    <c:v>9.7183169395484512</c:v>
                  </c:pt>
                  <c:pt idx="5">
                    <c:v>23.802613719723162</c:v>
                  </c:pt>
                  <c:pt idx="6">
                    <c:v>27.403322359429353</c:v>
                  </c:pt>
                  <c:pt idx="7">
                    <c:v>25.820444822111369</c:v>
                  </c:pt>
                  <c:pt idx="8">
                    <c:v>21.421769645483458</c:v>
                  </c:pt>
                  <c:pt idx="9">
                    <c:v>30.898498115051041</c:v>
                  </c:pt>
                  <c:pt idx="10">
                    <c:v>19.864344012535234</c:v>
                  </c:pt>
                  <c:pt idx="11">
                    <c:v>50.776115139784423</c:v>
                  </c:pt>
                  <c:pt idx="12">
                    <c:v>25.01326385739975</c:v>
                  </c:pt>
                  <c:pt idx="13">
                    <c:v>59.577022681241857</c:v>
                  </c:pt>
                  <c:pt idx="14">
                    <c:v>28.457448316371355</c:v>
                  </c:pt>
                  <c:pt idx="15">
                    <c:v>14.696256273971784</c:v>
                  </c:pt>
                  <c:pt idx="16">
                    <c:v>4.3706225965554886</c:v>
                  </c:pt>
                  <c:pt idx="17">
                    <c:v>53.002330926187355</c:v>
                  </c:pt>
                  <c:pt idx="18">
                    <c:v>23.164662495918023</c:v>
                  </c:pt>
                </c:numCache>
              </c:numRef>
            </c:plus>
            <c:minus>
              <c:numRef>
                <c:f>'Error bars'!$E$289:$E$308</c:f>
                <c:numCache>
                  <c:formatCode>General</c:formatCode>
                  <c:ptCount val="19"/>
                  <c:pt idx="0">
                    <c:v>1.6101365122870239</c:v>
                  </c:pt>
                  <c:pt idx="1">
                    <c:v>24.610091891483776</c:v>
                  </c:pt>
                  <c:pt idx="2">
                    <c:v>8.085786758216301</c:v>
                  </c:pt>
                  <c:pt idx="3">
                    <c:v>18.845949659669969</c:v>
                  </c:pt>
                  <c:pt idx="4">
                    <c:v>8.3590968690219967</c:v>
                  </c:pt>
                  <c:pt idx="5">
                    <c:v>18.787219979513765</c:v>
                  </c:pt>
                  <c:pt idx="6">
                    <c:v>22.31226227738933</c:v>
                  </c:pt>
                  <c:pt idx="7">
                    <c:v>18.353720120976345</c:v>
                  </c:pt>
                  <c:pt idx="8">
                    <c:v>16.73568282677693</c:v>
                  </c:pt>
                  <c:pt idx="9">
                    <c:v>25.423646502719933</c:v>
                  </c:pt>
                  <c:pt idx="10">
                    <c:v>15.132346521855315</c:v>
                  </c:pt>
                  <c:pt idx="11">
                    <c:v>36.295799435578829</c:v>
                  </c:pt>
                  <c:pt idx="12">
                    <c:v>22.694157113772434</c:v>
                  </c:pt>
                  <c:pt idx="13">
                    <c:v>41.565090678839169</c:v>
                  </c:pt>
                  <c:pt idx="14">
                    <c:v>21.336646607805982</c:v>
                  </c:pt>
                  <c:pt idx="15">
                    <c:v>12.750778511470678</c:v>
                  </c:pt>
                  <c:pt idx="16">
                    <c:v>3.1067312915887575</c:v>
                  </c:pt>
                  <c:pt idx="17">
                    <c:v>24.488824038163695</c:v>
                  </c:pt>
                  <c:pt idx="18">
                    <c:v>8.969793683268442</c:v>
                  </c:pt>
                </c:numCache>
              </c:numRef>
            </c:minus>
          </c:errBars>
          <c:cat>
            <c:strRef>
              <c:f>'Error bars'!$B$289:$B$308</c:f>
              <c:strCache>
                <c:ptCount val="19"/>
                <c:pt idx="0">
                  <c:v>Auckland </c:v>
                </c:pt>
                <c:pt idx="1">
                  <c:v>Bay of Plenty</c:v>
                </c:pt>
                <c:pt idx="2">
                  <c:v>Canterbury</c:v>
                </c:pt>
                <c:pt idx="3">
                  <c:v>Capital &amp; Coast </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Waitematā</c:v>
                </c:pt>
                <c:pt idx="17">
                  <c:v>West Coast</c:v>
                </c:pt>
                <c:pt idx="18">
                  <c:v>Whanganui</c:v>
                </c:pt>
              </c:strCache>
            </c:strRef>
          </c:cat>
          <c:val>
            <c:numRef>
              <c:f>'Error bars'!$C$289:$C$308</c:f>
              <c:numCache>
                <c:formatCode>0.0</c:formatCode>
                <c:ptCount val="19"/>
                <c:pt idx="0">
                  <c:v>2.3726903342527508</c:v>
                </c:pt>
                <c:pt idx="1">
                  <c:v>146.12188365650968</c:v>
                </c:pt>
                <c:pt idx="2">
                  <c:v>39.582685402471093</c:v>
                </c:pt>
                <c:pt idx="3">
                  <c:v>120.816485604326</c:v>
                </c:pt>
                <c:pt idx="4">
                  <c:v>42.525809249363512</c:v>
                </c:pt>
                <c:pt idx="5">
                  <c:v>63.291139240506332</c:v>
                </c:pt>
                <c:pt idx="6">
                  <c:v>85.310029130253852</c:v>
                </c:pt>
                <c:pt idx="7">
                  <c:v>45.011252813203299</c:v>
                </c:pt>
                <c:pt idx="8">
                  <c:v>54.296056391693661</c:v>
                </c:pt>
                <c:pt idx="9">
                  <c:v>101.94936141608784</c:v>
                </c:pt>
                <c:pt idx="10">
                  <c:v>45.066641096941218</c:v>
                </c:pt>
                <c:pt idx="11">
                  <c:v>90.260591061289858</c:v>
                </c:pt>
                <c:pt idx="12">
                  <c:v>174.54440544309276</c:v>
                </c:pt>
                <c:pt idx="13">
                  <c:v>97.508125677139759</c:v>
                </c:pt>
                <c:pt idx="14">
                  <c:v>60.483870967741936</c:v>
                </c:pt>
                <c:pt idx="15">
                  <c:v>68.556308383113503</c:v>
                </c:pt>
                <c:pt idx="16">
                  <c:v>7.6190476190476186</c:v>
                </c:pt>
                <c:pt idx="17">
                  <c:v>32.921810699588477</c:v>
                </c:pt>
                <c:pt idx="18">
                  <c:v>10.781671159029649</c:v>
                </c:pt>
              </c:numCache>
            </c:numRef>
          </c:val>
          <c:smooth val="0"/>
          <c:extLst>
            <c:ext xmlns:c16="http://schemas.microsoft.com/office/drawing/2014/chart" uri="{C3380CC4-5D6E-409C-BE32-E72D297353CC}">
              <c16:uniqueId val="{00000000-73FD-4BF6-A834-02DC672B50EE}"/>
            </c:ext>
          </c:extLst>
        </c:ser>
        <c:ser>
          <c:idx val="1"/>
          <c:order val="1"/>
          <c:tx>
            <c:v>National Average</c:v>
          </c:tx>
          <c:marker>
            <c:symbol val="none"/>
          </c:marker>
          <c:cat>
            <c:strRef>
              <c:f>'Error bars'!$B$289:$B$308</c:f>
              <c:strCache>
                <c:ptCount val="19"/>
                <c:pt idx="0">
                  <c:v>Auckland </c:v>
                </c:pt>
                <c:pt idx="1">
                  <c:v>Bay of Plenty</c:v>
                </c:pt>
                <c:pt idx="2">
                  <c:v>Canterbury</c:v>
                </c:pt>
                <c:pt idx="3">
                  <c:v>Capital &amp; Coast </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Waitematā</c:v>
                </c:pt>
                <c:pt idx="17">
                  <c:v>West Coast</c:v>
                </c:pt>
                <c:pt idx="18">
                  <c:v>Whanganui</c:v>
                </c:pt>
              </c:strCache>
            </c:strRef>
          </c:cat>
          <c:val>
            <c:numRef>
              <c:f>'Error bars'!$D$289:$D$308</c:f>
              <c:numCache>
                <c:formatCode>0</c:formatCode>
                <c:ptCount val="19"/>
                <c:pt idx="0">
                  <c:v>59.643101242674931</c:v>
                </c:pt>
                <c:pt idx="1">
                  <c:v>59.643101242674931</c:v>
                </c:pt>
                <c:pt idx="2">
                  <c:v>59.643101242674931</c:v>
                </c:pt>
                <c:pt idx="3">
                  <c:v>59.643101242674931</c:v>
                </c:pt>
                <c:pt idx="4">
                  <c:v>59.643101242674931</c:v>
                </c:pt>
                <c:pt idx="5">
                  <c:v>59.643101242674931</c:v>
                </c:pt>
                <c:pt idx="6">
                  <c:v>59.643101242674931</c:v>
                </c:pt>
                <c:pt idx="7">
                  <c:v>59.643101242674931</c:v>
                </c:pt>
                <c:pt idx="8">
                  <c:v>59.643101242674931</c:v>
                </c:pt>
                <c:pt idx="9">
                  <c:v>59.643101242674931</c:v>
                </c:pt>
                <c:pt idx="10">
                  <c:v>59.643101242674931</c:v>
                </c:pt>
                <c:pt idx="11">
                  <c:v>59.643101242674931</c:v>
                </c:pt>
                <c:pt idx="12">
                  <c:v>59.643101242674931</c:v>
                </c:pt>
                <c:pt idx="13">
                  <c:v>59.643101242674931</c:v>
                </c:pt>
                <c:pt idx="14">
                  <c:v>59.643101242674931</c:v>
                </c:pt>
                <c:pt idx="15">
                  <c:v>59.643101242674931</c:v>
                </c:pt>
                <c:pt idx="16">
                  <c:v>59.643101242674931</c:v>
                </c:pt>
                <c:pt idx="17">
                  <c:v>59.643101242674931</c:v>
                </c:pt>
                <c:pt idx="18">
                  <c:v>59.643101242674931</c:v>
                </c:pt>
              </c:numCache>
            </c:numRef>
          </c:val>
          <c:smooth val="0"/>
          <c:extLst>
            <c:ext xmlns:c16="http://schemas.microsoft.com/office/drawing/2014/chart" uri="{C3380CC4-5D6E-409C-BE32-E72D297353CC}">
              <c16:uniqueId val="{00000001-73FD-4BF6-A834-02DC672B50EE}"/>
            </c:ext>
          </c:extLst>
        </c:ser>
        <c:dLbls>
          <c:showLegendKey val="0"/>
          <c:showVal val="0"/>
          <c:showCatName val="0"/>
          <c:showSerName val="0"/>
          <c:showPercent val="0"/>
          <c:showBubbleSize val="0"/>
        </c:dLbls>
        <c:marker val="1"/>
        <c:smooth val="0"/>
        <c:axId val="555319040"/>
        <c:axId val="555319824"/>
      </c:lineChart>
      <c:catAx>
        <c:axId val="555319040"/>
        <c:scaling>
          <c:orientation val="minMax"/>
        </c:scaling>
        <c:delete val="0"/>
        <c:axPos val="b"/>
        <c:title>
          <c:tx>
            <c:rich>
              <a:bodyPr/>
              <a:lstStyle/>
              <a:p>
                <a:pPr>
                  <a:defRPr b="0"/>
                </a:pPr>
                <a:r>
                  <a:rPr lang="en-NZ" b="0"/>
                  <a:t>DHB</a:t>
                </a:r>
              </a:p>
            </c:rich>
          </c:tx>
          <c:overlay val="0"/>
        </c:title>
        <c:numFmt formatCode="General" sourceLinked="0"/>
        <c:majorTickMark val="out"/>
        <c:minorTickMark val="none"/>
        <c:tickLblPos val="nextTo"/>
        <c:spPr>
          <a:ln>
            <a:solidFill>
              <a:schemeClr val="tx1"/>
            </a:solidFill>
          </a:ln>
        </c:spPr>
        <c:txPr>
          <a:bodyPr rot="-5400000" vert="horz"/>
          <a:lstStyle/>
          <a:p>
            <a:pPr>
              <a:defRPr/>
            </a:pPr>
            <a:endParaRPr lang="en-US"/>
          </a:p>
        </c:txPr>
        <c:crossAx val="555319824"/>
        <c:crosses val="autoZero"/>
        <c:auto val="1"/>
        <c:lblAlgn val="ctr"/>
        <c:lblOffset val="100"/>
        <c:noMultiLvlLbl val="0"/>
      </c:catAx>
      <c:valAx>
        <c:axId val="555319824"/>
        <c:scaling>
          <c:orientation val="minMax"/>
        </c:scaling>
        <c:delete val="0"/>
        <c:axPos val="l"/>
        <c:title>
          <c:tx>
            <c:rich>
              <a:bodyPr rot="0" vert="horz"/>
              <a:lstStyle/>
              <a:p>
                <a:pPr>
                  <a:defRPr b="0"/>
                </a:pPr>
                <a:r>
                  <a:rPr lang="en-NZ" b="0"/>
                  <a:t>Number</a:t>
                </a:r>
              </a:p>
            </c:rich>
          </c:tx>
          <c:layout>
            <c:manualLayout>
              <c:xMode val="edge"/>
              <c:yMode val="edge"/>
              <c:x val="0"/>
              <c:y val="2.1973997436364908E-4"/>
            </c:manualLayout>
          </c:layout>
          <c:overlay val="0"/>
        </c:title>
        <c:numFmt formatCode="0" sourceLinked="0"/>
        <c:majorTickMark val="out"/>
        <c:minorTickMark val="out"/>
        <c:tickLblPos val="nextTo"/>
        <c:spPr>
          <a:ln>
            <a:solidFill>
              <a:schemeClr val="tx1"/>
            </a:solidFill>
          </a:ln>
        </c:spPr>
        <c:crossAx val="555319040"/>
        <c:crosses val="autoZero"/>
        <c:crossBetween val="between"/>
        <c:minorUnit val="25"/>
      </c:valAx>
    </c:plotArea>
    <c:legend>
      <c:legendPos val="r"/>
      <c:layout>
        <c:manualLayout>
          <c:xMode val="edge"/>
          <c:yMode val="edge"/>
          <c:x val="0.39011656614051099"/>
          <c:y val="8.8751682000501298E-4"/>
          <c:w val="0.47914999712117756"/>
          <c:h val="7.5323065237000414E-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414791215578441E-2"/>
          <c:y val="7.2843471841834984E-2"/>
          <c:w val="0.93103824297610926"/>
          <c:h val="0.52589737686297988"/>
        </c:manualLayout>
      </c:layout>
      <c:lineChart>
        <c:grouping val="standard"/>
        <c:varyColors val="0"/>
        <c:ser>
          <c:idx val="0"/>
          <c:order val="0"/>
          <c:tx>
            <c:strRef>
              <c:f>'Error bars'!$B$155</c:f>
              <c:strCache>
                <c:ptCount val="1"/>
                <c:pt idx="0">
                  <c:v>Section 29</c:v>
                </c:pt>
              </c:strCache>
            </c:strRef>
          </c:tx>
          <c:spPr>
            <a:ln>
              <a:noFill/>
            </a:ln>
          </c:spPr>
          <c:errBars>
            <c:errDir val="y"/>
            <c:errBarType val="both"/>
            <c:errValType val="cust"/>
            <c:noEndCap val="0"/>
            <c:plus>
              <c:numRef>
                <c:f>'Error bars'!$F$157:$F$176</c:f>
                <c:numCache>
                  <c:formatCode>General</c:formatCode>
                  <c:ptCount val="20"/>
                  <c:pt idx="0">
                    <c:v>11.94462293064818</c:v>
                  </c:pt>
                  <c:pt idx="1">
                    <c:v>11.944321786503892</c:v>
                  </c:pt>
                  <c:pt idx="2">
                    <c:v>9.4016492087854289</c:v>
                  </c:pt>
                  <c:pt idx="3">
                    <c:v>19.200499968592993</c:v>
                  </c:pt>
                  <c:pt idx="4">
                    <c:v>9.5135169218816031</c:v>
                  </c:pt>
                  <c:pt idx="5">
                    <c:v>27.448754138704743</c:v>
                  </c:pt>
                  <c:pt idx="6">
                    <c:v>20.057248229800038</c:v>
                  </c:pt>
                  <c:pt idx="7">
                    <c:v>21.508140862727316</c:v>
                  </c:pt>
                  <c:pt idx="8">
                    <c:v>20.953977321436909</c:v>
                  </c:pt>
                  <c:pt idx="9">
                    <c:v>19.246125186406061</c:v>
                  </c:pt>
                  <c:pt idx="10">
                    <c:v>25.617339913256842</c:v>
                  </c:pt>
                  <c:pt idx="11">
                    <c:v>33.91899174694224</c:v>
                  </c:pt>
                  <c:pt idx="12">
                    <c:v>11.963724328414841</c:v>
                  </c:pt>
                  <c:pt idx="13">
                    <c:v>35.75018714918798</c:v>
                  </c:pt>
                  <c:pt idx="14">
                    <c:v>24.099469991104428</c:v>
                  </c:pt>
                  <c:pt idx="15">
                    <c:v>14.527407612364215</c:v>
                  </c:pt>
                  <c:pt idx="16">
                    <c:v>37.807218018271158</c:v>
                  </c:pt>
                  <c:pt idx="17">
                    <c:v>9.6788737418083031</c:v>
                  </c:pt>
                  <c:pt idx="18">
                    <c:v>49.031116746697251</c:v>
                  </c:pt>
                  <c:pt idx="19">
                    <c:v>40.609140671141063</c:v>
                  </c:pt>
                </c:numCache>
              </c:numRef>
            </c:plus>
            <c:minus>
              <c:numRef>
                <c:f>'Error bars'!$E$157:$E$176</c:f>
                <c:numCache>
                  <c:formatCode>General</c:formatCode>
                  <c:ptCount val="20"/>
                  <c:pt idx="0">
                    <c:v>11.130076953274198</c:v>
                  </c:pt>
                  <c:pt idx="1">
                    <c:v>10.366460464079815</c:v>
                  </c:pt>
                  <c:pt idx="2">
                    <c:v>8.7227056761203272</c:v>
                  </c:pt>
                  <c:pt idx="3">
                    <c:v>17.981969879645021</c:v>
                  </c:pt>
                  <c:pt idx="4">
                    <c:v>8.8513299557844931</c:v>
                  </c:pt>
                  <c:pt idx="5">
                    <c:v>24.85037596442578</c:v>
                  </c:pt>
                  <c:pt idx="6">
                    <c:v>17.120714216916213</c:v>
                  </c:pt>
                  <c:pt idx="7">
                    <c:v>17.511951167212715</c:v>
                  </c:pt>
                  <c:pt idx="8">
                    <c:v>18.379625286315516</c:v>
                  </c:pt>
                  <c:pt idx="9">
                    <c:v>16.236656581793106</c:v>
                  </c:pt>
                  <c:pt idx="10">
                    <c:v>23.409808657794883</c:v>
                  </c:pt>
                  <c:pt idx="11">
                    <c:v>26.801180620949289</c:v>
                  </c:pt>
                  <c:pt idx="12">
                    <c:v>10.825882634724664</c:v>
                  </c:pt>
                  <c:pt idx="13">
                    <c:v>27.372222078402977</c:v>
                  </c:pt>
                  <c:pt idx="14">
                    <c:v>20.346948878459258</c:v>
                  </c:pt>
                  <c:pt idx="15">
                    <c:v>13.619932542402594</c:v>
                  </c:pt>
                  <c:pt idx="16">
                    <c:v>29.404302222693239</c:v>
                  </c:pt>
                  <c:pt idx="17">
                    <c:v>9.0116416630003897</c:v>
                  </c:pt>
                  <c:pt idx="18">
                    <c:v>35.153316872742487</c:v>
                  </c:pt>
                  <c:pt idx="19">
                    <c:v>33.519390792258406</c:v>
                  </c:pt>
                </c:numCache>
              </c:numRef>
            </c:minus>
          </c:errBars>
          <c:cat>
            <c:strRef>
              <c:f>'Error bars'!$B$47:$B$67</c:f>
              <c:strCache>
                <c:ptCount val="21"/>
                <c:pt idx="0">
                  <c:v>Auckland </c:v>
                </c:pt>
                <c:pt idx="1">
                  <c:v>Bay of Plenty</c:v>
                </c:pt>
                <c:pt idx="2">
                  <c:v>Canterbury</c:v>
                </c:pt>
                <c:pt idx="3">
                  <c:v>Capital &amp; Coast </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Wairarapa</c:v>
                </c:pt>
                <c:pt idx="17">
                  <c:v>Waitematā</c:v>
                </c:pt>
                <c:pt idx="18">
                  <c:v>West Coast</c:v>
                </c:pt>
                <c:pt idx="19">
                  <c:v>Whanganui</c:v>
                </c:pt>
                <c:pt idx="20">
                  <c:v>National average</c:v>
                </c:pt>
              </c:strCache>
            </c:strRef>
          </c:cat>
          <c:val>
            <c:numRef>
              <c:f>'Error bars'!$C$157:$C$176</c:f>
              <c:numCache>
                <c:formatCode>0</c:formatCode>
                <c:ptCount val="20"/>
                <c:pt idx="0">
                  <c:v>100.35821169197723</c:v>
                </c:pt>
                <c:pt idx="1">
                  <c:v>48.207555438688757</c:v>
                </c:pt>
                <c:pt idx="2">
                  <c:v>71.282951151089762</c:v>
                </c:pt>
                <c:pt idx="3">
                  <c:v>167.23850953241632</c:v>
                </c:pt>
                <c:pt idx="4">
                  <c:v>75.049737596080845</c:v>
                </c:pt>
                <c:pt idx="5">
                  <c:v>180.69881981228508</c:v>
                </c:pt>
                <c:pt idx="6">
                  <c:v>80.334457911616482</c:v>
                </c:pt>
                <c:pt idx="7">
                  <c:v>64.681869369369366</c:v>
                </c:pt>
                <c:pt idx="8">
                  <c:v>106.52428009775795</c:v>
                </c:pt>
                <c:pt idx="9">
                  <c:v>73.833796725362987</c:v>
                </c:pt>
                <c:pt idx="10">
                  <c:v>173.65895983259327</c:v>
                </c:pt>
                <c:pt idx="11">
                  <c:v>81.558858979509836</c:v>
                </c:pt>
                <c:pt idx="12">
                  <c:v>67.161917748548802</c:v>
                </c:pt>
                <c:pt idx="13">
                  <c:v>71.919034137134304</c:v>
                </c:pt>
                <c:pt idx="14">
                  <c:v>89.743589743589737</c:v>
                </c:pt>
                <c:pt idx="15">
                  <c:v>129.77254724453999</c:v>
                </c:pt>
                <c:pt idx="16">
                  <c:v>78.345399544543014</c:v>
                </c:pt>
                <c:pt idx="17">
                  <c:v>83.611910731420437</c:v>
                </c:pt>
                <c:pt idx="18">
                  <c:v>79.524397776405181</c:v>
                </c:pt>
                <c:pt idx="19">
                  <c:v>136.42960812772134</c:v>
                </c:pt>
              </c:numCache>
            </c:numRef>
          </c:val>
          <c:smooth val="0"/>
          <c:extLst>
            <c:ext xmlns:c16="http://schemas.microsoft.com/office/drawing/2014/chart" uri="{C3380CC4-5D6E-409C-BE32-E72D297353CC}">
              <c16:uniqueId val="{00000000-E598-41C1-92F0-4B5452983E1F}"/>
            </c:ext>
          </c:extLst>
        </c:ser>
        <c:ser>
          <c:idx val="1"/>
          <c:order val="1"/>
          <c:tx>
            <c:v>National average</c:v>
          </c:tx>
          <c:marker>
            <c:symbol val="none"/>
          </c:marker>
          <c:val>
            <c:numRef>
              <c:f>'Error bars'!$D$157:$D$176</c:f>
              <c:numCache>
                <c:formatCode>0</c:formatCode>
                <c:ptCount val="20"/>
                <c:pt idx="0">
                  <c:v>89.953059340943909</c:v>
                </c:pt>
                <c:pt idx="1">
                  <c:v>89.953059340943909</c:v>
                </c:pt>
                <c:pt idx="2">
                  <c:v>89.953059340943909</c:v>
                </c:pt>
                <c:pt idx="3">
                  <c:v>89.953059340943909</c:v>
                </c:pt>
                <c:pt idx="4">
                  <c:v>89.953059340943909</c:v>
                </c:pt>
                <c:pt idx="5">
                  <c:v>89.953059340943909</c:v>
                </c:pt>
                <c:pt idx="6">
                  <c:v>89.953059340943909</c:v>
                </c:pt>
                <c:pt idx="7">
                  <c:v>89.953059340943909</c:v>
                </c:pt>
                <c:pt idx="8">
                  <c:v>89.953059340943909</c:v>
                </c:pt>
                <c:pt idx="9">
                  <c:v>89.953059340943909</c:v>
                </c:pt>
                <c:pt idx="10">
                  <c:v>89.953059340943909</c:v>
                </c:pt>
                <c:pt idx="11">
                  <c:v>89.953059340943909</c:v>
                </c:pt>
                <c:pt idx="12">
                  <c:v>89.953059340943909</c:v>
                </c:pt>
                <c:pt idx="13">
                  <c:v>89.953059340943909</c:v>
                </c:pt>
                <c:pt idx="14">
                  <c:v>89.953059340943909</c:v>
                </c:pt>
                <c:pt idx="15">
                  <c:v>89.953059340943909</c:v>
                </c:pt>
                <c:pt idx="16">
                  <c:v>89.953059340943909</c:v>
                </c:pt>
                <c:pt idx="17">
                  <c:v>89.953059340943909</c:v>
                </c:pt>
                <c:pt idx="18">
                  <c:v>89.953059340943909</c:v>
                </c:pt>
                <c:pt idx="19">
                  <c:v>89.953059340943909</c:v>
                </c:pt>
              </c:numCache>
            </c:numRef>
          </c:val>
          <c:smooth val="0"/>
          <c:extLst>
            <c:ext xmlns:c16="http://schemas.microsoft.com/office/drawing/2014/chart" uri="{C3380CC4-5D6E-409C-BE32-E72D297353CC}">
              <c16:uniqueId val="{00000001-E598-41C1-92F0-4B5452983E1F}"/>
            </c:ext>
          </c:extLst>
        </c:ser>
        <c:dLbls>
          <c:showLegendKey val="0"/>
          <c:showVal val="0"/>
          <c:showCatName val="0"/>
          <c:showSerName val="0"/>
          <c:showPercent val="0"/>
          <c:showBubbleSize val="0"/>
        </c:dLbls>
        <c:marker val="1"/>
        <c:smooth val="0"/>
        <c:axId val="555313552"/>
        <c:axId val="555318648"/>
      </c:lineChart>
      <c:catAx>
        <c:axId val="555313552"/>
        <c:scaling>
          <c:orientation val="minMax"/>
        </c:scaling>
        <c:delete val="0"/>
        <c:axPos val="b"/>
        <c:title>
          <c:tx>
            <c:rich>
              <a:bodyPr/>
              <a:lstStyle/>
              <a:p>
                <a:pPr>
                  <a:defRPr b="0"/>
                </a:pPr>
                <a:r>
                  <a:rPr lang="en-NZ" b="0"/>
                  <a:t>DHB</a:t>
                </a:r>
              </a:p>
            </c:rich>
          </c:tx>
          <c:overlay val="0"/>
        </c:title>
        <c:numFmt formatCode="General" sourceLinked="0"/>
        <c:majorTickMark val="out"/>
        <c:minorTickMark val="none"/>
        <c:tickLblPos val="nextTo"/>
        <c:spPr>
          <a:ln>
            <a:solidFill>
              <a:schemeClr val="tx1"/>
            </a:solidFill>
          </a:ln>
        </c:spPr>
        <c:txPr>
          <a:bodyPr rot="-5400000" vert="horz"/>
          <a:lstStyle/>
          <a:p>
            <a:pPr>
              <a:defRPr>
                <a:solidFill>
                  <a:schemeClr val="tx1"/>
                </a:solidFill>
              </a:defRPr>
            </a:pPr>
            <a:endParaRPr lang="en-US"/>
          </a:p>
        </c:txPr>
        <c:crossAx val="555318648"/>
        <c:crosses val="autoZero"/>
        <c:auto val="1"/>
        <c:lblAlgn val="ctr"/>
        <c:lblOffset val="100"/>
        <c:noMultiLvlLbl val="0"/>
      </c:catAx>
      <c:valAx>
        <c:axId val="555318648"/>
        <c:scaling>
          <c:orientation val="minMax"/>
        </c:scaling>
        <c:delete val="0"/>
        <c:axPos val="l"/>
        <c:title>
          <c:tx>
            <c:rich>
              <a:bodyPr rot="0" vert="horz"/>
              <a:lstStyle/>
              <a:p>
                <a:pPr>
                  <a:defRPr b="0"/>
                </a:pPr>
                <a:r>
                  <a:rPr lang="en-NZ" b="0"/>
                  <a:t>Average number</a:t>
                </a:r>
              </a:p>
            </c:rich>
          </c:tx>
          <c:layout>
            <c:manualLayout>
              <c:xMode val="edge"/>
              <c:yMode val="edge"/>
              <c:x val="0"/>
              <c:y val="2.6216407052379407E-3"/>
            </c:manualLayout>
          </c:layout>
          <c:overlay val="0"/>
        </c:title>
        <c:numFmt formatCode="0" sourceLinked="1"/>
        <c:majorTickMark val="out"/>
        <c:minorTickMark val="out"/>
        <c:tickLblPos val="nextTo"/>
        <c:spPr>
          <a:ln>
            <a:solidFill>
              <a:schemeClr val="tx1"/>
            </a:solidFill>
          </a:ln>
        </c:spPr>
        <c:crossAx val="555313552"/>
        <c:crosses val="autoZero"/>
        <c:crossBetween val="between"/>
        <c:minorUnit val="25"/>
      </c:valAx>
    </c:plotArea>
    <c:legend>
      <c:legendPos val="r"/>
      <c:layout>
        <c:manualLayout>
          <c:xMode val="edge"/>
          <c:yMode val="edge"/>
          <c:x val="0.78063285242457925"/>
          <c:y val="3.9771268401228821E-4"/>
          <c:w val="0.21936714757542078"/>
          <c:h val="0.14099737532808398"/>
        </c:manualLayout>
      </c:layout>
      <c:overlay val="0"/>
    </c:legend>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067147856517938E-2"/>
          <c:y val="9.7222222222222224E-2"/>
          <c:w val="0.89737729658792653"/>
          <c:h val="0.7331497017418278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(Seclusion!$X$43,Seclusion!$Z$43,Seclusion!$AB$43)</c:f>
              <c:strCache>
                <c:ptCount val="3"/>
                <c:pt idx="0">
                  <c:v>Māori</c:v>
                </c:pt>
                <c:pt idx="1">
                  <c:v>Pacific people</c:v>
                </c:pt>
                <c:pt idx="2">
                  <c:v>Other</c:v>
                </c:pt>
              </c:strCache>
            </c:strRef>
          </c:cat>
          <c:val>
            <c:numRef>
              <c:f>(Seclusion!$X$46,Seclusion!$Z$46,Seclusion!$AB$46)</c:f>
              <c:numCache>
                <c:formatCode>General</c:formatCode>
                <c:ptCount val="3"/>
                <c:pt idx="0">
                  <c:v>371</c:v>
                </c:pt>
                <c:pt idx="1">
                  <c:v>54</c:v>
                </c:pt>
                <c:pt idx="2">
                  <c:v>390</c:v>
                </c:pt>
              </c:numCache>
            </c:numRef>
          </c:val>
          <c:extLst>
            <c:ext xmlns:c16="http://schemas.microsoft.com/office/drawing/2014/chart" uri="{C3380CC4-5D6E-409C-BE32-E72D297353CC}">
              <c16:uniqueId val="{00000000-60F4-46EA-97F9-0A7DD04A2F7D}"/>
            </c:ext>
          </c:extLst>
        </c:ser>
        <c:dLbls>
          <c:dLblPos val="inEnd"/>
          <c:showLegendKey val="0"/>
          <c:showVal val="1"/>
          <c:showCatName val="0"/>
          <c:showSerName val="0"/>
          <c:showPercent val="0"/>
          <c:showBubbleSize val="0"/>
        </c:dLbls>
        <c:gapWidth val="40"/>
        <c:overlap val="-12"/>
        <c:axId val="766717032"/>
        <c:axId val="766714408"/>
      </c:barChart>
      <c:catAx>
        <c:axId val="766717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Ethnicity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714408"/>
        <c:crosses val="autoZero"/>
        <c:auto val="1"/>
        <c:lblAlgn val="ctr"/>
        <c:lblOffset val="100"/>
        <c:noMultiLvlLbl val="0"/>
      </c:catAx>
      <c:valAx>
        <c:axId val="766714408"/>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a:t>
                </a:r>
              </a:p>
            </c:rich>
          </c:tx>
          <c:layout>
            <c:manualLayout>
              <c:xMode val="edge"/>
              <c:yMode val="edge"/>
              <c:x val="0"/>
              <c:y val="3.2214202391367738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717032"/>
        <c:crosses val="autoZero"/>
        <c:crossBetween val="between"/>
        <c:minorUnit val="2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86826461473667E-2"/>
          <c:y val="3.2228360957642727E-2"/>
          <c:w val="0.89662890440104459"/>
          <c:h val="0.81096489320050469"/>
        </c:manualLayout>
      </c:layout>
      <c:barChart>
        <c:barDir val="col"/>
        <c:grouping val="clustered"/>
        <c:varyColors val="0"/>
        <c:ser>
          <c:idx val="0"/>
          <c:order val="0"/>
          <c:tx>
            <c:strRef>
              <c:f>Seclusion!$W$455</c:f>
              <c:strCache>
                <c:ptCount val="1"/>
                <c:pt idx="0">
                  <c:v>Māori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Seclusion!$X$454:$Z$454</c:f>
              <c:strCache>
                <c:ptCount val="3"/>
                <c:pt idx="0">
                  <c:v>People secluded per 100,000 population</c:v>
                </c:pt>
                <c:pt idx="1">
                  <c:v>Seclusion events per 100,000 population</c:v>
                </c:pt>
                <c:pt idx="2">
                  <c:v>Average duration per event (hours)</c:v>
                </c:pt>
              </c:strCache>
            </c:strRef>
          </c:cat>
          <c:val>
            <c:numRef>
              <c:f>Seclusion!$X$455:$Z$455</c:f>
              <c:numCache>
                <c:formatCode>0.0</c:formatCode>
                <c:ptCount val="3"/>
                <c:pt idx="0">
                  <c:v>79.453462971688012</c:v>
                </c:pt>
                <c:pt idx="1">
                  <c:v>156.5511628903071</c:v>
                </c:pt>
                <c:pt idx="2" formatCode="_-* #,##0.0_-;\-* #,##0.0_-;_-* &quot;-&quot;??_-;_-@_-">
                  <c:v>22.078902568778648</c:v>
                </c:pt>
              </c:numCache>
            </c:numRef>
          </c:val>
          <c:extLst>
            <c:ext xmlns:c16="http://schemas.microsoft.com/office/drawing/2014/chart" uri="{C3380CC4-5D6E-409C-BE32-E72D297353CC}">
              <c16:uniqueId val="{00000000-27EA-4F2A-BF09-4AD9197D1CDD}"/>
            </c:ext>
          </c:extLst>
        </c:ser>
        <c:ser>
          <c:idx val="1"/>
          <c:order val="1"/>
          <c:tx>
            <c:strRef>
              <c:f>Seclusion!$W$456</c:f>
              <c:strCache>
                <c:ptCount val="1"/>
                <c:pt idx="0">
                  <c:v>Pacific peoples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Seclusion!$X$454:$Z$454</c:f>
              <c:strCache>
                <c:ptCount val="3"/>
                <c:pt idx="0">
                  <c:v>People secluded per 100,000 population</c:v>
                </c:pt>
                <c:pt idx="1">
                  <c:v>Seclusion events per 100,000 population</c:v>
                </c:pt>
                <c:pt idx="2">
                  <c:v>Average duration per event (hours)</c:v>
                </c:pt>
              </c:strCache>
            </c:strRef>
          </c:cat>
          <c:val>
            <c:numRef>
              <c:f>Seclusion!$X$456:$Z$456</c:f>
              <c:numCache>
                <c:formatCode>0.0</c:formatCode>
                <c:ptCount val="3"/>
                <c:pt idx="0">
                  <c:v>27.022293392048443</c:v>
                </c:pt>
                <c:pt idx="1">
                  <c:v>55.545825305877351</c:v>
                </c:pt>
                <c:pt idx="2" formatCode="_-* #,##0.0_-;\-* #,##0.0_-;_-* &quot;-&quot;??_-;_-@_-">
                  <c:v>34.845312812817092</c:v>
                </c:pt>
              </c:numCache>
            </c:numRef>
          </c:val>
          <c:extLst>
            <c:ext xmlns:c16="http://schemas.microsoft.com/office/drawing/2014/chart" uri="{C3380CC4-5D6E-409C-BE32-E72D297353CC}">
              <c16:uniqueId val="{00000001-27EA-4F2A-BF09-4AD9197D1CDD}"/>
            </c:ext>
          </c:extLst>
        </c:ser>
        <c:ser>
          <c:idx val="2"/>
          <c:order val="2"/>
          <c:tx>
            <c:strRef>
              <c:f>Seclusion!$W$457</c:f>
              <c:strCache>
                <c:ptCount val="1"/>
                <c:pt idx="0">
                  <c:v>Other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Seclusion!$X$454:$Z$454</c:f>
              <c:strCache>
                <c:ptCount val="3"/>
                <c:pt idx="0">
                  <c:v>People secluded per 100,000 population</c:v>
                </c:pt>
                <c:pt idx="1">
                  <c:v>Seclusion events per 100,000 population</c:v>
                </c:pt>
                <c:pt idx="2">
                  <c:v>Average duration per event (hours)</c:v>
                </c:pt>
              </c:strCache>
            </c:strRef>
          </c:cat>
          <c:val>
            <c:numRef>
              <c:f>Seclusion!$X$457:$Z$457</c:f>
              <c:numCache>
                <c:formatCode>0.0</c:formatCode>
                <c:ptCount val="3"/>
                <c:pt idx="0">
                  <c:v>16.563815283729664</c:v>
                </c:pt>
                <c:pt idx="1">
                  <c:v>40.772468390719169</c:v>
                </c:pt>
                <c:pt idx="2" formatCode="_-* #,##0.0_-;\-* #,##0.0_-;_-* &quot;-&quot;??_-;_-@_-">
                  <c:v>17.254190104165719</c:v>
                </c:pt>
              </c:numCache>
            </c:numRef>
          </c:val>
          <c:extLst>
            <c:ext xmlns:c16="http://schemas.microsoft.com/office/drawing/2014/chart" uri="{C3380CC4-5D6E-409C-BE32-E72D297353CC}">
              <c16:uniqueId val="{00000002-27EA-4F2A-BF09-4AD9197D1CDD}"/>
            </c:ext>
          </c:extLst>
        </c:ser>
        <c:ser>
          <c:idx val="3"/>
          <c:order val="3"/>
          <c:tx>
            <c:strRef>
              <c:f>Seclusion!$W$458</c:f>
              <c:strCache>
                <c:ptCount val="1"/>
                <c:pt idx="0">
                  <c:v>National total</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Seclusion!$X$454:$Z$454</c:f>
              <c:strCache>
                <c:ptCount val="3"/>
                <c:pt idx="0">
                  <c:v>People secluded per 100,000 population</c:v>
                </c:pt>
                <c:pt idx="1">
                  <c:v>Seclusion events per 100,000 population</c:v>
                </c:pt>
                <c:pt idx="2">
                  <c:v>Average duration per event (hours)</c:v>
                </c:pt>
              </c:strCache>
            </c:strRef>
          </c:cat>
          <c:val>
            <c:numRef>
              <c:f>Seclusion!$X$458:$Z$458</c:f>
              <c:numCache>
                <c:formatCode>0.0</c:formatCode>
                <c:ptCount val="3"/>
                <c:pt idx="0">
                  <c:v>26.975098508756975</c:v>
                </c:pt>
                <c:pt idx="1">
                  <c:v>59.643101242674938</c:v>
                </c:pt>
                <c:pt idx="2" formatCode="_-* #,##0.0_-;\-* #,##0.0_-;_-* &quot;-&quot;??_-;_-@_-">
                  <c:v>20.29496670366203</c:v>
                </c:pt>
              </c:numCache>
            </c:numRef>
          </c:val>
          <c:extLst>
            <c:ext xmlns:c16="http://schemas.microsoft.com/office/drawing/2014/chart" uri="{C3380CC4-5D6E-409C-BE32-E72D297353CC}">
              <c16:uniqueId val="{00000003-27EA-4F2A-BF09-4AD9197D1CDD}"/>
            </c:ext>
          </c:extLst>
        </c:ser>
        <c:dLbls>
          <c:dLblPos val="inEnd"/>
          <c:showLegendKey val="0"/>
          <c:showVal val="1"/>
          <c:showCatName val="0"/>
          <c:showSerName val="0"/>
          <c:showPercent val="0"/>
          <c:showBubbleSize val="0"/>
        </c:dLbls>
        <c:gapWidth val="40"/>
        <c:overlap val="-12"/>
        <c:axId val="395789960"/>
        <c:axId val="565016872"/>
      </c:barChart>
      <c:catAx>
        <c:axId val="39578996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65016872"/>
        <c:crosses val="autoZero"/>
        <c:auto val="1"/>
        <c:lblAlgn val="ctr"/>
        <c:lblOffset val="100"/>
        <c:noMultiLvlLbl val="0"/>
      </c:catAx>
      <c:valAx>
        <c:axId val="565016872"/>
        <c:scaling>
          <c:orientation val="minMax"/>
        </c:scaling>
        <c:delete val="0"/>
        <c:axPos val="l"/>
        <c:numFmt formatCode="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5789960"/>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883694567333597E-2"/>
          <c:y val="0.13485514782350319"/>
          <c:w val="0.92579185619290305"/>
          <c:h val="0.7444267815579656"/>
        </c:manualLayout>
      </c:layout>
      <c:barChart>
        <c:barDir val="col"/>
        <c:grouping val="clustered"/>
        <c:varyColors val="0"/>
        <c:ser>
          <c:idx val="0"/>
          <c:order val="0"/>
          <c:tx>
            <c:strRef>
              <c:f>Seclusion!$C$541</c:f>
              <c:strCache>
                <c:ptCount val="1"/>
                <c:pt idx="0">
                  <c:v>Māori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Seclusion!$D$540:$E$540</c:f>
              <c:strCache>
                <c:ptCount val="2"/>
                <c:pt idx="0">
                  <c:v>Males</c:v>
                </c:pt>
                <c:pt idx="1">
                  <c:v>Females</c:v>
                </c:pt>
              </c:strCache>
            </c:strRef>
          </c:cat>
          <c:val>
            <c:numRef>
              <c:f>Seclusion!$D$541:$E$541</c:f>
              <c:numCache>
                <c:formatCode>0%</c:formatCode>
                <c:ptCount val="2"/>
                <c:pt idx="0">
                  <c:v>0.18313570487483533</c:v>
                </c:pt>
                <c:pt idx="1">
                  <c:v>0.10566615620214397</c:v>
                </c:pt>
              </c:numCache>
            </c:numRef>
          </c:val>
          <c:extLst>
            <c:ext xmlns:c16="http://schemas.microsoft.com/office/drawing/2014/chart" uri="{C3380CC4-5D6E-409C-BE32-E72D297353CC}">
              <c16:uniqueId val="{00000000-D727-4E19-A90F-7A05D1262899}"/>
            </c:ext>
          </c:extLst>
        </c:ser>
        <c:ser>
          <c:idx val="1"/>
          <c:order val="1"/>
          <c:tx>
            <c:strRef>
              <c:f>Seclusion!$C$542</c:f>
              <c:strCache>
                <c:ptCount val="1"/>
                <c:pt idx="0">
                  <c:v>Pacific peoples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Seclusion!$D$540:$E$540</c:f>
              <c:strCache>
                <c:ptCount val="2"/>
                <c:pt idx="0">
                  <c:v>Males</c:v>
                </c:pt>
                <c:pt idx="1">
                  <c:v>Females</c:v>
                </c:pt>
              </c:strCache>
            </c:strRef>
          </c:cat>
          <c:val>
            <c:numRef>
              <c:f>Seclusion!$D$542:$E$542</c:f>
              <c:numCache>
                <c:formatCode>0%</c:formatCode>
                <c:ptCount val="2"/>
                <c:pt idx="0">
                  <c:v>0.17405063291139242</c:v>
                </c:pt>
                <c:pt idx="1">
                  <c:v>5.7591623036649213E-2</c:v>
                </c:pt>
              </c:numCache>
            </c:numRef>
          </c:val>
          <c:extLst>
            <c:ext xmlns:c16="http://schemas.microsoft.com/office/drawing/2014/chart" uri="{C3380CC4-5D6E-409C-BE32-E72D297353CC}">
              <c16:uniqueId val="{00000001-D727-4E19-A90F-7A05D1262899}"/>
            </c:ext>
          </c:extLst>
        </c:ser>
        <c:ser>
          <c:idx val="2"/>
          <c:order val="2"/>
          <c:tx>
            <c:strRef>
              <c:f>Seclusion!$C$543</c:f>
              <c:strCache>
                <c:ptCount val="1"/>
                <c:pt idx="0">
                  <c:v>Other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Seclusion!$D$540:$E$540</c:f>
              <c:strCache>
                <c:ptCount val="2"/>
                <c:pt idx="0">
                  <c:v>Males</c:v>
                </c:pt>
                <c:pt idx="1">
                  <c:v>Females</c:v>
                </c:pt>
              </c:strCache>
            </c:strRef>
          </c:cat>
          <c:val>
            <c:numRef>
              <c:f>Seclusion!$D$543:$E$543</c:f>
              <c:numCache>
                <c:formatCode>0%</c:formatCode>
                <c:ptCount val="2"/>
                <c:pt idx="0">
                  <c:v>0.11030478955007257</c:v>
                </c:pt>
                <c:pt idx="1">
                  <c:v>4.611176240719031E-2</c:v>
                </c:pt>
              </c:numCache>
            </c:numRef>
          </c:val>
          <c:extLst>
            <c:ext xmlns:c16="http://schemas.microsoft.com/office/drawing/2014/chart" uri="{C3380CC4-5D6E-409C-BE32-E72D297353CC}">
              <c16:uniqueId val="{00000002-D727-4E19-A90F-7A05D1262899}"/>
            </c:ext>
          </c:extLst>
        </c:ser>
        <c:ser>
          <c:idx val="3"/>
          <c:order val="3"/>
          <c:tx>
            <c:strRef>
              <c:f>Seclusion!$C$544</c:f>
              <c:strCache>
                <c:ptCount val="1"/>
                <c:pt idx="0">
                  <c:v>National total</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Seclusion!$D$540:$E$540</c:f>
              <c:strCache>
                <c:ptCount val="2"/>
                <c:pt idx="0">
                  <c:v>Males</c:v>
                </c:pt>
                <c:pt idx="1">
                  <c:v>Females</c:v>
                </c:pt>
              </c:strCache>
            </c:strRef>
          </c:cat>
          <c:val>
            <c:numRef>
              <c:f>Seclusion!$D$544:$E$544</c:f>
              <c:numCache>
                <c:formatCode>0%</c:formatCode>
                <c:ptCount val="2"/>
                <c:pt idx="0">
                  <c:v>0.13941781571459838</c:v>
                </c:pt>
                <c:pt idx="1">
                  <c:v>6.6368381804623414E-2</c:v>
                </c:pt>
              </c:numCache>
            </c:numRef>
          </c:val>
          <c:extLst>
            <c:ext xmlns:c16="http://schemas.microsoft.com/office/drawing/2014/chart" uri="{C3380CC4-5D6E-409C-BE32-E72D297353CC}">
              <c16:uniqueId val="{00000003-D727-4E19-A90F-7A05D1262899}"/>
            </c:ext>
          </c:extLst>
        </c:ser>
        <c:dLbls>
          <c:dLblPos val="inEnd"/>
          <c:showLegendKey val="0"/>
          <c:showVal val="1"/>
          <c:showCatName val="0"/>
          <c:showSerName val="0"/>
          <c:showPercent val="0"/>
          <c:showBubbleSize val="0"/>
        </c:dLbls>
        <c:gapWidth val="40"/>
        <c:overlap val="-12"/>
        <c:axId val="330490736"/>
        <c:axId val="330486472"/>
      </c:barChart>
      <c:catAx>
        <c:axId val="33049073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30486472"/>
        <c:crosses val="autoZero"/>
        <c:auto val="1"/>
        <c:lblAlgn val="ctr"/>
        <c:lblOffset val="100"/>
        <c:noMultiLvlLbl val="0"/>
      </c:catAx>
      <c:valAx>
        <c:axId val="330486472"/>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Percentage</a:t>
                </a:r>
              </a:p>
            </c:rich>
          </c:tx>
          <c:layout>
            <c:manualLayout>
              <c:xMode val="edge"/>
              <c:yMode val="edge"/>
              <c:x val="0"/>
              <c:y val="1.3420492249786121E-4"/>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490736"/>
        <c:crosses val="autoZero"/>
        <c:crossBetween val="between"/>
        <c:minorUnit val="2.5000000000000005E-2"/>
      </c:valAx>
      <c:spPr>
        <a:noFill/>
        <a:ln>
          <a:noFill/>
        </a:ln>
        <a:effectLst/>
      </c:spPr>
    </c:plotArea>
    <c:legend>
      <c:legendPos val="tr"/>
      <c:layout>
        <c:manualLayout>
          <c:xMode val="edge"/>
          <c:yMode val="edge"/>
          <c:x val="0.80531209109065438"/>
          <c:y val="0"/>
          <c:w val="0.19468790890934551"/>
          <c:h val="0.424531273213489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436494047816367E-2"/>
          <c:y val="8.5978726343417605E-2"/>
          <c:w val="0.91478842399297922"/>
          <c:h val="0.73010335430559214"/>
        </c:manualLayout>
      </c:layout>
      <c:barChart>
        <c:barDir val="col"/>
        <c:grouping val="stacked"/>
        <c:varyColors val="0"/>
        <c:ser>
          <c:idx val="0"/>
          <c:order val="0"/>
          <c:tx>
            <c:strRef>
              <c:f>Seclusion!$C$582</c:f>
              <c:strCache>
                <c:ptCount val="1"/>
                <c:pt idx="0">
                  <c:v>Māori</c:v>
                </c:pt>
              </c:strCache>
            </c:strRef>
          </c:tx>
          <c:invertIfNegative val="0"/>
          <c:dLbls>
            <c:spPr>
              <a:noFill/>
              <a:ln>
                <a:noFill/>
              </a:ln>
              <a:effectLst/>
            </c:spPr>
            <c:txPr>
              <a:bodyPr wrap="square" lIns="38100" tIns="1905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Seclusion!$D$581:$R$581</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2020/21</c:v>
                </c:pt>
              </c:strCache>
            </c:strRef>
          </c:cat>
          <c:val>
            <c:numRef>
              <c:f>Seclusion!$D$582:$R$582</c:f>
              <c:numCache>
                <c:formatCode>General</c:formatCode>
                <c:ptCount val="15"/>
                <c:pt idx="0">
                  <c:v>387</c:v>
                </c:pt>
                <c:pt idx="1">
                  <c:v>387</c:v>
                </c:pt>
                <c:pt idx="2">
                  <c:v>270</c:v>
                </c:pt>
                <c:pt idx="3">
                  <c:v>400</c:v>
                </c:pt>
                <c:pt idx="4" formatCode="0">
                  <c:v>367.46</c:v>
                </c:pt>
                <c:pt idx="5" formatCode="0">
                  <c:v>286</c:v>
                </c:pt>
                <c:pt idx="6" formatCode="0">
                  <c:v>277</c:v>
                </c:pt>
                <c:pt idx="7" formatCode="0">
                  <c:v>264</c:v>
                </c:pt>
                <c:pt idx="8" formatCode="0">
                  <c:v>329</c:v>
                </c:pt>
                <c:pt idx="9" formatCode="0">
                  <c:v>352</c:v>
                </c:pt>
                <c:pt idx="10" formatCode="0">
                  <c:v>321</c:v>
                </c:pt>
                <c:pt idx="11" formatCode="0">
                  <c:v>376</c:v>
                </c:pt>
                <c:pt idx="12" formatCode="0">
                  <c:v>434</c:v>
                </c:pt>
                <c:pt idx="13" formatCode="0">
                  <c:v>446</c:v>
                </c:pt>
                <c:pt idx="14" formatCode="0">
                  <c:v>371</c:v>
                </c:pt>
              </c:numCache>
            </c:numRef>
          </c:val>
          <c:extLst>
            <c:ext xmlns:c16="http://schemas.microsoft.com/office/drawing/2014/chart" uri="{C3380CC4-5D6E-409C-BE32-E72D297353CC}">
              <c16:uniqueId val="{00000000-24ED-4A76-A9BF-BDDF8644815A}"/>
            </c:ext>
          </c:extLst>
        </c:ser>
        <c:ser>
          <c:idx val="1"/>
          <c:order val="1"/>
          <c:tx>
            <c:strRef>
              <c:f>Seclusion!$C$583</c:f>
              <c:strCache>
                <c:ptCount val="1"/>
                <c:pt idx="0">
                  <c:v>Non-Māori</c:v>
                </c:pt>
              </c:strCache>
            </c:strRef>
          </c:tx>
          <c:invertIfNegative val="0"/>
          <c:dLbls>
            <c:spPr>
              <a:noFill/>
              <a:ln>
                <a:noFill/>
              </a:ln>
              <a:effectLst/>
            </c:spPr>
            <c:txPr>
              <a:bodyPr wrap="square" lIns="38100" tIns="1905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Seclusion!$D$581:$R$581</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2020/21</c:v>
                </c:pt>
              </c:strCache>
            </c:strRef>
          </c:cat>
          <c:val>
            <c:numRef>
              <c:f>Seclusion!$D$583:$R$583</c:f>
              <c:numCache>
                <c:formatCode>General</c:formatCode>
                <c:ptCount val="15"/>
                <c:pt idx="0">
                  <c:v>756</c:v>
                </c:pt>
                <c:pt idx="1">
                  <c:v>636</c:v>
                </c:pt>
                <c:pt idx="2">
                  <c:v>805</c:v>
                </c:pt>
                <c:pt idx="3">
                  <c:v>665</c:v>
                </c:pt>
                <c:pt idx="4" formatCode="0">
                  <c:v>599.54</c:v>
                </c:pt>
                <c:pt idx="5">
                  <c:v>555</c:v>
                </c:pt>
                <c:pt idx="6">
                  <c:v>491</c:v>
                </c:pt>
                <c:pt idx="7" formatCode="0">
                  <c:v>427</c:v>
                </c:pt>
                <c:pt idx="8" formatCode="0">
                  <c:v>425</c:v>
                </c:pt>
                <c:pt idx="9" formatCode="0">
                  <c:v>450</c:v>
                </c:pt>
                <c:pt idx="10" formatCode="0">
                  <c:v>454</c:v>
                </c:pt>
                <c:pt idx="11" formatCode="0">
                  <c:v>476</c:v>
                </c:pt>
                <c:pt idx="12" formatCode="0">
                  <c:v>495</c:v>
                </c:pt>
                <c:pt idx="13" formatCode="0">
                  <c:v>487</c:v>
                </c:pt>
                <c:pt idx="14" formatCode="0">
                  <c:v>444</c:v>
                </c:pt>
              </c:numCache>
            </c:numRef>
          </c:val>
          <c:extLst>
            <c:ext xmlns:c16="http://schemas.microsoft.com/office/drawing/2014/chart" uri="{C3380CC4-5D6E-409C-BE32-E72D297353CC}">
              <c16:uniqueId val="{00000001-24ED-4A76-A9BF-BDDF8644815A}"/>
            </c:ext>
          </c:extLst>
        </c:ser>
        <c:dLbls>
          <c:dLblPos val="inEnd"/>
          <c:showLegendKey val="0"/>
          <c:showVal val="1"/>
          <c:showCatName val="0"/>
          <c:showSerName val="0"/>
          <c:showPercent val="0"/>
          <c:showBubbleSize val="0"/>
        </c:dLbls>
        <c:gapWidth val="40"/>
        <c:overlap val="100"/>
        <c:axId val="245919400"/>
        <c:axId val="207478792"/>
      </c:barChart>
      <c:catAx>
        <c:axId val="245919400"/>
        <c:scaling>
          <c:orientation val="minMax"/>
        </c:scaling>
        <c:delete val="0"/>
        <c:axPos val="b"/>
        <c:title>
          <c:tx>
            <c:rich>
              <a:bodyPr/>
              <a:lstStyle/>
              <a:p>
                <a:pPr>
                  <a:defRPr/>
                </a:pPr>
                <a:r>
                  <a:rPr lang="en-NZ" b="0"/>
                  <a:t>Year</a:t>
                </a:r>
              </a:p>
            </c:rich>
          </c:tx>
          <c:layout>
            <c:manualLayout>
              <c:xMode val="edge"/>
              <c:yMode val="edge"/>
              <c:x val="0.46686353159987509"/>
              <c:y val="0.93562929334790101"/>
            </c:manualLayout>
          </c:layout>
          <c:overlay val="0"/>
        </c:title>
        <c:numFmt formatCode="General" sourceLinked="1"/>
        <c:majorTickMark val="out"/>
        <c:minorTickMark val="none"/>
        <c:tickLblPos val="nextTo"/>
        <c:txPr>
          <a:bodyPr rot="-5400000" vert="horz"/>
          <a:lstStyle/>
          <a:p>
            <a:pPr>
              <a:defRPr/>
            </a:pPr>
            <a:endParaRPr lang="en-US"/>
          </a:p>
        </c:txPr>
        <c:crossAx val="207478792"/>
        <c:crosses val="autoZero"/>
        <c:auto val="1"/>
        <c:lblAlgn val="ctr"/>
        <c:lblOffset val="100"/>
        <c:noMultiLvlLbl val="0"/>
      </c:catAx>
      <c:valAx>
        <c:axId val="207478792"/>
        <c:scaling>
          <c:orientation val="minMax"/>
          <c:max val="1200"/>
        </c:scaling>
        <c:delete val="0"/>
        <c:axPos val="l"/>
        <c:title>
          <c:tx>
            <c:rich>
              <a:bodyPr rot="0" vert="horz"/>
              <a:lstStyle/>
              <a:p>
                <a:pPr>
                  <a:defRPr b="0">
                    <a:solidFill>
                      <a:schemeClr val="tx1"/>
                    </a:solidFill>
                  </a:defRPr>
                </a:pPr>
                <a:r>
                  <a:rPr lang="en-NZ" b="0">
                    <a:solidFill>
                      <a:schemeClr val="tx1"/>
                    </a:solidFill>
                  </a:rPr>
                  <a:t>Number</a:t>
                </a:r>
              </a:p>
            </c:rich>
          </c:tx>
          <c:layout>
            <c:manualLayout>
              <c:xMode val="edge"/>
              <c:yMode val="edge"/>
              <c:x val="5.4226547628809794E-4"/>
              <c:y val="3.2987353853495562E-3"/>
            </c:manualLayout>
          </c:layout>
          <c:overlay val="0"/>
        </c:title>
        <c:numFmt formatCode="#,##0" sourceLinked="0"/>
        <c:majorTickMark val="out"/>
        <c:minorTickMark val="none"/>
        <c:tickLblPos val="nextTo"/>
        <c:crossAx val="245919400"/>
        <c:crosses val="autoZero"/>
        <c:crossBetween val="between"/>
      </c:valAx>
    </c:plotArea>
    <c:legend>
      <c:legendPos val="tr"/>
      <c:overlay val="0"/>
    </c:legend>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817366579177621E-2"/>
          <c:y val="9.2592592592592587E-2"/>
          <c:w val="0.74590766318144663"/>
          <c:h val="0.8231561679790026"/>
        </c:manualLayout>
      </c:layout>
      <c:barChart>
        <c:barDir val="col"/>
        <c:grouping val="clustered"/>
        <c:varyColors val="0"/>
        <c:ser>
          <c:idx val="0"/>
          <c:order val="0"/>
          <c:tx>
            <c:v>Māori</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Seclusion!$AD$633:$AE$633</c:f>
              <c:strCache>
                <c:ptCount val="2"/>
                <c:pt idx="0">
                  <c:v>People secluded</c:v>
                </c:pt>
                <c:pt idx="1">
                  <c:v>Seclusion events</c:v>
                </c:pt>
              </c:strCache>
            </c:strRef>
          </c:cat>
          <c:val>
            <c:numRef>
              <c:f>Seclusion!$AD$639:$AE$639</c:f>
              <c:numCache>
                <c:formatCode>_-* #,##0_-;\-* #,##0_-;_-* "-"??_-;_-@_-</c:formatCode>
                <c:ptCount val="2"/>
                <c:pt idx="0">
                  <c:v>72</c:v>
                </c:pt>
                <c:pt idx="1">
                  <c:v>155</c:v>
                </c:pt>
              </c:numCache>
            </c:numRef>
          </c:val>
          <c:extLst>
            <c:ext xmlns:c16="http://schemas.microsoft.com/office/drawing/2014/chart" uri="{C3380CC4-5D6E-409C-BE32-E72D297353CC}">
              <c16:uniqueId val="{00000000-D282-46A8-A32F-7769F947AFD2}"/>
            </c:ext>
          </c:extLst>
        </c:ser>
        <c:ser>
          <c:idx val="1"/>
          <c:order val="1"/>
          <c:tx>
            <c:v>Pacific peoples</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Seclusion!$AD$633:$AE$633</c:f>
              <c:strCache>
                <c:ptCount val="2"/>
                <c:pt idx="0">
                  <c:v>People secluded</c:v>
                </c:pt>
                <c:pt idx="1">
                  <c:v>Seclusion events</c:v>
                </c:pt>
              </c:strCache>
            </c:strRef>
          </c:cat>
          <c:val>
            <c:numRef>
              <c:f>Seclusion!$AG$639:$AH$639</c:f>
              <c:numCache>
                <c:formatCode>_-* #,##0_-;\-* #,##0_-;_-* "-"??_-;_-@_-</c:formatCode>
                <c:ptCount val="2"/>
                <c:pt idx="0">
                  <c:v>15</c:v>
                </c:pt>
                <c:pt idx="1">
                  <c:v>52</c:v>
                </c:pt>
              </c:numCache>
            </c:numRef>
          </c:val>
          <c:extLst>
            <c:ext xmlns:c16="http://schemas.microsoft.com/office/drawing/2014/chart" uri="{C3380CC4-5D6E-409C-BE32-E72D297353CC}">
              <c16:uniqueId val="{00000001-D282-46A8-A32F-7769F947AFD2}"/>
            </c:ext>
          </c:extLst>
        </c:ser>
        <c:ser>
          <c:idx val="2"/>
          <c:order val="2"/>
          <c:tx>
            <c:v>Other</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Seclusion!$AD$633:$AE$633</c:f>
              <c:strCache>
                <c:ptCount val="2"/>
                <c:pt idx="0">
                  <c:v>People secluded</c:v>
                </c:pt>
                <c:pt idx="1">
                  <c:v>Seclusion events</c:v>
                </c:pt>
              </c:strCache>
            </c:strRef>
          </c:cat>
          <c:val>
            <c:numRef>
              <c:f>Seclusion!$AJ$639:$AK$639</c:f>
              <c:numCache>
                <c:formatCode>_-* #,##0_-;\-* #,##0_-;_-* "-"??_-;_-@_-</c:formatCode>
                <c:ptCount val="2"/>
                <c:pt idx="0">
                  <c:v>53</c:v>
                </c:pt>
                <c:pt idx="1">
                  <c:v>149</c:v>
                </c:pt>
              </c:numCache>
            </c:numRef>
          </c:val>
          <c:extLst>
            <c:ext xmlns:c16="http://schemas.microsoft.com/office/drawing/2014/chart" uri="{C3380CC4-5D6E-409C-BE32-E72D297353CC}">
              <c16:uniqueId val="{00000002-D282-46A8-A32F-7769F947AFD2}"/>
            </c:ext>
          </c:extLst>
        </c:ser>
        <c:dLbls>
          <c:dLblPos val="inEnd"/>
          <c:showLegendKey val="0"/>
          <c:showVal val="1"/>
          <c:showCatName val="0"/>
          <c:showSerName val="0"/>
          <c:showPercent val="0"/>
          <c:showBubbleSize val="0"/>
        </c:dLbls>
        <c:gapWidth val="40"/>
        <c:overlap val="-12"/>
        <c:axId val="766725888"/>
        <c:axId val="766725560"/>
        <c:extLst>
          <c:ext xmlns:c15="http://schemas.microsoft.com/office/drawing/2012/chart" uri="{02D57815-91ED-43cb-92C2-25804820EDAC}">
            <c15:filteredBarSeries>
              <c15: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Seclusion!$AD$633:$AE$633</c15:sqref>
                        </c15:formulaRef>
                      </c:ext>
                    </c:extLst>
                    <c:strCache>
                      <c:ptCount val="2"/>
                      <c:pt idx="0">
                        <c:v>People secluded</c:v>
                      </c:pt>
                      <c:pt idx="1">
                        <c:v>Seclusion events</c:v>
                      </c:pt>
                    </c:strCache>
                  </c:strRef>
                </c:cat>
                <c:val>
                  <c:numRef>
                    <c:extLst>
                      <c:ext uri="{02D57815-91ED-43cb-92C2-25804820EDAC}">
                        <c15:formulaRef>
                          <c15:sqref>Seclusion!$AD$633</c15:sqref>
                        </c15:formulaRef>
                      </c:ext>
                    </c:extLst>
                    <c:numCache>
                      <c:formatCode>General</c:formatCode>
                      <c:ptCount val="1"/>
                      <c:pt idx="0">
                        <c:v>0</c:v>
                      </c:pt>
                    </c:numCache>
                  </c:numRef>
                </c:val>
                <c:extLst>
                  <c:ext xmlns:c16="http://schemas.microsoft.com/office/drawing/2014/chart" uri="{C3380CC4-5D6E-409C-BE32-E72D297353CC}">
                    <c16:uniqueId val="{00000003-D282-46A8-A32F-7769F947AFD2}"/>
                  </c:ext>
                </c:extLst>
              </c15:ser>
            </c15:filteredBarSeries>
            <c15:filteredBarSeries>
              <c15:ser>
                <c:idx val="4"/>
                <c:order val="4"/>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Seclusion!$AD$633:$AE$633</c15:sqref>
                        </c15:formulaRef>
                      </c:ext>
                    </c:extLst>
                    <c:strCache>
                      <c:ptCount val="2"/>
                      <c:pt idx="0">
                        <c:v>People secluded</c:v>
                      </c:pt>
                      <c:pt idx="1">
                        <c:v>Seclusion events</c:v>
                      </c:pt>
                    </c:strCache>
                  </c:strRef>
                </c:cat>
                <c:val>
                  <c:numRef>
                    <c:extLst xmlns:c15="http://schemas.microsoft.com/office/drawing/2012/chart">
                      <c:ext xmlns:c15="http://schemas.microsoft.com/office/drawing/2012/chart" uri="{02D57815-91ED-43cb-92C2-25804820EDAC}">
                        <c15:formulaRef>
                          <c15:sqref>Seclusion!$AE$633</c15:sqref>
                        </c15:formulaRef>
                      </c:ext>
                    </c:extLst>
                    <c:numCache>
                      <c:formatCode>General</c:formatCode>
                      <c:ptCount val="1"/>
                      <c:pt idx="0">
                        <c:v>0</c:v>
                      </c:pt>
                    </c:numCache>
                  </c:numRef>
                </c:val>
                <c:extLst xmlns:c15="http://schemas.microsoft.com/office/drawing/2012/chart">
                  <c:ext xmlns:c16="http://schemas.microsoft.com/office/drawing/2014/chart" uri="{C3380CC4-5D6E-409C-BE32-E72D297353CC}">
                    <c16:uniqueId val="{00000004-D282-46A8-A32F-7769F947AFD2}"/>
                  </c:ext>
                </c:extLst>
              </c15:ser>
            </c15:filteredBarSeries>
            <c15:filteredBarSeries>
              <c15:ser>
                <c:idx val="5"/>
                <c:order val="5"/>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Seclusion!$AD$633:$AE$633</c15:sqref>
                        </c15:formulaRef>
                      </c:ext>
                    </c:extLst>
                    <c:strCache>
                      <c:ptCount val="2"/>
                      <c:pt idx="0">
                        <c:v>People secluded</c:v>
                      </c:pt>
                      <c:pt idx="1">
                        <c:v>Seclusion events</c:v>
                      </c:pt>
                    </c:strCache>
                  </c:strRef>
                </c:cat>
                <c:val>
                  <c:numRef>
                    <c:extLst xmlns:c15="http://schemas.microsoft.com/office/drawing/2012/chart">
                      <c:ext xmlns:c15="http://schemas.microsoft.com/office/drawing/2012/chart" uri="{02D57815-91ED-43cb-92C2-25804820EDAC}">
                        <c15:formulaRef>
                          <c15:sqref>Seclusion!$AG$633</c15:sqref>
                        </c15:formulaRef>
                      </c:ext>
                    </c:extLst>
                    <c:numCache>
                      <c:formatCode>General</c:formatCode>
                      <c:ptCount val="1"/>
                      <c:pt idx="0">
                        <c:v>0</c:v>
                      </c:pt>
                    </c:numCache>
                  </c:numRef>
                </c:val>
                <c:extLst xmlns:c15="http://schemas.microsoft.com/office/drawing/2012/chart">
                  <c:ext xmlns:c16="http://schemas.microsoft.com/office/drawing/2014/chart" uri="{C3380CC4-5D6E-409C-BE32-E72D297353CC}">
                    <c16:uniqueId val="{00000005-D282-46A8-A32F-7769F947AFD2}"/>
                  </c:ext>
                </c:extLst>
              </c15:ser>
            </c15:filteredBarSeries>
            <c15:filteredBarSeries>
              <c15:ser>
                <c:idx val="6"/>
                <c:order val="6"/>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Seclusion!$AD$633:$AE$633</c15:sqref>
                        </c15:formulaRef>
                      </c:ext>
                    </c:extLst>
                    <c:strCache>
                      <c:ptCount val="2"/>
                      <c:pt idx="0">
                        <c:v>People secluded</c:v>
                      </c:pt>
                      <c:pt idx="1">
                        <c:v>Seclusion events</c:v>
                      </c:pt>
                    </c:strCache>
                  </c:strRef>
                </c:cat>
                <c:val>
                  <c:numRef>
                    <c:extLst xmlns:c15="http://schemas.microsoft.com/office/drawing/2012/chart">
                      <c:ext xmlns:c15="http://schemas.microsoft.com/office/drawing/2012/chart" uri="{02D57815-91ED-43cb-92C2-25804820EDAC}">
                        <c15:formulaRef>
                          <c15:sqref>Seclusion!$AH$633</c15:sqref>
                        </c15:formulaRef>
                      </c:ext>
                    </c:extLst>
                    <c:numCache>
                      <c:formatCode>General</c:formatCode>
                      <c:ptCount val="1"/>
                      <c:pt idx="0">
                        <c:v>0</c:v>
                      </c:pt>
                    </c:numCache>
                  </c:numRef>
                </c:val>
                <c:extLst xmlns:c15="http://schemas.microsoft.com/office/drawing/2012/chart">
                  <c:ext xmlns:c16="http://schemas.microsoft.com/office/drawing/2014/chart" uri="{C3380CC4-5D6E-409C-BE32-E72D297353CC}">
                    <c16:uniqueId val="{00000006-D282-46A8-A32F-7769F947AFD2}"/>
                  </c:ext>
                </c:extLst>
              </c15:ser>
            </c15:filteredBarSeries>
            <c15:filteredBarSeries>
              <c15:ser>
                <c:idx val="7"/>
                <c:order val="7"/>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Seclusion!$AD$633:$AE$633</c15:sqref>
                        </c15:formulaRef>
                      </c:ext>
                    </c:extLst>
                    <c:strCache>
                      <c:ptCount val="2"/>
                      <c:pt idx="0">
                        <c:v>People secluded</c:v>
                      </c:pt>
                      <c:pt idx="1">
                        <c:v>Seclusion events</c:v>
                      </c:pt>
                    </c:strCache>
                  </c:strRef>
                </c:cat>
                <c:val>
                  <c:numRef>
                    <c:extLst xmlns:c15="http://schemas.microsoft.com/office/drawing/2012/chart">
                      <c:ext xmlns:c15="http://schemas.microsoft.com/office/drawing/2012/chart" uri="{02D57815-91ED-43cb-92C2-25804820EDAC}">
                        <c15:formulaRef>
                          <c15:sqref>Seclusion!$AJ$633</c15:sqref>
                        </c15:formulaRef>
                      </c:ext>
                    </c:extLst>
                    <c:numCache>
                      <c:formatCode>General</c:formatCode>
                      <c:ptCount val="1"/>
                      <c:pt idx="0">
                        <c:v>0</c:v>
                      </c:pt>
                    </c:numCache>
                  </c:numRef>
                </c:val>
                <c:extLst xmlns:c15="http://schemas.microsoft.com/office/drawing/2012/chart">
                  <c:ext xmlns:c16="http://schemas.microsoft.com/office/drawing/2014/chart" uri="{C3380CC4-5D6E-409C-BE32-E72D297353CC}">
                    <c16:uniqueId val="{00000007-D282-46A8-A32F-7769F947AFD2}"/>
                  </c:ext>
                </c:extLst>
              </c15:ser>
            </c15:filteredBarSeries>
            <c15:filteredBarSeries>
              <c15:ser>
                <c:idx val="8"/>
                <c:order val="8"/>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Seclusion!$AD$633:$AE$633</c15:sqref>
                        </c15:formulaRef>
                      </c:ext>
                    </c:extLst>
                    <c:strCache>
                      <c:ptCount val="2"/>
                      <c:pt idx="0">
                        <c:v>People secluded</c:v>
                      </c:pt>
                      <c:pt idx="1">
                        <c:v>Seclusion events</c:v>
                      </c:pt>
                    </c:strCache>
                  </c:strRef>
                </c:cat>
                <c:val>
                  <c:numRef>
                    <c:extLst xmlns:c15="http://schemas.microsoft.com/office/drawing/2012/chart">
                      <c:ext xmlns:c15="http://schemas.microsoft.com/office/drawing/2012/chart" uri="{02D57815-91ED-43cb-92C2-25804820EDAC}">
                        <c15:formulaRef>
                          <c15:sqref>Seclusion!$AK$633</c15:sqref>
                        </c15:formulaRef>
                      </c:ext>
                    </c:extLst>
                    <c:numCache>
                      <c:formatCode>General</c:formatCode>
                      <c:ptCount val="1"/>
                      <c:pt idx="0">
                        <c:v>0</c:v>
                      </c:pt>
                    </c:numCache>
                  </c:numRef>
                </c:val>
                <c:extLst xmlns:c15="http://schemas.microsoft.com/office/drawing/2012/chart">
                  <c:ext xmlns:c16="http://schemas.microsoft.com/office/drawing/2014/chart" uri="{C3380CC4-5D6E-409C-BE32-E72D297353CC}">
                    <c16:uniqueId val="{00000008-D282-46A8-A32F-7769F947AFD2}"/>
                  </c:ext>
                </c:extLst>
              </c15:ser>
            </c15:filteredBarSeries>
          </c:ext>
        </c:extLst>
      </c:barChart>
      <c:catAx>
        <c:axId val="76672588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725560"/>
        <c:crosses val="autoZero"/>
        <c:auto val="1"/>
        <c:lblAlgn val="ctr"/>
        <c:lblOffset val="100"/>
        <c:noMultiLvlLbl val="0"/>
      </c:catAx>
      <c:valAx>
        <c:axId val="766725560"/>
        <c:scaling>
          <c:orientation val="minMax"/>
          <c:max val="160"/>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a:t>
                </a:r>
              </a:p>
            </c:rich>
          </c:tx>
          <c:layout>
            <c:manualLayout>
              <c:xMode val="edge"/>
              <c:yMode val="edge"/>
              <c:x val="0"/>
              <c:y val="3.9851268591425777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725888"/>
        <c:crosses val="autoZero"/>
        <c:crossBetween val="between"/>
        <c:minorUnit val="10"/>
      </c:valAx>
      <c:spPr>
        <a:noFill/>
        <a:ln>
          <a:noFill/>
        </a:ln>
        <a:effectLst/>
      </c:spPr>
    </c:plotArea>
    <c:legend>
      <c:legendPos val="tr"/>
      <c:layout>
        <c:manualLayout>
          <c:xMode val="edge"/>
          <c:yMode val="edge"/>
          <c:x val="0.82708890896834619"/>
          <c:y val="0"/>
          <c:w val="0.17291109103165384"/>
          <c:h val="0.211228492271799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11131223539586"/>
          <c:y val="5.5126791620727672E-2"/>
          <c:w val="0.77898653472913582"/>
          <c:h val="0.80933670083692355"/>
        </c:manualLayout>
      </c:layout>
      <c:barChart>
        <c:barDir val="bar"/>
        <c:grouping val="clustered"/>
        <c:varyColors val="0"/>
        <c:ser>
          <c:idx val="0"/>
          <c:order val="0"/>
          <c:tx>
            <c:strRef>
              <c:f>'Special patient data'!$K$92</c:f>
              <c:strCache>
                <c:ptCount val="1"/>
                <c:pt idx="0">
                  <c:v>Number of special patients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'Special patient data'!$J$93:$J$97</c:f>
              <c:strCache>
                <c:ptCount val="5"/>
                <c:pt idx="0">
                  <c:v>Waitematā</c:v>
                </c:pt>
                <c:pt idx="1">
                  <c:v>Waikato</c:v>
                </c:pt>
                <c:pt idx="2">
                  <c:v>Southern</c:v>
                </c:pt>
                <c:pt idx="3">
                  <c:v>Capital &amp; Coast</c:v>
                </c:pt>
                <c:pt idx="4">
                  <c:v>Canterbury</c:v>
                </c:pt>
              </c:strCache>
            </c:strRef>
          </c:cat>
          <c:val>
            <c:numRef>
              <c:f>'Special patient data'!$K$93:$K$97</c:f>
              <c:numCache>
                <c:formatCode>General</c:formatCode>
                <c:ptCount val="5"/>
                <c:pt idx="0">
                  <c:v>133</c:v>
                </c:pt>
                <c:pt idx="1">
                  <c:v>98</c:v>
                </c:pt>
                <c:pt idx="2">
                  <c:v>24</c:v>
                </c:pt>
                <c:pt idx="3">
                  <c:v>121</c:v>
                </c:pt>
                <c:pt idx="4">
                  <c:v>55</c:v>
                </c:pt>
              </c:numCache>
            </c:numRef>
          </c:val>
          <c:extLst>
            <c:ext xmlns:c16="http://schemas.microsoft.com/office/drawing/2014/chart" uri="{C3380CC4-5D6E-409C-BE32-E72D297353CC}">
              <c16:uniqueId val="{00000000-DDCF-4C2F-9C3D-F0FC653DEAD2}"/>
            </c:ext>
          </c:extLst>
        </c:ser>
        <c:dLbls>
          <c:dLblPos val="inEnd"/>
          <c:showLegendKey val="0"/>
          <c:showVal val="1"/>
          <c:showCatName val="0"/>
          <c:showSerName val="0"/>
          <c:showPercent val="0"/>
          <c:showBubbleSize val="0"/>
        </c:dLbls>
        <c:gapWidth val="40"/>
        <c:overlap val="-12"/>
        <c:axId val="526512880"/>
        <c:axId val="526511312"/>
      </c:barChart>
      <c:catAx>
        <c:axId val="526512880"/>
        <c:scaling>
          <c:orientation val="minMax"/>
        </c:scaling>
        <c:delete val="0"/>
        <c:axPos val="l"/>
        <c:title>
          <c:tx>
            <c:rich>
              <a:bodyPr rot="0" spcFirstLastPara="1" vertOverflow="ellipsis" wrap="square" anchor="ctr" anchorCtr="1"/>
              <a:lstStyle/>
              <a:p>
                <a:pPr>
                  <a:defRPr sz="1000" b="0" i="0" u="none" strike="noStrike" kern="1200" baseline="0">
                    <a:solidFill>
                      <a:schemeClr val="tx1"/>
                    </a:solidFill>
                    <a:latin typeface="+mn-lt"/>
                    <a:ea typeface="+mn-ea"/>
                    <a:cs typeface="+mn-cs"/>
                  </a:defRPr>
                </a:pPr>
                <a:r>
                  <a:rPr lang="en-NZ"/>
                  <a:t>DHB</a:t>
                </a:r>
              </a:p>
            </c:rich>
          </c:tx>
          <c:layout>
            <c:manualLayout>
              <c:xMode val="edge"/>
              <c:yMode val="edge"/>
              <c:x val="7.151979565772669E-2"/>
              <c:y val="2.7410024684069948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6511312"/>
        <c:crosses val="autoZero"/>
        <c:auto val="1"/>
        <c:lblAlgn val="ctr"/>
        <c:lblOffset val="100"/>
        <c:noMultiLvlLbl val="0"/>
      </c:catAx>
      <c:valAx>
        <c:axId val="526511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t>Number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6512880"/>
        <c:crosses val="autoZero"/>
        <c:crossBetween val="between"/>
        <c:min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90044601068223"/>
          <c:y val="6.8060432375281713E-2"/>
          <c:w val="0.77118352513628108"/>
          <c:h val="0.78931800191642698"/>
        </c:manualLayout>
      </c:layout>
      <c:barChart>
        <c:barDir val="bar"/>
        <c:grouping val="percentStacked"/>
        <c:varyColors val="0"/>
        <c:ser>
          <c:idx val="1"/>
          <c:order val="0"/>
          <c:tx>
            <c:strRef>
              <c:f>'Special patient data'!$N$125</c:f>
              <c:strCache>
                <c:ptCount val="1"/>
                <c:pt idx="0">
                  <c:v>EFC</c:v>
                </c:pt>
              </c:strCache>
            </c:strRef>
          </c:tx>
          <c:spPr>
            <a:solidFill>
              <a:schemeClr val="accent1"/>
            </a:soli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'Special patient data'!$M$126:$M$130</c:f>
              <c:strCache>
                <c:ptCount val="5"/>
                <c:pt idx="0">
                  <c:v>Waitematā</c:v>
                </c:pt>
                <c:pt idx="1">
                  <c:v>Waikato</c:v>
                </c:pt>
                <c:pt idx="2">
                  <c:v>Southern</c:v>
                </c:pt>
                <c:pt idx="3">
                  <c:v>Capital &amp; Coast</c:v>
                </c:pt>
                <c:pt idx="4">
                  <c:v>Canterbury</c:v>
                </c:pt>
              </c:strCache>
            </c:strRef>
          </c:cat>
          <c:val>
            <c:numRef>
              <c:f>'Special patient data'!$N$126:$N$130</c:f>
              <c:numCache>
                <c:formatCode>_-* #,##0.0_-;\-* #,##0.0_-;_-* "-"??_-;_-@_-</c:formatCode>
                <c:ptCount val="5"/>
                <c:pt idx="0">
                  <c:v>12.698412698412698</c:v>
                </c:pt>
                <c:pt idx="1">
                  <c:v>25.641025641025639</c:v>
                </c:pt>
                <c:pt idx="2">
                  <c:v>16.363636363636363</c:v>
                </c:pt>
                <c:pt idx="3">
                  <c:v>22.346368715083798</c:v>
                </c:pt>
                <c:pt idx="4">
                  <c:v>14.110429447852759</c:v>
                </c:pt>
              </c:numCache>
            </c:numRef>
          </c:val>
          <c:extLst>
            <c:ext xmlns:c16="http://schemas.microsoft.com/office/drawing/2014/chart" uri="{C3380CC4-5D6E-409C-BE32-E72D297353CC}">
              <c16:uniqueId val="{00000000-02B1-445F-939D-25EEB2F69024}"/>
            </c:ext>
          </c:extLst>
        </c:ser>
        <c:ser>
          <c:idx val="2"/>
          <c:order val="1"/>
          <c:tx>
            <c:strRef>
              <c:f>'Special patient data'!$O$125</c:f>
              <c:strCache>
                <c:ptCount val="1"/>
                <c:pt idx="0">
                  <c:v>SFC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'Special patient data'!$M$126:$M$130</c:f>
              <c:strCache>
                <c:ptCount val="5"/>
                <c:pt idx="0">
                  <c:v>Waitematā</c:v>
                </c:pt>
                <c:pt idx="1">
                  <c:v>Waikato</c:v>
                </c:pt>
                <c:pt idx="2">
                  <c:v>Southern</c:v>
                </c:pt>
                <c:pt idx="3">
                  <c:v>Capital &amp; Coast</c:v>
                </c:pt>
                <c:pt idx="4">
                  <c:v>Canterbury</c:v>
                </c:pt>
              </c:strCache>
            </c:strRef>
          </c:cat>
          <c:val>
            <c:numRef>
              <c:f>'Special patient data'!$O$126:$O$130</c:f>
              <c:numCache>
                <c:formatCode>_-* #,##0.0_-;\-* #,##0.0_-;_-* "-"??_-;_-@_-</c:formatCode>
                <c:ptCount val="5"/>
                <c:pt idx="0">
                  <c:v>87.301587301587304</c:v>
                </c:pt>
                <c:pt idx="1">
                  <c:v>74.358974358974365</c:v>
                </c:pt>
                <c:pt idx="2">
                  <c:v>83.636363636363626</c:v>
                </c:pt>
                <c:pt idx="3">
                  <c:v>77.653631284916202</c:v>
                </c:pt>
                <c:pt idx="4">
                  <c:v>85.889570552147248</c:v>
                </c:pt>
              </c:numCache>
            </c:numRef>
          </c:val>
          <c:extLst>
            <c:ext xmlns:c16="http://schemas.microsoft.com/office/drawing/2014/chart" uri="{C3380CC4-5D6E-409C-BE32-E72D297353CC}">
              <c16:uniqueId val="{00000001-02B1-445F-939D-25EEB2F69024}"/>
            </c:ext>
          </c:extLst>
        </c:ser>
        <c:dLbls>
          <c:dLblPos val="ctr"/>
          <c:showLegendKey val="0"/>
          <c:showVal val="1"/>
          <c:showCatName val="0"/>
          <c:showSerName val="0"/>
          <c:showPercent val="0"/>
          <c:showBubbleSize val="0"/>
        </c:dLbls>
        <c:gapWidth val="40"/>
        <c:overlap val="100"/>
        <c:axId val="526514056"/>
        <c:axId val="526514448"/>
      </c:barChart>
      <c:catAx>
        <c:axId val="526514056"/>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DHB</a:t>
                </a:r>
              </a:p>
            </c:rich>
          </c:tx>
          <c:layout>
            <c:manualLayout>
              <c:xMode val="edge"/>
              <c:yMode val="edge"/>
              <c:x val="7.8321678321678329E-2"/>
              <c:y val="1.5633028203630034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514448"/>
        <c:crosses val="autoZero"/>
        <c:auto val="1"/>
        <c:lblAlgn val="ctr"/>
        <c:lblOffset val="100"/>
        <c:noMultiLvlLbl val="0"/>
      </c:catAx>
      <c:valAx>
        <c:axId val="526514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Percentage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514056"/>
        <c:crosses val="autoZero"/>
        <c:crossBetween val="between"/>
        <c:majorUnit val="0.2"/>
        <c:minorUnit val="5.000000000000001E-2"/>
      </c:valAx>
      <c:spPr>
        <a:noFill/>
        <a:ln>
          <a:noFill/>
        </a:ln>
        <a:effectLst/>
      </c:spPr>
    </c:plotArea>
    <c:legend>
      <c:legendPos val="t"/>
      <c:layout>
        <c:manualLayout>
          <c:xMode val="edge"/>
          <c:yMode val="edge"/>
          <c:x val="0.51481416221573717"/>
          <c:y val="0"/>
          <c:w val="0.14485718696927591"/>
          <c:h val="8.92863392075990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065177062291318E-2"/>
          <c:y val="0.10857468903343603"/>
          <c:w val="0.87454040757994256"/>
          <c:h val="0.79436681086800909"/>
        </c:manualLayout>
      </c:layout>
      <c:barChart>
        <c:barDir val="col"/>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9679-46D3-9DC4-63F9A34A59F9}"/>
              </c:ext>
            </c:extLst>
          </c:dPt>
          <c:dPt>
            <c:idx val="1"/>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3-9679-46D3-9DC4-63F9A34A59F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'Special patient data'!$B$202:$B$203</c:f>
              <c:strCache>
                <c:ptCount val="2"/>
                <c:pt idx="0">
                  <c:v>Female</c:v>
                </c:pt>
                <c:pt idx="1">
                  <c:v>Male</c:v>
                </c:pt>
              </c:strCache>
            </c:strRef>
          </c:cat>
          <c:val>
            <c:numRef>
              <c:f>'Special patient data'!$C$202:$C$203</c:f>
              <c:numCache>
                <c:formatCode>General</c:formatCode>
                <c:ptCount val="2"/>
                <c:pt idx="0">
                  <c:v>59</c:v>
                </c:pt>
                <c:pt idx="1">
                  <c:v>364</c:v>
                </c:pt>
              </c:numCache>
            </c:numRef>
          </c:val>
          <c:extLst>
            <c:ext xmlns:c16="http://schemas.microsoft.com/office/drawing/2014/chart" uri="{C3380CC4-5D6E-409C-BE32-E72D297353CC}">
              <c16:uniqueId val="{00000004-9679-46D3-9DC4-63F9A34A59F9}"/>
            </c:ext>
          </c:extLst>
        </c:ser>
        <c:dLbls>
          <c:dLblPos val="inEnd"/>
          <c:showLegendKey val="0"/>
          <c:showVal val="1"/>
          <c:showCatName val="0"/>
          <c:showSerName val="0"/>
          <c:showPercent val="0"/>
          <c:showBubbleSize val="0"/>
        </c:dLbls>
        <c:gapWidth val="40"/>
        <c:overlap val="-12"/>
        <c:axId val="745668472"/>
        <c:axId val="745663880"/>
      </c:barChart>
      <c:catAx>
        <c:axId val="74566847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45663880"/>
        <c:crosses val="autoZero"/>
        <c:auto val="1"/>
        <c:lblAlgn val="ctr"/>
        <c:lblOffset val="100"/>
        <c:noMultiLvlLbl val="0"/>
      </c:catAx>
      <c:valAx>
        <c:axId val="745663880"/>
        <c:scaling>
          <c:orientation val="minMax"/>
        </c:scaling>
        <c:delete val="0"/>
        <c:axPos val="l"/>
        <c:title>
          <c:tx>
            <c:rich>
              <a:bodyPr rot="0" spcFirstLastPara="1" vertOverflow="ellipsis"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Number</a:t>
                </a:r>
              </a:p>
            </c:rich>
          </c:tx>
          <c:layout>
            <c:manualLayout>
              <c:xMode val="edge"/>
              <c:yMode val="edge"/>
              <c:x val="0"/>
              <c:y val="4.5615239653482682E-4"/>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45668472"/>
        <c:crosses val="autoZero"/>
        <c:crossBetween val="between"/>
        <c:minorUnit val="25"/>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387754435259903E-2"/>
          <c:y val="8.8331008833100882E-2"/>
          <c:w val="0.91318347654675947"/>
          <c:h val="0.77032400238673093"/>
        </c:manualLayout>
      </c:layout>
      <c:barChart>
        <c:barDir val="col"/>
        <c:grouping val="clustered"/>
        <c:varyColors val="0"/>
        <c:ser>
          <c:idx val="0"/>
          <c:order val="0"/>
          <c:tx>
            <c:strRef>
              <c:f>'Special patient data'!$C$179</c:f>
              <c:strCache>
                <c:ptCount val="1"/>
                <c:pt idx="0">
                  <c:v>Number of Special Patients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'Special patient data'!$B$180:$B$190</c:f>
              <c:strCache>
                <c:ptCount val="11"/>
                <c:pt idx="0">
                  <c:v>0–19</c:v>
                </c:pt>
                <c:pt idx="1">
                  <c:v>20–24</c:v>
                </c:pt>
                <c:pt idx="2">
                  <c:v>25–29</c:v>
                </c:pt>
                <c:pt idx="3">
                  <c:v>30–34</c:v>
                </c:pt>
                <c:pt idx="4">
                  <c:v>35–39</c:v>
                </c:pt>
                <c:pt idx="5">
                  <c:v>40–44</c:v>
                </c:pt>
                <c:pt idx="6">
                  <c:v>45–49</c:v>
                </c:pt>
                <c:pt idx="7">
                  <c:v>50–54</c:v>
                </c:pt>
                <c:pt idx="8">
                  <c:v>55–59</c:v>
                </c:pt>
                <c:pt idx="9">
                  <c:v>60–64</c:v>
                </c:pt>
                <c:pt idx="10">
                  <c:v>65+</c:v>
                </c:pt>
              </c:strCache>
            </c:strRef>
          </c:cat>
          <c:val>
            <c:numRef>
              <c:f>'Special patient data'!$C$180:$C$190</c:f>
              <c:numCache>
                <c:formatCode>General</c:formatCode>
                <c:ptCount val="11"/>
                <c:pt idx="0">
                  <c:v>23</c:v>
                </c:pt>
                <c:pt idx="1">
                  <c:v>57</c:v>
                </c:pt>
                <c:pt idx="2">
                  <c:v>51</c:v>
                </c:pt>
                <c:pt idx="3">
                  <c:v>74</c:v>
                </c:pt>
                <c:pt idx="4">
                  <c:v>46</c:v>
                </c:pt>
                <c:pt idx="5">
                  <c:v>41</c:v>
                </c:pt>
                <c:pt idx="6">
                  <c:v>38</c:v>
                </c:pt>
                <c:pt idx="7">
                  <c:v>47</c:v>
                </c:pt>
                <c:pt idx="8">
                  <c:v>22</c:v>
                </c:pt>
                <c:pt idx="9">
                  <c:v>11</c:v>
                </c:pt>
                <c:pt idx="10">
                  <c:v>13</c:v>
                </c:pt>
              </c:numCache>
            </c:numRef>
          </c:val>
          <c:extLst>
            <c:ext xmlns:c16="http://schemas.microsoft.com/office/drawing/2014/chart" uri="{C3380CC4-5D6E-409C-BE32-E72D297353CC}">
              <c16:uniqueId val="{00000000-98B3-4234-B940-8E59A3205179}"/>
            </c:ext>
          </c:extLst>
        </c:ser>
        <c:dLbls>
          <c:dLblPos val="inEnd"/>
          <c:showLegendKey val="0"/>
          <c:showVal val="1"/>
          <c:showCatName val="0"/>
          <c:showSerName val="0"/>
          <c:showPercent val="0"/>
          <c:showBubbleSize val="0"/>
        </c:dLbls>
        <c:gapWidth val="40"/>
        <c:overlap val="-12"/>
        <c:axId val="208339712"/>
        <c:axId val="208341672"/>
      </c:barChart>
      <c:catAx>
        <c:axId val="208339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t>Age group (years)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8341672"/>
        <c:crosses val="autoZero"/>
        <c:auto val="1"/>
        <c:lblAlgn val="ctr"/>
        <c:lblOffset val="100"/>
        <c:noMultiLvlLbl val="0"/>
      </c:catAx>
      <c:valAx>
        <c:axId val="208341672"/>
        <c:scaling>
          <c:orientation val="minMax"/>
        </c:scaling>
        <c:delete val="0"/>
        <c:axPos val="l"/>
        <c:title>
          <c:tx>
            <c:rich>
              <a:bodyPr rot="0" spcFirstLastPara="1" vertOverflow="ellipsis"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Number</a:t>
                </a:r>
              </a:p>
            </c:rich>
          </c:tx>
          <c:layout>
            <c:manualLayout>
              <c:xMode val="edge"/>
              <c:yMode val="edge"/>
              <c:x val="0"/>
              <c:y val="1.1428487757021862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8339712"/>
        <c:crosses val="autoZero"/>
        <c:crossBetween val="between"/>
        <c:minorUnit val="5"/>
      </c:valAx>
      <c:spPr>
        <a:noFill/>
        <a:ln>
          <a:noFill/>
        </a:ln>
        <a:effectLst/>
      </c:spPr>
    </c:plotArea>
    <c:plotVisOnly val="1"/>
    <c:dispBlanksAs val="gap"/>
    <c:showDLblsOverMax val="0"/>
  </c:chart>
  <c:spPr>
    <a:no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517513617062353E-2"/>
          <c:y val="9.8309876619753253E-2"/>
          <c:w val="0.87302242672102193"/>
          <c:h val="0.76510137020274049"/>
        </c:manualLayout>
      </c:layout>
      <c:barChart>
        <c:barDir val="col"/>
        <c:grouping val="clustered"/>
        <c:varyColors val="0"/>
        <c:ser>
          <c:idx val="0"/>
          <c:order val="0"/>
          <c:spPr>
            <a:solidFill>
              <a:schemeClr val="accent1"/>
            </a:solidFill>
            <a:ln w="19050">
              <a:solidFill>
                <a:schemeClr val="lt1"/>
              </a:solidFill>
            </a:ln>
            <a:effectLst/>
          </c:spPr>
          <c:invertIfNegative val="0"/>
          <c:dLbls>
            <c:dLbl>
              <c:idx val="0"/>
              <c:layout>
                <c:manualLayout>
                  <c:x val="0"/>
                  <c:y val="2.8483270299873933E-2"/>
                </c:manualLayout>
              </c:layout>
              <c:spPr>
                <a:noFill/>
                <a:ln>
                  <a:noFill/>
                </a:ln>
                <a:effectLst/>
              </c:spPr>
              <c:txPr>
                <a:bodyPr rot="0" spcFirstLastPara="1" vertOverflow="ellipsis" vert="horz" wrap="square" lIns="38100" tIns="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CF68-427C-8A7C-889F0CA27B39}"/>
                </c:ext>
              </c:extLst>
            </c:dLbl>
            <c:spPr>
              <a:noFill/>
              <a:ln>
                <a:noFill/>
              </a:ln>
              <a:effectLst/>
            </c:spPr>
            <c:txPr>
              <a:bodyPr rot="0" spcFirstLastPara="1" vertOverflow="ellipsis" vert="horz" wrap="square" lIns="38100" tIns="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'Special patient data'!$B$154:$B$157</c:f>
              <c:strCache>
                <c:ptCount val="4"/>
                <c:pt idx="0">
                  <c:v>Asian</c:v>
                </c:pt>
                <c:pt idx="1">
                  <c:v>Māori</c:v>
                </c:pt>
                <c:pt idx="2">
                  <c:v>Other</c:v>
                </c:pt>
                <c:pt idx="3">
                  <c:v>Pacific peoples</c:v>
                </c:pt>
              </c:strCache>
            </c:strRef>
          </c:cat>
          <c:val>
            <c:numRef>
              <c:f>'Special patient data'!$F$154:$F$157</c:f>
              <c:numCache>
                <c:formatCode>0%</c:formatCode>
                <c:ptCount val="4"/>
                <c:pt idx="0">
                  <c:v>3.309692671394799E-2</c:v>
                </c:pt>
                <c:pt idx="1">
                  <c:v>0.51536643026004725</c:v>
                </c:pt>
                <c:pt idx="2">
                  <c:v>0.34278959810874704</c:v>
                </c:pt>
                <c:pt idx="3">
                  <c:v>0.10874704491725769</c:v>
                </c:pt>
              </c:numCache>
            </c:numRef>
          </c:val>
          <c:extLst>
            <c:ext xmlns:c16="http://schemas.microsoft.com/office/drawing/2014/chart" uri="{C3380CC4-5D6E-409C-BE32-E72D297353CC}">
              <c16:uniqueId val="{00000001-CF68-427C-8A7C-889F0CA27B39}"/>
            </c:ext>
          </c:extLst>
        </c:ser>
        <c:dLbls>
          <c:dLblPos val="inEnd"/>
          <c:showLegendKey val="0"/>
          <c:showVal val="1"/>
          <c:showCatName val="0"/>
          <c:showSerName val="0"/>
          <c:showPercent val="0"/>
          <c:showBubbleSize val="0"/>
        </c:dLbls>
        <c:gapWidth val="40"/>
        <c:overlap val="-12"/>
        <c:axId val="665373488"/>
        <c:axId val="665373816"/>
      </c:barChart>
      <c:catAx>
        <c:axId val="665373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Ethnicity</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65373816"/>
        <c:crosses val="autoZero"/>
        <c:auto val="1"/>
        <c:lblAlgn val="ctr"/>
        <c:lblOffset val="100"/>
        <c:noMultiLvlLbl val="0"/>
      </c:catAx>
      <c:valAx>
        <c:axId val="665373816"/>
        <c:scaling>
          <c:orientation val="minMax"/>
          <c:max val="0.60000000000000009"/>
        </c:scaling>
        <c:delete val="0"/>
        <c:axPos val="l"/>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Percentage</a:t>
                </a:r>
              </a:p>
            </c:rich>
          </c:tx>
          <c:layout>
            <c:manualLayout>
              <c:xMode val="edge"/>
              <c:yMode val="edge"/>
              <c:x val="0"/>
              <c:y val="3.2543078257806341E-3"/>
            </c:manualLayout>
          </c:layout>
          <c:overlay val="0"/>
          <c:spPr>
            <a:noFill/>
            <a:ln>
              <a:noFill/>
            </a:ln>
            <a:effectLst/>
          </c:spPr>
        </c:title>
        <c:numFmt formatCode="0%"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65373488"/>
        <c:crosses val="autoZero"/>
        <c:crossBetween val="between"/>
        <c:minorUnit val="5.000000000000001E-2"/>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907793932140036E-2"/>
          <c:y val="7.3737236851328297E-2"/>
          <c:w val="0.92771817548953073"/>
          <c:h val="0.49533182239460422"/>
        </c:manualLayout>
      </c:layout>
      <c:lineChart>
        <c:grouping val="standard"/>
        <c:varyColors val="0"/>
        <c:ser>
          <c:idx val="0"/>
          <c:order val="0"/>
          <c:tx>
            <c:strRef>
              <c:f>'Error bars'!$B$184</c:f>
              <c:strCache>
                <c:ptCount val="1"/>
                <c:pt idx="0">
                  <c:v>Section 30</c:v>
                </c:pt>
              </c:strCache>
            </c:strRef>
          </c:tx>
          <c:spPr>
            <a:ln>
              <a:noFill/>
            </a:ln>
          </c:spPr>
          <c:errBars>
            <c:errDir val="y"/>
            <c:errBarType val="both"/>
            <c:errValType val="cust"/>
            <c:noEndCap val="0"/>
            <c:plus>
              <c:numRef>
                <c:f>'Error bars'!$F$186:$F$205</c:f>
                <c:numCache>
                  <c:formatCode>General</c:formatCode>
                  <c:ptCount val="20"/>
                  <c:pt idx="0">
                    <c:v>4.6582295880500038</c:v>
                  </c:pt>
                  <c:pt idx="1">
                    <c:v>5.9001024793734071</c:v>
                  </c:pt>
                  <c:pt idx="2">
                    <c:v>4.7800573085765379</c:v>
                  </c:pt>
                  <c:pt idx="3">
                    <c:v>9.6359809079626473</c:v>
                  </c:pt>
                  <c:pt idx="4">
                    <c:v>4.0797279921756875</c:v>
                  </c:pt>
                  <c:pt idx="5">
                    <c:v>10.971574450825166</c:v>
                  </c:pt>
                  <c:pt idx="6">
                    <c:v>7.4315513971188407</c:v>
                  </c:pt>
                  <c:pt idx="7">
                    <c:v>8.088126248280668</c:v>
                  </c:pt>
                  <c:pt idx="8">
                    <c:v>7.2300150852923402</c:v>
                  </c:pt>
                  <c:pt idx="9">
                    <c:v>7.6696662347336382</c:v>
                  </c:pt>
                  <c:pt idx="10">
                    <c:v>6.6303727324023569</c:v>
                  </c:pt>
                  <c:pt idx="11">
                    <c:v>12.41860585830416</c:v>
                  </c:pt>
                  <c:pt idx="12">
                    <c:v>5.5620456850820457</c:v>
                  </c:pt>
                  <c:pt idx="13">
                    <c:v>14.202464296115487</c:v>
                  </c:pt>
                  <c:pt idx="14">
                    <c:v>7.4343096675682041</c:v>
                  </c:pt>
                  <c:pt idx="15">
                    <c:v>5.5222997243981649</c:v>
                  </c:pt>
                  <c:pt idx="16">
                    <c:v>13.113346589742269</c:v>
                  </c:pt>
                  <c:pt idx="17">
                    <c:v>3.8725757656150996</c:v>
                  </c:pt>
                  <c:pt idx="18">
                    <c:v>22.304519057488093</c:v>
                  </c:pt>
                  <c:pt idx="19">
                    <c:v>18.386093768764319</c:v>
                  </c:pt>
                </c:numCache>
              </c:numRef>
            </c:plus>
            <c:minus>
              <c:numRef>
                <c:f>'Error bars'!$E$186:$E$205</c:f>
                <c:numCache>
                  <c:formatCode>General</c:formatCode>
                  <c:ptCount val="20"/>
                  <c:pt idx="0">
                    <c:v>3.7592865460674716</c:v>
                  </c:pt>
                  <c:pt idx="1">
                    <c:v>4.1478502429968263</c:v>
                  </c:pt>
                  <c:pt idx="2">
                    <c:v>4.0333148518635191</c:v>
                  </c:pt>
                  <c:pt idx="3">
                    <c:v>8.3488137205164641</c:v>
                  </c:pt>
                  <c:pt idx="4">
                    <c:v>3.4033239061415035</c:v>
                  </c:pt>
                  <c:pt idx="5">
                    <c:v>8.3074997144097082</c:v>
                  </c:pt>
                  <c:pt idx="6">
                    <c:v>4.5650901217538848</c:v>
                  </c:pt>
                  <c:pt idx="7">
                    <c:v>3.8398830357167792</c:v>
                  </c:pt>
                  <c:pt idx="8">
                    <c:v>4.9077798119813902</c:v>
                  </c:pt>
                  <c:pt idx="9">
                    <c:v>4.6359064752865393</c:v>
                  </c:pt>
                  <c:pt idx="10">
                    <c:v>4.3915937531255214</c:v>
                  </c:pt>
                  <c:pt idx="11">
                    <c:v>4.6800106247846784</c:v>
                  </c:pt>
                  <c:pt idx="12">
                    <c:v>4.2043919116523067</c:v>
                  </c:pt>
                  <c:pt idx="13">
                    <c:v>3.7030273420910063</c:v>
                  </c:pt>
                  <c:pt idx="14">
                    <c:v>3.8233730683847487</c:v>
                  </c:pt>
                  <c:pt idx="15">
                    <c:v>4.457504871616722</c:v>
                  </c:pt>
                  <c:pt idx="16">
                    <c:v>2.0291372655785778</c:v>
                  </c:pt>
                  <c:pt idx="17">
                    <c:v>3.1398828239141547</c:v>
                  </c:pt>
                  <c:pt idx="18">
                    <c:v>8.3718212314713298</c:v>
                  </c:pt>
                  <c:pt idx="19">
                    <c:v>12.006906951165663</c:v>
                  </c:pt>
                </c:numCache>
              </c:numRef>
            </c:minus>
          </c:errBars>
          <c:cat>
            <c:strRef>
              <c:f>'Error bars'!$B$47:$B$67</c:f>
              <c:strCache>
                <c:ptCount val="21"/>
                <c:pt idx="0">
                  <c:v>Auckland </c:v>
                </c:pt>
                <c:pt idx="1">
                  <c:v>Bay of Plenty</c:v>
                </c:pt>
                <c:pt idx="2">
                  <c:v>Canterbury</c:v>
                </c:pt>
                <c:pt idx="3">
                  <c:v>Capital &amp; Coast </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Wairarapa</c:v>
                </c:pt>
                <c:pt idx="17">
                  <c:v>Waitematā</c:v>
                </c:pt>
                <c:pt idx="18">
                  <c:v>West Coast</c:v>
                </c:pt>
                <c:pt idx="19">
                  <c:v>Whanganui</c:v>
                </c:pt>
                <c:pt idx="20">
                  <c:v>National average</c:v>
                </c:pt>
              </c:strCache>
            </c:strRef>
          </c:cat>
          <c:val>
            <c:numRef>
              <c:f>'Error bars'!$C$186:$C$205</c:f>
              <c:numCache>
                <c:formatCode>0</c:formatCode>
                <c:ptCount val="20"/>
                <c:pt idx="0">
                  <c:v>12.900859839033943</c:v>
                </c:pt>
                <c:pt idx="1">
                  <c:v>9.2658677986051128</c:v>
                </c:pt>
                <c:pt idx="2">
                  <c:v>16.48267402637228</c:v>
                </c:pt>
                <c:pt idx="3">
                  <c:v>38.395163843192513</c:v>
                </c:pt>
                <c:pt idx="4">
                  <c:v>12.1226731394814</c:v>
                </c:pt>
                <c:pt idx="5">
                  <c:v>23.464362048136792</c:v>
                </c:pt>
                <c:pt idx="6">
                  <c:v>7.6533799825065598</c:v>
                </c:pt>
                <c:pt idx="7">
                  <c:v>5.1379504504504503</c:v>
                </c:pt>
                <c:pt idx="8">
                  <c:v>9.4747281549959261</c:v>
                </c:pt>
                <c:pt idx="9">
                  <c:v>8.0836165173514587</c:v>
                </c:pt>
                <c:pt idx="10">
                  <c:v>8.0811174058762489</c:v>
                </c:pt>
                <c:pt idx="11">
                  <c:v>5.2229811169144238</c:v>
                </c:pt>
                <c:pt idx="12">
                  <c:v>11.813111369942144</c:v>
                </c:pt>
                <c:pt idx="13">
                  <c:v>3.9051059259982428</c:v>
                </c:pt>
                <c:pt idx="14">
                  <c:v>5.0484920951242191</c:v>
                </c:pt>
                <c:pt idx="15">
                  <c:v>15.751952019916258</c:v>
                </c:pt>
                <c:pt idx="16">
                  <c:v>2.0393596410727031</c:v>
                </c:pt>
                <c:pt idx="17">
                  <c:v>11.388140856986617</c:v>
                </c:pt>
                <c:pt idx="18">
                  <c:v>9.0076178711138564</c:v>
                </c:pt>
                <c:pt idx="19">
                  <c:v>21.528785679729076</c:v>
                </c:pt>
              </c:numCache>
            </c:numRef>
          </c:val>
          <c:smooth val="0"/>
          <c:extLst>
            <c:ext xmlns:c16="http://schemas.microsoft.com/office/drawing/2014/chart" uri="{C3380CC4-5D6E-409C-BE32-E72D297353CC}">
              <c16:uniqueId val="{00000000-B9EE-43CD-BD84-ECB7A711AE97}"/>
            </c:ext>
          </c:extLst>
        </c:ser>
        <c:ser>
          <c:idx val="1"/>
          <c:order val="1"/>
          <c:tx>
            <c:v>National average</c:v>
          </c:tx>
          <c:marker>
            <c:symbol val="none"/>
          </c:marker>
          <c:val>
            <c:numRef>
              <c:f>'Error bars'!$D$186:$D$205</c:f>
              <c:numCache>
                <c:formatCode>0</c:formatCode>
                <c:ptCount val="20"/>
                <c:pt idx="0">
                  <c:v>13.126728067872504</c:v>
                </c:pt>
                <c:pt idx="1">
                  <c:v>13.126728067872504</c:v>
                </c:pt>
                <c:pt idx="2">
                  <c:v>13.126728067872504</c:v>
                </c:pt>
                <c:pt idx="3">
                  <c:v>13.126728067872504</c:v>
                </c:pt>
                <c:pt idx="4">
                  <c:v>13.126728067872504</c:v>
                </c:pt>
                <c:pt idx="5">
                  <c:v>13.126728067872504</c:v>
                </c:pt>
                <c:pt idx="6">
                  <c:v>13.126728067872504</c:v>
                </c:pt>
                <c:pt idx="7">
                  <c:v>13.126728067872504</c:v>
                </c:pt>
                <c:pt idx="8">
                  <c:v>13.126728067872504</c:v>
                </c:pt>
                <c:pt idx="9">
                  <c:v>13.126728067872504</c:v>
                </c:pt>
                <c:pt idx="10">
                  <c:v>13.126728067872504</c:v>
                </c:pt>
                <c:pt idx="11">
                  <c:v>13.126728067872504</c:v>
                </c:pt>
                <c:pt idx="12">
                  <c:v>13.126728067872504</c:v>
                </c:pt>
                <c:pt idx="13">
                  <c:v>13.126728067872504</c:v>
                </c:pt>
                <c:pt idx="14">
                  <c:v>13.126728067872504</c:v>
                </c:pt>
                <c:pt idx="15">
                  <c:v>13.126728067872504</c:v>
                </c:pt>
                <c:pt idx="16">
                  <c:v>13.126728067872504</c:v>
                </c:pt>
                <c:pt idx="17">
                  <c:v>13.126728067872504</c:v>
                </c:pt>
                <c:pt idx="18">
                  <c:v>13.126728067872504</c:v>
                </c:pt>
                <c:pt idx="19">
                  <c:v>13.126728067872504</c:v>
                </c:pt>
              </c:numCache>
            </c:numRef>
          </c:val>
          <c:smooth val="0"/>
          <c:extLst>
            <c:ext xmlns:c16="http://schemas.microsoft.com/office/drawing/2014/chart" uri="{C3380CC4-5D6E-409C-BE32-E72D297353CC}">
              <c16:uniqueId val="{00000001-B9EE-43CD-BD84-ECB7A711AE97}"/>
            </c:ext>
          </c:extLst>
        </c:ser>
        <c:dLbls>
          <c:showLegendKey val="0"/>
          <c:showVal val="0"/>
          <c:showCatName val="0"/>
          <c:showSerName val="0"/>
          <c:showPercent val="0"/>
          <c:showBubbleSize val="0"/>
        </c:dLbls>
        <c:marker val="1"/>
        <c:smooth val="0"/>
        <c:axId val="555311592"/>
        <c:axId val="555318256"/>
      </c:lineChart>
      <c:catAx>
        <c:axId val="555311592"/>
        <c:scaling>
          <c:orientation val="minMax"/>
        </c:scaling>
        <c:delete val="0"/>
        <c:axPos val="b"/>
        <c:title>
          <c:tx>
            <c:rich>
              <a:bodyPr/>
              <a:lstStyle/>
              <a:p>
                <a:pPr>
                  <a:defRPr b="0"/>
                </a:pPr>
                <a:r>
                  <a:rPr lang="en-NZ" b="0"/>
                  <a:t>DHB</a:t>
                </a:r>
              </a:p>
            </c:rich>
          </c:tx>
          <c:overlay val="0"/>
        </c:title>
        <c:numFmt formatCode="General" sourceLinked="0"/>
        <c:majorTickMark val="out"/>
        <c:minorTickMark val="none"/>
        <c:tickLblPos val="nextTo"/>
        <c:spPr>
          <a:ln>
            <a:solidFill>
              <a:schemeClr val="tx1"/>
            </a:solidFill>
          </a:ln>
        </c:spPr>
        <c:txPr>
          <a:bodyPr rot="-5400000" vert="horz"/>
          <a:lstStyle/>
          <a:p>
            <a:pPr>
              <a:defRPr/>
            </a:pPr>
            <a:endParaRPr lang="en-US"/>
          </a:p>
        </c:txPr>
        <c:crossAx val="555318256"/>
        <c:crosses val="autoZero"/>
        <c:auto val="1"/>
        <c:lblAlgn val="ctr"/>
        <c:lblOffset val="100"/>
        <c:noMultiLvlLbl val="0"/>
      </c:catAx>
      <c:valAx>
        <c:axId val="555318256"/>
        <c:scaling>
          <c:orientation val="minMax"/>
        </c:scaling>
        <c:delete val="0"/>
        <c:axPos val="l"/>
        <c:title>
          <c:tx>
            <c:rich>
              <a:bodyPr rot="0" vert="horz"/>
              <a:lstStyle/>
              <a:p>
                <a:pPr>
                  <a:defRPr b="0"/>
                </a:pPr>
                <a:r>
                  <a:rPr lang="en-NZ" b="0"/>
                  <a:t>Average number</a:t>
                </a:r>
              </a:p>
            </c:rich>
          </c:tx>
          <c:layout>
            <c:manualLayout>
              <c:xMode val="edge"/>
              <c:yMode val="edge"/>
              <c:x val="0"/>
              <c:y val="6.754051885947491E-4"/>
            </c:manualLayout>
          </c:layout>
          <c:overlay val="0"/>
        </c:title>
        <c:numFmt formatCode="0" sourceLinked="1"/>
        <c:majorTickMark val="out"/>
        <c:minorTickMark val="out"/>
        <c:tickLblPos val="nextTo"/>
        <c:spPr>
          <a:ln>
            <a:solidFill>
              <a:schemeClr val="tx1"/>
            </a:solidFill>
          </a:ln>
        </c:spPr>
        <c:crossAx val="555311592"/>
        <c:crosses val="autoZero"/>
        <c:crossBetween val="between"/>
        <c:minorUnit val="5"/>
      </c:valAx>
    </c:plotArea>
    <c:legend>
      <c:legendPos val="r"/>
      <c:layout>
        <c:manualLayout>
          <c:xMode val="edge"/>
          <c:yMode val="edge"/>
          <c:x val="0.78063285242457925"/>
          <c:y val="7.4192280988803956E-4"/>
          <c:w val="0.21936714757542078"/>
          <c:h val="0.14308932451692796"/>
        </c:manualLayout>
      </c:layout>
      <c:overlay val="0"/>
    </c:legend>
    <c:plotVisOnly val="1"/>
    <c:dispBlanksAs val="gap"/>
    <c:showDLblsOverMax val="0"/>
  </c:chart>
  <c:spPr>
    <a:noFill/>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723227679328768E-2"/>
          <c:y val="9.0336841490098616E-2"/>
          <c:w val="0.93527677232067119"/>
          <c:h val="0.78732353937093813"/>
        </c:manualLayout>
      </c:layout>
      <c:barChart>
        <c:barDir val="col"/>
        <c:grouping val="clustered"/>
        <c:varyColors val="0"/>
        <c:ser>
          <c:idx val="0"/>
          <c:order val="0"/>
          <c:tx>
            <c:strRef>
              <c:f>'Special patient data'!$G$165</c:f>
              <c:strCache>
                <c:ptCount val="1"/>
                <c:pt idx="0">
                  <c:v>Total special patients</c:v>
                </c:pt>
              </c:strCache>
            </c:strRef>
          </c:tx>
          <c:spPr>
            <a:solidFill>
              <a:schemeClr val="accent1"/>
            </a:solidFill>
            <a:ln>
              <a:noFill/>
            </a:ln>
            <a:effectLst/>
          </c:spPr>
          <c:invertIfNegative val="0"/>
          <c:dLbls>
            <c:dLbl>
              <c:idx val="0"/>
              <c:layout>
                <c:manualLayout>
                  <c:x val="2.42072137496973E-3"/>
                  <c:y val="2.226072428569218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0A-4B98-90E3-741998607C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'Special patient data'!$B$166:$B$169</c:f>
              <c:strCache>
                <c:ptCount val="4"/>
                <c:pt idx="0">
                  <c:v>Asian</c:v>
                </c:pt>
                <c:pt idx="1">
                  <c:v>Māori</c:v>
                </c:pt>
                <c:pt idx="2">
                  <c:v>Other</c:v>
                </c:pt>
                <c:pt idx="3">
                  <c:v>Pacific peoples</c:v>
                </c:pt>
              </c:strCache>
            </c:strRef>
          </c:cat>
          <c:val>
            <c:numRef>
              <c:f>'Special patient data'!$G$166:$G$169</c:f>
              <c:numCache>
                <c:formatCode>General</c:formatCode>
                <c:ptCount val="4"/>
                <c:pt idx="0">
                  <c:v>14</c:v>
                </c:pt>
                <c:pt idx="1">
                  <c:v>218</c:v>
                </c:pt>
                <c:pt idx="2">
                  <c:v>145</c:v>
                </c:pt>
                <c:pt idx="3">
                  <c:v>46</c:v>
                </c:pt>
              </c:numCache>
            </c:numRef>
          </c:val>
          <c:extLst>
            <c:ext xmlns:c16="http://schemas.microsoft.com/office/drawing/2014/chart" uri="{C3380CC4-5D6E-409C-BE32-E72D297353CC}">
              <c16:uniqueId val="{00000001-E00A-4B98-90E3-741998607C81}"/>
            </c:ext>
          </c:extLst>
        </c:ser>
        <c:ser>
          <c:idx val="1"/>
          <c:order val="1"/>
          <c:tx>
            <c:strRef>
              <c:f>'Special patient data'!$H$165</c:f>
              <c:strCache>
                <c:ptCount val="1"/>
                <c:pt idx="0">
                  <c:v>EFC special patients</c:v>
                </c:pt>
              </c:strCache>
            </c:strRef>
          </c:tx>
          <c:spPr>
            <a:solidFill>
              <a:schemeClr val="accent2"/>
            </a:solidFill>
            <a:ln>
              <a:noFill/>
            </a:ln>
            <a:effectLst/>
          </c:spPr>
          <c:invertIfNegative val="0"/>
          <c:dLbls>
            <c:dLbl>
              <c:idx val="0"/>
              <c:layout>
                <c:manualLayout>
                  <c:x val="-2.2189689600034847E-17"/>
                  <c:y val="1.889591895315639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0A-4B98-90E3-741998607C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'Special patient data'!$B$166:$B$169</c:f>
              <c:strCache>
                <c:ptCount val="4"/>
                <c:pt idx="0">
                  <c:v>Asian</c:v>
                </c:pt>
                <c:pt idx="1">
                  <c:v>Māori</c:v>
                </c:pt>
                <c:pt idx="2">
                  <c:v>Other</c:v>
                </c:pt>
                <c:pt idx="3">
                  <c:v>Pacific peoples</c:v>
                </c:pt>
              </c:strCache>
            </c:strRef>
          </c:cat>
          <c:val>
            <c:numRef>
              <c:f>'Special patient data'!$H$166:$H$169</c:f>
              <c:numCache>
                <c:formatCode>General</c:formatCode>
                <c:ptCount val="4"/>
                <c:pt idx="0">
                  <c:v>6</c:v>
                </c:pt>
                <c:pt idx="1">
                  <c:v>72</c:v>
                </c:pt>
                <c:pt idx="2">
                  <c:v>65</c:v>
                </c:pt>
                <c:pt idx="3">
                  <c:v>23</c:v>
                </c:pt>
              </c:numCache>
            </c:numRef>
          </c:val>
          <c:extLst>
            <c:ext xmlns:c16="http://schemas.microsoft.com/office/drawing/2014/chart" uri="{C3380CC4-5D6E-409C-BE32-E72D297353CC}">
              <c16:uniqueId val="{00000003-E00A-4B98-90E3-741998607C81}"/>
            </c:ext>
          </c:extLst>
        </c:ser>
        <c:ser>
          <c:idx val="2"/>
          <c:order val="2"/>
          <c:tx>
            <c:strRef>
              <c:f>'Special patient data'!$I$165</c:f>
              <c:strCache>
                <c:ptCount val="1"/>
                <c:pt idx="0">
                  <c:v>SFC special patients</c:v>
                </c:pt>
              </c:strCache>
            </c:strRef>
          </c:tx>
          <c:spPr>
            <a:solidFill>
              <a:schemeClr val="accent3"/>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4-E00A-4B98-90E3-741998607C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'Special patient data'!$B$166:$B$169</c:f>
              <c:strCache>
                <c:ptCount val="4"/>
                <c:pt idx="0">
                  <c:v>Asian</c:v>
                </c:pt>
                <c:pt idx="1">
                  <c:v>Māori</c:v>
                </c:pt>
                <c:pt idx="2">
                  <c:v>Other</c:v>
                </c:pt>
                <c:pt idx="3">
                  <c:v>Pacific peoples</c:v>
                </c:pt>
              </c:strCache>
            </c:strRef>
          </c:cat>
          <c:val>
            <c:numRef>
              <c:f>'Special patient data'!$I$166:$I$169</c:f>
              <c:numCache>
                <c:formatCode>General</c:formatCode>
                <c:ptCount val="4"/>
                <c:pt idx="0">
                  <c:v>9</c:v>
                </c:pt>
                <c:pt idx="1">
                  <c:v>151</c:v>
                </c:pt>
                <c:pt idx="2">
                  <c:v>84</c:v>
                </c:pt>
                <c:pt idx="3">
                  <c:v>25</c:v>
                </c:pt>
              </c:numCache>
            </c:numRef>
          </c:val>
          <c:extLst>
            <c:ext xmlns:c16="http://schemas.microsoft.com/office/drawing/2014/chart" uri="{C3380CC4-5D6E-409C-BE32-E72D297353CC}">
              <c16:uniqueId val="{00000005-E00A-4B98-90E3-741998607C81}"/>
            </c:ext>
          </c:extLst>
        </c:ser>
        <c:dLbls>
          <c:dLblPos val="inEnd"/>
          <c:showLegendKey val="0"/>
          <c:showVal val="1"/>
          <c:showCatName val="0"/>
          <c:showSerName val="0"/>
          <c:showPercent val="0"/>
          <c:showBubbleSize val="0"/>
        </c:dLbls>
        <c:gapWidth val="40"/>
        <c:overlap val="-12"/>
        <c:axId val="526512488"/>
        <c:axId val="526513272"/>
      </c:barChart>
      <c:catAx>
        <c:axId val="526512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Ethnicity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6513272"/>
        <c:crosses val="autoZero"/>
        <c:auto val="1"/>
        <c:lblAlgn val="ctr"/>
        <c:lblOffset val="100"/>
        <c:noMultiLvlLbl val="0"/>
      </c:catAx>
      <c:valAx>
        <c:axId val="526513272"/>
        <c:scaling>
          <c:orientation val="minMax"/>
          <c:max val="250"/>
        </c:scaling>
        <c:delete val="0"/>
        <c:axPos val="l"/>
        <c:title>
          <c:tx>
            <c:rich>
              <a:bodyPr rot="0" spcFirstLastPara="1" vertOverflow="ellipsis"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Number</a:t>
                </a:r>
              </a:p>
            </c:rich>
          </c:tx>
          <c:layout>
            <c:manualLayout>
              <c:xMode val="edge"/>
              <c:yMode val="edge"/>
              <c:x val="0"/>
              <c:y val="1.1234352091057109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6512488"/>
        <c:crosses val="autoZero"/>
        <c:crossBetween val="between"/>
        <c:minorUnit val="12.5"/>
      </c:valAx>
      <c:spPr>
        <a:noFill/>
        <a:ln>
          <a:noFill/>
        </a:ln>
        <a:effectLst/>
      </c:spPr>
    </c:plotArea>
    <c:legend>
      <c:legendPos val="r"/>
      <c:layout>
        <c:manualLayout>
          <c:xMode val="edge"/>
          <c:yMode val="edge"/>
          <c:x val="0.65976093946862302"/>
          <c:y val="2.0399218270604263E-3"/>
          <c:w val="0.33723812845834361"/>
          <c:h val="0.216149896783530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161130520936553E-2"/>
          <c:y val="8.4282019347184503E-2"/>
          <c:w val="0.89269979663138133"/>
          <c:h val="0.68923815032717206"/>
        </c:manualLayout>
      </c:layout>
      <c:lineChart>
        <c:grouping val="standard"/>
        <c:varyColors val="0"/>
        <c:ser>
          <c:idx val="2"/>
          <c:order val="0"/>
          <c:tx>
            <c:strRef>
              <c:f>ECT!$F$7</c:f>
              <c:strCache>
                <c:ptCount val="1"/>
                <c:pt idx="0">
                  <c:v>Rate per 100,000 population</c:v>
                </c:pt>
              </c:strCache>
            </c:strRef>
          </c:tx>
          <c:spPr>
            <a:ln>
              <a:solidFill>
                <a:schemeClr val="accent1"/>
              </a:solidFill>
            </a:ln>
          </c:spPr>
          <c:marker>
            <c:symbol val="none"/>
          </c:marker>
          <c:cat>
            <c:strRef>
              <c:f>ECT!$C$8:$C$24</c:f>
              <c:strCach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2020/21</c:v>
                </c:pt>
              </c:strCache>
            </c:strRef>
          </c:cat>
          <c:val>
            <c:numRef>
              <c:f>ECT!$F$8:$F$24</c:f>
              <c:numCache>
                <c:formatCode>_-* #,##0.0_-;\-* #,##0.0_-;_-* "-"??_-;_-@_-</c:formatCode>
                <c:ptCount val="17"/>
                <c:pt idx="0">
                  <c:v>7.4915140911231664</c:v>
                </c:pt>
                <c:pt idx="1">
                  <c:v>5.3535749452692567</c:v>
                </c:pt>
                <c:pt idx="2">
                  <c:v>5.2745173402714132</c:v>
                </c:pt>
                <c:pt idx="3">
                  <c:v>4.7558080012369786</c:v>
                </c:pt>
                <c:pt idx="4">
                  <c:v>5.0443062103080516</c:v>
                </c:pt>
                <c:pt idx="5">
                  <c:v>5.4023236888445458</c:v>
                </c:pt>
                <c:pt idx="6">
                  <c:v>6.5065657163137347</c:v>
                </c:pt>
                <c:pt idx="7">
                  <c:v>5.9892013569496205</c:v>
                </c:pt>
                <c:pt idx="8">
                  <c:v>5.6529617721253125</c:v>
                </c:pt>
                <c:pt idx="9">
                  <c:v>5.4250779168579353</c:v>
                </c:pt>
                <c:pt idx="10">
                  <c:v>4.8504446240905414</c:v>
                </c:pt>
                <c:pt idx="11">
                  <c:v>5.3228092981632074</c:v>
                </c:pt>
                <c:pt idx="12">
                  <c:v>5.4774700289375771</c:v>
                </c:pt>
                <c:pt idx="13">
                  <c:v>5.3804976249671332</c:v>
                </c:pt>
                <c:pt idx="14">
                  <c:v>4.6655921666525284</c:v>
                </c:pt>
                <c:pt idx="15">
                  <c:v>4.5598559714458675</c:v>
                </c:pt>
                <c:pt idx="16">
                  <c:v>5.0554982447271053</c:v>
                </c:pt>
              </c:numCache>
            </c:numRef>
          </c:val>
          <c:smooth val="0"/>
          <c:extLst>
            <c:ext xmlns:c16="http://schemas.microsoft.com/office/drawing/2014/chart" uri="{C3380CC4-5D6E-409C-BE32-E72D297353CC}">
              <c16:uniqueId val="{00000000-C595-4B0E-A333-875CD2A0896F}"/>
            </c:ext>
          </c:extLst>
        </c:ser>
        <c:dLbls>
          <c:showLegendKey val="0"/>
          <c:showVal val="0"/>
          <c:showCatName val="0"/>
          <c:showSerName val="0"/>
          <c:showPercent val="0"/>
          <c:showBubbleSize val="0"/>
        </c:dLbls>
        <c:smooth val="0"/>
        <c:axId val="208336576"/>
        <c:axId val="208340888"/>
      </c:lineChart>
      <c:catAx>
        <c:axId val="208336576"/>
        <c:scaling>
          <c:orientation val="minMax"/>
        </c:scaling>
        <c:delete val="0"/>
        <c:axPos val="b"/>
        <c:title>
          <c:tx>
            <c:rich>
              <a:bodyPr/>
              <a:lstStyle/>
              <a:p>
                <a:pPr>
                  <a:defRPr b="0">
                    <a:solidFill>
                      <a:schemeClr val="tx1"/>
                    </a:solidFill>
                  </a:defRPr>
                </a:pPr>
                <a:r>
                  <a:rPr lang="en-NZ" b="0">
                    <a:solidFill>
                      <a:schemeClr val="tx1"/>
                    </a:solidFill>
                  </a:rPr>
                  <a:t>Year</a:t>
                </a:r>
              </a:p>
            </c:rich>
          </c:tx>
          <c:overlay val="0"/>
        </c:title>
        <c:numFmt formatCode="General" sourceLinked="1"/>
        <c:majorTickMark val="out"/>
        <c:minorTickMark val="none"/>
        <c:tickLblPos val="nextTo"/>
        <c:spPr>
          <a:ln>
            <a:solidFill>
              <a:schemeClr val="tx1"/>
            </a:solidFill>
          </a:ln>
        </c:spPr>
        <c:txPr>
          <a:bodyPr rot="-5400000" vert="horz"/>
          <a:lstStyle/>
          <a:p>
            <a:pPr>
              <a:defRPr>
                <a:solidFill>
                  <a:schemeClr val="tx1"/>
                </a:solidFill>
              </a:defRPr>
            </a:pPr>
            <a:endParaRPr lang="en-US"/>
          </a:p>
        </c:txPr>
        <c:crossAx val="208340888"/>
        <c:crosses val="autoZero"/>
        <c:auto val="1"/>
        <c:lblAlgn val="ctr"/>
        <c:lblOffset val="100"/>
        <c:noMultiLvlLbl val="0"/>
      </c:catAx>
      <c:valAx>
        <c:axId val="208340888"/>
        <c:scaling>
          <c:orientation val="minMax"/>
        </c:scaling>
        <c:delete val="0"/>
        <c:axPos val="l"/>
        <c:majorGridlines>
          <c:spPr>
            <a:ln>
              <a:noFill/>
            </a:ln>
          </c:spPr>
        </c:majorGridlines>
        <c:title>
          <c:tx>
            <c:rich>
              <a:bodyPr rot="0" vert="horz"/>
              <a:lstStyle/>
              <a:p>
                <a:pPr>
                  <a:defRPr b="0">
                    <a:solidFill>
                      <a:schemeClr val="tx1"/>
                    </a:solidFill>
                  </a:defRPr>
                </a:pPr>
                <a:r>
                  <a:rPr lang="en-NZ" b="0">
                    <a:solidFill>
                      <a:schemeClr val="tx1"/>
                    </a:solidFill>
                  </a:rPr>
                  <a:t>Rate</a:t>
                </a:r>
              </a:p>
            </c:rich>
          </c:tx>
          <c:layout>
            <c:manualLayout>
              <c:xMode val="edge"/>
              <c:yMode val="edge"/>
              <c:x val="0"/>
              <c:y val="4.7594977166573232E-4"/>
            </c:manualLayout>
          </c:layout>
          <c:overlay val="0"/>
        </c:title>
        <c:numFmt formatCode="_-* #,##0.0_-;\-* #,##0.0_-;_-* &quot;-&quot;??_-;_-@_-" sourceLinked="1"/>
        <c:majorTickMark val="out"/>
        <c:minorTickMark val="none"/>
        <c:tickLblPos val="nextTo"/>
        <c:spPr>
          <a:ln>
            <a:solidFill>
              <a:schemeClr val="tx1"/>
            </a:solidFill>
          </a:ln>
        </c:spPr>
        <c:crossAx val="208336576"/>
        <c:crosses val="autoZero"/>
        <c:crossBetween val="between"/>
      </c:valAx>
    </c:plotArea>
    <c:plotVisOnly val="1"/>
    <c:dispBlanksAs val="gap"/>
    <c:showDLblsOverMax val="0"/>
  </c:chart>
  <c:spPr>
    <a:noFill/>
    <a:ln>
      <a:noFill/>
    </a:ln>
  </c:sp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42483219954253E-2"/>
          <c:y val="6.5666963509932508E-2"/>
          <c:w val="0.91820113722212815"/>
          <c:h val="0.5661577022707156"/>
        </c:manualLayout>
      </c:layout>
      <c:lineChart>
        <c:grouping val="standard"/>
        <c:varyColors val="0"/>
        <c:ser>
          <c:idx val="0"/>
          <c:order val="0"/>
          <c:tx>
            <c:strRef>
              <c:f>'Error bars'!$B$327</c:f>
              <c:strCache>
                <c:ptCount val="1"/>
                <c:pt idx="0">
                  <c:v>Number of people</c:v>
                </c:pt>
              </c:strCache>
            </c:strRef>
          </c:tx>
          <c:spPr>
            <a:ln>
              <a:noFill/>
            </a:ln>
          </c:spPr>
          <c:errBars>
            <c:errDir val="y"/>
            <c:errBarType val="both"/>
            <c:errValType val="cust"/>
            <c:noEndCap val="0"/>
            <c:plus>
              <c:numRef>
                <c:f>('Error bars'!$F$329:$F$339,'Error bars'!$F$341,'Error bars'!$F$343:$F$346,'Error bars'!$F$348)</c:f>
                <c:numCache>
                  <c:formatCode>General</c:formatCode>
                  <c:ptCount val="17"/>
                  <c:pt idx="0">
                    <c:v>2.6486636682500735</c:v>
                  </c:pt>
                  <c:pt idx="1">
                    <c:v>5.6144679874909205</c:v>
                  </c:pt>
                  <c:pt idx="2">
                    <c:v>2.5463005944835557</c:v>
                  </c:pt>
                  <c:pt idx="3">
                    <c:v>5.1277256596178447</c:v>
                  </c:pt>
                  <c:pt idx="4">
                    <c:v>2.5300948787263051</c:v>
                  </c:pt>
                  <c:pt idx="5">
                    <c:v>5.3859352167815135</c:v>
                  </c:pt>
                  <c:pt idx="6">
                    <c:v>7.5877428253332599</c:v>
                  </c:pt>
                  <c:pt idx="7">
                    <c:v>9.9486959191429847</c:v>
                  </c:pt>
                  <c:pt idx="8">
                    <c:v>5.1321192281891648</c:v>
                  </c:pt>
                  <c:pt idx="9">
                    <c:v>7.5038252494460398</c:v>
                  </c:pt>
                  <c:pt idx="10">
                    <c:v>5.1720478073359617</c:v>
                  </c:pt>
                  <c:pt idx="11">
                    <c:v>4.8888743143482394</c:v>
                  </c:pt>
                  <c:pt idx="12">
                    <c:v>7.7000197778379</c:v>
                  </c:pt>
                  <c:pt idx="13">
                    <c:v>4.3822716321867325</c:v>
                  </c:pt>
                  <c:pt idx="14">
                    <c:v>14.833878024381658</c:v>
                  </c:pt>
                  <c:pt idx="15">
                    <c:v>2.3552585640961476</c:v>
                  </c:pt>
                  <c:pt idx="16">
                    <c:v>9.3325537014225297</c:v>
                  </c:pt>
                </c:numCache>
                <c:extLst/>
              </c:numRef>
            </c:plus>
            <c:minus>
              <c:numRef>
                <c:f>('Error bars'!$E$329:$E$339,'Error bars'!$E$341,'Error bars'!$E$343:$E$346,'Error bars'!$E$348)</c:f>
                <c:numCache>
                  <c:formatCode>General</c:formatCode>
                  <c:ptCount val="17"/>
                  <c:pt idx="0">
                    <c:v>1.6567422933325759</c:v>
                  </c:pt>
                  <c:pt idx="1">
                    <c:v>3.7304264859564693</c:v>
                  </c:pt>
                  <c:pt idx="2">
                    <c:v>1.6918410079158934</c:v>
                  </c:pt>
                  <c:pt idx="3">
                    <c:v>3.6010039375770218</c:v>
                  </c:pt>
                  <c:pt idx="4">
                    <c:v>1.6971443238269373</c:v>
                  </c:pt>
                  <c:pt idx="5">
                    <c:v>2.4884796102343651</c:v>
                  </c:pt>
                  <c:pt idx="6">
                    <c:v>4.4088986935394647</c:v>
                  </c:pt>
                  <c:pt idx="7">
                    <c:v>5.6407447632320942</c:v>
                  </c:pt>
                  <c:pt idx="8">
                    <c:v>2.3712082568033863</c:v>
                  </c:pt>
                  <c:pt idx="9">
                    <c:v>4.3601379356683765</c:v>
                  </c:pt>
                  <c:pt idx="10">
                    <c:v>2.5328752724444064</c:v>
                  </c:pt>
                  <c:pt idx="11">
                    <c:v>3.4751156105311587</c:v>
                  </c:pt>
                  <c:pt idx="12">
                    <c:v>3.5576629581150527</c:v>
                  </c:pt>
                  <c:pt idx="13">
                    <c:v>3.2622007592570768</c:v>
                  </c:pt>
                  <c:pt idx="14">
                    <c:v>3.8676566804362369</c:v>
                  </c:pt>
                  <c:pt idx="15">
                    <c:v>1.5798671175575953</c:v>
                  </c:pt>
                  <c:pt idx="16">
                    <c:v>1.4441037128830996</c:v>
                  </c:pt>
                </c:numCache>
                <c:extLst/>
              </c:numRef>
            </c:minus>
          </c:errBars>
          <c:cat>
            <c:strRef>
              <c:f>('Error bars'!$B$47:$B$57,'Error bars'!$B$59,'Error bars'!$B$61:$B$64,'Error bars'!$B$66:$B$67)</c:f>
              <c:strCache>
                <c:ptCount val="18"/>
                <c:pt idx="0">
                  <c:v>Auckland </c:v>
                </c:pt>
                <c:pt idx="1">
                  <c:v>Bay of Plenty</c:v>
                </c:pt>
                <c:pt idx="2">
                  <c:v>Canterbury</c:v>
                </c:pt>
                <c:pt idx="3">
                  <c:v>Capital &amp; Coast </c:v>
                </c:pt>
                <c:pt idx="4">
                  <c:v>Counties Manukau</c:v>
                </c:pt>
                <c:pt idx="5">
                  <c:v>Hawke's Bay</c:v>
                </c:pt>
                <c:pt idx="6">
                  <c:v>Hutt Valley</c:v>
                </c:pt>
                <c:pt idx="7">
                  <c:v>Lakes</c:v>
                </c:pt>
                <c:pt idx="8">
                  <c:v>MidCentral</c:v>
                </c:pt>
                <c:pt idx="9">
                  <c:v>Nelson Marlborough</c:v>
                </c:pt>
                <c:pt idx="10">
                  <c:v>Northland</c:v>
                </c:pt>
                <c:pt idx="11">
                  <c:v>Southern</c:v>
                </c:pt>
                <c:pt idx="12">
                  <c:v>Taranaki</c:v>
                </c:pt>
                <c:pt idx="13">
                  <c:v>Waikato</c:v>
                </c:pt>
                <c:pt idx="14">
                  <c:v>Wairarapa</c:v>
                </c:pt>
                <c:pt idx="15">
                  <c:v>Waitematā</c:v>
                </c:pt>
                <c:pt idx="16">
                  <c:v>Whanganui</c:v>
                </c:pt>
                <c:pt idx="17">
                  <c:v>National average</c:v>
                </c:pt>
              </c:strCache>
              <c:extLst/>
            </c:strRef>
          </c:cat>
          <c:val>
            <c:numRef>
              <c:f>('Error bars'!$C$329:$C$339,'Error bars'!$C$341,'Error bars'!$C$343:$C$346,'Error bars'!$C$348)</c:f>
              <c:numCache>
                <c:formatCode>0</c:formatCode>
                <c:ptCount val="17"/>
                <c:pt idx="0">
                  <c:v>3.1433567120488788</c:v>
                </c:pt>
                <c:pt idx="1">
                  <c:v>7.8885090717854336</c:v>
                </c:pt>
                <c:pt idx="2">
                  <c:v>3.5776346723908818</c:v>
                </c:pt>
                <c:pt idx="3">
                  <c:v>8.5776429862451362</c:v>
                </c:pt>
                <c:pt idx="4">
                  <c:v>3.6575836672263877</c:v>
                </c:pt>
                <c:pt idx="5">
                  <c:v>3.3454139949818793</c:v>
                </c:pt>
                <c:pt idx="6">
                  <c:v>7.4971885542921406</c:v>
                </c:pt>
                <c:pt idx="7">
                  <c:v>9.2905405405405403</c:v>
                </c:pt>
                <c:pt idx="8">
                  <c:v>3.1877590054191902</c:v>
                </c:pt>
                <c:pt idx="9">
                  <c:v>7.4142724745134387</c:v>
                </c:pt>
                <c:pt idx="10">
                  <c:v>3.5727045373347623</c:v>
                </c:pt>
                <c:pt idx="11">
                  <c:v>8.522485156671685</c:v>
                </c:pt>
                <c:pt idx="12">
                  <c:v>4.7827819848545232</c:v>
                </c:pt>
                <c:pt idx="13">
                  <c:v>9.0528459884576211</c:v>
                </c:pt>
                <c:pt idx="14">
                  <c:v>4.0787192821454061</c:v>
                </c:pt>
                <c:pt idx="15">
                  <c:v>3.4048348655090228</c:v>
                </c:pt>
                <c:pt idx="16">
                  <c:v>1.4513788098693758</c:v>
                </c:pt>
              </c:numCache>
              <c:extLst/>
            </c:numRef>
          </c:val>
          <c:smooth val="0"/>
          <c:extLst>
            <c:ext xmlns:c16="http://schemas.microsoft.com/office/drawing/2014/chart" uri="{C3380CC4-5D6E-409C-BE32-E72D297353CC}">
              <c16:uniqueId val="{00000000-8827-4DFC-9C49-7E870D7D9328}"/>
            </c:ext>
          </c:extLst>
        </c:ser>
        <c:ser>
          <c:idx val="1"/>
          <c:order val="1"/>
          <c:tx>
            <c:v>National Average</c:v>
          </c:tx>
          <c:marker>
            <c:symbol val="none"/>
          </c:marker>
          <c:cat>
            <c:strLit>
              <c:ptCount val="17"/>
              <c:pt idx="0">
                <c:v>Auckland </c:v>
              </c:pt>
              <c:pt idx="1">
                <c:v>Bay of Plenty</c:v>
              </c:pt>
              <c:pt idx="2">
                <c:v>Canterbury</c:v>
              </c:pt>
              <c:pt idx="3">
                <c:v>Capital &amp; Coast </c:v>
              </c:pt>
              <c:pt idx="4">
                <c:v>Counties Manukau</c:v>
              </c:pt>
              <c:pt idx="5">
                <c:v>Hawke's Bay</c:v>
              </c:pt>
              <c:pt idx="6">
                <c:v>Hutt Valley</c:v>
              </c:pt>
              <c:pt idx="7">
                <c:v>Lakes</c:v>
              </c:pt>
              <c:pt idx="8">
                <c:v>MidCentral</c:v>
              </c:pt>
              <c:pt idx="9">
                <c:v>Nelson Marlborough</c:v>
              </c:pt>
              <c:pt idx="10">
                <c:v>Northland</c:v>
              </c:pt>
              <c:pt idx="11">
                <c:v>Southern</c:v>
              </c:pt>
              <c:pt idx="12">
                <c:v>Taranaki</c:v>
              </c:pt>
              <c:pt idx="13">
                <c:v>Waikato</c:v>
              </c:pt>
              <c:pt idx="14">
                <c:v>Wairarapa</c:v>
              </c:pt>
              <c:pt idx="15">
                <c:v>Waitematā</c:v>
              </c:pt>
              <c:pt idx="16">
                <c:v>Whanganui</c:v>
              </c:pt>
              <c:extLst>
                <c:ext xmlns:c15="http://schemas.microsoft.com/office/drawing/2012/chart" uri="{02D57815-91ED-43cb-92C2-25804820EDAC}">
                  <c15:autoCat val="1"/>
                </c:ext>
              </c:extLst>
            </c:strLit>
          </c:cat>
          <c:val>
            <c:numRef>
              <c:f>('Error bars'!$D$329:$D$339,'Error bars'!$D$341,'Error bars'!$D$343:$D$346,'Error bars'!$D$348)</c:f>
              <c:numCache>
                <c:formatCode>0</c:formatCode>
                <c:ptCount val="17"/>
                <c:pt idx="0">
                  <c:v>5.0554982447271053</c:v>
                </c:pt>
                <c:pt idx="1">
                  <c:v>5.0554982447271053</c:v>
                </c:pt>
                <c:pt idx="2">
                  <c:v>5.0554982447271053</c:v>
                </c:pt>
                <c:pt idx="3">
                  <c:v>5.0554982447271053</c:v>
                </c:pt>
                <c:pt idx="4">
                  <c:v>5.0554982447271053</c:v>
                </c:pt>
                <c:pt idx="5">
                  <c:v>5.0554982447271053</c:v>
                </c:pt>
                <c:pt idx="6">
                  <c:v>5.0554982447271053</c:v>
                </c:pt>
                <c:pt idx="7">
                  <c:v>5.0554982447271053</c:v>
                </c:pt>
                <c:pt idx="8">
                  <c:v>5.0554982447271053</c:v>
                </c:pt>
                <c:pt idx="9">
                  <c:v>5.0554982447271053</c:v>
                </c:pt>
                <c:pt idx="10">
                  <c:v>5.0554982447271053</c:v>
                </c:pt>
                <c:pt idx="11">
                  <c:v>5.0554982447271053</c:v>
                </c:pt>
                <c:pt idx="12">
                  <c:v>5.0554982447271053</c:v>
                </c:pt>
                <c:pt idx="13">
                  <c:v>5.0554982447271053</c:v>
                </c:pt>
                <c:pt idx="14">
                  <c:v>5.0554982447271053</c:v>
                </c:pt>
                <c:pt idx="15">
                  <c:v>5.0554982447271053</c:v>
                </c:pt>
                <c:pt idx="16">
                  <c:v>5.0554982447271053</c:v>
                </c:pt>
              </c:numCache>
              <c:extLst/>
            </c:numRef>
          </c:val>
          <c:smooth val="0"/>
          <c:extLst>
            <c:ext xmlns:c16="http://schemas.microsoft.com/office/drawing/2014/chart" uri="{C3380CC4-5D6E-409C-BE32-E72D297353CC}">
              <c16:uniqueId val="{00000001-8827-4DFC-9C49-7E870D7D9328}"/>
            </c:ext>
          </c:extLst>
        </c:ser>
        <c:dLbls>
          <c:showLegendKey val="0"/>
          <c:showVal val="0"/>
          <c:showCatName val="0"/>
          <c:showSerName val="0"/>
          <c:showPercent val="0"/>
          <c:showBubbleSize val="0"/>
        </c:dLbls>
        <c:marker val="1"/>
        <c:smooth val="0"/>
        <c:axId val="555313160"/>
        <c:axId val="555320608"/>
      </c:lineChart>
      <c:catAx>
        <c:axId val="555313160"/>
        <c:scaling>
          <c:orientation val="minMax"/>
        </c:scaling>
        <c:delete val="0"/>
        <c:axPos val="b"/>
        <c:title>
          <c:tx>
            <c:rich>
              <a:bodyPr/>
              <a:lstStyle/>
              <a:p>
                <a:pPr>
                  <a:defRPr b="0"/>
                </a:pPr>
                <a:r>
                  <a:rPr lang="en-NZ" b="0"/>
                  <a:t>DHB of domicile</a:t>
                </a:r>
              </a:p>
            </c:rich>
          </c:tx>
          <c:layout>
            <c:manualLayout>
              <c:xMode val="edge"/>
              <c:yMode val="edge"/>
              <c:x val="0.37994769266737738"/>
              <c:y val="0.94123656282095169"/>
            </c:manualLayout>
          </c:layout>
          <c:overlay val="0"/>
        </c:title>
        <c:numFmt formatCode="General" sourceLinked="0"/>
        <c:majorTickMark val="out"/>
        <c:minorTickMark val="none"/>
        <c:tickLblPos val="nextTo"/>
        <c:txPr>
          <a:bodyPr rot="-5400000" vert="horz"/>
          <a:lstStyle/>
          <a:p>
            <a:pPr>
              <a:defRPr/>
            </a:pPr>
            <a:endParaRPr lang="en-US"/>
          </a:p>
        </c:txPr>
        <c:crossAx val="555320608"/>
        <c:crosses val="autoZero"/>
        <c:auto val="1"/>
        <c:lblAlgn val="ctr"/>
        <c:lblOffset val="100"/>
        <c:noMultiLvlLbl val="0"/>
      </c:catAx>
      <c:valAx>
        <c:axId val="555320608"/>
        <c:scaling>
          <c:orientation val="minMax"/>
        </c:scaling>
        <c:delete val="0"/>
        <c:axPos val="l"/>
        <c:title>
          <c:tx>
            <c:rich>
              <a:bodyPr rot="0" vert="horz"/>
              <a:lstStyle/>
              <a:p>
                <a:pPr>
                  <a:defRPr/>
                </a:pPr>
                <a:r>
                  <a:rPr lang="en-NZ" b="0"/>
                  <a:t>Number</a:t>
                </a:r>
              </a:p>
            </c:rich>
          </c:tx>
          <c:layout>
            <c:manualLayout>
              <c:xMode val="edge"/>
              <c:yMode val="edge"/>
              <c:x val="0"/>
              <c:y val="2.9138459789466767E-3"/>
            </c:manualLayout>
          </c:layout>
          <c:overlay val="0"/>
        </c:title>
        <c:numFmt formatCode="0" sourceLinked="1"/>
        <c:majorTickMark val="out"/>
        <c:minorTickMark val="out"/>
        <c:tickLblPos val="nextTo"/>
        <c:spPr>
          <a:ln/>
        </c:spPr>
        <c:crossAx val="555313160"/>
        <c:crosses val="autoZero"/>
        <c:crossBetween val="between"/>
        <c:minorUnit val="2.5"/>
      </c:valAx>
    </c:plotArea>
    <c:legend>
      <c:legendPos val="r"/>
      <c:layout>
        <c:manualLayout>
          <c:xMode val="edge"/>
          <c:yMode val="edge"/>
          <c:x val="0.39443724254166879"/>
          <c:y val="1.1286850013313646E-3"/>
          <c:w val="0.60334693649666493"/>
          <c:h val="5.8611890904941219E-2"/>
        </c:manualLayout>
      </c:layout>
      <c:overlay val="0"/>
    </c:legend>
    <c:plotVisOnly val="1"/>
    <c:dispBlanksAs val="gap"/>
    <c:showDLblsOverMax val="0"/>
  </c:chart>
  <c:spPr>
    <a:noFill/>
    <a:ln>
      <a:noFill/>
    </a:ln>
  </c:sp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715413564662708E-2"/>
          <c:y val="7.9569701674614621E-2"/>
          <c:w val="0.91491055585700798"/>
          <c:h val="0.52192436508816675"/>
        </c:manualLayout>
      </c:layout>
      <c:lineChart>
        <c:grouping val="standard"/>
        <c:varyColors val="0"/>
        <c:ser>
          <c:idx val="0"/>
          <c:order val="0"/>
          <c:tx>
            <c:strRef>
              <c:f>'Error bars'!$B$363</c:f>
              <c:strCache>
                <c:ptCount val="1"/>
                <c:pt idx="0">
                  <c:v>Number of treatments</c:v>
                </c:pt>
              </c:strCache>
            </c:strRef>
          </c:tx>
          <c:spPr>
            <a:ln>
              <a:noFill/>
            </a:ln>
          </c:spPr>
          <c:errBars>
            <c:errDir val="y"/>
            <c:errBarType val="both"/>
            <c:errValType val="cust"/>
            <c:noEndCap val="0"/>
            <c:plus>
              <c:numRef>
                <c:f>'Error bars'!$F$365:$F$384</c:f>
                <c:numCache>
                  <c:formatCode>General</c:formatCode>
                  <c:ptCount val="17"/>
                  <c:pt idx="0">
                    <c:v>7.6495664483316475</c:v>
                  </c:pt>
                  <c:pt idx="1">
                    <c:v>18.034014375954044</c:v>
                  </c:pt>
                  <c:pt idx="2">
                    <c:v>5.7921370993945693</c:v>
                  </c:pt>
                  <c:pt idx="3">
                    <c:v>15.259051586681323</c:v>
                  </c:pt>
                  <c:pt idx="4">
                    <c:v>6.2234879208390694</c:v>
                  </c:pt>
                  <c:pt idx="5">
                    <c:v>13.703300385719807</c:v>
                  </c:pt>
                  <c:pt idx="6">
                    <c:v>19.716126572362228</c:v>
                  </c:pt>
                  <c:pt idx="7">
                    <c:v>24.931231772275069</c:v>
                  </c:pt>
                  <c:pt idx="8">
                    <c:v>12.811176988767876</c:v>
                  </c:pt>
                  <c:pt idx="9">
                    <c:v>20.267570864638813</c:v>
                  </c:pt>
                  <c:pt idx="10">
                    <c:v>11.303634841180084</c:v>
                  </c:pt>
                  <c:pt idx="11">
                    <c:v>16.882401981138145</c:v>
                  </c:pt>
                  <c:pt idx="12">
                    <c:v>19.590967908958518</c:v>
                  </c:pt>
                  <c:pt idx="13">
                    <c:v>12.83764656437711</c:v>
                  </c:pt>
                  <c:pt idx="14">
                    <c:v>35.096005860991596</c:v>
                  </c:pt>
                  <c:pt idx="15">
                    <c:v>7.1868791463833119</c:v>
                  </c:pt>
                  <c:pt idx="16">
                    <c:v>24.977251776396564</c:v>
                  </c:pt>
                </c:numCache>
                <c:extLst/>
              </c:numRef>
            </c:plus>
            <c:minus>
              <c:numRef>
                <c:f>'Error bars'!$E$365:$E$384</c:f>
                <c:numCache>
                  <c:formatCode>General</c:formatCode>
                  <c:ptCount val="17"/>
                  <c:pt idx="0">
                    <c:v>6.6973929693838841</c:v>
                  </c:pt>
                  <c:pt idx="1">
                    <c:v>16.220087478928633</c:v>
                  </c:pt>
                  <c:pt idx="2">
                    <c:v>4.964065794069608</c:v>
                  </c:pt>
                  <c:pt idx="3">
                    <c:v>13.780595216642126</c:v>
                  </c:pt>
                  <c:pt idx="4">
                    <c:v>5.4170750242469055</c:v>
                  </c:pt>
                  <c:pt idx="5">
                    <c:v>10.968820303833247</c:v>
                  </c:pt>
                  <c:pt idx="6">
                    <c:v>16.673991219919664</c:v>
                  </c:pt>
                  <c:pt idx="7">
                    <c:v>20.811611919485287</c:v>
                  </c:pt>
                  <c:pt idx="8">
                    <c:v>10.203904842468383</c:v>
                  </c:pt>
                  <c:pt idx="9">
                    <c:v>17.261906597755356</c:v>
                  </c:pt>
                  <c:pt idx="10">
                    <c:v>8.7913936284764596</c:v>
                  </c:pt>
                  <c:pt idx="11">
                    <c:v>15.514696959069852</c:v>
                  </c:pt>
                  <c:pt idx="12">
                    <c:v>15.681609577461089</c:v>
                  </c:pt>
                  <c:pt idx="13">
                    <c:v>11.747384292237129</c:v>
                  </c:pt>
                  <c:pt idx="14">
                    <c:v>24.946985746162404</c:v>
                  </c:pt>
                  <c:pt idx="15">
                    <c:v>6.4391439634305456</c:v>
                  </c:pt>
                  <c:pt idx="16">
                    <c:v>17.754360610494533</c:v>
                  </c:pt>
                </c:numCache>
                <c:extLst/>
              </c:numRef>
            </c:minus>
          </c:errBars>
          <c:cat>
            <c:strRef>
              <c:f>'Error bars'!$B$47:$B$67</c:f>
              <c:strCache>
                <c:ptCount val="18"/>
                <c:pt idx="0">
                  <c:v>Auckland </c:v>
                </c:pt>
                <c:pt idx="1">
                  <c:v>Bay of Plenty</c:v>
                </c:pt>
                <c:pt idx="2">
                  <c:v>Canterbury</c:v>
                </c:pt>
                <c:pt idx="3">
                  <c:v>Capital &amp; Coast </c:v>
                </c:pt>
                <c:pt idx="4">
                  <c:v>Counties Manukau</c:v>
                </c:pt>
                <c:pt idx="5">
                  <c:v>Hawke's Bay</c:v>
                </c:pt>
                <c:pt idx="6">
                  <c:v>Hutt Valley</c:v>
                </c:pt>
                <c:pt idx="7">
                  <c:v>Lakes</c:v>
                </c:pt>
                <c:pt idx="8">
                  <c:v>MidCentral</c:v>
                </c:pt>
                <c:pt idx="9">
                  <c:v>Nelson Marlborough</c:v>
                </c:pt>
                <c:pt idx="10">
                  <c:v>Northland</c:v>
                </c:pt>
                <c:pt idx="11">
                  <c:v>Southern</c:v>
                </c:pt>
                <c:pt idx="12">
                  <c:v>Taranaki</c:v>
                </c:pt>
                <c:pt idx="13">
                  <c:v>Waikato</c:v>
                </c:pt>
                <c:pt idx="14">
                  <c:v>Wairarapa</c:v>
                </c:pt>
                <c:pt idx="15">
                  <c:v>Waitematā</c:v>
                </c:pt>
                <c:pt idx="16">
                  <c:v>Whanganui</c:v>
                </c:pt>
                <c:pt idx="17">
                  <c:v>National average</c:v>
                </c:pt>
              </c:strCache>
              <c:extLst/>
            </c:strRef>
          </c:cat>
          <c:val>
            <c:numRef>
              <c:f>'Error bars'!$C$365:$C$384</c:f>
              <c:numCache>
                <c:formatCode>0</c:formatCode>
                <c:ptCount val="17"/>
                <c:pt idx="0">
                  <c:v>38.309659928095712</c:v>
                </c:pt>
                <c:pt idx="1">
                  <c:v>114.94684647458773</c:v>
                </c:pt>
                <c:pt idx="2">
                  <c:v>24.702715595079901</c:v>
                </c:pt>
                <c:pt idx="3">
                  <c:v>101.39999387311215</c:v>
                </c:pt>
                <c:pt idx="4">
                  <c:v>29.759430746978339</c:v>
                </c:pt>
                <c:pt idx="5">
                  <c:v>39.029829941455255</c:v>
                </c:pt>
                <c:pt idx="6">
                  <c:v>76.84618268149444</c:v>
                </c:pt>
                <c:pt idx="7">
                  <c:v>89.527027027027017</c:v>
                </c:pt>
                <c:pt idx="8">
                  <c:v>35.596642227180958</c:v>
                </c:pt>
                <c:pt idx="9">
                  <c:v>82.792709298733399</c:v>
                </c:pt>
                <c:pt idx="10">
                  <c:v>28.071249936201703</c:v>
                </c:pt>
                <c:pt idx="11">
                  <c:v>136.64384534530268</c:v>
                </c:pt>
                <c:pt idx="12">
                  <c:v>55.799123156636114</c:v>
                </c:pt>
                <c:pt idx="13">
                  <c:v>98.676021274188074</c:v>
                </c:pt>
                <c:pt idx="14">
                  <c:v>61.180789232181098</c:v>
                </c:pt>
                <c:pt idx="15">
                  <c:v>44.108088030457793</c:v>
                </c:pt>
                <c:pt idx="16">
                  <c:v>43.541364296081277</c:v>
                </c:pt>
              </c:numCache>
              <c:extLst/>
            </c:numRef>
          </c:val>
          <c:smooth val="0"/>
          <c:extLst>
            <c:ext xmlns:c16="http://schemas.microsoft.com/office/drawing/2014/chart" uri="{C3380CC4-5D6E-409C-BE32-E72D297353CC}">
              <c16:uniqueId val="{00000000-0213-41CA-95C3-9B929DF3971F}"/>
            </c:ext>
          </c:extLst>
        </c:ser>
        <c:ser>
          <c:idx val="1"/>
          <c:order val="1"/>
          <c:tx>
            <c:v>National Average</c:v>
          </c:tx>
          <c:marker>
            <c:symbol val="none"/>
          </c:marker>
          <c:cat>
            <c:strLit>
              <c:ptCount val="17"/>
              <c:pt idx="0">
                <c:v>Auckland </c:v>
              </c:pt>
              <c:pt idx="1">
                <c:v>Bay of Plenty</c:v>
              </c:pt>
              <c:pt idx="2">
                <c:v>Canterbury</c:v>
              </c:pt>
              <c:pt idx="3">
                <c:v>Capital &amp; Coast </c:v>
              </c:pt>
              <c:pt idx="4">
                <c:v>Counties Manukau</c:v>
              </c:pt>
              <c:pt idx="5">
                <c:v>Hawke's Bay</c:v>
              </c:pt>
              <c:pt idx="6">
                <c:v>Hutt Valley</c:v>
              </c:pt>
              <c:pt idx="7">
                <c:v>Lakes</c:v>
              </c:pt>
              <c:pt idx="8">
                <c:v>MidCentral</c:v>
              </c:pt>
              <c:pt idx="9">
                <c:v>Nelson Marlborough</c:v>
              </c:pt>
              <c:pt idx="10">
                <c:v>Northland</c:v>
              </c:pt>
              <c:pt idx="11">
                <c:v>Southern</c:v>
              </c:pt>
              <c:pt idx="12">
                <c:v>Taranaki</c:v>
              </c:pt>
              <c:pt idx="13">
                <c:v>Waikato</c:v>
              </c:pt>
              <c:pt idx="14">
                <c:v>Wairarapa</c:v>
              </c:pt>
              <c:pt idx="15">
                <c:v>Waitematā</c:v>
              </c:pt>
              <c:pt idx="16">
                <c:v>Whanganui</c:v>
              </c:pt>
              <c:extLst>
                <c:ext xmlns:c15="http://schemas.microsoft.com/office/drawing/2012/chart" uri="{02D57815-91ED-43cb-92C2-25804820EDAC}">
                  <c15:autoCat val="1"/>
                </c:ext>
              </c:extLst>
            </c:strLit>
          </c:cat>
          <c:val>
            <c:numRef>
              <c:f>'Error bars'!$D$365:$D$384</c:f>
              <c:numCache>
                <c:formatCode>0</c:formatCode>
                <c:ptCount val="17"/>
                <c:pt idx="0">
                  <c:v>59.397224550982941</c:v>
                </c:pt>
                <c:pt idx="1">
                  <c:v>59.397224550982941</c:v>
                </c:pt>
                <c:pt idx="2">
                  <c:v>59.397224550982941</c:v>
                </c:pt>
                <c:pt idx="3">
                  <c:v>59.397224550982941</c:v>
                </c:pt>
                <c:pt idx="4">
                  <c:v>59.397224550982941</c:v>
                </c:pt>
                <c:pt idx="5">
                  <c:v>59.397224550982941</c:v>
                </c:pt>
                <c:pt idx="6">
                  <c:v>59.397224550982941</c:v>
                </c:pt>
                <c:pt idx="7">
                  <c:v>59.397224550982941</c:v>
                </c:pt>
                <c:pt idx="8">
                  <c:v>59.397224550982941</c:v>
                </c:pt>
                <c:pt idx="9">
                  <c:v>59.397224550982941</c:v>
                </c:pt>
                <c:pt idx="10">
                  <c:v>59.397224550982941</c:v>
                </c:pt>
                <c:pt idx="11">
                  <c:v>59.397224550982941</c:v>
                </c:pt>
                <c:pt idx="12">
                  <c:v>59.397224550982941</c:v>
                </c:pt>
                <c:pt idx="13">
                  <c:v>59.397224550982941</c:v>
                </c:pt>
                <c:pt idx="14">
                  <c:v>59.397224550982941</c:v>
                </c:pt>
                <c:pt idx="15">
                  <c:v>59.397224550982941</c:v>
                </c:pt>
                <c:pt idx="16">
                  <c:v>59.397224550982941</c:v>
                </c:pt>
              </c:numCache>
              <c:extLst/>
            </c:numRef>
          </c:val>
          <c:smooth val="0"/>
          <c:extLst>
            <c:ext xmlns:c16="http://schemas.microsoft.com/office/drawing/2014/chart" uri="{C3380CC4-5D6E-409C-BE32-E72D297353CC}">
              <c16:uniqueId val="{00000001-0213-41CA-95C3-9B929DF3971F}"/>
            </c:ext>
          </c:extLst>
        </c:ser>
        <c:dLbls>
          <c:showLegendKey val="0"/>
          <c:showVal val="0"/>
          <c:showCatName val="0"/>
          <c:showSerName val="0"/>
          <c:showPercent val="0"/>
          <c:showBubbleSize val="0"/>
        </c:dLbls>
        <c:marker val="1"/>
        <c:smooth val="0"/>
        <c:axId val="555320216"/>
        <c:axId val="555314728"/>
      </c:lineChart>
      <c:catAx>
        <c:axId val="555320216"/>
        <c:scaling>
          <c:orientation val="minMax"/>
        </c:scaling>
        <c:delete val="0"/>
        <c:axPos val="b"/>
        <c:title>
          <c:tx>
            <c:rich>
              <a:bodyPr/>
              <a:lstStyle/>
              <a:p>
                <a:pPr>
                  <a:defRPr b="0"/>
                </a:pPr>
                <a:r>
                  <a:rPr lang="en-NZ" b="0"/>
                  <a:t>DHB of domicile</a:t>
                </a:r>
              </a:p>
            </c:rich>
          </c:tx>
          <c:layout>
            <c:manualLayout>
              <c:xMode val="edge"/>
              <c:yMode val="edge"/>
              <c:x val="0.38824044623493636"/>
              <c:y val="0.94091100108331338"/>
            </c:manualLayout>
          </c:layout>
          <c:overlay val="0"/>
        </c:title>
        <c:numFmt formatCode="General" sourceLinked="0"/>
        <c:majorTickMark val="out"/>
        <c:minorTickMark val="none"/>
        <c:tickLblPos val="nextTo"/>
        <c:txPr>
          <a:bodyPr rot="-5400000" vert="horz"/>
          <a:lstStyle/>
          <a:p>
            <a:pPr>
              <a:defRPr/>
            </a:pPr>
            <a:endParaRPr lang="en-US"/>
          </a:p>
        </c:txPr>
        <c:crossAx val="555314728"/>
        <c:crosses val="autoZero"/>
        <c:auto val="1"/>
        <c:lblAlgn val="ctr"/>
        <c:lblOffset val="100"/>
        <c:noMultiLvlLbl val="0"/>
      </c:catAx>
      <c:valAx>
        <c:axId val="555314728"/>
        <c:scaling>
          <c:orientation val="minMax"/>
        </c:scaling>
        <c:delete val="0"/>
        <c:axPos val="l"/>
        <c:title>
          <c:tx>
            <c:rich>
              <a:bodyPr rot="0" vert="horz"/>
              <a:lstStyle/>
              <a:p>
                <a:pPr>
                  <a:defRPr b="0"/>
                </a:pPr>
                <a:r>
                  <a:rPr lang="en-NZ" b="0"/>
                  <a:t>Number</a:t>
                </a:r>
              </a:p>
            </c:rich>
          </c:tx>
          <c:layout>
            <c:manualLayout>
              <c:xMode val="edge"/>
              <c:yMode val="edge"/>
              <c:x val="0"/>
              <c:y val="2.4073047207125221E-4"/>
            </c:manualLayout>
          </c:layout>
          <c:overlay val="0"/>
        </c:title>
        <c:numFmt formatCode="0" sourceLinked="1"/>
        <c:majorTickMark val="out"/>
        <c:minorTickMark val="out"/>
        <c:tickLblPos val="nextTo"/>
        <c:spPr>
          <a:ln/>
        </c:spPr>
        <c:crossAx val="555320216"/>
        <c:crosses val="autoZero"/>
        <c:crossBetween val="between"/>
        <c:minorUnit val="10"/>
      </c:valAx>
    </c:plotArea>
    <c:legend>
      <c:legendPos val="t"/>
      <c:overlay val="0"/>
    </c:legend>
    <c:plotVisOnly val="1"/>
    <c:dispBlanksAs val="gap"/>
    <c:showDLblsOverMax val="0"/>
  </c:chart>
  <c:spPr>
    <a:noFill/>
    <a:ln>
      <a:noFill/>
    </a:ln>
  </c:sp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158845512086849E-2"/>
          <c:y val="8.6675262083467638E-2"/>
          <c:w val="0.87720354166290981"/>
          <c:h val="0.54972724900615488"/>
        </c:manualLayout>
      </c:layout>
      <c:barChart>
        <c:barDir val="col"/>
        <c:grouping val="clustered"/>
        <c:varyColors val="0"/>
        <c:ser>
          <c:idx val="0"/>
          <c:order val="0"/>
          <c:tx>
            <c:strRef>
              <c:f>ECT!$C$138</c:f>
              <c:strCache>
                <c:ptCount val="1"/>
                <c:pt idx="0">
                  <c:v>Clients per 100,000 population</c:v>
                </c:pt>
              </c:strCache>
            </c:strRef>
          </c:tx>
          <c:invertIfNegative val="0"/>
          <c:dLbls>
            <c:spPr>
              <a:noFill/>
              <a:ln>
                <a:noFill/>
              </a:ln>
              <a:effectLst/>
            </c:spPr>
            <c:txPr>
              <a:bodyPr wrap="square" lIns="0" tIns="0" rIns="360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ECT!$B$139:$B$158</c:f>
              <c:strCache>
                <c:ptCount val="17"/>
                <c:pt idx="0">
                  <c:v>Auckland</c:v>
                </c:pt>
                <c:pt idx="1">
                  <c:v>Bay of Plenty</c:v>
                </c:pt>
                <c:pt idx="2">
                  <c:v>Canterbury</c:v>
                </c:pt>
                <c:pt idx="3">
                  <c:v>Capital &amp; Coast </c:v>
                </c:pt>
                <c:pt idx="4">
                  <c:v>Counties Manukau</c:v>
                </c:pt>
                <c:pt idx="5">
                  <c:v>Hawke's Bay</c:v>
                </c:pt>
                <c:pt idx="6">
                  <c:v>Hutt Valley</c:v>
                </c:pt>
                <c:pt idx="7">
                  <c:v>Lakes</c:v>
                </c:pt>
                <c:pt idx="8">
                  <c:v>MidCentral</c:v>
                </c:pt>
                <c:pt idx="9">
                  <c:v>Nelson Marlborough</c:v>
                </c:pt>
                <c:pt idx="10">
                  <c:v>Northland</c:v>
                </c:pt>
                <c:pt idx="11">
                  <c:v>Southern</c:v>
                </c:pt>
                <c:pt idx="12">
                  <c:v>Taranaki</c:v>
                </c:pt>
                <c:pt idx="13">
                  <c:v>Waikato</c:v>
                </c:pt>
                <c:pt idx="14">
                  <c:v>Wairarapa</c:v>
                </c:pt>
                <c:pt idx="15">
                  <c:v>Waitematā</c:v>
                </c:pt>
                <c:pt idx="16">
                  <c:v>Whanganui</c:v>
                </c:pt>
              </c:strCache>
            </c:strRef>
          </c:cat>
          <c:val>
            <c:numRef>
              <c:f>ECT!$C$139:$C$158</c:f>
              <c:numCache>
                <c:formatCode>_-* #,##0.0_-;\-* #,##0.0_-;_-* "-"??_-;_-@_-</c:formatCode>
                <c:ptCount val="17"/>
                <c:pt idx="0">
                  <c:v>3.2057061569593874</c:v>
                </c:pt>
                <c:pt idx="1">
                  <c:v>7.7832548830658608</c:v>
                </c:pt>
                <c:pt idx="2">
                  <c:v>3.5809289952936361</c:v>
                </c:pt>
                <c:pt idx="3">
                  <c:v>8.5676692879654865</c:v>
                </c:pt>
                <c:pt idx="4">
                  <c:v>3.658739397971063</c:v>
                </c:pt>
                <c:pt idx="5">
                  <c:v>3.3066960595205286</c:v>
                </c:pt>
                <c:pt idx="6">
                  <c:v>7.48829953198128</c:v>
                </c:pt>
                <c:pt idx="7">
                  <c:v>9.2866188265090752</c:v>
                </c:pt>
                <c:pt idx="8">
                  <c:v>3.1725888324873095</c:v>
                </c:pt>
                <c:pt idx="9">
                  <c:v>7.3130599061490642</c:v>
                </c:pt>
                <c:pt idx="10">
                  <c:v>3.5366038498459051</c:v>
                </c:pt>
                <c:pt idx="11">
                  <c:v>8.5380083672481994</c:v>
                </c:pt>
                <c:pt idx="12">
                  <c:v>4.7374654559810496</c:v>
                </c:pt>
                <c:pt idx="13">
                  <c:v>8.9847259658580416</c:v>
                </c:pt>
                <c:pt idx="14">
                  <c:v>4.0088194026859085</c:v>
                </c:pt>
                <c:pt idx="15">
                  <c:v>3.440833307266415</c:v>
                </c:pt>
                <c:pt idx="16">
                  <c:v>1.4486455164421266</c:v>
                </c:pt>
              </c:numCache>
            </c:numRef>
          </c:val>
          <c:extLst>
            <c:ext xmlns:c16="http://schemas.microsoft.com/office/drawing/2014/chart" uri="{C3380CC4-5D6E-409C-BE32-E72D297353CC}">
              <c16:uniqueId val="{00000000-053B-483B-A9BF-804E7D486F76}"/>
            </c:ext>
          </c:extLst>
        </c:ser>
        <c:dLbls>
          <c:dLblPos val="inEnd"/>
          <c:showLegendKey val="0"/>
          <c:showVal val="1"/>
          <c:showCatName val="0"/>
          <c:showSerName val="0"/>
          <c:showPercent val="0"/>
          <c:showBubbleSize val="0"/>
        </c:dLbls>
        <c:gapWidth val="40"/>
        <c:overlap val="-12"/>
        <c:axId val="207478400"/>
        <c:axId val="207481144"/>
      </c:barChart>
      <c:lineChart>
        <c:grouping val="standard"/>
        <c:varyColors val="0"/>
        <c:ser>
          <c:idx val="1"/>
          <c:order val="1"/>
          <c:tx>
            <c:strRef>
              <c:f>ECT!$D$138</c:f>
              <c:strCache>
                <c:ptCount val="1"/>
                <c:pt idx="0">
                  <c:v>National average</c:v>
                </c:pt>
              </c:strCache>
            </c:strRef>
          </c:tx>
          <c:spPr>
            <a:ln>
              <a:solidFill>
                <a:schemeClr val="accent3"/>
              </a:solidFill>
            </a:ln>
          </c:spPr>
          <c:marker>
            <c:symbol val="none"/>
          </c:marker>
          <c:dLbls>
            <c:delete val="1"/>
          </c:dLbls>
          <c:cat>
            <c:strRef>
              <c:f>ECT!$B$139:$B$158</c:f>
              <c:strCache>
                <c:ptCount val="17"/>
                <c:pt idx="0">
                  <c:v>Auckland</c:v>
                </c:pt>
                <c:pt idx="1">
                  <c:v>Bay of Plenty</c:v>
                </c:pt>
                <c:pt idx="2">
                  <c:v>Canterbury</c:v>
                </c:pt>
                <c:pt idx="3">
                  <c:v>Capital &amp; Coast </c:v>
                </c:pt>
                <c:pt idx="4">
                  <c:v>Counties Manukau</c:v>
                </c:pt>
                <c:pt idx="5">
                  <c:v>Hawke's Bay</c:v>
                </c:pt>
                <c:pt idx="6">
                  <c:v>Hutt Valley</c:v>
                </c:pt>
                <c:pt idx="7">
                  <c:v>Lakes</c:v>
                </c:pt>
                <c:pt idx="8">
                  <c:v>MidCentral</c:v>
                </c:pt>
                <c:pt idx="9">
                  <c:v>Nelson Marlborough</c:v>
                </c:pt>
                <c:pt idx="10">
                  <c:v>Northland</c:v>
                </c:pt>
                <c:pt idx="11">
                  <c:v>Southern</c:v>
                </c:pt>
                <c:pt idx="12">
                  <c:v>Taranaki</c:v>
                </c:pt>
                <c:pt idx="13">
                  <c:v>Waikato</c:v>
                </c:pt>
                <c:pt idx="14">
                  <c:v>Wairarapa</c:v>
                </c:pt>
                <c:pt idx="15">
                  <c:v>Waitematā</c:v>
                </c:pt>
                <c:pt idx="16">
                  <c:v>Whanganui</c:v>
                </c:pt>
              </c:strCache>
            </c:strRef>
          </c:cat>
          <c:val>
            <c:numRef>
              <c:f>ECT!$D$139:$D$158</c:f>
              <c:numCache>
                <c:formatCode>_-* #,##0.0_-;\-* #,##0.0_-;_-* "-"??_-;_-@_-</c:formatCode>
                <c:ptCount val="17"/>
                <c:pt idx="0">
                  <c:v>5.0554982447271053</c:v>
                </c:pt>
                <c:pt idx="1">
                  <c:v>5.0554982447271053</c:v>
                </c:pt>
                <c:pt idx="2">
                  <c:v>5.0554982447271053</c:v>
                </c:pt>
                <c:pt idx="3">
                  <c:v>5.0554982447271053</c:v>
                </c:pt>
                <c:pt idx="4">
                  <c:v>5.0554982447271053</c:v>
                </c:pt>
                <c:pt idx="5">
                  <c:v>5.0554982447271053</c:v>
                </c:pt>
                <c:pt idx="6">
                  <c:v>5.0554982447271053</c:v>
                </c:pt>
                <c:pt idx="7">
                  <c:v>5.0554982447271053</c:v>
                </c:pt>
                <c:pt idx="8">
                  <c:v>5.0554982447271053</c:v>
                </c:pt>
                <c:pt idx="9">
                  <c:v>5.0554982447271053</c:v>
                </c:pt>
                <c:pt idx="10">
                  <c:v>5.0554982447271053</c:v>
                </c:pt>
                <c:pt idx="11">
                  <c:v>5.0554982447271053</c:v>
                </c:pt>
                <c:pt idx="12">
                  <c:v>5.0554982447271053</c:v>
                </c:pt>
                <c:pt idx="13">
                  <c:v>5.0554982447271053</c:v>
                </c:pt>
                <c:pt idx="14">
                  <c:v>5.0554982447271053</c:v>
                </c:pt>
                <c:pt idx="15">
                  <c:v>5.0554982447271053</c:v>
                </c:pt>
                <c:pt idx="16">
                  <c:v>5.0554982447271053</c:v>
                </c:pt>
              </c:numCache>
            </c:numRef>
          </c:val>
          <c:smooth val="0"/>
          <c:extLst>
            <c:ext xmlns:c16="http://schemas.microsoft.com/office/drawing/2014/chart" uri="{C3380CC4-5D6E-409C-BE32-E72D297353CC}">
              <c16:uniqueId val="{00000001-053B-483B-A9BF-804E7D486F76}"/>
            </c:ext>
          </c:extLst>
        </c:ser>
        <c:dLbls>
          <c:showLegendKey val="0"/>
          <c:showVal val="1"/>
          <c:showCatName val="0"/>
          <c:showSerName val="0"/>
          <c:showPercent val="0"/>
          <c:showBubbleSize val="0"/>
        </c:dLbls>
        <c:marker val="1"/>
        <c:smooth val="0"/>
        <c:axId val="207478400"/>
        <c:axId val="207481144"/>
      </c:lineChart>
      <c:catAx>
        <c:axId val="207478400"/>
        <c:scaling>
          <c:orientation val="minMax"/>
        </c:scaling>
        <c:delete val="0"/>
        <c:axPos val="b"/>
        <c:title>
          <c:tx>
            <c:rich>
              <a:bodyPr/>
              <a:lstStyle/>
              <a:p>
                <a:pPr>
                  <a:defRPr/>
                </a:pPr>
                <a:r>
                  <a:rPr lang="en-NZ" b="0"/>
                  <a:t>DHB of domicile</a:t>
                </a:r>
              </a:p>
            </c:rich>
          </c:tx>
          <c:layout>
            <c:manualLayout>
              <c:xMode val="edge"/>
              <c:yMode val="edge"/>
              <c:x val="0.3961061494829925"/>
              <c:y val="0.93292382311860145"/>
            </c:manualLayout>
          </c:layout>
          <c:overlay val="0"/>
        </c:title>
        <c:numFmt formatCode="General" sourceLinked="0"/>
        <c:majorTickMark val="out"/>
        <c:minorTickMark val="none"/>
        <c:tickLblPos val="nextTo"/>
        <c:txPr>
          <a:bodyPr rot="-5400000" vert="horz"/>
          <a:lstStyle/>
          <a:p>
            <a:pPr>
              <a:defRPr/>
            </a:pPr>
            <a:endParaRPr lang="en-US"/>
          </a:p>
        </c:txPr>
        <c:crossAx val="207481144"/>
        <c:crosses val="autoZero"/>
        <c:auto val="1"/>
        <c:lblAlgn val="ctr"/>
        <c:lblOffset val="100"/>
        <c:noMultiLvlLbl val="0"/>
      </c:catAx>
      <c:valAx>
        <c:axId val="207481144"/>
        <c:scaling>
          <c:orientation val="minMax"/>
        </c:scaling>
        <c:delete val="0"/>
        <c:axPos val="l"/>
        <c:majorGridlines>
          <c:spPr>
            <a:ln>
              <a:noFill/>
            </a:ln>
          </c:spPr>
        </c:majorGridlines>
        <c:title>
          <c:tx>
            <c:rich>
              <a:bodyPr rot="0" vert="horz"/>
              <a:lstStyle/>
              <a:p>
                <a:pPr>
                  <a:defRPr b="0"/>
                </a:pPr>
                <a:r>
                  <a:rPr lang="en-NZ" b="0"/>
                  <a:t>Rate</a:t>
                </a:r>
              </a:p>
            </c:rich>
          </c:tx>
          <c:layout>
            <c:manualLayout>
              <c:xMode val="edge"/>
              <c:yMode val="edge"/>
              <c:x val="0"/>
              <c:y val="1.1450010326857739E-3"/>
            </c:manualLayout>
          </c:layout>
          <c:overlay val="0"/>
        </c:title>
        <c:numFmt formatCode="_-* #,##0.0_-;\-* #,##0.0_-;_-* &quot;-&quot;??_-;_-@_-" sourceLinked="1"/>
        <c:majorTickMark val="out"/>
        <c:minorTickMark val="none"/>
        <c:tickLblPos val="nextTo"/>
        <c:crossAx val="20747840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152033008823954E-2"/>
          <c:y val="9.7864186147095134E-2"/>
          <c:w val="0.92189719637582401"/>
          <c:h val="0.66123694254804577"/>
        </c:manualLayout>
      </c:layout>
      <c:barChart>
        <c:barDir val="col"/>
        <c:grouping val="stacked"/>
        <c:varyColors val="0"/>
        <c:ser>
          <c:idx val="0"/>
          <c:order val="0"/>
          <c:tx>
            <c:strRef>
              <c:f>ECT!$C$202</c:f>
              <c:strCache>
                <c:ptCount val="1"/>
                <c:pt idx="0">
                  <c:v>Female</c:v>
                </c:pt>
              </c:strCache>
            </c:strRef>
          </c:tx>
          <c:spPr>
            <a:solidFill>
              <a:schemeClr val="accent1"/>
            </a:solidFill>
            <a:ln>
              <a:noFill/>
            </a:ln>
            <a:effectLst/>
          </c:spPr>
          <c:invertIfNegative val="0"/>
          <c:dLbls>
            <c:dLbl>
              <c:idx val="15"/>
              <c:layout>
                <c:manualLayout>
                  <c:x val="0"/>
                  <c:y val="-1.35520703119965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42-44ED-A2ED-144F67F41BFA}"/>
                </c:ext>
              </c:extLst>
            </c:dLbl>
            <c:dLbl>
              <c:idx val="16"/>
              <c:layout>
                <c:manualLayout>
                  <c:x val="0"/>
                  <c:y val="-3.6839053056174853E-2"/>
                </c:manualLayout>
              </c:layout>
              <c:spPr>
                <a:noFill/>
                <a:ln>
                  <a:noFill/>
                </a:ln>
                <a:effectLst/>
              </c:spPr>
              <c:txPr>
                <a:bodyPr rot="0" spcFirstLastPara="1" vertOverflow="ellipsis" vert="horz" wrap="square" lIns="0" tIns="0" rIns="360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1D42-44ED-A2ED-144F67F41BFA}"/>
                </c:ext>
              </c:extLst>
            </c:dLbl>
            <c:spPr>
              <a:noFill/>
              <a:ln>
                <a:noFill/>
              </a:ln>
              <a:effectLst/>
            </c:spPr>
            <c:txPr>
              <a:bodyPr rot="0" spcFirstLastPara="1" vertOverflow="ellipsis" vert="horz" wrap="square" lIns="0" tIns="0" rIns="360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6350" cap="flat" cmpd="sng" algn="ctr">
                      <a:solidFill>
                        <a:schemeClr val="tx1"/>
                      </a:solidFill>
                      <a:prstDash val="solid"/>
                      <a:round/>
                    </a:ln>
                    <a:effectLst/>
                  </c:spPr>
                </c15:leaderLines>
              </c:ext>
            </c:extLst>
          </c:dLbls>
          <c:cat>
            <c:strRef>
              <c:f>ECT!$B$203:$B$220</c:f>
              <c:strCache>
                <c:ptCount val="18"/>
                <c:pt idx="0">
                  <c:v>0–14</c:v>
                </c:pt>
                <c:pt idx="1">
                  <c:v>15–19</c:v>
                </c:pt>
                <c:pt idx="2">
                  <c:v>20–24</c:v>
                </c:pt>
                <c:pt idx="3">
                  <c:v>25–29</c:v>
                </c:pt>
                <c:pt idx="4">
                  <c:v>30–34</c:v>
                </c:pt>
                <c:pt idx="5">
                  <c:v>35–39</c:v>
                </c:pt>
                <c:pt idx="6">
                  <c:v>40–44</c:v>
                </c:pt>
                <c:pt idx="7">
                  <c:v>45–49</c:v>
                </c:pt>
                <c:pt idx="8">
                  <c:v>50–54</c:v>
                </c:pt>
                <c:pt idx="9">
                  <c:v>55–59</c:v>
                </c:pt>
                <c:pt idx="10">
                  <c:v>60–64</c:v>
                </c:pt>
                <c:pt idx="11">
                  <c:v>65–69</c:v>
                </c:pt>
                <c:pt idx="12">
                  <c:v>70–74</c:v>
                </c:pt>
                <c:pt idx="13">
                  <c:v>75–79</c:v>
                </c:pt>
                <c:pt idx="14">
                  <c:v>80–84</c:v>
                </c:pt>
                <c:pt idx="15">
                  <c:v>85–89</c:v>
                </c:pt>
                <c:pt idx="16">
                  <c:v>90–94</c:v>
                </c:pt>
                <c:pt idx="17">
                  <c:v>95+</c:v>
                </c:pt>
              </c:strCache>
            </c:strRef>
          </c:cat>
          <c:val>
            <c:numRef>
              <c:f>ECT!$C$203:$C$220</c:f>
              <c:numCache>
                <c:formatCode>_-* #,##0_-;\-* #,##0_-;_-* "-"??_-;_-@_-</c:formatCode>
                <c:ptCount val="18"/>
                <c:pt idx="0">
                  <c:v>0</c:v>
                </c:pt>
                <c:pt idx="1">
                  <c:v>5</c:v>
                </c:pt>
                <c:pt idx="2">
                  <c:v>4</c:v>
                </c:pt>
                <c:pt idx="3">
                  <c:v>4</c:v>
                </c:pt>
                <c:pt idx="4">
                  <c:v>16</c:v>
                </c:pt>
                <c:pt idx="5">
                  <c:v>7</c:v>
                </c:pt>
                <c:pt idx="6">
                  <c:v>14</c:v>
                </c:pt>
                <c:pt idx="7">
                  <c:v>7</c:v>
                </c:pt>
                <c:pt idx="8">
                  <c:v>16</c:v>
                </c:pt>
                <c:pt idx="9">
                  <c:v>16</c:v>
                </c:pt>
                <c:pt idx="10">
                  <c:v>21</c:v>
                </c:pt>
                <c:pt idx="11">
                  <c:v>15</c:v>
                </c:pt>
                <c:pt idx="12">
                  <c:v>16</c:v>
                </c:pt>
                <c:pt idx="13">
                  <c:v>15</c:v>
                </c:pt>
                <c:pt idx="14">
                  <c:v>5</c:v>
                </c:pt>
                <c:pt idx="15">
                  <c:v>3</c:v>
                </c:pt>
                <c:pt idx="16">
                  <c:v>2</c:v>
                </c:pt>
              </c:numCache>
            </c:numRef>
          </c:val>
          <c:extLst>
            <c:ext xmlns:c16="http://schemas.microsoft.com/office/drawing/2014/chart" uri="{C3380CC4-5D6E-409C-BE32-E72D297353CC}">
              <c16:uniqueId val="{00000002-1D42-44ED-A2ED-144F67F41BFA}"/>
            </c:ext>
          </c:extLst>
        </c:ser>
        <c:ser>
          <c:idx val="1"/>
          <c:order val="1"/>
          <c:tx>
            <c:strRef>
              <c:f>ECT!$D$202</c:f>
              <c:strCache>
                <c:ptCount val="1"/>
                <c:pt idx="0">
                  <c:v>Male</c:v>
                </c:pt>
              </c:strCache>
            </c:strRef>
          </c:tx>
          <c:spPr>
            <a:solidFill>
              <a:schemeClr val="accent2"/>
            </a:solidFill>
            <a:ln>
              <a:noFill/>
            </a:ln>
            <a:effectLst/>
          </c:spPr>
          <c:invertIfNegative val="0"/>
          <c:dLbls>
            <c:dLbl>
              <c:idx val="0"/>
              <c:layout>
                <c:manualLayout>
                  <c:x val="-1.015572875445867E-17"/>
                  <c:y val="-3.6745161355649043E-2"/>
                </c:manualLayout>
              </c:layout>
              <c:spPr>
                <a:noFill/>
                <a:ln>
                  <a:noFill/>
                </a:ln>
                <a:effectLst/>
              </c:spPr>
              <c:txPr>
                <a:bodyPr rot="0" spcFirstLastPara="1" vertOverflow="ellipsis" vert="horz" wrap="square" lIns="0" tIns="0" rIns="360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1D42-44ED-A2ED-144F67F41BFA}"/>
                </c:ext>
              </c:extLst>
            </c:dLbl>
            <c:dLbl>
              <c:idx val="1"/>
              <c:layout>
                <c:manualLayout>
                  <c:x val="0"/>
                  <c:y val="-3.674516135564896E-2"/>
                </c:manualLayout>
              </c:layout>
              <c:spPr>
                <a:noFill/>
                <a:ln>
                  <a:noFill/>
                </a:ln>
                <a:effectLst/>
              </c:spPr>
              <c:txPr>
                <a:bodyPr rot="0" spcFirstLastPara="1" vertOverflow="ellipsis" vert="horz" wrap="square" lIns="0" tIns="0" rIns="360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4-1D42-44ED-A2ED-144F67F41BFA}"/>
                </c:ext>
              </c:extLst>
            </c:dLbl>
            <c:dLbl>
              <c:idx val="4"/>
              <c:layout>
                <c:manualLayout>
                  <c:x val="0"/>
                  <c:y val="-8.875895423055751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D42-44ED-A2ED-144F67F41BFA}"/>
                </c:ext>
              </c:extLst>
            </c:dLbl>
            <c:dLbl>
              <c:idx val="14"/>
              <c:layout>
                <c:manualLayout>
                  <c:x val="0"/>
                  <c:y val="-4.1515227945115786E-2"/>
                </c:manualLayout>
              </c:layout>
              <c:spPr>
                <a:noFill/>
                <a:ln>
                  <a:noFill/>
                </a:ln>
                <a:effectLst/>
              </c:spPr>
              <c:txPr>
                <a:bodyPr rot="0" spcFirstLastPara="1" vertOverflow="ellipsis" vert="horz" wrap="square" lIns="0" tIns="0" rIns="360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6-1D42-44ED-A2ED-144F67F41BFA}"/>
                </c:ext>
              </c:extLst>
            </c:dLbl>
            <c:dLbl>
              <c:idx val="15"/>
              <c:layout>
                <c:manualLayout>
                  <c:x val="0"/>
                  <c:y val="-4.199720534114904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D42-44ED-A2ED-144F67F41BFA}"/>
                </c:ext>
              </c:extLst>
            </c:dLbl>
            <c:spPr>
              <a:noFill/>
              <a:ln>
                <a:noFill/>
              </a:ln>
              <a:effectLst/>
            </c:spPr>
            <c:txPr>
              <a:bodyPr rot="0" spcFirstLastPara="1" vertOverflow="ellipsis" vert="horz" wrap="square" lIns="0" tIns="0" rIns="360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6350" cap="flat" cmpd="sng" algn="ctr">
                      <a:solidFill>
                        <a:schemeClr val="tx1"/>
                      </a:solidFill>
                      <a:prstDash val="solid"/>
                      <a:round/>
                    </a:ln>
                    <a:effectLst/>
                  </c:spPr>
                </c15:leaderLines>
              </c:ext>
            </c:extLst>
          </c:dLbls>
          <c:cat>
            <c:strRef>
              <c:f>ECT!$B$203:$B$220</c:f>
              <c:strCache>
                <c:ptCount val="18"/>
                <c:pt idx="0">
                  <c:v>0–14</c:v>
                </c:pt>
                <c:pt idx="1">
                  <c:v>15–19</c:v>
                </c:pt>
                <c:pt idx="2">
                  <c:v>20–24</c:v>
                </c:pt>
                <c:pt idx="3">
                  <c:v>25–29</c:v>
                </c:pt>
                <c:pt idx="4">
                  <c:v>30–34</c:v>
                </c:pt>
                <c:pt idx="5">
                  <c:v>35–39</c:v>
                </c:pt>
                <c:pt idx="6">
                  <c:v>40–44</c:v>
                </c:pt>
                <c:pt idx="7">
                  <c:v>45–49</c:v>
                </c:pt>
                <c:pt idx="8">
                  <c:v>50–54</c:v>
                </c:pt>
                <c:pt idx="9">
                  <c:v>55–59</c:v>
                </c:pt>
                <c:pt idx="10">
                  <c:v>60–64</c:v>
                </c:pt>
                <c:pt idx="11">
                  <c:v>65–69</c:v>
                </c:pt>
                <c:pt idx="12">
                  <c:v>70–74</c:v>
                </c:pt>
                <c:pt idx="13">
                  <c:v>75–79</c:v>
                </c:pt>
                <c:pt idx="14">
                  <c:v>80–84</c:v>
                </c:pt>
                <c:pt idx="15">
                  <c:v>85–89</c:v>
                </c:pt>
                <c:pt idx="16">
                  <c:v>90–94</c:v>
                </c:pt>
                <c:pt idx="17">
                  <c:v>95+</c:v>
                </c:pt>
              </c:strCache>
            </c:strRef>
          </c:cat>
          <c:val>
            <c:numRef>
              <c:f>ECT!$D$203:$D$220</c:f>
              <c:numCache>
                <c:formatCode>_-* #,##0_-;\-* #,##0_-;_-* "-"??_-;_-@_-</c:formatCode>
                <c:ptCount val="18"/>
                <c:pt idx="0">
                  <c:v>1</c:v>
                </c:pt>
                <c:pt idx="1">
                  <c:v>1</c:v>
                </c:pt>
                <c:pt idx="2">
                  <c:v>6</c:v>
                </c:pt>
                <c:pt idx="3">
                  <c:v>8</c:v>
                </c:pt>
                <c:pt idx="4">
                  <c:v>3</c:v>
                </c:pt>
                <c:pt idx="5">
                  <c:v>7</c:v>
                </c:pt>
                <c:pt idx="6">
                  <c:v>7</c:v>
                </c:pt>
                <c:pt idx="7">
                  <c:v>5</c:v>
                </c:pt>
                <c:pt idx="8">
                  <c:v>10</c:v>
                </c:pt>
                <c:pt idx="9">
                  <c:v>9</c:v>
                </c:pt>
                <c:pt idx="10">
                  <c:v>9</c:v>
                </c:pt>
                <c:pt idx="11">
                  <c:v>10</c:v>
                </c:pt>
                <c:pt idx="12">
                  <c:v>8</c:v>
                </c:pt>
                <c:pt idx="13">
                  <c:v>4</c:v>
                </c:pt>
                <c:pt idx="14">
                  <c:v>2</c:v>
                </c:pt>
                <c:pt idx="15">
                  <c:v>3</c:v>
                </c:pt>
                <c:pt idx="16">
                  <c:v>0</c:v>
                </c:pt>
              </c:numCache>
            </c:numRef>
          </c:val>
          <c:extLst>
            <c:ext xmlns:c16="http://schemas.microsoft.com/office/drawing/2014/chart" uri="{C3380CC4-5D6E-409C-BE32-E72D297353CC}">
              <c16:uniqueId val="{00000008-1D42-44ED-A2ED-144F67F41BFA}"/>
            </c:ext>
          </c:extLst>
        </c:ser>
        <c:dLbls>
          <c:showLegendKey val="0"/>
          <c:showVal val="0"/>
          <c:showCatName val="0"/>
          <c:showSerName val="0"/>
          <c:showPercent val="0"/>
          <c:showBubbleSize val="0"/>
        </c:dLbls>
        <c:gapWidth val="40"/>
        <c:overlap val="100"/>
        <c:axId val="207479184"/>
        <c:axId val="207479576"/>
      </c:barChart>
      <c:catAx>
        <c:axId val="2074791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NZ" b="0"/>
                  <a:t>Age group</a:t>
                </a:r>
                <a:r>
                  <a:rPr lang="en-NZ" b="0" baseline="0"/>
                  <a:t> (years)</a:t>
                </a:r>
                <a:endParaRPr lang="en-NZ" b="0"/>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540000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crossAx val="207479576"/>
        <c:crosses val="autoZero"/>
        <c:auto val="1"/>
        <c:lblAlgn val="ctr"/>
        <c:lblOffset val="100"/>
        <c:noMultiLvlLbl val="0"/>
      </c:catAx>
      <c:valAx>
        <c:axId val="207479576"/>
        <c:scaling>
          <c:orientation val="minMax"/>
        </c:scaling>
        <c:delete val="0"/>
        <c:axPos val="l"/>
        <c:majorGridlines>
          <c:spPr>
            <a:ln w="6350" cap="flat" cmpd="sng" algn="ctr">
              <a:noFill/>
              <a:prstDash val="solid"/>
              <a:round/>
            </a:ln>
            <a:effectLst/>
          </c:spPr>
        </c:majorGridlines>
        <c:title>
          <c:tx>
            <c:rich>
              <a:bodyPr rot="0" spcFirstLastPara="1" vertOverflow="ellipsis" wrap="square" anchor="ctr" anchorCtr="1"/>
              <a:lstStyle/>
              <a:p>
                <a:pPr>
                  <a:defRPr sz="1000" b="1" i="0" u="none" strike="noStrike" kern="1200" baseline="0">
                    <a:solidFill>
                      <a:schemeClr val="tx1"/>
                    </a:solidFill>
                    <a:latin typeface="+mn-lt"/>
                    <a:ea typeface="+mn-ea"/>
                    <a:cs typeface="+mn-cs"/>
                  </a:defRPr>
                </a:pPr>
                <a:r>
                  <a:rPr lang="en-NZ" b="0"/>
                  <a:t>Number of people</a:t>
                </a:r>
              </a:p>
            </c:rich>
          </c:tx>
          <c:layout>
            <c:manualLayout>
              <c:xMode val="edge"/>
              <c:yMode val="edge"/>
              <c:x val="1.8014449944255531E-3"/>
              <c:y val="2.9025422558677703E-3"/>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solidFill>
                  <a:latin typeface="+mn-lt"/>
                  <a:ea typeface="+mn-ea"/>
                  <a:cs typeface="+mn-cs"/>
                </a:defRPr>
              </a:pPr>
              <a:endParaRPr lang="en-US"/>
            </a:p>
          </c:txPr>
        </c:title>
        <c:numFmt formatCode="_-* #,##0_-;\-* #,##0_-;_-* &quot;-&quot;??_-;_-@_-"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07479184"/>
        <c:crosses val="autoZero"/>
        <c:crossBetween val="between"/>
      </c:valAx>
      <c:spPr>
        <a:solidFill>
          <a:schemeClr val="bg1"/>
        </a:solidFill>
        <a:ln>
          <a:noFill/>
        </a:ln>
        <a:effectLst/>
      </c:spPr>
    </c:plotArea>
    <c:legend>
      <c:legendPos val="r"/>
      <c:layout>
        <c:manualLayout>
          <c:xMode val="edge"/>
          <c:yMode val="edge"/>
          <c:x val="0.89673244921495388"/>
          <c:y val="3.9375601781364861E-3"/>
          <c:w val="0.10326755078504618"/>
          <c:h val="0.1691177309873908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839513109980812E-2"/>
          <c:y val="7.5613308452050443E-2"/>
          <c:w val="0.90067392525887924"/>
          <c:h val="0.59320862348853787"/>
        </c:manualLayout>
      </c:layout>
      <c:barChart>
        <c:barDir val="col"/>
        <c:grouping val="stacked"/>
        <c:varyColors val="0"/>
        <c:ser>
          <c:idx val="0"/>
          <c:order val="0"/>
          <c:tx>
            <c:v>Specialist services</c:v>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specialist v GP'!$A$22:$A$38</c:f>
              <c:strCache>
                <c:ptCount val="17"/>
                <c:pt idx="0">
                  <c:v>Auckland</c:v>
                </c:pt>
                <c:pt idx="1">
                  <c:v>Bay of Plenty</c:v>
                </c:pt>
                <c:pt idx="2">
                  <c:v>Canterbury</c:v>
                </c:pt>
                <c:pt idx="3">
                  <c:v>Capital &amp; Coast</c:v>
                </c:pt>
                <c:pt idx="4">
                  <c:v>Hawke's Bay</c:v>
                </c:pt>
                <c:pt idx="5">
                  <c:v>Lakes</c:v>
                </c:pt>
                <c:pt idx="6">
                  <c:v>MidCentral</c:v>
                </c:pt>
                <c:pt idx="7">
                  <c:v>Nelson Marborough</c:v>
                </c:pt>
                <c:pt idx="8">
                  <c:v>Northland</c:v>
                </c:pt>
                <c:pt idx="9">
                  <c:v>Southern</c:v>
                </c:pt>
                <c:pt idx="10">
                  <c:v>South Canterbury</c:v>
                </c:pt>
                <c:pt idx="11">
                  <c:v>Tairāwhiti</c:v>
                </c:pt>
                <c:pt idx="12">
                  <c:v>Taranaki</c:v>
                </c:pt>
                <c:pt idx="13">
                  <c:v>Waikato</c:v>
                </c:pt>
                <c:pt idx="14">
                  <c:v>Wairarapa</c:v>
                </c:pt>
                <c:pt idx="15">
                  <c:v>West Coast</c:v>
                </c:pt>
                <c:pt idx="16">
                  <c:v>Whanganui </c:v>
                </c:pt>
              </c:strCache>
            </c:strRef>
          </c:cat>
          <c:val>
            <c:numRef>
              <c:f>'% specialist v GP'!$E$22:$E$38</c:f>
              <c:numCache>
                <c:formatCode>0.0%</c:formatCode>
                <c:ptCount val="17"/>
                <c:pt idx="0">
                  <c:v>0.59327731092436975</c:v>
                </c:pt>
                <c:pt idx="1">
                  <c:v>0.77325581395348841</c:v>
                </c:pt>
                <c:pt idx="2">
                  <c:v>0.61224489795918369</c:v>
                </c:pt>
                <c:pt idx="3">
                  <c:v>0.6659192825112108</c:v>
                </c:pt>
                <c:pt idx="4">
                  <c:v>0.91666666666666663</c:v>
                </c:pt>
                <c:pt idx="5">
                  <c:v>0.76595744680851063</c:v>
                </c:pt>
                <c:pt idx="6">
                  <c:v>0.77808219178082194</c:v>
                </c:pt>
                <c:pt idx="7">
                  <c:v>0.69482288828337879</c:v>
                </c:pt>
                <c:pt idx="8">
                  <c:v>0.73076923076923073</c:v>
                </c:pt>
                <c:pt idx="9">
                  <c:v>0.92441860465116277</c:v>
                </c:pt>
                <c:pt idx="10">
                  <c:v>0.81</c:v>
                </c:pt>
                <c:pt idx="11">
                  <c:v>0.97560975609756095</c:v>
                </c:pt>
                <c:pt idx="12">
                  <c:v>0.82857142857142863</c:v>
                </c:pt>
                <c:pt idx="13">
                  <c:v>0.81318681318681318</c:v>
                </c:pt>
                <c:pt idx="14">
                  <c:v>0.88181818181818183</c:v>
                </c:pt>
                <c:pt idx="15">
                  <c:v>0.95145631067961167</c:v>
                </c:pt>
                <c:pt idx="16">
                  <c:v>0.85</c:v>
                </c:pt>
              </c:numCache>
            </c:numRef>
          </c:val>
          <c:extLst>
            <c:ext xmlns:c16="http://schemas.microsoft.com/office/drawing/2014/chart" uri="{C3380CC4-5D6E-409C-BE32-E72D297353CC}">
              <c16:uniqueId val="{00000000-6E25-4947-A0A0-F2AF66B29C6B}"/>
            </c:ext>
          </c:extLst>
        </c:ser>
        <c:ser>
          <c:idx val="1"/>
          <c:order val="1"/>
          <c:tx>
            <c:v>GP services</c:v>
          </c:tx>
          <c:spPr>
            <a:solidFill>
              <a:schemeClr val="accent2"/>
            </a:solidFill>
            <a:ln>
              <a:noFill/>
            </a:ln>
            <a:effectLst/>
          </c:spPr>
          <c:invertIfNegative val="0"/>
          <c:dLbls>
            <c:delete val="1"/>
          </c:dLbls>
          <c:cat>
            <c:strRef>
              <c:f>'% specialist v GP'!$A$22:$A$38</c:f>
              <c:strCache>
                <c:ptCount val="17"/>
                <c:pt idx="0">
                  <c:v>Auckland</c:v>
                </c:pt>
                <c:pt idx="1">
                  <c:v>Bay of Plenty</c:v>
                </c:pt>
                <c:pt idx="2">
                  <c:v>Canterbury</c:v>
                </c:pt>
                <c:pt idx="3">
                  <c:v>Capital &amp; Coast</c:v>
                </c:pt>
                <c:pt idx="4">
                  <c:v>Hawke's Bay</c:v>
                </c:pt>
                <c:pt idx="5">
                  <c:v>Lakes</c:v>
                </c:pt>
                <c:pt idx="6">
                  <c:v>MidCentral</c:v>
                </c:pt>
                <c:pt idx="7">
                  <c:v>Nelson Marborough</c:v>
                </c:pt>
                <c:pt idx="8">
                  <c:v>Northland</c:v>
                </c:pt>
                <c:pt idx="9">
                  <c:v>Southern</c:v>
                </c:pt>
                <c:pt idx="10">
                  <c:v>South Canterbury</c:v>
                </c:pt>
                <c:pt idx="11">
                  <c:v>Tairāwhiti</c:v>
                </c:pt>
                <c:pt idx="12">
                  <c:v>Taranaki</c:v>
                </c:pt>
                <c:pt idx="13">
                  <c:v>Waikato</c:v>
                </c:pt>
                <c:pt idx="14">
                  <c:v>Wairarapa</c:v>
                </c:pt>
                <c:pt idx="15">
                  <c:v>West Coast</c:v>
                </c:pt>
                <c:pt idx="16">
                  <c:v>Whanganui </c:v>
                </c:pt>
              </c:strCache>
            </c:strRef>
          </c:cat>
          <c:val>
            <c:numRef>
              <c:f>'% specialist v GP'!$F$22:$F$38</c:f>
              <c:numCache>
                <c:formatCode>0.0%</c:formatCode>
                <c:ptCount val="17"/>
                <c:pt idx="0">
                  <c:v>0.40672268907563025</c:v>
                </c:pt>
                <c:pt idx="1">
                  <c:v>0.22674418604651161</c:v>
                </c:pt>
                <c:pt idx="2">
                  <c:v>0.38775510204081631</c:v>
                </c:pt>
                <c:pt idx="3">
                  <c:v>0.33408071748878926</c:v>
                </c:pt>
                <c:pt idx="4">
                  <c:v>8.3333333333333329E-2</c:v>
                </c:pt>
                <c:pt idx="5">
                  <c:v>0.23404255319148937</c:v>
                </c:pt>
                <c:pt idx="6">
                  <c:v>0.22191780821917809</c:v>
                </c:pt>
                <c:pt idx="7">
                  <c:v>0.30517711171662126</c:v>
                </c:pt>
                <c:pt idx="8">
                  <c:v>0.26923076923076922</c:v>
                </c:pt>
                <c:pt idx="9">
                  <c:v>7.5581395348837205E-2</c:v>
                </c:pt>
                <c:pt idx="10">
                  <c:v>0.19</c:v>
                </c:pt>
                <c:pt idx="11">
                  <c:v>2.4390243902439025E-2</c:v>
                </c:pt>
                <c:pt idx="12">
                  <c:v>0.17142857142857143</c:v>
                </c:pt>
                <c:pt idx="13">
                  <c:v>0.18681318681318682</c:v>
                </c:pt>
                <c:pt idx="14">
                  <c:v>0.11818181818181818</c:v>
                </c:pt>
                <c:pt idx="15">
                  <c:v>4.8543689320388349E-2</c:v>
                </c:pt>
                <c:pt idx="16">
                  <c:v>0.15</c:v>
                </c:pt>
              </c:numCache>
            </c:numRef>
          </c:val>
          <c:extLst>
            <c:ext xmlns:c16="http://schemas.microsoft.com/office/drawing/2014/chart" uri="{C3380CC4-5D6E-409C-BE32-E72D297353CC}">
              <c16:uniqueId val="{00000001-6E25-4947-A0A0-F2AF66B29C6B}"/>
            </c:ext>
          </c:extLst>
        </c:ser>
        <c:dLbls>
          <c:dLblPos val="ctr"/>
          <c:showLegendKey val="0"/>
          <c:showVal val="1"/>
          <c:showCatName val="0"/>
          <c:showSerName val="0"/>
          <c:showPercent val="0"/>
          <c:showBubbleSize val="0"/>
        </c:dLbls>
        <c:gapWidth val="51"/>
        <c:overlap val="100"/>
        <c:axId val="516247832"/>
        <c:axId val="516247504"/>
      </c:barChart>
      <c:catAx>
        <c:axId val="516247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solidFill>
                      <a:schemeClr val="tx1"/>
                    </a:solidFill>
                  </a:rPr>
                  <a:t>DHB</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516247504"/>
        <c:crosses val="autoZero"/>
        <c:auto val="1"/>
        <c:lblAlgn val="ctr"/>
        <c:lblOffset val="100"/>
        <c:noMultiLvlLbl val="0"/>
      </c:catAx>
      <c:valAx>
        <c:axId val="516247504"/>
        <c:scaling>
          <c:orientation val="minMax"/>
          <c:max val="1"/>
        </c:scaling>
        <c:delete val="0"/>
        <c:axPos val="l"/>
        <c:title>
          <c:tx>
            <c:rich>
              <a:bodyPr rot="0" spcFirstLastPara="1" vertOverflow="ellipsis"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Percentage</a:t>
                </a:r>
              </a:p>
            </c:rich>
          </c:tx>
          <c:layout>
            <c:manualLayout>
              <c:xMode val="edge"/>
              <c:yMode val="edge"/>
              <c:x val="0"/>
              <c:y val="3.8474959416200252E-4"/>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6247832"/>
        <c:crosses val="autoZero"/>
        <c:crossBetween val="between"/>
      </c:valAx>
      <c:spPr>
        <a:noFill/>
        <a:ln>
          <a:noFill/>
        </a:ln>
        <a:effectLst/>
      </c:spPr>
    </c:plotArea>
    <c:legend>
      <c:legendPos val="t"/>
      <c:layout>
        <c:manualLayout>
          <c:xMode val="edge"/>
          <c:yMode val="edge"/>
          <c:x val="0.32644071136149683"/>
          <c:y val="0"/>
          <c:w val="0.35175231513577021"/>
          <c:h val="6.77715586756474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039151356080487E-2"/>
          <c:y val="8.8291603998938331E-2"/>
          <c:w val="0.84907195975503058"/>
          <c:h val="0.8007346132295261"/>
        </c:manualLayout>
      </c:layout>
      <c:barChart>
        <c:barDir val="bar"/>
        <c:grouping val="stacked"/>
        <c:varyColors val="0"/>
        <c:ser>
          <c:idx val="1"/>
          <c:order val="0"/>
          <c:tx>
            <c:strRef>
              <c:f>OST!$C$30</c:f>
              <c:strCache>
                <c:ptCount val="1"/>
                <c:pt idx="0">
                  <c:v>Specialist service</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OST!$B$31:$B$44</c:f>
              <c:strCache>
                <c:ptCount val="13"/>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strCache>
            </c:strRef>
          </c:cat>
          <c:val>
            <c:numRef>
              <c:f>OST!$C$31:$C$44</c:f>
              <c:numCache>
                <c:formatCode>General</c:formatCode>
                <c:ptCount val="13"/>
                <c:pt idx="0">
                  <c:v>3671</c:v>
                </c:pt>
                <c:pt idx="1">
                  <c:v>3571</c:v>
                </c:pt>
                <c:pt idx="2">
                  <c:v>3597</c:v>
                </c:pt>
                <c:pt idx="3">
                  <c:v>3564</c:v>
                </c:pt>
                <c:pt idx="4">
                  <c:v>3487</c:v>
                </c:pt>
                <c:pt idx="5">
                  <c:v>3577</c:v>
                </c:pt>
                <c:pt idx="6">
                  <c:v>3791</c:v>
                </c:pt>
                <c:pt idx="7">
                  <c:v>3854</c:v>
                </c:pt>
                <c:pt idx="8">
                  <c:v>3899</c:v>
                </c:pt>
                <c:pt idx="9">
                  <c:v>3933</c:v>
                </c:pt>
                <c:pt idx="10">
                  <c:v>3882</c:v>
                </c:pt>
                <c:pt idx="11">
                  <c:v>3967</c:v>
                </c:pt>
                <c:pt idx="12">
                  <c:v>3991</c:v>
                </c:pt>
              </c:numCache>
            </c:numRef>
          </c:val>
          <c:extLst>
            <c:ext xmlns:c16="http://schemas.microsoft.com/office/drawing/2014/chart" uri="{C3380CC4-5D6E-409C-BE32-E72D297353CC}">
              <c16:uniqueId val="{00000000-E882-4DB9-A1AA-53E6FD849A64}"/>
            </c:ext>
          </c:extLst>
        </c:ser>
        <c:ser>
          <c:idx val="2"/>
          <c:order val="1"/>
          <c:tx>
            <c:strRef>
              <c:f>OST!$D$30</c:f>
              <c:strCache>
                <c:ptCount val="1"/>
                <c:pt idx="0">
                  <c:v>General practice</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OST!$B$31:$B$44</c:f>
              <c:strCache>
                <c:ptCount val="13"/>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strCache>
            </c:strRef>
          </c:cat>
          <c:val>
            <c:numRef>
              <c:f>OST!$D$31:$D$44</c:f>
              <c:numCache>
                <c:formatCode>General</c:formatCode>
                <c:ptCount val="13"/>
                <c:pt idx="0">
                  <c:v>1110</c:v>
                </c:pt>
                <c:pt idx="1">
                  <c:v>1259</c:v>
                </c:pt>
                <c:pt idx="2">
                  <c:v>1427</c:v>
                </c:pt>
                <c:pt idx="3">
                  <c:v>1486</c:v>
                </c:pt>
                <c:pt idx="4">
                  <c:v>1558</c:v>
                </c:pt>
                <c:pt idx="5">
                  <c:v>1536</c:v>
                </c:pt>
                <c:pt idx="6">
                  <c:v>1499</c:v>
                </c:pt>
                <c:pt idx="7">
                  <c:v>1538</c:v>
                </c:pt>
                <c:pt idx="8">
                  <c:v>1533</c:v>
                </c:pt>
                <c:pt idx="9">
                  <c:v>1564</c:v>
                </c:pt>
                <c:pt idx="10">
                  <c:v>1529</c:v>
                </c:pt>
                <c:pt idx="11">
                  <c:v>1457</c:v>
                </c:pt>
                <c:pt idx="12">
                  <c:v>1491</c:v>
                </c:pt>
              </c:numCache>
            </c:numRef>
          </c:val>
          <c:extLst>
            <c:ext xmlns:c16="http://schemas.microsoft.com/office/drawing/2014/chart" uri="{C3380CC4-5D6E-409C-BE32-E72D297353CC}">
              <c16:uniqueId val="{00000001-E882-4DB9-A1AA-53E6FD849A64}"/>
            </c:ext>
          </c:extLst>
        </c:ser>
        <c:ser>
          <c:idx val="3"/>
          <c:order val="2"/>
          <c:tx>
            <c:strRef>
              <c:f>OST!$E$30</c:f>
              <c:strCache>
                <c:ptCount val="1"/>
                <c:pt idx="0">
                  <c:v>Prison service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OST!$B$31:$B$44</c:f>
              <c:strCache>
                <c:ptCount val="13"/>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strCache>
            </c:strRef>
          </c:cat>
          <c:val>
            <c:numRef>
              <c:f>OST!$E$31:$E$44</c:f>
              <c:numCache>
                <c:formatCode>General</c:formatCode>
                <c:ptCount val="13"/>
                <c:pt idx="5">
                  <c:v>64</c:v>
                </c:pt>
                <c:pt idx="6">
                  <c:v>68</c:v>
                </c:pt>
                <c:pt idx="7">
                  <c:v>60</c:v>
                </c:pt>
                <c:pt idx="8">
                  <c:v>92</c:v>
                </c:pt>
                <c:pt idx="9">
                  <c:v>74</c:v>
                </c:pt>
                <c:pt idx="10">
                  <c:v>79</c:v>
                </c:pt>
                <c:pt idx="11">
                  <c:v>64</c:v>
                </c:pt>
                <c:pt idx="12">
                  <c:v>55</c:v>
                </c:pt>
              </c:numCache>
            </c:numRef>
          </c:val>
          <c:extLst>
            <c:ext xmlns:c16="http://schemas.microsoft.com/office/drawing/2014/chart" uri="{C3380CC4-5D6E-409C-BE32-E72D297353CC}">
              <c16:uniqueId val="{00000002-E882-4DB9-A1AA-53E6FD849A64}"/>
            </c:ext>
          </c:extLst>
        </c:ser>
        <c:dLbls>
          <c:showLegendKey val="0"/>
          <c:showVal val="0"/>
          <c:showCatName val="0"/>
          <c:showSerName val="0"/>
          <c:showPercent val="0"/>
          <c:showBubbleSize val="0"/>
        </c:dLbls>
        <c:gapWidth val="40"/>
        <c:overlap val="100"/>
        <c:axId val="245073520"/>
        <c:axId val="245068032"/>
      </c:barChart>
      <c:catAx>
        <c:axId val="245073520"/>
        <c:scaling>
          <c:orientation val="minMax"/>
        </c:scaling>
        <c:delete val="0"/>
        <c:axPos val="l"/>
        <c:title>
          <c:tx>
            <c:rich>
              <a:bodyPr rot="0" spcFirstLastPara="1" vertOverflow="ellipsis"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Financial</a:t>
                </a:r>
              </a:p>
            </c:rich>
          </c:tx>
          <c:layout>
            <c:manualLayout>
              <c:xMode val="edge"/>
              <c:yMode val="edge"/>
              <c:x val="1.9444368186147892E-2"/>
              <c:y val="1.9190185496475862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45068032"/>
        <c:crosses val="autoZero"/>
        <c:auto val="1"/>
        <c:lblAlgn val="ctr"/>
        <c:lblOffset val="100"/>
        <c:noMultiLvlLbl val="0"/>
      </c:catAx>
      <c:valAx>
        <c:axId val="245068032"/>
        <c:scaling>
          <c:orientation val="minMax"/>
          <c:max val="600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Number</a:t>
                </a:r>
                <a:r>
                  <a:rPr lang="en-NZ" baseline="0">
                    <a:solidFill>
                      <a:schemeClr val="tx1"/>
                    </a:solidFill>
                  </a:rPr>
                  <a:t> of people</a:t>
                </a:r>
                <a:endParaRPr lang="en-NZ">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450735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184282072267844E-2"/>
          <c:y val="7.9828012951372512E-2"/>
          <c:w val="0.90026020940930773"/>
          <c:h val="0.72560498313779154"/>
        </c:manualLayout>
      </c:layout>
      <c:lineChart>
        <c:grouping val="standard"/>
        <c:varyColors val="0"/>
        <c:ser>
          <c:idx val="1"/>
          <c:order val="0"/>
          <c:tx>
            <c:strRef>
              <c:f>OST!$C$109</c:f>
              <c:strCache>
                <c:ptCount val="1"/>
                <c:pt idx="0">
                  <c:v>Number of people</c:v>
                </c:pt>
              </c:strCache>
            </c:strRef>
          </c:tx>
          <c:spPr>
            <a:ln w="28575" cap="rnd">
              <a:solidFill>
                <a:schemeClr val="accent2"/>
              </a:solidFill>
              <a:round/>
            </a:ln>
            <a:effectLst/>
          </c:spPr>
          <c:marker>
            <c:symbol val="none"/>
          </c:marker>
          <c:cat>
            <c:strRef>
              <c:f>OST!$B$110:$B$123</c:f>
              <c:strCache>
                <c:ptCount val="13"/>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strCache>
            </c:strRef>
          </c:cat>
          <c:val>
            <c:numRef>
              <c:f>OST!$C$110:$C$123</c:f>
              <c:numCache>
                <c:formatCode>General</c:formatCode>
                <c:ptCount val="13"/>
                <c:pt idx="0">
                  <c:v>57</c:v>
                </c:pt>
                <c:pt idx="1">
                  <c:v>56</c:v>
                </c:pt>
                <c:pt idx="2">
                  <c:v>74</c:v>
                </c:pt>
                <c:pt idx="3">
                  <c:v>84</c:v>
                </c:pt>
                <c:pt idx="4">
                  <c:v>252</c:v>
                </c:pt>
                <c:pt idx="5">
                  <c:v>401</c:v>
                </c:pt>
                <c:pt idx="6">
                  <c:v>487</c:v>
                </c:pt>
                <c:pt idx="7">
                  <c:v>639</c:v>
                </c:pt>
                <c:pt idx="8">
                  <c:v>847</c:v>
                </c:pt>
                <c:pt idx="9">
                  <c:v>948</c:v>
                </c:pt>
                <c:pt idx="10">
                  <c:v>1088</c:v>
                </c:pt>
                <c:pt idx="11">
                  <c:v>1070</c:v>
                </c:pt>
                <c:pt idx="12">
                  <c:v>1120</c:v>
                </c:pt>
              </c:numCache>
            </c:numRef>
          </c:val>
          <c:smooth val="0"/>
          <c:extLst>
            <c:ext xmlns:c16="http://schemas.microsoft.com/office/drawing/2014/chart" uri="{C3380CC4-5D6E-409C-BE32-E72D297353CC}">
              <c16:uniqueId val="{00000000-5D89-4B0B-AE7F-41446B89340C}"/>
            </c:ext>
          </c:extLst>
        </c:ser>
        <c:dLbls>
          <c:showLegendKey val="0"/>
          <c:showVal val="0"/>
          <c:showCatName val="0"/>
          <c:showSerName val="0"/>
          <c:showPercent val="0"/>
          <c:showBubbleSize val="0"/>
        </c:dLbls>
        <c:smooth val="0"/>
        <c:axId val="245071560"/>
        <c:axId val="245068424"/>
      </c:lineChart>
      <c:catAx>
        <c:axId val="245071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Financial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out"/>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245068424"/>
        <c:crosses val="autoZero"/>
        <c:auto val="1"/>
        <c:lblAlgn val="ctr"/>
        <c:lblOffset val="100"/>
        <c:noMultiLvlLbl val="0"/>
      </c:catAx>
      <c:valAx>
        <c:axId val="245068424"/>
        <c:scaling>
          <c:orientation val="minMax"/>
        </c:scaling>
        <c:delete val="0"/>
        <c:axPos val="l"/>
        <c:title>
          <c:tx>
            <c:rich>
              <a:bodyPr rot="0" spcFirstLastPara="1" vertOverflow="ellipsis" wrap="square" anchor="ctr" anchorCtr="1"/>
              <a:lstStyle/>
              <a:p>
                <a:pPr>
                  <a:defRPr sz="1000" b="0" i="0" u="none" strike="noStrike" kern="1200" baseline="0">
                    <a:solidFill>
                      <a:schemeClr val="tx1"/>
                    </a:solidFill>
                    <a:latin typeface="+mn-lt"/>
                    <a:ea typeface="+mn-ea"/>
                    <a:cs typeface="+mn-cs"/>
                  </a:defRPr>
                </a:pPr>
                <a:r>
                  <a:rPr lang="en-NZ">
                    <a:solidFill>
                      <a:schemeClr val="tx1"/>
                    </a:solidFill>
                  </a:rPr>
                  <a:t>Number of people</a:t>
                </a:r>
              </a:p>
            </c:rich>
          </c:tx>
          <c:layout>
            <c:manualLayout>
              <c:xMode val="edge"/>
              <c:yMode val="edge"/>
              <c:x val="0"/>
              <c:y val="3.4944777201995248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45071560"/>
        <c:crosses val="autoZero"/>
        <c:crossBetween val="between"/>
        <c:majorUnit val="200"/>
        <c:minorUnit val="5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277861334748889E-2"/>
          <c:y val="0.13189921259842519"/>
          <c:w val="0.89369710551425907"/>
          <c:h val="0.64389201349831271"/>
        </c:manualLayout>
      </c:layout>
      <c:lineChart>
        <c:grouping val="standard"/>
        <c:varyColors val="0"/>
        <c:ser>
          <c:idx val="4"/>
          <c:order val="0"/>
          <c:tx>
            <c:strRef>
              <c:f>OST!$C$7</c:f>
              <c:strCache>
                <c:ptCount val="1"/>
                <c:pt idx="0">
                  <c:v>19–29 years</c:v>
                </c:pt>
              </c:strCache>
            </c:strRef>
          </c:tx>
          <c:spPr>
            <a:ln w="28575" cap="rnd">
              <a:solidFill>
                <a:schemeClr val="accent4"/>
              </a:solidFill>
              <a:round/>
            </a:ln>
            <a:effectLst/>
          </c:spPr>
          <c:marker>
            <c:symbol val="none"/>
          </c:marker>
          <c:cat>
            <c:strRef>
              <c:f>OST!$B$8:$B$21</c:f>
              <c:strCache>
                <c:ptCount val="13"/>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strCache>
              <c:extLst/>
            </c:strRef>
          </c:cat>
          <c:val>
            <c:numRef>
              <c:f>OST!$C$8:$C$21</c:f>
              <c:numCache>
                <c:formatCode>General</c:formatCode>
                <c:ptCount val="13"/>
                <c:pt idx="0">
                  <c:v>430</c:v>
                </c:pt>
                <c:pt idx="1">
                  <c:v>409</c:v>
                </c:pt>
                <c:pt idx="2">
                  <c:v>357</c:v>
                </c:pt>
                <c:pt idx="3">
                  <c:v>352</c:v>
                </c:pt>
                <c:pt idx="4">
                  <c:v>343</c:v>
                </c:pt>
                <c:pt idx="5">
                  <c:v>336</c:v>
                </c:pt>
                <c:pt idx="6">
                  <c:v>350</c:v>
                </c:pt>
                <c:pt idx="7">
                  <c:v>366</c:v>
                </c:pt>
                <c:pt idx="8">
                  <c:v>349</c:v>
                </c:pt>
                <c:pt idx="9">
                  <c:v>360</c:v>
                </c:pt>
                <c:pt idx="10">
                  <c:v>315</c:v>
                </c:pt>
                <c:pt idx="11">
                  <c:v>347</c:v>
                </c:pt>
                <c:pt idx="12">
                  <c:v>293</c:v>
                </c:pt>
              </c:numCache>
              <c:extLst/>
            </c:numRef>
          </c:val>
          <c:smooth val="0"/>
          <c:extLst>
            <c:ext xmlns:c16="http://schemas.microsoft.com/office/drawing/2014/chart" uri="{C3380CC4-5D6E-409C-BE32-E72D297353CC}">
              <c16:uniqueId val="{00000000-93E0-4C5F-9913-BF90C8E2183F}"/>
            </c:ext>
          </c:extLst>
        </c:ser>
        <c:ser>
          <c:idx val="5"/>
          <c:order val="1"/>
          <c:tx>
            <c:strRef>
              <c:f>OST!$D$7</c:f>
              <c:strCache>
                <c:ptCount val="1"/>
                <c:pt idx="0">
                  <c:v>30–44 years</c:v>
                </c:pt>
              </c:strCache>
            </c:strRef>
          </c:tx>
          <c:spPr>
            <a:ln w="28575" cap="rnd">
              <a:solidFill>
                <a:schemeClr val="accent6"/>
              </a:solidFill>
              <a:round/>
            </a:ln>
            <a:effectLst/>
          </c:spPr>
          <c:marker>
            <c:symbol val="none"/>
          </c:marker>
          <c:cat>
            <c:strRef>
              <c:f>OST!$B$8:$B$21</c:f>
              <c:strCache>
                <c:ptCount val="13"/>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strCache>
              <c:extLst/>
            </c:strRef>
          </c:cat>
          <c:val>
            <c:numRef>
              <c:f>OST!$D$8:$D$21</c:f>
              <c:numCache>
                <c:formatCode>General</c:formatCode>
                <c:ptCount val="13"/>
                <c:pt idx="0">
                  <c:v>2622</c:v>
                </c:pt>
                <c:pt idx="1">
                  <c:v>2601</c:v>
                </c:pt>
                <c:pt idx="2">
                  <c:v>2459</c:v>
                </c:pt>
                <c:pt idx="3">
                  <c:v>2366</c:v>
                </c:pt>
                <c:pt idx="4">
                  <c:v>2224</c:v>
                </c:pt>
                <c:pt idx="5">
                  <c:v>2192</c:v>
                </c:pt>
                <c:pt idx="6">
                  <c:v>2091</c:v>
                </c:pt>
                <c:pt idx="7">
                  <c:v>1988</c:v>
                </c:pt>
                <c:pt idx="8">
                  <c:v>1879</c:v>
                </c:pt>
                <c:pt idx="9">
                  <c:v>1783</c:v>
                </c:pt>
                <c:pt idx="10">
                  <c:v>1722</c:v>
                </c:pt>
                <c:pt idx="11">
                  <c:v>1623</c:v>
                </c:pt>
                <c:pt idx="12">
                  <c:v>1547</c:v>
                </c:pt>
              </c:numCache>
              <c:extLst/>
            </c:numRef>
          </c:val>
          <c:smooth val="0"/>
          <c:extLst>
            <c:ext xmlns:c16="http://schemas.microsoft.com/office/drawing/2014/chart" uri="{C3380CC4-5D6E-409C-BE32-E72D297353CC}">
              <c16:uniqueId val="{00000001-93E0-4C5F-9913-BF90C8E2183F}"/>
            </c:ext>
          </c:extLst>
        </c:ser>
        <c:ser>
          <c:idx val="6"/>
          <c:order val="2"/>
          <c:tx>
            <c:strRef>
              <c:f>OST!$E$7</c:f>
              <c:strCache>
                <c:ptCount val="1"/>
                <c:pt idx="0">
                  <c:v>45–59 years</c:v>
                </c:pt>
              </c:strCache>
            </c:strRef>
          </c:tx>
          <c:spPr>
            <a:ln w="28575" cap="rnd">
              <a:solidFill>
                <a:schemeClr val="accent1">
                  <a:lumMod val="60000"/>
                </a:schemeClr>
              </a:solidFill>
              <a:round/>
            </a:ln>
            <a:effectLst/>
          </c:spPr>
          <c:marker>
            <c:symbol val="none"/>
          </c:marker>
          <c:cat>
            <c:strRef>
              <c:f>OST!$B$8:$B$21</c:f>
              <c:strCache>
                <c:ptCount val="13"/>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strCache>
              <c:extLst/>
            </c:strRef>
          </c:cat>
          <c:val>
            <c:numRef>
              <c:f>OST!$E$8:$E$21</c:f>
              <c:numCache>
                <c:formatCode>General</c:formatCode>
                <c:ptCount val="13"/>
                <c:pt idx="0">
                  <c:v>1774</c:v>
                </c:pt>
                <c:pt idx="1">
                  <c:v>1799</c:v>
                </c:pt>
                <c:pt idx="2">
                  <c:v>1945</c:v>
                </c:pt>
                <c:pt idx="3">
                  <c:v>2080</c:v>
                </c:pt>
                <c:pt idx="4">
                  <c:v>2192</c:v>
                </c:pt>
                <c:pt idx="5">
                  <c:v>2428</c:v>
                </c:pt>
                <c:pt idx="6">
                  <c:v>2624</c:v>
                </c:pt>
                <c:pt idx="7">
                  <c:v>2730</c:v>
                </c:pt>
                <c:pt idx="8">
                  <c:v>2842</c:v>
                </c:pt>
                <c:pt idx="9">
                  <c:v>2862</c:v>
                </c:pt>
                <c:pt idx="10">
                  <c:v>2863</c:v>
                </c:pt>
                <c:pt idx="11">
                  <c:v>2814</c:v>
                </c:pt>
                <c:pt idx="12">
                  <c:v>2830</c:v>
                </c:pt>
              </c:numCache>
              <c:extLst/>
            </c:numRef>
          </c:val>
          <c:smooth val="0"/>
          <c:extLst>
            <c:ext xmlns:c16="http://schemas.microsoft.com/office/drawing/2014/chart" uri="{C3380CC4-5D6E-409C-BE32-E72D297353CC}">
              <c16:uniqueId val="{00000002-93E0-4C5F-9913-BF90C8E2183F}"/>
            </c:ext>
          </c:extLst>
        </c:ser>
        <c:ser>
          <c:idx val="7"/>
          <c:order val="3"/>
          <c:tx>
            <c:strRef>
              <c:f>OST!$F$7</c:f>
              <c:strCache>
                <c:ptCount val="1"/>
                <c:pt idx="0">
                  <c:v>60+ years</c:v>
                </c:pt>
              </c:strCache>
            </c:strRef>
          </c:tx>
          <c:spPr>
            <a:ln w="28575" cap="rnd">
              <a:solidFill>
                <a:schemeClr val="accent2">
                  <a:lumMod val="60000"/>
                </a:schemeClr>
              </a:solidFill>
              <a:round/>
            </a:ln>
            <a:effectLst/>
          </c:spPr>
          <c:marker>
            <c:symbol val="none"/>
          </c:marker>
          <c:cat>
            <c:strRef>
              <c:f>OST!$B$8:$B$21</c:f>
              <c:strCache>
                <c:ptCount val="13"/>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strCache>
              <c:extLst/>
            </c:strRef>
          </c:cat>
          <c:val>
            <c:numRef>
              <c:f>OST!$F$8:$F$21</c:f>
              <c:numCache>
                <c:formatCode>General</c:formatCode>
                <c:ptCount val="13"/>
                <c:pt idx="0">
                  <c:v>66</c:v>
                </c:pt>
                <c:pt idx="1">
                  <c:v>69</c:v>
                </c:pt>
                <c:pt idx="2">
                  <c:v>100</c:v>
                </c:pt>
                <c:pt idx="3">
                  <c:v>118</c:v>
                </c:pt>
                <c:pt idx="4">
                  <c:v>141</c:v>
                </c:pt>
                <c:pt idx="5">
                  <c:v>218</c:v>
                </c:pt>
                <c:pt idx="6">
                  <c:v>296</c:v>
                </c:pt>
                <c:pt idx="7">
                  <c:v>371</c:v>
                </c:pt>
                <c:pt idx="8">
                  <c:v>452</c:v>
                </c:pt>
                <c:pt idx="9">
                  <c:v>563</c:v>
                </c:pt>
                <c:pt idx="10">
                  <c:v>657</c:v>
                </c:pt>
                <c:pt idx="11">
                  <c:v>699</c:v>
                </c:pt>
                <c:pt idx="12">
                  <c:v>869</c:v>
                </c:pt>
              </c:numCache>
              <c:extLst/>
            </c:numRef>
          </c:val>
          <c:smooth val="0"/>
          <c:extLst>
            <c:ext xmlns:c16="http://schemas.microsoft.com/office/drawing/2014/chart" uri="{C3380CC4-5D6E-409C-BE32-E72D297353CC}">
              <c16:uniqueId val="{00000003-93E0-4C5F-9913-BF90C8E2183F}"/>
            </c:ext>
          </c:extLst>
        </c:ser>
        <c:dLbls>
          <c:showLegendKey val="0"/>
          <c:showVal val="0"/>
          <c:showCatName val="0"/>
          <c:showSerName val="0"/>
          <c:showPercent val="0"/>
          <c:showBubbleSize val="0"/>
        </c:dLbls>
        <c:smooth val="0"/>
        <c:axId val="245067640"/>
        <c:axId val="245068816"/>
      </c:lineChart>
      <c:catAx>
        <c:axId val="245067640"/>
        <c:scaling>
          <c:orientation val="minMax"/>
        </c:scaling>
        <c:delete val="0"/>
        <c:axPos val="b"/>
        <c:numFmt formatCode="General" sourceLinked="1"/>
        <c:majorTickMark val="none"/>
        <c:minorTickMark val="out"/>
        <c:tickLblPos val="nextTo"/>
        <c:spPr>
          <a:noFill/>
          <a:ln w="9525" cap="flat" cmpd="sng" algn="ctr">
            <a:solidFill>
              <a:schemeClr val="tx1"/>
            </a:solidFill>
            <a:round/>
          </a:ln>
          <a:effectLst/>
        </c:spPr>
        <c:txPr>
          <a:bodyPr rot="-540000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crossAx val="245068816"/>
        <c:crosses val="autoZero"/>
        <c:auto val="1"/>
        <c:lblAlgn val="ctr"/>
        <c:lblOffset val="100"/>
        <c:noMultiLvlLbl val="0"/>
      </c:catAx>
      <c:valAx>
        <c:axId val="245068816"/>
        <c:scaling>
          <c:orientation val="minMax"/>
        </c:scaling>
        <c:delete val="0"/>
        <c:axPos val="l"/>
        <c:numFmt formatCode="#,##0" sourceLinked="0"/>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45067640"/>
        <c:crosses val="autoZero"/>
        <c:crossBetween val="between"/>
        <c:minorUnit val="250"/>
      </c:valAx>
      <c:spPr>
        <a:noFill/>
        <a:ln>
          <a:noFill/>
        </a:ln>
        <a:effectLst/>
      </c:spPr>
    </c:plotArea>
    <c:legend>
      <c:legendPos val="t"/>
      <c:layout>
        <c:manualLayout>
          <c:xMode val="edge"/>
          <c:yMode val="edge"/>
          <c:x val="0.2647686978736894"/>
          <c:y val="0"/>
          <c:w val="0.7352313021263106"/>
          <c:h val="6.888728908886389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288970969255923E-2"/>
          <c:y val="0.10030090270812438"/>
          <c:w val="0.79076177133076642"/>
          <c:h val="0.65065393029482155"/>
        </c:manualLayout>
      </c:layout>
      <c:lineChart>
        <c:grouping val="standard"/>
        <c:varyColors val="0"/>
        <c:ser>
          <c:idx val="0"/>
          <c:order val="0"/>
          <c:tx>
            <c:strRef>
              <c:f>Justice!$B$95</c:f>
              <c:strCache>
                <c:ptCount val="1"/>
                <c:pt idx="0">
                  <c:v>0–14</c:v>
                </c:pt>
              </c:strCache>
            </c:strRef>
          </c:tx>
          <c:spPr>
            <a:ln w="28575" cap="rnd">
              <a:solidFill>
                <a:schemeClr val="accent1"/>
              </a:solidFill>
              <a:round/>
            </a:ln>
            <a:effectLst/>
          </c:spPr>
          <c:marker>
            <c:symbol val="none"/>
          </c:marker>
          <c:cat>
            <c:strRef>
              <c:f>Justice!$C$93:$S$93</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Justice!$C$95:$S$95</c:f>
              <c:numCache>
                <c:formatCode>_-* #,##0.0_-;\-* #,##0.0_-;_-* "-"??_-;_-@_-</c:formatCode>
                <c:ptCount val="17"/>
                <c:pt idx="0">
                  <c:v>3.0678724162761992</c:v>
                </c:pt>
                <c:pt idx="1">
                  <c:v>2.269954317169367</c:v>
                </c:pt>
                <c:pt idx="2">
                  <c:v>2.5894194071355394</c:v>
                </c:pt>
                <c:pt idx="3">
                  <c:v>2.0277691722758893</c:v>
                </c:pt>
                <c:pt idx="4">
                  <c:v>3.0397874400486367</c:v>
                </c:pt>
                <c:pt idx="5">
                  <c:v>1.3479813978567095</c:v>
                </c:pt>
                <c:pt idx="6">
                  <c:v>1.5663021284927139</c:v>
                </c:pt>
                <c:pt idx="7">
                  <c:v>1.6769519720955193</c:v>
                </c:pt>
                <c:pt idx="8">
                  <c:v>1.2314719448300568</c:v>
                </c:pt>
                <c:pt idx="9">
                  <c:v>0.99046403239917891</c:v>
                </c:pt>
                <c:pt idx="10">
                  <c:v>1.539451185652315</c:v>
                </c:pt>
                <c:pt idx="11">
                  <c:v>2.1809299485300531</c:v>
                </c:pt>
                <c:pt idx="12">
                  <c:v>1.831679434549784</c:v>
                </c:pt>
                <c:pt idx="13">
                  <c:v>2.1323893956275355</c:v>
                </c:pt>
                <c:pt idx="14">
                  <c:v>1.8974831993675056</c:v>
                </c:pt>
                <c:pt idx="15">
                  <c:v>1.7691655262486927</c:v>
                </c:pt>
                <c:pt idx="16">
                  <c:v>2.8965267540797064</c:v>
                </c:pt>
              </c:numCache>
            </c:numRef>
          </c:val>
          <c:smooth val="0"/>
          <c:extLst>
            <c:ext xmlns:c16="http://schemas.microsoft.com/office/drawing/2014/chart" uri="{C3380CC4-5D6E-409C-BE32-E72D297353CC}">
              <c16:uniqueId val="{00000000-3D7B-46BE-8A53-B30C0EBF7748}"/>
            </c:ext>
          </c:extLst>
        </c:ser>
        <c:ser>
          <c:idx val="1"/>
          <c:order val="1"/>
          <c:tx>
            <c:strRef>
              <c:f>Justice!$B$96</c:f>
              <c:strCache>
                <c:ptCount val="1"/>
                <c:pt idx="0">
                  <c:v>15–24</c:v>
                </c:pt>
              </c:strCache>
            </c:strRef>
          </c:tx>
          <c:spPr>
            <a:ln w="28575" cap="rnd">
              <a:solidFill>
                <a:schemeClr val="accent2"/>
              </a:solidFill>
              <a:round/>
            </a:ln>
            <a:effectLst/>
          </c:spPr>
          <c:marker>
            <c:symbol val="none"/>
          </c:marker>
          <c:cat>
            <c:strRef>
              <c:f>Justice!$C$93:$S$93</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Justice!$C$96:$S$96</c:f>
              <c:numCache>
                <c:formatCode>_-* #,##0.0_-;\-* #,##0.0_-;_-* "-"??_-;_-@_-</c:formatCode>
                <c:ptCount val="17"/>
                <c:pt idx="0">
                  <c:v>133.48857945470522</c:v>
                </c:pt>
                <c:pt idx="1">
                  <c:v>119.51686825290986</c:v>
                </c:pt>
                <c:pt idx="2">
                  <c:v>115.26567332021366</c:v>
                </c:pt>
                <c:pt idx="3">
                  <c:v>121.09981388015183</c:v>
                </c:pt>
                <c:pt idx="4">
                  <c:v>125.74576230357243</c:v>
                </c:pt>
                <c:pt idx="5">
                  <c:v>127.46537561014325</c:v>
                </c:pt>
                <c:pt idx="6">
                  <c:v>136.52572592969943</c:v>
                </c:pt>
                <c:pt idx="7">
                  <c:v>132.79571566460132</c:v>
                </c:pt>
                <c:pt idx="8">
                  <c:v>127.17859419456148</c:v>
                </c:pt>
                <c:pt idx="9">
                  <c:v>139.78657443196761</c:v>
                </c:pt>
                <c:pt idx="10">
                  <c:v>143.32267921195972</c:v>
                </c:pt>
                <c:pt idx="11">
                  <c:v>155.15473059987508</c:v>
                </c:pt>
                <c:pt idx="12">
                  <c:v>147.00365212198241</c:v>
                </c:pt>
                <c:pt idx="13">
                  <c:v>149.82883056448864</c:v>
                </c:pt>
                <c:pt idx="14">
                  <c:v>153.24586355309989</c:v>
                </c:pt>
                <c:pt idx="15">
                  <c:v>156.91367456073337</c:v>
                </c:pt>
                <c:pt idx="16">
                  <c:v>166.22238563593467</c:v>
                </c:pt>
              </c:numCache>
            </c:numRef>
          </c:val>
          <c:smooth val="0"/>
          <c:extLst>
            <c:ext xmlns:c16="http://schemas.microsoft.com/office/drawing/2014/chart" uri="{C3380CC4-5D6E-409C-BE32-E72D297353CC}">
              <c16:uniqueId val="{00000001-3D7B-46BE-8A53-B30C0EBF7748}"/>
            </c:ext>
          </c:extLst>
        </c:ser>
        <c:ser>
          <c:idx val="2"/>
          <c:order val="2"/>
          <c:tx>
            <c:strRef>
              <c:f>Justice!$B$97</c:f>
              <c:strCache>
                <c:ptCount val="1"/>
                <c:pt idx="0">
                  <c:v>25–34</c:v>
                </c:pt>
              </c:strCache>
            </c:strRef>
          </c:tx>
          <c:spPr>
            <a:ln w="28575" cap="rnd">
              <a:solidFill>
                <a:schemeClr val="accent3"/>
              </a:solidFill>
              <a:round/>
            </a:ln>
            <a:effectLst/>
          </c:spPr>
          <c:marker>
            <c:symbol val="none"/>
          </c:marker>
          <c:cat>
            <c:strRef>
              <c:f>Justice!$C$93:$S$93</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Justice!$C$97:$S$97</c:f>
              <c:numCache>
                <c:formatCode>_-* #,##0.0_-;\-* #,##0.0_-;_-* "-"??_-;_-@_-</c:formatCode>
                <c:ptCount val="17"/>
                <c:pt idx="0">
                  <c:v>205.68298212703272</c:v>
                </c:pt>
                <c:pt idx="1">
                  <c:v>191.81195775701971</c:v>
                </c:pt>
                <c:pt idx="2">
                  <c:v>187.60867575729844</c:v>
                </c:pt>
                <c:pt idx="3">
                  <c:v>192.64206662434796</c:v>
                </c:pt>
                <c:pt idx="4">
                  <c:v>181.17904050370345</c:v>
                </c:pt>
                <c:pt idx="5">
                  <c:v>188.11629007022523</c:v>
                </c:pt>
                <c:pt idx="6">
                  <c:v>188.96366083445491</c:v>
                </c:pt>
                <c:pt idx="7">
                  <c:v>192.18879723022027</c:v>
                </c:pt>
                <c:pt idx="8">
                  <c:v>194.02777294400167</c:v>
                </c:pt>
                <c:pt idx="9">
                  <c:v>233.89360848798631</c:v>
                </c:pt>
                <c:pt idx="10">
                  <c:v>214.5068359803208</c:v>
                </c:pt>
                <c:pt idx="11">
                  <c:v>212.59445843828715</c:v>
                </c:pt>
                <c:pt idx="12">
                  <c:v>204.59022618849832</c:v>
                </c:pt>
                <c:pt idx="13">
                  <c:v>180.28863586917106</c:v>
                </c:pt>
                <c:pt idx="14">
                  <c:v>173.77872176095772</c:v>
                </c:pt>
                <c:pt idx="15">
                  <c:v>194.35794491300001</c:v>
                </c:pt>
                <c:pt idx="16">
                  <c:v>210.78243943133234</c:v>
                </c:pt>
              </c:numCache>
            </c:numRef>
          </c:val>
          <c:smooth val="0"/>
          <c:extLst>
            <c:ext xmlns:c16="http://schemas.microsoft.com/office/drawing/2014/chart" uri="{C3380CC4-5D6E-409C-BE32-E72D297353CC}">
              <c16:uniqueId val="{00000002-3D7B-46BE-8A53-B30C0EBF7748}"/>
            </c:ext>
          </c:extLst>
        </c:ser>
        <c:ser>
          <c:idx val="3"/>
          <c:order val="3"/>
          <c:tx>
            <c:strRef>
              <c:f>Justice!$B$98</c:f>
              <c:strCache>
                <c:ptCount val="1"/>
                <c:pt idx="0">
                  <c:v>35–44</c:v>
                </c:pt>
              </c:strCache>
            </c:strRef>
          </c:tx>
          <c:spPr>
            <a:ln w="28575" cap="rnd">
              <a:solidFill>
                <a:schemeClr val="accent4"/>
              </a:solidFill>
              <a:round/>
            </a:ln>
            <a:effectLst/>
          </c:spPr>
          <c:marker>
            <c:symbol val="none"/>
          </c:marker>
          <c:cat>
            <c:strRef>
              <c:f>Justice!$C$93:$S$93</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Justice!$C$98:$S$98</c:f>
              <c:numCache>
                <c:formatCode>_-* #,##0.0_-;\-* #,##0.0_-;_-* "-"??_-;_-@_-</c:formatCode>
                <c:ptCount val="17"/>
                <c:pt idx="0">
                  <c:v>152.63839430236322</c:v>
                </c:pt>
                <c:pt idx="1">
                  <c:v>146.00767785148659</c:v>
                </c:pt>
                <c:pt idx="2">
                  <c:v>139.05073855941544</c:v>
                </c:pt>
                <c:pt idx="3">
                  <c:v>156.03734768159518</c:v>
                </c:pt>
                <c:pt idx="4">
                  <c:v>158.71492112252409</c:v>
                </c:pt>
                <c:pt idx="5">
                  <c:v>161.61518114974885</c:v>
                </c:pt>
                <c:pt idx="6">
                  <c:v>177.39445764829833</c:v>
                </c:pt>
                <c:pt idx="7">
                  <c:v>174.61673037220061</c:v>
                </c:pt>
                <c:pt idx="8">
                  <c:v>167.55585897662814</c:v>
                </c:pt>
                <c:pt idx="9">
                  <c:v>168.31950347433042</c:v>
                </c:pt>
                <c:pt idx="10">
                  <c:v>170.97079675462621</c:v>
                </c:pt>
                <c:pt idx="11">
                  <c:v>172.79983591706974</c:v>
                </c:pt>
                <c:pt idx="12">
                  <c:v>171.51475975005386</c:v>
                </c:pt>
                <c:pt idx="13">
                  <c:v>160.22208322980302</c:v>
                </c:pt>
                <c:pt idx="14">
                  <c:v>170.61243105821939</c:v>
                </c:pt>
                <c:pt idx="15">
                  <c:v>164.54823135284266</c:v>
                </c:pt>
                <c:pt idx="16">
                  <c:v>154.11000265706903</c:v>
                </c:pt>
              </c:numCache>
            </c:numRef>
          </c:val>
          <c:smooth val="0"/>
          <c:extLst>
            <c:ext xmlns:c16="http://schemas.microsoft.com/office/drawing/2014/chart" uri="{C3380CC4-5D6E-409C-BE32-E72D297353CC}">
              <c16:uniqueId val="{00000003-3D7B-46BE-8A53-B30C0EBF7748}"/>
            </c:ext>
          </c:extLst>
        </c:ser>
        <c:ser>
          <c:idx val="4"/>
          <c:order val="4"/>
          <c:tx>
            <c:strRef>
              <c:f>Justice!$B$99</c:f>
              <c:strCache>
                <c:ptCount val="1"/>
                <c:pt idx="0">
                  <c:v>45–54</c:v>
                </c:pt>
              </c:strCache>
            </c:strRef>
          </c:tx>
          <c:spPr>
            <a:ln w="28575" cap="rnd">
              <a:solidFill>
                <a:schemeClr val="accent5"/>
              </a:solidFill>
              <a:round/>
            </a:ln>
            <a:effectLst/>
          </c:spPr>
          <c:marker>
            <c:symbol val="none"/>
          </c:marker>
          <c:cat>
            <c:strRef>
              <c:f>Justice!$C$93:$S$93</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Justice!$C$99:$S$99</c:f>
              <c:numCache>
                <c:formatCode>_-* #,##0.0_-;\-* #,##0.0_-;_-* "-"??_-;_-@_-</c:formatCode>
                <c:ptCount val="17"/>
                <c:pt idx="0">
                  <c:v>101.38851100739717</c:v>
                </c:pt>
                <c:pt idx="1">
                  <c:v>109.53002491808067</c:v>
                </c:pt>
                <c:pt idx="2">
                  <c:v>113.94708845846118</c:v>
                </c:pt>
                <c:pt idx="3">
                  <c:v>125.09330519162955</c:v>
                </c:pt>
                <c:pt idx="4">
                  <c:v>125.78299494516936</c:v>
                </c:pt>
                <c:pt idx="5">
                  <c:v>122.21067735391618</c:v>
                </c:pt>
                <c:pt idx="6">
                  <c:v>115.78107443534336</c:v>
                </c:pt>
                <c:pt idx="7">
                  <c:v>116.64452580760133</c:v>
                </c:pt>
                <c:pt idx="8">
                  <c:v>132.94409716887296</c:v>
                </c:pt>
                <c:pt idx="9">
                  <c:v>135.87825308523563</c:v>
                </c:pt>
                <c:pt idx="10">
                  <c:v>132.5103797146175</c:v>
                </c:pt>
                <c:pt idx="11">
                  <c:v>145.83333333333331</c:v>
                </c:pt>
                <c:pt idx="12">
                  <c:v>147.2809372138704</c:v>
                </c:pt>
                <c:pt idx="13">
                  <c:v>149.62241513162539</c:v>
                </c:pt>
                <c:pt idx="14">
                  <c:v>145.87536998798765</c:v>
                </c:pt>
                <c:pt idx="15">
                  <c:v>135.59800286872076</c:v>
                </c:pt>
                <c:pt idx="16">
                  <c:v>134.92899715359573</c:v>
                </c:pt>
              </c:numCache>
            </c:numRef>
          </c:val>
          <c:smooth val="0"/>
          <c:extLst>
            <c:ext xmlns:c16="http://schemas.microsoft.com/office/drawing/2014/chart" uri="{C3380CC4-5D6E-409C-BE32-E72D297353CC}">
              <c16:uniqueId val="{00000004-3D7B-46BE-8A53-B30C0EBF7748}"/>
            </c:ext>
          </c:extLst>
        </c:ser>
        <c:ser>
          <c:idx val="5"/>
          <c:order val="5"/>
          <c:tx>
            <c:strRef>
              <c:f>Justice!$B$100</c:f>
              <c:strCache>
                <c:ptCount val="1"/>
                <c:pt idx="0">
                  <c:v>55–64</c:v>
                </c:pt>
              </c:strCache>
            </c:strRef>
          </c:tx>
          <c:spPr>
            <a:ln w="28575" cap="rnd">
              <a:solidFill>
                <a:schemeClr val="accent6"/>
              </a:solidFill>
              <a:round/>
            </a:ln>
            <a:effectLst/>
          </c:spPr>
          <c:marker>
            <c:symbol val="none"/>
          </c:marker>
          <c:cat>
            <c:strRef>
              <c:f>Justice!$C$93:$S$93</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Justice!$C$100:$S$100</c:f>
              <c:numCache>
                <c:formatCode>_-* #,##0.0_-;\-* #,##0.0_-;_-* "-"??_-;_-@_-</c:formatCode>
                <c:ptCount val="17"/>
                <c:pt idx="0">
                  <c:v>77.321366931308248</c:v>
                </c:pt>
                <c:pt idx="1">
                  <c:v>72.396442921437796</c:v>
                </c:pt>
                <c:pt idx="2">
                  <c:v>79.135099908063637</c:v>
                </c:pt>
                <c:pt idx="3">
                  <c:v>73.22092481211557</c:v>
                </c:pt>
                <c:pt idx="4">
                  <c:v>74.413279908414424</c:v>
                </c:pt>
                <c:pt idx="5">
                  <c:v>89.777160262918827</c:v>
                </c:pt>
                <c:pt idx="6">
                  <c:v>85.736231342508972</c:v>
                </c:pt>
                <c:pt idx="7">
                  <c:v>87.586220846734221</c:v>
                </c:pt>
                <c:pt idx="8">
                  <c:v>91.773385718141739</c:v>
                </c:pt>
                <c:pt idx="9">
                  <c:v>97.525771185035651</c:v>
                </c:pt>
                <c:pt idx="10">
                  <c:v>96.980089549395061</c:v>
                </c:pt>
                <c:pt idx="11">
                  <c:v>108.15022307142922</c:v>
                </c:pt>
                <c:pt idx="12">
                  <c:v>105.0961904846299</c:v>
                </c:pt>
                <c:pt idx="13">
                  <c:v>103.28151986183074</c:v>
                </c:pt>
                <c:pt idx="14">
                  <c:v>106.45860131338434</c:v>
                </c:pt>
                <c:pt idx="15">
                  <c:v>101.7349895101402</c:v>
                </c:pt>
                <c:pt idx="16">
                  <c:v>104.45968843047261</c:v>
                </c:pt>
              </c:numCache>
            </c:numRef>
          </c:val>
          <c:smooth val="0"/>
          <c:extLst>
            <c:ext xmlns:c16="http://schemas.microsoft.com/office/drawing/2014/chart" uri="{C3380CC4-5D6E-409C-BE32-E72D297353CC}">
              <c16:uniqueId val="{00000005-3D7B-46BE-8A53-B30C0EBF7748}"/>
            </c:ext>
          </c:extLst>
        </c:ser>
        <c:ser>
          <c:idx val="6"/>
          <c:order val="6"/>
          <c:tx>
            <c:strRef>
              <c:f>Justice!$B$101</c:f>
              <c:strCache>
                <c:ptCount val="1"/>
                <c:pt idx="0">
                  <c:v>65+</c:v>
                </c:pt>
              </c:strCache>
            </c:strRef>
          </c:tx>
          <c:spPr>
            <a:ln w="28575" cap="rnd">
              <a:solidFill>
                <a:schemeClr val="accent1">
                  <a:lumMod val="60000"/>
                </a:schemeClr>
              </a:solidFill>
              <a:round/>
            </a:ln>
            <a:effectLst/>
          </c:spPr>
          <c:marker>
            <c:symbol val="none"/>
          </c:marker>
          <c:cat>
            <c:strRef>
              <c:f>Justice!$C$93:$S$93</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Justice!$C$101:$S$101</c:f>
              <c:numCache>
                <c:formatCode>_-* #,##0.0_-;\-* #,##0.0_-;_-* "-"??_-;_-@_-</c:formatCode>
                <c:ptCount val="17"/>
                <c:pt idx="0">
                  <c:v>47.847501424945619</c:v>
                </c:pt>
                <c:pt idx="1">
                  <c:v>42.117507846892828</c:v>
                </c:pt>
                <c:pt idx="2">
                  <c:v>51.221896383186703</c:v>
                </c:pt>
                <c:pt idx="3">
                  <c:v>61.090715918684843</c:v>
                </c:pt>
                <c:pt idx="4">
                  <c:v>54.286192344159588</c:v>
                </c:pt>
                <c:pt idx="5">
                  <c:v>56.756048405317721</c:v>
                </c:pt>
                <c:pt idx="6">
                  <c:v>56.652751955660008</c:v>
                </c:pt>
                <c:pt idx="7">
                  <c:v>53.501904088465565</c:v>
                </c:pt>
                <c:pt idx="8">
                  <c:v>59.176447446069112</c:v>
                </c:pt>
                <c:pt idx="9">
                  <c:v>57.195807770961146</c:v>
                </c:pt>
                <c:pt idx="10">
                  <c:v>62.487013936451014</c:v>
                </c:pt>
                <c:pt idx="11">
                  <c:v>58.294839061969626</c:v>
                </c:pt>
                <c:pt idx="12">
                  <c:v>58.682834575592395</c:v>
                </c:pt>
                <c:pt idx="13">
                  <c:v>62.797762659797876</c:v>
                </c:pt>
                <c:pt idx="14">
                  <c:v>57.472020200691773</c:v>
                </c:pt>
                <c:pt idx="15">
                  <c:v>59.100221466272664</c:v>
                </c:pt>
                <c:pt idx="16">
                  <c:v>62.21300548066953</c:v>
                </c:pt>
              </c:numCache>
            </c:numRef>
          </c:val>
          <c:smooth val="0"/>
          <c:extLst>
            <c:ext xmlns:c16="http://schemas.microsoft.com/office/drawing/2014/chart" uri="{C3380CC4-5D6E-409C-BE32-E72D297353CC}">
              <c16:uniqueId val="{00000006-3D7B-46BE-8A53-B30C0EBF7748}"/>
            </c:ext>
          </c:extLst>
        </c:ser>
        <c:dLbls>
          <c:showLegendKey val="0"/>
          <c:showVal val="0"/>
          <c:showCatName val="0"/>
          <c:showSerName val="0"/>
          <c:showPercent val="0"/>
          <c:showBubbleSize val="0"/>
        </c:dLbls>
        <c:smooth val="0"/>
        <c:axId val="681513416"/>
        <c:axId val="681516696"/>
      </c:lineChart>
      <c:catAx>
        <c:axId val="681513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Financial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out"/>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516696"/>
        <c:crosses val="autoZero"/>
        <c:auto val="1"/>
        <c:lblAlgn val="ctr"/>
        <c:lblOffset val="100"/>
        <c:noMultiLvlLbl val="0"/>
      </c:catAx>
      <c:valAx>
        <c:axId val="681516696"/>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Rate</a:t>
                </a:r>
              </a:p>
            </c:rich>
          </c:tx>
          <c:layout>
            <c:manualLayout>
              <c:xMode val="edge"/>
              <c:yMode val="edge"/>
              <c:x val="0"/>
              <c:y val="1.3422156232476927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_-;\-* #,##0.0_-;_-* &quot;-&quot;??_-;_-@_-" sourceLinked="1"/>
        <c:majorTickMark val="out"/>
        <c:minorTickMark val="out"/>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513416"/>
        <c:crosses val="autoZero"/>
        <c:crossBetween val="between"/>
        <c:minorUnit val="25"/>
      </c:valAx>
      <c:spPr>
        <a:noFill/>
        <a:ln>
          <a:noFill/>
        </a:ln>
        <a:effectLst/>
      </c:spPr>
    </c:plotArea>
    <c:legend>
      <c:legendPos val="r"/>
      <c:layout>
        <c:manualLayout>
          <c:xMode val="edge"/>
          <c:yMode val="edge"/>
          <c:x val="0.88096609793928649"/>
          <c:y val="0.20379682354149062"/>
          <c:w val="0.11681808109904719"/>
          <c:h val="0.592406352917018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13954380344286E-2"/>
          <c:y val="6.8995399104523694E-2"/>
          <c:w val="0.89027114590618861"/>
          <c:h val="0.77358184344603986"/>
        </c:manualLayout>
      </c:layout>
      <c:barChart>
        <c:barDir val="col"/>
        <c:grouping val="percentStacked"/>
        <c:varyColors val="0"/>
        <c:ser>
          <c:idx val="1"/>
          <c:order val="0"/>
          <c:tx>
            <c:strRef>
              <c:f>OST!$C$80</c:f>
              <c:strCache>
                <c:ptCount val="1"/>
                <c:pt idx="0">
                  <c:v>Voluntary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OST!$B$83:$B$95</c:f>
              <c:strCache>
                <c:ptCount val="13"/>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strCache>
            </c:strRef>
          </c:cat>
          <c:val>
            <c:numRef>
              <c:f>OST!$D$83:$D$95</c:f>
              <c:numCache>
                <c:formatCode>0%</c:formatCode>
                <c:ptCount val="13"/>
                <c:pt idx="0">
                  <c:v>0.74410774410774416</c:v>
                </c:pt>
                <c:pt idx="1">
                  <c:v>0.65925925925925921</c:v>
                </c:pt>
                <c:pt idx="2">
                  <c:v>0.72932330827067671</c:v>
                </c:pt>
                <c:pt idx="3">
                  <c:v>0.66787003610108309</c:v>
                </c:pt>
                <c:pt idx="4">
                  <c:v>0.76127320954907163</c:v>
                </c:pt>
                <c:pt idx="5">
                  <c:v>0.86004514672686228</c:v>
                </c:pt>
                <c:pt idx="6">
                  <c:v>0.8447058823529412</c:v>
                </c:pt>
                <c:pt idx="7">
                  <c:v>0.79701492537313434</c:v>
                </c:pt>
                <c:pt idx="8">
                  <c:v>0.75852272727272729</c:v>
                </c:pt>
                <c:pt idx="9">
                  <c:v>0.88590604026845643</c:v>
                </c:pt>
                <c:pt idx="10">
                  <c:v>0.88387096774193552</c:v>
                </c:pt>
                <c:pt idx="11">
                  <c:v>0.85583524027459956</c:v>
                </c:pt>
                <c:pt idx="12">
                  <c:v>0.78734177215189871</c:v>
                </c:pt>
              </c:numCache>
            </c:numRef>
          </c:val>
          <c:extLst>
            <c:ext xmlns:c16="http://schemas.microsoft.com/office/drawing/2014/chart" uri="{C3380CC4-5D6E-409C-BE32-E72D297353CC}">
              <c16:uniqueId val="{00000000-1F4E-4004-83E3-85AE2E8A1054}"/>
            </c:ext>
          </c:extLst>
        </c:ser>
        <c:ser>
          <c:idx val="2"/>
          <c:order val="1"/>
          <c:tx>
            <c:strRef>
              <c:f>OST!$E$80</c:f>
              <c:strCache>
                <c:ptCount val="1"/>
                <c:pt idx="0">
                  <c:v>Involuntary</c:v>
                </c:pt>
              </c:strCache>
            </c:strRef>
          </c:tx>
          <c:spPr>
            <a:solidFill>
              <a:schemeClr val="accent3"/>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1-1F4E-4004-83E3-85AE2E8A1054}"/>
                </c:ext>
              </c:extLst>
            </c:dLbl>
            <c:dLbl>
              <c:idx val="6"/>
              <c:delete val="1"/>
              <c:extLst>
                <c:ext xmlns:c15="http://schemas.microsoft.com/office/drawing/2012/chart" uri="{CE6537A1-D6FC-4f65-9D91-7224C49458BB}"/>
                <c:ext xmlns:c16="http://schemas.microsoft.com/office/drawing/2014/chart" uri="{C3380CC4-5D6E-409C-BE32-E72D297353CC}">
                  <c16:uniqueId val="{00000002-1F4E-4004-83E3-85AE2E8A1054}"/>
                </c:ext>
              </c:extLst>
            </c:dLbl>
            <c:dLbl>
              <c:idx val="7"/>
              <c:delete val="1"/>
              <c:extLst>
                <c:ext xmlns:c15="http://schemas.microsoft.com/office/drawing/2012/chart" uri="{CE6537A1-D6FC-4f65-9D91-7224C49458BB}"/>
                <c:ext xmlns:c16="http://schemas.microsoft.com/office/drawing/2014/chart" uri="{C3380CC4-5D6E-409C-BE32-E72D297353CC}">
                  <c16:uniqueId val="{00000003-1F4E-4004-83E3-85AE2E8A1054}"/>
                </c:ext>
              </c:extLst>
            </c:dLbl>
            <c:dLbl>
              <c:idx val="9"/>
              <c:delete val="1"/>
              <c:extLst>
                <c:ext xmlns:c15="http://schemas.microsoft.com/office/drawing/2012/chart" uri="{CE6537A1-D6FC-4f65-9D91-7224C49458BB}"/>
                <c:ext xmlns:c16="http://schemas.microsoft.com/office/drawing/2014/chart" uri="{C3380CC4-5D6E-409C-BE32-E72D297353CC}">
                  <c16:uniqueId val="{00000004-1F4E-4004-83E3-85AE2E8A1054}"/>
                </c:ext>
              </c:extLst>
            </c:dLbl>
            <c:dLbl>
              <c:idx val="10"/>
              <c:delete val="1"/>
              <c:extLst>
                <c:ext xmlns:c15="http://schemas.microsoft.com/office/drawing/2012/chart" uri="{CE6537A1-D6FC-4f65-9D91-7224C49458BB}"/>
                <c:ext xmlns:c16="http://schemas.microsoft.com/office/drawing/2014/chart" uri="{C3380CC4-5D6E-409C-BE32-E72D297353CC}">
                  <c16:uniqueId val="{00000005-1F4E-4004-83E3-85AE2E8A1054}"/>
                </c:ext>
              </c:extLst>
            </c:dLbl>
            <c:dLbl>
              <c:idx val="11"/>
              <c:delete val="1"/>
              <c:extLst>
                <c:ext xmlns:c15="http://schemas.microsoft.com/office/drawing/2012/chart" uri="{CE6537A1-D6FC-4f65-9D91-7224C49458BB}"/>
                <c:ext xmlns:c16="http://schemas.microsoft.com/office/drawing/2014/chart" uri="{C3380CC4-5D6E-409C-BE32-E72D297353CC}">
                  <c16:uniqueId val="{00000006-1F4E-4004-83E3-85AE2E8A10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OST!$B$83:$B$95</c:f>
              <c:strCache>
                <c:ptCount val="13"/>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strCache>
            </c:strRef>
          </c:cat>
          <c:val>
            <c:numRef>
              <c:f>OST!$F$83:$F$95</c:f>
              <c:numCache>
                <c:formatCode>0%</c:formatCode>
                <c:ptCount val="13"/>
                <c:pt idx="0">
                  <c:v>0.10101010101010101</c:v>
                </c:pt>
                <c:pt idx="1">
                  <c:v>0.15555555555555556</c:v>
                </c:pt>
                <c:pt idx="2">
                  <c:v>0.14285714285714285</c:v>
                </c:pt>
                <c:pt idx="3">
                  <c:v>0.25992779783393499</c:v>
                </c:pt>
                <c:pt idx="4">
                  <c:v>0.1220159151193634</c:v>
                </c:pt>
                <c:pt idx="5">
                  <c:v>3.8374717832957109E-2</c:v>
                </c:pt>
                <c:pt idx="6">
                  <c:v>2.823529411764706E-2</c:v>
                </c:pt>
                <c:pt idx="7">
                  <c:v>3.880597014925373E-2</c:v>
                </c:pt>
                <c:pt idx="8">
                  <c:v>9.9431818181818177E-2</c:v>
                </c:pt>
                <c:pt idx="9">
                  <c:v>1.1185682326621925E-2</c:v>
                </c:pt>
                <c:pt idx="10">
                  <c:v>2.3655913978494623E-2</c:v>
                </c:pt>
                <c:pt idx="11">
                  <c:v>1.8306636155606407E-2</c:v>
                </c:pt>
                <c:pt idx="12">
                  <c:v>5.3164556962025315E-2</c:v>
                </c:pt>
              </c:numCache>
            </c:numRef>
          </c:val>
          <c:extLst>
            <c:ext xmlns:c16="http://schemas.microsoft.com/office/drawing/2014/chart" uri="{C3380CC4-5D6E-409C-BE32-E72D297353CC}">
              <c16:uniqueId val="{00000007-1F4E-4004-83E3-85AE2E8A1054}"/>
            </c:ext>
          </c:extLst>
        </c:ser>
        <c:ser>
          <c:idx val="3"/>
          <c:order val="2"/>
          <c:tx>
            <c:strRef>
              <c:f>OST!$G$80</c:f>
              <c:strCache>
                <c:ptCount val="1"/>
                <c:pt idx="0">
                  <c:v>Client deaths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OST!$B$83:$B$95</c:f>
              <c:strCache>
                <c:ptCount val="13"/>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strCache>
            </c:strRef>
          </c:cat>
          <c:val>
            <c:numRef>
              <c:f>OST!$H$83:$H$95</c:f>
              <c:numCache>
                <c:formatCode>0%</c:formatCode>
                <c:ptCount val="13"/>
                <c:pt idx="0">
                  <c:v>0.15488215488215487</c:v>
                </c:pt>
                <c:pt idx="1">
                  <c:v>0.18518518518518517</c:v>
                </c:pt>
                <c:pt idx="2">
                  <c:v>0.12781954887218044</c:v>
                </c:pt>
                <c:pt idx="3">
                  <c:v>7.2202166064981949E-2</c:v>
                </c:pt>
                <c:pt idx="4">
                  <c:v>0.11671087533156499</c:v>
                </c:pt>
                <c:pt idx="5">
                  <c:v>0.10158013544018059</c:v>
                </c:pt>
                <c:pt idx="6">
                  <c:v>0.12705882352941175</c:v>
                </c:pt>
                <c:pt idx="7">
                  <c:v>0.16417910447761194</c:v>
                </c:pt>
                <c:pt idx="8">
                  <c:v>0.14204545454545456</c:v>
                </c:pt>
                <c:pt idx="9">
                  <c:v>0.1029082774049217</c:v>
                </c:pt>
                <c:pt idx="10">
                  <c:v>9.2473118279569888E-2</c:v>
                </c:pt>
                <c:pt idx="11">
                  <c:v>0.12585812356979406</c:v>
                </c:pt>
                <c:pt idx="12">
                  <c:v>0.15949367088607594</c:v>
                </c:pt>
              </c:numCache>
            </c:numRef>
          </c:val>
          <c:extLst>
            <c:ext xmlns:c16="http://schemas.microsoft.com/office/drawing/2014/chart" uri="{C3380CC4-5D6E-409C-BE32-E72D297353CC}">
              <c16:uniqueId val="{00000008-1F4E-4004-83E3-85AE2E8A1054}"/>
            </c:ext>
          </c:extLst>
        </c:ser>
        <c:dLbls>
          <c:dLblPos val="ctr"/>
          <c:showLegendKey val="0"/>
          <c:showVal val="1"/>
          <c:showCatName val="0"/>
          <c:showSerName val="0"/>
          <c:showPercent val="0"/>
          <c:showBubbleSize val="0"/>
        </c:dLbls>
        <c:gapWidth val="40"/>
        <c:overlap val="100"/>
        <c:axId val="245066072"/>
        <c:axId val="245066464"/>
      </c:barChart>
      <c:catAx>
        <c:axId val="245066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Financial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245066464"/>
        <c:crosses val="autoZero"/>
        <c:auto val="1"/>
        <c:lblAlgn val="ctr"/>
        <c:lblOffset val="100"/>
        <c:noMultiLvlLbl val="0"/>
      </c:catAx>
      <c:valAx>
        <c:axId val="245066464"/>
        <c:scaling>
          <c:orientation val="minMax"/>
        </c:scaling>
        <c:delete val="0"/>
        <c:axPos val="l"/>
        <c:title>
          <c:tx>
            <c:rich>
              <a:bodyPr rot="0" spcFirstLastPara="1" vertOverflow="ellipsis"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Percentage</a:t>
                </a:r>
              </a:p>
            </c:rich>
          </c:tx>
          <c:layout>
            <c:manualLayout>
              <c:xMode val="edge"/>
              <c:yMode val="edge"/>
              <c:x val="0"/>
              <c:y val="2.6014512891770901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45066072"/>
        <c:crosses val="autoZero"/>
        <c:crossBetween val="between"/>
      </c:valAx>
      <c:spPr>
        <a:noFill/>
        <a:ln>
          <a:noFill/>
        </a:ln>
        <a:effectLst/>
      </c:spPr>
    </c:plotArea>
    <c:legend>
      <c:legendPos val="t"/>
      <c:layout>
        <c:manualLayout>
          <c:xMode val="edge"/>
          <c:yMode val="edge"/>
          <c:x val="0.30377167610495676"/>
          <c:y val="0"/>
          <c:w val="0.47497795726823544"/>
          <c:h val="5.673070866141732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362448988137496E-2"/>
          <c:y val="0.10342280226545186"/>
          <c:w val="0.72218141467082853"/>
          <c:h val="0.61461065212206756"/>
        </c:manualLayout>
      </c:layout>
      <c:lineChart>
        <c:grouping val="standard"/>
        <c:varyColors val="0"/>
        <c:ser>
          <c:idx val="0"/>
          <c:order val="0"/>
          <c:tx>
            <c:strRef>
              <c:f>Justice!$B$133</c:f>
              <c:strCache>
                <c:ptCount val="1"/>
                <c:pt idx="0">
                  <c:v>Female</c:v>
                </c:pt>
              </c:strCache>
            </c:strRef>
          </c:tx>
          <c:spPr>
            <a:ln w="28575" cap="rnd">
              <a:solidFill>
                <a:schemeClr val="accent1"/>
              </a:solidFill>
              <a:round/>
            </a:ln>
            <a:effectLst/>
          </c:spPr>
          <c:marker>
            <c:symbol val="none"/>
          </c:marker>
          <c:cat>
            <c:strRef>
              <c:f>Justice!$C$132:$S$132</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Justice!$C$133:$S$133</c:f>
              <c:numCache>
                <c:formatCode>_-* #,##0_-;\-* #,##0_-;_-* "-"??_-;_-@_-</c:formatCode>
                <c:ptCount val="17"/>
                <c:pt idx="0">
                  <c:v>78.504666078530192</c:v>
                </c:pt>
                <c:pt idx="1">
                  <c:v>76.506353917528742</c:v>
                </c:pt>
                <c:pt idx="2">
                  <c:v>74.480660073731642</c:v>
                </c:pt>
                <c:pt idx="3">
                  <c:v>77.396975999517721</c:v>
                </c:pt>
                <c:pt idx="4">
                  <c:v>75.257274601704211</c:v>
                </c:pt>
                <c:pt idx="5">
                  <c:v>76.715345571690861</c:v>
                </c:pt>
                <c:pt idx="6">
                  <c:v>78.87318873998619</c:v>
                </c:pt>
                <c:pt idx="7">
                  <c:v>79.491894594015562</c:v>
                </c:pt>
                <c:pt idx="8">
                  <c:v>74.814959441949625</c:v>
                </c:pt>
                <c:pt idx="9">
                  <c:v>80.403382669436354</c:v>
                </c:pt>
                <c:pt idx="10">
                  <c:v>82.307207852846005</c:v>
                </c:pt>
                <c:pt idx="11">
                  <c:v>85.102203775582964</c:v>
                </c:pt>
                <c:pt idx="12">
                  <c:v>83.030790584841881</c:v>
                </c:pt>
                <c:pt idx="13">
                  <c:v>84.239572174681442</c:v>
                </c:pt>
                <c:pt idx="14">
                  <c:v>84.797723766205152</c:v>
                </c:pt>
                <c:pt idx="15">
                  <c:v>87.433778848179188</c:v>
                </c:pt>
                <c:pt idx="16">
                  <c:v>87.259795137709943</c:v>
                </c:pt>
              </c:numCache>
            </c:numRef>
          </c:val>
          <c:smooth val="0"/>
          <c:extLst>
            <c:ext xmlns:c16="http://schemas.microsoft.com/office/drawing/2014/chart" uri="{C3380CC4-5D6E-409C-BE32-E72D297353CC}">
              <c16:uniqueId val="{00000000-8541-4038-9ED0-38714C4AA613}"/>
            </c:ext>
          </c:extLst>
        </c:ser>
        <c:ser>
          <c:idx val="1"/>
          <c:order val="1"/>
          <c:tx>
            <c:strRef>
              <c:f>Justice!$B$134</c:f>
              <c:strCache>
                <c:ptCount val="1"/>
                <c:pt idx="0">
                  <c:v>Male</c:v>
                </c:pt>
              </c:strCache>
            </c:strRef>
          </c:tx>
          <c:spPr>
            <a:ln w="28575" cap="rnd">
              <a:solidFill>
                <a:schemeClr val="accent2"/>
              </a:solidFill>
              <a:round/>
            </a:ln>
            <a:effectLst/>
          </c:spPr>
          <c:marker>
            <c:symbol val="none"/>
          </c:marker>
          <c:cat>
            <c:strRef>
              <c:f>Justice!$C$132:$S$132</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Justice!$C$134:$S$134</c:f>
              <c:numCache>
                <c:formatCode>_-* #,##0_-;\-* #,##0_-;_-* "-"??_-;_-@_-</c:formatCode>
                <c:ptCount val="17"/>
                <c:pt idx="0">
                  <c:v>114.51377869683974</c:v>
                </c:pt>
                <c:pt idx="1">
                  <c:v>108.49344425758636</c:v>
                </c:pt>
                <c:pt idx="2">
                  <c:v>109.47292351787968</c:v>
                </c:pt>
                <c:pt idx="3">
                  <c:v>117.64620691153362</c:v>
                </c:pt>
                <c:pt idx="4">
                  <c:v>115.90657719659924</c:v>
                </c:pt>
                <c:pt idx="5">
                  <c:v>117.86622466832416</c:v>
                </c:pt>
                <c:pt idx="6">
                  <c:v>120.58023994814955</c:v>
                </c:pt>
                <c:pt idx="7">
                  <c:v>118.20647778891964</c:v>
                </c:pt>
                <c:pt idx="8">
                  <c:v>116.55359285627428</c:v>
                </c:pt>
                <c:pt idx="9">
                  <c:v>127.95425140547086</c:v>
                </c:pt>
                <c:pt idx="10">
                  <c:v>127.04499151295946</c:v>
                </c:pt>
                <c:pt idx="11">
                  <c:v>135.4264624993346</c:v>
                </c:pt>
                <c:pt idx="12">
                  <c:v>128.04102838616933</c:v>
                </c:pt>
                <c:pt idx="13">
                  <c:v>127.35805332741238</c:v>
                </c:pt>
                <c:pt idx="14">
                  <c:v>123.87621432642823</c:v>
                </c:pt>
                <c:pt idx="15">
                  <c:v>121.31665947966077</c:v>
                </c:pt>
                <c:pt idx="16">
                  <c:v>121.16984865934566</c:v>
                </c:pt>
              </c:numCache>
            </c:numRef>
          </c:val>
          <c:smooth val="0"/>
          <c:extLst>
            <c:ext xmlns:c16="http://schemas.microsoft.com/office/drawing/2014/chart" uri="{C3380CC4-5D6E-409C-BE32-E72D297353CC}">
              <c16:uniqueId val="{00000001-8541-4038-9ED0-38714C4AA613}"/>
            </c:ext>
          </c:extLst>
        </c:ser>
        <c:ser>
          <c:idx val="2"/>
          <c:order val="2"/>
          <c:tx>
            <c:strRef>
              <c:f>Justice!$B$136</c:f>
              <c:strCache>
                <c:ptCount val="1"/>
                <c:pt idx="0">
                  <c:v>National total</c:v>
                </c:pt>
              </c:strCache>
            </c:strRef>
          </c:tx>
          <c:spPr>
            <a:ln w="28575" cap="rnd">
              <a:solidFill>
                <a:schemeClr val="accent3"/>
              </a:solidFill>
              <a:round/>
            </a:ln>
            <a:effectLst/>
          </c:spPr>
          <c:marker>
            <c:symbol val="none"/>
          </c:marker>
          <c:cat>
            <c:strRef>
              <c:f>Justice!$C$132:$S$132</c:f>
              <c:strCache>
                <c:ptCount val="17"/>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pt idx="15">
                  <c:v>2019/20</c:v>
                </c:pt>
                <c:pt idx="16">
                  <c:v>2020/21</c:v>
                </c:pt>
              </c:strCache>
            </c:strRef>
          </c:cat>
          <c:val>
            <c:numRef>
              <c:f>Justice!$C$136:$S$136</c:f>
              <c:numCache>
                <c:formatCode>_-* #,##0_-;\-* #,##0_-;_-* "-"??_-;_-@_-</c:formatCode>
                <c:ptCount val="17"/>
                <c:pt idx="0">
                  <c:v>92.247671395493342</c:v>
                </c:pt>
                <c:pt idx="1">
                  <c:v>88.75125977008129</c:v>
                </c:pt>
                <c:pt idx="2">
                  <c:v>83.673508407980648</c:v>
                </c:pt>
                <c:pt idx="3">
                  <c:v>89.784951323121746</c:v>
                </c:pt>
                <c:pt idx="4">
                  <c:v>91.184484580403776</c:v>
                </c:pt>
                <c:pt idx="5">
                  <c:v>88.93750043449144</c:v>
                </c:pt>
                <c:pt idx="6">
                  <c:v>92.920267861334011</c:v>
                </c:pt>
                <c:pt idx="7">
                  <c:v>92.155959032714335</c:v>
                </c:pt>
                <c:pt idx="8">
                  <c:v>91.905482182315296</c:v>
                </c:pt>
                <c:pt idx="9">
                  <c:v>95.25685692897386</c:v>
                </c:pt>
                <c:pt idx="10">
                  <c:v>98.055850358920793</c:v>
                </c:pt>
                <c:pt idx="11">
                  <c:v>98.123470220288283</c:v>
                </c:pt>
                <c:pt idx="12">
                  <c:v>99.733753503034109</c:v>
                </c:pt>
                <c:pt idx="13">
                  <c:v>95</c:v>
                </c:pt>
                <c:pt idx="14">
                  <c:v>109.53881013848182</c:v>
                </c:pt>
                <c:pt idx="15">
                  <c:v>109.83329091885911</c:v>
                </c:pt>
                <c:pt idx="16">
                  <c:v>112.97440423654015</c:v>
                </c:pt>
              </c:numCache>
            </c:numRef>
          </c:val>
          <c:smooth val="0"/>
          <c:extLst>
            <c:ext xmlns:c16="http://schemas.microsoft.com/office/drawing/2014/chart" uri="{C3380CC4-5D6E-409C-BE32-E72D297353CC}">
              <c16:uniqueId val="{00000002-8541-4038-9ED0-38714C4AA613}"/>
            </c:ext>
          </c:extLst>
        </c:ser>
        <c:dLbls>
          <c:showLegendKey val="0"/>
          <c:showVal val="0"/>
          <c:showCatName val="0"/>
          <c:showSerName val="0"/>
          <c:showPercent val="0"/>
          <c:showBubbleSize val="0"/>
        </c:dLbls>
        <c:smooth val="0"/>
        <c:axId val="494991840"/>
        <c:axId val="741046032"/>
      </c:lineChart>
      <c:catAx>
        <c:axId val="494991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Financial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out"/>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046032"/>
        <c:crosses val="autoZero"/>
        <c:auto val="1"/>
        <c:lblAlgn val="ctr"/>
        <c:lblOffset val="100"/>
        <c:noMultiLvlLbl val="0"/>
      </c:catAx>
      <c:valAx>
        <c:axId val="741046032"/>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Rate</a:t>
                </a:r>
              </a:p>
            </c:rich>
          </c:tx>
          <c:layout>
            <c:manualLayout>
              <c:xMode val="edge"/>
              <c:yMode val="edge"/>
              <c:x val="0"/>
              <c:y val="1.4569158909309896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9918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390795793778586E-2"/>
          <c:y val="6.654676920248781E-2"/>
          <c:w val="0.91023517362789208"/>
          <c:h val="0.54946631671041113"/>
        </c:manualLayout>
      </c:layout>
      <c:lineChart>
        <c:grouping val="standard"/>
        <c:varyColors val="0"/>
        <c:ser>
          <c:idx val="0"/>
          <c:order val="0"/>
          <c:tx>
            <c:v>Māori to non-Māori rate ratio</c:v>
          </c:tx>
          <c:spPr>
            <a:ln>
              <a:noFill/>
            </a:ln>
          </c:spPr>
          <c:errBars>
            <c:errDir val="y"/>
            <c:errBarType val="both"/>
            <c:errValType val="cust"/>
            <c:noEndCap val="0"/>
            <c:plus>
              <c:numRef>
                <c:f>'Error bars'!$O$458:$O$477</c:f>
                <c:numCache>
                  <c:formatCode>General</c:formatCode>
                  <c:ptCount val="20"/>
                  <c:pt idx="0">
                    <c:v>0.91173120469566449</c:v>
                  </c:pt>
                  <c:pt idx="1">
                    <c:v>1.7201466733271396</c:v>
                  </c:pt>
                  <c:pt idx="2">
                    <c:v>0.85223197299753073</c:v>
                  </c:pt>
                  <c:pt idx="3">
                    <c:v>0.79430516650498717</c:v>
                  </c:pt>
                  <c:pt idx="4">
                    <c:v>0.5339894833206853</c:v>
                  </c:pt>
                  <c:pt idx="5">
                    <c:v>1.0170888124202051</c:v>
                  </c:pt>
                  <c:pt idx="6">
                    <c:v>1.2616849285664995</c:v>
                  </c:pt>
                  <c:pt idx="7">
                    <c:v>1.8671149030020677</c:v>
                  </c:pt>
                  <c:pt idx="8">
                    <c:v>1.3222524954823784</c:v>
                  </c:pt>
                  <c:pt idx="9">
                    <c:v>1.7320873450226526</c:v>
                  </c:pt>
                  <c:pt idx="10">
                    <c:v>0.9380128467652975</c:v>
                  </c:pt>
                  <c:pt idx="11">
                    <c:v>3.3363775796270194</c:v>
                  </c:pt>
                  <c:pt idx="12">
                    <c:v>1.1378220560893277</c:v>
                  </c:pt>
                  <c:pt idx="13">
                    <c:v>3.2924683553463274</c:v>
                  </c:pt>
                  <c:pt idx="14">
                    <c:v>1.7316162010943699</c:v>
                  </c:pt>
                  <c:pt idx="15">
                    <c:v>0.82313640062758875</c:v>
                  </c:pt>
                  <c:pt idx="16">
                    <c:v>4.6603267101282961</c:v>
                  </c:pt>
                  <c:pt idx="17">
                    <c:v>0.78300126541180459</c:v>
                  </c:pt>
                  <c:pt idx="18">
                    <c:v>3.7652518056694566</c:v>
                  </c:pt>
                  <c:pt idx="19">
                    <c:v>1.420710802792446</c:v>
                  </c:pt>
                </c:numCache>
              </c:numRef>
            </c:plus>
            <c:minus>
              <c:numRef>
                <c:f>'Error bars'!$N$458:$N$477</c:f>
                <c:numCache>
                  <c:formatCode>General</c:formatCode>
                  <c:ptCount val="20"/>
                  <c:pt idx="0">
                    <c:v>0.74486362878778412</c:v>
                  </c:pt>
                  <c:pt idx="1">
                    <c:v>1.2153969279517431</c:v>
                  </c:pt>
                  <c:pt idx="2">
                    <c:v>0.6794924223160268</c:v>
                  </c:pt>
                  <c:pt idx="3">
                    <c:v>0.64728414964375824</c:v>
                  </c:pt>
                  <c:pt idx="4">
                    <c:v>0.44328301603025988</c:v>
                  </c:pt>
                  <c:pt idx="5">
                    <c:v>0.77991670343892716</c:v>
                  </c:pt>
                  <c:pt idx="6">
                    <c:v>0.90129198100870456</c:v>
                  </c:pt>
                  <c:pt idx="7">
                    <c:v>1.2113481433259632</c:v>
                  </c:pt>
                  <c:pt idx="8">
                    <c:v>0.97599913826003082</c:v>
                  </c:pt>
                  <c:pt idx="9">
                    <c:v>1.1496031067770538</c:v>
                  </c:pt>
                  <c:pt idx="10">
                    <c:v>0.74046673148838238</c:v>
                  </c:pt>
                  <c:pt idx="11">
                    <c:v>1.5707464663663693</c:v>
                  </c:pt>
                  <c:pt idx="12">
                    <c:v>0.82928541109371379</c:v>
                  </c:pt>
                  <c:pt idx="13">
                    <c:v>1.5367917437368634</c:v>
                  </c:pt>
                  <c:pt idx="14">
                    <c:v>1.154683936568083</c:v>
                  </c:pt>
                  <c:pt idx="15">
                    <c:v>0.68903995043131872</c:v>
                  </c:pt>
                  <c:pt idx="16">
                    <c:v>2.3552024017369586</c:v>
                  </c:pt>
                  <c:pt idx="17">
                    <c:v>0.64697367578593523</c:v>
                  </c:pt>
                  <c:pt idx="18">
                    <c:v>1.3601959997045716</c:v>
                  </c:pt>
                  <c:pt idx="19">
                    <c:v>0.91459676354095421</c:v>
                  </c:pt>
                </c:numCache>
              </c:numRef>
            </c:minus>
          </c:errBars>
          <c:cat>
            <c:strRef>
              <c:f>'Error bars'!$B$458:$B$477</c:f>
              <c:strCache>
                <c:ptCount val="20"/>
                <c:pt idx="0">
                  <c:v>Auckland</c:v>
                </c:pt>
                <c:pt idx="1">
                  <c:v>Bay of Plenty</c:v>
                </c:pt>
                <c:pt idx="2">
                  <c:v>Canterbury</c:v>
                </c:pt>
                <c:pt idx="3">
                  <c:v>Capital &amp; Coast</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Wairarapa</c:v>
                </c:pt>
                <c:pt idx="17">
                  <c:v>Waitematā</c:v>
                </c:pt>
                <c:pt idx="18">
                  <c:v>West Coast</c:v>
                </c:pt>
                <c:pt idx="19">
                  <c:v>Whanganui</c:v>
                </c:pt>
              </c:strCache>
            </c:strRef>
          </c:cat>
          <c:val>
            <c:numRef>
              <c:f>'Error bars'!$K$458:$K$477</c:f>
              <c:numCache>
                <c:formatCode>_-* #,##0.0_-;\-* #,##0.0_-;_-* "-"??_-;_-@_-</c:formatCode>
                <c:ptCount val="20"/>
                <c:pt idx="0">
                  <c:v>4.069786535303777</c:v>
                </c:pt>
                <c:pt idx="1">
                  <c:v>4.1419753086419755</c:v>
                </c:pt>
                <c:pt idx="2">
                  <c:v>3.3523600439077934</c:v>
                </c:pt>
                <c:pt idx="3">
                  <c:v>3.4970588235294118</c:v>
                </c:pt>
                <c:pt idx="4">
                  <c:v>2.6096096096096102</c:v>
                </c:pt>
                <c:pt idx="5">
                  <c:v>3.3445945945945947</c:v>
                </c:pt>
                <c:pt idx="6">
                  <c:v>3.1552962298025133</c:v>
                </c:pt>
                <c:pt idx="7">
                  <c:v>3.4489795918367347</c:v>
                </c:pt>
                <c:pt idx="8">
                  <c:v>3.7270896273917424</c:v>
                </c:pt>
                <c:pt idx="9">
                  <c:v>3.4184839044652127</c:v>
                </c:pt>
                <c:pt idx="10">
                  <c:v>3.5159755268524817</c:v>
                </c:pt>
                <c:pt idx="11">
                  <c:v>2.9681190223166847</c:v>
                </c:pt>
                <c:pt idx="12">
                  <c:v>3.0582403965303593</c:v>
                </c:pt>
                <c:pt idx="13">
                  <c:v>2.8819875776397512</c:v>
                </c:pt>
                <c:pt idx="14">
                  <c:v>3.4656917885264344</c:v>
                </c:pt>
                <c:pt idx="15">
                  <c:v>4.2295964125560541</c:v>
                </c:pt>
                <c:pt idx="16">
                  <c:v>4.7615708274894812</c:v>
                </c:pt>
                <c:pt idx="17">
                  <c:v>3.7241063244729609</c:v>
                </c:pt>
                <c:pt idx="18">
                  <c:v>2.1294642857142856</c:v>
                </c:pt>
                <c:pt idx="19">
                  <c:v>2.567361111111111</c:v>
                </c:pt>
              </c:numCache>
            </c:numRef>
          </c:val>
          <c:smooth val="0"/>
          <c:extLst>
            <c:ext xmlns:c16="http://schemas.microsoft.com/office/drawing/2014/chart" uri="{C3380CC4-5D6E-409C-BE32-E72D297353CC}">
              <c16:uniqueId val="{00000000-5BC7-4669-A471-E3D17BC3370A}"/>
            </c:ext>
          </c:extLst>
        </c:ser>
        <c:ser>
          <c:idx val="1"/>
          <c:order val="1"/>
          <c:tx>
            <c:v>National average</c:v>
          </c:tx>
          <c:marker>
            <c:symbol val="none"/>
          </c:marker>
          <c:cat>
            <c:strRef>
              <c:f>'Error bars'!$B$458:$B$477</c:f>
              <c:strCache>
                <c:ptCount val="20"/>
                <c:pt idx="0">
                  <c:v>Auckland</c:v>
                </c:pt>
                <c:pt idx="1">
                  <c:v>Bay of Plenty</c:v>
                </c:pt>
                <c:pt idx="2">
                  <c:v>Canterbury</c:v>
                </c:pt>
                <c:pt idx="3">
                  <c:v>Capital &amp; Coast</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Wairarapa</c:v>
                </c:pt>
                <c:pt idx="17">
                  <c:v>Waitematā</c:v>
                </c:pt>
                <c:pt idx="18">
                  <c:v>West Coast</c:v>
                </c:pt>
                <c:pt idx="19">
                  <c:v>Whanganui</c:v>
                </c:pt>
              </c:strCache>
            </c:strRef>
          </c:cat>
          <c:val>
            <c:numRef>
              <c:f>'Error bars'!$P$458:$P$477</c:f>
              <c:numCache>
                <c:formatCode>0.0</c:formatCode>
                <c:ptCount val="20"/>
                <c:pt idx="0">
                  <c:v>3.3377686796315253</c:v>
                </c:pt>
                <c:pt idx="1">
                  <c:v>3.3377686796315253</c:v>
                </c:pt>
                <c:pt idx="2">
                  <c:v>3.3377686796315253</c:v>
                </c:pt>
                <c:pt idx="3">
                  <c:v>3.3377686796315253</c:v>
                </c:pt>
                <c:pt idx="4">
                  <c:v>3.3377686796315253</c:v>
                </c:pt>
                <c:pt idx="5">
                  <c:v>3.3377686796315253</c:v>
                </c:pt>
                <c:pt idx="6">
                  <c:v>3.3377686796315253</c:v>
                </c:pt>
                <c:pt idx="7">
                  <c:v>3.3377686796315253</c:v>
                </c:pt>
                <c:pt idx="8">
                  <c:v>3.3377686796315253</c:v>
                </c:pt>
                <c:pt idx="9">
                  <c:v>3.3377686796315253</c:v>
                </c:pt>
                <c:pt idx="10">
                  <c:v>3.3377686796315253</c:v>
                </c:pt>
                <c:pt idx="11">
                  <c:v>3.3377686796315253</c:v>
                </c:pt>
                <c:pt idx="12">
                  <c:v>3.3377686796315253</c:v>
                </c:pt>
                <c:pt idx="13">
                  <c:v>3.3377686796315253</c:v>
                </c:pt>
                <c:pt idx="14">
                  <c:v>3.3377686796315253</c:v>
                </c:pt>
                <c:pt idx="15">
                  <c:v>3.3377686796315253</c:v>
                </c:pt>
                <c:pt idx="16">
                  <c:v>3.3377686796315253</c:v>
                </c:pt>
                <c:pt idx="17">
                  <c:v>3.3377686796315253</c:v>
                </c:pt>
                <c:pt idx="18">
                  <c:v>3.3377686796315253</c:v>
                </c:pt>
                <c:pt idx="19">
                  <c:v>3.3377686796315253</c:v>
                </c:pt>
              </c:numCache>
            </c:numRef>
          </c:val>
          <c:smooth val="0"/>
          <c:extLst>
            <c:ext xmlns:c16="http://schemas.microsoft.com/office/drawing/2014/chart" uri="{C3380CC4-5D6E-409C-BE32-E72D297353CC}">
              <c16:uniqueId val="{00000001-5BC7-4669-A471-E3D17BC3370A}"/>
            </c:ext>
          </c:extLst>
        </c:ser>
        <c:ser>
          <c:idx val="2"/>
          <c:order val="2"/>
          <c:tx>
            <c:strRef>
              <c:f>'Error bars'!$Q$392:$Q$393</c:f>
              <c:strCache>
                <c:ptCount val="2"/>
                <c:pt idx="0">
                  <c:v>No difference (1:1)</c:v>
                </c:pt>
              </c:strCache>
            </c:strRef>
          </c:tx>
          <c:spPr>
            <a:ln w="28575">
              <a:solidFill>
                <a:srgbClr val="92D050"/>
              </a:solidFill>
            </a:ln>
          </c:spPr>
          <c:marker>
            <c:symbol val="none"/>
          </c:marker>
          <c:cat>
            <c:strRef>
              <c:f>'Error bars'!$B$458:$B$477</c:f>
              <c:strCache>
                <c:ptCount val="20"/>
                <c:pt idx="0">
                  <c:v>Auckland</c:v>
                </c:pt>
                <c:pt idx="1">
                  <c:v>Bay of Plenty</c:v>
                </c:pt>
                <c:pt idx="2">
                  <c:v>Canterbury</c:v>
                </c:pt>
                <c:pt idx="3">
                  <c:v>Capital &amp; Coast</c:v>
                </c:pt>
                <c:pt idx="4">
                  <c:v>Counties Manukau</c:v>
                </c:pt>
                <c:pt idx="5">
                  <c:v>Hawke's Bay</c:v>
                </c:pt>
                <c:pt idx="6">
                  <c:v>Hutt Valley</c:v>
                </c:pt>
                <c:pt idx="7">
                  <c:v>Lakes</c:v>
                </c:pt>
                <c:pt idx="8">
                  <c:v>MidCentral</c:v>
                </c:pt>
                <c:pt idx="9">
                  <c:v>Nelson Marlborough</c:v>
                </c:pt>
                <c:pt idx="10">
                  <c:v>Northland</c:v>
                </c:pt>
                <c:pt idx="11">
                  <c:v>South Canterbury</c:v>
                </c:pt>
                <c:pt idx="12">
                  <c:v>Southern</c:v>
                </c:pt>
                <c:pt idx="13">
                  <c:v>Tairāwhiti</c:v>
                </c:pt>
                <c:pt idx="14">
                  <c:v>Taranaki</c:v>
                </c:pt>
                <c:pt idx="15">
                  <c:v>Waikato</c:v>
                </c:pt>
                <c:pt idx="16">
                  <c:v>Wairarapa</c:v>
                </c:pt>
                <c:pt idx="17">
                  <c:v>Waitematā</c:v>
                </c:pt>
                <c:pt idx="18">
                  <c:v>West Coast</c:v>
                </c:pt>
                <c:pt idx="19">
                  <c:v>Whanganui</c:v>
                </c:pt>
              </c:strCache>
            </c:strRef>
          </c:cat>
          <c:val>
            <c:numRef>
              <c:f>'Error bars'!$Q$458:$Q$477</c:f>
              <c:numCache>
                <c:formatCode>0.0</c:formatCode>
                <c:ptCount val="2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numCache>
            </c:numRef>
          </c:val>
          <c:smooth val="0"/>
          <c:extLst>
            <c:ext xmlns:c16="http://schemas.microsoft.com/office/drawing/2014/chart" uri="{C3380CC4-5D6E-409C-BE32-E72D297353CC}">
              <c16:uniqueId val="{00000002-5BC7-4669-A471-E3D17BC3370A}"/>
            </c:ext>
          </c:extLst>
        </c:ser>
        <c:dLbls>
          <c:showLegendKey val="0"/>
          <c:showVal val="0"/>
          <c:showCatName val="0"/>
          <c:showSerName val="0"/>
          <c:showPercent val="0"/>
          <c:showBubbleSize val="0"/>
        </c:dLbls>
        <c:marker val="1"/>
        <c:smooth val="0"/>
        <c:axId val="555322568"/>
        <c:axId val="555311984"/>
      </c:lineChart>
      <c:catAx>
        <c:axId val="555322568"/>
        <c:scaling>
          <c:orientation val="minMax"/>
        </c:scaling>
        <c:delete val="0"/>
        <c:axPos val="b"/>
        <c:title>
          <c:tx>
            <c:rich>
              <a:bodyPr/>
              <a:lstStyle/>
              <a:p>
                <a:pPr>
                  <a:defRPr b="0"/>
                </a:pPr>
                <a:r>
                  <a:rPr lang="en-NZ" b="0"/>
                  <a:t>DHB</a:t>
                </a:r>
              </a:p>
            </c:rich>
          </c:tx>
          <c:overlay val="0"/>
        </c:title>
        <c:numFmt formatCode="General" sourceLinked="0"/>
        <c:majorTickMark val="out"/>
        <c:minorTickMark val="none"/>
        <c:tickLblPos val="nextTo"/>
        <c:spPr>
          <a:ln>
            <a:solidFill>
              <a:schemeClr val="tx1"/>
            </a:solidFill>
          </a:ln>
        </c:spPr>
        <c:txPr>
          <a:bodyPr rot="-5400000" vert="horz"/>
          <a:lstStyle/>
          <a:p>
            <a:pPr>
              <a:defRPr/>
            </a:pPr>
            <a:endParaRPr lang="en-US"/>
          </a:p>
        </c:txPr>
        <c:crossAx val="555311984"/>
        <c:crosses val="autoZero"/>
        <c:auto val="1"/>
        <c:lblAlgn val="ctr"/>
        <c:lblOffset val="100"/>
        <c:noMultiLvlLbl val="0"/>
      </c:catAx>
      <c:valAx>
        <c:axId val="555311984"/>
        <c:scaling>
          <c:orientation val="minMax"/>
          <c:max val="10"/>
        </c:scaling>
        <c:delete val="0"/>
        <c:axPos val="l"/>
        <c:title>
          <c:tx>
            <c:rich>
              <a:bodyPr rot="0" vert="horz"/>
              <a:lstStyle/>
              <a:p>
                <a:pPr>
                  <a:defRPr b="0"/>
                </a:pPr>
                <a:r>
                  <a:rPr lang="en-NZ" b="0"/>
                  <a:t>Rate ratio</a:t>
                </a:r>
              </a:p>
            </c:rich>
          </c:tx>
          <c:layout>
            <c:manualLayout>
              <c:xMode val="edge"/>
              <c:yMode val="edge"/>
              <c:x val="0"/>
              <c:y val="1.3857654952663869E-3"/>
            </c:manualLayout>
          </c:layout>
          <c:overlay val="0"/>
        </c:title>
        <c:numFmt formatCode="#,##0.0" sourceLinked="0"/>
        <c:majorTickMark val="out"/>
        <c:minorTickMark val="out"/>
        <c:tickLblPos val="nextTo"/>
        <c:spPr>
          <a:ln>
            <a:solidFill>
              <a:schemeClr val="tx1"/>
            </a:solidFill>
          </a:ln>
        </c:spPr>
        <c:txPr>
          <a:bodyPr/>
          <a:lstStyle/>
          <a:p>
            <a:pPr>
              <a:defRPr>
                <a:solidFill>
                  <a:schemeClr val="tx1"/>
                </a:solidFill>
              </a:defRPr>
            </a:pPr>
            <a:endParaRPr lang="en-US"/>
          </a:p>
        </c:txPr>
        <c:crossAx val="555322568"/>
        <c:crosses val="autoZero"/>
        <c:crossBetween val="between"/>
        <c:minorUnit val="0.5"/>
      </c:valAx>
    </c:plotArea>
    <c:legend>
      <c:legendPos val="b"/>
      <c:layout>
        <c:manualLayout>
          <c:xMode val="edge"/>
          <c:yMode val="edge"/>
          <c:x val="8.7668869111281314E-2"/>
          <c:y val="3.5684304053433037E-3"/>
          <c:w val="0.9"/>
          <c:h val="7.0361530684150866E-2"/>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678795728377064E-2"/>
          <c:y val="6.5035353430425422E-2"/>
          <c:w val="0.94620645167804573"/>
          <c:h val="0.5692729174024751"/>
        </c:manualLayout>
      </c:layout>
      <c:lineChart>
        <c:grouping val="standard"/>
        <c:varyColors val="0"/>
        <c:ser>
          <c:idx val="0"/>
          <c:order val="0"/>
          <c:tx>
            <c:v>Māori to non-Māori rate ratio</c:v>
          </c:tx>
          <c:spPr>
            <a:ln>
              <a:noFill/>
            </a:ln>
          </c:spPr>
          <c:errBars>
            <c:errDir val="y"/>
            <c:errBarType val="both"/>
            <c:errValType val="cust"/>
            <c:noEndCap val="0"/>
            <c:plus>
              <c:numRef>
                <c:f>'Error bars'!$O$493:$O$512</c:f>
                <c:numCache>
                  <c:formatCode>General</c:formatCode>
                  <c:ptCount val="17"/>
                  <c:pt idx="0">
                    <c:v>1.6396616183837285</c:v>
                  </c:pt>
                  <c:pt idx="1">
                    <c:v>1.729112044367934</c:v>
                  </c:pt>
                  <c:pt idx="2">
                    <c:v>1.258254884250857</c:v>
                  </c:pt>
                  <c:pt idx="3">
                    <c:v>2.7692059004200509</c:v>
                  </c:pt>
                  <c:pt idx="4">
                    <c:v>1.400093785150478</c:v>
                  </c:pt>
                  <c:pt idx="5">
                    <c:v>1.9724945680747159</c:v>
                  </c:pt>
                  <c:pt idx="6">
                    <c:v>1.8471978245045686</c:v>
                  </c:pt>
                  <c:pt idx="7">
                    <c:v>5.0621075813964538</c:v>
                  </c:pt>
                  <c:pt idx="8">
                    <c:v>3.4276503002962553</c:v>
                  </c:pt>
                  <c:pt idx="9">
                    <c:v>3.7092906313866214</c:v>
                  </c:pt>
                  <c:pt idx="10">
                    <c:v>1.0025443278338089</c:v>
                  </c:pt>
                  <c:pt idx="11">
                    <c:v>1.9312427350271739</c:v>
                  </c:pt>
                  <c:pt idx="12">
                    <c:v>2.3113522661988086</c:v>
                  </c:pt>
                  <c:pt idx="13">
                    <c:v>1.2483788868402286</c:v>
                  </c:pt>
                  <c:pt idx="14">
                    <c:v>0</c:v>
                  </c:pt>
                  <c:pt idx="15">
                    <c:v>1.3669390102243653</c:v>
                  </c:pt>
                  <c:pt idx="16">
                    <c:v>4.6816560124765534</c:v>
                  </c:pt>
                </c:numCache>
                <c:extLst/>
              </c:numRef>
            </c:plus>
            <c:minus>
              <c:numRef>
                <c:f>'Error bars'!$N$493:$N$512</c:f>
                <c:numCache>
                  <c:formatCode>General</c:formatCode>
                  <c:ptCount val="17"/>
                  <c:pt idx="0">
                    <c:v>1.1415724077283782</c:v>
                  </c:pt>
                  <c:pt idx="1">
                    <c:v>1.0325479846109153</c:v>
                  </c:pt>
                  <c:pt idx="2">
                    <c:v>0.8820739304923424</c:v>
                  </c:pt>
                  <c:pt idx="3">
                    <c:v>1.9955255620404797</c:v>
                  </c:pt>
                  <c:pt idx="4">
                    <c:v>0.99546025470543009</c:v>
                  </c:pt>
                  <c:pt idx="5">
                    <c:v>1.0914892792801134</c:v>
                  </c:pt>
                  <c:pt idx="6">
                    <c:v>0.96724845128358816</c:v>
                  </c:pt>
                  <c:pt idx="7">
                    <c:v>2.1325025893665241</c:v>
                  </c:pt>
                  <c:pt idx="8">
                    <c:v>1.8754757646612741</c:v>
                  </c:pt>
                  <c:pt idx="9">
                    <c:v>1.596322584976781</c:v>
                  </c:pt>
                  <c:pt idx="10">
                    <c:v>0.58061842407692876</c:v>
                  </c:pt>
                  <c:pt idx="11">
                    <c:v>1.0920429939408252</c:v>
                  </c:pt>
                  <c:pt idx="12">
                    <c:v>0.8445287945189871</c:v>
                  </c:pt>
                  <c:pt idx="13">
                    <c:v>0.8982505385372539</c:v>
                  </c:pt>
                  <c:pt idx="14">
                    <c:v>0</c:v>
                  </c:pt>
                  <c:pt idx="15">
                    <c:v>0.97729909982884644</c:v>
                  </c:pt>
                  <c:pt idx="16">
                    <c:v>2.096975358679662</c:v>
                  </c:pt>
                </c:numCache>
                <c:extLst/>
              </c:numRef>
            </c:minus>
          </c:errBars>
          <c:cat>
            <c:strRef>
              <c:f>'Error bars'!$B$493:$B$512</c:f>
              <c:strCache>
                <c:ptCount val="17"/>
                <c:pt idx="0">
                  <c:v>Auckland</c:v>
                </c:pt>
                <c:pt idx="1">
                  <c:v>Bay of Plenty</c:v>
                </c:pt>
                <c:pt idx="2">
                  <c:v>Canterbury</c:v>
                </c:pt>
                <c:pt idx="3">
                  <c:v>Capital &amp; Coast</c:v>
                </c:pt>
                <c:pt idx="4">
                  <c:v>Counties Manukau</c:v>
                </c:pt>
                <c:pt idx="5">
                  <c:v>Hawke's Bay</c:v>
                </c:pt>
                <c:pt idx="6">
                  <c:v>Hutt Valley</c:v>
                </c:pt>
                <c:pt idx="7">
                  <c:v>Lakes</c:v>
                </c:pt>
                <c:pt idx="8">
                  <c:v>MidCentral</c:v>
                </c:pt>
                <c:pt idx="9">
                  <c:v>Nelson Marlborough</c:v>
                </c:pt>
                <c:pt idx="10">
                  <c:v>Northland</c:v>
                </c:pt>
                <c:pt idx="11">
                  <c:v>Southern</c:v>
                </c:pt>
                <c:pt idx="12">
                  <c:v>Taranaki</c:v>
                </c:pt>
                <c:pt idx="13">
                  <c:v>Waikato</c:v>
                </c:pt>
                <c:pt idx="14">
                  <c:v>Wairarapa</c:v>
                </c:pt>
                <c:pt idx="15">
                  <c:v>Waitematā</c:v>
                </c:pt>
                <c:pt idx="16">
                  <c:v>Whanganui</c:v>
                </c:pt>
              </c:strCache>
              <c:extLst/>
            </c:strRef>
          </c:cat>
          <c:val>
            <c:numRef>
              <c:f>'Error bars'!$K$493:$K$512</c:f>
              <c:numCache>
                <c:formatCode>0.00</c:formatCode>
                <c:ptCount val="17"/>
                <c:pt idx="0">
                  <c:v>3.7579462102689485</c:v>
                </c:pt>
                <c:pt idx="1">
                  <c:v>2.5631399317406141</c:v>
                </c:pt>
                <c:pt idx="2">
                  <c:v>2.950372208436725</c:v>
                </c:pt>
                <c:pt idx="3">
                  <c:v>7.1425120772946862</c:v>
                </c:pt>
                <c:pt idx="4">
                  <c:v>3.4444444444444446</c:v>
                </c:pt>
                <c:pt idx="5">
                  <c:v>2.4437500000000001</c:v>
                </c:pt>
                <c:pt idx="6">
                  <c:v>2.030456852791878</c:v>
                </c:pt>
                <c:pt idx="7">
                  <c:v>3.6847826086956523</c:v>
                </c:pt>
                <c:pt idx="8">
                  <c:v>4.1415929203539816</c:v>
                </c:pt>
                <c:pt idx="9">
                  <c:v>2.8023255813953485</c:v>
                </c:pt>
                <c:pt idx="10">
                  <c:v>1.3796159527326441</c:v>
                </c:pt>
                <c:pt idx="11">
                  <c:v>2.5131086142322094</c:v>
                </c:pt>
                <c:pt idx="12">
                  <c:v>1.3307692307692309</c:v>
                </c:pt>
                <c:pt idx="13">
                  <c:v>3.2027027027027026</c:v>
                </c:pt>
                <c:pt idx="14">
                  <c:v>0</c:v>
                </c:pt>
                <c:pt idx="15">
                  <c:v>3.4285714285714284</c:v>
                </c:pt>
                <c:pt idx="16">
                  <c:v>3.7982708933717579</c:v>
                </c:pt>
              </c:numCache>
              <c:extLst/>
            </c:numRef>
          </c:val>
          <c:smooth val="0"/>
          <c:extLst>
            <c:ext xmlns:c16="http://schemas.microsoft.com/office/drawing/2014/chart" uri="{C3380CC4-5D6E-409C-BE32-E72D297353CC}">
              <c16:uniqueId val="{00000000-E645-479D-98CF-DB46E444F4EF}"/>
            </c:ext>
          </c:extLst>
        </c:ser>
        <c:ser>
          <c:idx val="1"/>
          <c:order val="1"/>
          <c:tx>
            <c:v>National average</c:v>
          </c:tx>
          <c:marker>
            <c:symbol val="none"/>
          </c:marker>
          <c:cat>
            <c:strRef>
              <c:f>'Error bars'!$B$493:$B$512</c:f>
              <c:strCache>
                <c:ptCount val="17"/>
                <c:pt idx="0">
                  <c:v>Auckland</c:v>
                </c:pt>
                <c:pt idx="1">
                  <c:v>Bay of Plenty</c:v>
                </c:pt>
                <c:pt idx="2">
                  <c:v>Canterbury</c:v>
                </c:pt>
                <c:pt idx="3">
                  <c:v>Capital &amp; Coast</c:v>
                </c:pt>
                <c:pt idx="4">
                  <c:v>Counties Manukau</c:v>
                </c:pt>
                <c:pt idx="5">
                  <c:v>Hawke's Bay</c:v>
                </c:pt>
                <c:pt idx="6">
                  <c:v>Hutt Valley</c:v>
                </c:pt>
                <c:pt idx="7">
                  <c:v>Lakes</c:v>
                </c:pt>
                <c:pt idx="8">
                  <c:v>MidCentral</c:v>
                </c:pt>
                <c:pt idx="9">
                  <c:v>Nelson Marlborough</c:v>
                </c:pt>
                <c:pt idx="10">
                  <c:v>Northland</c:v>
                </c:pt>
                <c:pt idx="11">
                  <c:v>Southern</c:v>
                </c:pt>
                <c:pt idx="12">
                  <c:v>Taranaki</c:v>
                </c:pt>
                <c:pt idx="13">
                  <c:v>Waikato</c:v>
                </c:pt>
                <c:pt idx="14">
                  <c:v>Wairarapa</c:v>
                </c:pt>
                <c:pt idx="15">
                  <c:v>Waitematā</c:v>
                </c:pt>
                <c:pt idx="16">
                  <c:v>Whanganui</c:v>
                </c:pt>
              </c:strCache>
              <c:extLst/>
            </c:strRef>
          </c:cat>
          <c:val>
            <c:numRef>
              <c:f>'Error bars'!$P$493:$P$512</c:f>
              <c:numCache>
                <c:formatCode>0.0</c:formatCode>
                <c:ptCount val="17"/>
                <c:pt idx="0">
                  <c:v>2.7080673905518364</c:v>
                </c:pt>
                <c:pt idx="1">
                  <c:v>2.7080673905518364</c:v>
                </c:pt>
                <c:pt idx="2">
                  <c:v>2.7080673905518364</c:v>
                </c:pt>
                <c:pt idx="3">
                  <c:v>2.7080673905518364</c:v>
                </c:pt>
                <c:pt idx="4">
                  <c:v>2.7080673905518364</c:v>
                </c:pt>
                <c:pt idx="5">
                  <c:v>2.7080673905518364</c:v>
                </c:pt>
                <c:pt idx="6">
                  <c:v>2.7080673905518364</c:v>
                </c:pt>
                <c:pt idx="7">
                  <c:v>2.7080673905518364</c:v>
                </c:pt>
                <c:pt idx="8">
                  <c:v>2.7080673905518364</c:v>
                </c:pt>
                <c:pt idx="9">
                  <c:v>2.7080673905518364</c:v>
                </c:pt>
                <c:pt idx="10">
                  <c:v>2.7080673905518364</c:v>
                </c:pt>
                <c:pt idx="11">
                  <c:v>2.7080673905518364</c:v>
                </c:pt>
                <c:pt idx="12">
                  <c:v>2.7080673905518364</c:v>
                </c:pt>
                <c:pt idx="13">
                  <c:v>2.7080673905518364</c:v>
                </c:pt>
                <c:pt idx="14">
                  <c:v>2.7080673905518364</c:v>
                </c:pt>
                <c:pt idx="15">
                  <c:v>2.7080673905518364</c:v>
                </c:pt>
                <c:pt idx="16">
                  <c:v>2.7080673905518364</c:v>
                </c:pt>
              </c:numCache>
              <c:extLst/>
            </c:numRef>
          </c:val>
          <c:smooth val="0"/>
          <c:extLst>
            <c:ext xmlns:c16="http://schemas.microsoft.com/office/drawing/2014/chart" uri="{C3380CC4-5D6E-409C-BE32-E72D297353CC}">
              <c16:uniqueId val="{00000001-E645-479D-98CF-DB46E444F4EF}"/>
            </c:ext>
          </c:extLst>
        </c:ser>
        <c:ser>
          <c:idx val="2"/>
          <c:order val="2"/>
          <c:tx>
            <c:strRef>
              <c:f>'Error bars'!$Q$425:$Q$426</c:f>
              <c:strCache>
                <c:ptCount val="2"/>
                <c:pt idx="0">
                  <c:v>No difference (1:1)</c:v>
                </c:pt>
              </c:strCache>
            </c:strRef>
          </c:tx>
          <c:spPr>
            <a:ln w="28575">
              <a:solidFill>
                <a:srgbClr val="92D050"/>
              </a:solidFill>
            </a:ln>
          </c:spPr>
          <c:marker>
            <c:symbol val="none"/>
          </c:marker>
          <c:cat>
            <c:strRef>
              <c:f>'Error bars'!$B$493:$B$512</c:f>
              <c:strCache>
                <c:ptCount val="17"/>
                <c:pt idx="0">
                  <c:v>Auckland</c:v>
                </c:pt>
                <c:pt idx="1">
                  <c:v>Bay of Plenty</c:v>
                </c:pt>
                <c:pt idx="2">
                  <c:v>Canterbury</c:v>
                </c:pt>
                <c:pt idx="3">
                  <c:v>Capital &amp; Coast</c:v>
                </c:pt>
                <c:pt idx="4">
                  <c:v>Counties Manukau</c:v>
                </c:pt>
                <c:pt idx="5">
                  <c:v>Hawke's Bay</c:v>
                </c:pt>
                <c:pt idx="6">
                  <c:v>Hutt Valley</c:v>
                </c:pt>
                <c:pt idx="7">
                  <c:v>Lakes</c:v>
                </c:pt>
                <c:pt idx="8">
                  <c:v>MidCentral</c:v>
                </c:pt>
                <c:pt idx="9">
                  <c:v>Nelson Marlborough</c:v>
                </c:pt>
                <c:pt idx="10">
                  <c:v>Northland</c:v>
                </c:pt>
                <c:pt idx="11">
                  <c:v>Southern</c:v>
                </c:pt>
                <c:pt idx="12">
                  <c:v>Taranaki</c:v>
                </c:pt>
                <c:pt idx="13">
                  <c:v>Waikato</c:v>
                </c:pt>
                <c:pt idx="14">
                  <c:v>Wairarapa</c:v>
                </c:pt>
                <c:pt idx="15">
                  <c:v>Waitematā</c:v>
                </c:pt>
                <c:pt idx="16">
                  <c:v>Whanganui</c:v>
                </c:pt>
              </c:strCache>
              <c:extLst/>
            </c:strRef>
          </c:cat>
          <c:val>
            <c:numRef>
              <c:f>'Error bars'!$Q$493:$Q$512</c:f>
              <c:numCache>
                <c:formatCode>0.0</c:formatCode>
                <c:ptCount val="1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numCache>
              <c:extLst/>
            </c:numRef>
          </c:val>
          <c:smooth val="0"/>
          <c:extLst>
            <c:ext xmlns:c16="http://schemas.microsoft.com/office/drawing/2014/chart" uri="{C3380CC4-5D6E-409C-BE32-E72D297353CC}">
              <c16:uniqueId val="{00000002-E645-479D-98CF-DB46E444F4EF}"/>
            </c:ext>
          </c:extLst>
        </c:ser>
        <c:dLbls>
          <c:showLegendKey val="0"/>
          <c:showVal val="0"/>
          <c:showCatName val="0"/>
          <c:showSerName val="0"/>
          <c:showPercent val="0"/>
          <c:showBubbleSize val="0"/>
        </c:dLbls>
        <c:marker val="1"/>
        <c:smooth val="0"/>
        <c:axId val="555326488"/>
        <c:axId val="555324136"/>
      </c:lineChart>
      <c:catAx>
        <c:axId val="555326488"/>
        <c:scaling>
          <c:orientation val="minMax"/>
        </c:scaling>
        <c:delete val="0"/>
        <c:axPos val="b"/>
        <c:title>
          <c:tx>
            <c:rich>
              <a:bodyPr/>
              <a:lstStyle/>
              <a:p>
                <a:pPr>
                  <a:defRPr b="0"/>
                </a:pPr>
                <a:r>
                  <a:rPr lang="en-NZ" b="0"/>
                  <a:t>DHB</a:t>
                </a:r>
              </a:p>
            </c:rich>
          </c:tx>
          <c:overlay val="0"/>
        </c:title>
        <c:numFmt formatCode="General" sourceLinked="0"/>
        <c:majorTickMark val="out"/>
        <c:minorTickMark val="none"/>
        <c:tickLblPos val="nextTo"/>
        <c:spPr>
          <a:ln>
            <a:solidFill>
              <a:schemeClr val="tx1"/>
            </a:solidFill>
          </a:ln>
        </c:spPr>
        <c:txPr>
          <a:bodyPr rot="-5400000" vert="horz"/>
          <a:lstStyle/>
          <a:p>
            <a:pPr>
              <a:defRPr/>
            </a:pPr>
            <a:endParaRPr lang="en-US"/>
          </a:p>
        </c:txPr>
        <c:crossAx val="555324136"/>
        <c:crosses val="autoZero"/>
        <c:auto val="1"/>
        <c:lblAlgn val="ctr"/>
        <c:lblOffset val="100"/>
        <c:noMultiLvlLbl val="0"/>
      </c:catAx>
      <c:valAx>
        <c:axId val="555324136"/>
        <c:scaling>
          <c:orientation val="minMax"/>
          <c:max val="10"/>
        </c:scaling>
        <c:delete val="0"/>
        <c:axPos val="l"/>
        <c:title>
          <c:tx>
            <c:rich>
              <a:bodyPr rot="0" vert="horz"/>
              <a:lstStyle/>
              <a:p>
                <a:pPr>
                  <a:defRPr b="0"/>
                </a:pPr>
                <a:r>
                  <a:rPr lang="en-NZ" b="0"/>
                  <a:t>Rate ratio</a:t>
                </a:r>
              </a:p>
            </c:rich>
          </c:tx>
          <c:layout>
            <c:manualLayout>
              <c:xMode val="edge"/>
              <c:yMode val="edge"/>
              <c:x val="0"/>
              <c:y val="2.7850608383714753E-3"/>
            </c:manualLayout>
          </c:layout>
          <c:overlay val="0"/>
        </c:title>
        <c:numFmt formatCode="#,##0.0" sourceLinked="0"/>
        <c:majorTickMark val="out"/>
        <c:minorTickMark val="out"/>
        <c:tickLblPos val="nextTo"/>
        <c:spPr>
          <a:ln>
            <a:solidFill>
              <a:schemeClr val="tx1"/>
            </a:solidFill>
          </a:ln>
        </c:spPr>
        <c:crossAx val="555326488"/>
        <c:crosses val="autoZero"/>
        <c:crossBetween val="between"/>
        <c:minorUnit val="0.5"/>
      </c:valAx>
    </c:plotArea>
    <c:legend>
      <c:legendPos val="t"/>
      <c:layout>
        <c:manualLayout>
          <c:xMode val="edge"/>
          <c:yMode val="edge"/>
          <c:x val="9.8747973919612805E-2"/>
          <c:y val="0"/>
          <c:w val="0.9"/>
          <c:h val="6.3616230029293827E-2"/>
        </c:manualLayout>
      </c:layout>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103549993313778E-2"/>
          <c:y val="8.4095377135608815E-2"/>
          <c:w val="0.89181035499933137"/>
          <c:h val="0.71403749303373554"/>
        </c:manualLayout>
      </c:layout>
      <c:barChart>
        <c:barDir val="col"/>
        <c:grouping val="clustered"/>
        <c:varyColors val="0"/>
        <c:ser>
          <c:idx val="0"/>
          <c:order val="0"/>
          <c:tx>
            <c:strRef>
              <c:f>'Māori &amp; the MHA'!$Q$785</c:f>
              <c:strCache>
                <c:ptCount val="1"/>
                <c:pt idx="0">
                  <c:v>Māori</c:v>
                </c:pt>
              </c:strCache>
            </c:strRef>
          </c:tx>
          <c:invertIfNegative val="0"/>
          <c:dLbls>
            <c:spPr>
              <a:noFill/>
              <a:ln>
                <a:noFill/>
              </a:ln>
              <a:effectLst/>
            </c:spPr>
            <c:txPr>
              <a:bodyPr wrap="square" lIns="38100" tIns="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'Māori &amp; the MHA'!$R$783:$U$784</c:f>
              <c:multiLvlStrCache>
                <c:ptCount val="4"/>
                <c:lvl>
                  <c:pt idx="0">
                    <c:v>Male</c:v>
                  </c:pt>
                  <c:pt idx="1">
                    <c:v>Females</c:v>
                  </c:pt>
                  <c:pt idx="2">
                    <c:v>Male</c:v>
                  </c:pt>
                  <c:pt idx="3">
                    <c:v>Females</c:v>
                  </c:pt>
                </c:lvl>
                <c:lvl>
                  <c:pt idx="0">
                    <c:v>s29</c:v>
                  </c:pt>
                  <c:pt idx="2">
                    <c:v>s30</c:v>
                  </c:pt>
                </c:lvl>
              </c:multiLvlStrCache>
            </c:multiLvlStrRef>
          </c:cat>
          <c:val>
            <c:numRef>
              <c:f>'Māori &amp; the MHA'!$R$785:$U$785</c:f>
              <c:numCache>
                <c:formatCode>0.0</c:formatCode>
                <c:ptCount val="4"/>
                <c:pt idx="0">
                  <c:v>418.3</c:v>
                </c:pt>
                <c:pt idx="1">
                  <c:v>236.6</c:v>
                </c:pt>
                <c:pt idx="2">
                  <c:v>110.3</c:v>
                </c:pt>
                <c:pt idx="3">
                  <c:v>67.599999999999994</c:v>
                </c:pt>
              </c:numCache>
            </c:numRef>
          </c:val>
          <c:extLst>
            <c:ext xmlns:c16="http://schemas.microsoft.com/office/drawing/2014/chart" uri="{C3380CC4-5D6E-409C-BE32-E72D297353CC}">
              <c16:uniqueId val="{00000000-C949-4EA9-B34D-36CF06724FB5}"/>
            </c:ext>
          </c:extLst>
        </c:ser>
        <c:ser>
          <c:idx val="1"/>
          <c:order val="1"/>
          <c:tx>
            <c:v>Pacific peoples</c:v>
          </c:tx>
          <c:invertIfNegative val="0"/>
          <c:dLbls>
            <c:dLbl>
              <c:idx val="3"/>
              <c:layout>
                <c:manualLayout>
                  <c:x val="0"/>
                  <c:y val="1.6083779801081017E-2"/>
                </c:manualLayout>
              </c:layout>
              <c:spPr>
                <a:noFill/>
                <a:ln>
                  <a:noFill/>
                </a:ln>
                <a:effectLst/>
              </c:spPr>
              <c:txPr>
                <a:bodyPr wrap="square" lIns="38100" tIns="0" rIns="38100" bIns="19050" anchor="ctr">
                  <a:spAutoFit/>
                </a:bodyPr>
                <a:lstStyle/>
                <a:p>
                  <a:pPr>
                    <a:defRPr>
                      <a:solidFill>
                        <a:schemeClr val="tx1"/>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C949-4EA9-B34D-36CF06724FB5}"/>
                </c:ext>
              </c:extLst>
            </c:dLbl>
            <c:spPr>
              <a:noFill/>
              <a:ln>
                <a:noFill/>
              </a:ln>
              <a:effectLst/>
            </c:spPr>
            <c:txPr>
              <a:bodyPr wrap="square" lIns="38100" tIns="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'Māori &amp; the MHA'!$R$783:$U$784</c:f>
              <c:multiLvlStrCache>
                <c:ptCount val="4"/>
                <c:lvl>
                  <c:pt idx="0">
                    <c:v>Male</c:v>
                  </c:pt>
                  <c:pt idx="1">
                    <c:v>Females</c:v>
                  </c:pt>
                  <c:pt idx="2">
                    <c:v>Male</c:v>
                  </c:pt>
                  <c:pt idx="3">
                    <c:v>Females</c:v>
                  </c:pt>
                </c:lvl>
                <c:lvl>
                  <c:pt idx="0">
                    <c:v>s29</c:v>
                  </c:pt>
                  <c:pt idx="2">
                    <c:v>s30</c:v>
                  </c:pt>
                </c:lvl>
              </c:multiLvlStrCache>
            </c:multiLvlStrRef>
          </c:cat>
          <c:val>
            <c:numRef>
              <c:f>'Māori &amp; the MHA'!$R$786:$U$786</c:f>
              <c:numCache>
                <c:formatCode>0.0</c:formatCode>
                <c:ptCount val="4"/>
                <c:pt idx="0">
                  <c:v>245.5</c:v>
                </c:pt>
                <c:pt idx="1">
                  <c:v>120</c:v>
                </c:pt>
                <c:pt idx="2">
                  <c:v>76.099999999999994</c:v>
                </c:pt>
                <c:pt idx="3">
                  <c:v>38</c:v>
                </c:pt>
              </c:numCache>
            </c:numRef>
          </c:val>
          <c:extLst>
            <c:ext xmlns:c16="http://schemas.microsoft.com/office/drawing/2014/chart" uri="{C3380CC4-5D6E-409C-BE32-E72D297353CC}">
              <c16:uniqueId val="{00000002-C949-4EA9-B34D-36CF06724FB5}"/>
            </c:ext>
          </c:extLst>
        </c:ser>
        <c:ser>
          <c:idx val="2"/>
          <c:order val="2"/>
          <c:tx>
            <c:strRef>
              <c:f>'Māori &amp; the MHA'!$Q$787</c:f>
              <c:strCache>
                <c:ptCount val="1"/>
                <c:pt idx="0">
                  <c:v>Other</c:v>
                </c:pt>
              </c:strCache>
            </c:strRef>
          </c:tx>
          <c:invertIfNegative val="0"/>
          <c:dLbls>
            <c:dLbl>
              <c:idx val="2"/>
              <c:layout>
                <c:manualLayout>
                  <c:x val="0"/>
                  <c:y val="1.6216096088292834E-2"/>
                </c:manualLayout>
              </c:layout>
              <c:spPr>
                <a:noFill/>
                <a:ln>
                  <a:noFill/>
                </a:ln>
                <a:effectLst/>
              </c:spPr>
              <c:txPr>
                <a:bodyPr wrap="square" lIns="38100" tIns="0" rIns="38100" bIns="19050" anchor="ctr">
                  <a:spAutoFit/>
                </a:bodyPr>
                <a:lstStyle/>
                <a:p>
                  <a:pPr>
                    <a:defRPr>
                      <a:solidFill>
                        <a:schemeClr val="tx1"/>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C949-4EA9-B34D-36CF06724FB5}"/>
                </c:ext>
              </c:extLst>
            </c:dLbl>
            <c:dLbl>
              <c:idx val="3"/>
              <c:layout>
                <c:manualLayout>
                  <c:x val="0"/>
                  <c:y val="1.7919454597050747E-2"/>
                </c:manualLayout>
              </c:layout>
              <c:spPr>
                <a:noFill/>
                <a:ln>
                  <a:noFill/>
                </a:ln>
                <a:effectLst/>
              </c:spPr>
              <c:txPr>
                <a:bodyPr wrap="square" lIns="38100" tIns="0" rIns="38100" bIns="19050" anchor="ctr">
                  <a:spAutoFit/>
                </a:bodyPr>
                <a:lstStyle/>
                <a:p>
                  <a:pPr>
                    <a:defRPr>
                      <a:solidFill>
                        <a:schemeClr val="tx1"/>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C949-4EA9-B34D-36CF06724FB5}"/>
                </c:ext>
              </c:extLst>
            </c:dLbl>
            <c:spPr>
              <a:noFill/>
              <a:ln>
                <a:noFill/>
              </a:ln>
              <a:effectLst/>
            </c:spPr>
            <c:txPr>
              <a:bodyPr wrap="square" lIns="38100" tIns="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multiLvlStrRef>
              <c:f>'Māori &amp; the MHA'!$R$783:$U$784</c:f>
              <c:multiLvlStrCache>
                <c:ptCount val="4"/>
                <c:lvl>
                  <c:pt idx="0">
                    <c:v>Male</c:v>
                  </c:pt>
                  <c:pt idx="1">
                    <c:v>Females</c:v>
                  </c:pt>
                  <c:pt idx="2">
                    <c:v>Male</c:v>
                  </c:pt>
                  <c:pt idx="3">
                    <c:v>Females</c:v>
                  </c:pt>
                </c:lvl>
                <c:lvl>
                  <c:pt idx="0">
                    <c:v>s29</c:v>
                  </c:pt>
                  <c:pt idx="2">
                    <c:v>s30</c:v>
                  </c:pt>
                </c:lvl>
              </c:multiLvlStrCache>
            </c:multiLvlStrRef>
          </c:cat>
          <c:val>
            <c:numRef>
              <c:f>'Māori &amp; the MHA'!$R$787:$U$787</c:f>
              <c:numCache>
                <c:formatCode>0.0</c:formatCode>
                <c:ptCount val="4"/>
                <c:pt idx="0">
                  <c:v>102</c:v>
                </c:pt>
                <c:pt idx="1">
                  <c:v>59.2</c:v>
                </c:pt>
                <c:pt idx="2">
                  <c:v>35.1</c:v>
                </c:pt>
                <c:pt idx="3">
                  <c:v>27.3</c:v>
                </c:pt>
              </c:numCache>
            </c:numRef>
          </c:val>
          <c:extLst>
            <c:ext xmlns:c16="http://schemas.microsoft.com/office/drawing/2014/chart" uri="{C3380CC4-5D6E-409C-BE32-E72D297353CC}">
              <c16:uniqueId val="{00000005-C949-4EA9-B34D-36CF06724FB5}"/>
            </c:ext>
          </c:extLst>
        </c:ser>
        <c:dLbls>
          <c:dLblPos val="inEnd"/>
          <c:showLegendKey val="0"/>
          <c:showVal val="1"/>
          <c:showCatName val="0"/>
          <c:showSerName val="0"/>
          <c:showPercent val="0"/>
          <c:showBubbleSize val="0"/>
        </c:dLbls>
        <c:gapWidth val="40"/>
        <c:overlap val="-12"/>
        <c:axId val="248348408"/>
        <c:axId val="248346840"/>
      </c:barChart>
      <c:catAx>
        <c:axId val="248348408"/>
        <c:scaling>
          <c:orientation val="minMax"/>
        </c:scaling>
        <c:delete val="0"/>
        <c:axPos val="b"/>
        <c:numFmt formatCode="General" sourceLinked="0"/>
        <c:majorTickMark val="out"/>
        <c:minorTickMark val="none"/>
        <c:tickLblPos val="nextTo"/>
        <c:crossAx val="248346840"/>
        <c:crosses val="autoZero"/>
        <c:auto val="1"/>
        <c:lblAlgn val="ctr"/>
        <c:lblOffset val="100"/>
        <c:noMultiLvlLbl val="0"/>
      </c:catAx>
      <c:valAx>
        <c:axId val="248346840"/>
        <c:scaling>
          <c:orientation val="minMax"/>
        </c:scaling>
        <c:delete val="0"/>
        <c:axPos val="l"/>
        <c:title>
          <c:tx>
            <c:rich>
              <a:bodyPr rot="0" vert="horz"/>
              <a:lstStyle/>
              <a:p>
                <a:pPr algn="l">
                  <a:defRPr b="0"/>
                </a:pPr>
                <a:r>
                  <a:rPr lang="en-NZ" b="0"/>
                  <a:t>Rate</a:t>
                </a:r>
              </a:p>
            </c:rich>
          </c:tx>
          <c:layout>
            <c:manualLayout>
              <c:xMode val="edge"/>
              <c:yMode val="edge"/>
              <c:x val="1.6815861304050285E-3"/>
              <c:y val="2.8938631911132676E-3"/>
            </c:manualLayout>
          </c:layout>
          <c:overlay val="0"/>
        </c:title>
        <c:numFmt formatCode="General" sourceLinked="0"/>
        <c:majorTickMark val="out"/>
        <c:minorTickMark val="none"/>
        <c:tickLblPos val="nextTo"/>
        <c:crossAx val="248348408"/>
        <c:crosses val="autoZero"/>
        <c:crossBetween val="between"/>
      </c:valAx>
    </c:plotArea>
    <c:legend>
      <c:legendPos val="r"/>
      <c:layout>
        <c:manualLayout>
          <c:xMode val="edge"/>
          <c:yMode val="edge"/>
          <c:x val="0.80507287987602938"/>
          <c:y val="1.8555051439238901E-3"/>
          <c:w val="0.19154939548640337"/>
          <c:h val="0.24162139356856055"/>
        </c:manualLayout>
      </c:layout>
      <c:overlay val="0"/>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0.23454</cdr:x>
      <cdr:y>0.13725</cdr:y>
    </cdr:from>
    <cdr:to>
      <cdr:x>0.23454</cdr:x>
      <cdr:y>0.81421</cdr:y>
    </cdr:to>
    <cdr:cxnSp macro="">
      <cdr:nvCxnSpPr>
        <cdr:cNvPr id="3" name="Straight Connector 2">
          <a:extLst xmlns:a="http://schemas.openxmlformats.org/drawingml/2006/main">
            <a:ext uri="{FF2B5EF4-FFF2-40B4-BE49-F238E27FC236}">
              <a16:creationId xmlns:a16="http://schemas.microsoft.com/office/drawing/2014/main" id="{3513DE9E-2F27-4885-9FFE-D2618CC63EF8}"/>
            </a:ext>
          </a:extLst>
        </cdr:cNvPr>
        <cdr:cNvCxnSpPr/>
      </cdr:nvCxnSpPr>
      <cdr:spPr>
        <a:xfrm xmlns:a="http://schemas.openxmlformats.org/drawingml/2006/main">
          <a:off x="1203967" y="495300"/>
          <a:ext cx="0" cy="2442944"/>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0.14668</cdr:x>
      <cdr:y>0.04487</cdr:y>
    </cdr:from>
    <cdr:to>
      <cdr:x>0.6216</cdr:x>
      <cdr:y>0.12141</cdr:y>
    </cdr:to>
    <cdr:sp macro="" textlink="">
      <cdr:nvSpPr>
        <cdr:cNvPr id="4" name="TextBox 3"/>
        <cdr:cNvSpPr txBox="1"/>
      </cdr:nvSpPr>
      <cdr:spPr>
        <a:xfrm xmlns:a="http://schemas.openxmlformats.org/drawingml/2006/main">
          <a:off x="752951" y="161925"/>
          <a:ext cx="2437924"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NZ" sz="1000"/>
            <a:t>Seclusion reduction</a:t>
          </a:r>
          <a:r>
            <a:rPr lang="en-NZ" sz="1000" baseline="0"/>
            <a:t> policy introduced</a:t>
          </a:r>
          <a:endParaRPr lang="en-NZ" sz="1000"/>
        </a:p>
      </cdr:txBody>
    </cdr:sp>
  </cdr:relSizeAnchor>
  <cdr:relSizeAnchor xmlns:cdr="http://schemas.openxmlformats.org/drawingml/2006/chartDrawing">
    <cdr:from>
      <cdr:x>0.19874</cdr:x>
      <cdr:y>0.08379</cdr:y>
    </cdr:from>
    <cdr:to>
      <cdr:x>0.28211</cdr:x>
      <cdr:y>0.177</cdr:y>
    </cdr:to>
    <cdr:sp macro="" textlink="">
      <cdr:nvSpPr>
        <cdr:cNvPr id="5" name="TextBox 1"/>
        <cdr:cNvSpPr txBox="1"/>
      </cdr:nvSpPr>
      <cdr:spPr>
        <a:xfrm xmlns:a="http://schemas.openxmlformats.org/drawingml/2006/main">
          <a:off x="1020182" y="302382"/>
          <a:ext cx="427967" cy="33636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NZ" sz="1100">
              <a:sym typeface="Wingdings"/>
            </a:rPr>
            <a:t> </a:t>
          </a:r>
          <a:endParaRPr lang="en-NZ" sz="1100"/>
        </a:p>
      </cdr:txBody>
    </cdr:sp>
  </cdr:relSizeAnchor>
</c:userShapes>
</file>

<file path=word/drawings/drawing2.xml><?xml version="1.0" encoding="utf-8"?>
<c:userShapes xmlns:c="http://schemas.openxmlformats.org/drawingml/2006/chart">
  <cdr:relSizeAnchor xmlns:cdr="http://schemas.openxmlformats.org/drawingml/2006/chartDrawing">
    <cdr:from>
      <cdr:x>0.24855</cdr:x>
      <cdr:y>0.10989</cdr:y>
    </cdr:from>
    <cdr:to>
      <cdr:x>0.24855</cdr:x>
      <cdr:y>0.85393</cdr:y>
    </cdr:to>
    <cdr:cxnSp macro="">
      <cdr:nvCxnSpPr>
        <cdr:cNvPr id="3" name="Straight Connector 2">
          <a:extLst xmlns:a="http://schemas.openxmlformats.org/drawingml/2006/main">
            <a:ext uri="{FF2B5EF4-FFF2-40B4-BE49-F238E27FC236}">
              <a16:creationId xmlns:a16="http://schemas.microsoft.com/office/drawing/2014/main" id="{FF07865E-FDC3-4A1B-9461-9BFFBF8BA7C4}"/>
            </a:ext>
          </a:extLst>
        </cdr:cNvPr>
        <cdr:cNvCxnSpPr/>
      </cdr:nvCxnSpPr>
      <cdr:spPr>
        <a:xfrm xmlns:a="http://schemas.openxmlformats.org/drawingml/2006/main">
          <a:off x="1275892" y="372626"/>
          <a:ext cx="0" cy="2522974"/>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0.16152</cdr:x>
      <cdr:y>0.02198</cdr:y>
    </cdr:from>
    <cdr:to>
      <cdr:x>0.62577</cdr:x>
      <cdr:y>0.10556</cdr:y>
    </cdr:to>
    <cdr:sp macro="" textlink="">
      <cdr:nvSpPr>
        <cdr:cNvPr id="4" name="TextBox 3"/>
        <cdr:cNvSpPr txBox="1"/>
      </cdr:nvSpPr>
      <cdr:spPr>
        <a:xfrm xmlns:a="http://schemas.openxmlformats.org/drawingml/2006/main">
          <a:off x="829151" y="76200"/>
          <a:ext cx="2383153" cy="2897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NZ" sz="1000"/>
            <a:t>Seclusion reduction</a:t>
          </a:r>
          <a:r>
            <a:rPr lang="en-NZ" sz="1000" baseline="0"/>
            <a:t> policy introduced</a:t>
          </a:r>
          <a:endParaRPr lang="en-NZ" sz="1000"/>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0.12966</cdr:x>
      <cdr:y>0.14331</cdr:y>
    </cdr:to>
    <cdr:sp macro="" textlink="">
      <cdr:nvSpPr>
        <cdr:cNvPr id="2" name="TextBox 1"/>
        <cdr:cNvSpPr txBox="1"/>
      </cdr:nvSpPr>
      <cdr:spPr>
        <a:xfrm xmlns:a="http://schemas.openxmlformats.org/drawingml/2006/main">
          <a:off x="-914400" y="-1162050"/>
          <a:ext cx="695324" cy="4777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NZ" sz="1000"/>
            <a:t>Number of people</a:t>
          </a:r>
        </a:p>
      </cdr:txBody>
    </cdr:sp>
  </cdr:relSizeAnchor>
  <cdr:relSizeAnchor xmlns:cdr="http://schemas.openxmlformats.org/drawingml/2006/chartDrawing">
    <cdr:from>
      <cdr:x>0.43633</cdr:x>
      <cdr:y>0.93132</cdr:y>
    </cdr:from>
    <cdr:to>
      <cdr:x>0.66479</cdr:x>
      <cdr:y>1</cdr:y>
    </cdr:to>
    <cdr:sp macro="" textlink="">
      <cdr:nvSpPr>
        <cdr:cNvPr id="3" name="TextBox 1"/>
        <cdr:cNvSpPr txBox="1"/>
      </cdr:nvSpPr>
      <cdr:spPr>
        <a:xfrm xmlns:a="http://schemas.openxmlformats.org/drawingml/2006/main">
          <a:off x="2219309" y="3104788"/>
          <a:ext cx="1162065" cy="2289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NZ" sz="900"/>
            <a:t>Financial</a:t>
          </a:r>
          <a:r>
            <a:rPr lang="en-NZ" sz="900" baseline="0"/>
            <a:t> year</a:t>
          </a:r>
          <a:endParaRPr lang="en-NZ" sz="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3.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4.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14</TotalTime>
  <Pages>77</Pages>
  <Words>16351</Words>
  <Characters>93206</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Director of Mental Health and Addiction Services: Regulatory Report 1 July 2020 to 30 June 2021</dc:title>
  <dc:creator>Ministry of Health</dc:creator>
  <cp:lastModifiedBy>Ministry of Health</cp:lastModifiedBy>
  <cp:revision>9</cp:revision>
  <cp:lastPrinted>2022-09-29T23:03:00Z</cp:lastPrinted>
  <dcterms:created xsi:type="dcterms:W3CDTF">2022-09-29T22:52:00Z</dcterms:created>
  <dcterms:modified xsi:type="dcterms:W3CDTF">2022-09-29T23:03:00Z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