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175"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7512"/>
      </w:tblGrid>
      <w:tr w:rsidR="00D56D8D" w:rsidRPr="00DD748F" w14:paraId="0D335D4D" w14:textId="77777777" w:rsidTr="009C2EFD">
        <w:trPr>
          <w:cantSplit/>
        </w:trPr>
        <w:tc>
          <w:tcPr>
            <w:tcW w:w="6663" w:type="dxa"/>
            <w:shd w:val="clear" w:color="auto" w:fill="auto"/>
            <w:vAlign w:val="bottom"/>
          </w:tcPr>
          <w:p w14:paraId="6E098CD1" w14:textId="7EAB7F52" w:rsidR="008348B7" w:rsidRPr="00DD748F" w:rsidRDefault="00C91D97" w:rsidP="00242284">
            <w:pPr>
              <w:pStyle w:val="Title"/>
            </w:pPr>
            <w:r>
              <w:t>R</w:t>
            </w:r>
            <w:r w:rsidR="009C2EFD" w:rsidRPr="009C2EFD">
              <w:t>esponse to Stats NZ recommendations for the HSU</w:t>
            </w:r>
          </w:p>
        </w:tc>
        <w:tc>
          <w:tcPr>
            <w:tcW w:w="7512" w:type="dxa"/>
            <w:shd w:val="clear" w:color="auto" w:fill="auto"/>
            <w:vAlign w:val="bottom"/>
          </w:tcPr>
          <w:p w14:paraId="7F6C11BA" w14:textId="77777777" w:rsidR="00CD373C" w:rsidRPr="00DD748F" w:rsidRDefault="00CD373C" w:rsidP="0092659B">
            <w:pPr>
              <w:spacing w:after="120"/>
              <w:jc w:val="right"/>
            </w:pPr>
          </w:p>
          <w:p w14:paraId="6FF10AAC" w14:textId="59BE28E0" w:rsidR="00423830" w:rsidRPr="00242284" w:rsidRDefault="00112E1F" w:rsidP="00242284">
            <w:pPr>
              <w:spacing w:after="120"/>
              <w:jc w:val="right"/>
              <w:rPr>
                <w:rFonts w:cs="Segoe UI"/>
                <w:color w:val="002B7F"/>
                <w:sz w:val="28"/>
                <w:szCs w:val="28"/>
              </w:rPr>
            </w:pPr>
            <w:r>
              <w:rPr>
                <w:rFonts w:cs="Segoe UI"/>
                <w:sz w:val="28"/>
                <w:szCs w:val="28"/>
              </w:rPr>
              <w:t>August 2022</w:t>
            </w:r>
          </w:p>
        </w:tc>
      </w:tr>
    </w:tbl>
    <w:p w14:paraId="068F0D58" w14:textId="7BFC2CCF" w:rsidR="008348B7" w:rsidRDefault="008348B7" w:rsidP="00A401D7">
      <w:pPr>
        <w:spacing w:after="360"/>
      </w:pPr>
    </w:p>
    <w:p w14:paraId="14500440" w14:textId="77777777" w:rsidR="002A33DE" w:rsidRDefault="002A33DE" w:rsidP="00A401D7">
      <w:pPr>
        <w:spacing w:after="360"/>
      </w:pPr>
    </w:p>
    <w:tbl>
      <w:tblPr>
        <w:tblStyle w:val="TableGrid"/>
        <w:tblW w:w="14175" w:type="dxa"/>
        <w:tblInd w:w="-5" w:type="dxa"/>
        <w:tblLook w:val="04A0" w:firstRow="1" w:lastRow="0" w:firstColumn="1" w:lastColumn="0" w:noHBand="0" w:noVBand="1"/>
      </w:tblPr>
      <w:tblGrid>
        <w:gridCol w:w="707"/>
        <w:gridCol w:w="5814"/>
        <w:gridCol w:w="1417"/>
        <w:gridCol w:w="4111"/>
        <w:gridCol w:w="2126"/>
      </w:tblGrid>
      <w:tr w:rsidR="009C2EFD" w:rsidRPr="00821889" w14:paraId="1B0E23B2" w14:textId="77777777" w:rsidTr="002A33DE">
        <w:trPr>
          <w:trHeight w:val="330"/>
          <w:tblHeader/>
        </w:trPr>
        <w:tc>
          <w:tcPr>
            <w:tcW w:w="6521" w:type="dxa"/>
            <w:gridSpan w:val="2"/>
            <w:shd w:val="clear" w:color="auto" w:fill="F2F2F2" w:themeFill="background1" w:themeFillShade="F2"/>
          </w:tcPr>
          <w:p w14:paraId="46BC9D10" w14:textId="54162898" w:rsidR="009C2EFD" w:rsidRPr="00821889" w:rsidRDefault="009C2EFD" w:rsidP="009C2EFD">
            <w:pPr>
              <w:spacing w:before="20" w:after="20"/>
              <w:rPr>
                <w:b/>
                <w:bCs/>
              </w:rPr>
            </w:pPr>
            <w:r w:rsidRPr="00821889">
              <w:rPr>
                <w:b/>
                <w:bCs/>
              </w:rPr>
              <w:t>Recommendation</w:t>
            </w:r>
          </w:p>
        </w:tc>
        <w:tc>
          <w:tcPr>
            <w:tcW w:w="1417" w:type="dxa"/>
            <w:shd w:val="clear" w:color="auto" w:fill="F2F2F2" w:themeFill="background1" w:themeFillShade="F2"/>
            <w:noWrap/>
            <w:hideMark/>
          </w:tcPr>
          <w:p w14:paraId="4CE23E9C" w14:textId="77777777" w:rsidR="009C2EFD" w:rsidRPr="00821889" w:rsidRDefault="009C2EFD" w:rsidP="009C2EFD">
            <w:pPr>
              <w:spacing w:before="20" w:after="20"/>
              <w:rPr>
                <w:b/>
                <w:bCs/>
              </w:rPr>
            </w:pPr>
            <w:r w:rsidRPr="00821889">
              <w:rPr>
                <w:b/>
                <w:bCs/>
              </w:rPr>
              <w:t>Response</w:t>
            </w:r>
          </w:p>
        </w:tc>
        <w:tc>
          <w:tcPr>
            <w:tcW w:w="4111" w:type="dxa"/>
            <w:shd w:val="clear" w:color="auto" w:fill="F2F2F2" w:themeFill="background1" w:themeFillShade="F2"/>
            <w:noWrap/>
            <w:hideMark/>
          </w:tcPr>
          <w:p w14:paraId="1E88D1AC" w14:textId="77777777" w:rsidR="009C2EFD" w:rsidRPr="00821889" w:rsidRDefault="009C2EFD" w:rsidP="009C2EFD">
            <w:pPr>
              <w:spacing w:before="20" w:after="20"/>
              <w:rPr>
                <w:b/>
                <w:bCs/>
              </w:rPr>
            </w:pPr>
            <w:r w:rsidRPr="00821889">
              <w:rPr>
                <w:b/>
                <w:bCs/>
              </w:rPr>
              <w:t>Notes</w:t>
            </w:r>
          </w:p>
        </w:tc>
        <w:tc>
          <w:tcPr>
            <w:tcW w:w="2126" w:type="dxa"/>
            <w:shd w:val="clear" w:color="auto" w:fill="F2F2F2" w:themeFill="background1" w:themeFillShade="F2"/>
            <w:hideMark/>
          </w:tcPr>
          <w:p w14:paraId="01E075A6" w14:textId="77777777" w:rsidR="009C2EFD" w:rsidRPr="00821889" w:rsidRDefault="009C2EFD" w:rsidP="009C2EFD">
            <w:pPr>
              <w:spacing w:before="20" w:after="20"/>
              <w:rPr>
                <w:b/>
                <w:bCs/>
              </w:rPr>
            </w:pPr>
            <w:r w:rsidRPr="00821889">
              <w:rPr>
                <w:b/>
                <w:bCs/>
              </w:rPr>
              <w:t>Timeframe</w:t>
            </w:r>
          </w:p>
        </w:tc>
      </w:tr>
      <w:tr w:rsidR="009C2EFD" w:rsidRPr="00821889" w14:paraId="1B2EED27" w14:textId="77777777" w:rsidTr="002A33DE">
        <w:trPr>
          <w:trHeight w:val="315"/>
        </w:trPr>
        <w:tc>
          <w:tcPr>
            <w:tcW w:w="14175" w:type="dxa"/>
            <w:gridSpan w:val="5"/>
            <w:shd w:val="clear" w:color="auto" w:fill="BFBFBF" w:themeFill="background1" w:themeFillShade="BF"/>
          </w:tcPr>
          <w:p w14:paraId="087C1499" w14:textId="7A668F86" w:rsidR="009C2EFD" w:rsidRPr="00821889" w:rsidRDefault="009C2EFD" w:rsidP="009C2EFD">
            <w:pPr>
              <w:spacing w:before="20" w:after="20"/>
              <w:rPr>
                <w:b/>
                <w:bCs/>
              </w:rPr>
            </w:pPr>
            <w:r w:rsidRPr="00821889">
              <w:rPr>
                <w:b/>
                <w:bCs/>
              </w:rPr>
              <w:t>Methods</w:t>
            </w:r>
          </w:p>
        </w:tc>
      </w:tr>
      <w:tr w:rsidR="009C2EFD" w:rsidRPr="00821889" w14:paraId="525BF798" w14:textId="77777777" w:rsidTr="002A33DE">
        <w:trPr>
          <w:trHeight w:val="2100"/>
        </w:trPr>
        <w:tc>
          <w:tcPr>
            <w:tcW w:w="707" w:type="dxa"/>
          </w:tcPr>
          <w:p w14:paraId="3DCF0E86" w14:textId="77777777" w:rsidR="009C2EFD" w:rsidRPr="00821889" w:rsidRDefault="009C2EFD" w:rsidP="009C2EFD">
            <w:pPr>
              <w:pStyle w:val="ListParagraph"/>
              <w:numPr>
                <w:ilvl w:val="0"/>
                <w:numId w:val="6"/>
              </w:numPr>
              <w:spacing w:before="20" w:after="20"/>
              <w:ind w:left="314" w:hanging="284"/>
            </w:pPr>
          </w:p>
        </w:tc>
        <w:tc>
          <w:tcPr>
            <w:tcW w:w="5814" w:type="dxa"/>
            <w:noWrap/>
            <w:hideMark/>
          </w:tcPr>
          <w:p w14:paraId="724CB427" w14:textId="5F759B2E" w:rsidR="009C2EFD" w:rsidRPr="00821889" w:rsidRDefault="009C2EFD" w:rsidP="009C2EFD">
            <w:pPr>
              <w:spacing w:before="20" w:after="20"/>
            </w:pPr>
            <w:r w:rsidRPr="00821889">
              <w:t>The HSU should be derived ‘as at’ key reference dates (</w:t>
            </w:r>
            <w:proofErr w:type="spellStart"/>
            <w:r w:rsidRPr="00821889">
              <w:t>eg</w:t>
            </w:r>
            <w:proofErr w:type="spellEnd"/>
            <w:r w:rsidRPr="00821889">
              <w:t>, 30 June, 31 December) before deriving a ‘mean’ population from these ‘as at’ estimates. Separating these steps simplifies the demographic accounting (updating the HSU), as well as providing alternative but consistent HSU estimates for different purposes.</w:t>
            </w:r>
          </w:p>
        </w:tc>
        <w:tc>
          <w:tcPr>
            <w:tcW w:w="1417" w:type="dxa"/>
            <w:noWrap/>
            <w:hideMark/>
          </w:tcPr>
          <w:p w14:paraId="03A824D9" w14:textId="77777777" w:rsidR="009C2EFD" w:rsidRPr="00821889" w:rsidRDefault="009C2EFD" w:rsidP="009C2EFD">
            <w:pPr>
              <w:spacing w:before="20" w:after="20" w:line="259" w:lineRule="auto"/>
            </w:pPr>
            <w:r>
              <w:t>Accepted</w:t>
            </w:r>
          </w:p>
        </w:tc>
        <w:tc>
          <w:tcPr>
            <w:tcW w:w="4111" w:type="dxa"/>
            <w:vMerge w:val="restart"/>
            <w:hideMark/>
          </w:tcPr>
          <w:p w14:paraId="649A42DD" w14:textId="77777777" w:rsidR="009C2EFD" w:rsidRDefault="009C2EFD" w:rsidP="009C2EFD">
            <w:pPr>
              <w:spacing w:before="20" w:after="20"/>
            </w:pPr>
            <w:r w:rsidRPr="00821889">
              <w:t>Agree</w:t>
            </w:r>
            <w:r>
              <w:t>d.</w:t>
            </w:r>
          </w:p>
          <w:p w14:paraId="0D0414AB" w14:textId="77777777" w:rsidR="009C2EFD" w:rsidRPr="00821889" w:rsidRDefault="009C2EFD" w:rsidP="009C2EFD">
            <w:pPr>
              <w:spacing w:before="20" w:after="20"/>
            </w:pPr>
            <w:r>
              <w:t xml:space="preserve">A review of these recommendations, and how they can be implemented, will be undertaken as part of the HSU workplan. </w:t>
            </w:r>
          </w:p>
        </w:tc>
        <w:tc>
          <w:tcPr>
            <w:tcW w:w="2126" w:type="dxa"/>
            <w:vMerge w:val="restart"/>
            <w:hideMark/>
          </w:tcPr>
          <w:p w14:paraId="7099ABAD" w14:textId="77777777" w:rsidR="009C2EFD" w:rsidRPr="00821889" w:rsidRDefault="009C2EFD" w:rsidP="009C2EFD">
            <w:pPr>
              <w:spacing w:before="20" w:after="20"/>
            </w:pPr>
            <w:r>
              <w:t xml:space="preserve">Decisions to be made by Q2 2023. </w:t>
            </w:r>
            <w:r>
              <w:br/>
              <w:t xml:space="preserve">Implementation to occur in 2023. </w:t>
            </w:r>
          </w:p>
        </w:tc>
      </w:tr>
      <w:tr w:rsidR="009C2EFD" w:rsidRPr="00821889" w14:paraId="0B76FE53" w14:textId="77777777" w:rsidTr="002A33DE">
        <w:trPr>
          <w:trHeight w:val="1200"/>
        </w:trPr>
        <w:tc>
          <w:tcPr>
            <w:tcW w:w="707" w:type="dxa"/>
          </w:tcPr>
          <w:p w14:paraId="312DAA29" w14:textId="06526C97" w:rsidR="009C2EFD" w:rsidRPr="00821889" w:rsidRDefault="009C2EFD" w:rsidP="009C2EFD">
            <w:pPr>
              <w:spacing w:before="20" w:after="20"/>
            </w:pPr>
            <w:r>
              <w:t>2.</w:t>
            </w:r>
          </w:p>
        </w:tc>
        <w:tc>
          <w:tcPr>
            <w:tcW w:w="5814" w:type="dxa"/>
            <w:noWrap/>
            <w:hideMark/>
          </w:tcPr>
          <w:p w14:paraId="2D3663DA" w14:textId="469077CA" w:rsidR="009C2EFD" w:rsidRPr="00821889" w:rsidRDefault="009C2EFD" w:rsidP="009C2EFD">
            <w:pPr>
              <w:spacing w:before="20" w:after="20"/>
            </w:pPr>
            <w:r w:rsidRPr="00821889">
              <w:t>All aggregate HSU populations should be derived from the HSU ‘as at’ unit record datasets – including revisions to those unit record datasets – so that there is one source of truth (internal consistency).</w:t>
            </w:r>
          </w:p>
        </w:tc>
        <w:tc>
          <w:tcPr>
            <w:tcW w:w="1417" w:type="dxa"/>
            <w:noWrap/>
            <w:hideMark/>
          </w:tcPr>
          <w:p w14:paraId="1AA16FAC" w14:textId="77777777" w:rsidR="009C2EFD" w:rsidRPr="00821889" w:rsidRDefault="009C2EFD" w:rsidP="009C2EFD">
            <w:pPr>
              <w:spacing w:before="20" w:after="20"/>
            </w:pPr>
            <w:r>
              <w:t>Accepted</w:t>
            </w:r>
          </w:p>
        </w:tc>
        <w:tc>
          <w:tcPr>
            <w:tcW w:w="4111" w:type="dxa"/>
            <w:vMerge/>
            <w:hideMark/>
          </w:tcPr>
          <w:p w14:paraId="3E45EC48" w14:textId="77777777" w:rsidR="009C2EFD" w:rsidRPr="00821889" w:rsidRDefault="009C2EFD" w:rsidP="009C2EFD">
            <w:pPr>
              <w:spacing w:before="20" w:after="20"/>
            </w:pPr>
          </w:p>
        </w:tc>
        <w:tc>
          <w:tcPr>
            <w:tcW w:w="2126" w:type="dxa"/>
            <w:vMerge/>
            <w:hideMark/>
          </w:tcPr>
          <w:p w14:paraId="1B8654FC" w14:textId="77777777" w:rsidR="009C2EFD" w:rsidRPr="00821889" w:rsidRDefault="009C2EFD" w:rsidP="009C2EFD">
            <w:pPr>
              <w:spacing w:before="20" w:after="20"/>
            </w:pPr>
          </w:p>
        </w:tc>
      </w:tr>
      <w:tr w:rsidR="009C2EFD" w:rsidRPr="00821889" w14:paraId="5EC8AB55" w14:textId="77777777" w:rsidTr="002A33DE">
        <w:trPr>
          <w:trHeight w:val="1200"/>
        </w:trPr>
        <w:tc>
          <w:tcPr>
            <w:tcW w:w="707" w:type="dxa"/>
          </w:tcPr>
          <w:p w14:paraId="6B1D099B" w14:textId="1AF391E1" w:rsidR="009C2EFD" w:rsidRPr="00821889" w:rsidRDefault="009C2EFD" w:rsidP="009C2EFD">
            <w:pPr>
              <w:spacing w:before="20" w:after="20"/>
            </w:pPr>
            <w:r>
              <w:t>3.</w:t>
            </w:r>
          </w:p>
        </w:tc>
        <w:tc>
          <w:tcPr>
            <w:tcW w:w="5814" w:type="dxa"/>
            <w:noWrap/>
            <w:hideMark/>
          </w:tcPr>
          <w:p w14:paraId="6F076129" w14:textId="2A35C56A" w:rsidR="009C2EFD" w:rsidRPr="00821889" w:rsidRDefault="009C2EFD" w:rsidP="009C2EFD">
            <w:pPr>
              <w:spacing w:before="20" w:after="20"/>
            </w:pPr>
            <w:r w:rsidRPr="00821889">
              <w:t>Either the aggregate population distribution or unit record datasets can be used as the denominator for rates at a reference date, as these are consistent with each other.</w:t>
            </w:r>
          </w:p>
        </w:tc>
        <w:tc>
          <w:tcPr>
            <w:tcW w:w="1417" w:type="dxa"/>
            <w:hideMark/>
          </w:tcPr>
          <w:p w14:paraId="092745C7" w14:textId="77777777" w:rsidR="009C2EFD" w:rsidRPr="00821889" w:rsidRDefault="009C2EFD" w:rsidP="009C2EFD">
            <w:pPr>
              <w:spacing w:before="20" w:after="20"/>
            </w:pPr>
            <w:r>
              <w:t>Accepted</w:t>
            </w:r>
          </w:p>
        </w:tc>
        <w:tc>
          <w:tcPr>
            <w:tcW w:w="4111" w:type="dxa"/>
            <w:vMerge/>
            <w:hideMark/>
          </w:tcPr>
          <w:p w14:paraId="42AC9BB7" w14:textId="77777777" w:rsidR="009C2EFD" w:rsidRPr="00821889" w:rsidRDefault="009C2EFD" w:rsidP="009C2EFD">
            <w:pPr>
              <w:spacing w:before="20" w:after="20"/>
            </w:pPr>
          </w:p>
        </w:tc>
        <w:tc>
          <w:tcPr>
            <w:tcW w:w="2126" w:type="dxa"/>
            <w:vMerge/>
            <w:hideMark/>
          </w:tcPr>
          <w:p w14:paraId="72DE8CB3" w14:textId="77777777" w:rsidR="009C2EFD" w:rsidRPr="00821889" w:rsidRDefault="009C2EFD" w:rsidP="009C2EFD">
            <w:pPr>
              <w:spacing w:before="20" w:after="20"/>
            </w:pPr>
          </w:p>
        </w:tc>
      </w:tr>
      <w:tr w:rsidR="009C2EFD" w:rsidRPr="00821889" w14:paraId="64CAC2DC" w14:textId="77777777" w:rsidTr="002A33DE">
        <w:trPr>
          <w:trHeight w:val="2201"/>
        </w:trPr>
        <w:tc>
          <w:tcPr>
            <w:tcW w:w="707" w:type="dxa"/>
          </w:tcPr>
          <w:p w14:paraId="165CAD1A" w14:textId="7F6AC940" w:rsidR="009C2EFD" w:rsidRPr="00821889" w:rsidRDefault="009C2EFD" w:rsidP="009C2EFD">
            <w:pPr>
              <w:spacing w:before="20" w:after="20"/>
            </w:pPr>
            <w:r>
              <w:lastRenderedPageBreak/>
              <w:t>4.</w:t>
            </w:r>
          </w:p>
        </w:tc>
        <w:tc>
          <w:tcPr>
            <w:tcW w:w="5814" w:type="dxa"/>
            <w:noWrap/>
            <w:hideMark/>
          </w:tcPr>
          <w:p w14:paraId="5361C2E8" w14:textId="0D3029E7" w:rsidR="009C2EFD" w:rsidRPr="00821889" w:rsidRDefault="009C2EFD" w:rsidP="009C2EFD">
            <w:pPr>
              <w:spacing w:before="20" w:after="20"/>
            </w:pPr>
            <w:r w:rsidRPr="00821889">
              <w:t>The aggregate population distribution, not unit record datasets, should be used as the denominator for rates over periods of time (</w:t>
            </w:r>
            <w:proofErr w:type="spellStart"/>
            <w:r w:rsidRPr="00821889">
              <w:t>eg</w:t>
            </w:r>
            <w:proofErr w:type="spellEnd"/>
            <w:r w:rsidRPr="00821889">
              <w:t>, a year). These mean populations will average the reported attributes – age, ethnicity, and place of residence – of the population over the year. These aggregate mean populations over the year are consistent with (but not equal to) the ‘as at’ populations.</w:t>
            </w:r>
          </w:p>
        </w:tc>
        <w:tc>
          <w:tcPr>
            <w:tcW w:w="1417" w:type="dxa"/>
            <w:hideMark/>
          </w:tcPr>
          <w:p w14:paraId="687F0EC1" w14:textId="77777777" w:rsidR="009C2EFD" w:rsidRPr="00821889" w:rsidRDefault="009C2EFD" w:rsidP="009C2EFD">
            <w:pPr>
              <w:spacing w:before="20" w:after="20"/>
            </w:pPr>
            <w:r>
              <w:t>Accepted</w:t>
            </w:r>
          </w:p>
        </w:tc>
        <w:tc>
          <w:tcPr>
            <w:tcW w:w="4111" w:type="dxa"/>
            <w:vMerge/>
            <w:hideMark/>
          </w:tcPr>
          <w:p w14:paraId="6D65DF19" w14:textId="77777777" w:rsidR="009C2EFD" w:rsidRPr="00821889" w:rsidRDefault="009C2EFD" w:rsidP="009C2EFD">
            <w:pPr>
              <w:spacing w:before="20" w:after="20"/>
            </w:pPr>
          </w:p>
        </w:tc>
        <w:tc>
          <w:tcPr>
            <w:tcW w:w="2126" w:type="dxa"/>
            <w:vMerge/>
            <w:hideMark/>
          </w:tcPr>
          <w:p w14:paraId="782CABE1" w14:textId="77777777" w:rsidR="009C2EFD" w:rsidRPr="00821889" w:rsidRDefault="009C2EFD" w:rsidP="009C2EFD">
            <w:pPr>
              <w:spacing w:before="20" w:after="20"/>
            </w:pPr>
          </w:p>
        </w:tc>
      </w:tr>
      <w:tr w:rsidR="009C2EFD" w:rsidRPr="00821889" w14:paraId="275EBA90" w14:textId="77777777" w:rsidTr="002A33DE">
        <w:trPr>
          <w:trHeight w:val="1200"/>
        </w:trPr>
        <w:tc>
          <w:tcPr>
            <w:tcW w:w="707" w:type="dxa"/>
          </w:tcPr>
          <w:p w14:paraId="74B4575C" w14:textId="24FCBFAF" w:rsidR="009C2EFD" w:rsidRPr="00821889" w:rsidRDefault="009C2EFD" w:rsidP="009C2EFD">
            <w:pPr>
              <w:spacing w:before="20" w:after="20"/>
            </w:pPr>
            <w:r>
              <w:t>5.</w:t>
            </w:r>
          </w:p>
        </w:tc>
        <w:tc>
          <w:tcPr>
            <w:tcW w:w="5814" w:type="dxa"/>
            <w:noWrap/>
            <w:hideMark/>
          </w:tcPr>
          <w:p w14:paraId="51A24FF5" w14:textId="287DBF2C" w:rsidR="009C2EFD" w:rsidRPr="00821889" w:rsidRDefault="009C2EFD" w:rsidP="009C2EFD">
            <w:pPr>
              <w:spacing w:before="20" w:after="20"/>
            </w:pPr>
            <w:r w:rsidRPr="00821889">
              <w:t>All live births registered in New Zealand should be included in the HSU population according to the date of birth of the child, regardless of their stated residence (</w:t>
            </w:r>
            <w:proofErr w:type="spellStart"/>
            <w:r w:rsidRPr="00821889">
              <w:t>ie</w:t>
            </w:r>
            <w:proofErr w:type="spellEnd"/>
            <w:r w:rsidRPr="00821889">
              <w:t>, in New Zealand or overseas).</w:t>
            </w:r>
          </w:p>
        </w:tc>
        <w:tc>
          <w:tcPr>
            <w:tcW w:w="1417" w:type="dxa"/>
            <w:noWrap/>
            <w:hideMark/>
          </w:tcPr>
          <w:p w14:paraId="5AE24245" w14:textId="77777777" w:rsidR="009C2EFD" w:rsidRPr="00821889" w:rsidRDefault="009C2EFD" w:rsidP="009C2EFD">
            <w:pPr>
              <w:spacing w:before="20" w:after="20"/>
            </w:pPr>
            <w:r>
              <w:t>Completed</w:t>
            </w:r>
          </w:p>
        </w:tc>
        <w:tc>
          <w:tcPr>
            <w:tcW w:w="4111" w:type="dxa"/>
            <w:hideMark/>
          </w:tcPr>
          <w:p w14:paraId="351529DC" w14:textId="77777777" w:rsidR="009C2EFD" w:rsidRPr="00821889" w:rsidRDefault="009C2EFD" w:rsidP="009C2EFD">
            <w:pPr>
              <w:spacing w:before="20" w:after="20"/>
            </w:pPr>
            <w:r w:rsidRPr="00821889">
              <w:t>All births registered in NZ are included in the HSU.</w:t>
            </w:r>
          </w:p>
        </w:tc>
        <w:tc>
          <w:tcPr>
            <w:tcW w:w="2126" w:type="dxa"/>
            <w:hideMark/>
          </w:tcPr>
          <w:p w14:paraId="07F399C4" w14:textId="77777777" w:rsidR="009C2EFD" w:rsidRPr="00821889" w:rsidRDefault="009C2EFD" w:rsidP="009C2EFD">
            <w:pPr>
              <w:spacing w:before="20" w:after="20"/>
            </w:pPr>
            <w:r w:rsidRPr="00821889">
              <w:t>Complete</w:t>
            </w:r>
          </w:p>
        </w:tc>
      </w:tr>
      <w:tr w:rsidR="009C2EFD" w:rsidRPr="00821889" w14:paraId="2C553F68" w14:textId="77777777" w:rsidTr="002A33DE">
        <w:trPr>
          <w:trHeight w:val="1129"/>
        </w:trPr>
        <w:tc>
          <w:tcPr>
            <w:tcW w:w="707" w:type="dxa"/>
          </w:tcPr>
          <w:p w14:paraId="1B63ED11" w14:textId="68E63A11" w:rsidR="009C2EFD" w:rsidRDefault="009C2EFD" w:rsidP="009C2EFD">
            <w:pPr>
              <w:spacing w:before="20" w:after="20"/>
            </w:pPr>
            <w:r>
              <w:t>6.</w:t>
            </w:r>
          </w:p>
        </w:tc>
        <w:tc>
          <w:tcPr>
            <w:tcW w:w="5814" w:type="dxa"/>
            <w:noWrap/>
            <w:hideMark/>
          </w:tcPr>
          <w:p w14:paraId="7827EF4A" w14:textId="7B1BD0ED" w:rsidR="009C2EFD" w:rsidRPr="00821889" w:rsidRDefault="009C2EFD" w:rsidP="009C2EFD">
            <w:pPr>
              <w:spacing w:before="20" w:after="20"/>
            </w:pPr>
            <w:r>
              <w:t>All people whose deaths are registered in New Zealand should be included in the HSU population for reference dates before the date of death, regardless of their stated residence (</w:t>
            </w:r>
            <w:proofErr w:type="spellStart"/>
            <w:r>
              <w:t>ie</w:t>
            </w:r>
            <w:proofErr w:type="spellEnd"/>
            <w:r>
              <w:t>, in New Zealand or overseas).</w:t>
            </w:r>
          </w:p>
        </w:tc>
        <w:tc>
          <w:tcPr>
            <w:tcW w:w="1417" w:type="dxa"/>
            <w:noWrap/>
            <w:hideMark/>
          </w:tcPr>
          <w:p w14:paraId="2F13E6F1" w14:textId="77777777" w:rsidR="009C2EFD" w:rsidRPr="00821889" w:rsidRDefault="009C2EFD" w:rsidP="009C2EFD">
            <w:pPr>
              <w:spacing w:before="20" w:after="20"/>
            </w:pPr>
            <w:r>
              <w:t>Completed</w:t>
            </w:r>
          </w:p>
        </w:tc>
        <w:tc>
          <w:tcPr>
            <w:tcW w:w="4111" w:type="dxa"/>
            <w:hideMark/>
          </w:tcPr>
          <w:p w14:paraId="298F652C" w14:textId="77777777" w:rsidR="009C2EFD" w:rsidRPr="00821889" w:rsidRDefault="009C2EFD" w:rsidP="009C2EFD">
            <w:pPr>
              <w:spacing w:before="20" w:after="20"/>
            </w:pPr>
            <w:r w:rsidRPr="00821889">
              <w:t>All deaths registered in NZ are included in the HSU.</w:t>
            </w:r>
          </w:p>
        </w:tc>
        <w:tc>
          <w:tcPr>
            <w:tcW w:w="2126" w:type="dxa"/>
            <w:hideMark/>
          </w:tcPr>
          <w:p w14:paraId="7D29169B" w14:textId="77777777" w:rsidR="009C2EFD" w:rsidRPr="00821889" w:rsidRDefault="009C2EFD" w:rsidP="009C2EFD">
            <w:pPr>
              <w:spacing w:before="20" w:after="20"/>
            </w:pPr>
            <w:r w:rsidRPr="00821889">
              <w:t>Complete</w:t>
            </w:r>
          </w:p>
        </w:tc>
      </w:tr>
      <w:tr w:rsidR="009C2EFD" w:rsidRPr="00821889" w14:paraId="352C5D0B" w14:textId="77777777" w:rsidTr="002A33DE">
        <w:trPr>
          <w:trHeight w:val="889"/>
        </w:trPr>
        <w:tc>
          <w:tcPr>
            <w:tcW w:w="707" w:type="dxa"/>
          </w:tcPr>
          <w:p w14:paraId="4E32A7EF" w14:textId="577B3F4D" w:rsidR="009C2EFD" w:rsidRPr="00821889" w:rsidRDefault="009C2EFD" w:rsidP="009C2EFD">
            <w:pPr>
              <w:spacing w:before="20" w:after="20"/>
            </w:pPr>
            <w:r>
              <w:t>7.</w:t>
            </w:r>
          </w:p>
        </w:tc>
        <w:tc>
          <w:tcPr>
            <w:tcW w:w="5814" w:type="dxa"/>
            <w:noWrap/>
            <w:hideMark/>
          </w:tcPr>
          <w:p w14:paraId="5D6E3F70" w14:textId="752AFB0C" w:rsidR="009C2EFD" w:rsidRPr="00821889" w:rsidRDefault="009C2EFD" w:rsidP="009C2EFD">
            <w:pPr>
              <w:spacing w:before="20" w:after="20"/>
            </w:pPr>
            <w:r w:rsidRPr="00821889">
              <w:t>Vaccination data should be used to increase the HSU population where people were not previously in the HSU relative to each reference date.</w:t>
            </w:r>
          </w:p>
        </w:tc>
        <w:tc>
          <w:tcPr>
            <w:tcW w:w="1417" w:type="dxa"/>
            <w:noWrap/>
            <w:hideMark/>
          </w:tcPr>
          <w:p w14:paraId="6984908A" w14:textId="77777777" w:rsidR="009C2EFD" w:rsidRPr="00821889" w:rsidRDefault="009C2EFD" w:rsidP="009C2EFD">
            <w:pPr>
              <w:spacing w:before="20" w:after="20"/>
            </w:pPr>
            <w:r>
              <w:t>Completed</w:t>
            </w:r>
          </w:p>
        </w:tc>
        <w:tc>
          <w:tcPr>
            <w:tcW w:w="4111" w:type="dxa"/>
            <w:hideMark/>
          </w:tcPr>
          <w:p w14:paraId="1DA9EAB5" w14:textId="77777777" w:rsidR="009C2EFD" w:rsidRPr="00821889" w:rsidRDefault="009C2EFD" w:rsidP="009C2EFD">
            <w:pPr>
              <w:spacing w:before="20" w:after="20"/>
            </w:pPr>
            <w:r w:rsidRPr="00821889">
              <w:t xml:space="preserve">This has been implemented. </w:t>
            </w:r>
          </w:p>
        </w:tc>
        <w:tc>
          <w:tcPr>
            <w:tcW w:w="2126" w:type="dxa"/>
            <w:hideMark/>
          </w:tcPr>
          <w:p w14:paraId="1A9DDCCD" w14:textId="77777777" w:rsidR="009C2EFD" w:rsidRPr="00821889" w:rsidRDefault="009C2EFD" w:rsidP="009C2EFD">
            <w:pPr>
              <w:spacing w:before="20" w:after="20"/>
            </w:pPr>
            <w:r w:rsidRPr="00821889">
              <w:t>Complete</w:t>
            </w:r>
          </w:p>
        </w:tc>
      </w:tr>
      <w:tr w:rsidR="009C2EFD" w:rsidRPr="00821889" w14:paraId="60C8F2C6" w14:textId="77777777" w:rsidTr="002A33DE">
        <w:trPr>
          <w:trHeight w:val="1523"/>
        </w:trPr>
        <w:tc>
          <w:tcPr>
            <w:tcW w:w="707" w:type="dxa"/>
          </w:tcPr>
          <w:p w14:paraId="1928CC0B" w14:textId="41577BD8" w:rsidR="009C2EFD" w:rsidRPr="00821889" w:rsidRDefault="009C2EFD" w:rsidP="009C2EFD">
            <w:pPr>
              <w:spacing w:before="20" w:after="20"/>
            </w:pPr>
            <w:r>
              <w:t>8.</w:t>
            </w:r>
          </w:p>
        </w:tc>
        <w:tc>
          <w:tcPr>
            <w:tcW w:w="5814" w:type="dxa"/>
            <w:noWrap/>
            <w:hideMark/>
          </w:tcPr>
          <w:p w14:paraId="01FA4E29" w14:textId="0CEDEB61" w:rsidR="009C2EFD" w:rsidRPr="00821889" w:rsidRDefault="009C2EFD" w:rsidP="009C2EFD">
            <w:pPr>
              <w:spacing w:before="20" w:after="20"/>
            </w:pPr>
            <w:r w:rsidRPr="00821889">
              <w:t>Ethnicity data should be collected and reported according to ‘total response’ rather than ‘prioritised’</w:t>
            </w:r>
            <w:r w:rsidRPr="00821889">
              <w:rPr>
                <w:u w:val="single"/>
              </w:rPr>
              <w:t>,</w:t>
            </w:r>
            <w:r w:rsidRPr="00821889">
              <w:t xml:space="preserve"> to better reflect the ethnicities reported by people using health services.</w:t>
            </w:r>
          </w:p>
        </w:tc>
        <w:tc>
          <w:tcPr>
            <w:tcW w:w="1417" w:type="dxa"/>
            <w:noWrap/>
            <w:hideMark/>
          </w:tcPr>
          <w:p w14:paraId="7A95223B" w14:textId="77777777" w:rsidR="009C2EFD" w:rsidRPr="00821889" w:rsidRDefault="009C2EFD" w:rsidP="009C2EFD">
            <w:pPr>
              <w:spacing w:before="20" w:after="20"/>
            </w:pPr>
            <w:r>
              <w:t>Under discussion</w:t>
            </w:r>
          </w:p>
        </w:tc>
        <w:tc>
          <w:tcPr>
            <w:tcW w:w="4111" w:type="dxa"/>
            <w:hideMark/>
          </w:tcPr>
          <w:p w14:paraId="464F1923" w14:textId="77777777" w:rsidR="009C2EFD" w:rsidRPr="00821889" w:rsidRDefault="009C2EFD" w:rsidP="009C2EFD">
            <w:pPr>
              <w:spacing w:before="20" w:after="20"/>
            </w:pPr>
            <w:r>
              <w:t xml:space="preserve">Work is underway within health agencies including </w:t>
            </w:r>
            <w:proofErr w:type="spellStart"/>
            <w:r>
              <w:t>Te</w:t>
            </w:r>
            <w:proofErr w:type="spellEnd"/>
            <w:r>
              <w:t xml:space="preserve"> Aka </w:t>
            </w:r>
            <w:proofErr w:type="spellStart"/>
            <w:r>
              <w:t>Whai</w:t>
            </w:r>
            <w:proofErr w:type="spellEnd"/>
            <w:r>
              <w:t xml:space="preserve"> Ora, </w:t>
            </w:r>
            <w:proofErr w:type="spellStart"/>
            <w:r>
              <w:t>Te</w:t>
            </w:r>
            <w:proofErr w:type="spellEnd"/>
            <w:r>
              <w:t xml:space="preserve"> </w:t>
            </w:r>
            <w:proofErr w:type="spellStart"/>
            <w:r>
              <w:t>Whatu</w:t>
            </w:r>
            <w:proofErr w:type="spellEnd"/>
            <w:r>
              <w:t xml:space="preserve"> Ora, and the Ministry of Health, to discuss and agree an approach. Agencies need to ensure this change would not negatively impact Māori. </w:t>
            </w:r>
          </w:p>
        </w:tc>
        <w:tc>
          <w:tcPr>
            <w:tcW w:w="2126" w:type="dxa"/>
            <w:hideMark/>
          </w:tcPr>
          <w:p w14:paraId="63842D41" w14:textId="77777777" w:rsidR="009C2EFD" w:rsidRPr="00821889" w:rsidRDefault="009C2EFD" w:rsidP="009C2EFD">
            <w:pPr>
              <w:spacing w:before="20" w:after="20"/>
            </w:pPr>
            <w:r>
              <w:t xml:space="preserve">Decisions to be made by Q2 2023. </w:t>
            </w:r>
            <w:r>
              <w:br/>
              <w:t xml:space="preserve">Implementation in 2023. </w:t>
            </w:r>
          </w:p>
        </w:tc>
      </w:tr>
      <w:tr w:rsidR="009C2EFD" w:rsidRPr="00821889" w14:paraId="2F31DA7F" w14:textId="77777777" w:rsidTr="002A33DE">
        <w:trPr>
          <w:trHeight w:val="959"/>
        </w:trPr>
        <w:tc>
          <w:tcPr>
            <w:tcW w:w="707" w:type="dxa"/>
          </w:tcPr>
          <w:p w14:paraId="2803A888" w14:textId="5A8265CA" w:rsidR="009C2EFD" w:rsidRPr="00821889" w:rsidRDefault="009C2EFD" w:rsidP="009C2EFD">
            <w:pPr>
              <w:spacing w:before="20" w:after="20"/>
            </w:pPr>
            <w:r>
              <w:t>9.</w:t>
            </w:r>
          </w:p>
        </w:tc>
        <w:tc>
          <w:tcPr>
            <w:tcW w:w="5814" w:type="dxa"/>
            <w:noWrap/>
            <w:hideMark/>
          </w:tcPr>
          <w:p w14:paraId="18167FCE" w14:textId="0EC9243B" w:rsidR="009C2EFD" w:rsidRPr="00821889" w:rsidRDefault="009C2EFD" w:rsidP="009C2EFD">
            <w:pPr>
              <w:spacing w:before="20" w:after="20"/>
            </w:pPr>
            <w:r w:rsidRPr="00821889">
              <w:t xml:space="preserve">Ethnicity data should be collected at the most detailed level of the ethnicity classification practicable, to give ultimate flexibility in reporting. </w:t>
            </w:r>
          </w:p>
        </w:tc>
        <w:tc>
          <w:tcPr>
            <w:tcW w:w="1417" w:type="dxa"/>
            <w:noWrap/>
            <w:hideMark/>
          </w:tcPr>
          <w:p w14:paraId="3231CE90" w14:textId="77777777" w:rsidR="009C2EFD" w:rsidRPr="00821889" w:rsidRDefault="009C2EFD" w:rsidP="009C2EFD">
            <w:pPr>
              <w:spacing w:before="20" w:after="20" w:line="259" w:lineRule="auto"/>
            </w:pPr>
            <w:r>
              <w:t>Accepted</w:t>
            </w:r>
          </w:p>
        </w:tc>
        <w:tc>
          <w:tcPr>
            <w:tcW w:w="4111" w:type="dxa"/>
            <w:hideMark/>
          </w:tcPr>
          <w:p w14:paraId="3BCE4427" w14:textId="77777777" w:rsidR="009C2EFD" w:rsidRPr="00821889" w:rsidRDefault="009C2EFD" w:rsidP="009C2EFD">
            <w:pPr>
              <w:spacing w:before="20" w:after="20"/>
            </w:pPr>
            <w:r>
              <w:t xml:space="preserve">Agreed. </w:t>
            </w:r>
            <w:r w:rsidRPr="00821889">
              <w:t xml:space="preserve">The National Health Index (NHI) HISO standard for ethnicity specifies that up to six ethnicities should be collected at level 4. </w:t>
            </w:r>
          </w:p>
        </w:tc>
        <w:tc>
          <w:tcPr>
            <w:tcW w:w="2126" w:type="dxa"/>
            <w:hideMark/>
          </w:tcPr>
          <w:p w14:paraId="73195DD6" w14:textId="77777777" w:rsidR="009C2EFD" w:rsidRPr="00821889" w:rsidRDefault="009C2EFD" w:rsidP="009C2EFD">
            <w:pPr>
              <w:spacing w:before="20" w:after="20"/>
            </w:pPr>
            <w:r w:rsidRPr="00821889">
              <w:t>Ongoing</w:t>
            </w:r>
          </w:p>
        </w:tc>
      </w:tr>
      <w:tr w:rsidR="009C2EFD" w:rsidRPr="00821889" w14:paraId="31888369" w14:textId="77777777" w:rsidTr="002A33DE">
        <w:trPr>
          <w:trHeight w:val="353"/>
        </w:trPr>
        <w:tc>
          <w:tcPr>
            <w:tcW w:w="707" w:type="dxa"/>
            <w:shd w:val="clear" w:color="auto" w:fill="BFBFBF" w:themeFill="background1" w:themeFillShade="BF"/>
          </w:tcPr>
          <w:p w14:paraId="571FE41B" w14:textId="77777777" w:rsidR="009C2EFD" w:rsidRPr="00821889" w:rsidRDefault="009C2EFD" w:rsidP="009C2EFD">
            <w:pPr>
              <w:spacing w:before="20" w:after="20"/>
              <w:rPr>
                <w:b/>
                <w:bCs/>
              </w:rPr>
            </w:pPr>
          </w:p>
        </w:tc>
        <w:tc>
          <w:tcPr>
            <w:tcW w:w="13468" w:type="dxa"/>
            <w:gridSpan w:val="4"/>
            <w:shd w:val="clear" w:color="auto" w:fill="BFBFBF" w:themeFill="background1" w:themeFillShade="BF"/>
            <w:noWrap/>
            <w:hideMark/>
          </w:tcPr>
          <w:p w14:paraId="26980870" w14:textId="2F652A98" w:rsidR="009C2EFD" w:rsidRPr="00821889" w:rsidRDefault="009C2EFD" w:rsidP="009C2EFD">
            <w:pPr>
              <w:spacing w:before="20" w:after="20"/>
              <w:rPr>
                <w:b/>
                <w:bCs/>
              </w:rPr>
            </w:pPr>
            <w:r w:rsidRPr="00821889">
              <w:rPr>
                <w:b/>
                <w:bCs/>
              </w:rPr>
              <w:t>Dissemination</w:t>
            </w:r>
          </w:p>
        </w:tc>
      </w:tr>
      <w:tr w:rsidR="009C2EFD" w:rsidRPr="00821889" w14:paraId="0F4E83E0" w14:textId="77777777" w:rsidTr="002A33DE">
        <w:trPr>
          <w:trHeight w:val="1249"/>
        </w:trPr>
        <w:tc>
          <w:tcPr>
            <w:tcW w:w="707" w:type="dxa"/>
          </w:tcPr>
          <w:p w14:paraId="038AB120" w14:textId="35EEC915" w:rsidR="009C2EFD" w:rsidRDefault="009C2EFD" w:rsidP="009C2EFD">
            <w:pPr>
              <w:spacing w:before="20" w:after="20"/>
            </w:pPr>
            <w:r>
              <w:t>10.</w:t>
            </w:r>
          </w:p>
        </w:tc>
        <w:tc>
          <w:tcPr>
            <w:tcW w:w="5814" w:type="dxa"/>
            <w:noWrap/>
            <w:hideMark/>
          </w:tcPr>
          <w:p w14:paraId="5D261B00" w14:textId="2DC80919" w:rsidR="009C2EFD" w:rsidRPr="00821889" w:rsidRDefault="009C2EFD" w:rsidP="009C2EFD">
            <w:pPr>
              <w:spacing w:before="20" w:after="20"/>
            </w:pPr>
            <w:r>
              <w:t>The HSU should adhere to the principles of official statistics in its derivation and dissemination. This is because the HSU is an official statistic in its own right and is used to derive other official statistics.</w:t>
            </w:r>
          </w:p>
        </w:tc>
        <w:tc>
          <w:tcPr>
            <w:tcW w:w="1417" w:type="dxa"/>
            <w:noWrap/>
            <w:hideMark/>
          </w:tcPr>
          <w:p w14:paraId="19E6B042" w14:textId="77777777" w:rsidR="009C2EFD" w:rsidRPr="00821889" w:rsidRDefault="009C2EFD" w:rsidP="009C2EFD">
            <w:pPr>
              <w:spacing w:before="20" w:after="20"/>
            </w:pPr>
            <w:r>
              <w:t>Accepted</w:t>
            </w:r>
          </w:p>
        </w:tc>
        <w:tc>
          <w:tcPr>
            <w:tcW w:w="4111" w:type="dxa"/>
            <w:hideMark/>
          </w:tcPr>
          <w:p w14:paraId="4204A4F9" w14:textId="77777777" w:rsidR="009C2EFD" w:rsidRPr="00821889" w:rsidRDefault="009C2EFD" w:rsidP="009C2EFD">
            <w:pPr>
              <w:spacing w:before="20" w:after="20"/>
            </w:pPr>
            <w:r>
              <w:t xml:space="preserve">Agreed. Will be included in the future workplan for a process to formalise HSU production and dissemination. </w:t>
            </w:r>
          </w:p>
        </w:tc>
        <w:tc>
          <w:tcPr>
            <w:tcW w:w="2126" w:type="dxa"/>
            <w:hideMark/>
          </w:tcPr>
          <w:p w14:paraId="4739CBDC" w14:textId="77777777" w:rsidR="009C2EFD" w:rsidRPr="00821889" w:rsidRDefault="009C2EFD" w:rsidP="009C2EFD">
            <w:pPr>
              <w:spacing w:before="20" w:after="20"/>
            </w:pPr>
            <w:r w:rsidRPr="00821889">
              <w:t>Ongoing</w:t>
            </w:r>
          </w:p>
        </w:tc>
      </w:tr>
      <w:tr w:rsidR="009C2EFD" w:rsidRPr="00821889" w14:paraId="7E3C399F" w14:textId="77777777" w:rsidTr="002A33DE">
        <w:trPr>
          <w:trHeight w:val="1800"/>
        </w:trPr>
        <w:tc>
          <w:tcPr>
            <w:tcW w:w="707" w:type="dxa"/>
          </w:tcPr>
          <w:p w14:paraId="43E65DFB" w14:textId="3902FD8E" w:rsidR="009C2EFD" w:rsidRDefault="009C2EFD" w:rsidP="009C2EFD">
            <w:pPr>
              <w:spacing w:before="20" w:after="20"/>
            </w:pPr>
            <w:r>
              <w:t>11.</w:t>
            </w:r>
          </w:p>
        </w:tc>
        <w:tc>
          <w:tcPr>
            <w:tcW w:w="5814" w:type="dxa"/>
            <w:noWrap/>
            <w:hideMark/>
          </w:tcPr>
          <w:p w14:paraId="5225F0C1" w14:textId="6E11DC1F" w:rsidR="009C2EFD" w:rsidRPr="00821889" w:rsidRDefault="009C2EFD" w:rsidP="009C2EFD">
            <w:pPr>
              <w:spacing w:before="20" w:after="20"/>
            </w:pPr>
            <w:r>
              <w:t>The strengths and limitations of the HSU population as a population measure and denominator should be openly published. This could be presented either for the HSU population alone, or in contrast with Stats NZ population estimates and projections.</w:t>
            </w:r>
          </w:p>
        </w:tc>
        <w:tc>
          <w:tcPr>
            <w:tcW w:w="1417" w:type="dxa"/>
            <w:noWrap/>
            <w:hideMark/>
          </w:tcPr>
          <w:p w14:paraId="149207CA" w14:textId="77777777" w:rsidR="009C2EFD" w:rsidRPr="00821889" w:rsidRDefault="009C2EFD" w:rsidP="009C2EFD">
            <w:pPr>
              <w:spacing w:before="20" w:after="20"/>
            </w:pPr>
            <w:r>
              <w:t>Accepted</w:t>
            </w:r>
          </w:p>
        </w:tc>
        <w:tc>
          <w:tcPr>
            <w:tcW w:w="4111" w:type="dxa"/>
            <w:hideMark/>
          </w:tcPr>
          <w:p w14:paraId="41418488" w14:textId="77777777" w:rsidR="009C2EFD" w:rsidRPr="00821889" w:rsidRDefault="009C2EFD" w:rsidP="009C2EFD">
            <w:pPr>
              <w:spacing w:before="20" w:after="20"/>
            </w:pPr>
            <w:r>
              <w:t>Agreed. Will be included in the future workplan for a process to formalise HSU production and dissemination.</w:t>
            </w:r>
          </w:p>
        </w:tc>
        <w:tc>
          <w:tcPr>
            <w:tcW w:w="2126" w:type="dxa"/>
            <w:hideMark/>
          </w:tcPr>
          <w:p w14:paraId="09863F6F" w14:textId="77777777" w:rsidR="009C2EFD" w:rsidRPr="00821889" w:rsidRDefault="009C2EFD" w:rsidP="009C2EFD">
            <w:pPr>
              <w:spacing w:before="20" w:after="20"/>
            </w:pPr>
            <w:r>
              <w:t>To be published by Q1 2023</w:t>
            </w:r>
          </w:p>
        </w:tc>
      </w:tr>
      <w:tr w:rsidR="009C2EFD" w:rsidRPr="00821889" w14:paraId="3CDA470A" w14:textId="77777777" w:rsidTr="002A33DE">
        <w:trPr>
          <w:trHeight w:val="1601"/>
        </w:trPr>
        <w:tc>
          <w:tcPr>
            <w:tcW w:w="707" w:type="dxa"/>
          </w:tcPr>
          <w:p w14:paraId="3FABF6D1" w14:textId="57594CB5" w:rsidR="009C2EFD" w:rsidRDefault="009C2EFD" w:rsidP="009C2EFD">
            <w:pPr>
              <w:spacing w:before="20" w:after="20"/>
            </w:pPr>
            <w:r>
              <w:t>12.</w:t>
            </w:r>
          </w:p>
        </w:tc>
        <w:tc>
          <w:tcPr>
            <w:tcW w:w="5814" w:type="dxa"/>
            <w:noWrap/>
            <w:hideMark/>
          </w:tcPr>
          <w:p w14:paraId="677B80B8" w14:textId="3E367B83" w:rsidR="009C2EFD" w:rsidRPr="00821889" w:rsidRDefault="009C2EFD" w:rsidP="009C2EFD">
            <w:pPr>
              <w:spacing w:before="20" w:after="20"/>
            </w:pPr>
            <w:r>
              <w:t>The rules by which people are added to, and removed from, the HSU population, should be openly published. In the absence of explicit migrant arrivals and migrant departures data, the rules are important in defining the HSU population.</w:t>
            </w:r>
          </w:p>
        </w:tc>
        <w:tc>
          <w:tcPr>
            <w:tcW w:w="1417" w:type="dxa"/>
            <w:noWrap/>
            <w:hideMark/>
          </w:tcPr>
          <w:p w14:paraId="08060BB5" w14:textId="77777777" w:rsidR="009C2EFD" w:rsidRPr="00821889" w:rsidRDefault="009C2EFD" w:rsidP="009C2EFD">
            <w:pPr>
              <w:spacing w:before="20" w:after="20"/>
            </w:pPr>
            <w:r>
              <w:t>Accepted</w:t>
            </w:r>
          </w:p>
        </w:tc>
        <w:tc>
          <w:tcPr>
            <w:tcW w:w="4111" w:type="dxa"/>
            <w:hideMark/>
          </w:tcPr>
          <w:p w14:paraId="6AFBD1B4" w14:textId="77777777" w:rsidR="009C2EFD" w:rsidRPr="00821889" w:rsidRDefault="009C2EFD" w:rsidP="009C2EFD">
            <w:pPr>
              <w:spacing w:before="20" w:after="20"/>
            </w:pPr>
            <w:r>
              <w:t xml:space="preserve">Agreed. Will be included in the future workplan for a process to formalise HSU production and dissemination. </w:t>
            </w:r>
          </w:p>
        </w:tc>
        <w:tc>
          <w:tcPr>
            <w:tcW w:w="2126" w:type="dxa"/>
            <w:hideMark/>
          </w:tcPr>
          <w:p w14:paraId="59A8D402" w14:textId="77777777" w:rsidR="009C2EFD" w:rsidRPr="00821889" w:rsidRDefault="009C2EFD" w:rsidP="009C2EFD">
            <w:pPr>
              <w:spacing w:before="20" w:after="20"/>
            </w:pPr>
            <w:r>
              <w:t>To be published by Q1 2023</w:t>
            </w:r>
          </w:p>
        </w:tc>
      </w:tr>
      <w:tr w:rsidR="009C2EFD" w:rsidRPr="00821889" w14:paraId="21F129B1" w14:textId="77777777" w:rsidTr="002A33DE">
        <w:trPr>
          <w:trHeight w:val="1200"/>
        </w:trPr>
        <w:tc>
          <w:tcPr>
            <w:tcW w:w="707" w:type="dxa"/>
          </w:tcPr>
          <w:p w14:paraId="05FD6D16" w14:textId="11CCB533" w:rsidR="009C2EFD" w:rsidRDefault="009C2EFD" w:rsidP="009C2EFD">
            <w:pPr>
              <w:spacing w:before="20" w:after="20"/>
            </w:pPr>
            <w:r>
              <w:t>13.</w:t>
            </w:r>
          </w:p>
        </w:tc>
        <w:tc>
          <w:tcPr>
            <w:tcW w:w="5814" w:type="dxa"/>
            <w:noWrap/>
            <w:hideMark/>
          </w:tcPr>
          <w:p w14:paraId="1CE41D35" w14:textId="73A7C814" w:rsidR="009C2EFD" w:rsidRPr="00821889" w:rsidRDefault="009C2EFD" w:rsidP="009C2EFD">
            <w:pPr>
              <w:spacing w:before="20" w:after="20"/>
            </w:pPr>
            <w:r>
              <w:t>The Ministry of Health/</w:t>
            </w:r>
            <w:proofErr w:type="spellStart"/>
            <w:r>
              <w:t>Te</w:t>
            </w:r>
            <w:proofErr w:type="spellEnd"/>
            <w:r>
              <w:t xml:space="preserve"> </w:t>
            </w:r>
            <w:proofErr w:type="spellStart"/>
            <w:r>
              <w:t>Whatu</w:t>
            </w:r>
            <w:proofErr w:type="spellEnd"/>
            <w:r>
              <w:t xml:space="preserve"> Ora – Health New Zealand should implement some steps in their dissemination of the HSU to facilitate use, understanding, and transparency of the data and methods, including:</w:t>
            </w:r>
          </w:p>
        </w:tc>
        <w:tc>
          <w:tcPr>
            <w:tcW w:w="1417" w:type="dxa"/>
            <w:noWrap/>
            <w:hideMark/>
          </w:tcPr>
          <w:p w14:paraId="7641342C" w14:textId="77777777" w:rsidR="009C2EFD" w:rsidRPr="00821889" w:rsidRDefault="009C2EFD" w:rsidP="009C2EFD">
            <w:pPr>
              <w:spacing w:before="20" w:after="20"/>
            </w:pPr>
            <w:r>
              <w:t>Accepted</w:t>
            </w:r>
          </w:p>
        </w:tc>
        <w:tc>
          <w:tcPr>
            <w:tcW w:w="4111" w:type="dxa"/>
            <w:noWrap/>
            <w:hideMark/>
          </w:tcPr>
          <w:p w14:paraId="3E7B657C" w14:textId="77777777" w:rsidR="009C2EFD" w:rsidRPr="00821889" w:rsidRDefault="009C2EFD" w:rsidP="009C2EFD">
            <w:pPr>
              <w:spacing w:before="20" w:after="20"/>
            </w:pPr>
            <w:r w:rsidRPr="00821889">
              <w:t> </w:t>
            </w:r>
          </w:p>
        </w:tc>
        <w:tc>
          <w:tcPr>
            <w:tcW w:w="2126" w:type="dxa"/>
            <w:hideMark/>
          </w:tcPr>
          <w:p w14:paraId="1EF1164C" w14:textId="77777777" w:rsidR="009C2EFD" w:rsidRPr="00821889" w:rsidRDefault="009C2EFD" w:rsidP="009C2EFD">
            <w:pPr>
              <w:spacing w:before="20" w:after="20"/>
            </w:pPr>
            <w:r>
              <w:t> Ongoing</w:t>
            </w:r>
          </w:p>
        </w:tc>
      </w:tr>
      <w:tr w:rsidR="009C2EFD" w:rsidRPr="00821889" w14:paraId="05D681A6" w14:textId="77777777" w:rsidTr="002A33DE">
        <w:trPr>
          <w:trHeight w:val="900"/>
        </w:trPr>
        <w:tc>
          <w:tcPr>
            <w:tcW w:w="707" w:type="dxa"/>
          </w:tcPr>
          <w:p w14:paraId="6E6A5A37" w14:textId="7BC01090" w:rsidR="009C2EFD" w:rsidRPr="00821889" w:rsidRDefault="009C2EFD" w:rsidP="009C2EFD">
            <w:pPr>
              <w:spacing w:before="20" w:after="20"/>
            </w:pPr>
            <w:r>
              <w:t>a.</w:t>
            </w:r>
          </w:p>
        </w:tc>
        <w:tc>
          <w:tcPr>
            <w:tcW w:w="5814" w:type="dxa"/>
            <w:noWrap/>
            <w:hideMark/>
          </w:tcPr>
          <w:p w14:paraId="3BD93B1A" w14:textId="12484DAA" w:rsidR="009C2EFD" w:rsidRPr="00821889" w:rsidRDefault="009C2EFD" w:rsidP="009C2EFD">
            <w:pPr>
              <w:spacing w:before="20" w:after="20"/>
            </w:pPr>
            <w:r w:rsidRPr="00821889">
              <w:t>A regular release and revision cycle for the HSU, as per published statistical principles.</w:t>
            </w:r>
          </w:p>
        </w:tc>
        <w:tc>
          <w:tcPr>
            <w:tcW w:w="1417" w:type="dxa"/>
            <w:noWrap/>
            <w:hideMark/>
          </w:tcPr>
          <w:p w14:paraId="17BD1915" w14:textId="77777777" w:rsidR="009C2EFD" w:rsidRPr="00821889" w:rsidRDefault="009C2EFD" w:rsidP="009C2EFD">
            <w:pPr>
              <w:spacing w:before="20" w:after="20"/>
            </w:pPr>
            <w:r>
              <w:t>Accepted</w:t>
            </w:r>
          </w:p>
        </w:tc>
        <w:tc>
          <w:tcPr>
            <w:tcW w:w="4111" w:type="dxa"/>
            <w:hideMark/>
          </w:tcPr>
          <w:p w14:paraId="4C77FCCA" w14:textId="77777777" w:rsidR="009C2EFD" w:rsidRPr="00821889" w:rsidRDefault="009C2EFD" w:rsidP="009C2EFD">
            <w:pPr>
              <w:spacing w:before="20" w:after="20"/>
            </w:pPr>
            <w:r w:rsidRPr="00821889">
              <w:t xml:space="preserve">Agreed. Regular </w:t>
            </w:r>
            <w:r>
              <w:t>release dates</w:t>
            </w:r>
            <w:r w:rsidRPr="00821889">
              <w:t xml:space="preserve"> </w:t>
            </w:r>
            <w:r>
              <w:t>suggested</w:t>
            </w:r>
            <w:r w:rsidRPr="00821889">
              <w:t xml:space="preserve"> as 1 August and 1 February each year. </w:t>
            </w:r>
          </w:p>
        </w:tc>
        <w:tc>
          <w:tcPr>
            <w:tcW w:w="2126" w:type="dxa"/>
            <w:hideMark/>
          </w:tcPr>
          <w:p w14:paraId="3229BA22" w14:textId="77777777" w:rsidR="009C2EFD" w:rsidRPr="00821889" w:rsidRDefault="009C2EFD" w:rsidP="009C2EFD">
            <w:pPr>
              <w:spacing w:before="20" w:after="20"/>
            </w:pPr>
            <w:r>
              <w:t>To be published by Q1 2023</w:t>
            </w:r>
          </w:p>
        </w:tc>
      </w:tr>
      <w:tr w:rsidR="009C2EFD" w:rsidRPr="00821889" w14:paraId="7AC16F8C" w14:textId="77777777" w:rsidTr="002A33DE">
        <w:trPr>
          <w:trHeight w:val="600"/>
        </w:trPr>
        <w:tc>
          <w:tcPr>
            <w:tcW w:w="707" w:type="dxa"/>
          </w:tcPr>
          <w:p w14:paraId="7171352B" w14:textId="378B9844" w:rsidR="009C2EFD" w:rsidRDefault="009C2EFD" w:rsidP="009C2EFD">
            <w:pPr>
              <w:spacing w:before="20" w:after="20"/>
            </w:pPr>
            <w:r>
              <w:t>b.</w:t>
            </w:r>
          </w:p>
        </w:tc>
        <w:tc>
          <w:tcPr>
            <w:tcW w:w="5814" w:type="dxa"/>
            <w:noWrap/>
            <w:hideMark/>
          </w:tcPr>
          <w:p w14:paraId="113861DF" w14:textId="7AD83537" w:rsidR="009C2EFD" w:rsidRPr="00821889" w:rsidRDefault="009C2EFD" w:rsidP="009C2EFD">
            <w:pPr>
              <w:spacing w:before="20" w:after="20"/>
            </w:pPr>
            <w:r>
              <w:t>Advance notification of release dates, including dates of revisions to the HSU.</w:t>
            </w:r>
          </w:p>
        </w:tc>
        <w:tc>
          <w:tcPr>
            <w:tcW w:w="1417" w:type="dxa"/>
            <w:noWrap/>
            <w:hideMark/>
          </w:tcPr>
          <w:p w14:paraId="3B0F7411" w14:textId="77777777" w:rsidR="009C2EFD" w:rsidRPr="00821889" w:rsidRDefault="009C2EFD" w:rsidP="009C2EFD">
            <w:pPr>
              <w:spacing w:before="20" w:after="20"/>
            </w:pPr>
            <w:r>
              <w:t>Accepted</w:t>
            </w:r>
          </w:p>
        </w:tc>
        <w:tc>
          <w:tcPr>
            <w:tcW w:w="4111" w:type="dxa"/>
            <w:hideMark/>
          </w:tcPr>
          <w:p w14:paraId="5AE471A9" w14:textId="77777777" w:rsidR="009C2EFD" w:rsidRPr="00821889" w:rsidRDefault="009C2EFD" w:rsidP="009C2EFD">
            <w:pPr>
              <w:spacing w:before="20" w:after="20"/>
            </w:pPr>
            <w:r w:rsidRPr="00821889">
              <w:t xml:space="preserve">Agreed. Will notify users. </w:t>
            </w:r>
          </w:p>
        </w:tc>
        <w:tc>
          <w:tcPr>
            <w:tcW w:w="2126" w:type="dxa"/>
            <w:hideMark/>
          </w:tcPr>
          <w:p w14:paraId="08E95729" w14:textId="77777777" w:rsidR="009C2EFD" w:rsidRPr="00821889" w:rsidRDefault="009C2EFD" w:rsidP="009C2EFD">
            <w:pPr>
              <w:spacing w:before="20" w:after="20"/>
            </w:pPr>
            <w:r>
              <w:t>To be published by Q1 2023</w:t>
            </w:r>
          </w:p>
        </w:tc>
      </w:tr>
      <w:tr w:rsidR="009C2EFD" w:rsidRPr="00821889" w14:paraId="33AC8F65" w14:textId="77777777" w:rsidTr="002A33DE">
        <w:trPr>
          <w:trHeight w:val="1132"/>
        </w:trPr>
        <w:tc>
          <w:tcPr>
            <w:tcW w:w="707" w:type="dxa"/>
          </w:tcPr>
          <w:p w14:paraId="03375AB0" w14:textId="71E2BF43" w:rsidR="009C2EFD" w:rsidRPr="00821889" w:rsidRDefault="009C2EFD" w:rsidP="009C2EFD">
            <w:pPr>
              <w:spacing w:before="20" w:after="20"/>
            </w:pPr>
            <w:r>
              <w:lastRenderedPageBreak/>
              <w:t>c.</w:t>
            </w:r>
          </w:p>
        </w:tc>
        <w:tc>
          <w:tcPr>
            <w:tcW w:w="5814" w:type="dxa"/>
            <w:noWrap/>
            <w:hideMark/>
          </w:tcPr>
          <w:p w14:paraId="69E13BC7" w14:textId="123E1ED9" w:rsidR="009C2EFD" w:rsidRPr="00821889" w:rsidRDefault="009C2EFD" w:rsidP="009C2EFD">
            <w:pPr>
              <w:spacing w:before="20" w:after="20"/>
            </w:pPr>
            <w:r w:rsidRPr="00821889">
              <w:t xml:space="preserve">Publication of the HSU for selected </w:t>
            </w:r>
            <w:proofErr w:type="spellStart"/>
            <w:r w:rsidRPr="00821889">
              <w:t>disaggregations</w:t>
            </w:r>
            <w:proofErr w:type="spellEnd"/>
            <w:r w:rsidRPr="00821889">
              <w:t>, with suitable rounding to protect the confidentiality of individuals.</w:t>
            </w:r>
          </w:p>
        </w:tc>
        <w:tc>
          <w:tcPr>
            <w:tcW w:w="1417" w:type="dxa"/>
            <w:noWrap/>
            <w:hideMark/>
          </w:tcPr>
          <w:p w14:paraId="00BF2D1E" w14:textId="77777777" w:rsidR="009C2EFD" w:rsidRPr="00821889" w:rsidRDefault="009C2EFD" w:rsidP="009C2EFD">
            <w:pPr>
              <w:spacing w:before="20" w:after="20"/>
            </w:pPr>
            <w:r>
              <w:t>Accepted</w:t>
            </w:r>
          </w:p>
        </w:tc>
        <w:tc>
          <w:tcPr>
            <w:tcW w:w="4111" w:type="dxa"/>
            <w:hideMark/>
          </w:tcPr>
          <w:p w14:paraId="413299FC" w14:textId="77777777" w:rsidR="009C2EFD" w:rsidRPr="00821889" w:rsidRDefault="009C2EFD" w:rsidP="009C2EFD">
            <w:pPr>
              <w:spacing w:before="20" w:after="20"/>
            </w:pPr>
            <w:r>
              <w:t>Agreed. Will be included in the future workplan for a process to formalise HSU production and dissemination.</w:t>
            </w:r>
          </w:p>
        </w:tc>
        <w:tc>
          <w:tcPr>
            <w:tcW w:w="2126" w:type="dxa"/>
            <w:hideMark/>
          </w:tcPr>
          <w:p w14:paraId="4D4A3A54" w14:textId="77777777" w:rsidR="009C2EFD" w:rsidRPr="00821889" w:rsidRDefault="009C2EFD" w:rsidP="009C2EFD">
            <w:pPr>
              <w:spacing w:before="20" w:after="20"/>
            </w:pPr>
            <w:r w:rsidRPr="00821889">
              <w:t>Published by Q1 2023</w:t>
            </w:r>
          </w:p>
        </w:tc>
      </w:tr>
      <w:tr w:rsidR="009C2EFD" w:rsidRPr="00821889" w14:paraId="3C6D5ADD" w14:textId="77777777" w:rsidTr="002A33DE">
        <w:trPr>
          <w:trHeight w:val="1134"/>
        </w:trPr>
        <w:tc>
          <w:tcPr>
            <w:tcW w:w="707" w:type="dxa"/>
          </w:tcPr>
          <w:p w14:paraId="5080D43D" w14:textId="2CA35D46" w:rsidR="009C2EFD" w:rsidRPr="00821889" w:rsidRDefault="009C2EFD" w:rsidP="009C2EFD">
            <w:pPr>
              <w:spacing w:before="20" w:after="20"/>
            </w:pPr>
            <w:r>
              <w:t>d.</w:t>
            </w:r>
          </w:p>
        </w:tc>
        <w:tc>
          <w:tcPr>
            <w:tcW w:w="5814" w:type="dxa"/>
            <w:noWrap/>
            <w:hideMark/>
          </w:tcPr>
          <w:p w14:paraId="7E05D839" w14:textId="74322B31" w:rsidR="009C2EFD" w:rsidRPr="00821889" w:rsidRDefault="009C2EFD" w:rsidP="009C2EFD">
            <w:pPr>
              <w:spacing w:before="20" w:after="20"/>
            </w:pPr>
            <w:r w:rsidRPr="00821889">
              <w:t>Explanation of how the HSU is derived for both technical and less technical audiences, including explanation of revisions or corrections to the HSU.</w:t>
            </w:r>
          </w:p>
        </w:tc>
        <w:tc>
          <w:tcPr>
            <w:tcW w:w="1417" w:type="dxa"/>
            <w:noWrap/>
            <w:hideMark/>
          </w:tcPr>
          <w:p w14:paraId="41450E4C" w14:textId="77777777" w:rsidR="009C2EFD" w:rsidRPr="00821889" w:rsidRDefault="009C2EFD" w:rsidP="009C2EFD">
            <w:pPr>
              <w:spacing w:before="20" w:after="20"/>
            </w:pPr>
            <w:r>
              <w:t>Accepted</w:t>
            </w:r>
          </w:p>
        </w:tc>
        <w:tc>
          <w:tcPr>
            <w:tcW w:w="4111" w:type="dxa"/>
            <w:hideMark/>
          </w:tcPr>
          <w:p w14:paraId="114262BD" w14:textId="77777777" w:rsidR="009C2EFD" w:rsidRPr="00821889" w:rsidRDefault="009C2EFD" w:rsidP="009C2EFD">
            <w:pPr>
              <w:spacing w:before="20" w:after="20"/>
            </w:pPr>
            <w:r>
              <w:t>Agreed. Will be included in the future workplan for a process to formalise HSU production and dissemination.</w:t>
            </w:r>
          </w:p>
        </w:tc>
        <w:tc>
          <w:tcPr>
            <w:tcW w:w="2126" w:type="dxa"/>
            <w:hideMark/>
          </w:tcPr>
          <w:p w14:paraId="3AD29A11" w14:textId="77777777" w:rsidR="009C2EFD" w:rsidRPr="00821889" w:rsidRDefault="009C2EFD" w:rsidP="009C2EFD">
            <w:pPr>
              <w:spacing w:before="20" w:after="20"/>
            </w:pPr>
            <w:r>
              <w:t>To be published by Q1 2023</w:t>
            </w:r>
          </w:p>
        </w:tc>
      </w:tr>
      <w:tr w:rsidR="009C2EFD" w:rsidRPr="00821889" w14:paraId="311F4F27" w14:textId="77777777" w:rsidTr="002A33DE">
        <w:trPr>
          <w:trHeight w:val="1800"/>
        </w:trPr>
        <w:tc>
          <w:tcPr>
            <w:tcW w:w="707" w:type="dxa"/>
          </w:tcPr>
          <w:p w14:paraId="365F6988" w14:textId="293E2DC3" w:rsidR="009C2EFD" w:rsidRDefault="009C2EFD" w:rsidP="009C2EFD">
            <w:pPr>
              <w:spacing w:before="20" w:after="20"/>
            </w:pPr>
            <w:r>
              <w:t>14.</w:t>
            </w:r>
          </w:p>
        </w:tc>
        <w:tc>
          <w:tcPr>
            <w:tcW w:w="5814" w:type="dxa"/>
            <w:noWrap/>
            <w:hideMark/>
          </w:tcPr>
          <w:p w14:paraId="4A439E36" w14:textId="516E5D71" w:rsidR="009C2EFD" w:rsidRPr="00821889" w:rsidRDefault="009C2EFD" w:rsidP="009C2EFD">
            <w:pPr>
              <w:spacing w:before="20" w:after="20"/>
            </w:pPr>
            <w:r>
              <w:t xml:space="preserve">How far back these revisions are applied requires an assessment by </w:t>
            </w:r>
            <w:proofErr w:type="spellStart"/>
            <w:r>
              <w:t>MoH</w:t>
            </w:r>
            <w:proofErr w:type="spellEnd"/>
            <w:r>
              <w:t>/</w:t>
            </w:r>
            <w:proofErr w:type="spellStart"/>
            <w:r>
              <w:t>Te</w:t>
            </w:r>
            <w:proofErr w:type="spellEnd"/>
            <w:r>
              <w:t xml:space="preserve"> </w:t>
            </w:r>
            <w:proofErr w:type="spellStart"/>
            <w:r>
              <w:t>Whatu</w:t>
            </w:r>
            <w:proofErr w:type="spellEnd"/>
            <w:r>
              <w:t xml:space="preserve"> Ora of the value of such revisions against the downsides (small changes to derived series or inconsistencies), but </w:t>
            </w:r>
            <w:proofErr w:type="spellStart"/>
            <w:r>
              <w:t>MoH</w:t>
            </w:r>
            <w:proofErr w:type="spellEnd"/>
            <w:r>
              <w:t>/</w:t>
            </w:r>
            <w:proofErr w:type="spellStart"/>
            <w:r>
              <w:t>Te</w:t>
            </w:r>
            <w:proofErr w:type="spellEnd"/>
            <w:r>
              <w:t xml:space="preserve"> </w:t>
            </w:r>
            <w:proofErr w:type="spellStart"/>
            <w:r>
              <w:t>Whatu</w:t>
            </w:r>
            <w:proofErr w:type="spellEnd"/>
            <w:r>
              <w:t xml:space="preserve"> Ora could consider a threshold of five years, beyond which no revisions are made.</w:t>
            </w:r>
          </w:p>
        </w:tc>
        <w:tc>
          <w:tcPr>
            <w:tcW w:w="1417" w:type="dxa"/>
            <w:noWrap/>
            <w:hideMark/>
          </w:tcPr>
          <w:p w14:paraId="1F1953DD" w14:textId="77777777" w:rsidR="009C2EFD" w:rsidRPr="00821889" w:rsidRDefault="009C2EFD" w:rsidP="009C2EFD">
            <w:pPr>
              <w:spacing w:before="20" w:after="20"/>
            </w:pPr>
            <w:r>
              <w:t>Accepted</w:t>
            </w:r>
          </w:p>
        </w:tc>
        <w:tc>
          <w:tcPr>
            <w:tcW w:w="4111" w:type="dxa"/>
            <w:hideMark/>
          </w:tcPr>
          <w:p w14:paraId="29B2FB63" w14:textId="77777777" w:rsidR="009C2EFD" w:rsidRPr="00821889" w:rsidRDefault="009C2EFD" w:rsidP="009C2EFD">
            <w:pPr>
              <w:spacing w:before="20" w:after="20"/>
            </w:pPr>
            <w:r w:rsidRPr="00821889">
              <w:t xml:space="preserve">Agreed. We will develop a position on the appropriate length of time for revisions. </w:t>
            </w:r>
          </w:p>
        </w:tc>
        <w:tc>
          <w:tcPr>
            <w:tcW w:w="2126" w:type="dxa"/>
            <w:hideMark/>
          </w:tcPr>
          <w:p w14:paraId="5262BDFC" w14:textId="77777777" w:rsidR="009C2EFD" w:rsidRPr="00821889" w:rsidRDefault="009C2EFD" w:rsidP="009C2EFD">
            <w:pPr>
              <w:spacing w:before="20" w:after="20"/>
            </w:pPr>
            <w:r>
              <w:t>Formal decision to be made by Q1 2023</w:t>
            </w:r>
          </w:p>
        </w:tc>
      </w:tr>
      <w:tr w:rsidR="009C2EFD" w:rsidRPr="00821889" w14:paraId="600766B5" w14:textId="77777777" w:rsidTr="002A33DE">
        <w:trPr>
          <w:trHeight w:val="2040"/>
        </w:trPr>
        <w:tc>
          <w:tcPr>
            <w:tcW w:w="707" w:type="dxa"/>
          </w:tcPr>
          <w:p w14:paraId="5B3CBADF" w14:textId="273BBF7A" w:rsidR="009C2EFD" w:rsidRPr="00821889" w:rsidRDefault="009C2EFD" w:rsidP="009C2EFD">
            <w:pPr>
              <w:spacing w:before="20" w:after="20"/>
            </w:pPr>
            <w:r>
              <w:t>15.</w:t>
            </w:r>
          </w:p>
        </w:tc>
        <w:tc>
          <w:tcPr>
            <w:tcW w:w="5814" w:type="dxa"/>
            <w:noWrap/>
            <w:hideMark/>
          </w:tcPr>
          <w:p w14:paraId="192C6682" w14:textId="3A2D61A5" w:rsidR="009C2EFD" w:rsidRPr="00821889" w:rsidRDefault="009C2EFD" w:rsidP="009C2EFD">
            <w:pPr>
              <w:spacing w:before="20" w:after="20"/>
            </w:pPr>
            <w:r w:rsidRPr="00821889">
              <w:t>The grouping of level 1 ethnic groups ‘European’ and ‘Other (including New Zealander)’ is appropriate when ‘Other’ responses are largely non-existent in numerator data sources. However, the level 1 ethnic group ‘MELAA’ should be separately reported where possible, as a relatively fast growing and ethnically different grouping to European/Other.</w:t>
            </w:r>
          </w:p>
        </w:tc>
        <w:tc>
          <w:tcPr>
            <w:tcW w:w="1417" w:type="dxa"/>
            <w:noWrap/>
            <w:hideMark/>
          </w:tcPr>
          <w:p w14:paraId="57654CD0" w14:textId="77777777" w:rsidR="009C2EFD" w:rsidRPr="00821889" w:rsidRDefault="009C2EFD" w:rsidP="009C2EFD">
            <w:pPr>
              <w:spacing w:before="20" w:after="20"/>
            </w:pPr>
            <w:r>
              <w:t>Completed</w:t>
            </w:r>
          </w:p>
        </w:tc>
        <w:tc>
          <w:tcPr>
            <w:tcW w:w="4111" w:type="dxa"/>
            <w:hideMark/>
          </w:tcPr>
          <w:p w14:paraId="64409B41" w14:textId="77777777" w:rsidR="009C2EFD" w:rsidRPr="00821889" w:rsidRDefault="009C2EFD" w:rsidP="009C2EFD">
            <w:pPr>
              <w:spacing w:before="20" w:after="20"/>
            </w:pPr>
            <w:r w:rsidRPr="00821889">
              <w:t xml:space="preserve">All ethnic groupings are currently available in the HSU, including MELAA. Whether or not MELAA is used </w:t>
            </w:r>
            <w:r>
              <w:t>in a specific situation needs consideration. I</w:t>
            </w:r>
            <w:r w:rsidRPr="00821889">
              <w:t>f there are small number issues which lead to privacy concerns</w:t>
            </w:r>
            <w:r>
              <w:t>,</w:t>
            </w:r>
            <w:r w:rsidRPr="00821889">
              <w:t xml:space="preserve"> then MELAA will not be appropriate</w:t>
            </w:r>
            <w:r>
              <w:t xml:space="preserve"> for published data</w:t>
            </w:r>
            <w:r w:rsidRPr="00821889">
              <w:t>.</w:t>
            </w:r>
          </w:p>
        </w:tc>
        <w:tc>
          <w:tcPr>
            <w:tcW w:w="2126" w:type="dxa"/>
            <w:hideMark/>
          </w:tcPr>
          <w:p w14:paraId="1D9108B2" w14:textId="77777777" w:rsidR="009C2EFD" w:rsidRPr="00821889" w:rsidRDefault="009C2EFD" w:rsidP="009C2EFD">
            <w:pPr>
              <w:spacing w:before="20" w:after="20"/>
            </w:pPr>
            <w:r w:rsidRPr="00821889">
              <w:t>Complete</w:t>
            </w:r>
          </w:p>
        </w:tc>
      </w:tr>
    </w:tbl>
    <w:p w14:paraId="53D0E226" w14:textId="77777777" w:rsidR="00783D9C" w:rsidRPr="00DD748F" w:rsidRDefault="00783D9C" w:rsidP="00A401D7"/>
    <w:p w14:paraId="0F80B528" w14:textId="77777777" w:rsidR="00EB461E" w:rsidRPr="00DD748F" w:rsidRDefault="00EB461E" w:rsidP="009C2EFD">
      <w:pPr>
        <w:spacing w:before="360"/>
        <w:jc w:val="center"/>
        <w:rPr>
          <w:rFonts w:ascii="Cambria" w:hAnsi="Cambria"/>
        </w:rPr>
      </w:pPr>
      <w:r w:rsidRPr="00DD748F">
        <w:rPr>
          <w:rFonts w:ascii="Cambria" w:hAnsi="Cambria"/>
          <w:noProof/>
          <w:lang w:eastAsia="en-NZ"/>
        </w:rPr>
        <w:drawing>
          <wp:inline distT="0" distB="0" distL="0" distR="0" wp14:anchorId="12CD39CC" wp14:editId="11C5FC1D">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762C0BCA" w14:textId="022261E6" w:rsidR="00660619" w:rsidRDefault="00CC0F1D" w:rsidP="009C2EFD">
      <w:pPr>
        <w:spacing w:before="240"/>
        <w:jc w:val="center"/>
        <w:rPr>
          <w:lang w:eastAsia="en-NZ"/>
        </w:rPr>
      </w:pPr>
      <w:r>
        <w:t>August 2022</w:t>
      </w:r>
      <w:r w:rsidR="00C34608" w:rsidRPr="00DD748F">
        <w:br/>
      </w:r>
      <w:r w:rsidR="00EB461E" w:rsidRPr="00DD748F">
        <w:rPr>
          <w:lang w:eastAsia="en-NZ"/>
        </w:rPr>
        <w:t>HP</w:t>
      </w:r>
      <w:r w:rsidR="001E60D5">
        <w:rPr>
          <w:lang w:eastAsia="en-NZ"/>
        </w:rPr>
        <w:t xml:space="preserve"> </w:t>
      </w:r>
      <w:r w:rsidR="00245ED1">
        <w:rPr>
          <w:lang w:eastAsia="en-NZ"/>
        </w:rPr>
        <w:t>8543</w:t>
      </w:r>
    </w:p>
    <w:sectPr w:rsidR="00660619" w:rsidSect="000C512C">
      <w:footerReference w:type="even" r:id="rId12"/>
      <w:footerReference w:type="default" r:id="rId13"/>
      <w:headerReference w:type="first" r:id="rId14"/>
      <w:footerReference w:type="first" r:id="rId15"/>
      <w:pgSz w:w="16838" w:h="11906" w:orient="landscape" w:code="9"/>
      <w:pgMar w:top="1418" w:right="1134" w:bottom="1134" w:left="1134"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879BF" w14:textId="77777777" w:rsidR="006E2FFC" w:rsidRDefault="006E2FFC">
      <w:r>
        <w:separator/>
      </w:r>
    </w:p>
  </w:endnote>
  <w:endnote w:type="continuationSeparator" w:id="0">
    <w:p w14:paraId="1AC6C34B" w14:textId="77777777" w:rsidR="006E2FFC" w:rsidRDefault="006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9C2EFD">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2E5F9031" w:rsidR="00525FFB" w:rsidRDefault="00266885" w:rsidP="00525FFB">
          <w:pPr>
            <w:pStyle w:val="RectoFooter"/>
            <w:jc w:val="left"/>
          </w:pPr>
          <w:r w:rsidRPr="00266885">
            <w:t xml:space="preserve">response to Stats NZ recommendations for the HSU </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08"/>
      <w:gridCol w:w="709"/>
    </w:tblGrid>
    <w:tr w:rsidR="00525FFB" w14:paraId="71090075" w14:textId="77777777" w:rsidTr="009C2EFD">
      <w:trPr>
        <w:cantSplit/>
      </w:trPr>
      <w:tc>
        <w:tcPr>
          <w:tcW w:w="13608" w:type="dxa"/>
          <w:vAlign w:val="center"/>
        </w:tcPr>
        <w:p w14:paraId="1A0698AE" w14:textId="023D00EC" w:rsidR="00525FFB" w:rsidRDefault="00266885" w:rsidP="00525FFB">
          <w:pPr>
            <w:pStyle w:val="RectoFooter"/>
          </w:pPr>
          <w:r w:rsidRPr="00266885">
            <w:t>response to Stats NZ recommendations for the HSU</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67"/>
      <w:gridCol w:w="709"/>
    </w:tblGrid>
    <w:tr w:rsidR="00113C1B" w14:paraId="21D7E1BB" w14:textId="77777777" w:rsidTr="009C2EFD">
      <w:trPr>
        <w:cantSplit/>
      </w:trPr>
      <w:tc>
        <w:tcPr>
          <w:tcW w:w="13467" w:type="dxa"/>
          <w:vAlign w:val="center"/>
        </w:tcPr>
        <w:p w14:paraId="0A280F73" w14:textId="09AC6C83" w:rsidR="00113C1B" w:rsidRDefault="00266885" w:rsidP="00F06D3B">
          <w:pPr>
            <w:pStyle w:val="RectoFooter"/>
          </w:pPr>
          <w:r w:rsidRPr="00266885">
            <w:t>response to Stats NZ recommendations for the HSU</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1A77" w14:textId="77777777" w:rsidR="006E2FFC" w:rsidRPr="00680D2D" w:rsidRDefault="006E2FFC" w:rsidP="00680D2D">
      <w:pPr>
        <w:pStyle w:val="Footer"/>
      </w:pPr>
    </w:p>
  </w:footnote>
  <w:footnote w:type="continuationSeparator" w:id="0">
    <w:p w14:paraId="2544630A" w14:textId="77777777" w:rsidR="006E2FFC" w:rsidRDefault="006E2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7415C6D1" w:rsidR="00EE6CE2" w:rsidRDefault="002A33DE" w:rsidP="00BD22FC">
    <w:pPr>
      <w:pStyle w:val="Header"/>
      <w:spacing w:after="480"/>
    </w:pPr>
    <w:r>
      <w:rPr>
        <w:noProof/>
      </w:rPr>
      <w:drawing>
        <wp:anchor distT="0" distB="0" distL="114300" distR="114300" simplePos="0" relativeHeight="251660288" behindDoc="1" locked="0" layoutInCell="1" allowOverlap="1" wp14:anchorId="1A847BBA" wp14:editId="1B0F1428">
          <wp:simplePos x="0" y="0"/>
          <wp:positionH relativeFrom="column">
            <wp:posOffset>7835265</wp:posOffset>
          </wp:positionH>
          <wp:positionV relativeFrom="paragraph">
            <wp:posOffset>592768</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75813756">
          <wp:simplePos x="0" y="0"/>
          <wp:positionH relativeFrom="page">
            <wp:posOffset>-179070</wp:posOffset>
          </wp:positionH>
          <wp:positionV relativeFrom="margin">
            <wp:posOffset>-355864</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31269"/>
    <w:multiLevelType w:val="hybridMultilevel"/>
    <w:tmpl w:val="8C2847FC"/>
    <w:lvl w:ilvl="0" w:tplc="FA4AA3A4">
      <w:start w:val="1"/>
      <w:numFmt w:val="decimal"/>
      <w:lvlText w:val="%1."/>
      <w:lvlJc w:val="left"/>
      <w:pPr>
        <w:ind w:left="720" w:hanging="360"/>
      </w:pPr>
      <w:rPr>
        <w:rFonts w:hint="default"/>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4"/>
  </w:num>
  <w:num w:numId="2">
    <w:abstractNumId w:val="5"/>
  </w:num>
  <w:num w:numId="3">
    <w:abstractNumId w:val="3"/>
  </w:num>
  <w:num w:numId="4">
    <w:abstractNumId w:val="1"/>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512C"/>
    <w:rsid w:val="000C68D3"/>
    <w:rsid w:val="000D0170"/>
    <w:rsid w:val="000E093C"/>
    <w:rsid w:val="000E4E05"/>
    <w:rsid w:val="000E5175"/>
    <w:rsid w:val="000F1B71"/>
    <w:rsid w:val="000F265B"/>
    <w:rsid w:val="001009C3"/>
    <w:rsid w:val="00105DB9"/>
    <w:rsid w:val="00112E1F"/>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8777F"/>
    <w:rsid w:val="001925EF"/>
    <w:rsid w:val="001A3A19"/>
    <w:rsid w:val="001A7FBC"/>
    <w:rsid w:val="001B546D"/>
    <w:rsid w:val="001E1749"/>
    <w:rsid w:val="001E60D5"/>
    <w:rsid w:val="001F5811"/>
    <w:rsid w:val="00206DC0"/>
    <w:rsid w:val="002222BC"/>
    <w:rsid w:val="002233D8"/>
    <w:rsid w:val="00240554"/>
    <w:rsid w:val="00242284"/>
    <w:rsid w:val="00245ED1"/>
    <w:rsid w:val="00246193"/>
    <w:rsid w:val="00251EEF"/>
    <w:rsid w:val="002542A3"/>
    <w:rsid w:val="00254ED0"/>
    <w:rsid w:val="00255D89"/>
    <w:rsid w:val="00266885"/>
    <w:rsid w:val="0026708A"/>
    <w:rsid w:val="00271166"/>
    <w:rsid w:val="00272F4E"/>
    <w:rsid w:val="00281EAA"/>
    <w:rsid w:val="00285375"/>
    <w:rsid w:val="0028738D"/>
    <w:rsid w:val="00296F98"/>
    <w:rsid w:val="002A1A6C"/>
    <w:rsid w:val="002A33DE"/>
    <w:rsid w:val="002A35E8"/>
    <w:rsid w:val="002A38BC"/>
    <w:rsid w:val="002B34DC"/>
    <w:rsid w:val="002C1F8F"/>
    <w:rsid w:val="002C3EA2"/>
    <w:rsid w:val="003005BD"/>
    <w:rsid w:val="003030F4"/>
    <w:rsid w:val="003046F0"/>
    <w:rsid w:val="00306307"/>
    <w:rsid w:val="00307CE5"/>
    <w:rsid w:val="0031520E"/>
    <w:rsid w:val="003156B0"/>
    <w:rsid w:val="00321CE4"/>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63DF3"/>
    <w:rsid w:val="00672B8B"/>
    <w:rsid w:val="00673303"/>
    <w:rsid w:val="006744E6"/>
    <w:rsid w:val="00676929"/>
    <w:rsid w:val="00680D2D"/>
    <w:rsid w:val="006819B0"/>
    <w:rsid w:val="00681BD8"/>
    <w:rsid w:val="00686753"/>
    <w:rsid w:val="006A2250"/>
    <w:rsid w:val="006C1FB8"/>
    <w:rsid w:val="006C407C"/>
    <w:rsid w:val="006C583E"/>
    <w:rsid w:val="006D1FA2"/>
    <w:rsid w:val="006D2458"/>
    <w:rsid w:val="006E2FFC"/>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14B8"/>
    <w:rsid w:val="00942757"/>
    <w:rsid w:val="00946F08"/>
    <w:rsid w:val="00947E2E"/>
    <w:rsid w:val="0095076C"/>
    <w:rsid w:val="00952AF0"/>
    <w:rsid w:val="009602C6"/>
    <w:rsid w:val="00973036"/>
    <w:rsid w:val="009842E4"/>
    <w:rsid w:val="009874FB"/>
    <w:rsid w:val="00993F56"/>
    <w:rsid w:val="009948F8"/>
    <w:rsid w:val="009A3D52"/>
    <w:rsid w:val="009B5859"/>
    <w:rsid w:val="009C2EFD"/>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91D97"/>
    <w:rsid w:val="00CA2A9E"/>
    <w:rsid w:val="00CB6E4F"/>
    <w:rsid w:val="00CC0F1D"/>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638"/>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basedOn w:val="Normal"/>
    <w:uiPriority w:val="34"/>
    <w:qFormat/>
    <w:rsid w:val="009C2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4.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Factsheet template</Template>
  <TotalTime>7</TotalTime>
  <Pages>4</Pages>
  <Words>1011</Words>
  <Characters>5364</Characters>
  <Application>Microsoft Office Word</Application>
  <DocSecurity>0</DocSecurity>
  <Lines>223</Lines>
  <Paragraphs>115</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Stats NZ recommendations for the HSU</dc:title>
  <dc:creator>Ministry of Health</dc:creator>
  <cp:lastModifiedBy>Ministry of Health</cp:lastModifiedBy>
  <cp:revision>10</cp:revision>
  <cp:lastPrinted>2014-10-20T03:59:00Z</cp:lastPrinted>
  <dcterms:created xsi:type="dcterms:W3CDTF">2022-08-02T22:23:00Z</dcterms:created>
  <dcterms:modified xsi:type="dcterms:W3CDTF">2022-08-02T22:29:00Z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