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826AF" w14:textId="77777777" w:rsidR="00363FE8" w:rsidRPr="000A70DF" w:rsidRDefault="00363FE8" w:rsidP="00363FE8">
      <w:pPr>
        <w:spacing w:after="360"/>
        <w:rPr>
          <w:rFonts w:ascii="Segoe UI" w:hAnsi="Segoe UI" w:cs="Segoe UI"/>
          <w:b/>
          <w:sz w:val="48"/>
          <w:szCs w:val="48"/>
        </w:rPr>
      </w:pPr>
      <w:r w:rsidRPr="000A70DF">
        <w:rPr>
          <w:rFonts w:ascii="Segoe UI" w:hAnsi="Segoe UI" w:cs="Segoe UI"/>
          <w:b/>
          <w:sz w:val="48"/>
          <w:szCs w:val="48"/>
        </w:rPr>
        <w:t>M</w:t>
      </w:r>
      <w:r w:rsidR="00BB0404" w:rsidRPr="000A70DF">
        <w:rPr>
          <w:rFonts w:ascii="Segoe UI" w:hAnsi="Segoe UI" w:cs="Segoe UI"/>
          <w:b/>
          <w:sz w:val="48"/>
          <w:szCs w:val="48"/>
        </w:rPr>
        <w:t>emo</w:t>
      </w:r>
      <w:r w:rsidR="00804DD4" w:rsidRPr="000A70DF">
        <w:rPr>
          <w:rFonts w:ascii="Segoe UI" w:hAnsi="Segoe UI" w:cs="Segoe UI"/>
          <w:b/>
          <w:sz w:val="48"/>
          <w:szCs w:val="48"/>
        </w:rPr>
        <w:tab/>
      </w:r>
      <w:r w:rsidR="00804DD4" w:rsidRPr="000A70DF">
        <w:rPr>
          <w:rFonts w:ascii="Segoe UI" w:hAnsi="Segoe UI" w:cs="Segoe UI"/>
          <w:b/>
          <w:sz w:val="48"/>
          <w:szCs w:val="48"/>
        </w:rPr>
        <w:tab/>
      </w:r>
    </w:p>
    <w:p w14:paraId="40F16999" w14:textId="5D042A21" w:rsidR="00B14C13" w:rsidRPr="000A70DF" w:rsidRDefault="00FF3AF4" w:rsidP="00363FE8">
      <w:pPr>
        <w:keepNext/>
        <w:spacing w:before="360" w:after="360" w:line="259" w:lineRule="auto"/>
        <w:jc w:val="both"/>
        <w:outlineLvl w:val="1"/>
        <w:rPr>
          <w:rFonts w:ascii="Segoe UI" w:eastAsiaTheme="majorEastAsia" w:hAnsi="Segoe UI" w:cs="Arial"/>
          <w:b/>
          <w:bCs/>
          <w:iCs/>
          <w:sz w:val="28"/>
          <w:szCs w:val="32"/>
          <w:lang w:eastAsia="en-NZ"/>
        </w:rPr>
      </w:pPr>
      <w:r w:rsidRPr="000A70DF">
        <w:rPr>
          <w:rFonts w:ascii="Segoe UI" w:eastAsiaTheme="majorEastAsia" w:hAnsi="Segoe UI" w:cs="Arial"/>
          <w:b/>
          <w:bCs/>
          <w:iCs/>
          <w:sz w:val="28"/>
          <w:szCs w:val="32"/>
          <w:lang w:eastAsia="en-NZ"/>
        </w:rPr>
        <w:t xml:space="preserve">Equity Impact Assessment </w:t>
      </w:r>
      <w:r w:rsidR="005C2A79" w:rsidRPr="000A70DF">
        <w:rPr>
          <w:rFonts w:ascii="Segoe UI" w:eastAsiaTheme="majorEastAsia" w:hAnsi="Segoe UI" w:cs="Arial"/>
          <w:b/>
          <w:bCs/>
          <w:iCs/>
          <w:sz w:val="28"/>
          <w:szCs w:val="32"/>
          <w:lang w:eastAsia="en-NZ"/>
        </w:rPr>
        <w:t>-</w:t>
      </w:r>
      <w:r w:rsidRPr="000A70DF">
        <w:rPr>
          <w:rFonts w:ascii="Segoe UI" w:eastAsiaTheme="majorEastAsia" w:hAnsi="Segoe UI" w:cs="Arial"/>
          <w:b/>
          <w:bCs/>
          <w:iCs/>
          <w:sz w:val="28"/>
          <w:szCs w:val="32"/>
          <w:lang w:eastAsia="en-NZ"/>
        </w:rPr>
        <w:t xml:space="preserve"> Omicron </w:t>
      </w:r>
      <w:r w:rsidR="000348B5" w:rsidRPr="000A70DF">
        <w:rPr>
          <w:rFonts w:ascii="Segoe UI" w:eastAsiaTheme="majorEastAsia" w:hAnsi="Segoe UI" w:cs="Arial"/>
          <w:b/>
          <w:bCs/>
          <w:iCs/>
          <w:sz w:val="28"/>
          <w:szCs w:val="32"/>
          <w:lang w:eastAsia="en-NZ"/>
        </w:rPr>
        <w:t xml:space="preserve">public health </w:t>
      </w:r>
      <w:r w:rsidR="00386005" w:rsidRPr="000A70DF">
        <w:rPr>
          <w:rFonts w:ascii="Segoe UI" w:eastAsiaTheme="majorEastAsia" w:hAnsi="Segoe UI" w:cs="Arial"/>
          <w:b/>
          <w:bCs/>
          <w:iCs/>
          <w:sz w:val="28"/>
          <w:szCs w:val="32"/>
          <w:lang w:eastAsia="en-NZ"/>
        </w:rPr>
        <w:t>strategy</w:t>
      </w:r>
      <w:r w:rsidR="00804DD4" w:rsidRPr="000A70DF">
        <w:rPr>
          <w:rFonts w:ascii="Segoe UI" w:hAnsi="Segoe UI" w:cs="Segoe UI"/>
          <w:b/>
          <w:sz w:val="48"/>
          <w:szCs w:val="48"/>
        </w:rPr>
        <w:tab/>
      </w:r>
      <w:r w:rsidR="00804DD4" w:rsidRPr="000A70DF">
        <w:rPr>
          <w:rFonts w:ascii="Segoe UI" w:hAnsi="Segoe UI" w:cs="Segoe UI"/>
          <w:b/>
          <w:sz w:val="48"/>
          <w:szCs w:val="48"/>
        </w:rPr>
        <w:tab/>
      </w:r>
    </w:p>
    <w:tbl>
      <w:tblPr>
        <w:tblStyle w:val="TableGrid"/>
        <w:tblW w:w="9781" w:type="dxa"/>
        <w:tblBorders>
          <w:left w:val="none" w:sz="0" w:space="0" w:color="auto"/>
          <w:right w:val="none" w:sz="0" w:space="0" w:color="auto"/>
        </w:tblBorders>
        <w:tblLayout w:type="fixed"/>
        <w:tblLook w:val="01E0" w:firstRow="1" w:lastRow="1" w:firstColumn="1" w:lastColumn="1" w:noHBand="0" w:noVBand="0"/>
      </w:tblPr>
      <w:tblGrid>
        <w:gridCol w:w="1418"/>
        <w:gridCol w:w="8363"/>
      </w:tblGrid>
      <w:tr w:rsidR="00006665" w:rsidRPr="000A70DF" w14:paraId="1F8C78D0" w14:textId="77777777" w:rsidTr="00363FE8">
        <w:trPr>
          <w:cantSplit/>
        </w:trPr>
        <w:tc>
          <w:tcPr>
            <w:tcW w:w="1418" w:type="dxa"/>
            <w:tcBorders>
              <w:top w:val="single" w:sz="12" w:space="0" w:color="auto"/>
              <w:bottom w:val="single" w:sz="2" w:space="0" w:color="auto"/>
              <w:right w:val="nil"/>
            </w:tcBorders>
          </w:tcPr>
          <w:p w14:paraId="086CE8E7" w14:textId="77777777" w:rsidR="00006665" w:rsidRPr="000A70DF" w:rsidRDefault="00006665" w:rsidP="00280A23">
            <w:pPr>
              <w:pStyle w:val="TableText"/>
              <w:rPr>
                <w:rFonts w:ascii="Segoe UI" w:hAnsi="Segoe UI" w:cs="Segoe UI"/>
                <w:b/>
                <w:sz w:val="22"/>
                <w:szCs w:val="22"/>
              </w:rPr>
            </w:pPr>
            <w:r w:rsidRPr="000A70DF">
              <w:rPr>
                <w:rFonts w:ascii="Segoe UI" w:hAnsi="Segoe UI" w:cs="Segoe UI"/>
                <w:b/>
                <w:sz w:val="22"/>
                <w:szCs w:val="22"/>
              </w:rPr>
              <w:t>Date:</w:t>
            </w:r>
          </w:p>
        </w:tc>
        <w:tc>
          <w:tcPr>
            <w:tcW w:w="8363" w:type="dxa"/>
            <w:tcBorders>
              <w:top w:val="single" w:sz="12" w:space="0" w:color="auto"/>
              <w:left w:val="nil"/>
              <w:bottom w:val="single" w:sz="2" w:space="0" w:color="auto"/>
              <w:right w:val="nil"/>
            </w:tcBorders>
          </w:tcPr>
          <w:p w14:paraId="552FA2FC" w14:textId="50CFA148" w:rsidR="00006665" w:rsidRPr="000A70DF" w:rsidRDefault="00E85B84" w:rsidP="00280A23">
            <w:pPr>
              <w:pStyle w:val="TableText"/>
              <w:rPr>
                <w:rFonts w:ascii="Segoe UI" w:hAnsi="Segoe UI" w:cs="Segoe UI"/>
                <w:sz w:val="22"/>
                <w:szCs w:val="22"/>
              </w:rPr>
            </w:pPr>
            <w:r>
              <w:rPr>
                <w:rFonts w:ascii="Segoe UI" w:hAnsi="Segoe UI" w:cs="Segoe UI"/>
                <w:sz w:val="22"/>
                <w:szCs w:val="22"/>
              </w:rPr>
              <w:t>1 Ju</w:t>
            </w:r>
            <w:r w:rsidR="00E21E1F">
              <w:rPr>
                <w:rFonts w:ascii="Segoe UI" w:hAnsi="Segoe UI" w:cs="Segoe UI"/>
                <w:sz w:val="22"/>
                <w:szCs w:val="22"/>
              </w:rPr>
              <w:t>ly</w:t>
            </w:r>
            <w:r>
              <w:rPr>
                <w:rFonts w:ascii="Segoe UI" w:hAnsi="Segoe UI" w:cs="Segoe UI"/>
                <w:sz w:val="22"/>
                <w:szCs w:val="22"/>
              </w:rPr>
              <w:t xml:space="preserve"> 2022</w:t>
            </w:r>
          </w:p>
        </w:tc>
      </w:tr>
      <w:tr w:rsidR="00006665" w:rsidRPr="000A70DF" w14:paraId="7A73DC62" w14:textId="77777777" w:rsidTr="00363FE8">
        <w:trPr>
          <w:cantSplit/>
        </w:trPr>
        <w:tc>
          <w:tcPr>
            <w:tcW w:w="1418" w:type="dxa"/>
            <w:tcBorders>
              <w:top w:val="single" w:sz="2" w:space="0" w:color="auto"/>
              <w:bottom w:val="single" w:sz="2" w:space="0" w:color="auto"/>
              <w:right w:val="nil"/>
            </w:tcBorders>
          </w:tcPr>
          <w:p w14:paraId="6B03802D" w14:textId="77777777" w:rsidR="00006665" w:rsidRPr="000A70DF" w:rsidRDefault="00006665" w:rsidP="00280A23">
            <w:pPr>
              <w:pStyle w:val="TableText"/>
              <w:rPr>
                <w:rFonts w:ascii="Segoe UI" w:hAnsi="Segoe UI" w:cs="Segoe UI"/>
                <w:b/>
                <w:sz w:val="22"/>
                <w:szCs w:val="22"/>
              </w:rPr>
            </w:pPr>
            <w:r w:rsidRPr="000A70DF">
              <w:rPr>
                <w:rFonts w:ascii="Segoe UI" w:hAnsi="Segoe UI" w:cs="Segoe UI"/>
                <w:b/>
                <w:sz w:val="22"/>
                <w:szCs w:val="22"/>
              </w:rPr>
              <w:t>To:</w:t>
            </w:r>
          </w:p>
        </w:tc>
        <w:tc>
          <w:tcPr>
            <w:tcW w:w="8363" w:type="dxa"/>
            <w:tcBorders>
              <w:top w:val="single" w:sz="2" w:space="0" w:color="auto"/>
              <w:left w:val="nil"/>
              <w:bottom w:val="single" w:sz="2" w:space="0" w:color="auto"/>
              <w:right w:val="nil"/>
            </w:tcBorders>
          </w:tcPr>
          <w:p w14:paraId="00593C88" w14:textId="14B4B5CD" w:rsidR="00006665" w:rsidRPr="000A70DF" w:rsidRDefault="000348B5" w:rsidP="00FF3AF4">
            <w:pPr>
              <w:pStyle w:val="NumberedParagraphs-MOH"/>
              <w:numPr>
                <w:ilvl w:val="0"/>
                <w:numId w:val="0"/>
              </w:numPr>
            </w:pPr>
            <w:r w:rsidRPr="000A70DF">
              <w:t>Dr Ashley Bloomfield,</w:t>
            </w:r>
            <w:r w:rsidR="00FF3AF4" w:rsidRPr="000A70DF">
              <w:t xml:space="preserve"> Director-General of Health</w:t>
            </w:r>
          </w:p>
        </w:tc>
      </w:tr>
      <w:tr w:rsidR="00006665" w:rsidRPr="000A70DF" w14:paraId="70AC4B04" w14:textId="77777777" w:rsidTr="00363FE8">
        <w:trPr>
          <w:cantSplit/>
        </w:trPr>
        <w:tc>
          <w:tcPr>
            <w:tcW w:w="1418" w:type="dxa"/>
            <w:tcBorders>
              <w:top w:val="single" w:sz="2" w:space="0" w:color="auto"/>
              <w:bottom w:val="single" w:sz="2" w:space="0" w:color="auto"/>
              <w:right w:val="nil"/>
            </w:tcBorders>
          </w:tcPr>
          <w:p w14:paraId="49DA9789" w14:textId="77777777" w:rsidR="00006665" w:rsidRPr="000A70DF" w:rsidRDefault="00006665" w:rsidP="00280A23">
            <w:pPr>
              <w:pStyle w:val="TableText"/>
              <w:rPr>
                <w:rFonts w:ascii="Segoe UI" w:hAnsi="Segoe UI" w:cs="Segoe UI"/>
                <w:b/>
                <w:sz w:val="22"/>
                <w:szCs w:val="22"/>
              </w:rPr>
            </w:pPr>
            <w:r w:rsidRPr="000A70DF">
              <w:rPr>
                <w:rFonts w:ascii="Segoe UI" w:hAnsi="Segoe UI" w:cs="Segoe UI"/>
                <w:b/>
                <w:sz w:val="22"/>
                <w:szCs w:val="22"/>
              </w:rPr>
              <w:t>Copy to:</w:t>
            </w:r>
          </w:p>
        </w:tc>
        <w:tc>
          <w:tcPr>
            <w:tcW w:w="8363" w:type="dxa"/>
            <w:tcBorders>
              <w:top w:val="single" w:sz="2" w:space="0" w:color="auto"/>
              <w:left w:val="nil"/>
              <w:bottom w:val="single" w:sz="2" w:space="0" w:color="auto"/>
              <w:right w:val="nil"/>
            </w:tcBorders>
          </w:tcPr>
          <w:p w14:paraId="560960AD" w14:textId="77777777" w:rsidR="00006665" w:rsidRDefault="00FF3AF4" w:rsidP="00FF3AF4">
            <w:pPr>
              <w:pStyle w:val="NumberedParagraphs-MOH"/>
              <w:numPr>
                <w:ilvl w:val="0"/>
                <w:numId w:val="0"/>
              </w:numPr>
              <w:spacing w:after="120"/>
            </w:pPr>
            <w:r w:rsidRPr="000A70DF">
              <w:t xml:space="preserve">Group Managers, COVID-19 </w:t>
            </w:r>
            <w:proofErr w:type="gramStart"/>
            <w:r w:rsidRPr="000A70DF">
              <w:t>Directorate</w:t>
            </w:r>
            <w:r w:rsidR="00E21E1F">
              <w:t>;</w:t>
            </w:r>
            <w:proofErr w:type="gramEnd"/>
          </w:p>
          <w:p w14:paraId="61F43544" w14:textId="4A1E48CE" w:rsidR="00E21E1F" w:rsidRPr="00E21E1F" w:rsidRDefault="00E21E1F" w:rsidP="00FF3AF4">
            <w:pPr>
              <w:pStyle w:val="NumberedParagraphs-MOH"/>
              <w:numPr>
                <w:ilvl w:val="0"/>
                <w:numId w:val="0"/>
              </w:numPr>
              <w:spacing w:after="120"/>
              <w:rPr>
                <w:lang w:val="mi-NZ"/>
              </w:rPr>
            </w:pPr>
            <w:r>
              <w:t xml:space="preserve">John </w:t>
            </w:r>
            <w:proofErr w:type="spellStart"/>
            <w:r>
              <w:t>Whaanga</w:t>
            </w:r>
            <w:proofErr w:type="spellEnd"/>
            <w:r>
              <w:t>, Deputy Director-General, M</w:t>
            </w:r>
            <w:proofErr w:type="spellStart"/>
            <w:r>
              <w:rPr>
                <w:lang w:val="mi-NZ"/>
              </w:rPr>
              <w:t>āori</w:t>
            </w:r>
            <w:proofErr w:type="spellEnd"/>
            <w:r>
              <w:rPr>
                <w:lang w:val="mi-NZ"/>
              </w:rPr>
              <w:t xml:space="preserve"> Health</w:t>
            </w:r>
          </w:p>
        </w:tc>
      </w:tr>
      <w:tr w:rsidR="00006665" w:rsidRPr="000A70DF" w14:paraId="550CFBC4" w14:textId="77777777" w:rsidTr="00363FE8">
        <w:trPr>
          <w:cantSplit/>
        </w:trPr>
        <w:tc>
          <w:tcPr>
            <w:tcW w:w="1418" w:type="dxa"/>
            <w:tcBorders>
              <w:top w:val="single" w:sz="2" w:space="0" w:color="auto"/>
              <w:bottom w:val="single" w:sz="2" w:space="0" w:color="auto"/>
              <w:right w:val="nil"/>
            </w:tcBorders>
          </w:tcPr>
          <w:p w14:paraId="1CC6C613" w14:textId="77777777" w:rsidR="00006665" w:rsidRPr="000A70DF" w:rsidRDefault="00006665" w:rsidP="00280A23">
            <w:pPr>
              <w:pStyle w:val="TableText"/>
              <w:rPr>
                <w:rFonts w:ascii="Segoe UI" w:hAnsi="Segoe UI" w:cs="Segoe UI"/>
                <w:b/>
                <w:sz w:val="22"/>
                <w:szCs w:val="22"/>
              </w:rPr>
            </w:pPr>
            <w:r w:rsidRPr="000A70DF">
              <w:rPr>
                <w:rFonts w:ascii="Segoe UI" w:hAnsi="Segoe UI" w:cs="Segoe UI"/>
                <w:b/>
                <w:sz w:val="22"/>
                <w:szCs w:val="22"/>
              </w:rPr>
              <w:t>From:</w:t>
            </w:r>
          </w:p>
        </w:tc>
        <w:tc>
          <w:tcPr>
            <w:tcW w:w="8363" w:type="dxa"/>
            <w:tcBorders>
              <w:top w:val="single" w:sz="2" w:space="0" w:color="auto"/>
              <w:left w:val="nil"/>
              <w:bottom w:val="single" w:sz="2" w:space="0" w:color="auto"/>
              <w:right w:val="nil"/>
            </w:tcBorders>
          </w:tcPr>
          <w:p w14:paraId="10A996DB" w14:textId="0D5216E2" w:rsidR="00006665" w:rsidRPr="000A70DF" w:rsidRDefault="000348B5" w:rsidP="00FF3AF4">
            <w:pPr>
              <w:pStyle w:val="NumberedParagraphs-MOH"/>
              <w:numPr>
                <w:ilvl w:val="0"/>
                <w:numId w:val="0"/>
              </w:numPr>
              <w:spacing w:after="120"/>
            </w:pPr>
            <w:r w:rsidRPr="000A70DF">
              <w:t xml:space="preserve">Karen Jacobs-Grant, Chief Equity Advisor, </w:t>
            </w:r>
            <w:r w:rsidR="00E21E1F">
              <w:t>Outbreak Response, Interim Health New Zealand</w:t>
            </w:r>
          </w:p>
        </w:tc>
      </w:tr>
      <w:tr w:rsidR="00363FE8" w:rsidRPr="000A70DF" w14:paraId="5C80AE9A" w14:textId="77777777" w:rsidTr="00363FE8">
        <w:trPr>
          <w:cantSplit/>
        </w:trPr>
        <w:tc>
          <w:tcPr>
            <w:tcW w:w="1418" w:type="dxa"/>
            <w:tcBorders>
              <w:top w:val="single" w:sz="2" w:space="0" w:color="auto"/>
              <w:bottom w:val="single" w:sz="12" w:space="0" w:color="auto"/>
              <w:right w:val="nil"/>
            </w:tcBorders>
          </w:tcPr>
          <w:p w14:paraId="06DACD42" w14:textId="77777777" w:rsidR="00363FE8" w:rsidRPr="000A70DF" w:rsidRDefault="00363FE8" w:rsidP="00280A23">
            <w:pPr>
              <w:pStyle w:val="TableText"/>
              <w:rPr>
                <w:rFonts w:ascii="Segoe UI" w:hAnsi="Segoe UI" w:cs="Segoe UI"/>
                <w:b/>
                <w:sz w:val="22"/>
                <w:szCs w:val="22"/>
              </w:rPr>
            </w:pPr>
            <w:r w:rsidRPr="000A70DF">
              <w:rPr>
                <w:rFonts w:ascii="Segoe UI" w:hAnsi="Segoe UI" w:cs="Segoe UI"/>
                <w:b/>
                <w:sz w:val="22"/>
                <w:szCs w:val="22"/>
              </w:rPr>
              <w:t>For your:</w:t>
            </w:r>
          </w:p>
        </w:tc>
        <w:tc>
          <w:tcPr>
            <w:tcW w:w="8363" w:type="dxa"/>
            <w:tcBorders>
              <w:top w:val="single" w:sz="2" w:space="0" w:color="auto"/>
              <w:left w:val="nil"/>
              <w:bottom w:val="single" w:sz="12" w:space="0" w:color="auto"/>
            </w:tcBorders>
          </w:tcPr>
          <w:p w14:paraId="295FD525" w14:textId="672CF2A6" w:rsidR="00363FE8" w:rsidRPr="000A70DF" w:rsidRDefault="00FF3AF4" w:rsidP="00FF3AF4">
            <w:pPr>
              <w:pStyle w:val="NumberedParagraphs-MOH"/>
              <w:numPr>
                <w:ilvl w:val="0"/>
                <w:numId w:val="0"/>
              </w:numPr>
            </w:pPr>
            <w:r w:rsidRPr="000A70DF">
              <w:t>Information and Decision</w:t>
            </w:r>
          </w:p>
        </w:tc>
      </w:tr>
    </w:tbl>
    <w:p w14:paraId="2AE1968C" w14:textId="45817ACC" w:rsidR="00363FE8" w:rsidRPr="000A70DF" w:rsidRDefault="00363FE8" w:rsidP="00363FE8">
      <w:pPr>
        <w:pStyle w:val="Heading1"/>
        <w:spacing w:before="360"/>
        <w:rPr>
          <w:rFonts w:ascii="Segoe UI" w:hAnsi="Segoe UI" w:cs="Segoe UI"/>
          <w:color w:val="FF0000"/>
          <w:sz w:val="28"/>
        </w:rPr>
      </w:pPr>
      <w:r w:rsidRPr="000A70DF">
        <w:rPr>
          <w:rFonts w:ascii="Segoe UI" w:hAnsi="Segoe UI" w:cs="Segoe UI"/>
          <w:sz w:val="28"/>
        </w:rPr>
        <w:t xml:space="preserve">Purpose of report </w:t>
      </w:r>
    </w:p>
    <w:p w14:paraId="45B19716" w14:textId="3B53C0B3" w:rsidR="00332B10" w:rsidRPr="000A70DF" w:rsidRDefault="00FF3AF4" w:rsidP="00B966B7">
      <w:pPr>
        <w:pStyle w:val="NumberedParagraphs-MOH"/>
        <w:ind w:left="567" w:hanging="567"/>
      </w:pPr>
      <w:r w:rsidRPr="000A70DF">
        <w:t xml:space="preserve">The purpose of this report is to set out the Equity Impact Assessment </w:t>
      </w:r>
      <w:r w:rsidR="00381C5B" w:rsidRPr="000A70DF">
        <w:t xml:space="preserve">(EIA) </w:t>
      </w:r>
      <w:r w:rsidRPr="000A70DF">
        <w:t>that was undertaken by the Ministry of Health (the Ministry) on the three</w:t>
      </w:r>
      <w:r w:rsidR="00565ACE" w:rsidRPr="000A70DF">
        <w:t>-</w:t>
      </w:r>
      <w:r w:rsidRPr="000A70DF">
        <w:t xml:space="preserve">phase Omicron </w:t>
      </w:r>
      <w:r w:rsidR="000348B5" w:rsidRPr="000A70DF">
        <w:t xml:space="preserve">public health </w:t>
      </w:r>
      <w:r w:rsidRPr="000A70DF">
        <w:t xml:space="preserve">strategy </w:t>
      </w:r>
      <w:r w:rsidR="00927A88" w:rsidRPr="000A70DF">
        <w:t>in the</w:t>
      </w:r>
      <w:r w:rsidR="00BA37D0" w:rsidRPr="000A70DF">
        <w:t xml:space="preserve"> </w:t>
      </w:r>
      <w:r w:rsidRPr="000A70DF">
        <w:t>early stages of its implementation</w:t>
      </w:r>
      <w:r w:rsidR="00556CD7" w:rsidRPr="000A70DF">
        <w:t>. It includes</w:t>
      </w:r>
      <w:r w:rsidR="00927A88" w:rsidRPr="000A70DF">
        <w:t xml:space="preserve"> </w:t>
      </w:r>
      <w:r w:rsidR="00464B3A" w:rsidRPr="000A70DF">
        <w:t>a summary of the</w:t>
      </w:r>
      <w:r w:rsidR="00381C5B" w:rsidRPr="000A70DF">
        <w:t xml:space="preserve"> EIA’s </w:t>
      </w:r>
      <w:r w:rsidRPr="000A70DF">
        <w:t>findings</w:t>
      </w:r>
      <w:r w:rsidR="00927A88" w:rsidRPr="000A70DF">
        <w:t xml:space="preserve"> and</w:t>
      </w:r>
      <w:r w:rsidR="001C043B" w:rsidRPr="000A70DF">
        <w:t xml:space="preserve"> </w:t>
      </w:r>
      <w:r w:rsidR="00556CD7" w:rsidRPr="000A70DF">
        <w:t xml:space="preserve">the </w:t>
      </w:r>
      <w:r w:rsidR="001C043B" w:rsidRPr="000A70DF">
        <w:t xml:space="preserve">actions </w:t>
      </w:r>
      <w:r w:rsidR="00556CD7" w:rsidRPr="000A70DF">
        <w:t xml:space="preserve">taken by the </w:t>
      </w:r>
      <w:r w:rsidR="00963FE9" w:rsidRPr="000A70DF">
        <w:t>Ministry</w:t>
      </w:r>
      <w:r w:rsidR="0016519A" w:rsidRPr="000A70DF">
        <w:t xml:space="preserve"> </w:t>
      </w:r>
      <w:r w:rsidR="00556CD7" w:rsidRPr="000A70DF">
        <w:t>to</w:t>
      </w:r>
      <w:r w:rsidR="00464B3A" w:rsidRPr="000A70DF">
        <w:t xml:space="preserve"> address</w:t>
      </w:r>
      <w:r w:rsidR="00306BCF" w:rsidRPr="000A70DF">
        <w:t xml:space="preserve"> </w:t>
      </w:r>
      <w:r w:rsidR="00483669" w:rsidRPr="000A70DF">
        <w:t>these</w:t>
      </w:r>
      <w:r w:rsidR="0016519A" w:rsidRPr="000A70DF">
        <w:t xml:space="preserve"> findings</w:t>
      </w:r>
      <w:r w:rsidR="00A054CC" w:rsidRPr="000A70DF">
        <w:t>, along with Ministry learnings</w:t>
      </w:r>
      <w:r w:rsidR="00927A88" w:rsidRPr="000A70DF">
        <w:t xml:space="preserve">. </w:t>
      </w:r>
    </w:p>
    <w:p w14:paraId="0675E3E8" w14:textId="2A53563E" w:rsidR="00363FE8" w:rsidRPr="000A70DF" w:rsidRDefault="00363FE8" w:rsidP="00363FE8">
      <w:pPr>
        <w:keepNext/>
        <w:spacing w:before="360" w:after="120" w:line="259" w:lineRule="auto"/>
        <w:jc w:val="both"/>
        <w:outlineLvl w:val="1"/>
        <w:rPr>
          <w:rFonts w:ascii="Segoe UI" w:eastAsiaTheme="majorEastAsia" w:hAnsi="Segoe UI" w:cs="Arial"/>
          <w:b/>
          <w:bCs/>
          <w:iCs/>
          <w:sz w:val="28"/>
          <w:szCs w:val="32"/>
          <w:lang w:eastAsia="en-NZ"/>
        </w:rPr>
      </w:pPr>
      <w:r w:rsidRPr="000A70DF">
        <w:rPr>
          <w:rFonts w:ascii="Segoe UI" w:eastAsiaTheme="majorEastAsia" w:hAnsi="Segoe UI" w:cs="Arial"/>
          <w:b/>
          <w:bCs/>
          <w:iCs/>
          <w:sz w:val="28"/>
          <w:szCs w:val="32"/>
          <w:lang w:eastAsia="en-NZ"/>
        </w:rPr>
        <w:t>Background and context</w:t>
      </w:r>
    </w:p>
    <w:p w14:paraId="5A2041D8" w14:textId="1BD4EB1A" w:rsidR="00FF55A9" w:rsidRPr="000A70DF" w:rsidRDefault="00FF55A9" w:rsidP="00FF55A9">
      <w:pPr>
        <w:keepNext/>
        <w:tabs>
          <w:tab w:val="left" w:pos="3945"/>
        </w:tabs>
        <w:spacing w:before="120" w:after="120"/>
        <w:jc w:val="both"/>
        <w:outlineLvl w:val="2"/>
        <w:rPr>
          <w:rFonts w:ascii="Segoe UI Semibold" w:eastAsiaTheme="majorEastAsia" w:hAnsi="Segoe UI Semibold" w:cs="Arial"/>
          <w:iCs/>
          <w:lang w:eastAsia="en-NZ"/>
        </w:rPr>
      </w:pPr>
      <w:r w:rsidRPr="000A70DF">
        <w:rPr>
          <w:rFonts w:ascii="Segoe UI Semibold" w:eastAsiaTheme="majorEastAsia" w:hAnsi="Segoe UI Semibold" w:cs="Arial"/>
          <w:iCs/>
          <w:lang w:eastAsia="en-NZ"/>
        </w:rPr>
        <w:t xml:space="preserve">Development of the Omicron </w:t>
      </w:r>
      <w:r w:rsidR="00556CD7" w:rsidRPr="000A70DF">
        <w:rPr>
          <w:rFonts w:ascii="Segoe UI Semibold" w:eastAsiaTheme="majorEastAsia" w:hAnsi="Segoe UI Semibold" w:cs="Arial"/>
          <w:iCs/>
          <w:lang w:eastAsia="en-NZ"/>
        </w:rPr>
        <w:t xml:space="preserve">public health </w:t>
      </w:r>
      <w:r w:rsidRPr="000A70DF">
        <w:rPr>
          <w:rFonts w:ascii="Segoe UI Semibold" w:eastAsiaTheme="majorEastAsia" w:hAnsi="Segoe UI Semibold" w:cs="Arial"/>
          <w:iCs/>
          <w:lang w:eastAsia="en-NZ"/>
        </w:rPr>
        <w:t xml:space="preserve">strategy </w:t>
      </w:r>
      <w:r w:rsidR="002468B8" w:rsidRPr="000A70DF">
        <w:rPr>
          <w:rFonts w:ascii="Segoe UI Semibold" w:eastAsiaTheme="majorEastAsia" w:hAnsi="Segoe UI Semibold" w:cs="Arial"/>
          <w:iCs/>
          <w:lang w:eastAsia="en-NZ"/>
        </w:rPr>
        <w:t>and commissioning of the EIA</w:t>
      </w:r>
    </w:p>
    <w:p w14:paraId="6D1AEF40" w14:textId="4AFC71BA" w:rsidR="00823272" w:rsidRPr="000A70DF" w:rsidRDefault="008D4697" w:rsidP="00D844AF">
      <w:pPr>
        <w:suppressAutoHyphens/>
        <w:autoSpaceDE w:val="0"/>
        <w:autoSpaceDN w:val="0"/>
        <w:adjustRightInd w:val="0"/>
        <w:spacing w:before="120" w:after="120"/>
        <w:textAlignment w:val="center"/>
        <w:outlineLvl w:val="3"/>
        <w:rPr>
          <w:rFonts w:ascii="Segoe UI" w:eastAsiaTheme="majorEastAsia" w:hAnsi="Segoe UI" w:cs="Segoe UI"/>
          <w:bCs/>
          <w:i/>
          <w:sz w:val="22"/>
          <w:szCs w:val="22"/>
          <w:lang w:eastAsia="x-none"/>
        </w:rPr>
      </w:pPr>
      <w:r w:rsidRPr="000A70DF">
        <w:rPr>
          <w:rFonts w:ascii="Segoe UI" w:eastAsiaTheme="majorEastAsia" w:hAnsi="Segoe UI" w:cs="Segoe UI"/>
          <w:bCs/>
          <w:i/>
          <w:sz w:val="22"/>
          <w:szCs w:val="22"/>
          <w:lang w:eastAsia="x-none"/>
        </w:rPr>
        <w:t>A three-phase Omicron</w:t>
      </w:r>
      <w:r w:rsidR="00556CD7" w:rsidRPr="000A70DF">
        <w:rPr>
          <w:rFonts w:ascii="Segoe UI" w:eastAsiaTheme="majorEastAsia" w:hAnsi="Segoe UI" w:cs="Segoe UI"/>
          <w:bCs/>
          <w:i/>
          <w:sz w:val="22"/>
          <w:szCs w:val="22"/>
          <w:lang w:eastAsia="x-none"/>
        </w:rPr>
        <w:t xml:space="preserve"> public health</w:t>
      </w:r>
      <w:r w:rsidRPr="000A70DF">
        <w:rPr>
          <w:rFonts w:ascii="Segoe UI" w:eastAsiaTheme="majorEastAsia" w:hAnsi="Segoe UI" w:cs="Segoe UI"/>
          <w:bCs/>
          <w:i/>
          <w:sz w:val="22"/>
          <w:szCs w:val="22"/>
          <w:lang w:eastAsia="x-none"/>
        </w:rPr>
        <w:t xml:space="preserve"> strategy was developed at pace </w:t>
      </w:r>
      <w:r w:rsidR="00D844AF" w:rsidRPr="000A70DF">
        <w:rPr>
          <w:rFonts w:ascii="Segoe UI" w:eastAsiaTheme="majorEastAsia" w:hAnsi="Segoe UI" w:cs="Segoe UI"/>
          <w:bCs/>
          <w:i/>
          <w:sz w:val="22"/>
          <w:szCs w:val="22"/>
          <w:lang w:eastAsia="x-none"/>
        </w:rPr>
        <w:t>to respond to modelled demand</w:t>
      </w:r>
    </w:p>
    <w:p w14:paraId="2DC2098A" w14:textId="12EF80DD" w:rsidR="006210D9" w:rsidRPr="000A70DF" w:rsidRDefault="00D9197D" w:rsidP="006210D9">
      <w:pPr>
        <w:pStyle w:val="NumberedParagraphs-MOH"/>
        <w:ind w:left="567" w:hanging="567"/>
      </w:pPr>
      <w:r>
        <w:t>On 26 N</w:t>
      </w:r>
      <w:r w:rsidR="00D61E24">
        <w:t>ovemb</w:t>
      </w:r>
      <w:r>
        <w:t xml:space="preserve">er 2021, </w:t>
      </w:r>
      <w:r w:rsidR="00CE49B9">
        <w:t xml:space="preserve">whilst </w:t>
      </w:r>
      <w:r w:rsidR="00556CD7">
        <w:t xml:space="preserve">New Zealand </w:t>
      </w:r>
      <w:r w:rsidR="00CE49B9">
        <w:t>was</w:t>
      </w:r>
      <w:r w:rsidR="00A80754">
        <w:t xml:space="preserve"> in </w:t>
      </w:r>
      <w:r w:rsidR="00F67081">
        <w:t>the</w:t>
      </w:r>
      <w:r w:rsidR="00A80754">
        <w:t xml:space="preserve"> late stages of its </w:t>
      </w:r>
      <w:r w:rsidR="0044108D">
        <w:t>Delta response</w:t>
      </w:r>
      <w:r w:rsidR="00CE49B9">
        <w:t xml:space="preserve">, </w:t>
      </w:r>
      <w:r>
        <w:t>the World Health Organi</w:t>
      </w:r>
      <w:r w:rsidR="000375BA">
        <w:t>z</w:t>
      </w:r>
      <w:r>
        <w:t>ation declared Omicron a variant of concern. After undertaking a preliminary Public Health Risk Assessment (PHRA) on 6 December 2021 and a more fulsome PHRA on 16 December</w:t>
      </w:r>
      <w:r w:rsidR="00386005">
        <w:t xml:space="preserve"> 2021</w:t>
      </w:r>
      <w:r>
        <w:t xml:space="preserve">, the Ministry </w:t>
      </w:r>
      <w:r w:rsidR="007B4148">
        <w:t xml:space="preserve">quickly </w:t>
      </w:r>
      <w:r w:rsidR="00F67081">
        <w:t>began developing</w:t>
      </w:r>
      <w:r w:rsidR="00136ED2">
        <w:t xml:space="preserve"> a</w:t>
      </w:r>
      <w:r>
        <w:t xml:space="preserve"> strategy </w:t>
      </w:r>
      <w:r w:rsidR="00386005">
        <w:t xml:space="preserve">to </w:t>
      </w:r>
      <w:r>
        <w:t>respond</w:t>
      </w:r>
      <w:r w:rsidR="00386005">
        <w:t xml:space="preserve"> </w:t>
      </w:r>
      <w:r>
        <w:t>to Omicron</w:t>
      </w:r>
      <w:r w:rsidR="00783DE2">
        <w:t>.</w:t>
      </w:r>
      <w:r w:rsidR="00CF23D1">
        <w:t xml:space="preserve"> </w:t>
      </w:r>
    </w:p>
    <w:p w14:paraId="07F4C868" w14:textId="4DCB944F" w:rsidR="006210D9" w:rsidRPr="000A70DF" w:rsidRDefault="006210D9" w:rsidP="006210D9">
      <w:pPr>
        <w:pStyle w:val="NumberedParagraphs-MOH"/>
        <w:ind w:left="567" w:hanging="567"/>
      </w:pPr>
      <w:r w:rsidRPr="000A70DF">
        <w:t xml:space="preserve">The Ministry’s Omicron strategy </w:t>
      </w:r>
      <w:r w:rsidR="00CF23D1" w:rsidRPr="000A70DF">
        <w:t xml:space="preserve">up </w:t>
      </w:r>
      <w:r w:rsidR="008D6897" w:rsidRPr="000A70DF">
        <w:t>to mid-January 2022 was to</w:t>
      </w:r>
      <w:r w:rsidRPr="000A70DF">
        <w:t xml:space="preserve"> keep </w:t>
      </w:r>
      <w:r w:rsidR="004B0E24">
        <w:t xml:space="preserve">Omicron </w:t>
      </w:r>
      <w:r w:rsidRPr="000A70DF">
        <w:t>at the border</w:t>
      </w:r>
      <w:r w:rsidR="00A62689" w:rsidRPr="000A70DF">
        <w:t xml:space="preserve"> and </w:t>
      </w:r>
      <w:r w:rsidRPr="000A70DF">
        <w:t>detect and rapidly respond to any Omicron cases in the community</w:t>
      </w:r>
      <w:r w:rsidR="00E42B36" w:rsidRPr="000A70DF">
        <w:t xml:space="preserve">, while </w:t>
      </w:r>
      <w:r w:rsidRPr="000A70DF">
        <w:t>continuously review</w:t>
      </w:r>
      <w:r w:rsidR="00E42B36" w:rsidRPr="000A70DF">
        <w:t>ing</w:t>
      </w:r>
      <w:r w:rsidRPr="000A70DF">
        <w:t xml:space="preserve"> and strengthen</w:t>
      </w:r>
      <w:r w:rsidR="00E42B36" w:rsidRPr="000A70DF">
        <w:t>ing</w:t>
      </w:r>
      <w:r w:rsidRPr="000A70DF">
        <w:t xml:space="preserve"> public health measures</w:t>
      </w:r>
      <w:r w:rsidR="00E42B36" w:rsidRPr="000A70DF">
        <w:t>.</w:t>
      </w:r>
      <w:r w:rsidR="003F182C" w:rsidRPr="000A70DF">
        <w:t xml:space="preserve"> This strategy relied on much the same infrastructure</w:t>
      </w:r>
      <w:r w:rsidR="003C268E" w:rsidRPr="000A70DF">
        <w:t>, systems and processes</w:t>
      </w:r>
      <w:r w:rsidR="003F182C" w:rsidRPr="000A70DF">
        <w:t xml:space="preserve"> as already established</w:t>
      </w:r>
      <w:r w:rsidR="00556CD7" w:rsidRPr="000A70DF">
        <w:t xml:space="preserve"> for pr</w:t>
      </w:r>
      <w:r w:rsidR="00CE197E">
        <w:t xml:space="preserve">evious </w:t>
      </w:r>
      <w:r w:rsidR="00556CD7" w:rsidRPr="000A70DF">
        <w:t>variants</w:t>
      </w:r>
      <w:r w:rsidR="003F182C" w:rsidRPr="000A70DF">
        <w:t xml:space="preserve">. </w:t>
      </w:r>
    </w:p>
    <w:p w14:paraId="480C817D" w14:textId="34485591" w:rsidR="000E07A8" w:rsidRPr="000A70DF" w:rsidRDefault="00386005" w:rsidP="00CF23D1">
      <w:pPr>
        <w:pStyle w:val="NumberedParagraphs-MOH"/>
        <w:ind w:left="567" w:hanging="567"/>
      </w:pPr>
      <w:r w:rsidRPr="000A70DF">
        <w:t>T</w:t>
      </w:r>
      <w:r w:rsidR="00CF23D1" w:rsidRPr="000A70DF">
        <w:t xml:space="preserve">he Ministry </w:t>
      </w:r>
      <w:r w:rsidR="00556CD7" w:rsidRPr="000A70DF">
        <w:t xml:space="preserve">recognised </w:t>
      </w:r>
      <w:r w:rsidR="00CF23D1" w:rsidRPr="000A70DF">
        <w:t xml:space="preserve">that once </w:t>
      </w:r>
      <w:r w:rsidR="006210D9" w:rsidRPr="000A70DF">
        <w:t xml:space="preserve">Omicron </w:t>
      </w:r>
      <w:r w:rsidR="00CF23D1" w:rsidRPr="000A70DF">
        <w:t>was</w:t>
      </w:r>
      <w:r w:rsidR="006210D9" w:rsidRPr="000A70DF">
        <w:t xml:space="preserve"> seeded in the community, the strategy </w:t>
      </w:r>
      <w:r w:rsidR="00CF23D1" w:rsidRPr="000A70DF">
        <w:t>would need to rapidly</w:t>
      </w:r>
      <w:r w:rsidR="006210D9" w:rsidRPr="000A70DF">
        <w:t xml:space="preserve"> shift</w:t>
      </w:r>
      <w:r w:rsidR="00CF23D1" w:rsidRPr="000A70DF">
        <w:t xml:space="preserve">. </w:t>
      </w:r>
      <w:r w:rsidR="006210D9" w:rsidRPr="000A70DF">
        <w:t>E</w:t>
      </w:r>
      <w:r w:rsidR="00CE49B9" w:rsidRPr="000A70DF">
        <w:t xml:space="preserve">vidence from overseas had shown that the Omicron variant, compared to Delta, was more infectious and that cases </w:t>
      </w:r>
      <w:r w:rsidR="007B4148" w:rsidRPr="000A70DF">
        <w:t>would</w:t>
      </w:r>
      <w:r w:rsidR="00CE49B9" w:rsidRPr="000A70DF">
        <w:t xml:space="preserve"> increase rapidly once the variant entered the community</w:t>
      </w:r>
      <w:r w:rsidR="000E07A8" w:rsidRPr="000A70DF">
        <w:t>, and at rates much higher than seen during the Delta outbreak (which peaked at just over 200 daily cases in New Zealand).</w:t>
      </w:r>
    </w:p>
    <w:p w14:paraId="1572600B" w14:textId="695E9FDB" w:rsidR="00AF5F63" w:rsidRPr="000A70DF" w:rsidRDefault="000E07A8" w:rsidP="00CF23D1">
      <w:pPr>
        <w:pStyle w:val="NumberedParagraphs-MOH"/>
        <w:ind w:left="567" w:hanging="567"/>
      </w:pPr>
      <w:r w:rsidRPr="000A70DF">
        <w:t>E</w:t>
      </w:r>
      <w:r w:rsidR="00016217" w:rsidRPr="000A70DF">
        <w:t xml:space="preserve">arly </w:t>
      </w:r>
      <w:r w:rsidR="005562AC" w:rsidRPr="000A70DF">
        <w:t>modelling</w:t>
      </w:r>
      <w:r w:rsidR="007B4148" w:rsidRPr="000A70DF">
        <w:t xml:space="preserve"> based on Omicron community spread in Australi</w:t>
      </w:r>
      <w:r w:rsidR="00CB43B2" w:rsidRPr="000A70DF">
        <w:t>a</w:t>
      </w:r>
      <w:r w:rsidR="007B4148" w:rsidRPr="000A70DF">
        <w:t xml:space="preserve"> </w:t>
      </w:r>
      <w:r w:rsidR="00016217" w:rsidRPr="000A70DF">
        <w:t>suggested</w:t>
      </w:r>
      <w:r w:rsidR="005562AC" w:rsidRPr="000A70DF">
        <w:t xml:space="preserve"> that within 19 days of a spread of at least 10 Omicron cases in the community, over 5,00</w:t>
      </w:r>
      <w:r w:rsidR="007B4148" w:rsidRPr="000A70DF">
        <w:t>0</w:t>
      </w:r>
      <w:r w:rsidR="005562AC" w:rsidRPr="000A70DF">
        <w:t xml:space="preserve"> cases were </w:t>
      </w:r>
      <w:r w:rsidR="005562AC" w:rsidRPr="000A70DF">
        <w:lastRenderedPageBreak/>
        <w:t>expected to occur per day</w:t>
      </w:r>
      <w:r w:rsidR="005276FB" w:rsidRPr="000A70DF">
        <w:t xml:space="preserve"> (</w:t>
      </w:r>
      <w:r w:rsidR="00016217" w:rsidRPr="000A70DF">
        <w:t xml:space="preserve">low scenario being between 1 </w:t>
      </w:r>
      <w:r w:rsidR="009A67C2">
        <w:t>and</w:t>
      </w:r>
      <w:r w:rsidR="00016217" w:rsidRPr="000A70DF">
        <w:t xml:space="preserve"> 1,000 daily cases, </w:t>
      </w:r>
      <w:r w:rsidR="005276FB" w:rsidRPr="000A70DF">
        <w:t>medium scenario</w:t>
      </w:r>
      <w:r w:rsidR="002F740D" w:rsidRPr="000A70DF">
        <w:t xml:space="preserve"> being between 1,000 and 5,000 daily cases</w:t>
      </w:r>
      <w:r w:rsidR="00016217" w:rsidRPr="000A70DF">
        <w:t>, and high scenario being over 5,000 daily cases</w:t>
      </w:r>
      <w:r w:rsidR="005276FB" w:rsidRPr="000A70DF">
        <w:t>)</w:t>
      </w:r>
      <w:r w:rsidR="005562AC" w:rsidRPr="000A70DF">
        <w:t xml:space="preserve">. In response, </w:t>
      </w:r>
      <w:r w:rsidR="00AF5F63" w:rsidRPr="000A70DF">
        <w:t xml:space="preserve">the Ministry </w:t>
      </w:r>
      <w:r w:rsidR="005562AC" w:rsidRPr="000A70DF">
        <w:t xml:space="preserve">rapidly developed a three-phase Omicron </w:t>
      </w:r>
      <w:r w:rsidR="00556CD7" w:rsidRPr="000A70DF">
        <w:t xml:space="preserve">public health </w:t>
      </w:r>
      <w:r w:rsidR="005562AC" w:rsidRPr="000A70DF">
        <w:t xml:space="preserve">strategy </w:t>
      </w:r>
      <w:r w:rsidR="00FB5235" w:rsidRPr="000A70DF">
        <w:t>to respond to each</w:t>
      </w:r>
      <w:r w:rsidR="005E2C02" w:rsidRPr="000A70DF">
        <w:t xml:space="preserve"> </w:t>
      </w:r>
      <w:r w:rsidR="00AF5F63" w:rsidRPr="000A70DF">
        <w:t>of the</w:t>
      </w:r>
      <w:r w:rsidR="00FB5235" w:rsidRPr="000A70DF">
        <w:t xml:space="preserve"> </w:t>
      </w:r>
      <w:r w:rsidR="005E2C02" w:rsidRPr="000A70DF">
        <w:t xml:space="preserve">low, </w:t>
      </w:r>
      <w:r w:rsidR="00FB5235" w:rsidRPr="000A70DF">
        <w:t>medium,</w:t>
      </w:r>
      <w:r w:rsidR="005E2C02" w:rsidRPr="000A70DF">
        <w:t xml:space="preserve"> and high scenario</w:t>
      </w:r>
      <w:r w:rsidR="00AF5F63" w:rsidRPr="000A70DF">
        <w:t>s</w:t>
      </w:r>
      <w:r w:rsidR="005E2C02" w:rsidRPr="000A70DF">
        <w:t>.</w:t>
      </w:r>
    </w:p>
    <w:p w14:paraId="384EA15F" w14:textId="3DBFFB04" w:rsidR="005020DC" w:rsidRPr="000A70DF" w:rsidRDefault="00D42F41" w:rsidP="005020DC">
      <w:pPr>
        <w:pStyle w:val="NumberedParagraphs-MOH"/>
        <w:ind w:left="567" w:hanging="567"/>
      </w:pPr>
      <w:r w:rsidRPr="000A70DF">
        <w:t xml:space="preserve">This strategy was </w:t>
      </w:r>
      <w:r w:rsidR="00AF5F63" w:rsidRPr="000A70DF">
        <w:t xml:space="preserve">initially presented </w:t>
      </w:r>
      <w:r w:rsidRPr="000A70DF">
        <w:t>to Minister</w:t>
      </w:r>
      <w:r w:rsidR="00AF5F63" w:rsidRPr="000A70DF">
        <w:t xml:space="preserve"> </w:t>
      </w:r>
      <w:proofErr w:type="spellStart"/>
      <w:r w:rsidR="00AF5F63" w:rsidRPr="000A70DF">
        <w:t>Verrall</w:t>
      </w:r>
      <w:proofErr w:type="spellEnd"/>
      <w:r w:rsidR="00AF5F63" w:rsidRPr="000A70DF">
        <w:t xml:space="preserve"> for discussion on 11 </w:t>
      </w:r>
      <w:r w:rsidRPr="000A70DF">
        <w:t>January 2022</w:t>
      </w:r>
      <w:r w:rsidR="00AF5F63" w:rsidRPr="000A70DF">
        <w:t>. An updated strategy based on Minister feedback and</w:t>
      </w:r>
      <w:r w:rsidR="00556CD7" w:rsidRPr="000A70DF">
        <w:t xml:space="preserve"> </w:t>
      </w:r>
      <w:r w:rsidR="00CE1292" w:rsidRPr="000A70DF">
        <w:t>latest</w:t>
      </w:r>
      <w:r w:rsidR="00AF5F63" w:rsidRPr="000A70DF">
        <w:t xml:space="preserve"> evidence </w:t>
      </w:r>
      <w:r w:rsidR="005E260E">
        <w:t>on the</w:t>
      </w:r>
      <w:r w:rsidR="00AF5F63" w:rsidRPr="000A70DF">
        <w:t xml:space="preserve"> </w:t>
      </w:r>
      <w:r w:rsidR="00CE1292" w:rsidRPr="000A70DF">
        <w:t xml:space="preserve">Omicron </w:t>
      </w:r>
      <w:r w:rsidR="00AF5F63" w:rsidRPr="000A70DF">
        <w:t>variant was approved by the Director-General of Health in a memorandum on 21 January</w:t>
      </w:r>
      <w:r w:rsidR="005E260E">
        <w:t xml:space="preserve"> 2022</w:t>
      </w:r>
      <w:r w:rsidR="00AF5F63" w:rsidRPr="000A70DF">
        <w:t xml:space="preserve">. </w:t>
      </w:r>
    </w:p>
    <w:p w14:paraId="1E3FBB1A" w14:textId="39113EE2" w:rsidR="00A60A03" w:rsidRPr="000A70DF" w:rsidRDefault="00A60A03" w:rsidP="00AF5F63">
      <w:pPr>
        <w:suppressAutoHyphens/>
        <w:autoSpaceDE w:val="0"/>
        <w:autoSpaceDN w:val="0"/>
        <w:adjustRightInd w:val="0"/>
        <w:spacing w:before="120" w:after="120"/>
        <w:textAlignment w:val="center"/>
        <w:outlineLvl w:val="3"/>
        <w:rPr>
          <w:rFonts w:ascii="Segoe UI" w:eastAsiaTheme="majorEastAsia" w:hAnsi="Segoe UI" w:cs="Segoe UI"/>
          <w:bCs/>
          <w:i/>
          <w:sz w:val="22"/>
          <w:szCs w:val="22"/>
          <w:lang w:eastAsia="x-none"/>
        </w:rPr>
      </w:pPr>
      <w:r w:rsidRPr="000A70DF">
        <w:rPr>
          <w:rFonts w:ascii="Segoe UI" w:eastAsiaTheme="majorEastAsia" w:hAnsi="Segoe UI" w:cs="Segoe UI"/>
          <w:bCs/>
          <w:i/>
          <w:sz w:val="22"/>
          <w:szCs w:val="22"/>
          <w:lang w:eastAsia="x-none"/>
        </w:rPr>
        <w:t xml:space="preserve">The Omicron </w:t>
      </w:r>
      <w:r w:rsidR="00556CD7" w:rsidRPr="000A70DF">
        <w:rPr>
          <w:rFonts w:ascii="Segoe UI" w:eastAsiaTheme="majorEastAsia" w:hAnsi="Segoe UI" w:cs="Segoe UI"/>
          <w:bCs/>
          <w:i/>
          <w:sz w:val="22"/>
          <w:szCs w:val="22"/>
          <w:lang w:eastAsia="x-none"/>
        </w:rPr>
        <w:t xml:space="preserve">public health </w:t>
      </w:r>
      <w:r w:rsidRPr="000A70DF">
        <w:rPr>
          <w:rFonts w:ascii="Segoe UI" w:eastAsiaTheme="majorEastAsia" w:hAnsi="Segoe UI" w:cs="Segoe UI"/>
          <w:bCs/>
          <w:i/>
          <w:sz w:val="22"/>
          <w:szCs w:val="22"/>
          <w:lang w:eastAsia="x-none"/>
        </w:rPr>
        <w:t xml:space="preserve">strategy came with significant operational changes to our COVID-19 response </w:t>
      </w:r>
    </w:p>
    <w:p w14:paraId="54B49142" w14:textId="37FBC3C8" w:rsidR="005562AC" w:rsidRPr="000A70DF" w:rsidRDefault="00FB5235" w:rsidP="00CF23D1">
      <w:pPr>
        <w:pStyle w:val="NumberedParagraphs-MOH"/>
        <w:ind w:left="567" w:hanging="567"/>
      </w:pPr>
      <w:r w:rsidRPr="000A70DF">
        <w:t>Th</w:t>
      </w:r>
      <w:r w:rsidR="00085CE3" w:rsidRPr="000A70DF">
        <w:t>e three-phase</w:t>
      </w:r>
      <w:r w:rsidRPr="000A70DF">
        <w:t xml:space="preserve"> strategy came with </w:t>
      </w:r>
      <w:r w:rsidR="005562AC" w:rsidRPr="000A70DF">
        <w:t>significant operational change</w:t>
      </w:r>
      <w:r w:rsidR="00DB20AD" w:rsidRPr="000A70DF">
        <w:t xml:space="preserve">s </w:t>
      </w:r>
      <w:r w:rsidR="005562AC" w:rsidRPr="000A70DF">
        <w:t xml:space="preserve">to testing, </w:t>
      </w:r>
      <w:r w:rsidR="00CE27D7" w:rsidRPr="000A70DF">
        <w:t xml:space="preserve">case investigation and </w:t>
      </w:r>
      <w:r w:rsidR="0076705C" w:rsidRPr="000A70DF">
        <w:t>contact tracing</w:t>
      </w:r>
      <w:r w:rsidR="00C80ED2" w:rsidRPr="000A70DF">
        <w:t xml:space="preserve"> approaches</w:t>
      </w:r>
      <w:r w:rsidR="005562AC" w:rsidRPr="000A70DF">
        <w:t xml:space="preserve"> </w:t>
      </w:r>
      <w:r w:rsidR="00C80ED2" w:rsidRPr="000A70DF">
        <w:t xml:space="preserve">so </w:t>
      </w:r>
      <w:r w:rsidR="005562AC" w:rsidRPr="000A70DF">
        <w:t xml:space="preserve">to manage </w:t>
      </w:r>
      <w:r w:rsidR="00AD3852">
        <w:t xml:space="preserve">the </w:t>
      </w:r>
      <w:r w:rsidR="005562AC" w:rsidRPr="000A70DF">
        <w:t>expected</w:t>
      </w:r>
      <w:r w:rsidR="00EE504E" w:rsidRPr="000A70DF">
        <w:t xml:space="preserve"> </w:t>
      </w:r>
      <w:r w:rsidR="0079494D" w:rsidRPr="000A70DF">
        <w:t>exponential increase</w:t>
      </w:r>
      <w:r w:rsidR="00BB6AF4" w:rsidRPr="000A70DF">
        <w:t xml:space="preserve"> in case numbers, and associated demands this would place on the system.</w:t>
      </w:r>
      <w:r w:rsidR="00803C42" w:rsidRPr="000A70DF">
        <w:t xml:space="preserve"> </w:t>
      </w:r>
      <w:r w:rsidR="009E0E17" w:rsidRPr="000A70DF">
        <w:t>A summary of changes included:</w:t>
      </w:r>
    </w:p>
    <w:p w14:paraId="71B7B4CA" w14:textId="65103328" w:rsidR="00ED69FA" w:rsidRPr="000A70DF" w:rsidRDefault="00093790" w:rsidP="00767AF3">
      <w:pPr>
        <w:pStyle w:val="NumberedParagraphs-MOH"/>
        <w:numPr>
          <w:ilvl w:val="0"/>
          <w:numId w:val="4"/>
        </w:numPr>
      </w:pPr>
      <w:r w:rsidRPr="000A70DF">
        <w:t>a</w:t>
      </w:r>
      <w:r w:rsidR="00ED69FA" w:rsidRPr="000A70DF">
        <w:t xml:space="preserve"> </w:t>
      </w:r>
      <w:r w:rsidR="006210D9" w:rsidRPr="000A70DF">
        <w:t xml:space="preserve">shift to utilising </w:t>
      </w:r>
      <w:r w:rsidR="00ED69FA" w:rsidRPr="000A70DF">
        <w:t>supervised</w:t>
      </w:r>
      <w:r w:rsidR="006210D9" w:rsidRPr="000A70DF">
        <w:t xml:space="preserve"> and unsupervised </w:t>
      </w:r>
      <w:r w:rsidR="000311A0" w:rsidRPr="000A70DF">
        <w:t>Rapid Antigen Testing (RAT)</w:t>
      </w:r>
    </w:p>
    <w:p w14:paraId="144F3C56" w14:textId="39DBAA47" w:rsidR="00A70DDE" w:rsidRPr="000A70DF" w:rsidRDefault="00283BBE" w:rsidP="00283BBE">
      <w:pPr>
        <w:pStyle w:val="NumberedParagraphs-MOH"/>
        <w:numPr>
          <w:ilvl w:val="0"/>
          <w:numId w:val="4"/>
        </w:numPr>
      </w:pPr>
      <w:r w:rsidRPr="000A70DF">
        <w:t xml:space="preserve">the development of a case self-registration portal for </w:t>
      </w:r>
      <w:r w:rsidR="00A70DDE" w:rsidRPr="000A70DF">
        <w:t>positive</w:t>
      </w:r>
      <w:r w:rsidR="008B4925" w:rsidRPr="000A70DF">
        <w:t xml:space="preserve"> RAT</w:t>
      </w:r>
      <w:r w:rsidR="00A70DDE" w:rsidRPr="000A70DF">
        <w:t xml:space="preserve"> results</w:t>
      </w:r>
      <w:r w:rsidRPr="000A70DF">
        <w:t xml:space="preserve"> </w:t>
      </w:r>
    </w:p>
    <w:p w14:paraId="53430B30" w14:textId="66747AB8" w:rsidR="00A70DDE" w:rsidRPr="000A70DF" w:rsidRDefault="00A70DDE" w:rsidP="00A70DDE">
      <w:pPr>
        <w:pStyle w:val="NumberedParagraphs-MOH"/>
        <w:numPr>
          <w:ilvl w:val="0"/>
          <w:numId w:val="4"/>
        </w:numPr>
      </w:pPr>
      <w:r w:rsidRPr="000A70DF">
        <w:t xml:space="preserve">prioritisation of phone-based case investigations </w:t>
      </w:r>
      <w:r w:rsidR="008B4925" w:rsidRPr="000A70DF">
        <w:t>for</w:t>
      </w:r>
      <w:r w:rsidRPr="000A70DF">
        <w:t xml:space="preserve"> those who met the defined risk criteria (based on age and ethnicity)</w:t>
      </w:r>
    </w:p>
    <w:p w14:paraId="791F34AE" w14:textId="0691B7B5" w:rsidR="00ED69FA" w:rsidRPr="000A70DF" w:rsidRDefault="008B4925" w:rsidP="00767AF3">
      <w:pPr>
        <w:pStyle w:val="NumberedParagraphs-MOH"/>
        <w:numPr>
          <w:ilvl w:val="0"/>
          <w:numId w:val="4"/>
        </w:numPr>
      </w:pPr>
      <w:r w:rsidRPr="000A70DF">
        <w:t>a</w:t>
      </w:r>
      <w:r w:rsidR="00A70DDE" w:rsidRPr="000A70DF">
        <w:t xml:space="preserve"> phased discontinuation of the publication of</w:t>
      </w:r>
      <w:r w:rsidR="006210D9" w:rsidRPr="000A70DF">
        <w:t xml:space="preserve"> locations of interest and push </w:t>
      </w:r>
      <w:r w:rsidR="00ED69FA" w:rsidRPr="000A70DF">
        <w:t>notifications</w:t>
      </w:r>
      <w:r w:rsidR="006210D9" w:rsidRPr="000A70DF">
        <w:t xml:space="preserve"> </w:t>
      </w:r>
      <w:r w:rsidR="00A70DDE" w:rsidRPr="000A70DF">
        <w:t>via</w:t>
      </w:r>
      <w:r w:rsidR="004C711D">
        <w:t xml:space="preserve"> the</w:t>
      </w:r>
      <w:r w:rsidR="00A70DDE" w:rsidRPr="000A70DF">
        <w:t xml:space="preserve"> NZ COVID Tracer App </w:t>
      </w:r>
    </w:p>
    <w:p w14:paraId="746AF9A7" w14:textId="67E23E4D" w:rsidR="009719A0" w:rsidRPr="000A70DF" w:rsidRDefault="00093790" w:rsidP="00767AF3">
      <w:pPr>
        <w:pStyle w:val="NumberedParagraphs-MOH"/>
        <w:numPr>
          <w:ilvl w:val="0"/>
          <w:numId w:val="4"/>
        </w:numPr>
      </w:pPr>
      <w:r w:rsidRPr="000A70DF">
        <w:t xml:space="preserve">an </w:t>
      </w:r>
      <w:r w:rsidR="006210D9" w:rsidRPr="000A70DF">
        <w:t>end to routine testing of close contacts and investigation and contact tracing of border cases</w:t>
      </w:r>
    </w:p>
    <w:p w14:paraId="4B96B4BF" w14:textId="3030DA0A" w:rsidR="00A70DDE" w:rsidRPr="000A70DF" w:rsidRDefault="002F3D3B" w:rsidP="00767AF3">
      <w:pPr>
        <w:pStyle w:val="NumberedParagraphs-MOH"/>
        <w:numPr>
          <w:ilvl w:val="0"/>
          <w:numId w:val="4"/>
        </w:numPr>
      </w:pPr>
      <w:r w:rsidRPr="000A70DF">
        <w:t>stepwise</w:t>
      </w:r>
      <w:r w:rsidR="008B4925" w:rsidRPr="000A70DF">
        <w:t xml:space="preserve"> </w:t>
      </w:r>
      <w:r w:rsidR="00A70DDE" w:rsidRPr="000A70DF">
        <w:t>changes in the testing and isolation requirements for cases, household contacts and close contacts</w:t>
      </w:r>
      <w:r>
        <w:t>.</w:t>
      </w:r>
    </w:p>
    <w:p w14:paraId="75349EDD" w14:textId="4CC8CD5D" w:rsidR="00A70DDE" w:rsidRPr="000A70DF" w:rsidRDefault="67373161" w:rsidP="009719A0">
      <w:pPr>
        <w:pStyle w:val="NumberedParagraphs-MOH"/>
        <w:ind w:left="567" w:hanging="567"/>
      </w:pPr>
      <w:r>
        <w:t xml:space="preserve">The operational changes </w:t>
      </w:r>
      <w:r w:rsidR="1359C4BF">
        <w:t xml:space="preserve">required, presented a shift in </w:t>
      </w:r>
      <w:r w:rsidR="00AFAA03">
        <w:t>strategy</w:t>
      </w:r>
      <w:r w:rsidR="1359C4BF">
        <w:t xml:space="preserve"> </w:t>
      </w:r>
      <w:r w:rsidR="03B45C1F">
        <w:t>to</w:t>
      </w:r>
      <w:r w:rsidR="0657F142">
        <w:t xml:space="preserve"> </w:t>
      </w:r>
      <w:r w:rsidR="03B45C1F">
        <w:t>highly digitalised process</w:t>
      </w:r>
      <w:r w:rsidR="20405A8C">
        <w:t>es</w:t>
      </w:r>
      <w:r w:rsidR="03B45C1F">
        <w:t xml:space="preserve"> with increased responsibility on individuals, </w:t>
      </w:r>
      <w:proofErr w:type="spellStart"/>
      <w:r w:rsidR="03B45C1F">
        <w:t>wh</w:t>
      </w:r>
      <w:r w:rsidR="4113FDE4">
        <w:t>ā</w:t>
      </w:r>
      <w:r w:rsidR="03B45C1F">
        <w:t>nau</w:t>
      </w:r>
      <w:proofErr w:type="spellEnd"/>
      <w:r w:rsidR="03B45C1F">
        <w:t xml:space="preserve"> and communities to manage their own health and safety</w:t>
      </w:r>
      <w:r w:rsidR="4AD2900C">
        <w:t xml:space="preserve">. </w:t>
      </w:r>
    </w:p>
    <w:p w14:paraId="092626FB" w14:textId="4A4D9B80" w:rsidR="00817F7D" w:rsidRPr="000A70DF" w:rsidRDefault="0056044B" w:rsidP="009719A0">
      <w:pPr>
        <w:pStyle w:val="NumberedParagraphs-MOH"/>
        <w:ind w:left="567" w:hanging="567"/>
      </w:pPr>
      <w:r w:rsidRPr="000A70DF">
        <w:t>With these changes, the Ministry acknowledged that welfare provision would need to scale</w:t>
      </w:r>
      <w:r w:rsidR="00D61E24" w:rsidRPr="000A70DF">
        <w:t xml:space="preserve"> up</w:t>
      </w:r>
      <w:r w:rsidRPr="000A70DF">
        <w:t xml:space="preserve"> significantly and with agility to support cases and contacts in self isolation</w:t>
      </w:r>
      <w:r w:rsidR="00F51B33" w:rsidRPr="000A70DF">
        <w:t xml:space="preserve">; the </w:t>
      </w:r>
      <w:r w:rsidR="00313AB5" w:rsidRPr="000A70DF">
        <w:t xml:space="preserve">Ministry </w:t>
      </w:r>
      <w:r w:rsidR="00D61E24" w:rsidRPr="000A70DF">
        <w:t>support</w:t>
      </w:r>
      <w:r w:rsidR="00817F7D" w:rsidRPr="000A70DF">
        <w:t>ed</w:t>
      </w:r>
      <w:r w:rsidR="00F51B33" w:rsidRPr="000A70DF">
        <w:t xml:space="preserve"> the Ministry of Social Development </w:t>
      </w:r>
      <w:r w:rsidR="00313AB5" w:rsidRPr="000A70DF">
        <w:t xml:space="preserve">(MSD) </w:t>
      </w:r>
      <w:r w:rsidR="00D61E24" w:rsidRPr="000A70DF">
        <w:t>to</w:t>
      </w:r>
      <w:r w:rsidR="00313AB5" w:rsidRPr="000A70DF">
        <w:t xml:space="preserve"> </w:t>
      </w:r>
      <w:r w:rsidR="00A70DDE" w:rsidRPr="000A70DF">
        <w:t>lead</w:t>
      </w:r>
      <w:r w:rsidR="007350F0" w:rsidRPr="000A70DF">
        <w:t xml:space="preserve"> this welfare response.</w:t>
      </w:r>
      <w:r w:rsidR="00F51B33" w:rsidRPr="000A70DF">
        <w:t xml:space="preserve"> </w:t>
      </w:r>
    </w:p>
    <w:p w14:paraId="2765FCAD" w14:textId="635D47CC" w:rsidR="009719A0" w:rsidRPr="000A70DF" w:rsidRDefault="00972209" w:rsidP="009719A0">
      <w:pPr>
        <w:pStyle w:val="NumberedParagraphs-MOH"/>
        <w:ind w:left="567" w:hanging="567"/>
      </w:pPr>
      <w:r w:rsidRPr="000A70DF">
        <w:t>Prioritised populations were to be</w:t>
      </w:r>
      <w:r w:rsidR="00817F7D" w:rsidRPr="000A70DF">
        <w:t xml:space="preserve"> provided additional support through</w:t>
      </w:r>
      <w:r w:rsidRPr="000A70DF">
        <w:t xml:space="preserve"> </w:t>
      </w:r>
      <w:r w:rsidR="00817F7D" w:rsidRPr="000A70DF">
        <w:t>the</w:t>
      </w:r>
      <w:r w:rsidRPr="000A70DF">
        <w:t xml:space="preserve"> newly established Care in the Community Hubs</w:t>
      </w:r>
      <w:r w:rsidR="00467F06" w:rsidRPr="000A70DF">
        <w:t xml:space="preserve">, delivering personalised health and social services </w:t>
      </w:r>
      <w:r w:rsidR="00386005" w:rsidRPr="000A70DF">
        <w:t xml:space="preserve">at the </w:t>
      </w:r>
      <w:r w:rsidR="00066A4B" w:rsidRPr="000A70DF">
        <w:t>local level</w:t>
      </w:r>
      <w:r w:rsidR="00386005" w:rsidRPr="000A70DF">
        <w:t xml:space="preserve"> </w:t>
      </w:r>
      <w:r w:rsidR="00467F06" w:rsidRPr="000A70DF">
        <w:t>to those most in need</w:t>
      </w:r>
      <w:r w:rsidR="00386005" w:rsidRPr="000A70DF">
        <w:t>,</w:t>
      </w:r>
      <w:r w:rsidR="0056044B" w:rsidRPr="000A70DF">
        <w:t xml:space="preserve"> under the Care in the Community programme</w:t>
      </w:r>
      <w:r w:rsidR="00467F06" w:rsidRPr="000A70DF">
        <w:t xml:space="preserve">. </w:t>
      </w:r>
    </w:p>
    <w:p w14:paraId="62000862" w14:textId="7D76A6C0" w:rsidR="0007583E" w:rsidRPr="000A70DF" w:rsidRDefault="0007583E" w:rsidP="00992D69">
      <w:pPr>
        <w:suppressAutoHyphens/>
        <w:autoSpaceDE w:val="0"/>
        <w:autoSpaceDN w:val="0"/>
        <w:adjustRightInd w:val="0"/>
        <w:spacing w:before="120" w:after="120"/>
        <w:textAlignment w:val="center"/>
        <w:outlineLvl w:val="3"/>
      </w:pPr>
      <w:r w:rsidRPr="000A70DF">
        <w:rPr>
          <w:rFonts w:ascii="Segoe UI" w:eastAsiaTheme="majorEastAsia" w:hAnsi="Segoe UI" w:cs="Segoe UI"/>
          <w:bCs/>
          <w:i/>
          <w:sz w:val="22"/>
          <w:szCs w:val="22"/>
          <w:lang w:eastAsia="x-none"/>
        </w:rPr>
        <w:t>An Equity Impact Assessment on the</w:t>
      </w:r>
      <w:r w:rsidR="00992D69" w:rsidRPr="000A70DF">
        <w:rPr>
          <w:rFonts w:ascii="Segoe UI" w:eastAsiaTheme="majorEastAsia" w:hAnsi="Segoe UI" w:cs="Segoe UI"/>
          <w:bCs/>
          <w:i/>
          <w:sz w:val="22"/>
          <w:szCs w:val="22"/>
          <w:lang w:eastAsia="x-none"/>
        </w:rPr>
        <w:t xml:space="preserve"> developing</w:t>
      </w:r>
      <w:r w:rsidRPr="000A70DF">
        <w:rPr>
          <w:rFonts w:ascii="Segoe UI" w:eastAsiaTheme="majorEastAsia" w:hAnsi="Segoe UI" w:cs="Segoe UI"/>
          <w:bCs/>
          <w:i/>
          <w:sz w:val="22"/>
          <w:szCs w:val="22"/>
          <w:lang w:eastAsia="x-none"/>
        </w:rPr>
        <w:t xml:space="preserve"> </w:t>
      </w:r>
      <w:r w:rsidR="002D36E2">
        <w:rPr>
          <w:rFonts w:ascii="Segoe UI" w:eastAsiaTheme="majorEastAsia" w:hAnsi="Segoe UI" w:cs="Segoe UI"/>
          <w:bCs/>
          <w:i/>
          <w:sz w:val="22"/>
          <w:szCs w:val="22"/>
          <w:lang w:eastAsia="x-none"/>
        </w:rPr>
        <w:t>strategy</w:t>
      </w:r>
      <w:r w:rsidRPr="000A70DF">
        <w:rPr>
          <w:rFonts w:ascii="Segoe UI" w:eastAsiaTheme="majorEastAsia" w:hAnsi="Segoe UI" w:cs="Segoe UI"/>
          <w:bCs/>
          <w:i/>
          <w:sz w:val="22"/>
          <w:szCs w:val="22"/>
          <w:lang w:eastAsia="x-none"/>
        </w:rPr>
        <w:t xml:space="preserve"> </w:t>
      </w:r>
      <w:r w:rsidR="00992D69" w:rsidRPr="000A70DF">
        <w:rPr>
          <w:rFonts w:ascii="Segoe UI" w:eastAsiaTheme="majorEastAsia" w:hAnsi="Segoe UI" w:cs="Segoe UI"/>
          <w:bCs/>
          <w:i/>
          <w:sz w:val="22"/>
          <w:szCs w:val="22"/>
          <w:lang w:eastAsia="x-none"/>
        </w:rPr>
        <w:t xml:space="preserve">was commissioned </w:t>
      </w:r>
    </w:p>
    <w:p w14:paraId="042CCFBA" w14:textId="4BE80A96" w:rsidR="00675DCB" w:rsidRPr="000A70DF" w:rsidRDefault="00B334DC" w:rsidP="00675DCB">
      <w:pPr>
        <w:pStyle w:val="NumberedParagraphs-MOH"/>
        <w:ind w:left="567" w:hanging="567"/>
      </w:pPr>
      <w:r w:rsidRPr="000A70DF">
        <w:t>In a</w:t>
      </w:r>
      <w:r w:rsidR="00FF55A9" w:rsidRPr="000A70DF">
        <w:t>cknowledging th</w:t>
      </w:r>
      <w:r w:rsidRPr="000A70DF">
        <w:t xml:space="preserve">at </w:t>
      </w:r>
      <w:r w:rsidR="00FF55A9" w:rsidRPr="000A70DF">
        <w:t xml:space="preserve">proposed changes to the Omicron </w:t>
      </w:r>
      <w:r w:rsidR="00556CD7" w:rsidRPr="000A70DF">
        <w:t xml:space="preserve">public health </w:t>
      </w:r>
      <w:r w:rsidR="00FF55A9" w:rsidRPr="000A70DF">
        <w:t>strategy</w:t>
      </w:r>
      <w:r w:rsidRPr="000A70DF">
        <w:t xml:space="preserve"> would impact </w:t>
      </w:r>
      <w:r w:rsidR="004712F4" w:rsidRPr="000A70DF">
        <w:t>priority populations</w:t>
      </w:r>
      <w:r w:rsidR="00FF55A9" w:rsidRPr="000A70DF">
        <w:t xml:space="preserve">, </w:t>
      </w:r>
      <w:r w:rsidR="00675DCB" w:rsidRPr="000A70DF">
        <w:t>it was identified that a</w:t>
      </w:r>
      <w:r w:rsidR="003A5CFE" w:rsidRPr="000A70DF">
        <w:t>n</w:t>
      </w:r>
      <w:r w:rsidR="00675DCB" w:rsidRPr="000A70DF">
        <w:t xml:space="preserve"> </w:t>
      </w:r>
      <w:r w:rsidR="00B61072" w:rsidRPr="000A70DF">
        <w:t>EIA</w:t>
      </w:r>
      <w:r w:rsidR="00675DCB" w:rsidRPr="000A70DF">
        <w:t xml:space="preserve"> was necessary to identify potential inequities</w:t>
      </w:r>
      <w:r w:rsidR="00983A53" w:rsidRPr="000A70DF">
        <w:t>,</w:t>
      </w:r>
      <w:r w:rsidR="00675DCB" w:rsidRPr="000A70DF">
        <w:t xml:space="preserve"> and opportunities and solutions for mitigating the</w:t>
      </w:r>
      <w:r w:rsidR="00983A53" w:rsidRPr="000A70DF">
        <w:t>se inequities</w:t>
      </w:r>
      <w:r w:rsidR="004823DF" w:rsidRPr="000A70DF">
        <w:t xml:space="preserve"> in the development of the strategy</w:t>
      </w:r>
      <w:r w:rsidR="00CE1292" w:rsidRPr="000A70DF">
        <w:t xml:space="preserve"> and its implementation</w:t>
      </w:r>
      <w:r w:rsidR="00675DCB" w:rsidRPr="000A70DF">
        <w:t xml:space="preserve">. </w:t>
      </w:r>
    </w:p>
    <w:p w14:paraId="732C2446" w14:textId="126DCA4E" w:rsidR="002468B8" w:rsidRPr="000A70DF" w:rsidRDefault="00675DCB" w:rsidP="00043C1F">
      <w:pPr>
        <w:pStyle w:val="NumberedParagraphs-MOH"/>
        <w:ind w:left="567" w:hanging="567"/>
      </w:pPr>
      <w:r w:rsidRPr="000A70DF">
        <w:t xml:space="preserve">On 14 January 2022, the then </w:t>
      </w:r>
      <w:r w:rsidR="008B02D2" w:rsidRPr="000A70DF">
        <w:t>Deputy Chief Executive, COVID-19 Health System Response,</w:t>
      </w:r>
      <w:r w:rsidR="00983A53" w:rsidRPr="000A70DF">
        <w:t xml:space="preserve"> </w:t>
      </w:r>
      <w:r w:rsidRPr="000A70DF">
        <w:t xml:space="preserve">Bridget White commissioned </w:t>
      </w:r>
      <w:r w:rsidR="008B02D2" w:rsidRPr="000A70DF">
        <w:t>an</w:t>
      </w:r>
      <w:r w:rsidRPr="000A70DF">
        <w:t xml:space="preserve"> </w:t>
      </w:r>
      <w:r w:rsidR="008B02D2" w:rsidRPr="000A70DF">
        <w:t>EIA</w:t>
      </w:r>
      <w:r w:rsidR="004B3626" w:rsidRPr="000A70DF">
        <w:t xml:space="preserve"> on the Om</w:t>
      </w:r>
      <w:r w:rsidR="00CD41BF" w:rsidRPr="000A70DF">
        <w:t xml:space="preserve">icron </w:t>
      </w:r>
      <w:r w:rsidR="00556CD7" w:rsidRPr="000A70DF">
        <w:t xml:space="preserve">public health </w:t>
      </w:r>
      <w:r w:rsidR="00CD41BF" w:rsidRPr="000A70DF">
        <w:t>strategy</w:t>
      </w:r>
      <w:r w:rsidRPr="000A70DF">
        <w:t xml:space="preserve"> to be undertaken. </w:t>
      </w:r>
    </w:p>
    <w:p w14:paraId="18F6D9AC" w14:textId="51094BF6" w:rsidR="00736857" w:rsidRPr="000A70DF" w:rsidRDefault="00736857" w:rsidP="00736857">
      <w:pPr>
        <w:pStyle w:val="NumberedParagraphs-MOH"/>
        <w:numPr>
          <w:ilvl w:val="0"/>
          <w:numId w:val="0"/>
        </w:numPr>
      </w:pPr>
    </w:p>
    <w:p w14:paraId="49E16E5E" w14:textId="77777777" w:rsidR="00736857" w:rsidRPr="000A70DF" w:rsidRDefault="00736857" w:rsidP="00736857">
      <w:pPr>
        <w:pStyle w:val="NumberedParagraphs-MOH"/>
        <w:numPr>
          <w:ilvl w:val="0"/>
          <w:numId w:val="0"/>
        </w:numPr>
      </w:pPr>
    </w:p>
    <w:p w14:paraId="3F21662E" w14:textId="77777777" w:rsidR="002468B8" w:rsidRPr="000A70DF" w:rsidRDefault="002468B8" w:rsidP="002468B8">
      <w:pPr>
        <w:pStyle w:val="NumberedParagraphs-MOH"/>
        <w:numPr>
          <w:ilvl w:val="0"/>
          <w:numId w:val="0"/>
        </w:numPr>
        <w:ind w:left="851" w:hanging="851"/>
        <w:rPr>
          <w:i/>
          <w:iCs/>
        </w:rPr>
      </w:pPr>
      <w:r w:rsidRPr="000A70DF">
        <w:rPr>
          <w:i/>
          <w:iCs/>
        </w:rPr>
        <w:lastRenderedPageBreak/>
        <w:t>COVID-19 impacts on health equity for priority populations</w:t>
      </w:r>
    </w:p>
    <w:p w14:paraId="7F59D922" w14:textId="77777777" w:rsidR="002468B8" w:rsidRPr="000A70DF" w:rsidRDefault="002468B8" w:rsidP="002468B8">
      <w:pPr>
        <w:pStyle w:val="NumberedParagraphs-MOH"/>
        <w:ind w:left="567" w:hanging="567"/>
      </w:pPr>
      <w:r w:rsidRPr="000A70DF">
        <w:t>The Ministry defines equity as:</w:t>
      </w:r>
    </w:p>
    <w:p w14:paraId="34EBF92B" w14:textId="29A324C8" w:rsidR="002468B8" w:rsidRPr="000A70DF" w:rsidRDefault="007915B2" w:rsidP="00C52388">
      <w:pPr>
        <w:pStyle w:val="NumberedParagraphs-MOH"/>
        <w:numPr>
          <w:ilvl w:val="0"/>
          <w:numId w:val="0"/>
        </w:numPr>
        <w:ind w:left="567"/>
      </w:pPr>
      <w:r w:rsidRPr="000A70DF">
        <w:t>‘</w:t>
      </w:r>
      <w:r w:rsidR="002468B8" w:rsidRPr="000A70DF">
        <w:t>In Aotearoa New Zealand, people have differences in health that are not only avoidable but unfair and unjust. Equity recognises different people with different levels of advantage require different approaches and resources to get equitable health outcomes.</w:t>
      </w:r>
      <w:r w:rsidRPr="000A70DF">
        <w:t>’</w:t>
      </w:r>
    </w:p>
    <w:p w14:paraId="638A92AF" w14:textId="48A9D7B6" w:rsidR="00624A92" w:rsidRPr="003C1E9B" w:rsidRDefault="008C47E6" w:rsidP="00DF1EE5">
      <w:pPr>
        <w:pStyle w:val="NumberedParagraphs-MOH"/>
        <w:ind w:left="567" w:hanging="567"/>
      </w:pPr>
      <w:r w:rsidRPr="003C1E9B">
        <w:t xml:space="preserve">Health inequities arise from and are maintained by </w:t>
      </w:r>
      <w:r w:rsidR="00486E0C">
        <w:t>the unequal distribution of</w:t>
      </w:r>
      <w:r w:rsidR="00F00CBD">
        <w:t xml:space="preserve"> the</w:t>
      </w:r>
      <w:r w:rsidRPr="003C1E9B">
        <w:t xml:space="preserve"> determinants of health such as income, employment, housing availability and conditions, access to appropriate health care and provision of social support. </w:t>
      </w:r>
      <w:r w:rsidR="00CF4D38">
        <w:t xml:space="preserve">This unequal distribution </w:t>
      </w:r>
      <w:r w:rsidR="00DC06F0">
        <w:t xml:space="preserve">occurs through </w:t>
      </w:r>
      <w:r w:rsidRPr="003C1E9B">
        <w:t>privileg</w:t>
      </w:r>
      <w:r w:rsidR="00DC06F0">
        <w:t>ing</w:t>
      </w:r>
      <w:r w:rsidRPr="003C1E9B">
        <w:t xml:space="preserve"> some people or groups over others because of socially constructed factors such as ethnicity, class, gender, or ableism. </w:t>
      </w:r>
    </w:p>
    <w:p w14:paraId="664E8051" w14:textId="7590AB41" w:rsidR="008C47E6" w:rsidRPr="003C1E9B" w:rsidRDefault="008C47E6" w:rsidP="00DF1EE5">
      <w:pPr>
        <w:pStyle w:val="NumberedParagraphs-MOH"/>
        <w:ind w:left="567" w:hanging="567"/>
      </w:pPr>
      <w:r w:rsidRPr="003C1E9B">
        <w:t xml:space="preserve">The intersectional impact of several </w:t>
      </w:r>
      <w:r w:rsidR="00082DF0" w:rsidRPr="003C1E9B">
        <w:t>cons</w:t>
      </w:r>
      <w:r w:rsidR="00037A5E" w:rsidRPr="003C1E9B">
        <w:t>tructed</w:t>
      </w:r>
      <w:r w:rsidRPr="003C1E9B">
        <w:t xml:space="preserve"> factors being present in the life of a person, </w:t>
      </w:r>
      <w:proofErr w:type="spellStart"/>
      <w:r w:rsidRPr="003C1E9B">
        <w:t>whānau</w:t>
      </w:r>
      <w:proofErr w:type="spellEnd"/>
      <w:r w:rsidRPr="003C1E9B">
        <w:t xml:space="preserve"> or community often result in </w:t>
      </w:r>
      <w:r w:rsidR="001B2269">
        <w:t>poorer</w:t>
      </w:r>
      <w:r w:rsidRPr="003C1E9B">
        <w:t xml:space="preserve"> health outcomes.  For example, a person who identifies as Māori, Pacific Peoples, disabled or is experiencing mental health distress and/or addiction often has poorer health outcomes than non-Māori non-Pacific due to this intersectional effect.  The COVID-19 pandemic has exacerbated these existing inequities and intersectional barriers for people already under-served by the health system.</w:t>
      </w:r>
    </w:p>
    <w:p w14:paraId="33449126" w14:textId="1EACB1FB" w:rsidR="00675DCB" w:rsidRPr="003C1E9B" w:rsidRDefault="00992D69" w:rsidP="0007583E">
      <w:pPr>
        <w:suppressAutoHyphens/>
        <w:autoSpaceDE w:val="0"/>
        <w:autoSpaceDN w:val="0"/>
        <w:adjustRightInd w:val="0"/>
        <w:spacing w:before="120" w:after="120"/>
        <w:textAlignment w:val="center"/>
        <w:outlineLvl w:val="3"/>
        <w:rPr>
          <w:rFonts w:ascii="Segoe UI" w:eastAsiaTheme="majorEastAsia" w:hAnsi="Segoe UI" w:cs="Segoe UI"/>
          <w:bCs/>
          <w:i/>
          <w:sz w:val="22"/>
          <w:szCs w:val="22"/>
          <w:lang w:eastAsia="x-none"/>
        </w:rPr>
      </w:pPr>
      <w:r w:rsidRPr="000A70DF">
        <w:rPr>
          <w:rFonts w:ascii="Segoe UI" w:eastAsiaTheme="majorEastAsia" w:hAnsi="Segoe UI" w:cs="Segoe UI"/>
          <w:bCs/>
          <w:i/>
          <w:sz w:val="22"/>
          <w:szCs w:val="22"/>
          <w:lang w:eastAsia="x-none"/>
        </w:rPr>
        <w:t xml:space="preserve">The Omicron </w:t>
      </w:r>
      <w:r w:rsidR="00712492">
        <w:rPr>
          <w:rFonts w:ascii="Segoe UI" w:eastAsiaTheme="majorEastAsia" w:hAnsi="Segoe UI" w:cs="Segoe UI"/>
          <w:bCs/>
          <w:i/>
          <w:sz w:val="22"/>
          <w:szCs w:val="22"/>
          <w:lang w:eastAsia="x-none"/>
        </w:rPr>
        <w:t xml:space="preserve">public health </w:t>
      </w:r>
      <w:r w:rsidR="00F90BB1" w:rsidRPr="003C1E9B">
        <w:rPr>
          <w:rFonts w:ascii="Segoe UI" w:eastAsiaTheme="majorEastAsia" w:hAnsi="Segoe UI" w:cs="Segoe UI"/>
          <w:bCs/>
          <w:i/>
          <w:sz w:val="22"/>
          <w:szCs w:val="22"/>
          <w:lang w:eastAsia="x-none"/>
        </w:rPr>
        <w:t xml:space="preserve">strategy </w:t>
      </w:r>
      <w:r w:rsidR="00D61E24" w:rsidRPr="003C1E9B">
        <w:rPr>
          <w:rFonts w:ascii="Segoe UI" w:eastAsiaTheme="majorEastAsia" w:hAnsi="Segoe UI" w:cs="Segoe UI"/>
          <w:bCs/>
          <w:i/>
          <w:sz w:val="22"/>
          <w:szCs w:val="22"/>
          <w:lang w:eastAsia="x-none"/>
        </w:rPr>
        <w:t>needed to be</w:t>
      </w:r>
      <w:r w:rsidRPr="003C1E9B">
        <w:rPr>
          <w:rFonts w:ascii="Segoe UI" w:eastAsiaTheme="majorEastAsia" w:hAnsi="Segoe UI" w:cs="Segoe UI"/>
          <w:bCs/>
          <w:i/>
          <w:sz w:val="22"/>
          <w:szCs w:val="22"/>
          <w:lang w:eastAsia="x-none"/>
        </w:rPr>
        <w:t xml:space="preserve"> developed at pace, leaving little time to complete </w:t>
      </w:r>
      <w:r w:rsidR="00A60A03" w:rsidRPr="003C1E9B">
        <w:rPr>
          <w:rFonts w:ascii="Segoe UI" w:eastAsiaTheme="majorEastAsia" w:hAnsi="Segoe UI" w:cs="Segoe UI"/>
          <w:bCs/>
          <w:i/>
          <w:sz w:val="22"/>
          <w:szCs w:val="22"/>
          <w:lang w:eastAsia="x-none"/>
        </w:rPr>
        <w:t xml:space="preserve">an EIA before </w:t>
      </w:r>
      <w:r w:rsidR="00F90BB1" w:rsidRPr="003C1E9B">
        <w:rPr>
          <w:rFonts w:ascii="Segoe UI" w:eastAsiaTheme="majorEastAsia" w:hAnsi="Segoe UI" w:cs="Segoe UI"/>
          <w:bCs/>
          <w:i/>
          <w:sz w:val="22"/>
          <w:szCs w:val="22"/>
          <w:lang w:eastAsia="x-none"/>
        </w:rPr>
        <w:t>the strategy was implemented</w:t>
      </w:r>
      <w:r w:rsidR="00CF23D1" w:rsidRPr="003C1E9B">
        <w:rPr>
          <w:rFonts w:ascii="Segoe UI" w:eastAsiaTheme="majorEastAsia" w:hAnsi="Segoe UI" w:cs="Segoe UI"/>
          <w:bCs/>
          <w:i/>
          <w:sz w:val="22"/>
          <w:szCs w:val="22"/>
          <w:lang w:eastAsia="x-none"/>
        </w:rPr>
        <w:t xml:space="preserve"> </w:t>
      </w:r>
    </w:p>
    <w:p w14:paraId="3A153670" w14:textId="089DA04C" w:rsidR="006808F0" w:rsidRPr="003C1E9B" w:rsidRDefault="00F17A34" w:rsidP="00F17A34">
      <w:pPr>
        <w:pStyle w:val="NumberedParagraphs-MOH"/>
        <w:ind w:left="567" w:hanging="567"/>
      </w:pPr>
      <w:r w:rsidRPr="003C1E9B">
        <w:t xml:space="preserve">The first case of community transmission of the Omicron variant was identified on 18 January 2022. </w:t>
      </w:r>
      <w:r w:rsidR="006808F0" w:rsidRPr="003C1E9B">
        <w:t xml:space="preserve">In order to respond </w:t>
      </w:r>
      <w:r w:rsidR="00386005" w:rsidRPr="003C1E9B">
        <w:t>at pace</w:t>
      </w:r>
      <w:r w:rsidR="006808F0" w:rsidRPr="003C1E9B">
        <w:t xml:space="preserve">, particularly to deliver on one of the strategy’s main objectives to minimise harm to vulnerable communities, the </w:t>
      </w:r>
      <w:r w:rsidR="004D278F" w:rsidRPr="003C1E9B">
        <w:t>Ministry</w:t>
      </w:r>
      <w:r w:rsidR="00386005" w:rsidRPr="003C1E9B">
        <w:t xml:space="preserve"> rapidly</w:t>
      </w:r>
      <w:r w:rsidR="004D278F" w:rsidRPr="003C1E9B">
        <w:t xml:space="preserve"> finalised </w:t>
      </w:r>
      <w:r w:rsidRPr="003C1E9B">
        <w:t xml:space="preserve">its </w:t>
      </w:r>
      <w:r w:rsidR="006808F0" w:rsidRPr="003C1E9B">
        <w:t xml:space="preserve">strategy </w:t>
      </w:r>
      <w:r w:rsidR="00386005" w:rsidRPr="003C1E9B">
        <w:t>a</w:t>
      </w:r>
      <w:r w:rsidR="006808F0" w:rsidRPr="003C1E9B">
        <w:t xml:space="preserve">nd </w:t>
      </w:r>
      <w:r w:rsidR="004D278F" w:rsidRPr="003C1E9B">
        <w:t xml:space="preserve">it was </w:t>
      </w:r>
      <w:r w:rsidR="00B61072" w:rsidRPr="003C1E9B">
        <w:t xml:space="preserve">publicly </w:t>
      </w:r>
      <w:r w:rsidR="006808F0" w:rsidRPr="003C1E9B">
        <w:t>announced on 26 January 2022.</w:t>
      </w:r>
    </w:p>
    <w:p w14:paraId="3C9E415B" w14:textId="284B6EBE" w:rsidR="00F17A34" w:rsidRPr="003C1E9B" w:rsidRDefault="00F17A34" w:rsidP="00F17A34">
      <w:pPr>
        <w:pStyle w:val="NumberedParagraphs-MOH"/>
        <w:ind w:left="567" w:hanging="567"/>
      </w:pPr>
      <w:r w:rsidRPr="003C1E9B">
        <w:t xml:space="preserve">Although the Ministry had intended for the EIA to inform the development of the strategy, officials had very limited time to develop the strategy itself, as well as conduct the EIA in a robust and meaningful way before it was required to stand up the </w:t>
      </w:r>
      <w:r w:rsidR="00F90BB1" w:rsidRPr="003C1E9B">
        <w:t>new strategy</w:t>
      </w:r>
      <w:r w:rsidRPr="003C1E9B">
        <w:t xml:space="preserve">. </w:t>
      </w:r>
    </w:p>
    <w:p w14:paraId="54B38685" w14:textId="6B2FB6DA" w:rsidR="00514840" w:rsidRPr="003C1E9B" w:rsidRDefault="00F17A34" w:rsidP="00127233">
      <w:pPr>
        <w:pStyle w:val="NumberedParagraphs-MOH"/>
        <w:ind w:left="567" w:hanging="567"/>
      </w:pPr>
      <w:r w:rsidRPr="003C1E9B">
        <w:t>In</w:t>
      </w:r>
      <w:r w:rsidR="006E44E0" w:rsidRPr="003C1E9B">
        <w:t xml:space="preserve"> acknowledging that the </w:t>
      </w:r>
      <w:r w:rsidR="00F90BB1" w:rsidRPr="003C1E9B">
        <w:t xml:space="preserve">strategy </w:t>
      </w:r>
      <w:r w:rsidR="006E44E0" w:rsidRPr="003C1E9B">
        <w:t xml:space="preserve">would evolve over time, </w:t>
      </w:r>
      <w:r w:rsidR="0056764D" w:rsidRPr="003C1E9B">
        <w:t xml:space="preserve">and </w:t>
      </w:r>
      <w:r w:rsidR="00984740" w:rsidRPr="003C1E9B">
        <w:t>that learnings and feedback</w:t>
      </w:r>
      <w:r w:rsidR="002973BC" w:rsidRPr="003C1E9B">
        <w:t xml:space="preserve"> from communities </w:t>
      </w:r>
      <w:r w:rsidR="00984740" w:rsidRPr="003C1E9B">
        <w:t xml:space="preserve">was </w:t>
      </w:r>
      <w:r w:rsidR="00D23820" w:rsidRPr="003C1E9B">
        <w:t xml:space="preserve">important </w:t>
      </w:r>
      <w:r w:rsidR="00984740" w:rsidRPr="003C1E9B">
        <w:t>to this evolution</w:t>
      </w:r>
      <w:r w:rsidR="002973BC" w:rsidRPr="003C1E9B">
        <w:t xml:space="preserve">, </w:t>
      </w:r>
      <w:r w:rsidR="006E44E0" w:rsidRPr="003C1E9B">
        <w:t>t</w:t>
      </w:r>
      <w:r w:rsidR="005573D6" w:rsidRPr="003C1E9B">
        <w:t xml:space="preserve">he Ministry saw the opportunity to pivot the </w:t>
      </w:r>
      <w:r w:rsidR="006E44E0" w:rsidRPr="003C1E9B">
        <w:t>EIA from</w:t>
      </w:r>
      <w:r w:rsidR="0056764D" w:rsidRPr="003C1E9B">
        <w:t xml:space="preserve"> assessing </w:t>
      </w:r>
      <w:r w:rsidR="00D23820" w:rsidRPr="003C1E9B">
        <w:t>the developing</w:t>
      </w:r>
      <w:r w:rsidR="0056764D" w:rsidRPr="003C1E9B">
        <w:t xml:space="preserve"> strategy</w:t>
      </w:r>
      <w:r w:rsidR="005573D6" w:rsidRPr="003C1E9B">
        <w:t xml:space="preserve"> to one that informed decision making in real time through the early stages of </w:t>
      </w:r>
      <w:r w:rsidR="00712492">
        <w:t>its implementation</w:t>
      </w:r>
      <w:r w:rsidR="00B806B7" w:rsidRPr="003C1E9B">
        <w:t xml:space="preserve">. </w:t>
      </w:r>
    </w:p>
    <w:p w14:paraId="11C75413" w14:textId="19C54F8E" w:rsidR="005573D6" w:rsidRPr="003C1E9B" w:rsidRDefault="005573D6" w:rsidP="005573D6">
      <w:pPr>
        <w:keepNext/>
        <w:tabs>
          <w:tab w:val="left" w:pos="3945"/>
        </w:tabs>
        <w:spacing w:before="120" w:after="120"/>
        <w:jc w:val="both"/>
        <w:outlineLvl w:val="2"/>
        <w:rPr>
          <w:rFonts w:ascii="Segoe UI Semibold" w:eastAsiaTheme="majorEastAsia" w:hAnsi="Segoe UI Semibold" w:cs="Arial"/>
          <w:iCs/>
          <w:lang w:eastAsia="en-NZ"/>
        </w:rPr>
      </w:pPr>
      <w:r w:rsidRPr="003C1E9B">
        <w:rPr>
          <w:rFonts w:ascii="Segoe UI Semibold" w:eastAsiaTheme="majorEastAsia" w:hAnsi="Segoe UI Semibold" w:cs="Arial"/>
          <w:iCs/>
          <w:lang w:eastAsia="en-NZ"/>
        </w:rPr>
        <w:t xml:space="preserve">Equity </w:t>
      </w:r>
      <w:r w:rsidR="005E101C" w:rsidRPr="003C1E9B">
        <w:rPr>
          <w:rFonts w:ascii="Segoe UI Semibold" w:eastAsiaTheme="majorEastAsia" w:hAnsi="Segoe UI Semibold" w:cs="Arial"/>
          <w:iCs/>
          <w:lang w:eastAsia="en-NZ"/>
        </w:rPr>
        <w:t>I</w:t>
      </w:r>
      <w:r w:rsidRPr="003C1E9B">
        <w:rPr>
          <w:rFonts w:ascii="Segoe UI Semibold" w:eastAsiaTheme="majorEastAsia" w:hAnsi="Segoe UI Semibold" w:cs="Arial"/>
          <w:iCs/>
          <w:lang w:eastAsia="en-NZ"/>
        </w:rPr>
        <w:t xml:space="preserve">mpact </w:t>
      </w:r>
      <w:r w:rsidR="005E101C" w:rsidRPr="003C1E9B">
        <w:rPr>
          <w:rFonts w:ascii="Segoe UI Semibold" w:eastAsiaTheme="majorEastAsia" w:hAnsi="Segoe UI Semibold" w:cs="Arial"/>
          <w:iCs/>
          <w:lang w:eastAsia="en-NZ"/>
        </w:rPr>
        <w:t>A</w:t>
      </w:r>
      <w:r w:rsidRPr="003C1E9B">
        <w:rPr>
          <w:rFonts w:ascii="Segoe UI Semibold" w:eastAsiaTheme="majorEastAsia" w:hAnsi="Segoe UI Semibold" w:cs="Arial"/>
          <w:iCs/>
          <w:lang w:eastAsia="en-NZ"/>
        </w:rPr>
        <w:t>ssessment</w:t>
      </w:r>
      <w:r w:rsidR="007D2062" w:rsidRPr="003C1E9B">
        <w:rPr>
          <w:rFonts w:ascii="Segoe UI Semibold" w:eastAsiaTheme="majorEastAsia" w:hAnsi="Segoe UI Semibold" w:cs="Arial"/>
          <w:iCs/>
          <w:lang w:eastAsia="en-NZ"/>
        </w:rPr>
        <w:t xml:space="preserve"> on the Omicron</w:t>
      </w:r>
      <w:r w:rsidR="00712492">
        <w:rPr>
          <w:rFonts w:ascii="Segoe UI Semibold" w:eastAsiaTheme="majorEastAsia" w:hAnsi="Segoe UI Semibold" w:cs="Arial"/>
          <w:iCs/>
          <w:lang w:eastAsia="en-NZ"/>
        </w:rPr>
        <w:t xml:space="preserve"> public health</w:t>
      </w:r>
      <w:r w:rsidR="007D2062" w:rsidRPr="003C1E9B">
        <w:rPr>
          <w:rFonts w:ascii="Segoe UI Semibold" w:eastAsiaTheme="majorEastAsia" w:hAnsi="Segoe UI Semibold" w:cs="Arial"/>
          <w:iCs/>
          <w:lang w:eastAsia="en-NZ"/>
        </w:rPr>
        <w:t xml:space="preserve"> </w:t>
      </w:r>
      <w:r w:rsidR="00087C87">
        <w:rPr>
          <w:rFonts w:ascii="Segoe UI Semibold" w:eastAsiaTheme="majorEastAsia" w:hAnsi="Segoe UI Semibold" w:cs="Arial"/>
          <w:iCs/>
          <w:lang w:eastAsia="en-NZ"/>
        </w:rPr>
        <w:t>strategy</w:t>
      </w:r>
      <w:r w:rsidRPr="003C1E9B">
        <w:rPr>
          <w:rFonts w:ascii="Segoe UI Semibold" w:eastAsiaTheme="majorEastAsia" w:hAnsi="Segoe UI Semibold" w:cs="Arial"/>
          <w:iCs/>
          <w:lang w:eastAsia="en-NZ"/>
        </w:rPr>
        <w:t xml:space="preserve"> undertaken by the Ministry </w:t>
      </w:r>
    </w:p>
    <w:p w14:paraId="35F1A76D" w14:textId="540D49D9" w:rsidR="007D2062" w:rsidRPr="003C1E9B" w:rsidRDefault="007D2062" w:rsidP="004368F5">
      <w:pPr>
        <w:pStyle w:val="NumberedParagraphs-MOH"/>
        <w:numPr>
          <w:ilvl w:val="0"/>
          <w:numId w:val="0"/>
        </w:numPr>
        <w:ind w:left="851" w:hanging="851"/>
        <w:rPr>
          <w:i/>
          <w:iCs/>
        </w:rPr>
      </w:pPr>
      <w:r w:rsidRPr="003C1E9B">
        <w:rPr>
          <w:i/>
          <w:iCs/>
        </w:rPr>
        <w:t>The</w:t>
      </w:r>
      <w:r w:rsidR="005116E3" w:rsidRPr="003C1E9B">
        <w:rPr>
          <w:i/>
          <w:iCs/>
        </w:rPr>
        <w:t xml:space="preserve"> Ministry undertook a series of hui to inform the equity impact assessment</w:t>
      </w:r>
    </w:p>
    <w:p w14:paraId="6F292DB5" w14:textId="22A31D08" w:rsidR="005573D6" w:rsidRPr="003C1E9B" w:rsidRDefault="005573D6" w:rsidP="005573D6">
      <w:pPr>
        <w:pStyle w:val="NumberedParagraphs-MOH"/>
        <w:ind w:left="567" w:hanging="567"/>
      </w:pPr>
      <w:r w:rsidRPr="003C1E9B">
        <w:t xml:space="preserve">The </w:t>
      </w:r>
      <w:r w:rsidR="00127233" w:rsidRPr="003C1E9B">
        <w:t>EIA</w:t>
      </w:r>
      <w:r w:rsidRPr="003C1E9B">
        <w:t xml:space="preserve"> was </w:t>
      </w:r>
      <w:r w:rsidR="00127233" w:rsidRPr="003C1E9B">
        <w:t>led</w:t>
      </w:r>
      <w:r w:rsidRPr="003C1E9B">
        <w:t xml:space="preserve"> by the COVID-19 Equity team with significant </w:t>
      </w:r>
      <w:r w:rsidR="00127233" w:rsidRPr="003C1E9B">
        <w:t>input</w:t>
      </w:r>
      <w:r w:rsidRPr="003C1E9B">
        <w:t xml:space="preserve"> form the Mental Health and Addiction Directorate, Māori Health Directorate, Pacific Health team, </w:t>
      </w:r>
      <w:proofErr w:type="gramStart"/>
      <w:r w:rsidRPr="003C1E9B">
        <w:t>Science</w:t>
      </w:r>
      <w:proofErr w:type="gramEnd"/>
      <w:r w:rsidRPr="003C1E9B">
        <w:t xml:space="preserve"> and Insights group</w:t>
      </w:r>
      <w:r w:rsidR="00004987" w:rsidRPr="003C1E9B">
        <w:t xml:space="preserve"> as well as</w:t>
      </w:r>
      <w:r w:rsidRPr="003C1E9B">
        <w:t xml:space="preserve"> the wider COVID-19 directorate.</w:t>
      </w:r>
      <w:r w:rsidR="00675E4A" w:rsidRPr="003C1E9B">
        <w:t xml:space="preserve"> It was conducted over a three-week period between 20 January and 24 February 2022. </w:t>
      </w:r>
    </w:p>
    <w:p w14:paraId="1DD2DEAB" w14:textId="1F01411C" w:rsidR="00927DFA" w:rsidRPr="003C1E9B" w:rsidRDefault="005573D6" w:rsidP="005573D6">
      <w:pPr>
        <w:pStyle w:val="NumberedParagraphs-MOH"/>
        <w:ind w:left="567" w:hanging="567"/>
      </w:pPr>
      <w:r w:rsidRPr="003C1E9B">
        <w:t>To inform the assessment, a series of hui was</w:t>
      </w:r>
      <w:r w:rsidR="004D021C" w:rsidRPr="003C1E9B">
        <w:t xml:space="preserve"> undertaken with a wide range of </w:t>
      </w:r>
      <w:r w:rsidR="00C52F05" w:rsidRPr="003C1E9B">
        <w:t>groups working directly with and supporting priority population</w:t>
      </w:r>
      <w:r w:rsidR="00927DFA" w:rsidRPr="003C1E9B">
        <w:t>s</w:t>
      </w:r>
      <w:r w:rsidR="00C52F05" w:rsidRPr="003C1E9B">
        <w:t xml:space="preserve"> in the ongoing COVID-19 response. Groups included community </w:t>
      </w:r>
      <w:r w:rsidR="004E7A83" w:rsidRPr="003C1E9B">
        <w:t xml:space="preserve">stakeholders, </w:t>
      </w:r>
      <w:proofErr w:type="spellStart"/>
      <w:r w:rsidR="004E7A83" w:rsidRPr="003C1E9B">
        <w:t>Tiriti</w:t>
      </w:r>
      <w:proofErr w:type="spellEnd"/>
      <w:r w:rsidR="004E7A83" w:rsidRPr="003C1E9B">
        <w:t xml:space="preserve"> o Waitangi partners, Pacific health leaders, clinicians, District Health Board (DHB) </w:t>
      </w:r>
      <w:proofErr w:type="spellStart"/>
      <w:r w:rsidR="004E7A83" w:rsidRPr="003C1E9B">
        <w:t>kaimahi</w:t>
      </w:r>
      <w:proofErr w:type="spellEnd"/>
      <w:r w:rsidR="004E7A83" w:rsidRPr="003C1E9B">
        <w:t>, Māori nurses</w:t>
      </w:r>
      <w:r w:rsidR="00A97AE4" w:rsidRPr="003C1E9B">
        <w:t xml:space="preserve">, and lived experience groups including disabled people and their carers’, </w:t>
      </w:r>
      <w:r w:rsidR="00AB0239" w:rsidRPr="003C1E9B">
        <w:t xml:space="preserve">individuals </w:t>
      </w:r>
      <w:r w:rsidR="00755031">
        <w:t>with experience of</w:t>
      </w:r>
      <w:r w:rsidR="00B47676" w:rsidRPr="003C1E9B">
        <w:t xml:space="preserve"> mental health distress and/or addiction</w:t>
      </w:r>
      <w:r w:rsidR="00421451" w:rsidRPr="003C1E9B">
        <w:t xml:space="preserve">, their </w:t>
      </w:r>
      <w:proofErr w:type="spellStart"/>
      <w:r w:rsidR="00421451" w:rsidRPr="003C1E9B">
        <w:t>wh</w:t>
      </w:r>
      <w:proofErr w:type="spellEnd"/>
      <w:r w:rsidR="007C63EC" w:rsidRPr="003C1E9B">
        <w:rPr>
          <w:lang w:val="mi-NZ"/>
        </w:rPr>
        <w:t>ā</w:t>
      </w:r>
      <w:proofErr w:type="spellStart"/>
      <w:r w:rsidR="00421451" w:rsidRPr="003C1E9B">
        <w:t>nau</w:t>
      </w:r>
      <w:proofErr w:type="spellEnd"/>
      <w:r w:rsidR="00421451" w:rsidRPr="003C1E9B">
        <w:t>,</w:t>
      </w:r>
      <w:r w:rsidR="00A97AE4" w:rsidRPr="003C1E9B">
        <w:t xml:space="preserve"> and support workers. A </w:t>
      </w:r>
      <w:r w:rsidR="00011314" w:rsidRPr="003C1E9B">
        <w:t xml:space="preserve">full list of those engaged with is provided in </w:t>
      </w:r>
      <w:r w:rsidR="00011314" w:rsidRPr="003C1E9B">
        <w:rPr>
          <w:b/>
          <w:bCs/>
        </w:rPr>
        <w:t>Appendix 1</w:t>
      </w:r>
      <w:r w:rsidR="00011314" w:rsidRPr="003C1E9B">
        <w:t xml:space="preserve">. </w:t>
      </w:r>
    </w:p>
    <w:p w14:paraId="2C14419C" w14:textId="67A62859" w:rsidR="004D021C" w:rsidRPr="003C1E9B" w:rsidRDefault="4CCE9381" w:rsidP="005573D6">
      <w:pPr>
        <w:pStyle w:val="NumberedParagraphs-MOH"/>
        <w:ind w:left="567" w:hanging="567"/>
      </w:pPr>
      <w:r>
        <w:lastRenderedPageBreak/>
        <w:t>The</w:t>
      </w:r>
      <w:r w:rsidR="49E5B7F7">
        <w:t xml:space="preserve"> purpose of the hui </w:t>
      </w:r>
      <w:r w:rsidR="3FC17475">
        <w:t>was</w:t>
      </w:r>
      <w:r w:rsidR="49E5B7F7">
        <w:t xml:space="preserve"> </w:t>
      </w:r>
      <w:r w:rsidR="24EA79DA">
        <w:t xml:space="preserve">to </w:t>
      </w:r>
      <w:r w:rsidR="569CC9FC">
        <w:t xml:space="preserve">identify </w:t>
      </w:r>
      <w:r w:rsidR="48EB4C54">
        <w:t xml:space="preserve">equity impacts across key areas of </w:t>
      </w:r>
      <w:r w:rsidR="77440947">
        <w:t xml:space="preserve">phase two and three of the </w:t>
      </w:r>
      <w:r w:rsidR="3E77642D">
        <w:t>strategy</w:t>
      </w:r>
      <w:r w:rsidR="73313537">
        <w:t xml:space="preserve"> (where the bulk of the operational changes would kick in) and</w:t>
      </w:r>
      <w:r w:rsidR="48EB4C54">
        <w:t xml:space="preserve"> identify possible actions and opportunities to mitigating these impacts.  </w:t>
      </w:r>
    </w:p>
    <w:p w14:paraId="64CFA505" w14:textId="4717B22B" w:rsidR="004D021C" w:rsidRPr="003C1E9B" w:rsidRDefault="0061563D" w:rsidP="005573D6">
      <w:pPr>
        <w:pStyle w:val="NumberedParagraphs-MOH"/>
        <w:ind w:left="567" w:hanging="567"/>
      </w:pPr>
      <w:r w:rsidRPr="003C1E9B">
        <w:t xml:space="preserve">To guide the hui, </w:t>
      </w:r>
      <w:r w:rsidR="00964992" w:rsidRPr="003C1E9B">
        <w:t xml:space="preserve">assumptions on how the Omicron outbreak was likely </w:t>
      </w:r>
      <w:r w:rsidR="00454A0A" w:rsidRPr="003C1E9B">
        <w:t xml:space="preserve">to track </w:t>
      </w:r>
      <w:r w:rsidR="0034700F" w:rsidRPr="003C1E9B">
        <w:t>were</w:t>
      </w:r>
      <w:r w:rsidR="00454A0A" w:rsidRPr="003C1E9B">
        <w:t xml:space="preserve"> presented</w:t>
      </w:r>
      <w:r w:rsidR="002B2F2E" w:rsidRPr="003C1E9B">
        <w:t>,</w:t>
      </w:r>
      <w:r w:rsidR="00CF59A9" w:rsidRPr="003C1E9B">
        <w:t xml:space="preserve"> </w:t>
      </w:r>
      <w:r w:rsidR="002B2F2E" w:rsidRPr="003C1E9B">
        <w:t xml:space="preserve">along with identified priority populations, and detailed </w:t>
      </w:r>
      <w:r w:rsidR="00454A0A" w:rsidRPr="003C1E9B">
        <w:t xml:space="preserve">information on the strategy </w:t>
      </w:r>
      <w:r w:rsidR="009D4E20" w:rsidRPr="003C1E9B">
        <w:t>and its operation</w:t>
      </w:r>
      <w:r w:rsidR="00CA56BB" w:rsidRPr="003C1E9B">
        <w:t>s across testing, case investigation and contact tracing, isolation and quarantine</w:t>
      </w:r>
      <w:r w:rsidR="00917BC7" w:rsidRPr="003C1E9B">
        <w:t>,</w:t>
      </w:r>
      <w:r w:rsidR="00CA56BB" w:rsidRPr="003C1E9B">
        <w:t xml:space="preserve"> and </w:t>
      </w:r>
      <w:r w:rsidR="00917BC7" w:rsidRPr="003C1E9B">
        <w:t>C</w:t>
      </w:r>
      <w:r w:rsidR="00CA56BB" w:rsidRPr="003C1E9B">
        <w:t xml:space="preserve">are in the </w:t>
      </w:r>
      <w:r w:rsidR="00917BC7" w:rsidRPr="003C1E9B">
        <w:t>C</w:t>
      </w:r>
      <w:r w:rsidR="00CA56BB" w:rsidRPr="003C1E9B">
        <w:t xml:space="preserve">ommunity. </w:t>
      </w:r>
      <w:r w:rsidR="00CF59A9" w:rsidRPr="003C1E9B">
        <w:t xml:space="preserve">Our </w:t>
      </w:r>
      <w:proofErr w:type="spellStart"/>
      <w:r w:rsidR="00CF59A9" w:rsidRPr="003C1E9B">
        <w:t>Te</w:t>
      </w:r>
      <w:proofErr w:type="spellEnd"/>
      <w:r w:rsidR="00CF59A9" w:rsidRPr="003C1E9B">
        <w:t xml:space="preserve"> </w:t>
      </w:r>
      <w:proofErr w:type="spellStart"/>
      <w:r w:rsidR="00CF59A9" w:rsidRPr="003C1E9B">
        <w:t>Tiriti</w:t>
      </w:r>
      <w:proofErr w:type="spellEnd"/>
      <w:r w:rsidR="00CF59A9" w:rsidRPr="003C1E9B">
        <w:t xml:space="preserve"> o Waitangi obligations and key aspects of the COVID-19 Māori Protection Plan (set up to guide health and disability system actions for Māori through the COVID-19 response)</w:t>
      </w:r>
      <w:r w:rsidR="004119D1" w:rsidRPr="003C1E9B">
        <w:t xml:space="preserve"> were also presented</w:t>
      </w:r>
      <w:r w:rsidR="007915B2" w:rsidRPr="003C1E9B">
        <w:t>.</w:t>
      </w:r>
      <w:r w:rsidR="000375BA" w:rsidRPr="003C1E9B">
        <w:t xml:space="preserve"> </w:t>
      </w:r>
    </w:p>
    <w:p w14:paraId="3EE44A2B" w14:textId="7C7F48BF" w:rsidR="006C273A" w:rsidRPr="003C1E9B" w:rsidRDefault="006C273A" w:rsidP="006C273A">
      <w:pPr>
        <w:pStyle w:val="NumberedParagraphs-MOH"/>
        <w:numPr>
          <w:ilvl w:val="0"/>
          <w:numId w:val="0"/>
        </w:numPr>
        <w:ind w:left="851" w:hanging="851"/>
      </w:pPr>
      <w:r w:rsidRPr="003C1E9B">
        <w:rPr>
          <w:i/>
          <w:iCs/>
        </w:rPr>
        <w:t xml:space="preserve">Feedback from the hui covered equity issues relating to the wider COVID-19 response </w:t>
      </w:r>
    </w:p>
    <w:p w14:paraId="0F7C5F61" w14:textId="201E9BDD" w:rsidR="002468B8" w:rsidRPr="003C1E9B" w:rsidRDefault="002468B8" w:rsidP="00B8408C">
      <w:pPr>
        <w:pStyle w:val="NumberedParagraphs-MOH"/>
        <w:ind w:left="567" w:hanging="567"/>
      </w:pPr>
      <w:r w:rsidRPr="003C1E9B">
        <w:t xml:space="preserve">While the approach to the EIA was intended to focus </w:t>
      </w:r>
      <w:r w:rsidR="00816140">
        <w:t xml:space="preserve">only </w:t>
      </w:r>
      <w:r w:rsidRPr="003C1E9B">
        <w:t xml:space="preserve">on equity impacts of the Omicron </w:t>
      </w:r>
      <w:r w:rsidR="00556CD7" w:rsidRPr="003C1E9B">
        <w:t xml:space="preserve">public health </w:t>
      </w:r>
      <w:r w:rsidRPr="003C1E9B">
        <w:t xml:space="preserve">strategy, the actual assessment undertaken captured feedback on equity issues covering the broader COVID-19 response. This was largely due to the strategy being </w:t>
      </w:r>
      <w:r w:rsidR="00F90BB1" w:rsidRPr="003C1E9B">
        <w:t xml:space="preserve">developed and </w:t>
      </w:r>
      <w:r w:rsidRPr="003C1E9B">
        <w:t>implemented at pace and therefore</w:t>
      </w:r>
      <w:r w:rsidR="00F90BB1" w:rsidRPr="003C1E9B">
        <w:t xml:space="preserve"> not allowing officials time to engage in detailed discussions with communities</w:t>
      </w:r>
      <w:r w:rsidR="00B8408C" w:rsidRPr="003C1E9B">
        <w:t>. Further,</w:t>
      </w:r>
      <w:r w:rsidR="009B546D" w:rsidRPr="003C1E9B">
        <w:t xml:space="preserve"> those engaged with were concerned with and eager to articulate immediate issues regarding their ongoing response to the Delta outbreak </w:t>
      </w:r>
      <w:r w:rsidR="00515A6B">
        <w:t>while fa</w:t>
      </w:r>
      <w:r w:rsidR="00963882">
        <w:t>cing</w:t>
      </w:r>
      <w:r w:rsidR="009B546D" w:rsidRPr="003C1E9B">
        <w:t xml:space="preserve"> significant workforce pressures, funding uncertainties, and</w:t>
      </w:r>
      <w:r w:rsidR="00CD7F81">
        <w:t xml:space="preserve"> </w:t>
      </w:r>
      <w:r w:rsidR="009B546D" w:rsidRPr="003C1E9B">
        <w:t>newly established Care in the Community Hubs</w:t>
      </w:r>
      <w:r w:rsidRPr="003C1E9B">
        <w:t xml:space="preserve">. </w:t>
      </w:r>
    </w:p>
    <w:p w14:paraId="3E7047D1" w14:textId="4715F81E" w:rsidR="006C273A" w:rsidRPr="003C1E9B" w:rsidRDefault="006C273A" w:rsidP="006C273A">
      <w:pPr>
        <w:pStyle w:val="NumberedParagraphs-MOH"/>
        <w:numPr>
          <w:ilvl w:val="0"/>
          <w:numId w:val="0"/>
        </w:numPr>
        <w:rPr>
          <w:i/>
          <w:iCs/>
        </w:rPr>
      </w:pPr>
      <w:r w:rsidRPr="003C1E9B">
        <w:rPr>
          <w:i/>
          <w:iCs/>
        </w:rPr>
        <w:t xml:space="preserve">There were limitations in the Ministry’s ability to use the EIA to inform decision making during early implementation of the strategy </w:t>
      </w:r>
    </w:p>
    <w:p w14:paraId="49081B76" w14:textId="21EFCC07" w:rsidR="006C273A" w:rsidRPr="003C1E9B" w:rsidRDefault="006C273A" w:rsidP="006C273A">
      <w:pPr>
        <w:pStyle w:val="NumberedParagraphs-MOH"/>
        <w:ind w:left="567" w:hanging="567"/>
      </w:pPr>
      <w:r w:rsidRPr="003C1E9B">
        <w:t>The Ministry acknowledges that, despite the intent of the EIA and Ministry</w:t>
      </w:r>
      <w:r w:rsidR="00B8408C" w:rsidRPr="003C1E9B">
        <w:t>’s best</w:t>
      </w:r>
      <w:r w:rsidRPr="003C1E9B">
        <w:t xml:space="preserve"> efforts, there were limitations in its ability to use the EIA to inform decision-making on the response during its early implementation. </w:t>
      </w:r>
      <w:r w:rsidR="008F45E6" w:rsidRPr="003C1E9B">
        <w:t>This is discussed in more detail at the end of th</w:t>
      </w:r>
      <w:r w:rsidR="00B8408C" w:rsidRPr="003C1E9B">
        <w:t>is</w:t>
      </w:r>
      <w:r w:rsidR="008F45E6" w:rsidRPr="003C1E9B">
        <w:t xml:space="preserve"> report under ‘Ministry learnings’</w:t>
      </w:r>
      <w:r w:rsidR="00B8408C" w:rsidRPr="003C1E9B">
        <w:t>,</w:t>
      </w:r>
      <w:r w:rsidR="00AB229E" w:rsidRPr="003C1E9B">
        <w:t xml:space="preserve"> along with identified areas for Ministry improvement informed by the EIA</w:t>
      </w:r>
      <w:r w:rsidR="008F45E6" w:rsidRPr="003C1E9B">
        <w:t xml:space="preserve">. </w:t>
      </w:r>
    </w:p>
    <w:p w14:paraId="6A56B36D" w14:textId="7DFE7ED9" w:rsidR="006E57B1" w:rsidRPr="003C1E9B" w:rsidRDefault="007F7354" w:rsidP="008E262E">
      <w:pPr>
        <w:keepNext/>
        <w:spacing w:before="360" w:after="120" w:line="259" w:lineRule="auto"/>
        <w:jc w:val="both"/>
        <w:outlineLvl w:val="1"/>
        <w:rPr>
          <w:rFonts w:ascii="Segoe UI" w:eastAsiaTheme="majorEastAsia" w:hAnsi="Segoe UI" w:cs="Arial"/>
          <w:b/>
          <w:bCs/>
          <w:iCs/>
          <w:sz w:val="28"/>
          <w:szCs w:val="32"/>
          <w:lang w:eastAsia="en-NZ"/>
        </w:rPr>
      </w:pPr>
      <w:r w:rsidRPr="003C1E9B">
        <w:rPr>
          <w:rFonts w:ascii="Segoe UI" w:eastAsiaTheme="majorEastAsia" w:hAnsi="Segoe UI" w:cs="Arial"/>
          <w:b/>
          <w:bCs/>
          <w:iCs/>
          <w:sz w:val="28"/>
          <w:szCs w:val="32"/>
          <w:lang w:eastAsia="en-NZ"/>
        </w:rPr>
        <w:t xml:space="preserve">Equity Impact </w:t>
      </w:r>
      <w:r w:rsidR="008E262E" w:rsidRPr="003C1E9B">
        <w:rPr>
          <w:rFonts w:ascii="Segoe UI" w:eastAsiaTheme="majorEastAsia" w:hAnsi="Segoe UI" w:cs="Arial"/>
          <w:b/>
          <w:bCs/>
          <w:iCs/>
          <w:sz w:val="28"/>
          <w:szCs w:val="32"/>
          <w:lang w:eastAsia="en-NZ"/>
        </w:rPr>
        <w:t>Assessment</w:t>
      </w:r>
      <w:r w:rsidR="00A24B82" w:rsidRPr="003C1E9B">
        <w:rPr>
          <w:rFonts w:ascii="Segoe UI" w:eastAsiaTheme="majorEastAsia" w:hAnsi="Segoe UI" w:cs="Arial"/>
          <w:b/>
          <w:bCs/>
          <w:iCs/>
          <w:sz w:val="28"/>
          <w:szCs w:val="32"/>
          <w:lang w:eastAsia="en-NZ"/>
        </w:rPr>
        <w:t xml:space="preserve">: feedback and actions </w:t>
      </w:r>
    </w:p>
    <w:p w14:paraId="73E16201" w14:textId="1D4398DD" w:rsidR="008A390F" w:rsidRPr="003C1E9B" w:rsidRDefault="00BA604E" w:rsidP="008A390F">
      <w:pPr>
        <w:pStyle w:val="NumberedParagraphs-MOH"/>
        <w:ind w:left="567" w:hanging="567"/>
      </w:pPr>
      <w:r w:rsidRPr="003C1E9B">
        <w:t xml:space="preserve">The feedback from the hui </w:t>
      </w:r>
      <w:r w:rsidR="003A61A1" w:rsidRPr="003C1E9B">
        <w:t>has been c</w:t>
      </w:r>
      <w:r w:rsidR="009A10C7" w:rsidRPr="003C1E9B">
        <w:t xml:space="preserve">onsolidated </w:t>
      </w:r>
      <w:r w:rsidR="006C273A" w:rsidRPr="003C1E9B">
        <w:t xml:space="preserve">and summarised </w:t>
      </w:r>
      <w:r w:rsidR="009C1EA6" w:rsidRPr="003C1E9B">
        <w:t xml:space="preserve">under the following </w:t>
      </w:r>
      <w:r w:rsidR="008B2BAA" w:rsidRPr="003C1E9B">
        <w:t xml:space="preserve">key </w:t>
      </w:r>
      <w:r w:rsidR="009C1EA6" w:rsidRPr="003C1E9B">
        <w:t>themes</w:t>
      </w:r>
      <w:r w:rsidR="008A390F" w:rsidRPr="003C1E9B">
        <w:t>:</w:t>
      </w:r>
    </w:p>
    <w:p w14:paraId="62338499" w14:textId="5E44CEA0" w:rsidR="009C1EA6" w:rsidRPr="003C1E9B" w:rsidRDefault="00D227AA" w:rsidP="00F7343C">
      <w:pPr>
        <w:pStyle w:val="NumberedParagraphs-MOH"/>
        <w:numPr>
          <w:ilvl w:val="0"/>
          <w:numId w:val="12"/>
        </w:numPr>
        <w:rPr>
          <w:i/>
          <w:iCs/>
        </w:rPr>
      </w:pPr>
      <w:r w:rsidRPr="003C1E9B">
        <w:rPr>
          <w:i/>
          <w:iCs/>
        </w:rPr>
        <w:t>d</w:t>
      </w:r>
      <w:r w:rsidR="009C1EA6" w:rsidRPr="003C1E9B">
        <w:rPr>
          <w:i/>
          <w:iCs/>
        </w:rPr>
        <w:t>elivery and access of health and welfare support</w:t>
      </w:r>
    </w:p>
    <w:p w14:paraId="5E5BACDA" w14:textId="197098EC" w:rsidR="009C1EA6" w:rsidRPr="003C1E9B" w:rsidRDefault="00D227AA" w:rsidP="00F7343C">
      <w:pPr>
        <w:pStyle w:val="NumberedParagraphs-MOH"/>
        <w:numPr>
          <w:ilvl w:val="0"/>
          <w:numId w:val="12"/>
        </w:numPr>
        <w:rPr>
          <w:i/>
          <w:iCs/>
        </w:rPr>
      </w:pPr>
      <w:r w:rsidRPr="003C1E9B">
        <w:rPr>
          <w:i/>
          <w:iCs/>
        </w:rPr>
        <w:t>f</w:t>
      </w:r>
      <w:r w:rsidR="009C1EA6" w:rsidRPr="003C1E9B">
        <w:rPr>
          <w:i/>
          <w:iCs/>
        </w:rPr>
        <w:t>unding</w:t>
      </w:r>
      <w:r w:rsidR="00C46E9E" w:rsidRPr="003C1E9B">
        <w:rPr>
          <w:i/>
          <w:iCs/>
        </w:rPr>
        <w:t xml:space="preserve"> to support a pro-equity approach</w:t>
      </w:r>
    </w:p>
    <w:p w14:paraId="79F51DAB" w14:textId="2474024E" w:rsidR="009C1EA6" w:rsidRPr="003C1E9B" w:rsidRDefault="00D227AA" w:rsidP="00F7343C">
      <w:pPr>
        <w:pStyle w:val="NumberedParagraphs-MOH"/>
        <w:numPr>
          <w:ilvl w:val="0"/>
          <w:numId w:val="12"/>
        </w:numPr>
        <w:rPr>
          <w:i/>
          <w:iCs/>
        </w:rPr>
      </w:pPr>
      <w:r w:rsidRPr="003C1E9B">
        <w:rPr>
          <w:i/>
          <w:iCs/>
        </w:rPr>
        <w:t>supporting and sustaining the w</w:t>
      </w:r>
      <w:r w:rsidR="009C1EA6" w:rsidRPr="003C1E9B">
        <w:rPr>
          <w:i/>
          <w:iCs/>
        </w:rPr>
        <w:t>orkforce</w:t>
      </w:r>
    </w:p>
    <w:p w14:paraId="43E87BEC" w14:textId="689025DE" w:rsidR="009C1EA6" w:rsidRPr="003C1E9B" w:rsidRDefault="00753416" w:rsidP="00F7343C">
      <w:pPr>
        <w:pStyle w:val="NumberedParagraphs-MOH"/>
        <w:numPr>
          <w:ilvl w:val="0"/>
          <w:numId w:val="12"/>
        </w:numPr>
        <w:rPr>
          <w:i/>
          <w:iCs/>
        </w:rPr>
      </w:pPr>
      <w:r w:rsidRPr="003C1E9B">
        <w:rPr>
          <w:i/>
          <w:iCs/>
        </w:rPr>
        <w:t xml:space="preserve">providing </w:t>
      </w:r>
      <w:r w:rsidR="00D227AA" w:rsidRPr="003C1E9B">
        <w:rPr>
          <w:i/>
          <w:iCs/>
        </w:rPr>
        <w:t xml:space="preserve">tailored and accessible communications </w:t>
      </w:r>
    </w:p>
    <w:p w14:paraId="488EAB9C" w14:textId="626ECE1D" w:rsidR="009C1EA6" w:rsidRPr="003C1E9B" w:rsidRDefault="00CD26C1" w:rsidP="00F7343C">
      <w:pPr>
        <w:pStyle w:val="NumberedParagraphs-MOH"/>
        <w:numPr>
          <w:ilvl w:val="0"/>
          <w:numId w:val="12"/>
        </w:numPr>
        <w:rPr>
          <w:i/>
          <w:iCs/>
        </w:rPr>
      </w:pPr>
      <w:r w:rsidRPr="003C1E9B">
        <w:rPr>
          <w:i/>
          <w:iCs/>
        </w:rPr>
        <w:t>improving access to, and capturing of</w:t>
      </w:r>
      <w:r w:rsidR="00A27761" w:rsidRPr="003C1E9B">
        <w:rPr>
          <w:i/>
          <w:iCs/>
        </w:rPr>
        <w:t>,</w:t>
      </w:r>
      <w:r w:rsidRPr="003C1E9B">
        <w:rPr>
          <w:i/>
          <w:iCs/>
        </w:rPr>
        <w:t xml:space="preserve"> data to inform the response</w:t>
      </w:r>
    </w:p>
    <w:p w14:paraId="1E689DC8" w14:textId="74409AAE" w:rsidR="00DF0383" w:rsidRPr="003C1E9B" w:rsidRDefault="007B2A33" w:rsidP="00F7343C">
      <w:pPr>
        <w:pStyle w:val="NumberedParagraphs-MOH"/>
        <w:numPr>
          <w:ilvl w:val="0"/>
          <w:numId w:val="12"/>
        </w:numPr>
        <w:rPr>
          <w:i/>
          <w:iCs/>
        </w:rPr>
      </w:pPr>
      <w:r w:rsidRPr="003C1E9B">
        <w:rPr>
          <w:i/>
          <w:iCs/>
        </w:rPr>
        <w:t>e</w:t>
      </w:r>
      <w:r w:rsidR="00DF0383" w:rsidRPr="003C1E9B">
        <w:rPr>
          <w:i/>
          <w:iCs/>
        </w:rPr>
        <w:t>nsuring well integrated partnerships at the local level to meet the needs of communities</w:t>
      </w:r>
      <w:r w:rsidR="00280C3F" w:rsidRPr="003C1E9B">
        <w:rPr>
          <w:i/>
          <w:iCs/>
        </w:rPr>
        <w:t>.</w:t>
      </w:r>
    </w:p>
    <w:p w14:paraId="109FD4AA" w14:textId="37E3F9F6" w:rsidR="006D7700" w:rsidRPr="003C1E9B" w:rsidRDefault="00531F6A" w:rsidP="006D7700">
      <w:pPr>
        <w:pStyle w:val="NumberedParagraphs-MOH"/>
        <w:ind w:left="567" w:hanging="567"/>
      </w:pPr>
      <w:r w:rsidRPr="003C1E9B">
        <w:t xml:space="preserve">Each of </w:t>
      </w:r>
      <w:r w:rsidR="008B2BAA" w:rsidRPr="003C1E9B">
        <w:t>these</w:t>
      </w:r>
      <w:r w:rsidRPr="003C1E9B">
        <w:t xml:space="preserve"> themes are set out in this report below</w:t>
      </w:r>
      <w:r w:rsidR="00055DAE" w:rsidRPr="003C1E9B">
        <w:t xml:space="preserve">, </w:t>
      </w:r>
      <w:r w:rsidR="00930FC9" w:rsidRPr="003C1E9B">
        <w:t>supported</w:t>
      </w:r>
      <w:r w:rsidR="00055DAE" w:rsidRPr="003C1E9B">
        <w:t xml:space="preserve"> by a selection of quotes </w:t>
      </w:r>
      <w:r w:rsidR="008D06B4" w:rsidRPr="003C1E9B">
        <w:t>captured during the hui</w:t>
      </w:r>
      <w:r w:rsidRPr="003C1E9B">
        <w:t>.</w:t>
      </w:r>
      <w:r w:rsidR="00411426" w:rsidRPr="003C1E9B">
        <w:t xml:space="preserve"> </w:t>
      </w:r>
      <w:r w:rsidR="00930FC9" w:rsidRPr="003C1E9B">
        <w:t>Each theme is accompanied by</w:t>
      </w:r>
      <w:r w:rsidR="00411426" w:rsidRPr="003C1E9B">
        <w:t xml:space="preserve"> </w:t>
      </w:r>
      <w:r w:rsidR="006C273A" w:rsidRPr="003C1E9B">
        <w:t>a</w:t>
      </w:r>
      <w:r w:rsidR="00D30FF1" w:rsidRPr="003C1E9B">
        <w:t xml:space="preserve"> </w:t>
      </w:r>
      <w:r w:rsidR="00405CC6" w:rsidRPr="003C1E9B">
        <w:t xml:space="preserve">summarised </w:t>
      </w:r>
      <w:r w:rsidR="00D30FF1" w:rsidRPr="003C1E9B">
        <w:t>priority</w:t>
      </w:r>
      <w:r w:rsidR="004A1A06" w:rsidRPr="003C1E9B">
        <w:t xml:space="preserve"> mitigation</w:t>
      </w:r>
      <w:r w:rsidR="00D30FF1" w:rsidRPr="003C1E9B">
        <w:t xml:space="preserve"> </w:t>
      </w:r>
      <w:r w:rsidR="004A1A06" w:rsidRPr="003C1E9B">
        <w:t>action</w:t>
      </w:r>
      <w:r w:rsidR="00405CC6" w:rsidRPr="003C1E9B">
        <w:t xml:space="preserve"> informed by various recommendations</w:t>
      </w:r>
      <w:r w:rsidR="00111DBC" w:rsidRPr="003C1E9B">
        <w:t xml:space="preserve"> captured</w:t>
      </w:r>
      <w:r w:rsidR="00405CC6" w:rsidRPr="003C1E9B">
        <w:t xml:space="preserve"> from the hui</w:t>
      </w:r>
      <w:r w:rsidR="00460B64" w:rsidRPr="003C1E9B">
        <w:t xml:space="preserve">. </w:t>
      </w:r>
    </w:p>
    <w:p w14:paraId="63157A7B" w14:textId="53E8BD24" w:rsidR="002F20BE" w:rsidRPr="000A70DF" w:rsidRDefault="00D013BB" w:rsidP="005020DC">
      <w:pPr>
        <w:pStyle w:val="NumberedParagraphs-MOH"/>
        <w:ind w:left="567" w:hanging="567"/>
      </w:pPr>
      <w:r w:rsidRPr="003C1E9B">
        <w:t>Under each theme and associated action is a</w:t>
      </w:r>
      <w:r w:rsidR="00BD0E2C" w:rsidRPr="003C1E9B">
        <w:t xml:space="preserve"> </w:t>
      </w:r>
      <w:r w:rsidR="00C317D5" w:rsidRPr="003C1E9B">
        <w:t xml:space="preserve">‘Ministry response’ that </w:t>
      </w:r>
      <w:r w:rsidR="00E008B6" w:rsidRPr="003C1E9B">
        <w:t>provide</w:t>
      </w:r>
      <w:r w:rsidRPr="003C1E9B">
        <w:t>s a</w:t>
      </w:r>
      <w:r w:rsidR="00C317D5" w:rsidRPr="003C1E9B">
        <w:t xml:space="preserve"> summary of key actions </w:t>
      </w:r>
      <w:r w:rsidRPr="003C1E9B">
        <w:t>we have</w:t>
      </w:r>
      <w:r w:rsidR="00C317D5" w:rsidRPr="003C1E9B">
        <w:t xml:space="preserve"> </w:t>
      </w:r>
      <w:r w:rsidRPr="003C1E9B">
        <w:t>taken that</w:t>
      </w:r>
      <w:r w:rsidR="00C317D5" w:rsidRPr="003C1E9B">
        <w:t xml:space="preserve"> address t</w:t>
      </w:r>
      <w:r w:rsidR="00C14FBF" w:rsidRPr="003C1E9B">
        <w:t>hat theme.</w:t>
      </w:r>
      <w:r w:rsidR="00A5244D" w:rsidRPr="003C1E9B">
        <w:t xml:space="preserve"> </w:t>
      </w:r>
      <w:r w:rsidR="00516C29" w:rsidRPr="003C1E9B">
        <w:t xml:space="preserve">It is worth noting that </w:t>
      </w:r>
      <w:r w:rsidR="009A7518" w:rsidRPr="003C1E9B">
        <w:t xml:space="preserve">these </w:t>
      </w:r>
      <w:r w:rsidR="00041AA1" w:rsidRPr="003C1E9B">
        <w:t xml:space="preserve">actions </w:t>
      </w:r>
      <w:r w:rsidR="009A7518" w:rsidRPr="003C1E9B">
        <w:t>cover</w:t>
      </w:r>
      <w:r w:rsidR="00516C29" w:rsidRPr="003C1E9B">
        <w:t xml:space="preserve"> only a </w:t>
      </w:r>
      <w:r w:rsidR="00ED0C64" w:rsidRPr="003C1E9B">
        <w:t>selection of</w:t>
      </w:r>
      <w:r w:rsidR="00516C29" w:rsidRPr="003C1E9B">
        <w:t xml:space="preserve"> </w:t>
      </w:r>
      <w:r w:rsidR="00ED0C64" w:rsidRPr="003C1E9B">
        <w:t xml:space="preserve">Ministry </w:t>
      </w:r>
      <w:r w:rsidR="00516C29" w:rsidRPr="003C1E9B">
        <w:t>actions</w:t>
      </w:r>
      <w:r w:rsidR="00963CC7" w:rsidRPr="003C1E9B">
        <w:t xml:space="preserve">. </w:t>
      </w:r>
      <w:r w:rsidR="009A7518" w:rsidRPr="003C1E9B">
        <w:t>A</w:t>
      </w:r>
      <w:r w:rsidR="00516C29" w:rsidRPr="003C1E9B">
        <w:t xml:space="preserve"> more fulsome </w:t>
      </w:r>
      <w:r w:rsidR="00963CC7" w:rsidRPr="003C1E9B">
        <w:t>list of</w:t>
      </w:r>
      <w:r w:rsidR="00B51272" w:rsidRPr="003C1E9B">
        <w:t xml:space="preserve"> actions the Ministry has taken to </w:t>
      </w:r>
      <w:r w:rsidR="00B51272" w:rsidRPr="003C1E9B">
        <w:lastRenderedPageBreak/>
        <w:t xml:space="preserve">improve its response, particularly with regards to equity, can </w:t>
      </w:r>
      <w:r w:rsidR="00963CC7" w:rsidRPr="003C1E9B">
        <w:t>be found in</w:t>
      </w:r>
      <w:r w:rsidR="006D268A" w:rsidRPr="003C1E9B">
        <w:t xml:space="preserve"> the recently published table</w:t>
      </w:r>
      <w:r w:rsidR="002340D0" w:rsidRPr="003C1E9B">
        <w:t xml:space="preserve"> </w:t>
      </w:r>
      <w:r w:rsidR="006D268A" w:rsidRPr="003C1E9B">
        <w:t>on Ministry actions</w:t>
      </w:r>
      <w:r w:rsidR="000F26F2" w:rsidRPr="003C1E9B">
        <w:t xml:space="preserve"> that</w:t>
      </w:r>
      <w:r w:rsidR="006D268A" w:rsidRPr="003C1E9B">
        <w:t xml:space="preserve"> </w:t>
      </w:r>
      <w:r w:rsidR="002340D0" w:rsidRPr="003C1E9B">
        <w:t>respond to the</w:t>
      </w:r>
      <w:r w:rsidR="008E1AFA" w:rsidRPr="003C1E9B">
        <w:t xml:space="preserve"> </w:t>
      </w:r>
      <w:r w:rsidR="00041AA1" w:rsidRPr="003C1E9B">
        <w:t xml:space="preserve">prioritised </w:t>
      </w:r>
      <w:r w:rsidR="008E1AFA" w:rsidRPr="003C1E9B">
        <w:t xml:space="preserve">recommendations </w:t>
      </w:r>
      <w:r w:rsidR="00041AA1" w:rsidRPr="003C1E9B">
        <w:t>from the</w:t>
      </w:r>
      <w:r w:rsidR="002340D0" w:rsidRPr="003C1E9B">
        <w:t xml:space="preserve"> independent </w:t>
      </w:r>
      <w:r w:rsidR="002340D0" w:rsidRPr="003C1E9B">
        <w:rPr>
          <w:i/>
          <w:iCs/>
        </w:rPr>
        <w:t>Dovetail Delta Response Rapid Review</w:t>
      </w:r>
      <w:r w:rsidR="000F26F2" w:rsidRPr="003C1E9B">
        <w:rPr>
          <w:i/>
          <w:iCs/>
        </w:rPr>
        <w:t xml:space="preserve"> </w:t>
      </w:r>
      <w:r w:rsidR="002340D0" w:rsidRPr="003C1E9B">
        <w:t>into the August 2021 Delta outbreak</w:t>
      </w:r>
      <w:r w:rsidR="003C1E9B">
        <w:t xml:space="preserve"> (</w:t>
      </w:r>
      <w:r w:rsidR="003C1E9B" w:rsidRPr="003C1E9B">
        <w:t>https://www.health.govt.nz/publication/delta-response-rapid-review</w:t>
      </w:r>
      <w:r w:rsidR="003C1E9B">
        <w:t xml:space="preserve">). </w:t>
      </w:r>
    </w:p>
    <w:p w14:paraId="4CE75629" w14:textId="57973122" w:rsidR="00B50022" w:rsidRPr="003C1E9B" w:rsidRDefault="009C1EA6" w:rsidP="00A423CC">
      <w:pPr>
        <w:pStyle w:val="ListParagraph"/>
        <w:keepNext/>
        <w:numPr>
          <w:ilvl w:val="0"/>
          <w:numId w:val="9"/>
        </w:numPr>
        <w:spacing w:before="360" w:after="120" w:line="259" w:lineRule="auto"/>
        <w:ind w:left="584" w:hanging="357"/>
        <w:jc w:val="both"/>
        <w:outlineLvl w:val="1"/>
        <w:rPr>
          <w:rFonts w:ascii="Segoe UI Semibold" w:eastAsiaTheme="majorEastAsia" w:hAnsi="Segoe UI Semibold" w:cs="Arial"/>
          <w:iCs/>
          <w:lang w:eastAsia="en-NZ"/>
        </w:rPr>
      </w:pPr>
      <w:r w:rsidRPr="003C1E9B">
        <w:rPr>
          <w:rFonts w:ascii="Segoe UI Semibold" w:eastAsiaTheme="majorEastAsia" w:hAnsi="Segoe UI Semibold" w:cs="Arial"/>
          <w:iCs/>
          <w:lang w:eastAsia="en-NZ"/>
        </w:rPr>
        <w:t>Delivery and access of health and welfare support</w:t>
      </w:r>
    </w:p>
    <w:p w14:paraId="3E7D4755" w14:textId="2790699F" w:rsidR="004D7445" w:rsidRPr="003C1E9B" w:rsidRDefault="00F32BF6" w:rsidP="00954EA2">
      <w:pPr>
        <w:suppressAutoHyphens/>
        <w:autoSpaceDE w:val="0"/>
        <w:autoSpaceDN w:val="0"/>
        <w:adjustRightInd w:val="0"/>
        <w:spacing w:before="120" w:after="120"/>
        <w:ind w:firstLine="567"/>
        <w:textAlignment w:val="center"/>
        <w:outlineLvl w:val="3"/>
        <w:rPr>
          <w:rFonts w:ascii="Segoe UI" w:eastAsiaTheme="majorEastAsia" w:hAnsi="Segoe UI" w:cs="Segoe UI"/>
          <w:bCs/>
          <w:i/>
          <w:sz w:val="22"/>
          <w:szCs w:val="22"/>
          <w:lang w:eastAsia="x-none"/>
        </w:rPr>
      </w:pPr>
      <w:r w:rsidRPr="003C1E9B">
        <w:rPr>
          <w:rFonts w:ascii="Segoe UI" w:eastAsiaTheme="majorEastAsia" w:hAnsi="Segoe UI" w:cs="Segoe UI"/>
          <w:bCs/>
          <w:i/>
          <w:sz w:val="22"/>
          <w:szCs w:val="22"/>
          <w:lang w:eastAsia="x-none"/>
        </w:rPr>
        <w:t xml:space="preserve">Delivery of health and welfare supports to priority-populations </w:t>
      </w:r>
    </w:p>
    <w:p w14:paraId="3C651E75" w14:textId="45C7D68B" w:rsidR="00584472" w:rsidRPr="003C1E9B" w:rsidRDefault="00FD7B45" w:rsidP="00767AF3">
      <w:pPr>
        <w:pStyle w:val="NumberedParagraphs-MOH"/>
        <w:ind w:left="567" w:hanging="567"/>
      </w:pPr>
      <w:r w:rsidRPr="003C1E9B">
        <w:t>Appropriate levels of health</w:t>
      </w:r>
      <w:r w:rsidR="00D56CBE" w:rsidRPr="003C1E9B">
        <w:t xml:space="preserve"> and welfare</w:t>
      </w:r>
      <w:r w:rsidRPr="003C1E9B">
        <w:t xml:space="preserve"> support for under-served </w:t>
      </w:r>
      <w:r w:rsidR="00152845" w:rsidRPr="003C1E9B">
        <w:t>populations</w:t>
      </w:r>
      <w:r w:rsidR="00D56CBE" w:rsidRPr="003C1E9B">
        <w:t xml:space="preserve"> </w:t>
      </w:r>
      <w:r w:rsidRPr="003C1E9B">
        <w:t xml:space="preserve">and how these would be delivered to keep </w:t>
      </w:r>
      <w:r w:rsidR="00023545" w:rsidRPr="003C1E9B">
        <w:t xml:space="preserve">them </w:t>
      </w:r>
      <w:r w:rsidRPr="003C1E9B">
        <w:t xml:space="preserve">safe was a concern raised through the hui.  </w:t>
      </w:r>
    </w:p>
    <w:p w14:paraId="02D62EC8" w14:textId="16170C6D" w:rsidR="00E813DF" w:rsidRPr="000A70DF" w:rsidRDefault="007943F6" w:rsidP="008152F8">
      <w:pPr>
        <w:pStyle w:val="NumberedParagraphs-MOH"/>
        <w:ind w:left="567" w:hanging="567"/>
      </w:pPr>
      <w:r>
        <w:t>Many</w:t>
      </w:r>
      <w:r w:rsidR="009D1948" w:rsidRPr="000A70DF">
        <w:t xml:space="preserve"> raised </w:t>
      </w:r>
      <w:r w:rsidR="00152845" w:rsidRPr="000A70DF">
        <w:t xml:space="preserve">concerns </w:t>
      </w:r>
      <w:r w:rsidR="005D6D4B" w:rsidRPr="000A70DF">
        <w:t>that the</w:t>
      </w:r>
      <w:r w:rsidR="009D1948" w:rsidRPr="000A70DF">
        <w:t xml:space="preserve"> </w:t>
      </w:r>
      <w:r w:rsidR="007968EC" w:rsidRPr="000A70DF">
        <w:t>self-management model of the Omicron strategy</w:t>
      </w:r>
      <w:r w:rsidR="00045BD2" w:rsidRPr="000A70DF">
        <w:t xml:space="preserve"> </w:t>
      </w:r>
      <w:r w:rsidR="005D6D4B" w:rsidRPr="000A70DF">
        <w:t>would not work</w:t>
      </w:r>
      <w:r w:rsidR="009D1948" w:rsidRPr="000A70DF">
        <w:t xml:space="preserve"> </w:t>
      </w:r>
      <w:r w:rsidR="005D6D4B" w:rsidRPr="000A70DF">
        <w:t xml:space="preserve">for </w:t>
      </w:r>
      <w:r w:rsidR="009D1948" w:rsidRPr="000A70DF">
        <w:t xml:space="preserve">people </w:t>
      </w:r>
      <w:r w:rsidR="00D45A4D" w:rsidRPr="000A70DF">
        <w:t xml:space="preserve">already disconnected from mainstream services or who </w:t>
      </w:r>
      <w:r w:rsidR="00E813DF" w:rsidRPr="000A70DF">
        <w:t xml:space="preserve">may not have the capacity or resources to look after themselves or reach out for help. </w:t>
      </w:r>
    </w:p>
    <w:p w14:paraId="319B78EF" w14:textId="3DA905F1" w:rsidR="00B85B2A" w:rsidRPr="003C1E9B" w:rsidRDefault="00FD7B45" w:rsidP="008152F8">
      <w:pPr>
        <w:pStyle w:val="NumberedParagraphs-MOH"/>
        <w:ind w:left="567" w:hanging="567"/>
      </w:pPr>
      <w:r w:rsidRPr="000A70DF">
        <w:t xml:space="preserve">There was significant concern that low-income households, people </w:t>
      </w:r>
      <w:r w:rsidR="00736857" w:rsidRPr="000A70DF">
        <w:t>living in</w:t>
      </w:r>
      <w:r w:rsidRPr="000A70DF">
        <w:t xml:space="preserve"> inadequate housing (such</w:t>
      </w:r>
      <w:r w:rsidRPr="007943F6">
        <w:t xml:space="preserve"> as over-crowded, </w:t>
      </w:r>
      <w:r w:rsidR="00160CA3" w:rsidRPr="007943F6">
        <w:t>emergency,</w:t>
      </w:r>
      <w:r w:rsidRPr="007943F6">
        <w:t xml:space="preserve"> or transitional housing), </w:t>
      </w:r>
      <w:r w:rsidR="0093731D" w:rsidRPr="007943F6">
        <w:t>socially isolated people, people with lived experience of mental health distress and</w:t>
      </w:r>
      <w:r w:rsidR="008E2872">
        <w:t>/or</w:t>
      </w:r>
      <w:r w:rsidR="0093731D" w:rsidRPr="007943F6">
        <w:t xml:space="preserve"> addition, </w:t>
      </w:r>
      <w:r w:rsidR="004824CC" w:rsidRPr="007943F6">
        <w:t>a</w:t>
      </w:r>
      <w:r w:rsidR="0093731D" w:rsidRPr="007943F6">
        <w:t xml:space="preserve">s well as </w:t>
      </w:r>
      <w:r w:rsidR="004824CC" w:rsidRPr="003C1E9B">
        <w:t>disabled</w:t>
      </w:r>
      <w:r w:rsidRPr="003C1E9B">
        <w:t xml:space="preserve"> people would not receive timely </w:t>
      </w:r>
      <w:r w:rsidR="004824CC" w:rsidRPr="003C1E9B">
        <w:t>welfare and medical supports</w:t>
      </w:r>
      <w:r w:rsidRPr="003C1E9B">
        <w:t>.</w:t>
      </w:r>
    </w:p>
    <w:p w14:paraId="47BBC481" w14:textId="02125A55" w:rsidR="009C12E7" w:rsidRPr="000A70DF" w:rsidRDefault="00C27321" w:rsidP="009C12E7">
      <w:pPr>
        <w:pStyle w:val="NumberedParagraphs-MOH"/>
        <w:ind w:left="567" w:hanging="567"/>
      </w:pPr>
      <w:r w:rsidRPr="000A70DF">
        <w:t xml:space="preserve">It was highlighted in the hui that </w:t>
      </w:r>
      <w:r w:rsidR="00FC40A3" w:rsidRPr="000A70DF">
        <w:t>for many people</w:t>
      </w:r>
      <w:r w:rsidR="00033D12" w:rsidRPr="000A70DF">
        <w:t xml:space="preserve">, </w:t>
      </w:r>
      <w:r w:rsidR="00B85B2A" w:rsidRPr="000A70DF">
        <w:t xml:space="preserve">particularly those with lived experience of mental distress and addiction, </w:t>
      </w:r>
      <w:r w:rsidR="00033D12" w:rsidRPr="000A70DF">
        <w:t>isolation exacerbate</w:t>
      </w:r>
      <w:r w:rsidR="0043165C" w:rsidRPr="000A70DF">
        <w:t>d</w:t>
      </w:r>
      <w:r w:rsidR="006025BF" w:rsidRPr="000A70DF">
        <w:t xml:space="preserve"> </w:t>
      </w:r>
      <w:r w:rsidR="00C21170" w:rsidRPr="000A70DF">
        <w:t>distress experienced</w:t>
      </w:r>
      <w:r w:rsidR="00527E53" w:rsidRPr="000A70DF">
        <w:t xml:space="preserve"> </w:t>
      </w:r>
      <w:r w:rsidR="00B16BDB" w:rsidRPr="000A70DF">
        <w:t>as well as disrupt</w:t>
      </w:r>
      <w:r w:rsidR="00761A3F" w:rsidRPr="000A70DF">
        <w:t>ed</w:t>
      </w:r>
      <w:r w:rsidR="009C12E7" w:rsidRPr="000A70DF">
        <w:t xml:space="preserve"> usual support</w:t>
      </w:r>
      <w:r w:rsidR="00761A3F" w:rsidRPr="000A70DF">
        <w:t>s</w:t>
      </w:r>
      <w:r w:rsidR="009C12E7" w:rsidRPr="000A70DF">
        <w:t xml:space="preserve">. </w:t>
      </w:r>
    </w:p>
    <w:p w14:paraId="500170EB" w14:textId="631E0EB1" w:rsidR="009F668C" w:rsidRPr="000A70DF" w:rsidRDefault="00336B8B" w:rsidP="00736857">
      <w:pPr>
        <w:pStyle w:val="NumberedParagraphs-MOH"/>
        <w:numPr>
          <w:ilvl w:val="0"/>
          <w:numId w:val="0"/>
        </w:numPr>
        <w:ind w:left="567"/>
      </w:pPr>
      <w:r w:rsidRPr="000A70DF">
        <w:t>‘</w:t>
      </w:r>
      <w:r w:rsidR="000428C5" w:rsidRPr="000A70DF">
        <w:t xml:space="preserve">People with lived experience of mental distress and addiction are very concerned about the safety and ongoing health and support needs of their communities if required </w:t>
      </w:r>
      <w:proofErr w:type="gramStart"/>
      <w:r w:rsidR="000428C5" w:rsidRPr="000A70DF">
        <w:t>to</w:t>
      </w:r>
      <w:proofErr w:type="gramEnd"/>
      <w:r w:rsidR="000428C5" w:rsidRPr="000A70DF">
        <w:t xml:space="preserve"> self-isolate</w:t>
      </w:r>
      <w:r w:rsidRPr="000A70DF">
        <w:t>.’</w:t>
      </w:r>
      <w:r w:rsidR="000428C5" w:rsidRPr="000A70DF">
        <w:t xml:space="preserve"> </w:t>
      </w:r>
    </w:p>
    <w:p w14:paraId="08F8B888" w14:textId="52091573" w:rsidR="000428C5" w:rsidRPr="000A70DF" w:rsidRDefault="008152F8" w:rsidP="00AC5131">
      <w:pPr>
        <w:pStyle w:val="NumberedParagraphs-MOH"/>
        <w:numPr>
          <w:ilvl w:val="0"/>
          <w:numId w:val="0"/>
        </w:numPr>
        <w:ind w:left="567"/>
      </w:pPr>
      <w:r w:rsidRPr="000A70DF">
        <w:t>‘</w:t>
      </w:r>
      <w:r w:rsidR="009F668C" w:rsidRPr="000A70DF">
        <w:t xml:space="preserve">Wellbeing for all household needs is required in care packages to support the levels of mental distress that is occurring. </w:t>
      </w:r>
      <w:r w:rsidR="00F512EA">
        <w:t xml:space="preserve">For example, </w:t>
      </w:r>
      <w:r w:rsidR="009F668C" w:rsidRPr="000A70DF">
        <w:t>physical exercise guidance</w:t>
      </w:r>
      <w:r w:rsidR="00F512EA">
        <w:t xml:space="preserve">, </w:t>
      </w:r>
      <w:r w:rsidR="009F668C" w:rsidRPr="000A70DF">
        <w:t xml:space="preserve">activities for children, access to counselling, crisis and mental health support and practical materials to support the </w:t>
      </w:r>
      <w:proofErr w:type="spellStart"/>
      <w:r w:rsidR="009F668C" w:rsidRPr="000A70DF">
        <w:t>wairua</w:t>
      </w:r>
      <w:proofErr w:type="spellEnd"/>
      <w:r w:rsidR="009F668C" w:rsidRPr="000A70DF">
        <w:t xml:space="preserve"> and </w:t>
      </w:r>
      <w:proofErr w:type="spellStart"/>
      <w:r w:rsidR="009F668C" w:rsidRPr="000A70DF">
        <w:t>hinengaro</w:t>
      </w:r>
      <w:proofErr w:type="spellEnd"/>
      <w:r w:rsidR="009F668C" w:rsidRPr="000A70DF">
        <w:t xml:space="preserve"> of the </w:t>
      </w:r>
      <w:proofErr w:type="spellStart"/>
      <w:r w:rsidR="009F668C" w:rsidRPr="000A70DF">
        <w:t>whānau</w:t>
      </w:r>
      <w:proofErr w:type="spellEnd"/>
      <w:r w:rsidR="009F668C" w:rsidRPr="000A70DF">
        <w:t>.</w:t>
      </w:r>
      <w:r w:rsidRPr="000A70DF">
        <w:t>’</w:t>
      </w:r>
    </w:p>
    <w:p w14:paraId="6FC0BFE1" w14:textId="77EA6FE5" w:rsidR="009801F2" w:rsidRPr="000A70DF" w:rsidRDefault="009E38DD" w:rsidP="00736857">
      <w:pPr>
        <w:pStyle w:val="NumberedParagraphs-MOH"/>
        <w:ind w:left="567" w:hanging="567"/>
      </w:pPr>
      <w:r w:rsidRPr="000A70DF">
        <w:t xml:space="preserve">Many raised the importance of ensuring that </w:t>
      </w:r>
      <w:r w:rsidR="00A7091E" w:rsidRPr="000A70DF">
        <w:t>p</w:t>
      </w:r>
      <w:r w:rsidR="00806D85" w:rsidRPr="000A70DF">
        <w:t>riority cases</w:t>
      </w:r>
      <w:r w:rsidR="00A7091E" w:rsidRPr="000A70DF">
        <w:t xml:space="preserve"> were triaged by </w:t>
      </w:r>
      <w:r w:rsidR="00F57FEC" w:rsidRPr="000A70DF">
        <w:t xml:space="preserve">someone who </w:t>
      </w:r>
      <w:r w:rsidR="00775A14" w:rsidRPr="000A70DF">
        <w:t xml:space="preserve">was culturally appropriate and who </w:t>
      </w:r>
      <w:r w:rsidR="00F57FEC" w:rsidRPr="000A70DF">
        <w:t>understood their circumstances and needs</w:t>
      </w:r>
      <w:r w:rsidR="00775A14" w:rsidRPr="000A70DF">
        <w:t xml:space="preserve">. </w:t>
      </w:r>
    </w:p>
    <w:p w14:paraId="3CDE503A" w14:textId="54598623" w:rsidR="0093731D" w:rsidRPr="000A70DF" w:rsidRDefault="0093731D" w:rsidP="00736857">
      <w:pPr>
        <w:pStyle w:val="NumberedParagraphs-MOH"/>
        <w:numPr>
          <w:ilvl w:val="0"/>
          <w:numId w:val="0"/>
        </w:numPr>
        <w:ind w:left="567"/>
      </w:pPr>
      <w:r w:rsidRPr="000A70DF">
        <w:t xml:space="preserve">‘It is essential that priority </w:t>
      </w:r>
      <w:proofErr w:type="spellStart"/>
      <w:r w:rsidRPr="000A70DF">
        <w:t>whānau</w:t>
      </w:r>
      <w:proofErr w:type="spellEnd"/>
      <w:r w:rsidRPr="000A70DF">
        <w:t xml:space="preserve"> are triaged by a person who is </w:t>
      </w:r>
      <w:proofErr w:type="spellStart"/>
      <w:r w:rsidRPr="000A70DF">
        <w:t>whanaunga</w:t>
      </w:r>
      <w:proofErr w:type="spellEnd"/>
      <w:r w:rsidRPr="000A70DF">
        <w:t xml:space="preserve"> and will understand their circumstances and needs. This is essential to support ongoing communication and safety</w:t>
      </w:r>
      <w:r w:rsidR="00736857" w:rsidRPr="000A70DF">
        <w:t>.</w:t>
      </w:r>
      <w:r w:rsidRPr="000A70DF">
        <w:t xml:space="preserve">’ </w:t>
      </w:r>
    </w:p>
    <w:p w14:paraId="44932DE9" w14:textId="09344999" w:rsidR="00B75E0F" w:rsidRPr="003C1E9B" w:rsidRDefault="009330BE" w:rsidP="002300BE">
      <w:pPr>
        <w:pStyle w:val="NumberedParagraphs-MOH"/>
        <w:ind w:left="567" w:hanging="567"/>
      </w:pPr>
      <w:r w:rsidRPr="003C1E9B">
        <w:t>Ensuring disabled people ha</w:t>
      </w:r>
      <w:r w:rsidR="009B292E" w:rsidRPr="003C1E9B">
        <w:t>d</w:t>
      </w:r>
      <w:r w:rsidRPr="003C1E9B">
        <w:t xml:space="preserve"> access to tailored support during isolation was a concern raised</w:t>
      </w:r>
      <w:r w:rsidR="002300BE" w:rsidRPr="003C1E9B">
        <w:t xml:space="preserve">. </w:t>
      </w:r>
      <w:r w:rsidR="00B75E0F" w:rsidRPr="003C1E9B">
        <w:t>As well as the prioritisation of basic needs for self-isolation</w:t>
      </w:r>
      <w:r w:rsidR="002300BE" w:rsidRPr="003C1E9B">
        <w:t xml:space="preserve"> and continuity of care</w:t>
      </w:r>
      <w:r w:rsidR="00B75E0F" w:rsidRPr="003C1E9B">
        <w:t xml:space="preserve">, </w:t>
      </w:r>
      <w:r w:rsidR="0078662D" w:rsidRPr="003C1E9B">
        <w:t xml:space="preserve">supporting </w:t>
      </w:r>
      <w:r w:rsidR="00806D04" w:rsidRPr="003C1E9B">
        <w:t xml:space="preserve">disabled populations </w:t>
      </w:r>
      <w:r w:rsidR="0078662D" w:rsidRPr="003C1E9B">
        <w:t>to</w:t>
      </w:r>
      <w:r w:rsidR="00B75E0F" w:rsidRPr="003C1E9B">
        <w:t xml:space="preserve"> </w:t>
      </w:r>
      <w:r w:rsidR="0078662D" w:rsidRPr="003C1E9B">
        <w:t>access</w:t>
      </w:r>
      <w:r w:rsidR="00B75E0F" w:rsidRPr="003C1E9B">
        <w:t xml:space="preserve"> treatments such as the newly approved anti-viral medicines and the 5-11 year and booster vaccine roll-outs was of high concern.</w:t>
      </w:r>
    </w:p>
    <w:p w14:paraId="36C63D62" w14:textId="58AA70A3" w:rsidR="234F42D8" w:rsidRPr="003C1E9B" w:rsidRDefault="00A45C6C" w:rsidP="00922567">
      <w:pPr>
        <w:pStyle w:val="NumberedParagraphs-MOH"/>
        <w:numPr>
          <w:ilvl w:val="0"/>
          <w:numId w:val="0"/>
        </w:numPr>
        <w:ind w:left="567"/>
        <w:rPr>
          <w:iCs/>
        </w:rPr>
      </w:pPr>
      <w:r w:rsidRPr="003C1E9B">
        <w:rPr>
          <w:iCs/>
        </w:rPr>
        <w:t>‘Disabled people who have extreme anxiety around vaccines need more support…Booking home vaccinations is key for this group and delays in access to this service are occurring.</w:t>
      </w:r>
      <w:r w:rsidR="000F0BF4" w:rsidRPr="003C1E9B">
        <w:rPr>
          <w:iCs/>
        </w:rPr>
        <w:t>’</w:t>
      </w:r>
    </w:p>
    <w:p w14:paraId="1D0CE7EC" w14:textId="26816BA0" w:rsidR="00A90551" w:rsidRPr="003C1E9B" w:rsidRDefault="00A90551" w:rsidP="005F430D">
      <w:pPr>
        <w:suppressAutoHyphens/>
        <w:autoSpaceDE w:val="0"/>
        <w:autoSpaceDN w:val="0"/>
        <w:adjustRightInd w:val="0"/>
        <w:spacing w:before="120" w:after="120"/>
        <w:ind w:firstLine="567"/>
        <w:textAlignment w:val="center"/>
        <w:outlineLvl w:val="3"/>
        <w:rPr>
          <w:rFonts w:ascii="Segoe UI" w:eastAsiaTheme="majorEastAsia" w:hAnsi="Segoe UI" w:cs="Segoe UI"/>
          <w:bCs/>
          <w:i/>
          <w:sz w:val="22"/>
          <w:szCs w:val="22"/>
          <w:lang w:eastAsia="x-none"/>
        </w:rPr>
      </w:pPr>
      <w:r w:rsidRPr="003C1E9B">
        <w:rPr>
          <w:rFonts w:ascii="Segoe UI" w:eastAsiaTheme="majorEastAsia" w:hAnsi="Segoe UI" w:cs="Segoe UI"/>
          <w:bCs/>
          <w:i/>
          <w:sz w:val="22"/>
          <w:szCs w:val="22"/>
          <w:lang w:eastAsia="x-none"/>
        </w:rPr>
        <w:t xml:space="preserve">Access to PPE </w:t>
      </w:r>
      <w:r w:rsidR="009C1EA6" w:rsidRPr="003C1E9B">
        <w:rPr>
          <w:rFonts w:ascii="Segoe UI" w:eastAsiaTheme="majorEastAsia" w:hAnsi="Segoe UI" w:cs="Segoe UI"/>
          <w:bCs/>
          <w:i/>
          <w:sz w:val="22"/>
          <w:szCs w:val="22"/>
          <w:lang w:eastAsia="x-none"/>
        </w:rPr>
        <w:t xml:space="preserve">to </w:t>
      </w:r>
      <w:r w:rsidRPr="003C1E9B">
        <w:rPr>
          <w:rFonts w:ascii="Segoe UI" w:eastAsiaTheme="majorEastAsia" w:hAnsi="Segoe UI" w:cs="Segoe UI"/>
          <w:bCs/>
          <w:i/>
          <w:sz w:val="22"/>
          <w:szCs w:val="22"/>
          <w:lang w:eastAsia="x-none"/>
        </w:rPr>
        <w:t>community providers and testing for at-risk communitie</w:t>
      </w:r>
      <w:r w:rsidR="00937889" w:rsidRPr="003C1E9B">
        <w:rPr>
          <w:rFonts w:ascii="Segoe UI" w:eastAsiaTheme="majorEastAsia" w:hAnsi="Segoe UI" w:cs="Segoe UI"/>
          <w:bCs/>
          <w:i/>
          <w:sz w:val="22"/>
          <w:szCs w:val="22"/>
          <w:lang w:eastAsia="x-none"/>
        </w:rPr>
        <w:t>s</w:t>
      </w:r>
    </w:p>
    <w:p w14:paraId="41D01996" w14:textId="5889B7E2" w:rsidR="007C1F08" w:rsidRPr="003C1E9B" w:rsidRDefault="00E10AE5" w:rsidP="00015736">
      <w:pPr>
        <w:pStyle w:val="NumberedParagraphs-MOH"/>
        <w:ind w:left="567" w:hanging="567"/>
      </w:pPr>
      <w:r w:rsidRPr="003C1E9B">
        <w:t xml:space="preserve">Concerns were raised regarding timely access to </w:t>
      </w:r>
      <w:r w:rsidR="00B65848" w:rsidRPr="003C1E9B">
        <w:t>Personal Protective Equipment (PPE)</w:t>
      </w:r>
      <w:r w:rsidRPr="003C1E9B">
        <w:t xml:space="preserve"> for small community providers</w:t>
      </w:r>
      <w:r w:rsidR="00082EB6" w:rsidRPr="003C1E9B">
        <w:t xml:space="preserve">. There </w:t>
      </w:r>
      <w:r w:rsidR="00B65848" w:rsidRPr="003C1E9B">
        <w:t>were</w:t>
      </w:r>
      <w:r w:rsidR="00082EB6" w:rsidRPr="003C1E9B">
        <w:t xml:space="preserve"> also concerns</w:t>
      </w:r>
      <w:r w:rsidR="00B65848" w:rsidRPr="003C1E9B">
        <w:t xml:space="preserve"> raised</w:t>
      </w:r>
      <w:r w:rsidR="00082EB6" w:rsidRPr="003C1E9B">
        <w:t xml:space="preserve"> regarding priority population</w:t>
      </w:r>
      <w:r w:rsidR="00405CC6" w:rsidRPr="003C1E9B">
        <w:t xml:space="preserve"> </w:t>
      </w:r>
      <w:r w:rsidR="00082EB6" w:rsidRPr="003C1E9B">
        <w:t xml:space="preserve">access to </w:t>
      </w:r>
      <w:r w:rsidR="009B4796" w:rsidRPr="003C1E9B">
        <w:t>oral anti-viral</w:t>
      </w:r>
      <w:r w:rsidR="00CC315E" w:rsidRPr="003C1E9B">
        <w:t xml:space="preserve"> medications</w:t>
      </w:r>
      <w:r w:rsidR="009B4796" w:rsidRPr="003C1E9B">
        <w:t xml:space="preserve"> and </w:t>
      </w:r>
      <w:r w:rsidR="00082EB6" w:rsidRPr="003C1E9B">
        <w:t xml:space="preserve">testing that </w:t>
      </w:r>
      <w:r w:rsidR="007C1F08" w:rsidRPr="003C1E9B">
        <w:t xml:space="preserve">was readily available and free of charge. </w:t>
      </w:r>
      <w:r w:rsidR="003545B9" w:rsidRPr="003C1E9B">
        <w:t xml:space="preserve">The approach to ensuring this access was also raised, including through mobile services. </w:t>
      </w:r>
    </w:p>
    <w:p w14:paraId="418552AC" w14:textId="18BA7AC6" w:rsidR="000375BA" w:rsidRPr="003C1E9B" w:rsidRDefault="000375BA" w:rsidP="000375BA">
      <w:pPr>
        <w:pStyle w:val="NumberedParagraphs-MOH"/>
        <w:numPr>
          <w:ilvl w:val="0"/>
          <w:numId w:val="0"/>
        </w:numPr>
      </w:pPr>
    </w:p>
    <w:p w14:paraId="40E78E11" w14:textId="7ED486EB" w:rsidR="000375BA" w:rsidRPr="000A70DF" w:rsidRDefault="000375BA" w:rsidP="00024981">
      <w:pPr>
        <w:pStyle w:val="NumberedParagraphs-MOH"/>
        <w:numPr>
          <w:ilvl w:val="0"/>
          <w:numId w:val="0"/>
        </w:numPr>
        <w:rPr>
          <w:rFonts w:eastAsia="Segoe UI"/>
        </w:rPr>
      </w:pPr>
      <w:r>
        <w:rPr>
          <w:noProof/>
        </w:rPr>
        <w:lastRenderedPageBreak/>
        <mc:AlternateContent>
          <mc:Choice Requires="wps">
            <w:drawing>
              <wp:anchor distT="0" distB="0" distL="114300" distR="114300" simplePos="0" relativeHeight="251659268" behindDoc="1" locked="0" layoutInCell="1" allowOverlap="1" wp14:anchorId="53713C40" wp14:editId="70BC1A02">
                <wp:simplePos x="0" y="0"/>
                <wp:positionH relativeFrom="column">
                  <wp:posOffset>370205</wp:posOffset>
                </wp:positionH>
                <wp:positionV relativeFrom="paragraph">
                  <wp:posOffset>20955</wp:posOffset>
                </wp:positionV>
                <wp:extent cx="5694680" cy="1552575"/>
                <wp:effectExtent l="0" t="0" r="20320" b="28575"/>
                <wp:wrapTight wrapText="bothSides">
                  <wp:wrapPolygon edited="0">
                    <wp:start x="0" y="0"/>
                    <wp:lineTo x="0" y="21733"/>
                    <wp:lineTo x="21605" y="21733"/>
                    <wp:lineTo x="21605" y="0"/>
                    <wp:lineTo x="0" y="0"/>
                  </wp:wrapPolygon>
                </wp:wrapTight>
                <wp:docPr id="200651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680" cy="1552575"/>
                        </a:xfrm>
                        <a:prstGeom prst="rect">
                          <a:avLst/>
                        </a:prstGeom>
                        <a:solidFill>
                          <a:srgbClr val="FFFFFF"/>
                        </a:solidFill>
                        <a:ln w="9525">
                          <a:solidFill>
                            <a:srgbClr val="000000"/>
                          </a:solidFill>
                          <a:miter lim="800000"/>
                          <a:headEnd/>
                          <a:tailEnd/>
                        </a:ln>
                      </wps:spPr>
                      <wps:txbx>
                        <w:txbxContent>
                          <w:p w14:paraId="3C8574AE" w14:textId="7E5BAEB7" w:rsidR="00BF6D74" w:rsidRDefault="00BF6D74" w:rsidP="00DB2582">
                            <w:pPr>
                              <w:pStyle w:val="NumberedParagraphs-MOH"/>
                              <w:numPr>
                                <w:ilvl w:val="0"/>
                                <w:numId w:val="23"/>
                              </w:numPr>
                              <w:rPr>
                                <w:b/>
                                <w:bCs/>
                              </w:rPr>
                            </w:pPr>
                            <w:r>
                              <w:rPr>
                                <w:b/>
                                <w:bCs/>
                              </w:rPr>
                              <w:t>Summarised priority mitigation a</w:t>
                            </w:r>
                            <w:r w:rsidRPr="002B2E0C">
                              <w:rPr>
                                <w:b/>
                                <w:bCs/>
                              </w:rPr>
                              <w:t>ction</w:t>
                            </w:r>
                            <w:r>
                              <w:rPr>
                                <w:b/>
                                <w:bCs/>
                              </w:rPr>
                              <w:t xml:space="preserve"> identified in the hui</w:t>
                            </w:r>
                            <w:r w:rsidR="009E765C">
                              <w:rPr>
                                <w:b/>
                                <w:bCs/>
                              </w:rPr>
                              <w:t>:</w:t>
                            </w:r>
                            <w:r w:rsidR="009D43C1">
                              <w:rPr>
                                <w:b/>
                                <w:bCs/>
                              </w:rPr>
                              <w:t xml:space="preserve"> </w:t>
                            </w:r>
                            <w:r w:rsidR="00E05EA7">
                              <w:rPr>
                                <w:b/>
                                <w:bCs/>
                              </w:rPr>
                              <w:t>health</w:t>
                            </w:r>
                            <w:r w:rsidR="00060785">
                              <w:rPr>
                                <w:b/>
                                <w:bCs/>
                              </w:rPr>
                              <w:t xml:space="preserve"> and </w:t>
                            </w:r>
                            <w:r w:rsidR="00E05EA7">
                              <w:rPr>
                                <w:b/>
                                <w:bCs/>
                              </w:rPr>
                              <w:t>welfare support</w:t>
                            </w:r>
                          </w:p>
                          <w:p w14:paraId="66DA0EBA" w14:textId="763CD80E" w:rsidR="00BF6D74" w:rsidRPr="00715615" w:rsidRDefault="00BF6D74" w:rsidP="00E05EA7">
                            <w:pPr>
                              <w:pStyle w:val="NumberedParagraphs-MOH"/>
                              <w:numPr>
                                <w:ilvl w:val="0"/>
                                <w:numId w:val="0"/>
                              </w:numPr>
                              <w:ind w:left="360"/>
                              <w:rPr>
                                <w:b/>
                                <w:bCs/>
                              </w:rPr>
                            </w:pPr>
                            <w:r>
                              <w:t xml:space="preserve">Appropriate and timely health </w:t>
                            </w:r>
                            <w:r w:rsidR="0095217A">
                              <w:t xml:space="preserve">and welfare </w:t>
                            </w:r>
                            <w:r>
                              <w:t>support delivered to under-served communities for the duration of their isolation, tailored to their needs, along with free testing and supports to access this testing where needed. A focus also on ensuring adequate supplies of PPE is delivered to all community providers in a timely manner.</w:t>
                            </w:r>
                          </w:p>
                          <w:p w14:paraId="7139900A" w14:textId="67DE60DF" w:rsidR="00BF6D74" w:rsidRDefault="00BF6D7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3713C40" id="_x0000_t202" coordsize="21600,21600" o:spt="202" path="m,l,21600r21600,l21600,xe">
                <v:stroke joinstyle="miter"/>
                <v:path gradientshapeok="t" o:connecttype="rect"/>
              </v:shapetype>
              <v:shape id="Text Box 2" o:spid="_x0000_s1026" type="#_x0000_t202" style="position:absolute;margin-left:29.15pt;margin-top:1.65pt;width:448.4pt;height:122.25pt;z-index:-251657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">
                <v:textbox>
                  <w:txbxContent>
                    <w:p w14:paraId="3C8574AE" w14:textId="7E5BAEB7" w:rsidR="00BF6D74" w:rsidRDefault="00BF6D74" w:rsidP="00DB2582">
                      <w:pPr>
                        <w:pStyle w:val="NumberedParagraphs-MOH"/>
                        <w:numPr>
                          <w:ilvl w:val="0"/>
                          <w:numId w:val="23"/>
                        </w:numPr>
                        <w:rPr>
                          <w:b/>
                          <w:bCs/>
                        </w:rPr>
                      </w:pPr>
                      <w:r>
                        <w:rPr>
                          <w:b/>
                          <w:bCs/>
                        </w:rPr>
                        <w:t>Summarised priority mitigation a</w:t>
                      </w:r>
                      <w:r w:rsidRPr="002B2E0C">
                        <w:rPr>
                          <w:b/>
                          <w:bCs/>
                        </w:rPr>
                        <w:t>ction</w:t>
                      </w:r>
                      <w:r>
                        <w:rPr>
                          <w:b/>
                          <w:bCs/>
                        </w:rPr>
                        <w:t xml:space="preserve"> identified in the hui</w:t>
                      </w:r>
                      <w:r w:rsidR="009E765C">
                        <w:rPr>
                          <w:b/>
                          <w:bCs/>
                        </w:rPr>
                        <w:t>:</w:t>
                      </w:r>
                      <w:r w:rsidR="009D43C1">
                        <w:rPr>
                          <w:b/>
                          <w:bCs/>
                        </w:rPr>
                        <w:t xml:space="preserve"> </w:t>
                      </w:r>
                      <w:r w:rsidR="00E05EA7">
                        <w:rPr>
                          <w:b/>
                          <w:bCs/>
                        </w:rPr>
                        <w:t>health</w:t>
                      </w:r>
                      <w:r w:rsidR="00060785">
                        <w:rPr>
                          <w:b/>
                          <w:bCs/>
                        </w:rPr>
                        <w:t xml:space="preserve"> and </w:t>
                      </w:r>
                      <w:r w:rsidR="00E05EA7">
                        <w:rPr>
                          <w:b/>
                          <w:bCs/>
                        </w:rPr>
                        <w:t>welfare support</w:t>
                      </w:r>
                    </w:p>
                    <w:p w14:paraId="66DA0EBA" w14:textId="763CD80E" w:rsidR="00BF6D74" w:rsidRPr="00715615" w:rsidRDefault="00BF6D74" w:rsidP="00E05EA7">
                      <w:pPr>
                        <w:pStyle w:val="NumberedParagraphs-MOH"/>
                        <w:numPr>
                          <w:ilvl w:val="0"/>
                          <w:numId w:val="0"/>
                        </w:numPr>
                        <w:ind w:left="360"/>
                        <w:rPr>
                          <w:b/>
                          <w:bCs/>
                        </w:rPr>
                      </w:pPr>
                      <w:r>
                        <w:t xml:space="preserve">Appropriate and timely health </w:t>
                      </w:r>
                      <w:r w:rsidR="0095217A">
                        <w:t xml:space="preserve">and welfare </w:t>
                      </w:r>
                      <w:r>
                        <w:t>support delivered to under-served communities for the duration of their isolation, tailored to their needs, along with free testing and supports to access this testing where needed. A focus also on ensuring adequate supplies of PPE is delivered to all community providers in a timely manner.</w:t>
                      </w:r>
                    </w:p>
                    <w:p w14:paraId="7139900A" w14:textId="67DE60DF" w:rsidR="00BF6D74" w:rsidRDefault="00BF6D74"/>
                  </w:txbxContent>
                </v:textbox>
                <w10:wrap type="tight"/>
              </v:shape>
            </w:pict>
          </mc:Fallback>
        </mc:AlternateContent>
      </w:r>
    </w:p>
    <w:p w14:paraId="46A8C32B" w14:textId="77777777" w:rsidR="000375BA" w:rsidRPr="003C1E9B" w:rsidRDefault="000375BA" w:rsidP="00043C1F">
      <w:pPr>
        <w:pStyle w:val="NumberedParagraphs-MOH"/>
        <w:numPr>
          <w:ilvl w:val="0"/>
          <w:numId w:val="0"/>
        </w:numPr>
        <w:rPr>
          <w:rFonts w:ascii="Segoe UI Semibold" w:eastAsiaTheme="majorEastAsia" w:hAnsi="Segoe UI Semibold" w:cs="Arial"/>
          <w:iCs/>
        </w:rPr>
      </w:pPr>
    </w:p>
    <w:p w14:paraId="30D443C8" w14:textId="2B0613C9" w:rsidR="00823D8A" w:rsidRPr="003C1E9B" w:rsidRDefault="00823D8A" w:rsidP="000375BA">
      <w:pPr>
        <w:pStyle w:val="NumberedParagraphs-MOH"/>
        <w:numPr>
          <w:ilvl w:val="0"/>
          <w:numId w:val="0"/>
        </w:numPr>
        <w:ind w:left="851" w:hanging="284"/>
        <w:rPr>
          <w:rFonts w:ascii="Segoe UI Semibold" w:eastAsiaTheme="majorEastAsia" w:hAnsi="Segoe UI Semibold" w:cs="Arial"/>
          <w:iCs/>
        </w:rPr>
      </w:pPr>
      <w:r w:rsidRPr="003C1E9B">
        <w:rPr>
          <w:rFonts w:ascii="Segoe UI Semibold" w:eastAsiaTheme="majorEastAsia" w:hAnsi="Segoe UI Semibold" w:cs="Arial"/>
          <w:iCs/>
        </w:rPr>
        <w:t xml:space="preserve">Ministry response </w:t>
      </w:r>
    </w:p>
    <w:p w14:paraId="25915F24" w14:textId="760F3A07" w:rsidR="002438D9" w:rsidRPr="003C1E9B" w:rsidRDefault="002438D9" w:rsidP="00236F15">
      <w:pPr>
        <w:suppressAutoHyphens/>
        <w:autoSpaceDE w:val="0"/>
        <w:autoSpaceDN w:val="0"/>
        <w:adjustRightInd w:val="0"/>
        <w:spacing w:before="120" w:after="120"/>
        <w:ind w:left="567"/>
        <w:textAlignment w:val="center"/>
        <w:outlineLvl w:val="3"/>
        <w:rPr>
          <w:rFonts w:ascii="Segoe UI" w:eastAsiaTheme="majorEastAsia" w:hAnsi="Segoe UI" w:cs="Segoe UI"/>
          <w:bCs/>
          <w:i/>
          <w:sz w:val="22"/>
          <w:szCs w:val="22"/>
          <w:lang w:eastAsia="x-none"/>
        </w:rPr>
      </w:pPr>
      <w:r w:rsidRPr="003C1E9B">
        <w:rPr>
          <w:rFonts w:ascii="Segoe UI" w:eastAsiaTheme="majorEastAsia" w:hAnsi="Segoe UI" w:cs="Segoe UI"/>
          <w:bCs/>
          <w:i/>
          <w:sz w:val="22"/>
          <w:szCs w:val="22"/>
          <w:lang w:eastAsia="x-none"/>
        </w:rPr>
        <w:t xml:space="preserve">The Ministry has undertaken significant work </w:t>
      </w:r>
      <w:r w:rsidR="00FC70AE" w:rsidRPr="003C1E9B">
        <w:rPr>
          <w:rFonts w:ascii="Segoe UI" w:eastAsiaTheme="majorEastAsia" w:hAnsi="Segoe UI" w:cs="Segoe UI"/>
          <w:bCs/>
          <w:i/>
          <w:sz w:val="22"/>
          <w:szCs w:val="22"/>
          <w:lang w:eastAsia="x-none"/>
        </w:rPr>
        <w:t xml:space="preserve">to ensure </w:t>
      </w:r>
      <w:r w:rsidR="00834EFC" w:rsidRPr="003C1E9B">
        <w:rPr>
          <w:rFonts w:ascii="Segoe UI" w:eastAsiaTheme="majorEastAsia" w:hAnsi="Segoe UI" w:cs="Segoe UI"/>
          <w:bCs/>
          <w:i/>
          <w:sz w:val="22"/>
          <w:szCs w:val="22"/>
          <w:lang w:eastAsia="x-none"/>
        </w:rPr>
        <w:t>priority</w:t>
      </w:r>
      <w:r w:rsidR="00295523" w:rsidRPr="003C1E9B">
        <w:rPr>
          <w:rFonts w:ascii="Segoe UI" w:eastAsiaTheme="majorEastAsia" w:hAnsi="Segoe UI" w:cs="Segoe UI"/>
          <w:bCs/>
          <w:i/>
          <w:sz w:val="22"/>
          <w:szCs w:val="22"/>
          <w:lang w:eastAsia="x-none"/>
        </w:rPr>
        <w:t xml:space="preserve"> populations have access to the support they need</w:t>
      </w:r>
      <w:r w:rsidRPr="003C1E9B">
        <w:rPr>
          <w:rFonts w:ascii="Segoe UI" w:eastAsiaTheme="majorEastAsia" w:hAnsi="Segoe UI" w:cs="Segoe UI"/>
          <w:bCs/>
          <w:i/>
          <w:sz w:val="22"/>
          <w:szCs w:val="22"/>
          <w:lang w:eastAsia="x-none"/>
        </w:rPr>
        <w:t xml:space="preserve"> </w:t>
      </w:r>
    </w:p>
    <w:p w14:paraId="54FBB939" w14:textId="77777777" w:rsidR="002438D9" w:rsidRPr="003C1E9B" w:rsidRDefault="002438D9" w:rsidP="00236F15">
      <w:pPr>
        <w:suppressAutoHyphens/>
        <w:autoSpaceDE w:val="0"/>
        <w:autoSpaceDN w:val="0"/>
        <w:adjustRightInd w:val="0"/>
        <w:spacing w:before="120" w:after="120"/>
        <w:ind w:firstLine="567"/>
        <w:textAlignment w:val="center"/>
        <w:outlineLvl w:val="3"/>
        <w:rPr>
          <w:rFonts w:ascii="Segoe UI" w:eastAsiaTheme="majorEastAsia" w:hAnsi="Segoe UI" w:cs="Segoe UI"/>
          <w:bCs/>
          <w:iCs/>
          <w:sz w:val="22"/>
          <w:szCs w:val="22"/>
          <w:u w:val="single"/>
          <w:lang w:eastAsia="x-none"/>
        </w:rPr>
      </w:pPr>
      <w:r w:rsidRPr="003C1E9B">
        <w:rPr>
          <w:rFonts w:ascii="Segoe UI" w:eastAsiaTheme="majorEastAsia" w:hAnsi="Segoe UI" w:cs="Segoe UI"/>
          <w:bCs/>
          <w:iCs/>
          <w:sz w:val="22"/>
          <w:szCs w:val="22"/>
          <w:u w:val="single"/>
          <w:lang w:eastAsia="x-none"/>
        </w:rPr>
        <w:t>Care in the Community programme including Care Coordination Hubs</w:t>
      </w:r>
    </w:p>
    <w:p w14:paraId="3B175212" w14:textId="245DA5E7" w:rsidR="002438D9" w:rsidRPr="003C1E9B" w:rsidRDefault="0783F819" w:rsidP="005D0077">
      <w:pPr>
        <w:pStyle w:val="NumberedParagraphs-MOH"/>
        <w:ind w:left="567" w:hanging="567"/>
      </w:pPr>
      <w:r>
        <w:t>The Care in the Community programme was established in November 2021 and its Care Coordination Hubs were newly stood up when the EIA was undertaken. The Care in the Community response brings together the Ministry, MSD (who lead the welfare response)</w:t>
      </w:r>
      <w:r w:rsidR="37808F1D">
        <w:t>,</w:t>
      </w:r>
      <w:r>
        <w:t xml:space="preserve"> and the Ministry of Business Innovation and Employment (as the provider of alternative isolation accommodations services) to provide integrated care and support with equity embedded at its core. The delivery of services is coordinated at the local level through 53 Care Coordination Hubs, including iwi and Pacific led Hubs, which are set up across New Zealand to provide </w:t>
      </w:r>
      <w:r w:rsidR="0C12D00C">
        <w:t>locally led</w:t>
      </w:r>
      <w:r>
        <w:t>, tailored responses to meet the needs of communities.</w:t>
      </w:r>
    </w:p>
    <w:p w14:paraId="1DFE8260" w14:textId="4CE42A24" w:rsidR="00135FAD" w:rsidRPr="003C1E9B" w:rsidRDefault="002A3B49" w:rsidP="00736857">
      <w:pPr>
        <w:pStyle w:val="NumberedParagraphs-MOH"/>
        <w:numPr>
          <w:ilvl w:val="0"/>
          <w:numId w:val="0"/>
        </w:numPr>
        <w:ind w:left="567"/>
        <w:rPr>
          <w:u w:val="single"/>
        </w:rPr>
      </w:pPr>
      <w:r w:rsidRPr="003C1E9B">
        <w:rPr>
          <w:u w:val="single"/>
        </w:rPr>
        <w:t xml:space="preserve">Prioritising priority populations in case investigation and supporting </w:t>
      </w:r>
      <w:r w:rsidR="00380FE2" w:rsidRPr="003C1E9B">
        <w:rPr>
          <w:u w:val="single"/>
        </w:rPr>
        <w:t>Māori and Pacific service delivery</w:t>
      </w:r>
    </w:p>
    <w:p w14:paraId="75145EA1" w14:textId="30F06069" w:rsidR="00DD0E4D" w:rsidRPr="00376529" w:rsidRDefault="27F7C3B1" w:rsidP="00736857">
      <w:pPr>
        <w:pStyle w:val="NumberedParagraphs-MOH"/>
        <w:ind w:left="567" w:hanging="567"/>
      </w:pPr>
      <w:r>
        <w:t xml:space="preserve">The National Case Investigation Service, delivered by Reach Aotearoa, was stood up to support the investigation of cases in November 2021. Calling capacity was prioritised to priority populations with a focus on culture and language matches where possible. </w:t>
      </w:r>
      <w:r w:rsidR="25F96BC4">
        <w:t xml:space="preserve">These calls focus on ‘walking’ </w:t>
      </w:r>
      <w:r w:rsidR="03116F16">
        <w:t>individuals</w:t>
      </w:r>
      <w:r w:rsidR="25F96BC4">
        <w:t xml:space="preserve"> through the self-investigation and close contacts identification forms and connect</w:t>
      </w:r>
      <w:r w:rsidR="73FCAB5C">
        <w:t>ing</w:t>
      </w:r>
      <w:r w:rsidR="25F96BC4">
        <w:t xml:space="preserve"> people into relevant health and care support systems under the Care in the Community pathway. </w:t>
      </w:r>
      <w:r w:rsidR="6AB22B2D">
        <w:t xml:space="preserve">The </w:t>
      </w:r>
      <w:r w:rsidR="309E6691">
        <w:t>Māori Regional Coordination Hub (MRCH) and Pacific Regional Coordination Hub (</w:t>
      </w:r>
      <w:proofErr w:type="spellStart"/>
      <w:r w:rsidR="309E6691">
        <w:t>PaRCH</w:t>
      </w:r>
      <w:proofErr w:type="spellEnd"/>
      <w:r w:rsidR="309E6691">
        <w:t xml:space="preserve">) </w:t>
      </w:r>
      <w:r w:rsidR="47492460">
        <w:t xml:space="preserve">was </w:t>
      </w:r>
      <w:r w:rsidR="4945B637">
        <w:t xml:space="preserve">established in </w:t>
      </w:r>
      <w:r w:rsidR="731C07C9">
        <w:t>late January</w:t>
      </w:r>
      <w:r w:rsidR="3225A1F4">
        <w:t xml:space="preserve"> </w:t>
      </w:r>
      <w:r w:rsidR="731C07C9">
        <w:t xml:space="preserve">2022 </w:t>
      </w:r>
      <w:r w:rsidR="47492460">
        <w:t xml:space="preserve">in partnership with the NHRCC to </w:t>
      </w:r>
      <w:r w:rsidR="309E6691">
        <w:t xml:space="preserve">receive and manage all Māori and Pacific COVID-19 cases in </w:t>
      </w:r>
      <w:proofErr w:type="spellStart"/>
      <w:r w:rsidR="309E6691">
        <w:t>Tāmaki</w:t>
      </w:r>
      <w:proofErr w:type="spellEnd"/>
      <w:r w:rsidR="309E6691">
        <w:t xml:space="preserve"> Makaurau. MRCH and </w:t>
      </w:r>
      <w:proofErr w:type="spellStart"/>
      <w:r w:rsidR="309E6691">
        <w:t>PaRCH</w:t>
      </w:r>
      <w:proofErr w:type="spellEnd"/>
      <w:r w:rsidR="309E6691">
        <w:t xml:space="preserve"> provide a unique opportunity for Māori and Pacific peoples with COVID-19 to be supported and engaged with through a by-Māori for-Māori and by-Pacific peoples for-Pacific peoples model. </w:t>
      </w:r>
    </w:p>
    <w:p w14:paraId="08B445AC" w14:textId="115BA1A3" w:rsidR="002438D9" w:rsidRPr="00376529" w:rsidRDefault="002438D9" w:rsidP="00236F15">
      <w:pPr>
        <w:suppressAutoHyphens/>
        <w:autoSpaceDE w:val="0"/>
        <w:autoSpaceDN w:val="0"/>
        <w:adjustRightInd w:val="0"/>
        <w:spacing w:before="120" w:after="120"/>
        <w:ind w:firstLine="567"/>
        <w:textAlignment w:val="center"/>
        <w:outlineLvl w:val="3"/>
        <w:rPr>
          <w:rFonts w:ascii="Segoe UI" w:eastAsiaTheme="majorEastAsia" w:hAnsi="Segoe UI" w:cs="Segoe UI"/>
          <w:bCs/>
          <w:iCs/>
          <w:sz w:val="22"/>
          <w:szCs w:val="22"/>
          <w:u w:val="single"/>
          <w:lang w:eastAsia="x-none"/>
        </w:rPr>
      </w:pPr>
      <w:r w:rsidRPr="00376529">
        <w:rPr>
          <w:rFonts w:ascii="Segoe UI" w:eastAsiaTheme="majorEastAsia" w:hAnsi="Segoe UI" w:cs="Segoe UI"/>
          <w:bCs/>
          <w:iCs/>
          <w:sz w:val="22"/>
          <w:szCs w:val="22"/>
          <w:u w:val="single"/>
          <w:lang w:eastAsia="x-none"/>
        </w:rPr>
        <w:t xml:space="preserve">Investment has been made and services established </w:t>
      </w:r>
      <w:r w:rsidR="005D0077" w:rsidRPr="00376529">
        <w:rPr>
          <w:rFonts w:ascii="Segoe UI" w:eastAsiaTheme="majorEastAsia" w:hAnsi="Segoe UI" w:cs="Segoe UI"/>
          <w:bCs/>
          <w:iCs/>
          <w:sz w:val="22"/>
          <w:szCs w:val="22"/>
          <w:u w:val="single"/>
          <w:lang w:eastAsia="x-none"/>
        </w:rPr>
        <w:t xml:space="preserve">targeted at </w:t>
      </w:r>
      <w:r w:rsidRPr="00376529">
        <w:rPr>
          <w:rFonts w:ascii="Segoe UI" w:eastAsiaTheme="majorEastAsia" w:hAnsi="Segoe UI" w:cs="Segoe UI"/>
          <w:bCs/>
          <w:iCs/>
          <w:sz w:val="22"/>
          <w:szCs w:val="22"/>
          <w:u w:val="single"/>
          <w:lang w:eastAsia="x-none"/>
        </w:rPr>
        <w:t>under-served communities</w:t>
      </w:r>
    </w:p>
    <w:p w14:paraId="06E195C1" w14:textId="2F85F2B5" w:rsidR="002438D9" w:rsidRPr="00376529" w:rsidRDefault="0783F819" w:rsidP="002438D9">
      <w:pPr>
        <w:pStyle w:val="NumberedParagraphs-MOH"/>
        <w:ind w:left="567" w:hanging="567"/>
      </w:pPr>
      <w:r>
        <w:t>The Ministry has invested $2</w:t>
      </w:r>
      <w:r w:rsidR="7CA42666">
        <w:t>2</w:t>
      </w:r>
      <w:r>
        <w:t xml:space="preserve"> million to </w:t>
      </w:r>
      <w:r w:rsidR="564B3BDE">
        <w:t xml:space="preserve">support Pacific health providers to respond to Omicron. </w:t>
      </w:r>
      <w:r>
        <w:t xml:space="preserve">This investment has supported </w:t>
      </w:r>
      <w:r w:rsidR="5CD2CA2F">
        <w:t xml:space="preserve">sustaining service capacity and </w:t>
      </w:r>
      <w:r>
        <w:t xml:space="preserve">provider response activities such as maintaining a focus on vaccinations, delivering multiple additional </w:t>
      </w:r>
      <w:proofErr w:type="gramStart"/>
      <w:r>
        <w:t>pop-up</w:t>
      </w:r>
      <w:proofErr w:type="gramEnd"/>
      <w:r>
        <w:t xml:space="preserve"> testing sites, providing wrap-around health and social support, providing mental health support and delivering much needed business as usual services, particularly for Pacific families with complex needs. </w:t>
      </w:r>
    </w:p>
    <w:p w14:paraId="061B4DA3" w14:textId="51BE65AE" w:rsidR="00CF59A9" w:rsidRPr="00376529" w:rsidRDefault="0783F819" w:rsidP="00CF59A9">
      <w:pPr>
        <w:pStyle w:val="NumberedParagraphs-MOH"/>
        <w:ind w:left="567" w:hanging="567"/>
      </w:pPr>
      <w:r>
        <w:t xml:space="preserve">In September 2021, the Ministry established a $4 million transport fund to support disabled people to access vaccination services and supported the standing up of a disability-focused phone and text service through </w:t>
      </w:r>
      <w:proofErr w:type="spellStart"/>
      <w:r>
        <w:t>Whakarongorau</w:t>
      </w:r>
      <w:proofErr w:type="spellEnd"/>
      <w:r>
        <w:t xml:space="preserve"> Aotearoa</w:t>
      </w:r>
      <w:r w:rsidR="4F435F26">
        <w:t xml:space="preserve"> </w:t>
      </w:r>
      <w:r>
        <w:t xml:space="preserve">staffed by people with lived </w:t>
      </w:r>
      <w:r>
        <w:lastRenderedPageBreak/>
        <w:t xml:space="preserve">experience and </w:t>
      </w:r>
      <w:proofErr w:type="spellStart"/>
      <w:r>
        <w:t>whānau</w:t>
      </w:r>
      <w:proofErr w:type="spellEnd"/>
      <w:r>
        <w:t xml:space="preserve"> </w:t>
      </w:r>
      <w:proofErr w:type="spellStart"/>
      <w:r>
        <w:t>whaikaha</w:t>
      </w:r>
      <w:proofErr w:type="spellEnd"/>
      <w:r>
        <w:t xml:space="preserve"> (</w:t>
      </w:r>
      <w:proofErr w:type="spellStart"/>
      <w:r>
        <w:t>whānau</w:t>
      </w:r>
      <w:proofErr w:type="spellEnd"/>
      <w:r>
        <w:t xml:space="preserve"> of disabled people)</w:t>
      </w:r>
      <w:r w:rsidR="4F435F26">
        <w:t>.</w:t>
      </w:r>
      <w:r>
        <w:t xml:space="preserve"> </w:t>
      </w:r>
      <w:r w:rsidR="4F435F26">
        <w:t xml:space="preserve">Through this line disabled people and their </w:t>
      </w:r>
      <w:proofErr w:type="spellStart"/>
      <w:r w:rsidR="4F435F26">
        <w:t>whānau</w:t>
      </w:r>
      <w:proofErr w:type="spellEnd"/>
      <w:r w:rsidR="4F435F26">
        <w:t xml:space="preserve"> can access advice on vaccinations, mask exemptions, and support if they or their family test positive for COVID-19. Soon this service will be extended further to offer support to disabled people who have urgent missed cares</w:t>
      </w:r>
      <w:r w:rsidR="5690039F">
        <w:t xml:space="preserve"> (</w:t>
      </w:r>
      <w:proofErr w:type="spellStart"/>
      <w:r w:rsidR="29EBEF7A">
        <w:t>eg</w:t>
      </w:r>
      <w:proofErr w:type="spellEnd"/>
      <w:r w:rsidR="29EBEF7A">
        <w:t xml:space="preserve"> if their carer has COVID-19 and is unable to provide care)</w:t>
      </w:r>
      <w:r w:rsidR="4F435F26">
        <w:t xml:space="preserve"> – people will be able to call this number to discuss their missed cares and get some assistance if the situation is considered urgent.</w:t>
      </w:r>
    </w:p>
    <w:p w14:paraId="2E5A61E5" w14:textId="6821424D" w:rsidR="00CB4F78" w:rsidRPr="00376529" w:rsidRDefault="0DF6760C" w:rsidP="00CB4F78">
      <w:pPr>
        <w:pStyle w:val="NumberedParagraphs-MOH"/>
        <w:ind w:left="567" w:hanging="567"/>
      </w:pPr>
      <w:r>
        <w:t xml:space="preserve">In late 2021, the Ministry supported Care Coordination Hubs to work with local Māori health providers to ensure </w:t>
      </w:r>
      <w:proofErr w:type="spellStart"/>
      <w:r>
        <w:t>whānau</w:t>
      </w:r>
      <w:proofErr w:type="spellEnd"/>
      <w:r>
        <w:t xml:space="preserve"> had access to rapid antigen tests (RATs). This led to the establishment of the national ‘Māori providers distribution channel’ where providers across New Zealand receive RATs from a central distribution point </w:t>
      </w:r>
      <w:r w:rsidR="0C6CBE30">
        <w:t>to</w:t>
      </w:r>
      <w:r>
        <w:t xml:space="preserve"> distribute to </w:t>
      </w:r>
      <w:proofErr w:type="spellStart"/>
      <w:r>
        <w:t>whānau</w:t>
      </w:r>
      <w:proofErr w:type="spellEnd"/>
      <w:r>
        <w:t xml:space="preserve"> and organisations in their community. </w:t>
      </w:r>
    </w:p>
    <w:p w14:paraId="07F4D5A5" w14:textId="39D26019" w:rsidR="00226FBD" w:rsidRPr="00376529" w:rsidRDefault="00A352A4" w:rsidP="00A423CC">
      <w:pPr>
        <w:pStyle w:val="ListParagraph"/>
        <w:keepNext/>
        <w:numPr>
          <w:ilvl w:val="0"/>
          <w:numId w:val="9"/>
        </w:numPr>
        <w:spacing w:before="360" w:after="120" w:line="259" w:lineRule="auto"/>
        <w:ind w:left="584" w:hanging="357"/>
        <w:jc w:val="both"/>
        <w:outlineLvl w:val="1"/>
        <w:rPr>
          <w:rFonts w:ascii="Segoe UI Semibold" w:eastAsiaTheme="majorEastAsia" w:hAnsi="Segoe UI Semibold" w:cs="Arial"/>
          <w:iCs/>
        </w:rPr>
      </w:pPr>
      <w:r w:rsidRPr="00376529">
        <w:rPr>
          <w:rFonts w:ascii="Segoe UI Semibold" w:eastAsiaTheme="majorEastAsia" w:hAnsi="Segoe UI Semibold" w:cs="Arial"/>
          <w:iCs/>
        </w:rPr>
        <w:t>Funding</w:t>
      </w:r>
      <w:r w:rsidR="004A154D" w:rsidRPr="00376529">
        <w:rPr>
          <w:rFonts w:ascii="Segoe UI Semibold" w:eastAsiaTheme="majorEastAsia" w:hAnsi="Segoe UI Semibold" w:cs="Arial"/>
          <w:iCs/>
        </w:rPr>
        <w:t xml:space="preserve"> </w:t>
      </w:r>
      <w:r w:rsidR="00C46E9E" w:rsidRPr="00376529">
        <w:rPr>
          <w:rFonts w:ascii="Segoe UI Semibold" w:eastAsiaTheme="majorEastAsia" w:hAnsi="Segoe UI Semibold" w:cs="Arial"/>
          <w:iCs/>
        </w:rPr>
        <w:t>to support a pro-equity approach</w:t>
      </w:r>
    </w:p>
    <w:p w14:paraId="1161717C" w14:textId="42724D79" w:rsidR="003E5917" w:rsidRPr="00376529" w:rsidRDefault="3E1164F7" w:rsidP="003E5917">
      <w:pPr>
        <w:pStyle w:val="NumberedParagraphs-MOH"/>
        <w:ind w:left="567" w:hanging="567"/>
      </w:pPr>
      <w:r>
        <w:t>C</w:t>
      </w:r>
      <w:r w:rsidR="7FDE6433">
        <w:t xml:space="preserve">oncerns </w:t>
      </w:r>
      <w:r>
        <w:t xml:space="preserve">were raised </w:t>
      </w:r>
      <w:r w:rsidR="7FDE6433">
        <w:t xml:space="preserve">about the allocation of </w:t>
      </w:r>
      <w:r w:rsidR="7D2D9709">
        <w:t xml:space="preserve">enough </w:t>
      </w:r>
      <w:r w:rsidR="7FDE6433">
        <w:t xml:space="preserve">funding </w:t>
      </w:r>
      <w:r w:rsidR="67965A0B">
        <w:t>to provide wrap-around services</w:t>
      </w:r>
      <w:r w:rsidR="0FEA3E4F">
        <w:t xml:space="preserve"> and a ‘</w:t>
      </w:r>
      <w:proofErr w:type="spellStart"/>
      <w:r w:rsidR="0FEA3E4F">
        <w:t>manaaki</w:t>
      </w:r>
      <w:proofErr w:type="spellEnd"/>
      <w:r w:rsidR="0FEA3E4F">
        <w:t xml:space="preserve"> first’ approach</w:t>
      </w:r>
      <w:r w:rsidR="67965A0B">
        <w:t xml:space="preserve"> to at-risk communit</w:t>
      </w:r>
      <w:r w:rsidR="4E5CDA8D">
        <w:t xml:space="preserve">ies </w:t>
      </w:r>
      <w:r w:rsidR="7D2D9709">
        <w:t>in a sustainable way</w:t>
      </w:r>
      <w:r w:rsidR="67965A0B">
        <w:t xml:space="preserve">, particularly </w:t>
      </w:r>
      <w:r w:rsidR="7E04CA71">
        <w:t>to Māori and community-based providers</w:t>
      </w:r>
      <w:r w:rsidR="7FDE6433">
        <w:t>.</w:t>
      </w:r>
    </w:p>
    <w:p w14:paraId="00612D3A" w14:textId="4792134A" w:rsidR="00CB4B46" w:rsidRPr="00376529" w:rsidRDefault="006B1718" w:rsidP="00EC272D">
      <w:pPr>
        <w:pStyle w:val="NumberedParagraphs-MOH"/>
        <w:numPr>
          <w:ilvl w:val="0"/>
          <w:numId w:val="0"/>
        </w:numPr>
        <w:ind w:left="567"/>
        <w:rPr>
          <w:iCs/>
        </w:rPr>
      </w:pPr>
      <w:r w:rsidRPr="00376529">
        <w:rPr>
          <w:iCs/>
        </w:rPr>
        <w:t xml:space="preserve">‘Automated welfare outside main providers is required to enable access into the system. Non-health providers need to be able to access the </w:t>
      </w:r>
      <w:proofErr w:type="spellStart"/>
      <w:r w:rsidR="002928B2">
        <w:rPr>
          <w:iCs/>
        </w:rPr>
        <w:t>m</w:t>
      </w:r>
      <w:r w:rsidRPr="00376529">
        <w:rPr>
          <w:iCs/>
        </w:rPr>
        <w:t>anaaki</w:t>
      </w:r>
      <w:proofErr w:type="spellEnd"/>
      <w:r w:rsidRPr="00376529">
        <w:rPr>
          <w:iCs/>
        </w:rPr>
        <w:t xml:space="preserve"> first pathway of funding and welfare provision.’</w:t>
      </w:r>
    </w:p>
    <w:p w14:paraId="2B187E57" w14:textId="77777777" w:rsidR="00417845" w:rsidRPr="00376529" w:rsidRDefault="00CB4B46" w:rsidP="00EC272D">
      <w:pPr>
        <w:pStyle w:val="NumberedParagraphs-MOH"/>
        <w:numPr>
          <w:ilvl w:val="0"/>
          <w:numId w:val="0"/>
        </w:numPr>
        <w:ind w:left="567"/>
        <w:rPr>
          <w:iCs/>
        </w:rPr>
      </w:pPr>
      <w:r w:rsidRPr="00376529">
        <w:rPr>
          <w:iCs/>
        </w:rPr>
        <w:t>‘Communities and providers are preparing but need resources that are ongoing and adequate to enable sustained service provision.</w:t>
      </w:r>
      <w:r w:rsidR="000D7406" w:rsidRPr="00376529">
        <w:rPr>
          <w:iCs/>
        </w:rPr>
        <w:t xml:space="preserve"> </w:t>
      </w:r>
      <w:r w:rsidRPr="00376529">
        <w:rPr>
          <w:iCs/>
        </w:rPr>
        <w:t>Direct funding and ability to provide end-to-end services appears to be a barrier for this preparation.’</w:t>
      </w:r>
    </w:p>
    <w:p w14:paraId="2DA808F6" w14:textId="1054AA8A" w:rsidR="009825A9" w:rsidRPr="00376529" w:rsidRDefault="4391F9FF" w:rsidP="00D4574A">
      <w:pPr>
        <w:pStyle w:val="NumberedParagraphs-MOH"/>
        <w:ind w:left="567" w:hanging="567"/>
      </w:pPr>
      <w:r>
        <w:t>Targeted resource allocation</w:t>
      </w:r>
      <w:r w:rsidR="6BA3643D">
        <w:t xml:space="preserve">, </w:t>
      </w:r>
      <w:r w:rsidR="2DD8555C">
        <w:t>flexible funding models</w:t>
      </w:r>
      <w:r w:rsidR="6BA3643D">
        <w:t>, and bulk or frontloading funding to</w:t>
      </w:r>
      <w:r w:rsidR="52670A2C">
        <w:t xml:space="preserve"> providers to</w:t>
      </w:r>
      <w:r w:rsidR="6BA3643D">
        <w:t xml:space="preserve"> help </w:t>
      </w:r>
      <w:r w:rsidR="20E82293">
        <w:t>them to prepare,</w:t>
      </w:r>
      <w:r w:rsidR="2DD8555C">
        <w:t xml:space="preserve"> </w:t>
      </w:r>
      <w:r w:rsidR="52670A2C">
        <w:t>were</w:t>
      </w:r>
      <w:r w:rsidR="0FEA3E4F">
        <w:t xml:space="preserve"> common solution</w:t>
      </w:r>
      <w:r w:rsidR="52670A2C">
        <w:t>s</w:t>
      </w:r>
      <w:r w:rsidR="0FEA3E4F">
        <w:t xml:space="preserve"> raised</w:t>
      </w:r>
      <w:r>
        <w:t xml:space="preserve"> that could enable</w:t>
      </w:r>
      <w:r w:rsidR="52670A2C">
        <w:t xml:space="preserve"> a</w:t>
      </w:r>
      <w:r>
        <w:t xml:space="preserve"> pro-equity </w:t>
      </w:r>
      <w:r w:rsidR="52670A2C">
        <w:t>approach to be actioned</w:t>
      </w:r>
      <w:r>
        <w:t>.</w:t>
      </w:r>
      <w:r w:rsidR="52670A2C">
        <w:t xml:space="preserve"> For </w:t>
      </w:r>
      <w:r w:rsidR="047A5B6A">
        <w:t xml:space="preserve">vulnerable </w:t>
      </w:r>
      <w:r w:rsidR="52670A2C">
        <w:t xml:space="preserve">individuals and their </w:t>
      </w:r>
      <w:proofErr w:type="spellStart"/>
      <w:r w:rsidR="52670A2C">
        <w:t>whānau</w:t>
      </w:r>
      <w:proofErr w:type="spellEnd"/>
      <w:r w:rsidR="52670A2C">
        <w:t xml:space="preserve">, the provision of </w:t>
      </w:r>
      <w:r w:rsidR="2204223D">
        <w:t>‘</w:t>
      </w:r>
      <w:r w:rsidR="52670A2C">
        <w:t>no questions asked</w:t>
      </w:r>
      <w:r w:rsidR="2204223D">
        <w:t>’</w:t>
      </w:r>
      <w:r w:rsidR="52670A2C">
        <w:t xml:space="preserve"> </w:t>
      </w:r>
      <w:r w:rsidR="2204223D">
        <w:t>income</w:t>
      </w:r>
      <w:r w:rsidR="047A5B6A">
        <w:t xml:space="preserve"> and supports</w:t>
      </w:r>
      <w:r w:rsidR="52670A2C">
        <w:t xml:space="preserve"> without </w:t>
      </w:r>
      <w:r w:rsidR="047A5B6A">
        <w:t xml:space="preserve">the </w:t>
      </w:r>
      <w:r w:rsidR="52670A2C">
        <w:t xml:space="preserve">need to prove eligibility or register into a government system was a common recommendation. </w:t>
      </w:r>
    </w:p>
    <w:p w14:paraId="67007977" w14:textId="5B6D9A79" w:rsidR="00275CDE" w:rsidRPr="00376529" w:rsidRDefault="00DB2582" w:rsidP="00EC272D">
      <w:pPr>
        <w:pStyle w:val="NumberedParagraphs-MOH"/>
        <w:numPr>
          <w:ilvl w:val="0"/>
          <w:numId w:val="0"/>
        </w:numPr>
        <w:ind w:left="567"/>
        <w:rPr>
          <w:iCs/>
        </w:rPr>
      </w:pPr>
      <w:r w:rsidRPr="000A70DF">
        <w:rPr>
          <w:noProof/>
        </w:rPr>
        <mc:AlternateContent>
          <mc:Choice Requires="wps">
            <w:drawing>
              <wp:anchor distT="45720" distB="45720" distL="114300" distR="114300" simplePos="0" relativeHeight="251658240" behindDoc="1" locked="0" layoutInCell="1" allowOverlap="1" wp14:anchorId="1EDFECDA" wp14:editId="449A420C">
                <wp:simplePos x="0" y="0"/>
                <wp:positionH relativeFrom="column">
                  <wp:posOffset>368935</wp:posOffset>
                </wp:positionH>
                <wp:positionV relativeFrom="paragraph">
                  <wp:posOffset>873760</wp:posOffset>
                </wp:positionV>
                <wp:extent cx="5705475" cy="1078230"/>
                <wp:effectExtent l="0" t="0" r="28575" b="26670"/>
                <wp:wrapTight wrapText="bothSides">
                  <wp:wrapPolygon edited="0">
                    <wp:start x="0" y="0"/>
                    <wp:lineTo x="0" y="21753"/>
                    <wp:lineTo x="21636" y="21753"/>
                    <wp:lineTo x="2163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8230"/>
                        </a:xfrm>
                        <a:prstGeom prst="rect">
                          <a:avLst/>
                        </a:prstGeom>
                        <a:solidFill>
                          <a:srgbClr val="FFFFFF"/>
                        </a:solidFill>
                        <a:ln w="9525">
                          <a:solidFill>
                            <a:srgbClr val="000000"/>
                          </a:solidFill>
                          <a:miter lim="800000"/>
                          <a:headEnd/>
                          <a:tailEnd/>
                        </a:ln>
                      </wps:spPr>
                      <wps:txbx>
                        <w:txbxContent>
                          <w:p w14:paraId="498A377D" w14:textId="306A348E" w:rsidR="00275CDE" w:rsidRDefault="009D43C1" w:rsidP="00DB2582">
                            <w:pPr>
                              <w:pStyle w:val="NumberedParagraphs-MOH"/>
                              <w:numPr>
                                <w:ilvl w:val="0"/>
                                <w:numId w:val="23"/>
                              </w:numPr>
                              <w:rPr>
                                <w:b/>
                                <w:bCs/>
                              </w:rPr>
                            </w:pPr>
                            <w:r>
                              <w:rPr>
                                <w:b/>
                                <w:bCs/>
                              </w:rPr>
                              <w:t>Summarised priority mitigation a</w:t>
                            </w:r>
                            <w:r w:rsidRPr="002B2E0C">
                              <w:rPr>
                                <w:b/>
                                <w:bCs/>
                              </w:rPr>
                              <w:t>ction</w:t>
                            </w:r>
                            <w:r>
                              <w:rPr>
                                <w:b/>
                                <w:bCs/>
                              </w:rPr>
                              <w:t xml:space="preserve"> identified in the hui</w:t>
                            </w:r>
                            <w:r w:rsidR="00275CDE" w:rsidRPr="002B2E0C">
                              <w:rPr>
                                <w:b/>
                                <w:bCs/>
                              </w:rPr>
                              <w:t>:</w:t>
                            </w:r>
                            <w:r w:rsidR="00DB2582">
                              <w:rPr>
                                <w:b/>
                                <w:bCs/>
                              </w:rPr>
                              <w:t xml:space="preserve"> funding</w:t>
                            </w:r>
                          </w:p>
                          <w:p w14:paraId="567F99C4" w14:textId="1007B974" w:rsidR="00275CDE" w:rsidRDefault="00275CDE" w:rsidP="00DB2582">
                            <w:pPr>
                              <w:pStyle w:val="NumberedParagraphs-MOH"/>
                              <w:numPr>
                                <w:ilvl w:val="0"/>
                                <w:numId w:val="0"/>
                              </w:numPr>
                              <w:ind w:left="360"/>
                            </w:pPr>
                            <w:r>
                              <w:t>Enable flexible funding models that provide direct funding to Māori and community-based providers to support communities with ‘no questions asked</w:t>
                            </w:r>
                            <w:r w:rsidR="00FB1751">
                              <w:t>’</w:t>
                            </w:r>
                            <w:r>
                              <w:t xml:space="preserve"> support.  </w:t>
                            </w:r>
                          </w:p>
                          <w:p w14:paraId="4D02C567" w14:textId="77777777" w:rsidR="00275CDE" w:rsidRDefault="00275CDE" w:rsidP="00275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FECDA" id="_x0000_s1027" type="#_x0000_t202" style="position:absolute;left:0;text-align:left;margin-left:29.05pt;margin-top:68.8pt;width:449.25pt;height:84.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">
                <v:textbox>
                  <w:txbxContent>
                    <w:p w14:paraId="498A377D" w14:textId="306A348E" w:rsidR="00275CDE" w:rsidRDefault="009D43C1" w:rsidP="00DB2582">
                      <w:pPr>
                        <w:pStyle w:val="NumberedParagraphs-MOH"/>
                        <w:numPr>
                          <w:ilvl w:val="0"/>
                          <w:numId w:val="23"/>
                        </w:numPr>
                        <w:rPr>
                          <w:b/>
                          <w:bCs/>
                        </w:rPr>
                      </w:pPr>
                      <w:r>
                        <w:rPr>
                          <w:b/>
                          <w:bCs/>
                        </w:rPr>
                        <w:t>Summarised priority mitigation a</w:t>
                      </w:r>
                      <w:r w:rsidRPr="002B2E0C">
                        <w:rPr>
                          <w:b/>
                          <w:bCs/>
                        </w:rPr>
                        <w:t>ction</w:t>
                      </w:r>
                      <w:r>
                        <w:rPr>
                          <w:b/>
                          <w:bCs/>
                        </w:rPr>
                        <w:t xml:space="preserve"> identified in the hui</w:t>
                      </w:r>
                      <w:r w:rsidR="00275CDE" w:rsidRPr="002B2E0C">
                        <w:rPr>
                          <w:b/>
                          <w:bCs/>
                        </w:rPr>
                        <w:t>:</w:t>
                      </w:r>
                      <w:r w:rsidR="00DB2582">
                        <w:rPr>
                          <w:b/>
                          <w:bCs/>
                        </w:rPr>
                        <w:t xml:space="preserve"> funding</w:t>
                      </w:r>
                    </w:p>
                    <w:p w14:paraId="567F99C4" w14:textId="1007B974" w:rsidR="00275CDE" w:rsidRDefault="00275CDE" w:rsidP="00DB2582">
                      <w:pPr>
                        <w:pStyle w:val="NumberedParagraphs-MOH"/>
                        <w:numPr>
                          <w:ilvl w:val="0"/>
                          <w:numId w:val="0"/>
                        </w:numPr>
                        <w:ind w:left="360"/>
                      </w:pPr>
                      <w:r>
                        <w:t>Enable flexible funding models that provide direct funding to Māori and community-based providers to support communities with ‘no questions asked</w:t>
                      </w:r>
                      <w:r w:rsidR="00FB1751">
                        <w:t>’</w:t>
                      </w:r>
                      <w:r>
                        <w:t xml:space="preserve"> support.  </w:t>
                      </w:r>
                    </w:p>
                    <w:p w14:paraId="4D02C567" w14:textId="77777777" w:rsidR="00275CDE" w:rsidRDefault="00275CDE" w:rsidP="00275CDE"/>
                  </w:txbxContent>
                </v:textbox>
                <w10:wrap type="tight"/>
              </v:shape>
            </w:pict>
          </mc:Fallback>
        </mc:AlternateContent>
      </w:r>
      <w:r w:rsidR="00767AF3" w:rsidRPr="000A70DF">
        <w:rPr>
          <w:iCs/>
        </w:rPr>
        <w:t xml:space="preserve">‘Automating welfare support in a medium and </w:t>
      </w:r>
      <w:r w:rsidR="00937889" w:rsidRPr="000A70DF">
        <w:rPr>
          <w:iCs/>
        </w:rPr>
        <w:t>high-risk</w:t>
      </w:r>
      <w:r w:rsidR="00E02580" w:rsidRPr="003C1E9B">
        <w:rPr>
          <w:iCs/>
        </w:rPr>
        <w:t xml:space="preserve"> </w:t>
      </w:r>
      <w:r w:rsidR="00767AF3" w:rsidRPr="003C1E9B">
        <w:rPr>
          <w:iCs/>
        </w:rPr>
        <w:t>community would help mitigate disproportionate impacts on low socioeconomic, marginalised communities and areas of high housing deprivation.’</w:t>
      </w:r>
    </w:p>
    <w:p w14:paraId="26EAED33" w14:textId="2F0B3143" w:rsidR="0092165A" w:rsidRPr="00376529" w:rsidRDefault="0092165A" w:rsidP="00A423CC">
      <w:pPr>
        <w:pStyle w:val="ListParagraph"/>
        <w:keepNext/>
        <w:spacing w:before="120" w:after="120" w:line="259" w:lineRule="auto"/>
        <w:ind w:left="505" w:firstLine="62"/>
        <w:jc w:val="both"/>
        <w:outlineLvl w:val="1"/>
        <w:rPr>
          <w:rFonts w:ascii="Segoe UI Semibold" w:eastAsiaTheme="majorEastAsia" w:hAnsi="Segoe UI Semibold" w:cs="Arial"/>
          <w:iCs/>
          <w:lang w:eastAsia="en-NZ"/>
        </w:rPr>
      </w:pPr>
      <w:r w:rsidRPr="00376529">
        <w:rPr>
          <w:rFonts w:ascii="Segoe UI Semibold" w:eastAsiaTheme="majorEastAsia" w:hAnsi="Segoe UI Semibold" w:cs="Arial"/>
          <w:iCs/>
          <w:lang w:eastAsia="en-NZ"/>
        </w:rPr>
        <w:t xml:space="preserve">Ministry response </w:t>
      </w:r>
    </w:p>
    <w:p w14:paraId="25874B32" w14:textId="090E3A50" w:rsidR="0092165A" w:rsidRPr="00376529" w:rsidRDefault="00442AFB" w:rsidP="00AF402A">
      <w:pPr>
        <w:suppressAutoHyphens/>
        <w:autoSpaceDE w:val="0"/>
        <w:autoSpaceDN w:val="0"/>
        <w:adjustRightInd w:val="0"/>
        <w:spacing w:before="120" w:after="120"/>
        <w:ind w:firstLine="567"/>
        <w:textAlignment w:val="center"/>
        <w:outlineLvl w:val="3"/>
        <w:rPr>
          <w:rFonts w:ascii="Segoe UI" w:eastAsiaTheme="majorEastAsia" w:hAnsi="Segoe UI" w:cs="Segoe UI"/>
          <w:bCs/>
          <w:i/>
          <w:sz w:val="22"/>
          <w:szCs w:val="22"/>
          <w:lang w:eastAsia="x-none"/>
        </w:rPr>
      </w:pPr>
      <w:r w:rsidRPr="00376529">
        <w:rPr>
          <w:rFonts w:ascii="Segoe UI" w:eastAsiaTheme="majorEastAsia" w:hAnsi="Segoe UI" w:cs="Segoe UI"/>
          <w:bCs/>
          <w:i/>
          <w:sz w:val="22"/>
          <w:szCs w:val="22"/>
          <w:lang w:eastAsia="x-none"/>
        </w:rPr>
        <w:t xml:space="preserve">The Ministry is </w:t>
      </w:r>
      <w:r w:rsidR="0004556F" w:rsidRPr="00376529">
        <w:rPr>
          <w:rFonts w:ascii="Segoe UI" w:eastAsiaTheme="majorEastAsia" w:hAnsi="Segoe UI" w:cs="Segoe UI"/>
          <w:bCs/>
          <w:i/>
          <w:sz w:val="22"/>
          <w:szCs w:val="22"/>
          <w:lang w:eastAsia="x-none"/>
        </w:rPr>
        <w:t xml:space="preserve">investing significantly in </w:t>
      </w:r>
      <w:r w:rsidR="0092165A" w:rsidRPr="00376529">
        <w:rPr>
          <w:rFonts w:ascii="Segoe UI" w:eastAsiaTheme="majorEastAsia" w:hAnsi="Segoe UI" w:cs="Segoe UI"/>
          <w:bCs/>
          <w:i/>
          <w:sz w:val="22"/>
          <w:szCs w:val="22"/>
          <w:lang w:eastAsia="x-none"/>
        </w:rPr>
        <w:t>Māori and Pacific models of care</w:t>
      </w:r>
    </w:p>
    <w:p w14:paraId="525C7655" w14:textId="77777777" w:rsidR="0092165A" w:rsidRPr="00376529" w:rsidRDefault="229B1FE3" w:rsidP="0092165A">
      <w:pPr>
        <w:pStyle w:val="NumberedParagraphs-MOH"/>
        <w:ind w:left="567" w:hanging="567"/>
      </w:pPr>
      <w:r>
        <w:t xml:space="preserve">Through Budget 2022, the Ministry is providing significant, ongoing investment in Māori and Pacific models of care, as well as developing better engagement pathways for communities and </w:t>
      </w:r>
      <w:proofErr w:type="spellStart"/>
      <w:r>
        <w:t>whānau</w:t>
      </w:r>
      <w:proofErr w:type="spellEnd"/>
      <w:r>
        <w:t xml:space="preserve"> to design and influence health services. This investment includes:</w:t>
      </w:r>
    </w:p>
    <w:p w14:paraId="40348B6C" w14:textId="750011BB" w:rsidR="0092165A" w:rsidRPr="00376529" w:rsidRDefault="0092165A" w:rsidP="00F52D02">
      <w:pPr>
        <w:pStyle w:val="NumberedParagraphs-MOH"/>
        <w:numPr>
          <w:ilvl w:val="0"/>
          <w:numId w:val="7"/>
        </w:numPr>
      </w:pPr>
      <w:r w:rsidRPr="00376529">
        <w:lastRenderedPageBreak/>
        <w:t>$30 million over four years for the Māori Provider Development Scheme and $49.9 million for the Pacific Provider Development Fund, to support Māori and Pacific providers to adapt and transition their models of care into the new health system and</w:t>
      </w:r>
      <w:r w:rsidR="007D58A1">
        <w:t xml:space="preserve"> </w:t>
      </w:r>
      <w:r w:rsidRPr="00376529">
        <w:t>new locality approach</w:t>
      </w:r>
    </w:p>
    <w:p w14:paraId="3AD58155" w14:textId="77777777" w:rsidR="0092165A" w:rsidRPr="00376529" w:rsidRDefault="0092165A" w:rsidP="00F52D02">
      <w:pPr>
        <w:pStyle w:val="NumberedParagraphs-MOH"/>
        <w:numPr>
          <w:ilvl w:val="0"/>
          <w:numId w:val="7"/>
        </w:numPr>
      </w:pPr>
      <w:r w:rsidRPr="00376529">
        <w:t xml:space="preserve">$8.8 million over four years to develop a consumer and </w:t>
      </w:r>
      <w:proofErr w:type="spellStart"/>
      <w:r w:rsidRPr="00376529">
        <w:t>whānau</w:t>
      </w:r>
      <w:proofErr w:type="spellEnd"/>
      <w:r w:rsidRPr="00376529">
        <w:t xml:space="preserve"> voice framework that will allow the health system to continuously ensure consumers and </w:t>
      </w:r>
      <w:proofErr w:type="spellStart"/>
      <w:r w:rsidRPr="00376529">
        <w:t>whānau</w:t>
      </w:r>
      <w:proofErr w:type="spellEnd"/>
      <w:r w:rsidRPr="00376529">
        <w:t xml:space="preserve"> contribute to the design, delivery, and evaluation of health services</w:t>
      </w:r>
    </w:p>
    <w:p w14:paraId="4B60556D" w14:textId="39B2D740" w:rsidR="0092165A" w:rsidRPr="00376529" w:rsidRDefault="0092165A" w:rsidP="00F52D02">
      <w:pPr>
        <w:pStyle w:val="NumberedParagraphs-MOH"/>
        <w:numPr>
          <w:ilvl w:val="0"/>
          <w:numId w:val="7"/>
        </w:numPr>
      </w:pPr>
      <w:r w:rsidRPr="00376529">
        <w:t>$168 million over four years for Hauora Māori commissioning, which will fund a range of initiatives to improve primary and community care for Māori and enable a Māori-led approach to population health and prevention that targets the wider determinants of health and wellbeing.</w:t>
      </w:r>
    </w:p>
    <w:p w14:paraId="5F702B62" w14:textId="6DD782BD" w:rsidR="00183333" w:rsidRPr="00376529" w:rsidRDefault="00D227AA" w:rsidP="00A423CC">
      <w:pPr>
        <w:pStyle w:val="ListParagraph"/>
        <w:keepNext/>
        <w:numPr>
          <w:ilvl w:val="0"/>
          <w:numId w:val="9"/>
        </w:numPr>
        <w:spacing w:before="360" w:after="120" w:line="259" w:lineRule="auto"/>
        <w:ind w:left="584" w:hanging="357"/>
        <w:jc w:val="both"/>
        <w:outlineLvl w:val="1"/>
        <w:rPr>
          <w:rFonts w:ascii="Segoe UI Semibold" w:eastAsiaTheme="majorEastAsia" w:hAnsi="Segoe UI Semibold" w:cs="Arial"/>
          <w:iCs/>
          <w:lang w:eastAsia="en-NZ"/>
        </w:rPr>
      </w:pPr>
      <w:r w:rsidRPr="00376529">
        <w:rPr>
          <w:rFonts w:ascii="Segoe UI Semibold" w:eastAsiaTheme="majorEastAsia" w:hAnsi="Segoe UI Semibold" w:cs="Arial"/>
          <w:iCs/>
          <w:lang w:eastAsia="en-NZ"/>
        </w:rPr>
        <w:t>Supporting and sustaining the w</w:t>
      </w:r>
      <w:r w:rsidR="00A352A4" w:rsidRPr="00376529">
        <w:rPr>
          <w:rFonts w:ascii="Segoe UI Semibold" w:eastAsiaTheme="majorEastAsia" w:hAnsi="Segoe UI Semibold" w:cs="Arial"/>
          <w:iCs/>
          <w:lang w:eastAsia="en-NZ"/>
        </w:rPr>
        <w:t>orkforce</w:t>
      </w:r>
    </w:p>
    <w:p w14:paraId="7FBF9088" w14:textId="05FD0F73" w:rsidR="00C43BAC" w:rsidRPr="00376529" w:rsidRDefault="003D45B8" w:rsidP="003D45B8">
      <w:pPr>
        <w:suppressAutoHyphens/>
        <w:autoSpaceDE w:val="0"/>
        <w:autoSpaceDN w:val="0"/>
        <w:adjustRightInd w:val="0"/>
        <w:spacing w:before="120" w:after="120"/>
        <w:ind w:firstLine="567"/>
        <w:textAlignment w:val="center"/>
        <w:outlineLvl w:val="3"/>
        <w:rPr>
          <w:rFonts w:ascii="Segoe UI" w:eastAsiaTheme="majorEastAsia" w:hAnsi="Segoe UI" w:cs="Segoe UI"/>
          <w:bCs/>
          <w:iCs/>
          <w:sz w:val="22"/>
          <w:szCs w:val="22"/>
          <w:u w:val="single"/>
          <w:lang w:eastAsia="x-none"/>
        </w:rPr>
      </w:pPr>
      <w:r w:rsidRPr="00376529">
        <w:rPr>
          <w:rFonts w:ascii="Segoe UI" w:eastAsiaTheme="majorEastAsia" w:hAnsi="Segoe UI" w:cs="Segoe UI"/>
          <w:bCs/>
          <w:iCs/>
          <w:sz w:val="22"/>
          <w:szCs w:val="22"/>
          <w:u w:val="single"/>
          <w:lang w:eastAsia="x-none"/>
        </w:rPr>
        <w:t>immediate workforce re-deployment, training, and support</w:t>
      </w:r>
    </w:p>
    <w:p w14:paraId="3DA1DFC7" w14:textId="7CC1A30C" w:rsidR="00CD5E2B" w:rsidRPr="000A70DF" w:rsidRDefault="48B52AB9" w:rsidP="00CD5E2B">
      <w:pPr>
        <w:pStyle w:val="NumberedParagraphs-MOH"/>
        <w:ind w:left="567" w:hanging="567"/>
      </w:pPr>
      <w:r>
        <w:t xml:space="preserve">Concerns were raised </w:t>
      </w:r>
      <w:r w:rsidR="7102DBBE">
        <w:t>over</w:t>
      </w:r>
      <w:r w:rsidR="69943CAD">
        <w:t xml:space="preserve"> workforce shortages</w:t>
      </w:r>
      <w:r>
        <w:t xml:space="preserve"> and </w:t>
      </w:r>
      <w:r w:rsidR="04EBBE77">
        <w:t>w</w:t>
      </w:r>
      <w:r w:rsidR="69943CAD">
        <w:t>orkload</w:t>
      </w:r>
      <w:r w:rsidR="04EBBE77">
        <w:t xml:space="preserve">s </w:t>
      </w:r>
      <w:r w:rsidR="7102DBBE">
        <w:t>and that</w:t>
      </w:r>
      <w:r w:rsidR="69943CAD">
        <w:t xml:space="preserve"> additional resourcing and support </w:t>
      </w:r>
      <w:r w:rsidR="7102DBBE">
        <w:t xml:space="preserve">was needed in order for </w:t>
      </w:r>
      <w:r w:rsidR="50C4A718">
        <w:t xml:space="preserve">providers’ responses to </w:t>
      </w:r>
      <w:r w:rsidR="3BD4CBD0">
        <w:t xml:space="preserve">remain </w:t>
      </w:r>
      <w:r w:rsidR="50C4A718">
        <w:t>sustainable</w:t>
      </w:r>
      <w:r w:rsidR="17C6118A">
        <w:t>- p</w:t>
      </w:r>
      <w:r w:rsidR="61829C46">
        <w:t>roviders were responding to significant COVID-19 workloads on top of business-as-usual work</w:t>
      </w:r>
      <w:r w:rsidR="65A14806">
        <w:t xml:space="preserve"> all while managing </w:t>
      </w:r>
      <w:r w:rsidR="286F93A4">
        <w:t xml:space="preserve">fatigue and burn-out from over two years of a dedicated response. </w:t>
      </w:r>
    </w:p>
    <w:p w14:paraId="32E79F43" w14:textId="6FFA0FD5" w:rsidR="00D9047E" w:rsidRDefault="43A1D2CB" w:rsidP="00A54A77">
      <w:pPr>
        <w:pStyle w:val="NumberedParagraphs-MOH"/>
        <w:numPr>
          <w:ilvl w:val="0"/>
          <w:numId w:val="0"/>
        </w:numPr>
        <w:ind w:left="567"/>
      </w:pPr>
      <w:r>
        <w:t>Many raised the need for i</w:t>
      </w:r>
      <w:r w:rsidR="5C4A0931">
        <w:t xml:space="preserve">mmediate workforce re-deployment, training, support and back-up for specialised health and disability care (e.g. </w:t>
      </w:r>
      <w:r w:rsidR="205D80A2">
        <w:t xml:space="preserve">care for </w:t>
      </w:r>
      <w:r w:rsidR="5BFEF550">
        <w:t xml:space="preserve">disabled people, </w:t>
      </w:r>
      <w:r w:rsidR="205D80A2">
        <w:t xml:space="preserve">people with </w:t>
      </w:r>
      <w:r w:rsidR="5C4A0931">
        <w:t xml:space="preserve">addictions, people under the Mental Health Act 1992, dementia care, community hospice and cancer </w:t>
      </w:r>
      <w:r w:rsidR="5BEDD5CC">
        <w:t>care services</w:t>
      </w:r>
      <w:r w:rsidR="5C4A0931">
        <w:t xml:space="preserve">). </w:t>
      </w:r>
      <w:r w:rsidR="3B904967">
        <w:t xml:space="preserve">Also raised, was </w:t>
      </w:r>
      <w:r w:rsidR="7C6B3385">
        <w:t xml:space="preserve">the </w:t>
      </w:r>
      <w:r w:rsidR="2F15BC07">
        <w:t xml:space="preserve">need to prioritise </w:t>
      </w:r>
      <w:r w:rsidR="2202E5F9">
        <w:t xml:space="preserve">increased </w:t>
      </w:r>
      <w:r w:rsidR="2F15BC07">
        <w:t>support to</w:t>
      </w:r>
      <w:r w:rsidR="38650580">
        <w:t xml:space="preserve"> health care workers </w:t>
      </w:r>
      <w:r w:rsidR="58493F48">
        <w:t xml:space="preserve">that identified </w:t>
      </w:r>
      <w:r w:rsidR="38650580">
        <w:t xml:space="preserve">from priority </w:t>
      </w:r>
      <w:r w:rsidR="047CBDE4">
        <w:t>populations</w:t>
      </w:r>
      <w:r w:rsidR="2F15BC07">
        <w:t xml:space="preserve"> </w:t>
      </w:r>
      <w:r w:rsidR="2DF1E25C">
        <w:t xml:space="preserve">and that were trusted sources of information and care for their community. </w:t>
      </w:r>
      <w:r w:rsidR="2F15BC07">
        <w:t xml:space="preserve"> </w:t>
      </w:r>
    </w:p>
    <w:p w14:paraId="52559392" w14:textId="5A70C2A2" w:rsidR="005F12D9" w:rsidRPr="00D9047E" w:rsidRDefault="00614B83" w:rsidP="00A54A77">
      <w:pPr>
        <w:pStyle w:val="NumberedParagraphs-MOH"/>
        <w:numPr>
          <w:ilvl w:val="0"/>
          <w:numId w:val="0"/>
        </w:numPr>
        <w:ind w:left="567"/>
        <w:rPr>
          <w:iCs/>
        </w:rPr>
      </w:pPr>
      <w:r w:rsidRPr="00D9047E">
        <w:rPr>
          <w:iCs/>
        </w:rPr>
        <w:t>‘</w:t>
      </w:r>
      <w:r w:rsidR="005F12D9" w:rsidRPr="00D9047E">
        <w:rPr>
          <w:iCs/>
        </w:rPr>
        <w:t xml:space="preserve">Prioritisation of cultural and specialised workforces (such as mental health and addiction, disability, gang </w:t>
      </w:r>
      <w:proofErr w:type="spellStart"/>
      <w:r w:rsidR="005F12D9" w:rsidRPr="00D9047E" w:rsidDel="008D4666">
        <w:rPr>
          <w:iCs/>
        </w:rPr>
        <w:t>whānau</w:t>
      </w:r>
      <w:proofErr w:type="spellEnd"/>
      <w:r w:rsidR="005F12D9" w:rsidRPr="00D9047E" w:rsidDel="008D4666">
        <w:rPr>
          <w:iCs/>
        </w:rPr>
        <w:t xml:space="preserve">) </w:t>
      </w:r>
      <w:r w:rsidR="005F12D9" w:rsidRPr="00D9047E">
        <w:rPr>
          <w:iCs/>
        </w:rPr>
        <w:t>for supervision and workplace support is required due to additional work-loads and complexity of adapting to COVID-19 regulations</w:t>
      </w:r>
      <w:r w:rsidRPr="00D9047E">
        <w:rPr>
          <w:iCs/>
        </w:rPr>
        <w:t>’</w:t>
      </w:r>
      <w:r w:rsidR="002C36CF" w:rsidRPr="00D9047E">
        <w:rPr>
          <w:iCs/>
        </w:rPr>
        <w:t>.</w:t>
      </w:r>
    </w:p>
    <w:p w14:paraId="437E5951" w14:textId="14A1E1E1" w:rsidR="003A3804" w:rsidRPr="000A70DF" w:rsidRDefault="003A3804" w:rsidP="00FF163C">
      <w:pPr>
        <w:pStyle w:val="NumberedParagraphs-MOH"/>
        <w:numPr>
          <w:ilvl w:val="0"/>
          <w:numId w:val="0"/>
        </w:numPr>
        <w:ind w:left="567"/>
        <w:rPr>
          <w:iCs/>
        </w:rPr>
      </w:pPr>
      <w:r w:rsidRPr="000A70DF">
        <w:rPr>
          <w:iCs/>
        </w:rPr>
        <w:t xml:space="preserve">‘Nurses and other health workers who identify from prioritised communities are a trusted source of information, </w:t>
      </w:r>
      <w:proofErr w:type="spellStart"/>
      <w:r w:rsidRPr="000A70DF">
        <w:rPr>
          <w:iCs/>
        </w:rPr>
        <w:t>awhi</w:t>
      </w:r>
      <w:proofErr w:type="spellEnd"/>
      <w:r w:rsidRPr="000A70DF">
        <w:rPr>
          <w:iCs/>
        </w:rPr>
        <w:t xml:space="preserve">, </w:t>
      </w:r>
      <w:proofErr w:type="spellStart"/>
      <w:r w:rsidRPr="000A70DF">
        <w:rPr>
          <w:iCs/>
        </w:rPr>
        <w:t>manaaki</w:t>
      </w:r>
      <w:proofErr w:type="spellEnd"/>
      <w:r w:rsidRPr="000A70DF">
        <w:rPr>
          <w:iCs/>
        </w:rPr>
        <w:t xml:space="preserve"> and clinical care. Their expertise, skills and knowledge need to be prioritised, utilised, and protected as a precious resource rather than an expendable labour unit.’</w:t>
      </w:r>
    </w:p>
    <w:p w14:paraId="50D42DCA" w14:textId="7A6C6A36" w:rsidR="00C850BC" w:rsidRPr="000A70DF" w:rsidRDefault="55D80A5D" w:rsidP="00756E1B">
      <w:pPr>
        <w:pStyle w:val="NumberedParagraphs-MOH"/>
        <w:ind w:left="567" w:hanging="567"/>
      </w:pPr>
      <w:r>
        <w:t>Recommendations were made to</w:t>
      </w:r>
      <w:r w:rsidR="5F62ACD5">
        <w:t xml:space="preserve"> increase the workforce through</w:t>
      </w:r>
      <w:r>
        <w:t xml:space="preserve"> fast-track</w:t>
      </w:r>
      <w:r w:rsidR="5F62ACD5">
        <w:t xml:space="preserve">ing </w:t>
      </w:r>
      <w:r>
        <w:t>the authorisation of non-regulated staff to support the regulated workforce</w:t>
      </w:r>
      <w:r w:rsidR="228A6C8A">
        <w:t xml:space="preserve"> as well as r</w:t>
      </w:r>
      <w:r w:rsidR="740B3283">
        <w:t xml:space="preserve">econfiguring workforces to enable increased support for </w:t>
      </w:r>
      <w:proofErr w:type="spellStart"/>
      <w:r w:rsidR="740B3283">
        <w:t>manaaki</w:t>
      </w:r>
      <w:proofErr w:type="spellEnd"/>
      <w:r w:rsidR="740B3283">
        <w:t xml:space="preserve"> first services</w:t>
      </w:r>
      <w:r w:rsidR="228A6C8A">
        <w:t>.</w:t>
      </w:r>
    </w:p>
    <w:p w14:paraId="1391007A" w14:textId="1D3AD7BB" w:rsidR="00C850BC" w:rsidRPr="000A70DF" w:rsidRDefault="00C850BC" w:rsidP="00FF163C">
      <w:pPr>
        <w:pStyle w:val="NumberedParagraphs-MOH"/>
        <w:numPr>
          <w:ilvl w:val="0"/>
          <w:numId w:val="0"/>
        </w:numPr>
        <w:ind w:left="567"/>
        <w:rPr>
          <w:iCs/>
        </w:rPr>
      </w:pPr>
      <w:r w:rsidRPr="000A70DF">
        <w:rPr>
          <w:iCs/>
        </w:rPr>
        <w:t>‘Non-regulated workforces need to be grown and invested in and encouraged. They have been already trained as vaccinators and swabbers.’</w:t>
      </w:r>
    </w:p>
    <w:p w14:paraId="0C6A4161" w14:textId="4B7E95C9" w:rsidR="00D2179E" w:rsidRPr="000A70DF" w:rsidRDefault="001B7FC3" w:rsidP="00FF163C">
      <w:pPr>
        <w:pStyle w:val="NumberedParagraphs-MOH"/>
        <w:numPr>
          <w:ilvl w:val="0"/>
          <w:numId w:val="0"/>
        </w:numPr>
        <w:ind w:left="567"/>
        <w:rPr>
          <w:iCs/>
        </w:rPr>
      </w:pPr>
      <w:r w:rsidRPr="000A70DF">
        <w:rPr>
          <w:iCs/>
        </w:rPr>
        <w:t>‘</w:t>
      </w:r>
      <w:r w:rsidR="00857B7D" w:rsidRPr="000A70DF">
        <w:rPr>
          <w:iCs/>
        </w:rPr>
        <w:t xml:space="preserve">Reconfiguring existing contracted services and workforces such as Health Coaches, Health Improvement Practitioners and Access and Choice mental health providers to provide a </w:t>
      </w:r>
      <w:proofErr w:type="spellStart"/>
      <w:r w:rsidR="00857B7D" w:rsidRPr="000A70DF">
        <w:rPr>
          <w:iCs/>
        </w:rPr>
        <w:t>manaaki</w:t>
      </w:r>
      <w:proofErr w:type="spellEnd"/>
      <w:r w:rsidR="00857B7D" w:rsidRPr="000A70DF">
        <w:rPr>
          <w:iCs/>
        </w:rPr>
        <w:t xml:space="preserve"> first service and support the </w:t>
      </w:r>
      <w:r w:rsidR="00A70637" w:rsidRPr="000A70DF">
        <w:rPr>
          <w:iCs/>
        </w:rPr>
        <w:t>non-government organisation sector.</w:t>
      </w:r>
      <w:r w:rsidRPr="000A70DF">
        <w:rPr>
          <w:iCs/>
        </w:rPr>
        <w:t>’</w:t>
      </w:r>
      <w:r w:rsidR="00A70637" w:rsidRPr="000A70DF">
        <w:rPr>
          <w:iCs/>
        </w:rPr>
        <w:t xml:space="preserve"> </w:t>
      </w:r>
      <w:r w:rsidR="00857B7D" w:rsidRPr="000A70DF">
        <w:rPr>
          <w:iCs/>
        </w:rPr>
        <w:t xml:space="preserve"> </w:t>
      </w:r>
    </w:p>
    <w:p w14:paraId="2E39EBD9" w14:textId="1ADA818F" w:rsidR="00D2179E" w:rsidRPr="00376529" w:rsidRDefault="003D45B8" w:rsidP="00816CA0">
      <w:pPr>
        <w:suppressAutoHyphens/>
        <w:autoSpaceDE w:val="0"/>
        <w:autoSpaceDN w:val="0"/>
        <w:adjustRightInd w:val="0"/>
        <w:spacing w:before="120" w:after="120"/>
        <w:ind w:firstLine="567"/>
        <w:textAlignment w:val="center"/>
        <w:outlineLvl w:val="3"/>
        <w:rPr>
          <w:rFonts w:ascii="Segoe UI" w:eastAsiaTheme="majorEastAsia" w:hAnsi="Segoe UI" w:cs="Segoe UI"/>
          <w:bCs/>
          <w:iCs/>
          <w:sz w:val="22"/>
          <w:szCs w:val="22"/>
          <w:u w:val="single"/>
          <w:lang w:eastAsia="x-none"/>
        </w:rPr>
      </w:pPr>
      <w:r w:rsidRPr="00376529">
        <w:rPr>
          <w:rFonts w:ascii="Segoe UI" w:eastAsiaTheme="majorEastAsia" w:hAnsi="Segoe UI" w:cs="Segoe UI"/>
          <w:bCs/>
          <w:iCs/>
          <w:sz w:val="22"/>
          <w:szCs w:val="22"/>
          <w:u w:val="single"/>
          <w:lang w:eastAsia="x-none"/>
        </w:rPr>
        <w:t>Continuity of care of high-needs individuals where their care</w:t>
      </w:r>
      <w:r w:rsidR="0031401A" w:rsidRPr="00376529">
        <w:rPr>
          <w:rFonts w:ascii="Segoe UI" w:eastAsiaTheme="majorEastAsia" w:hAnsi="Segoe UI" w:cs="Segoe UI"/>
          <w:bCs/>
          <w:iCs/>
          <w:sz w:val="22"/>
          <w:szCs w:val="22"/>
          <w:u w:val="single"/>
          <w:lang w:eastAsia="x-none"/>
        </w:rPr>
        <w:t>r is impacted by COVID-19</w:t>
      </w:r>
    </w:p>
    <w:p w14:paraId="4C2C0700" w14:textId="19E1261B" w:rsidR="009050B7" w:rsidRPr="00376529" w:rsidRDefault="751AB32F" w:rsidP="009050B7">
      <w:pPr>
        <w:pStyle w:val="NumberedParagraphs-MOH"/>
        <w:ind w:left="567" w:hanging="567"/>
      </w:pPr>
      <w:r>
        <w:t xml:space="preserve">Many of those that we engaged with, </w:t>
      </w:r>
      <w:r w:rsidR="023C22C2">
        <w:t xml:space="preserve">voiced their concerns </w:t>
      </w:r>
      <w:r w:rsidR="14B32E0E">
        <w:t xml:space="preserve">regarding </w:t>
      </w:r>
      <w:r w:rsidR="786FD437">
        <w:t xml:space="preserve">continuity of care </w:t>
      </w:r>
      <w:r w:rsidR="62A8EC3B">
        <w:t xml:space="preserve">for high-needs individuals if their </w:t>
      </w:r>
      <w:proofErr w:type="spellStart"/>
      <w:r w:rsidR="62A8EC3B">
        <w:t>carers</w:t>
      </w:r>
      <w:proofErr w:type="spellEnd"/>
      <w:r w:rsidR="62A8EC3B">
        <w:t xml:space="preserve"> </w:t>
      </w:r>
      <w:r w:rsidR="49729321">
        <w:t xml:space="preserve">were required </w:t>
      </w:r>
      <w:proofErr w:type="gramStart"/>
      <w:r w:rsidR="49729321">
        <w:t>to</w:t>
      </w:r>
      <w:proofErr w:type="gramEnd"/>
      <w:r w:rsidR="49729321">
        <w:t xml:space="preserve"> </w:t>
      </w:r>
      <w:r w:rsidR="023C22C2">
        <w:t>self-isolat</w:t>
      </w:r>
      <w:r w:rsidR="62A8EC3B">
        <w:t>e</w:t>
      </w:r>
      <w:r w:rsidR="023C22C2">
        <w:t xml:space="preserve">. </w:t>
      </w:r>
      <w:r w:rsidR="37A22AE9">
        <w:t xml:space="preserve">These concerns were </w:t>
      </w:r>
      <w:r w:rsidR="37A22AE9">
        <w:lastRenderedPageBreak/>
        <w:t xml:space="preserve">particularly focused on disabled populations, </w:t>
      </w:r>
      <w:r w:rsidR="023C22C2">
        <w:t>people living in group homes</w:t>
      </w:r>
      <w:r w:rsidR="37A22AE9">
        <w:t>,</w:t>
      </w:r>
      <w:r w:rsidR="023C22C2">
        <w:t xml:space="preserve"> or </w:t>
      </w:r>
      <w:r w:rsidR="37A22AE9">
        <w:t>those who</w:t>
      </w:r>
      <w:r w:rsidR="023C22C2">
        <w:t xml:space="preserve"> lived alone.  </w:t>
      </w:r>
    </w:p>
    <w:p w14:paraId="73A8B021" w14:textId="0AA06620" w:rsidR="00367777" w:rsidRPr="00376529" w:rsidRDefault="00104462" w:rsidP="00736857">
      <w:pPr>
        <w:pStyle w:val="NumberedParagraphs-MOH"/>
        <w:numPr>
          <w:ilvl w:val="0"/>
          <w:numId w:val="0"/>
        </w:numPr>
        <w:ind w:left="567"/>
        <w:rPr>
          <w:iCs/>
        </w:rPr>
      </w:pPr>
      <w:r w:rsidRPr="00376529">
        <w:rPr>
          <w:iCs/>
        </w:rPr>
        <w:t>‘</w:t>
      </w:r>
      <w:r w:rsidR="00CC1813" w:rsidRPr="00376529">
        <w:rPr>
          <w:iCs/>
        </w:rPr>
        <w:t>When someone who has 24/7 carers has to go into self-isolation, this means that the caregivers must also be isolated with them and consequently, their families. How will this person get food if their whole support system is also isolated?</w:t>
      </w:r>
      <w:r w:rsidRPr="00376529">
        <w:rPr>
          <w:iCs/>
        </w:rPr>
        <w:t>’</w:t>
      </w:r>
    </w:p>
    <w:p w14:paraId="78F71329" w14:textId="59A0CE0B" w:rsidR="001B7FC3" w:rsidRPr="00376529" w:rsidRDefault="00957754" w:rsidP="00086D7A">
      <w:pPr>
        <w:pStyle w:val="NumberedParagraphs-MOH"/>
        <w:numPr>
          <w:ilvl w:val="0"/>
          <w:numId w:val="0"/>
        </w:numPr>
        <w:ind w:left="567"/>
        <w:rPr>
          <w:iCs/>
          <w:u w:val="single"/>
        </w:rPr>
      </w:pPr>
      <w:r w:rsidRPr="00376529">
        <w:rPr>
          <w:iCs/>
          <w:u w:val="single"/>
        </w:rPr>
        <w:t xml:space="preserve">Burden on Māori and community-providers to deliver a </w:t>
      </w:r>
      <w:proofErr w:type="spellStart"/>
      <w:r w:rsidRPr="00376529">
        <w:rPr>
          <w:iCs/>
          <w:u w:val="single"/>
        </w:rPr>
        <w:t>manaaki</w:t>
      </w:r>
      <w:proofErr w:type="spellEnd"/>
      <w:r w:rsidRPr="00376529">
        <w:rPr>
          <w:iCs/>
          <w:u w:val="single"/>
        </w:rPr>
        <w:t xml:space="preserve"> first response </w:t>
      </w:r>
    </w:p>
    <w:p w14:paraId="3CAB57E5" w14:textId="616B9887" w:rsidR="00CF21FC" w:rsidRPr="00376529" w:rsidRDefault="0EE53902" w:rsidP="00CF21FC">
      <w:pPr>
        <w:pStyle w:val="NumberedParagraphs-MOH"/>
        <w:ind w:left="567" w:hanging="567"/>
      </w:pPr>
      <w:r>
        <w:t>Many raised</w:t>
      </w:r>
      <w:r w:rsidR="406169A5">
        <w:t xml:space="preserve"> concerns</w:t>
      </w:r>
      <w:r>
        <w:t xml:space="preserve"> that the welfare response was </w:t>
      </w:r>
      <w:r w:rsidR="160F2D75">
        <w:t>relying on a significant, unpaid volunteer workforce. Concerns were</w:t>
      </w:r>
      <w:r w:rsidR="34B49488">
        <w:t xml:space="preserve"> also</w:t>
      </w:r>
      <w:r w:rsidR="160F2D75">
        <w:t xml:space="preserve"> raised about workforce fatigue and the burden on Māori and other </w:t>
      </w:r>
      <w:r w:rsidR="75F7E0EA">
        <w:t>community-based</w:t>
      </w:r>
      <w:r w:rsidR="160F2D75">
        <w:t xml:space="preserve"> providers to </w:t>
      </w:r>
      <w:r w:rsidR="2720312E">
        <w:t xml:space="preserve">provide a </w:t>
      </w:r>
      <w:proofErr w:type="spellStart"/>
      <w:r w:rsidR="75F7E0EA">
        <w:t>m</w:t>
      </w:r>
      <w:r w:rsidR="2720312E">
        <w:t>anaaki</w:t>
      </w:r>
      <w:proofErr w:type="spellEnd"/>
      <w:r w:rsidR="2720312E">
        <w:t xml:space="preserve"> first response that delivered to their communities. </w:t>
      </w:r>
    </w:p>
    <w:p w14:paraId="12CD1141" w14:textId="77777777" w:rsidR="00F013A4" w:rsidRPr="00376529" w:rsidRDefault="00F013A4" w:rsidP="00086D7A">
      <w:pPr>
        <w:pStyle w:val="NumberedParagraphs-MOH"/>
        <w:numPr>
          <w:ilvl w:val="0"/>
          <w:numId w:val="0"/>
        </w:numPr>
        <w:ind w:left="567"/>
        <w:rPr>
          <w:iCs/>
        </w:rPr>
      </w:pPr>
      <w:r w:rsidRPr="000A70DF">
        <w:rPr>
          <w:noProof/>
        </w:rPr>
        <mc:AlternateContent>
          <mc:Choice Requires="wps">
            <w:drawing>
              <wp:anchor distT="45720" distB="45720" distL="114300" distR="114300" simplePos="0" relativeHeight="251658241" behindDoc="1" locked="0" layoutInCell="1" allowOverlap="1" wp14:anchorId="6B81D8C4" wp14:editId="6E8C9D9E">
                <wp:simplePos x="0" y="0"/>
                <wp:positionH relativeFrom="column">
                  <wp:posOffset>367030</wp:posOffset>
                </wp:positionH>
                <wp:positionV relativeFrom="paragraph">
                  <wp:posOffset>664845</wp:posOffset>
                </wp:positionV>
                <wp:extent cx="5666740" cy="1117600"/>
                <wp:effectExtent l="0" t="0" r="10160" b="25400"/>
                <wp:wrapTight wrapText="bothSides">
                  <wp:wrapPolygon edited="0">
                    <wp:start x="0" y="0"/>
                    <wp:lineTo x="0" y="21723"/>
                    <wp:lineTo x="21566" y="21723"/>
                    <wp:lineTo x="21566"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117600"/>
                        </a:xfrm>
                        <a:prstGeom prst="rect">
                          <a:avLst/>
                        </a:prstGeom>
                        <a:solidFill>
                          <a:srgbClr val="FFFFFF"/>
                        </a:solidFill>
                        <a:ln w="9525">
                          <a:solidFill>
                            <a:srgbClr val="000000"/>
                          </a:solidFill>
                          <a:miter lim="800000"/>
                          <a:headEnd/>
                          <a:tailEnd/>
                        </a:ln>
                      </wps:spPr>
                      <wps:txbx>
                        <w:txbxContent>
                          <w:p w14:paraId="4C6420FF" w14:textId="3E5A2C70" w:rsidR="00F013A4" w:rsidRDefault="009D43C1" w:rsidP="00107051">
                            <w:pPr>
                              <w:pStyle w:val="NumberedParagraphs-MOH"/>
                              <w:numPr>
                                <w:ilvl w:val="0"/>
                                <w:numId w:val="23"/>
                              </w:numPr>
                              <w:rPr>
                                <w:b/>
                                <w:bCs/>
                              </w:rPr>
                            </w:pPr>
                            <w:r>
                              <w:rPr>
                                <w:b/>
                                <w:bCs/>
                              </w:rPr>
                              <w:t>Summarised priority mitigation a</w:t>
                            </w:r>
                            <w:r w:rsidRPr="002B2E0C">
                              <w:rPr>
                                <w:b/>
                                <w:bCs/>
                              </w:rPr>
                              <w:t>ction</w:t>
                            </w:r>
                            <w:r>
                              <w:rPr>
                                <w:b/>
                                <w:bCs/>
                              </w:rPr>
                              <w:t xml:space="preserve"> identified in the hui</w:t>
                            </w:r>
                            <w:r w:rsidR="00F013A4" w:rsidRPr="002B2E0C">
                              <w:rPr>
                                <w:b/>
                                <w:bCs/>
                              </w:rPr>
                              <w:t>:</w:t>
                            </w:r>
                            <w:r w:rsidR="00DB2582">
                              <w:rPr>
                                <w:b/>
                                <w:bCs/>
                              </w:rPr>
                              <w:t xml:space="preserve"> workforce </w:t>
                            </w:r>
                          </w:p>
                          <w:p w14:paraId="3852B0DA" w14:textId="04A22ACC" w:rsidR="00F013A4" w:rsidRPr="003F289A" w:rsidRDefault="00F013A4" w:rsidP="00107051">
                            <w:pPr>
                              <w:pStyle w:val="NumberedParagraphs-MOH"/>
                              <w:numPr>
                                <w:ilvl w:val="0"/>
                                <w:numId w:val="0"/>
                              </w:numPr>
                              <w:ind w:left="360"/>
                              <w:rPr>
                                <w:i/>
                                <w:iCs/>
                              </w:rPr>
                            </w:pPr>
                            <w:r>
                              <w:t xml:space="preserve">Increase workforce capacity </w:t>
                            </w:r>
                            <w:r w:rsidR="00E51E3B">
                              <w:t xml:space="preserve">and support particularly to cultural and </w:t>
                            </w:r>
                            <w:r w:rsidR="00BF1D59">
                              <w:t>specialised</w:t>
                            </w:r>
                            <w:r w:rsidR="00E51E3B">
                              <w:t xml:space="preserve"> workforces</w:t>
                            </w:r>
                            <w:r w:rsidR="00BF1D59">
                              <w:t xml:space="preserve"> and e</w:t>
                            </w:r>
                            <w:r>
                              <w:t xml:space="preserve">nable the non-regulated workforce to support with the COVID-19 response including vaccinations and testing. </w:t>
                            </w:r>
                          </w:p>
                          <w:p w14:paraId="3BBBB8E3" w14:textId="77777777" w:rsidR="00F013A4" w:rsidRDefault="00F013A4" w:rsidP="00F01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D8C4" id="Text Box 3" o:spid="_x0000_s1028" type="#_x0000_t202" style="position:absolute;left:0;text-align:left;margin-left:28.9pt;margin-top:52.35pt;width:446.2pt;height:88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">
                <v:textbox>
                  <w:txbxContent>
                    <w:p w14:paraId="4C6420FF" w14:textId="3E5A2C70" w:rsidR="00F013A4" w:rsidRDefault="009D43C1" w:rsidP="00107051">
                      <w:pPr>
                        <w:pStyle w:val="NumberedParagraphs-MOH"/>
                        <w:numPr>
                          <w:ilvl w:val="0"/>
                          <w:numId w:val="23"/>
                        </w:numPr>
                        <w:rPr>
                          <w:b/>
                          <w:bCs/>
                        </w:rPr>
                      </w:pPr>
                      <w:r>
                        <w:rPr>
                          <w:b/>
                          <w:bCs/>
                        </w:rPr>
                        <w:t>Summarised priority mitigation a</w:t>
                      </w:r>
                      <w:r w:rsidRPr="002B2E0C">
                        <w:rPr>
                          <w:b/>
                          <w:bCs/>
                        </w:rPr>
                        <w:t>ction</w:t>
                      </w:r>
                      <w:r>
                        <w:rPr>
                          <w:b/>
                          <w:bCs/>
                        </w:rPr>
                        <w:t xml:space="preserve"> identified in the hui</w:t>
                      </w:r>
                      <w:r w:rsidR="00F013A4" w:rsidRPr="002B2E0C">
                        <w:rPr>
                          <w:b/>
                          <w:bCs/>
                        </w:rPr>
                        <w:t>:</w:t>
                      </w:r>
                      <w:r w:rsidR="00DB2582">
                        <w:rPr>
                          <w:b/>
                          <w:bCs/>
                        </w:rPr>
                        <w:t xml:space="preserve"> workforce </w:t>
                      </w:r>
                    </w:p>
                    <w:p w14:paraId="3852B0DA" w14:textId="04A22ACC" w:rsidR="00F013A4" w:rsidRPr="003F289A" w:rsidRDefault="00F013A4" w:rsidP="00107051">
                      <w:pPr>
                        <w:pStyle w:val="NumberedParagraphs-MOH"/>
                        <w:numPr>
                          <w:ilvl w:val="0"/>
                          <w:numId w:val="0"/>
                        </w:numPr>
                        <w:ind w:left="360"/>
                        <w:rPr>
                          <w:i/>
                          <w:iCs/>
                        </w:rPr>
                      </w:pPr>
                      <w:r>
                        <w:t xml:space="preserve">Increase workforce capacity </w:t>
                      </w:r>
                      <w:r w:rsidR="00E51E3B">
                        <w:t xml:space="preserve">and support particularly to cultural and </w:t>
                      </w:r>
                      <w:r w:rsidR="00BF1D59">
                        <w:t>specialised</w:t>
                      </w:r>
                      <w:r w:rsidR="00E51E3B">
                        <w:t xml:space="preserve"> workforces</w:t>
                      </w:r>
                      <w:r w:rsidR="00BF1D59">
                        <w:t xml:space="preserve"> and e</w:t>
                      </w:r>
                      <w:r>
                        <w:t xml:space="preserve">nable the non-regulated workforce to support with the COVID-19 response including vaccinations and testing. </w:t>
                      </w:r>
                    </w:p>
                    <w:p w14:paraId="3BBBB8E3" w14:textId="77777777" w:rsidR="00F013A4" w:rsidRDefault="00F013A4" w:rsidP="00F013A4"/>
                  </w:txbxContent>
                </v:textbox>
                <w10:wrap type="tight"/>
              </v:shape>
            </w:pict>
          </mc:Fallback>
        </mc:AlternateContent>
      </w:r>
      <w:r w:rsidR="00893A3E" w:rsidRPr="000A70DF">
        <w:rPr>
          <w:iCs/>
        </w:rPr>
        <w:t xml:space="preserve">‘Work-load and burden of </w:t>
      </w:r>
      <w:proofErr w:type="spellStart"/>
      <w:r w:rsidR="00893A3E" w:rsidRPr="000A70DF">
        <w:rPr>
          <w:iCs/>
        </w:rPr>
        <w:t>manaaki</w:t>
      </w:r>
      <w:proofErr w:type="spellEnd"/>
      <w:r w:rsidR="00893A3E" w:rsidRPr="000A70DF">
        <w:rPr>
          <w:iCs/>
        </w:rPr>
        <w:t xml:space="preserve"> first is being placed on community providers who are at high risk of burn-out or</w:t>
      </w:r>
      <w:r w:rsidR="00893A3E" w:rsidRPr="00376529">
        <w:rPr>
          <w:iCs/>
        </w:rPr>
        <w:t xml:space="preserve"> ill health developing from stress.’</w:t>
      </w:r>
    </w:p>
    <w:p w14:paraId="23B52F68" w14:textId="40658C88" w:rsidR="003F289A" w:rsidRPr="00376529" w:rsidRDefault="003F289A" w:rsidP="00F013A4">
      <w:pPr>
        <w:pStyle w:val="NumberedParagraphs-MOH"/>
        <w:numPr>
          <w:ilvl w:val="0"/>
          <w:numId w:val="0"/>
        </w:numPr>
        <w:ind w:left="567"/>
        <w:rPr>
          <w:iCs/>
          <w:sz w:val="24"/>
          <w:szCs w:val="24"/>
        </w:rPr>
      </w:pPr>
      <w:r w:rsidRPr="00376529">
        <w:rPr>
          <w:rFonts w:ascii="Segoe UI Semibold" w:eastAsiaTheme="majorEastAsia" w:hAnsi="Segoe UI Semibold" w:cs="Arial"/>
          <w:iCs/>
          <w:sz w:val="24"/>
          <w:szCs w:val="24"/>
        </w:rPr>
        <w:t xml:space="preserve">Ministry response </w:t>
      </w:r>
    </w:p>
    <w:p w14:paraId="43220FD2" w14:textId="30F1AE51" w:rsidR="003F289A" w:rsidRPr="00376529" w:rsidRDefault="44FB0253" w:rsidP="24F18215">
      <w:pPr>
        <w:suppressAutoHyphens/>
        <w:autoSpaceDE w:val="0"/>
        <w:autoSpaceDN w:val="0"/>
        <w:adjustRightInd w:val="0"/>
        <w:spacing w:before="120" w:after="120"/>
        <w:ind w:left="567"/>
        <w:textAlignment w:val="center"/>
        <w:outlineLvl w:val="3"/>
        <w:rPr>
          <w:rFonts w:ascii="Segoe UI" w:eastAsiaTheme="majorEastAsia" w:hAnsi="Segoe UI" w:cs="Segoe UI"/>
          <w:sz w:val="22"/>
          <w:szCs w:val="22"/>
          <w:u w:val="single"/>
          <w:lang w:eastAsia="x-none"/>
        </w:rPr>
      </w:pPr>
      <w:r w:rsidRPr="24F18215">
        <w:rPr>
          <w:rFonts w:ascii="Segoe UI" w:eastAsiaTheme="majorEastAsia" w:hAnsi="Segoe UI" w:cs="Segoe UI"/>
          <w:i/>
          <w:iCs/>
          <w:sz w:val="22"/>
          <w:szCs w:val="22"/>
        </w:rPr>
        <w:t>The Ministry is undertaking work to increase, support and sustain our workforce, particularly our Māori and Pacific health workforce</w:t>
      </w:r>
      <w:r w:rsidR="30A17219" w:rsidRPr="24F18215">
        <w:rPr>
          <w:rFonts w:ascii="Segoe UI" w:eastAsiaTheme="majorEastAsia" w:hAnsi="Segoe UI" w:cs="Segoe UI"/>
          <w:i/>
          <w:iCs/>
          <w:sz w:val="22"/>
          <w:szCs w:val="22"/>
        </w:rPr>
        <w:t>.</w:t>
      </w:r>
    </w:p>
    <w:p w14:paraId="0CC5C1FC" w14:textId="77777777" w:rsidR="003F289A" w:rsidRPr="00376529" w:rsidRDefault="44FB0253" w:rsidP="003F289A">
      <w:pPr>
        <w:pStyle w:val="NumberedParagraphs-MOH"/>
        <w:ind w:left="567" w:hanging="567"/>
      </w:pPr>
      <w:r>
        <w:t>In the first quarter of 2022, the Ministry began planning for the future of the health workforce based on what it had learned from the Delta response and preparation for Omicron. An Omicron Workforce Plan has been developed based off the Ministry’s Health Workforce Strategic Framework that was developed prior to COVID-19. The Omicron Workforce Plan has a range of initiatives over the short and long term, including those focused on developing a more culturally diverse workforce.</w:t>
      </w:r>
    </w:p>
    <w:p w14:paraId="19AF9A18" w14:textId="77777777" w:rsidR="003F289A" w:rsidRPr="00376529" w:rsidRDefault="44FB0253" w:rsidP="003F289A">
      <w:pPr>
        <w:pStyle w:val="NumberedParagraphs-MOH"/>
        <w:ind w:left="567" w:hanging="567"/>
      </w:pPr>
      <w:r>
        <w:t xml:space="preserve">Through Budget 2022, the Ministry has secured $76 million over four years (and a further contingency of up to $31 million) for the workforce training and development needed to underpin critical reform initiatives and support the delivery of services through locality networks. This includes funding to grow and develop the </w:t>
      </w:r>
      <w:proofErr w:type="spellStart"/>
      <w:r>
        <w:t>hauora</w:t>
      </w:r>
      <w:proofErr w:type="spellEnd"/>
      <w:r>
        <w:t xml:space="preserve"> Māori and Pacific workforces, and to provide training for Certified Patient Care Technician workforces that may not have previously worked in primary and community healthcare settings.</w:t>
      </w:r>
    </w:p>
    <w:p w14:paraId="13B9B4BB" w14:textId="77777777" w:rsidR="003F289A" w:rsidRPr="00376529" w:rsidRDefault="44FB0253" w:rsidP="003F289A">
      <w:pPr>
        <w:pStyle w:val="NumberedParagraphs-MOH"/>
        <w:ind w:left="567" w:hanging="567"/>
      </w:pPr>
      <w:r>
        <w:t xml:space="preserve">The Ministry worked with </w:t>
      </w:r>
      <w:proofErr w:type="spellStart"/>
      <w:r>
        <w:t>Te</w:t>
      </w:r>
      <w:proofErr w:type="spellEnd"/>
      <w:r>
        <w:t xml:space="preserve"> </w:t>
      </w:r>
      <w:proofErr w:type="spellStart"/>
      <w:r>
        <w:t>Puni</w:t>
      </w:r>
      <w:proofErr w:type="spellEnd"/>
      <w:r>
        <w:t xml:space="preserve"> </w:t>
      </w:r>
      <w:proofErr w:type="spellStart"/>
      <w:r>
        <w:t>Kōkiri</w:t>
      </w:r>
      <w:proofErr w:type="spellEnd"/>
      <w:r>
        <w:t xml:space="preserve"> to obtain $39.6m funding for Māori and Pacific health providers (distributed by the Ministry) and $6.2m Care in the Community funding as one-off grants to Māori and Pacific health providers to support workforce resilience initiatives. </w:t>
      </w:r>
    </w:p>
    <w:p w14:paraId="3C360ADD" w14:textId="18B29B42" w:rsidR="003F289A" w:rsidRPr="00376529" w:rsidRDefault="1970CF04" w:rsidP="00E3352F">
      <w:pPr>
        <w:pStyle w:val="NumberedParagraphs-MOH"/>
        <w:ind w:left="567" w:hanging="567"/>
      </w:pPr>
      <w:r>
        <w:t>A</w:t>
      </w:r>
      <w:r w:rsidR="44FB0253">
        <w:t xml:space="preserve">n initiative to enable students from Māori and Pacific schools of nursing to be trained as vaccinators </w:t>
      </w:r>
      <w:r>
        <w:t xml:space="preserve">is underway, </w:t>
      </w:r>
      <w:r w:rsidR="44FB0253">
        <w:t>acknowledging the value these students bring to their communities.</w:t>
      </w:r>
    </w:p>
    <w:p w14:paraId="0358B6BD" w14:textId="0EF18A93" w:rsidR="00753416" w:rsidRPr="00376529" w:rsidRDefault="00753416" w:rsidP="00A423CC">
      <w:pPr>
        <w:pStyle w:val="ListParagraph"/>
        <w:keepNext/>
        <w:numPr>
          <w:ilvl w:val="0"/>
          <w:numId w:val="9"/>
        </w:numPr>
        <w:spacing w:before="360" w:after="120" w:line="259" w:lineRule="auto"/>
        <w:ind w:left="584" w:hanging="357"/>
        <w:jc w:val="both"/>
        <w:outlineLvl w:val="1"/>
        <w:rPr>
          <w:rFonts w:ascii="Segoe UI Semibold" w:eastAsiaTheme="majorEastAsia" w:hAnsi="Segoe UI Semibold" w:cs="Arial"/>
          <w:iCs/>
          <w:lang w:eastAsia="en-NZ"/>
        </w:rPr>
      </w:pPr>
      <w:r w:rsidRPr="00376529">
        <w:rPr>
          <w:rFonts w:ascii="Segoe UI Semibold" w:eastAsiaTheme="majorEastAsia" w:hAnsi="Segoe UI Semibold" w:cs="Arial"/>
          <w:iCs/>
          <w:lang w:eastAsia="en-NZ"/>
        </w:rPr>
        <w:t xml:space="preserve">Providing tailored and accessible communications </w:t>
      </w:r>
    </w:p>
    <w:p w14:paraId="11BB9E98" w14:textId="618AC4A5" w:rsidR="00F66A04" w:rsidRPr="00376529" w:rsidRDefault="76DEAC0A" w:rsidP="00F66A04">
      <w:pPr>
        <w:pStyle w:val="NumberedParagraphs-MOH"/>
        <w:ind w:left="567" w:hanging="567"/>
      </w:pPr>
      <w:r>
        <w:t>Many raised t</w:t>
      </w:r>
      <w:r w:rsidR="5233E536">
        <w:t>he need for</w:t>
      </w:r>
      <w:r w:rsidR="2DAB468A">
        <w:t xml:space="preserve"> tailored information </w:t>
      </w:r>
      <w:r w:rsidR="5AA00429">
        <w:t>regarding</w:t>
      </w:r>
      <w:r w:rsidR="33B01BFB">
        <w:t xml:space="preserve"> isolation requirements</w:t>
      </w:r>
      <w:r w:rsidR="2DAB468A">
        <w:t>, how to access support</w:t>
      </w:r>
      <w:r w:rsidR="141D9F76">
        <w:t>,</w:t>
      </w:r>
      <w:r w:rsidR="2DAB468A">
        <w:t xml:space="preserve"> and medical guidance </w:t>
      </w:r>
      <w:r w:rsidR="5E408367">
        <w:t xml:space="preserve">that was </w:t>
      </w:r>
      <w:r w:rsidR="2DAB468A">
        <w:t xml:space="preserve">designed for easy translation, </w:t>
      </w:r>
      <w:r w:rsidR="5E408367">
        <w:t xml:space="preserve">and </w:t>
      </w:r>
      <w:r w:rsidR="2DAB468A">
        <w:t xml:space="preserve">accessible </w:t>
      </w:r>
      <w:r w:rsidR="2DAB468A">
        <w:lastRenderedPageBreak/>
        <w:t>for disability related needs and able to be customised for specific audience</w:t>
      </w:r>
      <w:r w:rsidR="6CFBC6F1">
        <w:t>s</w:t>
      </w:r>
      <w:r w:rsidR="2DAB468A">
        <w:t xml:space="preserve"> such as youth, </w:t>
      </w:r>
      <w:r w:rsidR="6CFBC6F1">
        <w:t xml:space="preserve">the disabled community, those with </w:t>
      </w:r>
      <w:r w:rsidR="2DAB468A">
        <w:t>mental health</w:t>
      </w:r>
      <w:r w:rsidR="6CFBC6F1">
        <w:t xml:space="preserve"> issues</w:t>
      </w:r>
      <w:r w:rsidR="2DAB468A">
        <w:t xml:space="preserve">, or </w:t>
      </w:r>
      <w:r w:rsidR="6CFBC6F1">
        <w:t xml:space="preserve">the </w:t>
      </w:r>
      <w:r w:rsidR="2DAB468A">
        <w:t xml:space="preserve">elderly.  </w:t>
      </w:r>
    </w:p>
    <w:p w14:paraId="7CA90852" w14:textId="77777777" w:rsidR="00133CB0" w:rsidRDefault="5233E536" w:rsidP="00133CB0">
      <w:pPr>
        <w:pStyle w:val="NumberedParagraphs-MOH"/>
        <w:ind w:left="567" w:hanging="567"/>
      </w:pPr>
      <w:r>
        <w:t>A lack of suitable communication products was perceived as a significant barrier to empowering and enabling communities to keep themselves safe.</w:t>
      </w:r>
    </w:p>
    <w:p w14:paraId="17BF37AD" w14:textId="1D7DC2DB" w:rsidR="00EC64EF" w:rsidRPr="000A70DF" w:rsidRDefault="25003103" w:rsidP="00133CB0">
      <w:pPr>
        <w:pStyle w:val="NumberedParagraphs-MOH"/>
        <w:ind w:left="567" w:hanging="567"/>
      </w:pPr>
      <w:r>
        <w:t xml:space="preserve">Many </w:t>
      </w:r>
      <w:r w:rsidR="3D31CEF3">
        <w:t xml:space="preserve">raised the need </w:t>
      </w:r>
      <w:r w:rsidR="5097F25F">
        <w:t xml:space="preserve">for </w:t>
      </w:r>
      <w:r w:rsidR="264B536D">
        <w:t xml:space="preserve">layered </w:t>
      </w:r>
      <w:r w:rsidR="5097F25F">
        <w:t>communications</w:t>
      </w:r>
      <w:r w:rsidR="1E5BC7ED">
        <w:t xml:space="preserve"> to be</w:t>
      </w:r>
      <w:r w:rsidR="264B536D">
        <w:t xml:space="preserve"> </w:t>
      </w:r>
      <w:r w:rsidR="5097F25F">
        <w:t xml:space="preserve">provided </w:t>
      </w:r>
      <w:r w:rsidR="264B536D">
        <w:t xml:space="preserve">through different mediums </w:t>
      </w:r>
      <w:r w:rsidR="178C4F03">
        <w:t>other than digital or web-based applications</w:t>
      </w:r>
      <w:r w:rsidR="1E5BC7ED">
        <w:t xml:space="preserve"> to ensure reach to those without access to digital solutions. </w:t>
      </w:r>
    </w:p>
    <w:p w14:paraId="327C888B" w14:textId="4486F3B1" w:rsidR="005A4FDD" w:rsidRPr="000A70DF" w:rsidRDefault="00BD7173" w:rsidP="00BD7173">
      <w:pPr>
        <w:pStyle w:val="NumberedParagraphs-MOH"/>
        <w:numPr>
          <w:ilvl w:val="0"/>
          <w:numId w:val="0"/>
        </w:numPr>
        <w:ind w:left="567"/>
        <w:rPr>
          <w:iCs/>
        </w:rPr>
      </w:pPr>
      <w:r w:rsidRPr="000A70DF">
        <w:rPr>
          <w:iCs/>
        </w:rPr>
        <w:t>‘</w:t>
      </w:r>
      <w:r w:rsidR="005A4FDD" w:rsidRPr="000A70DF">
        <w:rPr>
          <w:iCs/>
        </w:rPr>
        <w:t>The lack of tailored communications is alienating people from the response. Potentially the most at risk of COVID-19 are the least likely to know what to do or to engage with the system</w:t>
      </w:r>
      <w:r w:rsidRPr="000A70DF">
        <w:rPr>
          <w:iCs/>
        </w:rPr>
        <w:t>.’</w:t>
      </w:r>
      <w:r w:rsidR="005A4FDD" w:rsidRPr="000A70DF">
        <w:rPr>
          <w:iCs/>
        </w:rPr>
        <w:t xml:space="preserve"> </w:t>
      </w:r>
    </w:p>
    <w:p w14:paraId="44F79CAC" w14:textId="186CB07E" w:rsidR="009E2B2A" w:rsidRPr="00376529" w:rsidRDefault="783F30FA" w:rsidP="00BD7173">
      <w:pPr>
        <w:pStyle w:val="NumberedParagraphs-MOH"/>
        <w:numPr>
          <w:ilvl w:val="0"/>
          <w:numId w:val="0"/>
        </w:numPr>
        <w:ind w:left="567"/>
      </w:pPr>
      <w:r>
        <w:t xml:space="preserve">‘Digital solutions and website-based information campaigns in </w:t>
      </w:r>
      <w:r w:rsidR="7688B10D">
        <w:t>E</w:t>
      </w:r>
      <w:r>
        <w:t>nglish are not appropriate for large sections of society and continue to be used as the default and main form of the COVID-19 response. There are little choice or options available for people who are unable or unwilling to access digital solutions and information.’</w:t>
      </w:r>
      <w:r w:rsidR="0CE89315">
        <w:t xml:space="preserve"> </w:t>
      </w:r>
    </w:p>
    <w:p w14:paraId="67228606" w14:textId="558D0482" w:rsidR="005A4FDD" w:rsidRPr="000A70DF" w:rsidRDefault="3F26C667" w:rsidP="00BD7173">
      <w:pPr>
        <w:pStyle w:val="NumberedParagraphs-MOH"/>
        <w:ind w:left="567" w:hanging="567"/>
      </w:pPr>
      <w:r>
        <w:t>Many raised the need for localised, community</w:t>
      </w:r>
      <w:r w:rsidR="3A1233F1">
        <w:t>-</w:t>
      </w:r>
      <w:r>
        <w:t xml:space="preserve">specific </w:t>
      </w:r>
      <w:r w:rsidR="3A1233F1">
        <w:t>messaging</w:t>
      </w:r>
      <w:r w:rsidR="6EFA2DB7">
        <w:t xml:space="preserve"> led by Māori </w:t>
      </w:r>
      <w:r w:rsidR="5B7A5DE7">
        <w:t xml:space="preserve">for Māori </w:t>
      </w:r>
      <w:r w:rsidR="3A1233F1">
        <w:t xml:space="preserve">to ensure Māori communities were </w:t>
      </w:r>
      <w:r w:rsidR="4F86C77B">
        <w:t>delivered messaging that was engaging, and</w:t>
      </w:r>
      <w:r w:rsidR="3A1233F1">
        <w:t xml:space="preserve"> </w:t>
      </w:r>
      <w:r w:rsidR="7688B10D">
        <w:t>culturally appropriate</w:t>
      </w:r>
      <w:r w:rsidR="4F86C77B">
        <w:t xml:space="preserve">. </w:t>
      </w:r>
    </w:p>
    <w:p w14:paraId="15432FA7" w14:textId="3442A273" w:rsidR="00321D39" w:rsidRPr="00376529" w:rsidRDefault="00321D39" w:rsidP="00EC272D">
      <w:pPr>
        <w:pStyle w:val="NumberedParagraphs-MOH"/>
        <w:numPr>
          <w:ilvl w:val="0"/>
          <w:numId w:val="0"/>
        </w:numPr>
        <w:ind w:left="567"/>
        <w:rPr>
          <w:iCs/>
        </w:rPr>
      </w:pPr>
      <w:r w:rsidRPr="000A70DF">
        <w:rPr>
          <w:iCs/>
        </w:rPr>
        <w:t xml:space="preserve">‘We need communications to effectively tell people that they will be able to support themselves in this context. These </w:t>
      </w:r>
      <w:r w:rsidRPr="00376529">
        <w:rPr>
          <w:iCs/>
        </w:rPr>
        <w:t>communications must be Māori-led, communicated in a culturally-appropriate way.’</w:t>
      </w:r>
    </w:p>
    <w:p w14:paraId="677651CF" w14:textId="3F954ED2" w:rsidR="00C25FDD" w:rsidRPr="00376529" w:rsidRDefault="2B9C329A" w:rsidP="00C25FDD">
      <w:pPr>
        <w:pStyle w:val="NumberedParagraphs-MOH"/>
        <w:ind w:left="567" w:hanging="567"/>
      </w:pPr>
      <w:r>
        <w:t xml:space="preserve">Along with this, misinformation and disinformation were raised as issues </w:t>
      </w:r>
      <w:r w:rsidR="3DB3DC1E">
        <w:t>that were</w:t>
      </w:r>
      <w:r>
        <w:t xml:space="preserve"> making it difficult for frontline workers to gain trust and support people effectively.</w:t>
      </w:r>
    </w:p>
    <w:p w14:paraId="6D1D2F3C" w14:textId="39E01EB3" w:rsidR="001F49E6" w:rsidRPr="00376529" w:rsidRDefault="28784E5B" w:rsidP="00767AF3">
      <w:pPr>
        <w:pStyle w:val="NumberedParagraphs-MOH"/>
        <w:ind w:left="567" w:hanging="567"/>
      </w:pPr>
      <w:r>
        <w:t xml:space="preserve">There were also issues raised about the need for appropriate and targeted communications </w:t>
      </w:r>
      <w:r w:rsidR="3DB3DC1E">
        <w:t>to the</w:t>
      </w:r>
      <w:r>
        <w:t xml:space="preserve"> providers themselves.</w:t>
      </w:r>
    </w:p>
    <w:p w14:paraId="582659BF" w14:textId="78188E97" w:rsidR="00D227AA" w:rsidRPr="00376529" w:rsidRDefault="00557B50" w:rsidP="00EC272D">
      <w:pPr>
        <w:pStyle w:val="NumberedParagraphs-MOH"/>
        <w:numPr>
          <w:ilvl w:val="0"/>
          <w:numId w:val="0"/>
        </w:numPr>
        <w:ind w:left="567"/>
        <w:rPr>
          <w:iCs/>
        </w:rPr>
      </w:pPr>
      <w:bookmarkStart w:id="0" w:name="_Toc103176515"/>
      <w:r w:rsidRPr="00376529">
        <w:rPr>
          <w:iCs/>
        </w:rPr>
        <w:t xml:space="preserve">‘Providers are preparing and are aware of the need for rapid communications to their </w:t>
      </w:r>
      <w:proofErr w:type="spellStart"/>
      <w:r w:rsidRPr="00376529">
        <w:rPr>
          <w:iCs/>
        </w:rPr>
        <w:t>hāpori</w:t>
      </w:r>
      <w:proofErr w:type="spellEnd"/>
      <w:r w:rsidRPr="00376529">
        <w:rPr>
          <w:iCs/>
        </w:rPr>
        <w:t xml:space="preserve">/communities. Delays with Ministry of Health templates and guidance is preventing this due to the need to provide consistent and accurate advice.’ </w:t>
      </w:r>
    </w:p>
    <w:p w14:paraId="7B3B16B7" w14:textId="61232C91" w:rsidR="003E3986" w:rsidRPr="000A70DF" w:rsidRDefault="00107051" w:rsidP="003E3986">
      <w:pPr>
        <w:pStyle w:val="NumberedParagraphs-MOH"/>
        <w:numPr>
          <w:ilvl w:val="0"/>
          <w:numId w:val="0"/>
        </w:numPr>
        <w:ind w:left="851" w:hanging="851"/>
        <w:rPr>
          <w:iCs/>
        </w:rPr>
      </w:pPr>
      <w:r w:rsidRPr="000A70DF">
        <w:rPr>
          <w:noProof/>
        </w:rPr>
        <mc:AlternateContent>
          <mc:Choice Requires="wps">
            <w:drawing>
              <wp:anchor distT="45720" distB="45720" distL="114300" distR="114300" simplePos="0" relativeHeight="251658242" behindDoc="1" locked="0" layoutInCell="1" allowOverlap="1" wp14:anchorId="4479A93D" wp14:editId="0D63993F">
                <wp:simplePos x="0" y="0"/>
                <wp:positionH relativeFrom="margin">
                  <wp:posOffset>358140</wp:posOffset>
                </wp:positionH>
                <wp:positionV relativeFrom="paragraph">
                  <wp:posOffset>198755</wp:posOffset>
                </wp:positionV>
                <wp:extent cx="5644515" cy="1247140"/>
                <wp:effectExtent l="0" t="0" r="13335" b="10160"/>
                <wp:wrapTight wrapText="bothSides">
                  <wp:wrapPolygon edited="0">
                    <wp:start x="0" y="0"/>
                    <wp:lineTo x="0" y="21446"/>
                    <wp:lineTo x="21578" y="21446"/>
                    <wp:lineTo x="2157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1247140"/>
                        </a:xfrm>
                        <a:prstGeom prst="rect">
                          <a:avLst/>
                        </a:prstGeom>
                        <a:solidFill>
                          <a:srgbClr val="FFFFFF"/>
                        </a:solidFill>
                        <a:ln w="9525">
                          <a:solidFill>
                            <a:srgbClr val="000000"/>
                          </a:solidFill>
                          <a:miter lim="800000"/>
                          <a:headEnd/>
                          <a:tailEnd/>
                        </a:ln>
                      </wps:spPr>
                      <wps:txbx>
                        <w:txbxContent>
                          <w:p w14:paraId="7FEF2271" w14:textId="5D0C5AB2" w:rsidR="003E3986" w:rsidRDefault="009D43C1" w:rsidP="00107051">
                            <w:pPr>
                              <w:pStyle w:val="NumberedParagraphs-MOH"/>
                              <w:numPr>
                                <w:ilvl w:val="0"/>
                                <w:numId w:val="23"/>
                              </w:numPr>
                              <w:rPr>
                                <w:b/>
                                <w:bCs/>
                              </w:rPr>
                            </w:pPr>
                            <w:r>
                              <w:rPr>
                                <w:b/>
                                <w:bCs/>
                              </w:rPr>
                              <w:t>Summarised priority mitigation a</w:t>
                            </w:r>
                            <w:r w:rsidRPr="002B2E0C">
                              <w:rPr>
                                <w:b/>
                                <w:bCs/>
                              </w:rPr>
                              <w:t>ction</w:t>
                            </w:r>
                            <w:r>
                              <w:rPr>
                                <w:b/>
                                <w:bCs/>
                              </w:rPr>
                              <w:t xml:space="preserve"> identified in the hui</w:t>
                            </w:r>
                            <w:r w:rsidR="003E3986" w:rsidRPr="002B2E0C">
                              <w:rPr>
                                <w:b/>
                                <w:bCs/>
                              </w:rPr>
                              <w:t>:</w:t>
                            </w:r>
                            <w:r w:rsidR="00DB2582">
                              <w:rPr>
                                <w:b/>
                                <w:bCs/>
                              </w:rPr>
                              <w:t xml:space="preserve"> communications</w:t>
                            </w:r>
                          </w:p>
                          <w:p w14:paraId="140954DF" w14:textId="77777777" w:rsidR="003E3986" w:rsidRDefault="003E3986" w:rsidP="00107051">
                            <w:pPr>
                              <w:pStyle w:val="NumberedParagraphs-MOH"/>
                              <w:numPr>
                                <w:ilvl w:val="0"/>
                                <w:numId w:val="0"/>
                              </w:numPr>
                              <w:ind w:left="360"/>
                            </w:pPr>
                            <w:r>
                              <w:t xml:space="preserve">Provide clear, easily understood communications around self-isolation in different mediums that is tailored to Māori and other priority populations, and that is accessible to our disabled populations. </w:t>
                            </w:r>
                          </w:p>
                          <w:p w14:paraId="549620D7" w14:textId="77777777" w:rsidR="003E3986" w:rsidRDefault="003E3986" w:rsidP="003E39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9A93D" id="Text Box 4" o:spid="_x0000_s1029" type="#_x0000_t202" style="position:absolute;left:0;text-align:left;margin-left:28.2pt;margin-top:15.65pt;width:444.45pt;height:98.2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">
                <v:textbox>
                  <w:txbxContent>
                    <w:p w14:paraId="7FEF2271" w14:textId="5D0C5AB2" w:rsidR="003E3986" w:rsidRDefault="009D43C1" w:rsidP="00107051">
                      <w:pPr>
                        <w:pStyle w:val="NumberedParagraphs-MOH"/>
                        <w:numPr>
                          <w:ilvl w:val="0"/>
                          <w:numId w:val="23"/>
                        </w:numPr>
                        <w:rPr>
                          <w:b/>
                          <w:bCs/>
                        </w:rPr>
                      </w:pPr>
                      <w:r>
                        <w:rPr>
                          <w:b/>
                          <w:bCs/>
                        </w:rPr>
                        <w:t>Summarised priority mitigation a</w:t>
                      </w:r>
                      <w:r w:rsidRPr="002B2E0C">
                        <w:rPr>
                          <w:b/>
                          <w:bCs/>
                        </w:rPr>
                        <w:t>ction</w:t>
                      </w:r>
                      <w:r>
                        <w:rPr>
                          <w:b/>
                          <w:bCs/>
                        </w:rPr>
                        <w:t xml:space="preserve"> identified in the hui</w:t>
                      </w:r>
                      <w:r w:rsidR="003E3986" w:rsidRPr="002B2E0C">
                        <w:rPr>
                          <w:b/>
                          <w:bCs/>
                        </w:rPr>
                        <w:t>:</w:t>
                      </w:r>
                      <w:r w:rsidR="00DB2582">
                        <w:rPr>
                          <w:b/>
                          <w:bCs/>
                        </w:rPr>
                        <w:t xml:space="preserve"> communications</w:t>
                      </w:r>
                    </w:p>
                    <w:p w14:paraId="140954DF" w14:textId="77777777" w:rsidR="003E3986" w:rsidRDefault="003E3986" w:rsidP="00107051">
                      <w:pPr>
                        <w:pStyle w:val="NumberedParagraphs-MOH"/>
                        <w:numPr>
                          <w:ilvl w:val="0"/>
                          <w:numId w:val="0"/>
                        </w:numPr>
                        <w:ind w:left="360"/>
                      </w:pPr>
                      <w:r>
                        <w:t xml:space="preserve">Provide clear, easily understood communications around self-isolation in different mediums that is tailored to Māori and other priority populations, and that is accessible to our disabled populations. </w:t>
                      </w:r>
                    </w:p>
                    <w:p w14:paraId="549620D7" w14:textId="77777777" w:rsidR="003E3986" w:rsidRDefault="003E3986" w:rsidP="003E3986"/>
                  </w:txbxContent>
                </v:textbox>
                <w10:wrap type="tight" anchorx="margin"/>
              </v:shape>
            </w:pict>
          </mc:Fallback>
        </mc:AlternateContent>
      </w:r>
    </w:p>
    <w:p w14:paraId="40D46C1A" w14:textId="52F365B8" w:rsidR="003E3986" w:rsidRPr="00376529" w:rsidRDefault="003E3986" w:rsidP="003E3986">
      <w:pPr>
        <w:pStyle w:val="NumberedParagraphs-MOH"/>
        <w:numPr>
          <w:ilvl w:val="0"/>
          <w:numId w:val="0"/>
        </w:numPr>
        <w:ind w:left="851" w:hanging="851"/>
        <w:rPr>
          <w:iCs/>
        </w:rPr>
      </w:pPr>
    </w:p>
    <w:p w14:paraId="0C4FB009" w14:textId="287AC406" w:rsidR="004B2D99" w:rsidRPr="00376529" w:rsidRDefault="004B2D99" w:rsidP="005D1286">
      <w:pPr>
        <w:keepNext/>
        <w:spacing w:before="240" w:after="120"/>
        <w:ind w:left="567"/>
        <w:jc w:val="both"/>
        <w:outlineLvl w:val="1"/>
        <w:rPr>
          <w:rFonts w:ascii="Segoe UI Semibold" w:eastAsiaTheme="majorEastAsia" w:hAnsi="Segoe UI Semibold" w:cs="Arial"/>
          <w:iCs/>
          <w:lang w:eastAsia="en-NZ"/>
        </w:rPr>
      </w:pPr>
      <w:r w:rsidRPr="00376529">
        <w:rPr>
          <w:rFonts w:ascii="Segoe UI Semibold" w:eastAsiaTheme="majorEastAsia" w:hAnsi="Segoe UI Semibold" w:cs="Arial"/>
          <w:iCs/>
          <w:lang w:eastAsia="en-NZ"/>
        </w:rPr>
        <w:t xml:space="preserve">Ministry response </w:t>
      </w:r>
    </w:p>
    <w:p w14:paraId="286CA1F0" w14:textId="5E36CE46" w:rsidR="009B115E" w:rsidRPr="00376529" w:rsidRDefault="004B2D99" w:rsidP="0023267E">
      <w:pPr>
        <w:suppressAutoHyphens/>
        <w:autoSpaceDE w:val="0"/>
        <w:autoSpaceDN w:val="0"/>
        <w:adjustRightInd w:val="0"/>
        <w:spacing w:before="120" w:after="120"/>
        <w:ind w:left="567"/>
        <w:textAlignment w:val="center"/>
        <w:outlineLvl w:val="3"/>
        <w:rPr>
          <w:rFonts w:ascii="Segoe UI" w:eastAsiaTheme="majorEastAsia" w:hAnsi="Segoe UI" w:cs="Segoe UI"/>
          <w:bCs/>
          <w:i/>
          <w:sz w:val="22"/>
          <w:szCs w:val="22"/>
          <w:lang w:eastAsia="x-none"/>
        </w:rPr>
      </w:pPr>
      <w:r w:rsidRPr="00376529">
        <w:rPr>
          <w:rFonts w:ascii="Segoe UI" w:eastAsiaTheme="majorEastAsia" w:hAnsi="Segoe UI" w:cs="Segoe UI"/>
          <w:bCs/>
          <w:i/>
          <w:sz w:val="22"/>
          <w:szCs w:val="22"/>
          <w:lang w:eastAsia="x-none"/>
        </w:rPr>
        <w:t xml:space="preserve">The Ministry has undertaken work to improve our COVID-19 communications to under-served communities </w:t>
      </w:r>
    </w:p>
    <w:p w14:paraId="25B670BD" w14:textId="309E6A52" w:rsidR="009B115E" w:rsidRPr="00376529" w:rsidRDefault="21D16F2E" w:rsidP="0022625A">
      <w:pPr>
        <w:pStyle w:val="NumberedParagraphs-MOH"/>
      </w:pPr>
      <w:r>
        <w:t>As part of the $22 million investment to support the Pacific response to Omicron (refer to para</w:t>
      </w:r>
      <w:r w:rsidR="58918F1B">
        <w:t>graph</w:t>
      </w:r>
      <w:r>
        <w:t xml:space="preserve"> 33), a portion of this funding </w:t>
      </w:r>
      <w:r w:rsidR="6AF8F4F9">
        <w:t>is enabling</w:t>
      </w:r>
      <w:r>
        <w:t xml:space="preserve"> Pacific health providers deliver Pacific communication and engagement activities. This includes the recommunication of </w:t>
      </w:r>
      <w:r>
        <w:lastRenderedPageBreak/>
        <w:t>culturally appropriate key health messages to encourage compliance with public health guidance (e.g. vaccination and testing) and the various health supports available</w:t>
      </w:r>
      <w:r w:rsidR="39CFF1B7">
        <w:t>.</w:t>
      </w:r>
    </w:p>
    <w:p w14:paraId="7F4F25C6" w14:textId="77777777" w:rsidR="004B2D99" w:rsidRPr="00376529" w:rsidRDefault="30A17219" w:rsidP="004B2D99">
      <w:pPr>
        <w:pStyle w:val="NumberedParagraphs-MOH"/>
        <w:ind w:left="567" w:hanging="567"/>
      </w:pPr>
      <w:r>
        <w:t>Work has been, and continues to be, undertaken to improve communications for disabled people including:</w:t>
      </w:r>
    </w:p>
    <w:p w14:paraId="1A6907EE" w14:textId="77777777" w:rsidR="004B2D99" w:rsidRPr="00376529" w:rsidRDefault="004B2D99" w:rsidP="00F52D02">
      <w:pPr>
        <w:pStyle w:val="NumberedParagraphs-MOH"/>
        <w:numPr>
          <w:ilvl w:val="0"/>
          <w:numId w:val="7"/>
        </w:numPr>
      </w:pPr>
      <w:r w:rsidRPr="00376529">
        <w:t>an online one-stop COVID-19 information hub for disabled people was launched on the Unite Against COVID-19 (UAC) website in April 2022. The Ministry is working with other government agencies to regularly review and update the webpage to ensure information is current and available in alternate formats and in a range of languages</w:t>
      </w:r>
    </w:p>
    <w:p w14:paraId="6FF5D08D" w14:textId="2E40D0FB" w:rsidR="009B115E" w:rsidRPr="00376529" w:rsidRDefault="004B2D99" w:rsidP="00736857">
      <w:pPr>
        <w:pStyle w:val="NumberedParagraphs-MOH"/>
        <w:numPr>
          <w:ilvl w:val="0"/>
          <w:numId w:val="7"/>
        </w:numPr>
      </w:pPr>
      <w:r w:rsidRPr="00376529">
        <w:t xml:space="preserve">work to ensure that resources and communications on vaccinations are available in easy read, </w:t>
      </w:r>
      <w:r w:rsidR="00511AFC" w:rsidRPr="00376529">
        <w:t>New Zealand Sign Language</w:t>
      </w:r>
      <w:r w:rsidRPr="00376529">
        <w:t xml:space="preserve">, </w:t>
      </w:r>
      <w:r w:rsidR="0028649B" w:rsidRPr="00376529">
        <w:t xml:space="preserve">large </w:t>
      </w:r>
      <w:proofErr w:type="gramStart"/>
      <w:r w:rsidR="0028649B" w:rsidRPr="00376529">
        <w:t>print</w:t>
      </w:r>
      <w:proofErr w:type="gramEnd"/>
      <w:r w:rsidRPr="00376529">
        <w:t xml:space="preserve"> and Braille.</w:t>
      </w:r>
    </w:p>
    <w:p w14:paraId="4E85A9E8" w14:textId="1558C8B0" w:rsidR="00AD41CE" w:rsidRPr="00376529" w:rsidRDefault="00D227AA" w:rsidP="00A423CC">
      <w:pPr>
        <w:pStyle w:val="ListParagraph"/>
        <w:keepNext/>
        <w:numPr>
          <w:ilvl w:val="0"/>
          <w:numId w:val="9"/>
        </w:numPr>
        <w:spacing w:before="360" w:after="120" w:line="259" w:lineRule="auto"/>
        <w:ind w:left="584" w:hanging="357"/>
        <w:jc w:val="both"/>
        <w:outlineLvl w:val="1"/>
        <w:rPr>
          <w:rFonts w:ascii="Segoe UI Semibold" w:eastAsiaTheme="majorEastAsia" w:hAnsi="Segoe UI Semibold" w:cs="Arial"/>
          <w:iCs/>
          <w:lang w:eastAsia="en-NZ"/>
        </w:rPr>
      </w:pPr>
      <w:r w:rsidRPr="00376529">
        <w:rPr>
          <w:rFonts w:ascii="Segoe UI Semibold" w:eastAsiaTheme="majorEastAsia" w:hAnsi="Segoe UI Semibold" w:cs="Arial"/>
          <w:iCs/>
          <w:lang w:eastAsia="en-NZ"/>
        </w:rPr>
        <w:t xml:space="preserve">Improving </w:t>
      </w:r>
      <w:bookmarkEnd w:id="0"/>
      <w:r w:rsidRPr="00376529">
        <w:rPr>
          <w:rFonts w:ascii="Segoe UI Semibold" w:eastAsiaTheme="majorEastAsia" w:hAnsi="Segoe UI Semibold" w:cs="Arial"/>
          <w:iCs/>
          <w:lang w:eastAsia="en-NZ"/>
        </w:rPr>
        <w:t>access to</w:t>
      </w:r>
      <w:r w:rsidR="001B340A" w:rsidRPr="00376529">
        <w:rPr>
          <w:rFonts w:ascii="Segoe UI Semibold" w:eastAsiaTheme="majorEastAsia" w:hAnsi="Segoe UI Semibold" w:cs="Arial"/>
          <w:iCs/>
          <w:lang w:eastAsia="en-NZ"/>
        </w:rPr>
        <w:t xml:space="preserve">, and capturing of </w:t>
      </w:r>
      <w:r w:rsidRPr="00376529">
        <w:rPr>
          <w:rFonts w:ascii="Segoe UI Semibold" w:eastAsiaTheme="majorEastAsia" w:hAnsi="Segoe UI Semibold" w:cs="Arial"/>
          <w:iCs/>
          <w:lang w:eastAsia="en-NZ"/>
        </w:rPr>
        <w:t>dat</w:t>
      </w:r>
      <w:r w:rsidR="001B340A" w:rsidRPr="00376529">
        <w:rPr>
          <w:rFonts w:ascii="Segoe UI Semibold" w:eastAsiaTheme="majorEastAsia" w:hAnsi="Segoe UI Semibold" w:cs="Arial"/>
          <w:iCs/>
          <w:lang w:eastAsia="en-NZ"/>
        </w:rPr>
        <w:t>a to inform the response</w:t>
      </w:r>
    </w:p>
    <w:p w14:paraId="135F977D" w14:textId="56C19709" w:rsidR="009F36E4" w:rsidRPr="00376529" w:rsidRDefault="53850F38" w:rsidP="002A4007">
      <w:pPr>
        <w:pStyle w:val="NumberedParagraphs-MOH"/>
        <w:ind w:left="567" w:hanging="567"/>
      </w:pPr>
      <w:r>
        <w:t>Providers raised an urgent need for access to localised and relevant data so they could meet individual needs</w:t>
      </w:r>
      <w:r w:rsidR="503729EE">
        <w:t xml:space="preserve"> </w:t>
      </w:r>
      <w:r>
        <w:t>and anticipate the needs of their communities. This included information sharing about positive cases, ethnicity, hospitalisations, access to Managed Isolation and Quarantine</w:t>
      </w:r>
      <w:r w:rsidR="5ACCC62D">
        <w:t>,</w:t>
      </w:r>
      <w:r>
        <w:t xml:space="preserve"> gaps in vaccination, </w:t>
      </w:r>
      <w:r w:rsidR="14B49AA2">
        <w:t>a</w:t>
      </w:r>
      <w:r w:rsidR="52CB0F36">
        <w:t xml:space="preserve">s well as cases that identified as </w:t>
      </w:r>
      <w:r w:rsidR="14B49AA2">
        <w:t>disabled people</w:t>
      </w:r>
      <w:r>
        <w:t xml:space="preserve"> or ha</w:t>
      </w:r>
      <w:r w:rsidR="52CB0F36">
        <w:t xml:space="preserve">d </w:t>
      </w:r>
      <w:r>
        <w:t>pre-existing health conditions</w:t>
      </w:r>
      <w:r w:rsidR="4811CD42">
        <w:t>,</w:t>
      </w:r>
      <w:r>
        <w:t xml:space="preserve"> so </w:t>
      </w:r>
      <w:r w:rsidR="6EC29BFB">
        <w:t xml:space="preserve">providers </w:t>
      </w:r>
      <w:r w:rsidR="563BAE6D">
        <w:t>k</w:t>
      </w:r>
      <w:r w:rsidR="6EC29BFB">
        <w:t>new who to prioritise with immediate support</w:t>
      </w:r>
      <w:r w:rsidR="282CC3D3">
        <w:t>.</w:t>
      </w:r>
    </w:p>
    <w:p w14:paraId="78E7578B" w14:textId="3D24774C" w:rsidR="00534E61" w:rsidRPr="00376529" w:rsidRDefault="04C2A8AC" w:rsidP="00767AF3">
      <w:pPr>
        <w:pStyle w:val="NumberedParagraphs-MOH"/>
        <w:ind w:left="567" w:hanging="567"/>
      </w:pPr>
      <w:r>
        <w:t>I</w:t>
      </w:r>
      <w:r w:rsidR="6EDA508E">
        <w:t>dentifying needs for communities, articulating gaps in service delivery and utilising local knowledge and intelligence effectively were all raised in the context of data sharing solutions. Data sharing was often positioned as a way to engender meaningful reciprocal partnerships and as an opportunity to build on this for the health reforms and transition to new systems of working.</w:t>
      </w:r>
    </w:p>
    <w:p w14:paraId="3B0170BB" w14:textId="1C16D83E" w:rsidR="00F52E01" w:rsidRPr="000A70DF" w:rsidRDefault="002A4007" w:rsidP="002A4007">
      <w:pPr>
        <w:pStyle w:val="NumberedParagraphs-MOH"/>
        <w:numPr>
          <w:ilvl w:val="0"/>
          <w:numId w:val="0"/>
        </w:numPr>
        <w:ind w:left="567"/>
        <w:rPr>
          <w:iCs/>
        </w:rPr>
      </w:pPr>
      <w:r w:rsidRPr="00D84A54">
        <w:rPr>
          <w:iCs/>
        </w:rPr>
        <w:t>‘</w:t>
      </w:r>
      <w:r w:rsidR="00F52E01" w:rsidRPr="00D84A54">
        <w:rPr>
          <w:iCs/>
        </w:rPr>
        <w:t>There is a lack of understanding of the high-needs populations out there, the quantity of people we’re talking about, and how they’ll be impacted in the case of an outbreak</w:t>
      </w:r>
      <w:r w:rsidRPr="00D84A54">
        <w:rPr>
          <w:iCs/>
        </w:rPr>
        <w:t>.’</w:t>
      </w:r>
    </w:p>
    <w:p w14:paraId="671E8EF3" w14:textId="64F15301" w:rsidR="00F45F6C" w:rsidRPr="00376529" w:rsidRDefault="28DA55A6" w:rsidP="00EC272D">
      <w:pPr>
        <w:pStyle w:val="NumberedParagraphs-MOH"/>
        <w:numPr>
          <w:ilvl w:val="0"/>
          <w:numId w:val="0"/>
        </w:numPr>
        <w:ind w:left="567"/>
      </w:pPr>
      <w:r>
        <w:t xml:space="preserve">‘Pathways for data capture and information sharing of essential social information is unclear and is required for funding and planning </w:t>
      </w:r>
      <w:r w:rsidR="13C6BD85">
        <w:t xml:space="preserve">(e.g. </w:t>
      </w:r>
      <w:r>
        <w:t>red flags on high and complex Māori and Pacific cases</w:t>
      </w:r>
      <w:r w:rsidR="13C6BD85">
        <w:t>)</w:t>
      </w:r>
      <w:r>
        <w:t>.’</w:t>
      </w:r>
    </w:p>
    <w:p w14:paraId="54E7C06E" w14:textId="075F0A8A" w:rsidR="005D1286" w:rsidRPr="00376529" w:rsidRDefault="00045D4C" w:rsidP="00EC272D">
      <w:pPr>
        <w:pStyle w:val="NumberedParagraphs-MOH"/>
        <w:numPr>
          <w:ilvl w:val="0"/>
          <w:numId w:val="0"/>
        </w:numPr>
        <w:ind w:left="567"/>
        <w:rPr>
          <w:iCs/>
        </w:rPr>
      </w:pPr>
      <w:r w:rsidRPr="00376529">
        <w:rPr>
          <w:iCs/>
        </w:rPr>
        <w:t>‘Ability to check that people are getting the clinical care they need for COVID and non-COVID, needs to be built into monitoring.’</w:t>
      </w:r>
    </w:p>
    <w:p w14:paraId="4F229E03" w14:textId="413BF556" w:rsidR="000314EA" w:rsidRPr="00D84A54" w:rsidRDefault="5FED930D" w:rsidP="002A4007">
      <w:pPr>
        <w:pStyle w:val="NumberedParagraphs-MOH"/>
        <w:ind w:left="567" w:hanging="567"/>
      </w:pPr>
      <w:r>
        <w:t xml:space="preserve">Providers raised the need for </w:t>
      </w:r>
      <w:r w:rsidR="16DA2FC8">
        <w:t xml:space="preserve">intersectional </w:t>
      </w:r>
      <w:r>
        <w:t>data</w:t>
      </w:r>
      <w:r w:rsidR="15405BD0">
        <w:t xml:space="preserve"> capturing priority populations within priority populations to </w:t>
      </w:r>
      <w:r w:rsidR="6FB2FD0A">
        <w:t xml:space="preserve">support prioritised and targeted responses as well as support </w:t>
      </w:r>
      <w:r w:rsidR="3B3E0544">
        <w:t xml:space="preserve">resource allocation and planning. </w:t>
      </w:r>
    </w:p>
    <w:p w14:paraId="4D250BA8" w14:textId="0A29DC34" w:rsidR="000314EA" w:rsidRPr="000A70DF" w:rsidRDefault="000314EA" w:rsidP="002A4007">
      <w:pPr>
        <w:pStyle w:val="NumberedParagraphs-MOH"/>
        <w:numPr>
          <w:ilvl w:val="0"/>
          <w:numId w:val="0"/>
        </w:numPr>
        <w:ind w:left="567"/>
        <w:rPr>
          <w:iCs/>
        </w:rPr>
      </w:pPr>
      <w:r w:rsidRPr="00D84A54">
        <w:rPr>
          <w:iCs/>
          <w:noProof/>
        </w:rPr>
        <mc:AlternateContent>
          <mc:Choice Requires="wps">
            <w:drawing>
              <wp:anchor distT="45720" distB="45720" distL="114300" distR="114300" simplePos="0" relativeHeight="251658243" behindDoc="1" locked="0" layoutInCell="1" allowOverlap="1" wp14:anchorId="2C5A75E5" wp14:editId="2D0409A2">
                <wp:simplePos x="0" y="0"/>
                <wp:positionH relativeFrom="margin">
                  <wp:posOffset>330200</wp:posOffset>
                </wp:positionH>
                <wp:positionV relativeFrom="paragraph">
                  <wp:posOffset>680720</wp:posOffset>
                </wp:positionV>
                <wp:extent cx="5720080" cy="1130300"/>
                <wp:effectExtent l="0" t="0" r="13970" b="12700"/>
                <wp:wrapTight wrapText="bothSides">
                  <wp:wrapPolygon edited="0">
                    <wp:start x="0" y="0"/>
                    <wp:lineTo x="0" y="21479"/>
                    <wp:lineTo x="21581" y="21479"/>
                    <wp:lineTo x="21581"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130300"/>
                        </a:xfrm>
                        <a:prstGeom prst="rect">
                          <a:avLst/>
                        </a:prstGeom>
                        <a:solidFill>
                          <a:srgbClr val="FFFFFF"/>
                        </a:solidFill>
                        <a:ln w="9525">
                          <a:solidFill>
                            <a:srgbClr val="000000"/>
                          </a:solidFill>
                          <a:miter lim="800000"/>
                          <a:headEnd/>
                          <a:tailEnd/>
                        </a:ln>
                      </wps:spPr>
                      <wps:txbx>
                        <w:txbxContent>
                          <w:p w14:paraId="1B7A099F" w14:textId="0D686F72" w:rsidR="005D1286" w:rsidRDefault="009D43C1" w:rsidP="00107051">
                            <w:pPr>
                              <w:pStyle w:val="NumberedParagraphs-MOH"/>
                              <w:numPr>
                                <w:ilvl w:val="0"/>
                                <w:numId w:val="23"/>
                              </w:numPr>
                              <w:rPr>
                                <w:b/>
                                <w:bCs/>
                              </w:rPr>
                            </w:pPr>
                            <w:r>
                              <w:rPr>
                                <w:b/>
                                <w:bCs/>
                              </w:rPr>
                              <w:t>Summarised priority mitigation a</w:t>
                            </w:r>
                            <w:r w:rsidRPr="002B2E0C">
                              <w:rPr>
                                <w:b/>
                                <w:bCs/>
                              </w:rPr>
                              <w:t>ction</w:t>
                            </w:r>
                            <w:r>
                              <w:rPr>
                                <w:b/>
                                <w:bCs/>
                              </w:rPr>
                              <w:t xml:space="preserve"> identified in the hui</w:t>
                            </w:r>
                            <w:r w:rsidR="005D1286" w:rsidRPr="002B2E0C">
                              <w:rPr>
                                <w:b/>
                                <w:bCs/>
                              </w:rPr>
                              <w:t>:</w:t>
                            </w:r>
                            <w:r w:rsidR="00DB2582">
                              <w:rPr>
                                <w:b/>
                                <w:bCs/>
                              </w:rPr>
                              <w:t xml:space="preserve"> data</w:t>
                            </w:r>
                          </w:p>
                          <w:p w14:paraId="33CFE7BD" w14:textId="77777777" w:rsidR="005D1286" w:rsidRPr="002C0B42" w:rsidRDefault="005D1286" w:rsidP="00107051">
                            <w:pPr>
                              <w:pStyle w:val="NumberedParagraphs-MOH"/>
                              <w:numPr>
                                <w:ilvl w:val="0"/>
                                <w:numId w:val="0"/>
                              </w:numPr>
                              <w:ind w:left="360"/>
                              <w:rPr>
                                <w:b/>
                                <w:bCs/>
                              </w:rPr>
                            </w:pPr>
                            <w:r>
                              <w:t>Enable providers to access timely health data on priority populations to support their response through improved data capture specific to underserved communities, as well as pro-active information sharing.</w:t>
                            </w:r>
                          </w:p>
                          <w:p w14:paraId="3DFA57A4" w14:textId="77777777" w:rsidR="005D1286" w:rsidRDefault="005D1286" w:rsidP="005D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A75E5" id="Text Box 5" o:spid="_x0000_s1030" type="#_x0000_t202" style="position:absolute;left:0;text-align:left;margin-left:26pt;margin-top:53.6pt;width:450.4pt;height:89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">
                <v:textbox>
                  <w:txbxContent>
                    <w:p w14:paraId="1B7A099F" w14:textId="0D686F72" w:rsidR="005D1286" w:rsidRDefault="009D43C1" w:rsidP="00107051">
                      <w:pPr>
                        <w:pStyle w:val="NumberedParagraphs-MOH"/>
                        <w:numPr>
                          <w:ilvl w:val="0"/>
                          <w:numId w:val="23"/>
                        </w:numPr>
                        <w:rPr>
                          <w:b/>
                          <w:bCs/>
                        </w:rPr>
                      </w:pPr>
                      <w:r>
                        <w:rPr>
                          <w:b/>
                          <w:bCs/>
                        </w:rPr>
                        <w:t>Summarised priority mitigation a</w:t>
                      </w:r>
                      <w:r w:rsidRPr="002B2E0C">
                        <w:rPr>
                          <w:b/>
                          <w:bCs/>
                        </w:rPr>
                        <w:t>ction</w:t>
                      </w:r>
                      <w:r>
                        <w:rPr>
                          <w:b/>
                          <w:bCs/>
                        </w:rPr>
                        <w:t xml:space="preserve"> identified in the hui</w:t>
                      </w:r>
                      <w:r w:rsidR="005D1286" w:rsidRPr="002B2E0C">
                        <w:rPr>
                          <w:b/>
                          <w:bCs/>
                        </w:rPr>
                        <w:t>:</w:t>
                      </w:r>
                      <w:r w:rsidR="00DB2582">
                        <w:rPr>
                          <w:b/>
                          <w:bCs/>
                        </w:rPr>
                        <w:t xml:space="preserve"> data</w:t>
                      </w:r>
                    </w:p>
                    <w:p w14:paraId="33CFE7BD" w14:textId="77777777" w:rsidR="005D1286" w:rsidRPr="002C0B42" w:rsidRDefault="005D1286" w:rsidP="00107051">
                      <w:pPr>
                        <w:pStyle w:val="NumberedParagraphs-MOH"/>
                        <w:numPr>
                          <w:ilvl w:val="0"/>
                          <w:numId w:val="0"/>
                        </w:numPr>
                        <w:ind w:left="360"/>
                        <w:rPr>
                          <w:b/>
                          <w:bCs/>
                        </w:rPr>
                      </w:pPr>
                      <w:r>
                        <w:t>Enable providers to access timely health data on priority populations to support their response through improved data capture specific to underserved communities, as well as pro-active information sharing.</w:t>
                      </w:r>
                    </w:p>
                    <w:p w14:paraId="3DFA57A4" w14:textId="77777777" w:rsidR="005D1286" w:rsidRDefault="005D1286" w:rsidP="005D1286"/>
                  </w:txbxContent>
                </v:textbox>
                <w10:wrap type="tight" anchorx="margin"/>
              </v:shape>
            </w:pict>
          </mc:Fallback>
        </mc:AlternateContent>
      </w:r>
      <w:r w:rsidR="009B69BE" w:rsidRPr="00D84A54">
        <w:rPr>
          <w:iCs/>
        </w:rPr>
        <w:t>‘Ministry data is missing refugees, migrants, low-income, homeless, immune-compromised, over 65’s, pregnant people, as well as vulnerable populations within vulnerable populations</w:t>
      </w:r>
      <w:r w:rsidR="002A4007" w:rsidRPr="00D84A54">
        <w:rPr>
          <w:iCs/>
        </w:rPr>
        <w:t>.</w:t>
      </w:r>
      <w:r w:rsidR="009B69BE" w:rsidRPr="00D84A54">
        <w:rPr>
          <w:iCs/>
        </w:rPr>
        <w:t>’</w:t>
      </w:r>
    </w:p>
    <w:p w14:paraId="34B4A0CD" w14:textId="18C03576" w:rsidR="002C0B42" w:rsidRPr="00376529" w:rsidRDefault="002C0B42" w:rsidP="00F52D02">
      <w:pPr>
        <w:keepNext/>
        <w:spacing w:before="240" w:after="120"/>
        <w:ind w:firstLine="567"/>
        <w:jc w:val="both"/>
        <w:outlineLvl w:val="1"/>
        <w:rPr>
          <w:rFonts w:ascii="Segoe UI Semibold" w:eastAsiaTheme="majorEastAsia" w:hAnsi="Segoe UI Semibold" w:cs="Arial"/>
          <w:iCs/>
          <w:lang w:eastAsia="en-NZ"/>
        </w:rPr>
      </w:pPr>
      <w:r w:rsidRPr="00376529">
        <w:rPr>
          <w:rFonts w:ascii="Segoe UI Semibold" w:eastAsiaTheme="majorEastAsia" w:hAnsi="Segoe UI Semibold" w:cs="Arial"/>
          <w:iCs/>
          <w:lang w:eastAsia="en-NZ"/>
        </w:rPr>
        <w:lastRenderedPageBreak/>
        <w:t xml:space="preserve">Ministry response </w:t>
      </w:r>
    </w:p>
    <w:p w14:paraId="5A450962" w14:textId="2AE87B80" w:rsidR="004B2D99" w:rsidRPr="00376529" w:rsidRDefault="004B2D99" w:rsidP="00CA530B">
      <w:pPr>
        <w:suppressAutoHyphens/>
        <w:autoSpaceDE w:val="0"/>
        <w:autoSpaceDN w:val="0"/>
        <w:adjustRightInd w:val="0"/>
        <w:spacing w:before="120" w:after="120"/>
        <w:ind w:left="567"/>
        <w:textAlignment w:val="center"/>
        <w:outlineLvl w:val="3"/>
        <w:rPr>
          <w:rFonts w:ascii="Segoe UI" w:eastAsiaTheme="majorEastAsia" w:hAnsi="Segoe UI" w:cs="Segoe UI"/>
          <w:bCs/>
          <w:i/>
          <w:sz w:val="22"/>
          <w:szCs w:val="22"/>
          <w:lang w:eastAsia="x-none"/>
        </w:rPr>
      </w:pPr>
      <w:r w:rsidRPr="00376529">
        <w:rPr>
          <w:rFonts w:ascii="Segoe UI" w:eastAsiaTheme="majorEastAsia" w:hAnsi="Segoe UI" w:cs="Segoe UI"/>
          <w:i/>
          <w:sz w:val="22"/>
          <w:szCs w:val="22"/>
        </w:rPr>
        <w:t>The Ministry continues to improve information sharing and community providers’ access to health data to inform their response</w:t>
      </w:r>
      <w:r w:rsidR="00237D9A" w:rsidRPr="00376529">
        <w:rPr>
          <w:rFonts w:ascii="Segoe UI" w:eastAsiaTheme="majorEastAsia" w:hAnsi="Segoe UI" w:cs="Segoe UI"/>
          <w:i/>
          <w:sz w:val="22"/>
          <w:szCs w:val="22"/>
        </w:rPr>
        <w:t xml:space="preserve">, although we </w:t>
      </w:r>
      <w:r w:rsidR="007260EC" w:rsidRPr="00376529">
        <w:rPr>
          <w:rFonts w:ascii="Segoe UI" w:eastAsiaTheme="majorEastAsia" w:hAnsi="Segoe UI" w:cs="Segoe UI"/>
          <w:i/>
          <w:sz w:val="22"/>
          <w:szCs w:val="22"/>
        </w:rPr>
        <w:t>acknowledge</w:t>
      </w:r>
      <w:r w:rsidR="00237D9A" w:rsidRPr="00376529">
        <w:rPr>
          <w:rFonts w:ascii="Segoe UI" w:eastAsiaTheme="majorEastAsia" w:hAnsi="Segoe UI" w:cs="Segoe UI"/>
          <w:i/>
          <w:sz w:val="22"/>
          <w:szCs w:val="22"/>
        </w:rPr>
        <w:t xml:space="preserve"> </w:t>
      </w:r>
      <w:r w:rsidR="002B0D59" w:rsidRPr="00376529">
        <w:rPr>
          <w:rFonts w:ascii="Segoe UI" w:eastAsiaTheme="majorEastAsia" w:hAnsi="Segoe UI" w:cs="Segoe UI"/>
          <w:i/>
          <w:sz w:val="22"/>
          <w:szCs w:val="22"/>
        </w:rPr>
        <w:t>further improvements need to be made</w:t>
      </w:r>
      <w:r w:rsidR="00237D9A" w:rsidRPr="00376529">
        <w:rPr>
          <w:rFonts w:ascii="Segoe UI" w:eastAsiaTheme="majorEastAsia" w:hAnsi="Segoe UI" w:cs="Segoe UI"/>
          <w:i/>
          <w:sz w:val="22"/>
          <w:szCs w:val="22"/>
        </w:rPr>
        <w:t xml:space="preserve"> </w:t>
      </w:r>
    </w:p>
    <w:p w14:paraId="4C763843" w14:textId="4E5C6EB2" w:rsidR="004B2D99" w:rsidRPr="00376529" w:rsidRDefault="30A17219" w:rsidP="004B2D99">
      <w:pPr>
        <w:pStyle w:val="NumberedParagraphs-MOH"/>
        <w:ind w:left="567" w:hanging="567"/>
      </w:pPr>
      <w:r>
        <w:t xml:space="preserve">Updates to the </w:t>
      </w:r>
      <w:r w:rsidR="1210F9DC">
        <w:t xml:space="preserve">information captured via the </w:t>
      </w:r>
      <w:r>
        <w:t xml:space="preserve">online contact tracing form and the phone-based case investigation means the Ministry now collects more data on a person’s </w:t>
      </w:r>
      <w:r w:rsidR="1210F9DC">
        <w:t xml:space="preserve">health and </w:t>
      </w:r>
      <w:r>
        <w:t>disability status and any associated need</w:t>
      </w:r>
      <w:r w:rsidR="1210F9DC">
        <w:t xml:space="preserve">s. This data is collected and utilised to ensure </w:t>
      </w:r>
      <w:r>
        <w:t xml:space="preserve">appropriate referrals for support can take place where required. </w:t>
      </w:r>
    </w:p>
    <w:p w14:paraId="6E59520E" w14:textId="0915E4A5" w:rsidR="004B2D99" w:rsidRPr="00376529" w:rsidRDefault="30A17219" w:rsidP="004B2D99">
      <w:pPr>
        <w:pStyle w:val="NumberedParagraphs-MOH"/>
        <w:ind w:left="567" w:hanging="567"/>
      </w:pPr>
      <w:r w:rsidRPr="24F18215">
        <w:rPr>
          <w:color w:val="000000" w:themeColor="text1"/>
        </w:rPr>
        <w:t xml:space="preserve">The Ministry is updating its </w:t>
      </w:r>
      <w:r w:rsidR="563BAE6D" w:rsidRPr="24F18215">
        <w:rPr>
          <w:color w:val="000000" w:themeColor="text1"/>
        </w:rPr>
        <w:t>s</w:t>
      </w:r>
      <w:r w:rsidRPr="24F18215">
        <w:rPr>
          <w:color w:val="000000" w:themeColor="text1"/>
        </w:rPr>
        <w:t>urveillance strategy to focus more on Māori and other priority populations and the intersectional risks to their health from COVID-19. The soon to be released updated Surveillance strategy addresses these objectives in-more depth to emphasise Māori, priority populations and intersectional risks to health from COVID-19.</w:t>
      </w:r>
    </w:p>
    <w:p w14:paraId="73ADDC9E" w14:textId="30FC1519" w:rsidR="004B2D99" w:rsidRPr="00376529" w:rsidRDefault="30A17219" w:rsidP="004B2D99">
      <w:pPr>
        <w:pStyle w:val="NumberedParagraphs-MOH"/>
        <w:ind w:left="567" w:hanging="567"/>
        <w:rPr>
          <w:color w:val="000000" w:themeColor="text1"/>
        </w:rPr>
      </w:pPr>
      <w:r w:rsidRPr="24F18215">
        <w:rPr>
          <w:color w:val="000000" w:themeColor="text1"/>
        </w:rPr>
        <w:t>From February 2022, the Ministry has been producing Māori and Pacific COVID-19 data weekly reports to a distribution list of 140+ people inside and outside the Ministry. These reports cover data on vaccination rates of disabled people and people with lived experience of mental distress or addiction. The Ministry has included a public version for community providers since early April 2022.</w:t>
      </w:r>
    </w:p>
    <w:p w14:paraId="50641CA1" w14:textId="6089DE21" w:rsidR="00B07260" w:rsidRPr="00376529" w:rsidRDefault="30A17219" w:rsidP="00B07260">
      <w:pPr>
        <w:pStyle w:val="NumberedParagraphs-MOH"/>
        <w:ind w:left="567" w:hanging="567"/>
        <w:rPr>
          <w:color w:val="000000" w:themeColor="text1"/>
        </w:rPr>
      </w:pPr>
      <w:r w:rsidRPr="24F18215">
        <w:rPr>
          <w:color w:val="000000" w:themeColor="text1"/>
        </w:rPr>
        <w:t xml:space="preserve">The Ministry uses national and regional data to assess whether vaccinations are being rolled out equitably. This data informs strategies to increase vaccine uptake, with successful strategies shared between organisations and groups such as </w:t>
      </w:r>
      <w:proofErr w:type="spellStart"/>
      <w:r w:rsidRPr="24F18215">
        <w:rPr>
          <w:color w:val="000000" w:themeColor="text1"/>
        </w:rPr>
        <w:t>Te</w:t>
      </w:r>
      <w:proofErr w:type="spellEnd"/>
      <w:r w:rsidRPr="24F18215">
        <w:rPr>
          <w:color w:val="000000" w:themeColor="text1"/>
        </w:rPr>
        <w:t xml:space="preserve"> </w:t>
      </w:r>
      <w:proofErr w:type="spellStart"/>
      <w:r w:rsidRPr="24F18215">
        <w:rPr>
          <w:color w:val="000000" w:themeColor="text1"/>
        </w:rPr>
        <w:t>Puni</w:t>
      </w:r>
      <w:proofErr w:type="spellEnd"/>
      <w:r w:rsidRPr="24F18215">
        <w:rPr>
          <w:color w:val="000000" w:themeColor="text1"/>
        </w:rPr>
        <w:t xml:space="preserve"> </w:t>
      </w:r>
      <w:proofErr w:type="spellStart"/>
      <w:r w:rsidRPr="24F18215">
        <w:rPr>
          <w:color w:val="000000" w:themeColor="text1"/>
        </w:rPr>
        <w:t>Kōkiri</w:t>
      </w:r>
      <w:proofErr w:type="spellEnd"/>
      <w:r w:rsidRPr="24F18215">
        <w:rPr>
          <w:color w:val="000000" w:themeColor="text1"/>
        </w:rPr>
        <w:t>, DHBs, iwi and Māori organisations.</w:t>
      </w:r>
    </w:p>
    <w:p w14:paraId="241B9472" w14:textId="15673046" w:rsidR="007260EC" w:rsidRPr="00376529" w:rsidRDefault="23273FB4" w:rsidP="00B07260">
      <w:pPr>
        <w:pStyle w:val="NumberedParagraphs-MOH"/>
        <w:ind w:left="567" w:hanging="567"/>
        <w:rPr>
          <w:color w:val="000000" w:themeColor="text1"/>
        </w:rPr>
      </w:pPr>
      <w:r w:rsidRPr="24F18215">
        <w:rPr>
          <w:color w:val="000000" w:themeColor="text1"/>
        </w:rPr>
        <w:t>The Ministry acknowledges there is much more work to be done to improve our capturing and analysing of</w:t>
      </w:r>
      <w:r w:rsidR="194662FC" w:rsidRPr="24F18215">
        <w:rPr>
          <w:color w:val="000000" w:themeColor="text1"/>
        </w:rPr>
        <w:t>,</w:t>
      </w:r>
      <w:r w:rsidRPr="24F18215">
        <w:rPr>
          <w:color w:val="000000" w:themeColor="text1"/>
        </w:rPr>
        <w:t xml:space="preserve"> </w:t>
      </w:r>
      <w:r w:rsidR="194662FC" w:rsidRPr="24F18215">
        <w:rPr>
          <w:color w:val="000000" w:themeColor="text1"/>
        </w:rPr>
        <w:t xml:space="preserve">as well as </w:t>
      </w:r>
      <w:r w:rsidRPr="24F18215">
        <w:rPr>
          <w:color w:val="000000" w:themeColor="text1"/>
        </w:rPr>
        <w:t>reporting on priority populations in our COVID-19 response. This</w:t>
      </w:r>
      <w:r w:rsidR="194662FC" w:rsidRPr="24F18215">
        <w:rPr>
          <w:color w:val="000000" w:themeColor="text1"/>
        </w:rPr>
        <w:t xml:space="preserve"> future work </w:t>
      </w:r>
      <w:r w:rsidRPr="24F18215">
        <w:rPr>
          <w:color w:val="000000" w:themeColor="text1"/>
        </w:rPr>
        <w:t xml:space="preserve">is </w:t>
      </w:r>
      <w:r w:rsidR="7758E9FE" w:rsidRPr="24F18215">
        <w:rPr>
          <w:color w:val="000000" w:themeColor="text1"/>
        </w:rPr>
        <w:t xml:space="preserve">addressed further at the end of this report under ‘Ministry learnings’. </w:t>
      </w:r>
    </w:p>
    <w:p w14:paraId="023460DB" w14:textId="2E11A958" w:rsidR="004D3D1D" w:rsidRPr="00376529" w:rsidRDefault="00170FE7" w:rsidP="00A423CC">
      <w:pPr>
        <w:pStyle w:val="ListParagraph"/>
        <w:keepNext/>
        <w:numPr>
          <w:ilvl w:val="0"/>
          <w:numId w:val="9"/>
        </w:numPr>
        <w:spacing w:before="360" w:after="120" w:line="259" w:lineRule="auto"/>
        <w:ind w:left="584" w:hanging="357"/>
        <w:jc w:val="both"/>
        <w:outlineLvl w:val="1"/>
        <w:rPr>
          <w:rFonts w:ascii="Segoe UI Semibold" w:eastAsiaTheme="majorEastAsia" w:hAnsi="Segoe UI Semibold" w:cs="Arial"/>
          <w:iCs/>
          <w:lang w:eastAsia="en-NZ"/>
        </w:rPr>
      </w:pPr>
      <w:r w:rsidRPr="00376529">
        <w:rPr>
          <w:rFonts w:ascii="Segoe UI Semibold" w:eastAsiaTheme="majorEastAsia" w:hAnsi="Segoe UI Semibold" w:cs="Arial"/>
          <w:iCs/>
          <w:lang w:eastAsia="en-NZ"/>
        </w:rPr>
        <w:t>Ensuring</w:t>
      </w:r>
      <w:r w:rsidR="00DF0383" w:rsidRPr="00376529">
        <w:rPr>
          <w:rFonts w:ascii="Segoe UI Semibold" w:eastAsiaTheme="majorEastAsia" w:hAnsi="Segoe UI Semibold" w:cs="Arial"/>
          <w:iCs/>
          <w:lang w:eastAsia="en-NZ"/>
        </w:rPr>
        <w:t xml:space="preserve"> well integrated partnerships at the local level to meet the needs of communities</w:t>
      </w:r>
    </w:p>
    <w:p w14:paraId="5AF902C1" w14:textId="2A6BD5CE" w:rsidR="00CD1229" w:rsidRPr="00376529" w:rsidRDefault="013AA33E" w:rsidP="00CA530B">
      <w:pPr>
        <w:pStyle w:val="NumberedParagraphs-MOH"/>
        <w:ind w:left="567" w:hanging="567"/>
        <w:rPr>
          <w:color w:val="000000" w:themeColor="text1"/>
        </w:rPr>
      </w:pPr>
      <w:r w:rsidRPr="24F18215">
        <w:rPr>
          <w:color w:val="000000" w:themeColor="text1"/>
        </w:rPr>
        <w:t xml:space="preserve">Supporting the emerging community partnerships and practices being established for Omicron were also signalled as </w:t>
      </w:r>
      <w:r w:rsidR="5BFCF983" w:rsidRPr="24F18215">
        <w:rPr>
          <w:color w:val="000000" w:themeColor="text1"/>
        </w:rPr>
        <w:t xml:space="preserve">an </w:t>
      </w:r>
      <w:r w:rsidRPr="24F18215">
        <w:rPr>
          <w:color w:val="000000" w:themeColor="text1"/>
        </w:rPr>
        <w:t>important legac</w:t>
      </w:r>
      <w:r w:rsidR="5BFCF983" w:rsidRPr="24F18215">
        <w:rPr>
          <w:color w:val="000000" w:themeColor="text1"/>
        </w:rPr>
        <w:t>y</w:t>
      </w:r>
      <w:r w:rsidRPr="24F18215">
        <w:rPr>
          <w:color w:val="000000" w:themeColor="text1"/>
        </w:rPr>
        <w:t xml:space="preserve"> of COVID-19 that could be leveraged to</w:t>
      </w:r>
      <w:r w:rsidR="45BA66D0" w:rsidRPr="24F18215">
        <w:rPr>
          <w:color w:val="000000" w:themeColor="text1"/>
        </w:rPr>
        <w:t xml:space="preserve"> </w:t>
      </w:r>
      <w:r w:rsidRPr="24F18215">
        <w:rPr>
          <w:color w:val="000000" w:themeColor="text1"/>
        </w:rPr>
        <w:t xml:space="preserve">strengthen co-governance arrangements. </w:t>
      </w:r>
    </w:p>
    <w:p w14:paraId="02371BAE" w14:textId="3A7F0B58" w:rsidR="007E5CC4" w:rsidRPr="00376529" w:rsidRDefault="1A7D8303" w:rsidP="00AC6443">
      <w:pPr>
        <w:pStyle w:val="NumberedParagraphs-MOH"/>
        <w:ind w:left="567" w:hanging="567"/>
      </w:pPr>
      <w:proofErr w:type="spellStart"/>
      <w:r>
        <w:t>Maōri</w:t>
      </w:r>
      <w:proofErr w:type="spellEnd"/>
      <w:r>
        <w:t xml:space="preserve"> providers, iwi, </w:t>
      </w:r>
      <w:proofErr w:type="spellStart"/>
      <w:r>
        <w:t>hāpu</w:t>
      </w:r>
      <w:proofErr w:type="spellEnd"/>
      <w:r>
        <w:t xml:space="preserve"> and local communities and providers were leading the way with meeting their regional health needs. Many informants raised the desire to continue to work in this joined up way and build on this work.</w:t>
      </w:r>
    </w:p>
    <w:p w14:paraId="3BEA607F" w14:textId="2D19A7AC" w:rsidR="003776CF" w:rsidRPr="00376529" w:rsidRDefault="579969B2" w:rsidP="00AC6443">
      <w:pPr>
        <w:pStyle w:val="NumberedParagraphs-MOH"/>
        <w:ind w:left="567" w:hanging="567"/>
      </w:pPr>
      <w:r>
        <w:t xml:space="preserve">The focus of Care </w:t>
      </w:r>
      <w:bookmarkStart w:id="1" w:name="_Int_0oTc8YJt"/>
      <w:r>
        <w:t>in</w:t>
      </w:r>
      <w:bookmarkEnd w:id="1"/>
      <w:r>
        <w:t xml:space="preserve"> the Community on </w:t>
      </w:r>
      <w:r w:rsidR="1210F9DC">
        <w:t>‘</w:t>
      </w:r>
      <w:proofErr w:type="spellStart"/>
      <w:r>
        <w:t>manaaki</w:t>
      </w:r>
      <w:proofErr w:type="spellEnd"/>
      <w:r>
        <w:t xml:space="preserve"> first</w:t>
      </w:r>
      <w:r w:rsidR="1210F9DC">
        <w:t>’</w:t>
      </w:r>
      <w:r w:rsidR="4E725145">
        <w:t xml:space="preserve"> </w:t>
      </w:r>
      <w:r>
        <w:t xml:space="preserve">and leaning on </w:t>
      </w:r>
      <w:r w:rsidR="6DD49C69">
        <w:t xml:space="preserve">collective </w:t>
      </w:r>
      <w:r>
        <w:t>community strength and resilience was voiced as an opportunity for a change in focus of healthcare delivery as a way to support the upcoming health reforms.</w:t>
      </w:r>
    </w:p>
    <w:p w14:paraId="78A65CF5" w14:textId="5159AE40" w:rsidR="00753416" w:rsidRPr="00376529" w:rsidRDefault="003776CF" w:rsidP="00EC272D">
      <w:pPr>
        <w:pStyle w:val="NumberedParagraphs-MOH"/>
        <w:numPr>
          <w:ilvl w:val="0"/>
          <w:numId w:val="0"/>
        </w:numPr>
        <w:ind w:left="567"/>
        <w:rPr>
          <w:iCs/>
        </w:rPr>
      </w:pPr>
      <w:r w:rsidRPr="00376529">
        <w:rPr>
          <w:iCs/>
        </w:rPr>
        <w:t xml:space="preserve">‘Omicron is an opportunity to shift to a stronger </w:t>
      </w:r>
      <w:proofErr w:type="spellStart"/>
      <w:r w:rsidRPr="00376529">
        <w:rPr>
          <w:iCs/>
        </w:rPr>
        <w:t>whānau</w:t>
      </w:r>
      <w:proofErr w:type="spellEnd"/>
      <w:r w:rsidRPr="00376529">
        <w:rPr>
          <w:iCs/>
        </w:rPr>
        <w:t xml:space="preserve"> and </w:t>
      </w:r>
      <w:proofErr w:type="spellStart"/>
      <w:r w:rsidRPr="00376529">
        <w:rPr>
          <w:iCs/>
        </w:rPr>
        <w:t>hāpori</w:t>
      </w:r>
      <w:proofErr w:type="spellEnd"/>
      <w:r w:rsidRPr="00376529">
        <w:rPr>
          <w:iCs/>
        </w:rPr>
        <w:t xml:space="preserve"> centred approach in line with the health reforms.’</w:t>
      </w:r>
    </w:p>
    <w:p w14:paraId="74BD396A" w14:textId="787E9C4C" w:rsidR="00ED4223" w:rsidRPr="000A70DF" w:rsidRDefault="00A423CC" w:rsidP="00ED4223">
      <w:pPr>
        <w:pStyle w:val="NumberedParagraphs-MOH"/>
        <w:numPr>
          <w:ilvl w:val="0"/>
          <w:numId w:val="0"/>
        </w:numPr>
        <w:ind w:left="851" w:hanging="851"/>
        <w:rPr>
          <w:i/>
        </w:rPr>
      </w:pPr>
      <w:r w:rsidRPr="000A70DF">
        <w:rPr>
          <w:noProof/>
        </w:rPr>
        <w:lastRenderedPageBreak/>
        <mc:AlternateContent>
          <mc:Choice Requires="wps">
            <w:drawing>
              <wp:anchor distT="45720" distB="45720" distL="114300" distR="114300" simplePos="0" relativeHeight="251658244" behindDoc="1" locked="0" layoutInCell="1" allowOverlap="1" wp14:anchorId="4BBF397B" wp14:editId="410BC197">
                <wp:simplePos x="0" y="0"/>
                <wp:positionH relativeFrom="margin">
                  <wp:posOffset>368935</wp:posOffset>
                </wp:positionH>
                <wp:positionV relativeFrom="paragraph">
                  <wp:posOffset>142875</wp:posOffset>
                </wp:positionV>
                <wp:extent cx="5702300" cy="1252220"/>
                <wp:effectExtent l="0" t="0" r="12700" b="24130"/>
                <wp:wrapTight wrapText="bothSides">
                  <wp:wrapPolygon edited="0">
                    <wp:start x="0" y="0"/>
                    <wp:lineTo x="0" y="21688"/>
                    <wp:lineTo x="21576" y="21688"/>
                    <wp:lineTo x="21576"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1252220"/>
                        </a:xfrm>
                        <a:prstGeom prst="rect">
                          <a:avLst/>
                        </a:prstGeom>
                        <a:solidFill>
                          <a:srgbClr val="FFFFFF"/>
                        </a:solidFill>
                        <a:ln w="9525">
                          <a:solidFill>
                            <a:srgbClr val="000000"/>
                          </a:solidFill>
                          <a:miter lim="800000"/>
                          <a:headEnd/>
                          <a:tailEnd/>
                        </a:ln>
                      </wps:spPr>
                      <wps:txbx>
                        <w:txbxContent>
                          <w:p w14:paraId="0ACD56F3" w14:textId="571F6FBD" w:rsidR="00ED4223" w:rsidRDefault="009D43C1" w:rsidP="00107051">
                            <w:pPr>
                              <w:pStyle w:val="NumberedParagraphs-MOH"/>
                              <w:numPr>
                                <w:ilvl w:val="0"/>
                                <w:numId w:val="23"/>
                              </w:numPr>
                              <w:rPr>
                                <w:b/>
                                <w:bCs/>
                              </w:rPr>
                            </w:pPr>
                            <w:r>
                              <w:rPr>
                                <w:b/>
                                <w:bCs/>
                              </w:rPr>
                              <w:t>Summarised priority mitigation a</w:t>
                            </w:r>
                            <w:r w:rsidRPr="002B2E0C">
                              <w:rPr>
                                <w:b/>
                                <w:bCs/>
                              </w:rPr>
                              <w:t>ction</w:t>
                            </w:r>
                            <w:r>
                              <w:rPr>
                                <w:b/>
                                <w:bCs/>
                              </w:rPr>
                              <w:t xml:space="preserve"> identified in the hui</w:t>
                            </w:r>
                            <w:r w:rsidR="00ED4223" w:rsidRPr="002B2E0C">
                              <w:rPr>
                                <w:b/>
                                <w:bCs/>
                              </w:rPr>
                              <w:t>:</w:t>
                            </w:r>
                            <w:r w:rsidR="00E009DC">
                              <w:rPr>
                                <w:b/>
                                <w:bCs/>
                              </w:rPr>
                              <w:t xml:space="preserve"> local-level partnerships</w:t>
                            </w:r>
                          </w:p>
                          <w:p w14:paraId="028D6606" w14:textId="6E2FBBBC" w:rsidR="00ED4223" w:rsidRDefault="00ED4223" w:rsidP="00107051">
                            <w:pPr>
                              <w:pStyle w:val="NumberedParagraphs-MOH"/>
                              <w:numPr>
                                <w:ilvl w:val="0"/>
                                <w:numId w:val="0"/>
                              </w:numPr>
                              <w:ind w:left="360"/>
                            </w:pPr>
                            <w:r>
                              <w:t xml:space="preserve">Support emerging community partnerships by ensuring Care Coordination Hubs integrate community providers, iwi, and non-government organisations to deliver a joined up, </w:t>
                            </w:r>
                            <w:r>
                              <w:t xml:space="preserve">manaaki first response. </w:t>
                            </w:r>
                          </w:p>
                          <w:p w14:paraId="65691734" w14:textId="77777777" w:rsidR="00ED4223" w:rsidRDefault="00ED4223" w:rsidP="00ED42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F397B" id="Text Box 6" o:spid="_x0000_s1031" type="#_x0000_t202" style="position:absolute;left:0;text-align:left;margin-left:29.05pt;margin-top:11.25pt;width:449pt;height:98.6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NRJw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">
                <v:textbox>
                  <w:txbxContent>
                    <w:p w14:paraId="0ACD56F3" w14:textId="571F6FBD" w:rsidR="00ED4223" w:rsidRDefault="009D43C1" w:rsidP="00107051">
                      <w:pPr>
                        <w:pStyle w:val="NumberedParagraphs-MOH"/>
                        <w:numPr>
                          <w:ilvl w:val="0"/>
                          <w:numId w:val="23"/>
                        </w:numPr>
                        <w:rPr>
                          <w:b/>
                          <w:bCs/>
                        </w:rPr>
                      </w:pPr>
                      <w:r>
                        <w:rPr>
                          <w:b/>
                          <w:bCs/>
                        </w:rPr>
                        <w:t>Summarised priority mitigation a</w:t>
                      </w:r>
                      <w:r w:rsidRPr="002B2E0C">
                        <w:rPr>
                          <w:b/>
                          <w:bCs/>
                        </w:rPr>
                        <w:t>ction</w:t>
                      </w:r>
                      <w:r>
                        <w:rPr>
                          <w:b/>
                          <w:bCs/>
                        </w:rPr>
                        <w:t xml:space="preserve"> identified in the hui</w:t>
                      </w:r>
                      <w:r w:rsidR="00ED4223" w:rsidRPr="002B2E0C">
                        <w:rPr>
                          <w:b/>
                          <w:bCs/>
                        </w:rPr>
                        <w:t>:</w:t>
                      </w:r>
                      <w:r w:rsidR="00E009DC">
                        <w:rPr>
                          <w:b/>
                          <w:bCs/>
                        </w:rPr>
                        <w:t xml:space="preserve"> local-level partnerships</w:t>
                      </w:r>
                    </w:p>
                    <w:p w14:paraId="028D6606" w14:textId="6E2FBBBC" w:rsidR="00ED4223" w:rsidRDefault="00ED4223" w:rsidP="00107051">
                      <w:pPr>
                        <w:pStyle w:val="NumberedParagraphs-MOH"/>
                        <w:numPr>
                          <w:ilvl w:val="0"/>
                          <w:numId w:val="0"/>
                        </w:numPr>
                        <w:ind w:left="360"/>
                      </w:pPr>
                      <w:r>
                        <w:t xml:space="preserve">Support emerging community partnerships by ensuring Care Coordination Hubs integrate community providers, iwi, and non-government organisations to deliver a joined up, </w:t>
                      </w:r>
                      <w:proofErr w:type="spellStart"/>
                      <w:r>
                        <w:t>manaaki</w:t>
                      </w:r>
                      <w:proofErr w:type="spellEnd"/>
                      <w:r>
                        <w:t xml:space="preserve"> first response. </w:t>
                      </w:r>
                    </w:p>
                    <w:p w14:paraId="65691734" w14:textId="77777777" w:rsidR="00ED4223" w:rsidRDefault="00ED4223" w:rsidP="00ED4223"/>
                  </w:txbxContent>
                </v:textbox>
                <w10:wrap type="tight" anchorx="margin"/>
              </v:shape>
            </w:pict>
          </mc:Fallback>
        </mc:AlternateContent>
      </w:r>
    </w:p>
    <w:p w14:paraId="6182CB96" w14:textId="71214771" w:rsidR="00B07260" w:rsidRPr="00D84A54" w:rsidRDefault="00B07260" w:rsidP="00231625">
      <w:pPr>
        <w:keepNext/>
        <w:spacing w:before="240" w:after="120"/>
        <w:ind w:firstLine="567"/>
        <w:jc w:val="both"/>
        <w:outlineLvl w:val="1"/>
      </w:pPr>
      <w:r w:rsidRPr="000A70DF">
        <w:rPr>
          <w:rFonts w:ascii="Segoe UI Semibold" w:eastAsiaTheme="majorEastAsia" w:hAnsi="Segoe UI Semibold" w:cs="Arial"/>
          <w:iCs/>
          <w:lang w:eastAsia="en-NZ"/>
        </w:rPr>
        <w:t>Ministry response</w:t>
      </w:r>
      <w:r w:rsidRPr="003C1E9B">
        <w:t xml:space="preserve"> </w:t>
      </w:r>
    </w:p>
    <w:p w14:paraId="4ACE2A73" w14:textId="35A1FFCD" w:rsidR="00AC6443" w:rsidRPr="00376529" w:rsidRDefault="00AC6443" w:rsidP="00231625">
      <w:pPr>
        <w:suppressAutoHyphens/>
        <w:autoSpaceDE w:val="0"/>
        <w:autoSpaceDN w:val="0"/>
        <w:adjustRightInd w:val="0"/>
        <w:spacing w:before="120" w:after="120"/>
        <w:ind w:left="567"/>
        <w:textAlignment w:val="center"/>
        <w:outlineLvl w:val="3"/>
        <w:rPr>
          <w:rFonts w:ascii="Segoe UI" w:eastAsiaTheme="majorEastAsia" w:hAnsi="Segoe UI" w:cs="Segoe UI"/>
          <w:i/>
          <w:sz w:val="22"/>
          <w:szCs w:val="22"/>
        </w:rPr>
      </w:pPr>
      <w:r w:rsidRPr="00376529">
        <w:rPr>
          <w:rFonts w:ascii="Segoe UI" w:eastAsiaTheme="majorEastAsia" w:hAnsi="Segoe UI" w:cs="Segoe UI"/>
          <w:i/>
          <w:sz w:val="22"/>
          <w:szCs w:val="22"/>
        </w:rPr>
        <w:t xml:space="preserve">The Ministry </w:t>
      </w:r>
      <w:r w:rsidR="00A423CC" w:rsidRPr="00376529">
        <w:rPr>
          <w:rFonts w:ascii="Segoe UI" w:eastAsiaTheme="majorEastAsia" w:hAnsi="Segoe UI" w:cs="Segoe UI"/>
          <w:i/>
          <w:sz w:val="22"/>
          <w:szCs w:val="22"/>
        </w:rPr>
        <w:t>is</w:t>
      </w:r>
      <w:r w:rsidRPr="00376529">
        <w:rPr>
          <w:rFonts w:ascii="Segoe UI" w:eastAsiaTheme="majorEastAsia" w:hAnsi="Segoe UI" w:cs="Segoe UI"/>
          <w:i/>
          <w:sz w:val="22"/>
          <w:szCs w:val="22"/>
        </w:rPr>
        <w:t xml:space="preserve"> currently delivering </w:t>
      </w:r>
      <w:r w:rsidR="00231625" w:rsidRPr="00376529">
        <w:rPr>
          <w:rFonts w:ascii="Segoe UI" w:eastAsiaTheme="majorEastAsia" w:hAnsi="Segoe UI" w:cs="Segoe UI"/>
          <w:i/>
          <w:sz w:val="22"/>
          <w:szCs w:val="22"/>
        </w:rPr>
        <w:t>the</w:t>
      </w:r>
      <w:r w:rsidRPr="00376529">
        <w:rPr>
          <w:rFonts w:ascii="Segoe UI" w:eastAsiaTheme="majorEastAsia" w:hAnsi="Segoe UI" w:cs="Segoe UI"/>
          <w:i/>
          <w:sz w:val="22"/>
          <w:szCs w:val="22"/>
        </w:rPr>
        <w:t xml:space="preserve"> locally-led Care in the Community programme to care for people and their </w:t>
      </w:r>
      <w:proofErr w:type="spellStart"/>
      <w:r w:rsidRPr="00376529">
        <w:rPr>
          <w:rFonts w:ascii="Segoe UI" w:eastAsiaTheme="majorEastAsia" w:hAnsi="Segoe UI" w:cs="Segoe UI"/>
          <w:i/>
          <w:sz w:val="22"/>
          <w:szCs w:val="22"/>
        </w:rPr>
        <w:t>whānau</w:t>
      </w:r>
      <w:proofErr w:type="spellEnd"/>
      <w:r w:rsidRPr="00376529">
        <w:rPr>
          <w:rFonts w:ascii="Segoe UI" w:eastAsiaTheme="majorEastAsia" w:hAnsi="Segoe UI" w:cs="Segoe UI"/>
          <w:i/>
          <w:sz w:val="22"/>
          <w:szCs w:val="22"/>
        </w:rPr>
        <w:t xml:space="preserve"> isolating at home with COVID-19.</w:t>
      </w:r>
    </w:p>
    <w:p w14:paraId="1E63328D" w14:textId="21B5D720" w:rsidR="00097D1D" w:rsidRPr="00376529" w:rsidRDefault="392ACFEC" w:rsidP="00995F13">
      <w:pPr>
        <w:pStyle w:val="NumberedParagraphs-MOH"/>
        <w:ind w:left="567" w:hanging="567"/>
      </w:pPr>
      <w:r>
        <w:t xml:space="preserve">53 </w:t>
      </w:r>
      <w:r w:rsidR="29BB96DB">
        <w:t xml:space="preserve">established </w:t>
      </w:r>
      <w:r>
        <w:t xml:space="preserve">Care Coordination Hubs connect health and local support, share information, and enable regional leaders to operate in a way that had not done so previously. A variety of models have been set up including iwi-based hubs where Iwi Māori are taking the lead. The Hubs have also partnered with the sector, bringing together iwi, PHUs, Primary Care, MSD and DHBs to coordinate and collaborate on delivering health and welfare support to those in need. </w:t>
      </w:r>
    </w:p>
    <w:p w14:paraId="3871F8B2" w14:textId="22DF3DC8" w:rsidR="00890C1B" w:rsidRPr="00376529" w:rsidRDefault="00D6296A" w:rsidP="00D6296A">
      <w:pPr>
        <w:keepNext/>
        <w:spacing w:before="360" w:after="120" w:line="259" w:lineRule="auto"/>
        <w:jc w:val="both"/>
        <w:outlineLvl w:val="1"/>
        <w:rPr>
          <w:rFonts w:ascii="Segoe UI" w:eastAsiaTheme="majorEastAsia" w:hAnsi="Segoe UI" w:cs="Arial"/>
          <w:b/>
          <w:bCs/>
          <w:iCs/>
          <w:sz w:val="28"/>
          <w:szCs w:val="32"/>
          <w:lang w:eastAsia="en-NZ"/>
        </w:rPr>
      </w:pPr>
      <w:r w:rsidRPr="00376529">
        <w:rPr>
          <w:rFonts w:ascii="Segoe UI" w:eastAsiaTheme="majorEastAsia" w:hAnsi="Segoe UI" w:cs="Arial"/>
          <w:b/>
          <w:bCs/>
          <w:iCs/>
          <w:sz w:val="28"/>
          <w:szCs w:val="32"/>
          <w:lang w:eastAsia="en-NZ"/>
        </w:rPr>
        <w:t xml:space="preserve">Ministry learnings from the Equity Impact Assessment </w:t>
      </w:r>
    </w:p>
    <w:p w14:paraId="65F77129" w14:textId="10A95C72" w:rsidR="00532B19" w:rsidRPr="00376529" w:rsidRDefault="0D061C0F" w:rsidP="24F18215">
      <w:pPr>
        <w:suppressAutoHyphens/>
        <w:autoSpaceDE w:val="0"/>
        <w:autoSpaceDN w:val="0"/>
        <w:adjustRightInd w:val="0"/>
        <w:spacing w:before="120" w:after="120"/>
        <w:textAlignment w:val="center"/>
        <w:outlineLvl w:val="3"/>
        <w:rPr>
          <w:rFonts w:ascii="Segoe UI" w:eastAsiaTheme="majorEastAsia" w:hAnsi="Segoe UI" w:cs="Segoe UI"/>
          <w:i/>
          <w:iCs/>
          <w:sz w:val="22"/>
          <w:szCs w:val="22"/>
          <w:lang w:eastAsia="x-none"/>
        </w:rPr>
      </w:pPr>
      <w:r w:rsidRPr="24F18215">
        <w:rPr>
          <w:rFonts w:ascii="Segoe UI" w:eastAsiaTheme="majorEastAsia" w:hAnsi="Segoe UI" w:cs="Segoe UI"/>
          <w:i/>
          <w:iCs/>
          <w:sz w:val="22"/>
          <w:szCs w:val="22"/>
        </w:rPr>
        <w:t xml:space="preserve">The Ministry had some success </w:t>
      </w:r>
      <w:r w:rsidR="1C756EA0" w:rsidRPr="24F18215">
        <w:rPr>
          <w:rFonts w:ascii="Segoe UI" w:eastAsiaTheme="majorEastAsia" w:hAnsi="Segoe UI" w:cs="Segoe UI"/>
          <w:i/>
          <w:iCs/>
          <w:sz w:val="22"/>
          <w:szCs w:val="22"/>
        </w:rPr>
        <w:t xml:space="preserve">in </w:t>
      </w:r>
      <w:r w:rsidR="3046BA78" w:rsidRPr="24F18215">
        <w:rPr>
          <w:rFonts w:ascii="Segoe UI" w:eastAsiaTheme="majorEastAsia" w:hAnsi="Segoe UI" w:cs="Segoe UI"/>
          <w:i/>
          <w:iCs/>
          <w:sz w:val="22"/>
          <w:szCs w:val="22"/>
        </w:rPr>
        <w:t>disseminating</w:t>
      </w:r>
      <w:r w:rsidR="1C756EA0" w:rsidRPr="24F18215">
        <w:rPr>
          <w:rFonts w:ascii="Segoe UI" w:eastAsiaTheme="majorEastAsia" w:hAnsi="Segoe UI" w:cs="Segoe UI"/>
          <w:i/>
          <w:iCs/>
          <w:sz w:val="22"/>
          <w:szCs w:val="22"/>
        </w:rPr>
        <w:t xml:space="preserve"> feedback from the EIA </w:t>
      </w:r>
      <w:r w:rsidR="3046BA78" w:rsidRPr="24F18215">
        <w:rPr>
          <w:rFonts w:ascii="Segoe UI" w:eastAsiaTheme="majorEastAsia" w:hAnsi="Segoe UI" w:cs="Segoe UI"/>
          <w:i/>
          <w:iCs/>
          <w:sz w:val="22"/>
          <w:szCs w:val="22"/>
        </w:rPr>
        <w:t xml:space="preserve">at the time it was captured </w:t>
      </w:r>
      <w:r w:rsidR="1C756EA0" w:rsidRPr="24F18215">
        <w:rPr>
          <w:rFonts w:ascii="Segoe UI" w:eastAsiaTheme="majorEastAsia" w:hAnsi="Segoe UI" w:cs="Segoe UI"/>
          <w:i/>
          <w:iCs/>
          <w:sz w:val="22"/>
          <w:szCs w:val="22"/>
        </w:rPr>
        <w:t xml:space="preserve">to inform its </w:t>
      </w:r>
      <w:r w:rsidRPr="24F18215">
        <w:rPr>
          <w:rFonts w:ascii="Segoe UI" w:eastAsiaTheme="majorEastAsia" w:hAnsi="Segoe UI" w:cs="Segoe UI"/>
          <w:i/>
          <w:iCs/>
          <w:sz w:val="22"/>
          <w:szCs w:val="22"/>
        </w:rPr>
        <w:t>decision-making,</w:t>
      </w:r>
      <w:r w:rsidR="3046BA78" w:rsidRPr="24F18215">
        <w:rPr>
          <w:rFonts w:ascii="Segoe UI" w:eastAsiaTheme="majorEastAsia" w:hAnsi="Segoe UI" w:cs="Segoe UI"/>
          <w:i/>
          <w:iCs/>
          <w:sz w:val="22"/>
          <w:szCs w:val="22"/>
        </w:rPr>
        <w:t xml:space="preserve"> </w:t>
      </w:r>
      <w:r w:rsidRPr="24F18215">
        <w:rPr>
          <w:rFonts w:ascii="Segoe UI" w:eastAsiaTheme="majorEastAsia" w:hAnsi="Segoe UI" w:cs="Segoe UI"/>
          <w:i/>
          <w:iCs/>
          <w:sz w:val="22"/>
          <w:szCs w:val="22"/>
        </w:rPr>
        <w:t xml:space="preserve">but improvements can be made </w:t>
      </w:r>
    </w:p>
    <w:p w14:paraId="28948089" w14:textId="7BA39B58" w:rsidR="0076792E" w:rsidRPr="00376529" w:rsidRDefault="0BD9D75C" w:rsidP="00AC6443">
      <w:pPr>
        <w:pStyle w:val="NumberedParagraphs-MOH"/>
        <w:ind w:left="567" w:hanging="567"/>
      </w:pPr>
      <w:r>
        <w:t xml:space="preserve">To </w:t>
      </w:r>
      <w:r w:rsidR="020E750E">
        <w:t>have the EIA inform the early stages of the implementation of the strategy,</w:t>
      </w:r>
      <w:r>
        <w:t xml:space="preserve"> best efforts were made to rapidly disseminate</w:t>
      </w:r>
      <w:r w:rsidR="020E750E">
        <w:t xml:space="preserve"> feedback from the hui to</w:t>
      </w:r>
      <w:r w:rsidR="48B72701">
        <w:t xml:space="preserve"> relevant</w:t>
      </w:r>
      <w:r w:rsidR="020E750E">
        <w:t xml:space="preserve"> teams within the </w:t>
      </w:r>
      <w:r w:rsidR="5A4DADBE">
        <w:t>Ministry.</w:t>
      </w:r>
      <w:r w:rsidR="2D9F114E">
        <w:t xml:space="preserve"> Feedback was provided </w:t>
      </w:r>
      <w:r w:rsidR="1976B7B9">
        <w:t>as it was captured</w:t>
      </w:r>
      <w:r w:rsidR="54C90714">
        <w:t>,</w:t>
      </w:r>
      <w:r w:rsidR="1976B7B9">
        <w:t xml:space="preserve"> to </w:t>
      </w:r>
      <w:r w:rsidR="626508C5">
        <w:t>teams</w:t>
      </w:r>
      <w:r w:rsidR="1976B7B9">
        <w:t xml:space="preserve"> including Testing and Supply, Contact Tracing, Science and Insights</w:t>
      </w:r>
      <w:r w:rsidR="3BE357BD">
        <w:t>,</w:t>
      </w:r>
      <w:r w:rsidR="1976B7B9">
        <w:t xml:space="preserve"> and Care in the Community.</w:t>
      </w:r>
      <w:r w:rsidR="3BE357BD">
        <w:t xml:space="preserve"> This</w:t>
      </w:r>
      <w:r w:rsidR="1976B7B9">
        <w:t xml:space="preserve"> </w:t>
      </w:r>
      <w:r w:rsidR="3BE357BD">
        <w:t>f</w:t>
      </w:r>
      <w:r w:rsidR="53804436">
        <w:t xml:space="preserve">eedback </w:t>
      </w:r>
      <w:r w:rsidR="5649FAAA">
        <w:t xml:space="preserve">informed </w:t>
      </w:r>
      <w:r w:rsidR="28C9B307">
        <w:t>advice on isolation and quarantine requirements</w:t>
      </w:r>
      <w:r w:rsidR="5649FAAA">
        <w:t>,</w:t>
      </w:r>
      <w:r w:rsidR="28C9B307">
        <w:t xml:space="preserve"> funding </w:t>
      </w:r>
      <w:r w:rsidR="68EB17F9">
        <w:t>to communities to support mental health workforce capacity</w:t>
      </w:r>
      <w:r w:rsidR="5649FAAA">
        <w:t xml:space="preserve">, and </w:t>
      </w:r>
      <w:r w:rsidR="11E5701E">
        <w:t>changes that enabled</w:t>
      </w:r>
      <w:r w:rsidR="5649FAAA">
        <w:t xml:space="preserve"> providers to access distribution channels for PPE and RATs through their existing Ministry contracts</w:t>
      </w:r>
      <w:r w:rsidR="11E5701E">
        <w:t xml:space="preserve">. </w:t>
      </w:r>
    </w:p>
    <w:p w14:paraId="4AC3F599" w14:textId="4C8ACAAA" w:rsidR="004A1C7C" w:rsidRPr="00376529" w:rsidRDefault="6A37850B" w:rsidP="00AC6443">
      <w:pPr>
        <w:pStyle w:val="NumberedParagraphs-MOH"/>
        <w:ind w:left="567" w:hanging="567"/>
      </w:pPr>
      <w:r>
        <w:t xml:space="preserve">While the feedback captured at the time did </w:t>
      </w:r>
      <w:r w:rsidR="6CA00D58">
        <w:t>influence some decision-making, t</w:t>
      </w:r>
      <w:r w:rsidR="6F99346D">
        <w:t xml:space="preserve">he Ministry </w:t>
      </w:r>
      <w:r w:rsidR="5FAE8145">
        <w:t xml:space="preserve">acknowledges that </w:t>
      </w:r>
      <w:r w:rsidR="165BD6CA">
        <w:t xml:space="preserve">there were limitations to the extent to which this happened due to the </w:t>
      </w:r>
      <w:r w:rsidR="4E00DF13">
        <w:t xml:space="preserve">pace at which the strategy was being implemented. It </w:t>
      </w:r>
      <w:r w:rsidR="6D3A4916">
        <w:t xml:space="preserve">also </w:t>
      </w:r>
      <w:r w:rsidR="4E00DF13">
        <w:t>acknowledges</w:t>
      </w:r>
      <w:r w:rsidR="0FC07552">
        <w:t xml:space="preserve"> </w:t>
      </w:r>
      <w:r w:rsidR="4E00DF13">
        <w:t xml:space="preserve">that </w:t>
      </w:r>
      <w:r w:rsidR="356A4F67">
        <w:t xml:space="preserve">stronger </w:t>
      </w:r>
      <w:r w:rsidR="51B291FD">
        <w:t xml:space="preserve">internal feedback pathways </w:t>
      </w:r>
      <w:r w:rsidR="356A4F67">
        <w:t xml:space="preserve">would have made this dissemination of feedback easier and more influential. </w:t>
      </w:r>
      <w:r w:rsidR="427707B8">
        <w:t>I</w:t>
      </w:r>
      <w:r w:rsidR="5FAE8145">
        <w:t xml:space="preserve">mprovements </w:t>
      </w:r>
      <w:r w:rsidR="2F66CEDB">
        <w:t>need to be</w:t>
      </w:r>
      <w:r w:rsidR="5FAE8145">
        <w:t xml:space="preserve"> made t</w:t>
      </w:r>
      <w:r w:rsidR="778815B4">
        <w:t xml:space="preserve">o internal communication pathways </w:t>
      </w:r>
      <w:r w:rsidR="0A7CC31E">
        <w:t xml:space="preserve">between </w:t>
      </w:r>
      <w:r w:rsidR="404F432A">
        <w:t>business units</w:t>
      </w:r>
      <w:r w:rsidR="3D1B30EF">
        <w:t>, policy and subject matter experts</w:t>
      </w:r>
      <w:r w:rsidR="2F66CEDB">
        <w:t xml:space="preserve"> and </w:t>
      </w:r>
      <w:r w:rsidR="3D1B30EF">
        <w:t xml:space="preserve">advisors </w:t>
      </w:r>
      <w:r w:rsidR="778815B4">
        <w:t>to better facilitate this.</w:t>
      </w:r>
      <w:r w:rsidR="0458BDF1">
        <w:t xml:space="preserve"> </w:t>
      </w:r>
    </w:p>
    <w:p w14:paraId="763FC5FD" w14:textId="520B61B0" w:rsidR="00D179EF" w:rsidRPr="00376529" w:rsidRDefault="5B82E1C4" w:rsidP="24F18215">
      <w:pPr>
        <w:suppressAutoHyphens/>
        <w:autoSpaceDE w:val="0"/>
        <w:autoSpaceDN w:val="0"/>
        <w:adjustRightInd w:val="0"/>
        <w:spacing w:before="120" w:after="120"/>
        <w:textAlignment w:val="center"/>
        <w:outlineLvl w:val="3"/>
        <w:rPr>
          <w:rFonts w:ascii="Segoe UI" w:eastAsiaTheme="majorEastAsia" w:hAnsi="Segoe UI" w:cs="Segoe UI"/>
          <w:i/>
          <w:iCs/>
          <w:sz w:val="22"/>
          <w:szCs w:val="22"/>
          <w:lang w:eastAsia="x-none"/>
        </w:rPr>
      </w:pPr>
      <w:r w:rsidRPr="24F18215">
        <w:rPr>
          <w:rFonts w:ascii="Segoe UI" w:eastAsiaTheme="majorEastAsia" w:hAnsi="Segoe UI" w:cs="Segoe UI"/>
          <w:i/>
          <w:iCs/>
          <w:sz w:val="22"/>
          <w:szCs w:val="22"/>
        </w:rPr>
        <w:t>Ministry equity advisory groups</w:t>
      </w:r>
      <w:r w:rsidR="636C5348" w:rsidRPr="24F18215">
        <w:rPr>
          <w:rFonts w:ascii="Segoe UI" w:eastAsiaTheme="majorEastAsia" w:hAnsi="Segoe UI" w:cs="Segoe UI"/>
          <w:i/>
          <w:iCs/>
          <w:sz w:val="22"/>
          <w:szCs w:val="22"/>
        </w:rPr>
        <w:t xml:space="preserve"> </w:t>
      </w:r>
      <w:r w:rsidRPr="24F18215">
        <w:rPr>
          <w:rFonts w:ascii="Segoe UI" w:eastAsiaTheme="majorEastAsia" w:hAnsi="Segoe UI" w:cs="Segoe UI"/>
          <w:i/>
          <w:iCs/>
          <w:sz w:val="22"/>
          <w:szCs w:val="22"/>
        </w:rPr>
        <w:t>are</w:t>
      </w:r>
      <w:r w:rsidR="636C5348" w:rsidRPr="24F18215">
        <w:rPr>
          <w:rFonts w:ascii="Segoe UI" w:eastAsiaTheme="majorEastAsia" w:hAnsi="Segoe UI" w:cs="Segoe UI"/>
          <w:i/>
          <w:iCs/>
          <w:sz w:val="22"/>
          <w:szCs w:val="22"/>
        </w:rPr>
        <w:t xml:space="preserve"> </w:t>
      </w:r>
      <w:r w:rsidR="2CE54D8D" w:rsidRPr="24F18215">
        <w:rPr>
          <w:rFonts w:ascii="Segoe UI" w:eastAsiaTheme="majorEastAsia" w:hAnsi="Segoe UI" w:cs="Segoe UI"/>
          <w:i/>
          <w:iCs/>
          <w:sz w:val="22"/>
          <w:szCs w:val="22"/>
        </w:rPr>
        <w:t xml:space="preserve">supporting improved feedback </w:t>
      </w:r>
      <w:r w:rsidR="59C9820B" w:rsidRPr="24F18215">
        <w:rPr>
          <w:rFonts w:ascii="Segoe UI" w:eastAsiaTheme="majorEastAsia" w:hAnsi="Segoe UI" w:cs="Segoe UI"/>
          <w:i/>
          <w:iCs/>
          <w:sz w:val="22"/>
          <w:szCs w:val="22"/>
        </w:rPr>
        <w:t>loops</w:t>
      </w:r>
      <w:r w:rsidRPr="24F18215">
        <w:rPr>
          <w:rFonts w:ascii="Segoe UI" w:eastAsiaTheme="majorEastAsia" w:hAnsi="Segoe UI" w:cs="Segoe UI"/>
          <w:i/>
          <w:iCs/>
          <w:sz w:val="22"/>
          <w:szCs w:val="22"/>
        </w:rPr>
        <w:t xml:space="preserve"> and engagement </w:t>
      </w:r>
      <w:r w:rsidR="2CE54D8D" w:rsidRPr="24F18215">
        <w:rPr>
          <w:rFonts w:ascii="Segoe UI" w:eastAsiaTheme="majorEastAsia" w:hAnsi="Segoe UI" w:cs="Segoe UI"/>
          <w:i/>
          <w:iCs/>
          <w:sz w:val="22"/>
          <w:szCs w:val="22"/>
        </w:rPr>
        <w:t xml:space="preserve">on equity </w:t>
      </w:r>
      <w:r w:rsidRPr="24F18215">
        <w:rPr>
          <w:rFonts w:ascii="Segoe UI" w:eastAsiaTheme="majorEastAsia" w:hAnsi="Segoe UI" w:cs="Segoe UI"/>
          <w:i/>
          <w:iCs/>
          <w:sz w:val="22"/>
          <w:szCs w:val="22"/>
        </w:rPr>
        <w:t>issues,</w:t>
      </w:r>
      <w:r w:rsidR="06A9DCF5" w:rsidRPr="24F18215">
        <w:rPr>
          <w:rFonts w:ascii="Segoe UI" w:eastAsiaTheme="majorEastAsia" w:hAnsi="Segoe UI" w:cs="Segoe UI"/>
          <w:i/>
          <w:iCs/>
          <w:sz w:val="22"/>
          <w:szCs w:val="22"/>
        </w:rPr>
        <w:t xml:space="preserve"> </w:t>
      </w:r>
      <w:r w:rsidR="5F717DD3" w:rsidRPr="24F18215">
        <w:rPr>
          <w:rFonts w:ascii="Segoe UI" w:eastAsiaTheme="majorEastAsia" w:hAnsi="Segoe UI" w:cs="Segoe UI"/>
          <w:i/>
          <w:iCs/>
          <w:sz w:val="22"/>
          <w:szCs w:val="22"/>
        </w:rPr>
        <w:t xml:space="preserve">but direct </w:t>
      </w:r>
      <w:r w:rsidRPr="24F18215">
        <w:rPr>
          <w:rFonts w:ascii="Segoe UI" w:eastAsiaTheme="majorEastAsia" w:hAnsi="Segoe UI" w:cs="Segoe UI"/>
          <w:i/>
          <w:iCs/>
          <w:sz w:val="22"/>
          <w:szCs w:val="22"/>
        </w:rPr>
        <w:t>communication</w:t>
      </w:r>
      <w:r w:rsidR="5F717DD3" w:rsidRPr="24F18215">
        <w:rPr>
          <w:rFonts w:ascii="Segoe UI" w:eastAsiaTheme="majorEastAsia" w:hAnsi="Segoe UI" w:cs="Segoe UI"/>
          <w:i/>
          <w:iCs/>
          <w:sz w:val="22"/>
          <w:szCs w:val="22"/>
        </w:rPr>
        <w:t xml:space="preserve"> channels </w:t>
      </w:r>
      <w:r w:rsidR="06DE3080" w:rsidRPr="24F18215">
        <w:rPr>
          <w:rFonts w:ascii="Segoe UI" w:eastAsiaTheme="majorEastAsia" w:hAnsi="Segoe UI" w:cs="Segoe UI"/>
          <w:i/>
          <w:iCs/>
          <w:sz w:val="22"/>
          <w:szCs w:val="22"/>
        </w:rPr>
        <w:t xml:space="preserve">are needed </w:t>
      </w:r>
      <w:r w:rsidR="5F717DD3" w:rsidRPr="24F18215">
        <w:rPr>
          <w:rFonts w:ascii="Segoe UI" w:eastAsiaTheme="majorEastAsia" w:hAnsi="Segoe UI" w:cs="Segoe UI"/>
          <w:i/>
          <w:iCs/>
          <w:sz w:val="22"/>
          <w:szCs w:val="22"/>
        </w:rPr>
        <w:t xml:space="preserve">between communities and senior decision-makers </w:t>
      </w:r>
    </w:p>
    <w:p w14:paraId="30E26C3C" w14:textId="1F6E31E5" w:rsidR="004A1C7C" w:rsidRPr="00376529" w:rsidRDefault="0458BDF1" w:rsidP="00AC6443">
      <w:pPr>
        <w:pStyle w:val="NumberedParagraphs-MOH"/>
        <w:ind w:left="567" w:hanging="567"/>
      </w:pPr>
      <w:r>
        <w:t xml:space="preserve">The </w:t>
      </w:r>
      <w:r w:rsidR="5A3D30D8">
        <w:t xml:space="preserve">Ministry’s </w:t>
      </w:r>
      <w:r>
        <w:t xml:space="preserve">COVID-19 Equity Oversight Group </w:t>
      </w:r>
      <w:r w:rsidR="3597CC0F">
        <w:t>(EOG)</w:t>
      </w:r>
      <w:r w:rsidR="2C801792">
        <w:t>, which was set up in early 2021</w:t>
      </w:r>
      <w:r w:rsidR="1C52EC77">
        <w:t xml:space="preserve"> and has membership from across the Ministry, </w:t>
      </w:r>
      <w:r w:rsidR="02B4339E">
        <w:t xml:space="preserve">meets weekly </w:t>
      </w:r>
      <w:r w:rsidR="2C801792">
        <w:t>to</w:t>
      </w:r>
      <w:r w:rsidR="2623298D">
        <w:t xml:space="preserve"> provide a forum for equity advice and intelligence regarding COVID-19 workstreams</w:t>
      </w:r>
      <w:r w:rsidR="059FE54F">
        <w:t>. The EOG</w:t>
      </w:r>
      <w:r w:rsidR="3597CC0F">
        <w:t xml:space="preserve"> </w:t>
      </w:r>
      <w:r>
        <w:t xml:space="preserve">has been improving its structure and processes to </w:t>
      </w:r>
      <w:r w:rsidR="693B1E79">
        <w:t>support stronger communication</w:t>
      </w:r>
      <w:r w:rsidR="7BC9A416">
        <w:t xml:space="preserve"> and feedback channels</w:t>
      </w:r>
      <w:r w:rsidR="693B1E79">
        <w:t xml:space="preserve"> </w:t>
      </w:r>
      <w:r w:rsidR="1AE9F5F6">
        <w:t xml:space="preserve">across the Ministry </w:t>
      </w:r>
      <w:r w:rsidR="693B1E79">
        <w:t>on equity issues</w:t>
      </w:r>
      <w:r>
        <w:t xml:space="preserve">. </w:t>
      </w:r>
      <w:r w:rsidR="58D8FC7E">
        <w:t xml:space="preserve">The </w:t>
      </w:r>
      <w:r w:rsidR="562DA21E">
        <w:t>COVID-19 policy</w:t>
      </w:r>
      <w:r w:rsidR="4FA6FB7D">
        <w:t xml:space="preserve"> group and</w:t>
      </w:r>
      <w:r w:rsidR="562DA21E">
        <w:t xml:space="preserve"> </w:t>
      </w:r>
      <w:r w:rsidR="42FC6851">
        <w:t>adjacent teams have become increasingly aware of this group as an equity resource</w:t>
      </w:r>
      <w:r w:rsidR="4FA6FB7D">
        <w:t>; t</w:t>
      </w:r>
      <w:r w:rsidR="3597CC0F">
        <w:t>he EOG has</w:t>
      </w:r>
      <w:r w:rsidR="4E8F36F7">
        <w:t xml:space="preserve"> subsequently</w:t>
      </w:r>
      <w:r w:rsidR="3597CC0F">
        <w:t xml:space="preserve"> been utilised for policy </w:t>
      </w:r>
      <w:r w:rsidR="3597CC0F">
        <w:lastRenderedPageBreak/>
        <w:t xml:space="preserve">work, strategies and operational programmes including the Variants of Concern </w:t>
      </w:r>
      <w:r w:rsidR="4E8F36F7">
        <w:t>S</w:t>
      </w:r>
      <w:r w:rsidR="3597CC0F">
        <w:t xml:space="preserve">trategy, the COVID-19 workforce educational pathway and the disability outbreak advisory. </w:t>
      </w:r>
    </w:p>
    <w:p w14:paraId="14256510" w14:textId="715BDEDF" w:rsidR="001D5A40" w:rsidRPr="00376529" w:rsidRDefault="5A3D30D8" w:rsidP="00AC6443">
      <w:pPr>
        <w:pStyle w:val="NumberedParagraphs-MOH"/>
        <w:ind w:left="567" w:hanging="567"/>
      </w:pPr>
      <w:r>
        <w:t xml:space="preserve">The Ministry </w:t>
      </w:r>
      <w:r w:rsidR="184F8B44">
        <w:t xml:space="preserve">also </w:t>
      </w:r>
      <w:r>
        <w:t xml:space="preserve">engages in fortnightly hui with </w:t>
      </w:r>
      <w:r w:rsidR="184F8B44">
        <w:t>its</w:t>
      </w:r>
      <w:r>
        <w:t xml:space="preserve"> lived experience group </w:t>
      </w:r>
      <w:proofErr w:type="spellStart"/>
      <w:r>
        <w:t>Te</w:t>
      </w:r>
      <w:proofErr w:type="spellEnd"/>
      <w:r>
        <w:t xml:space="preserve"> </w:t>
      </w:r>
      <w:proofErr w:type="spellStart"/>
      <w:r w:rsidR="1970CF04">
        <w:t>K</w:t>
      </w:r>
      <w:r>
        <w:t>ōtuku</w:t>
      </w:r>
      <w:proofErr w:type="spellEnd"/>
      <w:r>
        <w:t xml:space="preserve"> e </w:t>
      </w:r>
      <w:proofErr w:type="spellStart"/>
      <w:r>
        <w:t>Rere</w:t>
      </w:r>
      <w:proofErr w:type="spellEnd"/>
      <w:r>
        <w:t xml:space="preserve"> </w:t>
      </w:r>
      <w:r w:rsidR="4A178965">
        <w:t>who play an important part in</w:t>
      </w:r>
      <w:r>
        <w:t xml:space="preserve"> design</w:t>
      </w:r>
      <w:r w:rsidR="4A178965">
        <w:t xml:space="preserve">ing </w:t>
      </w:r>
      <w:r>
        <w:t>and develop</w:t>
      </w:r>
      <w:r w:rsidR="4A178965">
        <w:t>ing</w:t>
      </w:r>
      <w:r>
        <w:t xml:space="preserve"> approaches that connect with rural Māori, Pacific, mental health and addiction and disabled populations.</w:t>
      </w:r>
    </w:p>
    <w:p w14:paraId="7B60A599" w14:textId="77777777" w:rsidR="00283306" w:rsidRPr="00376529" w:rsidRDefault="5B82E1C4" w:rsidP="00AC6443">
      <w:pPr>
        <w:pStyle w:val="NumberedParagraphs-MOH"/>
        <w:ind w:left="567" w:hanging="567"/>
      </w:pPr>
      <w:r>
        <w:t>However, u</w:t>
      </w:r>
      <w:r w:rsidR="2DDD75AA">
        <w:t xml:space="preserve">nderserved communities and providers working on the front-line voiced their desire </w:t>
      </w:r>
      <w:r w:rsidR="4A178965">
        <w:t xml:space="preserve">through the EIA </w:t>
      </w:r>
      <w:r w:rsidR="2DDD75AA">
        <w:t xml:space="preserve">to connect directly with those high up in the Ministry making decisions </w:t>
      </w:r>
      <w:r w:rsidR="68003544">
        <w:t>a</w:t>
      </w:r>
      <w:r w:rsidR="2DDD75AA">
        <w:t>ffecting equity as opposed to what they understood to be the ‘</w:t>
      </w:r>
      <w:proofErr w:type="gramStart"/>
      <w:r w:rsidR="2DDD75AA">
        <w:t>middle man</w:t>
      </w:r>
      <w:proofErr w:type="gramEnd"/>
      <w:r w:rsidR="2DDD75AA">
        <w:t>’. This speaks to the need for clearer communication pathways whereby those on the ground feel they have a direct mechanism for informing decision-making.</w:t>
      </w:r>
      <w:r w:rsidR="6EC3CFFF">
        <w:t xml:space="preserve"> </w:t>
      </w:r>
    </w:p>
    <w:p w14:paraId="4870A361" w14:textId="57B356E0" w:rsidR="00E02A69" w:rsidRPr="00376529" w:rsidRDefault="5778C59F" w:rsidP="00AC6443">
      <w:pPr>
        <w:pStyle w:val="NumberedParagraphs-MOH"/>
        <w:ind w:left="567" w:hanging="567"/>
      </w:pPr>
      <w:r>
        <w:t xml:space="preserve">In the months following the EIA, the Ministry stood up </w:t>
      </w:r>
      <w:r w:rsidR="6B29F0D8">
        <w:t xml:space="preserve">solutions and approaches (including those captured in our responses above) </w:t>
      </w:r>
      <w:r w:rsidR="3C814DC4">
        <w:t xml:space="preserve">that </w:t>
      </w:r>
      <w:r w:rsidR="7C196209">
        <w:t>aligned with</w:t>
      </w:r>
      <w:r w:rsidR="3C814DC4">
        <w:t xml:space="preserve"> the advice and guidance we received from communities and </w:t>
      </w:r>
      <w:r w:rsidR="4CA425A6">
        <w:t>providers</w:t>
      </w:r>
      <w:r w:rsidR="3C814DC4">
        <w:t>.</w:t>
      </w:r>
      <w:r w:rsidR="77049503">
        <w:t xml:space="preserve"> The Ministry acknowledges that </w:t>
      </w:r>
      <w:r w:rsidR="17D6A606">
        <w:t xml:space="preserve">communities </w:t>
      </w:r>
      <w:r w:rsidR="7E384272">
        <w:t xml:space="preserve">know what needs to be done, and that </w:t>
      </w:r>
      <w:r w:rsidR="77049503">
        <w:t>earl</w:t>
      </w:r>
      <w:r w:rsidR="21EEA204">
        <w:t>y</w:t>
      </w:r>
      <w:r w:rsidR="77049503">
        <w:t xml:space="preserve"> engagement with </w:t>
      </w:r>
      <w:r w:rsidR="7E384272">
        <w:t>them</w:t>
      </w:r>
      <w:r w:rsidR="77049503">
        <w:t xml:space="preserve"> to inform direct decision-making is critical</w:t>
      </w:r>
      <w:r w:rsidR="3C814DC4">
        <w:t xml:space="preserve"> </w:t>
      </w:r>
      <w:r w:rsidR="21EEA204">
        <w:t xml:space="preserve">to ensuring we are </w:t>
      </w:r>
      <w:r w:rsidR="4A4C43F6">
        <w:t>implementing the best solutions as early as possible</w:t>
      </w:r>
      <w:r w:rsidR="2215C59B">
        <w:t xml:space="preserve">. </w:t>
      </w:r>
    </w:p>
    <w:p w14:paraId="38B94FC4" w14:textId="5CA6F4D8" w:rsidR="007A7C6A" w:rsidRPr="00376529" w:rsidRDefault="7EC826CD" w:rsidP="007A7C6A">
      <w:pPr>
        <w:pStyle w:val="NumberedParagraphs-MOH"/>
        <w:ind w:left="567" w:hanging="567"/>
      </w:pPr>
      <w:r>
        <w:t>The Ministry recognises the importance of community voices as a rapid pipeline to equity in practice and acknowledges that having decision</w:t>
      </w:r>
      <w:r w:rsidR="4F278645">
        <w:t>-</w:t>
      </w:r>
      <w:r>
        <w:t xml:space="preserve">makers connected to these forums directly in future </w:t>
      </w:r>
      <w:r w:rsidR="6EC3CFFF">
        <w:t xml:space="preserve">emergency planning </w:t>
      </w:r>
      <w:r w:rsidR="7C0CC9D1">
        <w:t>is a way</w:t>
      </w:r>
      <w:r>
        <w:t xml:space="preserve"> to fast-track </w:t>
      </w:r>
      <w:r w:rsidR="7C0CC9D1">
        <w:t xml:space="preserve">pro-equity decision-making. </w:t>
      </w:r>
      <w:r w:rsidR="2DDD75AA">
        <w:t>With the move to locality-based health care</w:t>
      </w:r>
      <w:r w:rsidR="4F278645">
        <w:t>,</w:t>
      </w:r>
      <w:r w:rsidR="2DDD75AA">
        <w:t xml:space="preserve"> this learning appears important to </w:t>
      </w:r>
      <w:r w:rsidR="7331E6F7">
        <w:t>emphasise as a</w:t>
      </w:r>
      <w:r w:rsidR="3C6B0067">
        <w:t>n urgent and</w:t>
      </w:r>
      <w:r w:rsidR="7331E6F7">
        <w:t xml:space="preserve"> key operational task. E</w:t>
      </w:r>
      <w:r w:rsidR="2DDD75AA">
        <w:t>nabl</w:t>
      </w:r>
      <w:r w:rsidR="7331E6F7">
        <w:t>ing</w:t>
      </w:r>
      <w:r w:rsidR="2DDD75AA">
        <w:t xml:space="preserve"> </w:t>
      </w:r>
      <w:r w:rsidR="7331E6F7">
        <w:t xml:space="preserve">direct community </w:t>
      </w:r>
      <w:r w:rsidR="2DDD75AA">
        <w:t xml:space="preserve">interaction with the </w:t>
      </w:r>
      <w:r w:rsidR="7331E6F7">
        <w:t xml:space="preserve">planning and design of how Health New Zealand, the </w:t>
      </w:r>
      <w:r w:rsidR="2DDD75AA">
        <w:t>P</w:t>
      </w:r>
      <w:r w:rsidR="7331E6F7">
        <w:t xml:space="preserve">ublic </w:t>
      </w:r>
      <w:r w:rsidR="2DDD75AA">
        <w:t>H</w:t>
      </w:r>
      <w:r w:rsidR="7331E6F7">
        <w:t xml:space="preserve">ealth </w:t>
      </w:r>
      <w:r w:rsidR="759283A6">
        <w:t xml:space="preserve">Agency </w:t>
      </w:r>
      <w:r w:rsidR="2DDD75AA">
        <w:t>and M</w:t>
      </w:r>
      <w:r w:rsidR="7331E6F7">
        <w:t xml:space="preserve">āori </w:t>
      </w:r>
      <w:r w:rsidR="2DDD75AA">
        <w:t>H</w:t>
      </w:r>
      <w:r w:rsidR="7331E6F7">
        <w:t xml:space="preserve">ealth </w:t>
      </w:r>
      <w:r w:rsidR="2DDD75AA">
        <w:t>A</w:t>
      </w:r>
      <w:r w:rsidR="7331E6F7">
        <w:t>uthority</w:t>
      </w:r>
      <w:r w:rsidR="2DDD75AA">
        <w:t xml:space="preserve"> will </w:t>
      </w:r>
      <w:r w:rsidR="7331E6F7">
        <w:t xml:space="preserve">carry out </w:t>
      </w:r>
      <w:proofErr w:type="spellStart"/>
      <w:r w:rsidR="6783516D">
        <w:t>kaitiakitanga</w:t>
      </w:r>
      <w:proofErr w:type="spellEnd"/>
      <w:r w:rsidR="7331E6F7">
        <w:t xml:space="preserve"> for locality</w:t>
      </w:r>
      <w:r w:rsidR="467CE3CB">
        <w:t>-</w:t>
      </w:r>
      <w:r w:rsidR="7331E6F7">
        <w:t>based re-structuring,</w:t>
      </w:r>
      <w:r w:rsidR="3C6B0067">
        <w:t xml:space="preserve"> is likely to assist in equity</w:t>
      </w:r>
      <w:r w:rsidR="69F94F1E">
        <w:t>-</w:t>
      </w:r>
      <w:r w:rsidR="3C6B0067">
        <w:t>focused policy and operational decision-making.</w:t>
      </w:r>
      <w:r w:rsidR="7331E6F7">
        <w:t xml:space="preserve">  </w:t>
      </w:r>
    </w:p>
    <w:p w14:paraId="2E24E77D" w14:textId="086C3B6E" w:rsidR="006575E9" w:rsidRPr="00376529" w:rsidRDefault="006575E9" w:rsidP="00CE5897">
      <w:pPr>
        <w:suppressAutoHyphens/>
        <w:autoSpaceDE w:val="0"/>
        <w:autoSpaceDN w:val="0"/>
        <w:adjustRightInd w:val="0"/>
        <w:spacing w:before="120" w:after="120"/>
        <w:textAlignment w:val="center"/>
        <w:outlineLvl w:val="3"/>
        <w:rPr>
          <w:rFonts w:ascii="Segoe UI" w:eastAsiaTheme="majorEastAsia" w:hAnsi="Segoe UI" w:cs="Segoe UI"/>
          <w:bCs/>
          <w:i/>
          <w:sz w:val="22"/>
          <w:szCs w:val="22"/>
          <w:lang w:eastAsia="x-none"/>
        </w:rPr>
      </w:pPr>
      <w:r w:rsidRPr="00376529">
        <w:rPr>
          <w:rFonts w:ascii="Segoe UI" w:eastAsiaTheme="majorEastAsia" w:hAnsi="Segoe UI" w:cs="Segoe UI"/>
          <w:bCs/>
          <w:i/>
          <w:sz w:val="22"/>
          <w:szCs w:val="22"/>
          <w:lang w:eastAsia="x-none"/>
        </w:rPr>
        <w:t xml:space="preserve">A shared equity analytical framework with </w:t>
      </w:r>
      <w:r w:rsidR="00CE5897" w:rsidRPr="00376529">
        <w:rPr>
          <w:rFonts w:ascii="Segoe UI" w:eastAsiaTheme="majorEastAsia" w:hAnsi="Segoe UI" w:cs="Segoe UI"/>
          <w:bCs/>
          <w:i/>
          <w:sz w:val="22"/>
          <w:szCs w:val="22"/>
          <w:lang w:eastAsia="x-none"/>
        </w:rPr>
        <w:t xml:space="preserve">improved data </w:t>
      </w:r>
      <w:r w:rsidR="007A7C6A" w:rsidRPr="00376529">
        <w:rPr>
          <w:rFonts w:ascii="Segoe UI" w:eastAsiaTheme="majorEastAsia" w:hAnsi="Segoe UI" w:cs="Segoe UI"/>
          <w:bCs/>
          <w:i/>
          <w:sz w:val="22"/>
          <w:szCs w:val="22"/>
          <w:lang w:eastAsia="x-none"/>
        </w:rPr>
        <w:t>can</w:t>
      </w:r>
      <w:r w:rsidR="00CE5897" w:rsidRPr="00376529">
        <w:rPr>
          <w:rFonts w:ascii="Segoe UI" w:eastAsiaTheme="majorEastAsia" w:hAnsi="Segoe UI" w:cs="Segoe UI"/>
          <w:bCs/>
          <w:i/>
          <w:sz w:val="22"/>
          <w:szCs w:val="22"/>
          <w:lang w:eastAsia="x-none"/>
        </w:rPr>
        <w:t xml:space="preserve"> improve our equity response </w:t>
      </w:r>
    </w:p>
    <w:p w14:paraId="2A88B8EF" w14:textId="6EA66CEB" w:rsidR="0087032E" w:rsidRPr="00376529" w:rsidRDefault="767362CB" w:rsidP="00E35430">
      <w:pPr>
        <w:pStyle w:val="NumberedParagraphs-MOH"/>
        <w:ind w:left="567" w:hanging="567"/>
      </w:pPr>
      <w:r>
        <w:t xml:space="preserve">The Ministry identifies the need for </w:t>
      </w:r>
      <w:r w:rsidR="1A9232B3">
        <w:t>a consistent and</w:t>
      </w:r>
      <w:r w:rsidR="3316E91D">
        <w:t xml:space="preserve"> practice</w:t>
      </w:r>
      <w:r w:rsidR="14614C98">
        <w:t>-</w:t>
      </w:r>
      <w:r w:rsidR="3316E91D">
        <w:t xml:space="preserve">oriented </w:t>
      </w:r>
      <w:r w:rsidR="3992D333">
        <w:t xml:space="preserve">shared </w:t>
      </w:r>
      <w:r w:rsidR="3316E91D">
        <w:t>equity</w:t>
      </w:r>
      <w:r w:rsidR="3992D333">
        <w:t xml:space="preserve"> analytical</w:t>
      </w:r>
      <w:r w:rsidR="65C353E9">
        <w:t xml:space="preserve"> framework for COVID-19</w:t>
      </w:r>
      <w:r w:rsidR="0EB629AC">
        <w:t xml:space="preserve"> across the directorate </w:t>
      </w:r>
      <w:r>
        <w:t xml:space="preserve">to make it easier </w:t>
      </w:r>
      <w:r w:rsidR="73E7D0C0">
        <w:t>for</w:t>
      </w:r>
      <w:r w:rsidR="17174397">
        <w:t xml:space="preserve"> multiple workstreams to work in-sync with each other towards the same outcomes.</w:t>
      </w:r>
      <w:r w:rsidR="3992D333">
        <w:t xml:space="preserve"> </w:t>
      </w:r>
      <w:r>
        <w:t xml:space="preserve">A </w:t>
      </w:r>
      <w:r w:rsidR="2D708C4F">
        <w:t xml:space="preserve">clear </w:t>
      </w:r>
      <w:r w:rsidR="2EF9E159">
        <w:t>definition of priority populations</w:t>
      </w:r>
      <w:r>
        <w:t xml:space="preserve">, </w:t>
      </w:r>
      <w:r w:rsidR="1271CD80">
        <w:t xml:space="preserve">baseline metrics and data reporting across the </w:t>
      </w:r>
      <w:r w:rsidR="551AFBAA">
        <w:t xml:space="preserve">response </w:t>
      </w:r>
      <w:r>
        <w:t>will also support this</w:t>
      </w:r>
      <w:r w:rsidR="1594EDF1">
        <w:t>.</w:t>
      </w:r>
      <w:r w:rsidR="02C46B39">
        <w:t xml:space="preserve"> Developing </w:t>
      </w:r>
      <w:r w:rsidR="1594EDF1">
        <w:t>an equit</w:t>
      </w:r>
      <w:r w:rsidR="4A6DDB36">
        <w:t>y-</w:t>
      </w:r>
      <w:r w:rsidR="1594EDF1">
        <w:t>in</w:t>
      </w:r>
      <w:r w:rsidR="4A6DDB36">
        <w:t>-</w:t>
      </w:r>
      <w:r w:rsidR="1594EDF1">
        <w:t xml:space="preserve">practice </w:t>
      </w:r>
      <w:r w:rsidR="6FFEC9CD">
        <w:t xml:space="preserve">framework </w:t>
      </w:r>
      <w:r w:rsidR="20398A6D">
        <w:t xml:space="preserve">with clear </w:t>
      </w:r>
      <w:r w:rsidR="36100DF7">
        <w:t>expectations</w:t>
      </w:r>
      <w:r w:rsidR="2F1E9489">
        <w:t>,</w:t>
      </w:r>
      <w:r w:rsidR="6DC93F48">
        <w:t xml:space="preserve"> </w:t>
      </w:r>
      <w:r w:rsidR="6B02DC06">
        <w:t>in</w:t>
      </w:r>
      <w:r w:rsidR="20398A6D">
        <w:t xml:space="preserve">cluding </w:t>
      </w:r>
      <w:proofErr w:type="spellStart"/>
      <w:r w:rsidR="6B02DC06">
        <w:t>Te</w:t>
      </w:r>
      <w:proofErr w:type="spellEnd"/>
      <w:r w:rsidR="6B02DC06">
        <w:t xml:space="preserve"> </w:t>
      </w:r>
      <w:proofErr w:type="spellStart"/>
      <w:r w:rsidR="6B02DC06">
        <w:t>Tiriti</w:t>
      </w:r>
      <w:proofErr w:type="spellEnd"/>
      <w:r w:rsidR="6B02DC06">
        <w:t xml:space="preserve"> o Waitangi</w:t>
      </w:r>
      <w:r w:rsidR="59DB0212">
        <w:t xml:space="preserve"> responsibilities</w:t>
      </w:r>
      <w:r w:rsidR="2F1E9489">
        <w:t xml:space="preserve">, that is applicable across policy, operations, expert </w:t>
      </w:r>
      <w:proofErr w:type="gramStart"/>
      <w:r w:rsidR="2F1E9489">
        <w:t>advisory</w:t>
      </w:r>
      <w:proofErr w:type="gramEnd"/>
      <w:r w:rsidR="2F1E9489">
        <w:t xml:space="preserve"> and administrative functions</w:t>
      </w:r>
      <w:r w:rsidR="59DB0212">
        <w:t xml:space="preserve"> </w:t>
      </w:r>
      <w:r w:rsidR="509DB1FF">
        <w:t>appears essential core</w:t>
      </w:r>
      <w:r w:rsidR="36C336E3">
        <w:t xml:space="preserve"> work that will support the</w:t>
      </w:r>
      <w:r w:rsidR="57657B50">
        <w:t xml:space="preserve"> health reforms and transition to working with equity at the forefront of all work.</w:t>
      </w:r>
      <w:r w:rsidR="007F7538" w:rsidRPr="24F18215">
        <w:rPr>
          <w:color w:val="FF0000"/>
        </w:rPr>
        <w:t xml:space="preserve"> </w:t>
      </w:r>
    </w:p>
    <w:p w14:paraId="01AD71B4" w14:textId="6ABDE400" w:rsidR="0083342A" w:rsidRPr="00376529" w:rsidRDefault="0083342A" w:rsidP="0083342A">
      <w:pPr>
        <w:suppressAutoHyphens/>
        <w:autoSpaceDE w:val="0"/>
        <w:autoSpaceDN w:val="0"/>
        <w:adjustRightInd w:val="0"/>
        <w:spacing w:before="120" w:after="120"/>
        <w:textAlignment w:val="center"/>
        <w:outlineLvl w:val="3"/>
        <w:rPr>
          <w:rFonts w:ascii="Segoe UI" w:eastAsiaTheme="majorEastAsia" w:hAnsi="Segoe UI" w:cs="Segoe UI"/>
          <w:bCs/>
          <w:i/>
          <w:sz w:val="22"/>
          <w:szCs w:val="22"/>
          <w:lang w:eastAsia="x-none"/>
        </w:rPr>
      </w:pPr>
      <w:r w:rsidRPr="00376529">
        <w:rPr>
          <w:rFonts w:ascii="Segoe UI" w:eastAsiaTheme="majorEastAsia" w:hAnsi="Segoe UI" w:cs="Segoe UI"/>
          <w:bCs/>
          <w:i/>
          <w:sz w:val="22"/>
          <w:szCs w:val="22"/>
          <w:lang w:eastAsia="x-none"/>
        </w:rPr>
        <w:t xml:space="preserve">There is an opportunity to consolidate insights from the EIA and other feedback on the Ministry’s COVID-19 response to inform the future of our COVID-19 strategy </w:t>
      </w:r>
      <w:r w:rsidR="00186936" w:rsidRPr="00376529">
        <w:rPr>
          <w:rFonts w:ascii="Segoe UI" w:eastAsiaTheme="majorEastAsia" w:hAnsi="Segoe UI" w:cs="Segoe UI"/>
          <w:bCs/>
          <w:i/>
          <w:sz w:val="22"/>
          <w:szCs w:val="22"/>
          <w:lang w:eastAsia="x-none"/>
        </w:rPr>
        <w:t xml:space="preserve">(and other outbreak strategies) </w:t>
      </w:r>
      <w:r w:rsidRPr="00376529">
        <w:rPr>
          <w:rFonts w:ascii="Segoe UI" w:eastAsiaTheme="majorEastAsia" w:hAnsi="Segoe UI" w:cs="Segoe UI"/>
          <w:bCs/>
          <w:i/>
          <w:sz w:val="22"/>
          <w:szCs w:val="22"/>
          <w:lang w:eastAsia="x-none"/>
        </w:rPr>
        <w:t xml:space="preserve">that is integrated across our new health entities </w:t>
      </w:r>
    </w:p>
    <w:p w14:paraId="4CA3747B" w14:textId="4BB9596E" w:rsidR="000E07A8" w:rsidRPr="00376529" w:rsidRDefault="46EF9E7F" w:rsidP="007A7C6A">
      <w:pPr>
        <w:pStyle w:val="NumberedParagraphs-MOH"/>
        <w:ind w:left="567" w:hanging="567"/>
      </w:pPr>
      <w:r>
        <w:t>Th</w:t>
      </w:r>
      <w:r w:rsidR="5B5D4FFF">
        <w:t xml:space="preserve">e EIA is </w:t>
      </w:r>
      <w:r>
        <w:t xml:space="preserve">one of </w:t>
      </w:r>
      <w:r w:rsidR="5B5D4FFF">
        <w:t>several</w:t>
      </w:r>
      <w:r>
        <w:t xml:space="preserve"> </w:t>
      </w:r>
      <w:r w:rsidR="5B5D4FFF">
        <w:t>sources of information</w:t>
      </w:r>
      <w:r>
        <w:t xml:space="preserve"> </w:t>
      </w:r>
      <w:r w:rsidR="5B5D4FFF">
        <w:t>available</w:t>
      </w:r>
      <w:r w:rsidR="5BE48ADC">
        <w:t xml:space="preserve"> (or soon to be available)</w:t>
      </w:r>
      <w:r w:rsidR="5B5D4FFF">
        <w:t xml:space="preserve"> relating to</w:t>
      </w:r>
      <w:r>
        <w:t xml:space="preserve"> feedback on the Ministry’s COVID-19 response and recommendations for future improvements, particularly regarding a pro-equity response. </w:t>
      </w:r>
      <w:r w:rsidR="5BE48ADC">
        <w:t xml:space="preserve">These include the </w:t>
      </w:r>
      <w:r w:rsidR="5BE48ADC" w:rsidRPr="24F18215">
        <w:rPr>
          <w:i/>
          <w:iCs/>
        </w:rPr>
        <w:t>Dovetail Delta Response Rapid Review</w:t>
      </w:r>
      <w:r w:rsidR="5BE48ADC">
        <w:t xml:space="preserve"> that was recently published as well as a research report focused on communities’ experiences of COVID-19 (conducted by Te Rau Ora) which is due to be released early July. </w:t>
      </w:r>
    </w:p>
    <w:p w14:paraId="31851460" w14:textId="3A213808" w:rsidR="008D7E64" w:rsidRPr="00376529" w:rsidRDefault="5B5D4FFF" w:rsidP="007A7C6A">
      <w:pPr>
        <w:pStyle w:val="NumberedParagraphs-MOH"/>
        <w:ind w:left="567" w:hanging="567"/>
      </w:pPr>
      <w:r>
        <w:t xml:space="preserve">As we begin to revise our current Omicron </w:t>
      </w:r>
      <w:r w:rsidR="548505BE">
        <w:t xml:space="preserve">public health </w:t>
      </w:r>
      <w:r>
        <w:t>strategy towards managing the future of COVID-19 post-winter, t</w:t>
      </w:r>
      <w:r w:rsidR="46EF9E7F">
        <w:t xml:space="preserve">here is an opportunity to consolidate the recommendations </w:t>
      </w:r>
      <w:r w:rsidR="46EF9E7F">
        <w:lastRenderedPageBreak/>
        <w:t xml:space="preserve">and learnings from this EIA with </w:t>
      </w:r>
      <w:r w:rsidR="5BE48ADC">
        <w:t xml:space="preserve">other relevant information </w:t>
      </w:r>
      <w:r w:rsidR="46EF9E7F">
        <w:t>sources</w:t>
      </w:r>
      <w:r w:rsidR="5BE48ADC">
        <w:t xml:space="preserve"> </w:t>
      </w:r>
      <w:r w:rsidR="46EF9E7F">
        <w:t>to inform</w:t>
      </w:r>
      <w:r w:rsidR="73FF9056">
        <w:t xml:space="preserve"> a pro-active,</w:t>
      </w:r>
      <w:r w:rsidR="46EF9E7F">
        <w:t xml:space="preserve"> fulsome and in-depth assessment of </w:t>
      </w:r>
      <w:r w:rsidR="73FF9056">
        <w:t xml:space="preserve">the </w:t>
      </w:r>
      <w:r w:rsidR="46EF9E7F">
        <w:t xml:space="preserve">equity </w:t>
      </w:r>
      <w:r>
        <w:t>implications of a</w:t>
      </w:r>
      <w:r w:rsidR="5BE48ADC">
        <w:t xml:space="preserve">ny </w:t>
      </w:r>
      <w:r>
        <w:t xml:space="preserve">future </w:t>
      </w:r>
      <w:r w:rsidR="46EF9E7F">
        <w:t>strategy</w:t>
      </w:r>
      <w:r w:rsidR="5BE48ADC">
        <w:t>; w</w:t>
      </w:r>
      <w:r>
        <w:t xml:space="preserve">e know that equity must be at the core of </w:t>
      </w:r>
      <w:r w:rsidR="5BE48ADC">
        <w:t>any</w:t>
      </w:r>
      <w:r>
        <w:t xml:space="preserve"> future response and we </w:t>
      </w:r>
      <w:r w:rsidR="73FF9056">
        <w:t>have the opportunity to build these pro-equity foundations by</w:t>
      </w:r>
      <w:r>
        <w:t xml:space="preserve"> </w:t>
      </w:r>
      <w:r w:rsidR="73FF9056">
        <w:t xml:space="preserve">fully </w:t>
      </w:r>
      <w:r>
        <w:t>utilis</w:t>
      </w:r>
      <w:r w:rsidR="73FF9056">
        <w:t>ing</w:t>
      </w:r>
      <w:r>
        <w:t xml:space="preserve"> </w:t>
      </w:r>
      <w:r w:rsidR="73FF9056">
        <w:t>the insights and recommendations gathered</w:t>
      </w:r>
      <w:r>
        <w:t xml:space="preserve"> so far from communities and providers</w:t>
      </w:r>
      <w:r w:rsidR="73FF9056">
        <w:t xml:space="preserve">. </w:t>
      </w:r>
    </w:p>
    <w:p w14:paraId="3F60C8F5" w14:textId="0725CA19" w:rsidR="007A7C6A" w:rsidRPr="00376529" w:rsidRDefault="73FF9056" w:rsidP="007A7C6A">
      <w:pPr>
        <w:pStyle w:val="NumberedParagraphs-MOH"/>
        <w:ind w:left="567" w:hanging="567"/>
      </w:pPr>
      <w:r>
        <w:t>As the COVID-19 Equity team</w:t>
      </w:r>
      <w:r w:rsidR="676091DE">
        <w:t>,</w:t>
      </w:r>
      <w:r>
        <w:t xml:space="preserve"> along with other COVID-19 teams under the Ministry’s COVID-19 </w:t>
      </w:r>
      <w:r w:rsidR="676091DE">
        <w:t>d</w:t>
      </w:r>
      <w:r>
        <w:t>irectorate</w:t>
      </w:r>
      <w:r w:rsidR="676091DE">
        <w:t>,</w:t>
      </w:r>
      <w:r>
        <w:t xml:space="preserve"> have now moved to Health New Zealand, we must also leverage opportunities to work in an integrated way across </w:t>
      </w:r>
      <w:r w:rsidR="676091DE">
        <w:t xml:space="preserve">Health New Zealand, </w:t>
      </w:r>
      <w:r>
        <w:t xml:space="preserve">the Māori Health </w:t>
      </w:r>
      <w:proofErr w:type="gramStart"/>
      <w:r>
        <w:t>Authority</w:t>
      </w:r>
      <w:proofErr w:type="gramEnd"/>
      <w:r>
        <w:t xml:space="preserve"> and the Ministry of Health to inform a</w:t>
      </w:r>
      <w:r w:rsidR="5BE48ADC">
        <w:t xml:space="preserve">ny </w:t>
      </w:r>
      <w:r>
        <w:t xml:space="preserve">future pro-equity strategy.  </w:t>
      </w:r>
    </w:p>
    <w:p w14:paraId="55749CD6" w14:textId="77777777" w:rsidR="009D43C1" w:rsidRPr="00D84A54" w:rsidRDefault="009D43C1" w:rsidP="009D43C1">
      <w:pPr>
        <w:pStyle w:val="NumberedParagraphs-MOH"/>
        <w:numPr>
          <w:ilvl w:val="0"/>
          <w:numId w:val="0"/>
        </w:numPr>
      </w:pPr>
    </w:p>
    <w:p w14:paraId="78CE3E6E" w14:textId="1DE9E427" w:rsidR="00363FE8" w:rsidRPr="003C1E9B" w:rsidRDefault="00363FE8" w:rsidP="004A1C7C">
      <w:pPr>
        <w:pStyle w:val="NumberedParagraphs-MOH"/>
        <w:numPr>
          <w:ilvl w:val="0"/>
          <w:numId w:val="0"/>
        </w:numPr>
      </w:pPr>
      <w:r w:rsidRPr="000A70DF">
        <w:rPr>
          <w:rFonts w:eastAsiaTheme="majorEastAsia" w:cs="Arial"/>
          <w:b/>
          <w:bCs/>
          <w:iCs/>
          <w:sz w:val="28"/>
          <w:szCs w:val="32"/>
        </w:rPr>
        <w:t>Recommendations</w:t>
      </w:r>
    </w:p>
    <w:p w14:paraId="281032B4" w14:textId="1EB3F517" w:rsidR="00C609B5" w:rsidRPr="00376529" w:rsidRDefault="00C609B5" w:rsidP="00C609B5">
      <w:pPr>
        <w:spacing w:after="120"/>
        <w:rPr>
          <w:rFonts w:ascii="Segoe UI" w:hAnsi="Segoe UI" w:cs="Segoe UI"/>
          <w:sz w:val="22"/>
          <w:szCs w:val="22"/>
        </w:rPr>
      </w:pPr>
      <w:r w:rsidRPr="00376529">
        <w:rPr>
          <w:rFonts w:ascii="Segoe UI" w:hAnsi="Segoe UI" w:cs="Segoe UI"/>
          <w:sz w:val="22"/>
          <w:szCs w:val="22"/>
        </w:rPr>
        <w:t>It is recommended that you:</w:t>
      </w:r>
    </w:p>
    <w:tbl>
      <w:tblPr>
        <w:tblStyle w:val="TableGrid"/>
        <w:tblW w:w="9673" w:type="dxa"/>
        <w:tblInd w:w="108" w:type="dxa"/>
        <w:tblBorders>
          <w:top w:val="single" w:sz="12" w:space="0" w:color="auto"/>
          <w:left w:val="none" w:sz="0" w:space="0" w:color="auto"/>
          <w:bottom w:val="single" w:sz="12" w:space="0" w:color="auto"/>
          <w:right w:val="none" w:sz="0" w:space="0" w:color="auto"/>
          <w:insideH w:val="single" w:sz="2" w:space="0" w:color="auto"/>
          <w:insideV w:val="single" w:sz="2" w:space="0" w:color="auto"/>
        </w:tblBorders>
        <w:tblLayout w:type="fixed"/>
        <w:tblLook w:val="00A0" w:firstRow="1" w:lastRow="0" w:firstColumn="1" w:lastColumn="0" w:noHBand="0" w:noVBand="0"/>
      </w:tblPr>
      <w:tblGrid>
        <w:gridCol w:w="451"/>
        <w:gridCol w:w="1284"/>
        <w:gridCol w:w="6662"/>
        <w:gridCol w:w="1276"/>
      </w:tblGrid>
      <w:tr w:rsidR="008C00A2" w:rsidRPr="00376529" w14:paraId="087FE907" w14:textId="77777777" w:rsidTr="00363FE8">
        <w:trPr>
          <w:cantSplit/>
        </w:trPr>
        <w:tc>
          <w:tcPr>
            <w:tcW w:w="451" w:type="dxa"/>
          </w:tcPr>
          <w:p w14:paraId="1075F690" w14:textId="77777777" w:rsidR="008C00A2" w:rsidRPr="00376529" w:rsidRDefault="008C00A2" w:rsidP="008C00A2">
            <w:pPr>
              <w:pStyle w:val="TableText"/>
              <w:rPr>
                <w:rFonts w:ascii="Segoe UI" w:hAnsi="Segoe UI" w:cs="Segoe UI"/>
                <w:sz w:val="22"/>
                <w:szCs w:val="22"/>
              </w:rPr>
            </w:pPr>
            <w:r w:rsidRPr="00376529">
              <w:rPr>
                <w:rFonts w:ascii="Segoe UI" w:hAnsi="Segoe UI" w:cs="Segoe UI"/>
                <w:sz w:val="22"/>
                <w:szCs w:val="22"/>
              </w:rPr>
              <w:t>1.</w:t>
            </w:r>
          </w:p>
        </w:tc>
        <w:tc>
          <w:tcPr>
            <w:tcW w:w="1284" w:type="dxa"/>
            <w:tcBorders>
              <w:top w:val="single" w:sz="12" w:space="0" w:color="auto"/>
              <w:bottom w:val="single" w:sz="2" w:space="0" w:color="auto"/>
              <w:right w:val="nil"/>
            </w:tcBorders>
          </w:tcPr>
          <w:p w14:paraId="1880BD9E" w14:textId="2E840048" w:rsidR="008C00A2" w:rsidRPr="00376529" w:rsidRDefault="00972759" w:rsidP="008C00A2">
            <w:pPr>
              <w:pStyle w:val="TableText"/>
              <w:rPr>
                <w:rFonts w:ascii="Segoe UI" w:hAnsi="Segoe UI" w:cs="Segoe UI"/>
                <w:b/>
                <w:bCs/>
                <w:sz w:val="22"/>
                <w:szCs w:val="22"/>
              </w:rPr>
            </w:pPr>
            <w:r w:rsidRPr="00376529">
              <w:rPr>
                <w:rFonts w:ascii="Segoe UI" w:hAnsi="Segoe UI" w:cs="Segoe UI"/>
                <w:b/>
                <w:bCs/>
                <w:sz w:val="22"/>
                <w:szCs w:val="22"/>
              </w:rPr>
              <w:t>N</w:t>
            </w:r>
            <w:r w:rsidR="007F479A" w:rsidRPr="00376529">
              <w:rPr>
                <w:rFonts w:ascii="Segoe UI" w:hAnsi="Segoe UI" w:cs="Segoe UI"/>
                <w:b/>
                <w:bCs/>
                <w:sz w:val="22"/>
                <w:szCs w:val="22"/>
              </w:rPr>
              <w:t>ote</w:t>
            </w:r>
            <w:r w:rsidRPr="00376529">
              <w:rPr>
                <w:rFonts w:ascii="Segoe UI" w:hAnsi="Segoe UI" w:cs="Segoe UI"/>
                <w:b/>
                <w:bCs/>
                <w:sz w:val="22"/>
                <w:szCs w:val="22"/>
              </w:rPr>
              <w:t xml:space="preserve"> </w:t>
            </w:r>
          </w:p>
        </w:tc>
        <w:tc>
          <w:tcPr>
            <w:tcW w:w="6662" w:type="dxa"/>
            <w:tcBorders>
              <w:left w:val="nil"/>
            </w:tcBorders>
          </w:tcPr>
          <w:p w14:paraId="1DF71EEE" w14:textId="76A99BF8" w:rsidR="008C00A2" w:rsidRPr="00376529" w:rsidRDefault="007F40A8" w:rsidP="008C00A2">
            <w:pPr>
              <w:pStyle w:val="TableText"/>
              <w:rPr>
                <w:rFonts w:ascii="Segoe UI" w:hAnsi="Segoe UI" w:cs="Segoe UI"/>
                <w:sz w:val="22"/>
                <w:szCs w:val="22"/>
              </w:rPr>
            </w:pPr>
            <w:r w:rsidRPr="00376529">
              <w:rPr>
                <w:rFonts w:ascii="Segoe UI" w:hAnsi="Segoe UI" w:cs="Segoe UI"/>
                <w:sz w:val="22"/>
                <w:szCs w:val="22"/>
              </w:rPr>
              <w:t>An</w:t>
            </w:r>
            <w:r w:rsidR="005720C3" w:rsidRPr="00376529">
              <w:rPr>
                <w:rFonts w:ascii="Segoe UI" w:hAnsi="Segoe UI" w:cs="Segoe UI"/>
                <w:sz w:val="22"/>
                <w:szCs w:val="22"/>
              </w:rPr>
              <w:t xml:space="preserve"> Equity Impact Assessment was undertaken </w:t>
            </w:r>
            <w:r w:rsidR="00C82860" w:rsidRPr="00376529">
              <w:rPr>
                <w:rFonts w:ascii="Segoe UI" w:hAnsi="Segoe UI" w:cs="Segoe UI"/>
                <w:sz w:val="22"/>
                <w:szCs w:val="22"/>
              </w:rPr>
              <w:t xml:space="preserve">by the Ministry </w:t>
            </w:r>
            <w:r w:rsidR="005720C3" w:rsidRPr="00376529">
              <w:rPr>
                <w:rFonts w:ascii="Segoe UI" w:hAnsi="Segoe UI" w:cs="Segoe UI"/>
                <w:sz w:val="22"/>
                <w:szCs w:val="22"/>
              </w:rPr>
              <w:t>as</w:t>
            </w:r>
            <w:r w:rsidR="00972759" w:rsidRPr="00376529">
              <w:rPr>
                <w:rFonts w:ascii="Segoe UI" w:hAnsi="Segoe UI" w:cs="Segoe UI"/>
                <w:sz w:val="22"/>
                <w:szCs w:val="22"/>
              </w:rPr>
              <w:t xml:space="preserve"> </w:t>
            </w:r>
            <w:r w:rsidR="005720C3" w:rsidRPr="00376529">
              <w:rPr>
                <w:rFonts w:ascii="Segoe UI" w:hAnsi="Segoe UI" w:cs="Segoe UI"/>
                <w:sz w:val="22"/>
                <w:szCs w:val="22"/>
              </w:rPr>
              <w:t>commissioned</w:t>
            </w:r>
            <w:r w:rsidR="00972759" w:rsidRPr="00376529">
              <w:rPr>
                <w:rFonts w:ascii="Segoe UI" w:hAnsi="Segoe UI" w:cs="Segoe UI"/>
                <w:sz w:val="22"/>
                <w:szCs w:val="22"/>
              </w:rPr>
              <w:t xml:space="preserve"> </w:t>
            </w:r>
            <w:r w:rsidR="005720C3" w:rsidRPr="00376529">
              <w:rPr>
                <w:rFonts w:ascii="Segoe UI" w:hAnsi="Segoe UI" w:cs="Segoe UI"/>
                <w:sz w:val="22"/>
                <w:szCs w:val="22"/>
              </w:rPr>
              <w:t xml:space="preserve">by the then </w:t>
            </w:r>
            <w:r w:rsidRPr="00376529">
              <w:rPr>
                <w:rFonts w:ascii="Segoe UI" w:hAnsi="Segoe UI" w:cs="Segoe UI"/>
                <w:sz w:val="22"/>
                <w:szCs w:val="22"/>
              </w:rPr>
              <w:t>Deputy Chief Executive, COVID-19 Health System Response</w:t>
            </w:r>
            <w:r w:rsidR="003916C2" w:rsidRPr="00376529">
              <w:rPr>
                <w:rFonts w:ascii="Segoe UI" w:hAnsi="Segoe UI" w:cs="Segoe UI"/>
                <w:sz w:val="22"/>
                <w:szCs w:val="22"/>
              </w:rPr>
              <w:t>,</w:t>
            </w:r>
            <w:r w:rsidRPr="00376529">
              <w:rPr>
                <w:rFonts w:ascii="Segoe UI" w:hAnsi="Segoe UI" w:cs="Segoe UI"/>
                <w:sz w:val="22"/>
                <w:szCs w:val="22"/>
              </w:rPr>
              <w:t xml:space="preserve"> Bridget White</w:t>
            </w:r>
            <w:r w:rsidR="00972759" w:rsidRPr="00376529">
              <w:rPr>
                <w:rFonts w:ascii="Segoe UI" w:hAnsi="Segoe UI" w:cs="Segoe UI"/>
                <w:sz w:val="22"/>
                <w:szCs w:val="22"/>
              </w:rPr>
              <w:t xml:space="preserve"> </w:t>
            </w:r>
            <w:r w:rsidR="00F24134" w:rsidRPr="00376529">
              <w:rPr>
                <w:rFonts w:ascii="Segoe UI" w:hAnsi="Segoe UI" w:cs="Segoe UI"/>
                <w:sz w:val="22"/>
                <w:szCs w:val="22"/>
              </w:rPr>
              <w:t xml:space="preserve">on the development of the </w:t>
            </w:r>
            <w:r w:rsidR="00295FA4" w:rsidRPr="00376529">
              <w:rPr>
                <w:rFonts w:ascii="Segoe UI" w:hAnsi="Segoe UI" w:cs="Segoe UI"/>
                <w:sz w:val="22"/>
                <w:szCs w:val="22"/>
              </w:rPr>
              <w:t xml:space="preserve">three-phase </w:t>
            </w:r>
            <w:r w:rsidR="00F24134" w:rsidRPr="00376529">
              <w:rPr>
                <w:rFonts w:ascii="Segoe UI" w:hAnsi="Segoe UI" w:cs="Segoe UI"/>
                <w:sz w:val="22"/>
                <w:szCs w:val="22"/>
              </w:rPr>
              <w:t xml:space="preserve">Omicron </w:t>
            </w:r>
            <w:r w:rsidR="00556CD7" w:rsidRPr="00376529">
              <w:rPr>
                <w:rFonts w:ascii="Segoe UI" w:hAnsi="Segoe UI" w:cs="Segoe UI"/>
                <w:sz w:val="22"/>
                <w:szCs w:val="22"/>
              </w:rPr>
              <w:t>public health s</w:t>
            </w:r>
            <w:r w:rsidR="00F24134" w:rsidRPr="00376529">
              <w:rPr>
                <w:rFonts w:ascii="Segoe UI" w:hAnsi="Segoe UI" w:cs="Segoe UI"/>
                <w:sz w:val="22"/>
                <w:szCs w:val="22"/>
              </w:rPr>
              <w:t xml:space="preserve">trategy. </w:t>
            </w:r>
          </w:p>
        </w:tc>
        <w:tc>
          <w:tcPr>
            <w:tcW w:w="1276" w:type="dxa"/>
          </w:tcPr>
          <w:p w14:paraId="2C6A63B5" w14:textId="77777777" w:rsidR="008C00A2" w:rsidRPr="00376529" w:rsidRDefault="008C00A2" w:rsidP="008C00A2">
            <w:pPr>
              <w:pStyle w:val="TableText"/>
              <w:jc w:val="center"/>
              <w:rPr>
                <w:rFonts w:ascii="Segoe UI" w:hAnsi="Segoe UI" w:cs="Segoe UI"/>
                <w:sz w:val="22"/>
                <w:szCs w:val="22"/>
              </w:rPr>
            </w:pPr>
            <w:r w:rsidRPr="00376529">
              <w:rPr>
                <w:rFonts w:ascii="Segoe UI" w:hAnsi="Segoe UI" w:cs="Segoe UI"/>
                <w:sz w:val="22"/>
                <w:szCs w:val="22"/>
              </w:rPr>
              <w:t>Yes/No</w:t>
            </w:r>
          </w:p>
        </w:tc>
      </w:tr>
      <w:tr w:rsidR="008C00A2" w:rsidRPr="00376529" w14:paraId="508FE3B7" w14:textId="77777777" w:rsidTr="006D1A20">
        <w:trPr>
          <w:cantSplit/>
        </w:trPr>
        <w:tc>
          <w:tcPr>
            <w:tcW w:w="451" w:type="dxa"/>
            <w:tcBorders>
              <w:top w:val="single" w:sz="2" w:space="0" w:color="auto"/>
              <w:bottom w:val="single" w:sz="2" w:space="0" w:color="auto"/>
            </w:tcBorders>
          </w:tcPr>
          <w:p w14:paraId="71DBA161" w14:textId="3644ABF8" w:rsidR="008C00A2" w:rsidRPr="00376529" w:rsidRDefault="00AE2489" w:rsidP="008C00A2">
            <w:pPr>
              <w:pStyle w:val="TableText"/>
              <w:rPr>
                <w:rFonts w:ascii="Segoe UI" w:hAnsi="Segoe UI" w:cs="Segoe UI"/>
                <w:sz w:val="22"/>
                <w:szCs w:val="22"/>
              </w:rPr>
            </w:pPr>
            <w:r w:rsidRPr="00376529">
              <w:rPr>
                <w:rFonts w:ascii="Segoe UI" w:hAnsi="Segoe UI" w:cs="Segoe UI"/>
                <w:sz w:val="22"/>
                <w:szCs w:val="22"/>
              </w:rPr>
              <w:t>2</w:t>
            </w:r>
            <w:r w:rsidR="008C00A2" w:rsidRPr="00376529">
              <w:rPr>
                <w:rFonts w:ascii="Segoe UI" w:hAnsi="Segoe UI" w:cs="Segoe UI"/>
                <w:sz w:val="22"/>
                <w:szCs w:val="22"/>
              </w:rPr>
              <w:t>.</w:t>
            </w:r>
          </w:p>
        </w:tc>
        <w:tc>
          <w:tcPr>
            <w:tcW w:w="1284" w:type="dxa"/>
            <w:tcBorders>
              <w:top w:val="single" w:sz="2" w:space="0" w:color="auto"/>
              <w:bottom w:val="single" w:sz="2" w:space="0" w:color="auto"/>
              <w:right w:val="nil"/>
            </w:tcBorders>
          </w:tcPr>
          <w:p w14:paraId="11CAE8D9" w14:textId="39C9D662" w:rsidR="008C00A2" w:rsidRPr="00376529" w:rsidRDefault="00F24134" w:rsidP="008C00A2">
            <w:pPr>
              <w:pStyle w:val="TableText"/>
              <w:rPr>
                <w:rFonts w:ascii="Segoe UI" w:hAnsi="Segoe UI" w:cs="Segoe UI"/>
                <w:b/>
                <w:bCs/>
                <w:sz w:val="22"/>
                <w:szCs w:val="22"/>
              </w:rPr>
            </w:pPr>
            <w:r w:rsidRPr="00376529">
              <w:rPr>
                <w:rFonts w:ascii="Segoe UI" w:hAnsi="Segoe UI" w:cs="Segoe UI"/>
                <w:b/>
                <w:bCs/>
                <w:sz w:val="22"/>
                <w:szCs w:val="22"/>
              </w:rPr>
              <w:t xml:space="preserve">Note </w:t>
            </w:r>
          </w:p>
        </w:tc>
        <w:tc>
          <w:tcPr>
            <w:tcW w:w="6662" w:type="dxa"/>
            <w:tcBorders>
              <w:top w:val="single" w:sz="2" w:space="0" w:color="auto"/>
              <w:left w:val="nil"/>
              <w:bottom w:val="single" w:sz="2" w:space="0" w:color="auto"/>
            </w:tcBorders>
          </w:tcPr>
          <w:p w14:paraId="305381CF" w14:textId="23730A64" w:rsidR="008C00A2" w:rsidRPr="00376529" w:rsidRDefault="007F40A8" w:rsidP="008C00A2">
            <w:pPr>
              <w:pStyle w:val="TableText"/>
              <w:rPr>
                <w:rFonts w:ascii="Segoe UI" w:hAnsi="Segoe UI" w:cs="Segoe UI"/>
                <w:sz w:val="22"/>
                <w:szCs w:val="22"/>
              </w:rPr>
            </w:pPr>
            <w:r w:rsidRPr="00376529">
              <w:rPr>
                <w:rFonts w:ascii="Segoe UI" w:hAnsi="Segoe UI" w:cs="Segoe UI"/>
                <w:sz w:val="22"/>
                <w:szCs w:val="22"/>
              </w:rPr>
              <w:t>T</w:t>
            </w:r>
            <w:r w:rsidR="00367CAB" w:rsidRPr="00376529">
              <w:rPr>
                <w:rFonts w:ascii="Segoe UI" w:hAnsi="Segoe UI" w:cs="Segoe UI"/>
                <w:sz w:val="22"/>
                <w:szCs w:val="22"/>
              </w:rPr>
              <w:t>his report provides a summary of key themes comprising equity issues</w:t>
            </w:r>
            <w:r w:rsidR="00C03171" w:rsidRPr="00376529">
              <w:rPr>
                <w:rFonts w:ascii="Segoe UI" w:hAnsi="Segoe UI" w:cs="Segoe UI"/>
                <w:sz w:val="22"/>
                <w:szCs w:val="22"/>
              </w:rPr>
              <w:t xml:space="preserve"> identified through engagements</w:t>
            </w:r>
            <w:r w:rsidR="001B366C" w:rsidRPr="00376529">
              <w:rPr>
                <w:rFonts w:ascii="Segoe UI" w:hAnsi="Segoe UI" w:cs="Segoe UI"/>
                <w:sz w:val="22"/>
                <w:szCs w:val="22"/>
              </w:rPr>
              <w:t xml:space="preserve"> undertaken as part of the EIA</w:t>
            </w:r>
            <w:r w:rsidR="00E97EAE" w:rsidRPr="00376529">
              <w:rPr>
                <w:rFonts w:ascii="Segoe UI" w:hAnsi="Segoe UI" w:cs="Segoe UI"/>
                <w:sz w:val="22"/>
                <w:szCs w:val="22"/>
              </w:rPr>
              <w:t>,</w:t>
            </w:r>
            <w:r w:rsidR="00367CAB" w:rsidRPr="00376529">
              <w:rPr>
                <w:rFonts w:ascii="Segoe UI" w:hAnsi="Segoe UI" w:cs="Segoe UI"/>
                <w:sz w:val="22"/>
                <w:szCs w:val="22"/>
              </w:rPr>
              <w:t xml:space="preserve"> </w:t>
            </w:r>
            <w:r w:rsidR="006D1A20" w:rsidRPr="00376529">
              <w:rPr>
                <w:rFonts w:ascii="Segoe UI" w:hAnsi="Segoe UI" w:cs="Segoe UI"/>
                <w:sz w:val="22"/>
                <w:szCs w:val="22"/>
              </w:rPr>
              <w:t>along with associated prioritised actions</w:t>
            </w:r>
            <w:r w:rsidR="000976C9" w:rsidRPr="00376529">
              <w:rPr>
                <w:rFonts w:ascii="Segoe UI" w:hAnsi="Segoe UI" w:cs="Segoe UI"/>
                <w:sz w:val="22"/>
                <w:szCs w:val="22"/>
              </w:rPr>
              <w:t xml:space="preserve"> and </w:t>
            </w:r>
            <w:r w:rsidR="006D1A20" w:rsidRPr="00376529">
              <w:rPr>
                <w:rFonts w:ascii="Segoe UI" w:hAnsi="Segoe UI" w:cs="Segoe UI"/>
                <w:sz w:val="22"/>
                <w:szCs w:val="22"/>
              </w:rPr>
              <w:t xml:space="preserve">the Ministry’s response </w:t>
            </w:r>
            <w:r w:rsidR="0083342A" w:rsidRPr="00376529">
              <w:rPr>
                <w:rFonts w:ascii="Segoe UI" w:hAnsi="Segoe UI" w:cs="Segoe UI"/>
                <w:sz w:val="22"/>
                <w:szCs w:val="22"/>
              </w:rPr>
              <w:t>to these</w:t>
            </w:r>
            <w:r w:rsidR="00E97EAE" w:rsidRPr="00376529">
              <w:rPr>
                <w:rFonts w:ascii="Segoe UI" w:hAnsi="Segoe UI" w:cs="Segoe UI"/>
                <w:sz w:val="22"/>
                <w:szCs w:val="22"/>
              </w:rPr>
              <w:t>.</w:t>
            </w:r>
            <w:r w:rsidR="006D1A20" w:rsidRPr="00376529">
              <w:rPr>
                <w:rFonts w:ascii="Segoe UI" w:hAnsi="Segoe UI" w:cs="Segoe UI"/>
                <w:sz w:val="22"/>
                <w:szCs w:val="22"/>
              </w:rPr>
              <w:t xml:space="preserve"> </w:t>
            </w:r>
          </w:p>
        </w:tc>
        <w:tc>
          <w:tcPr>
            <w:tcW w:w="1276" w:type="dxa"/>
            <w:tcBorders>
              <w:top w:val="single" w:sz="2" w:space="0" w:color="auto"/>
              <w:bottom w:val="single" w:sz="2" w:space="0" w:color="auto"/>
            </w:tcBorders>
          </w:tcPr>
          <w:p w14:paraId="0EA7A5CA" w14:textId="77777777" w:rsidR="008C00A2" w:rsidRPr="00376529" w:rsidRDefault="008C00A2" w:rsidP="008C00A2">
            <w:pPr>
              <w:pStyle w:val="TableText"/>
              <w:jc w:val="center"/>
              <w:rPr>
                <w:rFonts w:ascii="Segoe UI" w:hAnsi="Segoe UI" w:cs="Segoe UI"/>
                <w:sz w:val="22"/>
                <w:szCs w:val="22"/>
              </w:rPr>
            </w:pPr>
            <w:r w:rsidRPr="00376529">
              <w:rPr>
                <w:rFonts w:ascii="Segoe UI" w:hAnsi="Segoe UI" w:cs="Segoe UI"/>
                <w:sz w:val="22"/>
                <w:szCs w:val="22"/>
              </w:rPr>
              <w:t>Yes/No</w:t>
            </w:r>
          </w:p>
        </w:tc>
      </w:tr>
      <w:tr w:rsidR="009D43C1" w:rsidRPr="00376529" w14:paraId="07A66231" w14:textId="77777777" w:rsidTr="006D1A20">
        <w:trPr>
          <w:cantSplit/>
        </w:trPr>
        <w:tc>
          <w:tcPr>
            <w:tcW w:w="451" w:type="dxa"/>
            <w:tcBorders>
              <w:top w:val="single" w:sz="2" w:space="0" w:color="auto"/>
              <w:bottom w:val="single" w:sz="2" w:space="0" w:color="auto"/>
            </w:tcBorders>
          </w:tcPr>
          <w:p w14:paraId="0633F773" w14:textId="1DACA812" w:rsidR="009D43C1" w:rsidRPr="00376529" w:rsidRDefault="009D43C1" w:rsidP="008C00A2">
            <w:pPr>
              <w:pStyle w:val="TableText"/>
              <w:rPr>
                <w:rFonts w:ascii="Segoe UI" w:hAnsi="Segoe UI" w:cs="Segoe UI"/>
                <w:sz w:val="22"/>
                <w:szCs w:val="22"/>
              </w:rPr>
            </w:pPr>
            <w:r w:rsidRPr="00376529">
              <w:rPr>
                <w:rFonts w:ascii="Segoe UI" w:hAnsi="Segoe UI" w:cs="Segoe UI"/>
                <w:sz w:val="22"/>
                <w:szCs w:val="22"/>
              </w:rPr>
              <w:t>3.</w:t>
            </w:r>
          </w:p>
        </w:tc>
        <w:tc>
          <w:tcPr>
            <w:tcW w:w="1284" w:type="dxa"/>
            <w:tcBorders>
              <w:top w:val="single" w:sz="2" w:space="0" w:color="auto"/>
              <w:bottom w:val="single" w:sz="2" w:space="0" w:color="auto"/>
              <w:right w:val="nil"/>
            </w:tcBorders>
          </w:tcPr>
          <w:p w14:paraId="12A8A29D" w14:textId="0F914D96" w:rsidR="009D43C1" w:rsidRPr="00376529" w:rsidRDefault="009D43C1" w:rsidP="008C00A2">
            <w:pPr>
              <w:pStyle w:val="TableText"/>
              <w:rPr>
                <w:rFonts w:ascii="Segoe UI" w:hAnsi="Segoe UI" w:cs="Segoe UI"/>
                <w:b/>
                <w:bCs/>
                <w:sz w:val="22"/>
                <w:szCs w:val="22"/>
              </w:rPr>
            </w:pPr>
            <w:r w:rsidRPr="00376529">
              <w:rPr>
                <w:rFonts w:ascii="Segoe UI" w:hAnsi="Segoe UI" w:cs="Segoe UI"/>
                <w:b/>
                <w:bCs/>
                <w:sz w:val="22"/>
                <w:szCs w:val="22"/>
              </w:rPr>
              <w:t>Note</w:t>
            </w:r>
          </w:p>
        </w:tc>
        <w:tc>
          <w:tcPr>
            <w:tcW w:w="6662" w:type="dxa"/>
            <w:tcBorders>
              <w:top w:val="single" w:sz="2" w:space="0" w:color="auto"/>
              <w:left w:val="nil"/>
              <w:bottom w:val="single" w:sz="2" w:space="0" w:color="auto"/>
            </w:tcBorders>
          </w:tcPr>
          <w:p w14:paraId="6A731E79" w14:textId="71E13627" w:rsidR="009D43C1" w:rsidRPr="00376529" w:rsidRDefault="009D43C1" w:rsidP="008C00A2">
            <w:pPr>
              <w:pStyle w:val="TableText"/>
              <w:rPr>
                <w:rFonts w:ascii="Segoe UI" w:hAnsi="Segoe UI" w:cs="Segoe UI"/>
                <w:sz w:val="22"/>
                <w:szCs w:val="22"/>
              </w:rPr>
            </w:pPr>
            <w:r w:rsidRPr="00376529">
              <w:rPr>
                <w:rFonts w:ascii="Segoe UI" w:hAnsi="Segoe UI" w:cs="Segoe UI"/>
                <w:sz w:val="22"/>
                <w:szCs w:val="22"/>
              </w:rPr>
              <w:t xml:space="preserve">Feedback from the engagements undertaken as part of the EIA was disseminated to teams within the Ministry at the time it was captured to inform Ministry decision-making. </w:t>
            </w:r>
          </w:p>
        </w:tc>
        <w:tc>
          <w:tcPr>
            <w:tcW w:w="1276" w:type="dxa"/>
            <w:tcBorders>
              <w:top w:val="single" w:sz="2" w:space="0" w:color="auto"/>
              <w:bottom w:val="single" w:sz="2" w:space="0" w:color="auto"/>
            </w:tcBorders>
          </w:tcPr>
          <w:p w14:paraId="5D65060F" w14:textId="0E91392C" w:rsidR="009D43C1" w:rsidRPr="00376529" w:rsidRDefault="009D43C1" w:rsidP="008C00A2">
            <w:pPr>
              <w:pStyle w:val="TableText"/>
              <w:jc w:val="center"/>
              <w:rPr>
                <w:rFonts w:ascii="Segoe UI" w:hAnsi="Segoe UI" w:cs="Segoe UI"/>
                <w:sz w:val="22"/>
                <w:szCs w:val="22"/>
              </w:rPr>
            </w:pPr>
            <w:r w:rsidRPr="00376529">
              <w:rPr>
                <w:rFonts w:ascii="Segoe UI" w:hAnsi="Segoe UI" w:cs="Segoe UI"/>
                <w:sz w:val="22"/>
                <w:szCs w:val="22"/>
              </w:rPr>
              <w:t>Yes/No</w:t>
            </w:r>
          </w:p>
        </w:tc>
      </w:tr>
      <w:tr w:rsidR="006D1A20" w:rsidRPr="00376529" w14:paraId="365EE06B" w14:textId="77777777" w:rsidTr="00761049">
        <w:trPr>
          <w:cantSplit/>
        </w:trPr>
        <w:tc>
          <w:tcPr>
            <w:tcW w:w="451" w:type="dxa"/>
            <w:tcBorders>
              <w:top w:val="single" w:sz="2" w:space="0" w:color="auto"/>
              <w:bottom w:val="single" w:sz="2" w:space="0" w:color="auto"/>
            </w:tcBorders>
          </w:tcPr>
          <w:p w14:paraId="12A6F420" w14:textId="211DDD46" w:rsidR="006D1A20" w:rsidRPr="00376529" w:rsidRDefault="009D43C1" w:rsidP="008C00A2">
            <w:pPr>
              <w:pStyle w:val="TableText"/>
              <w:rPr>
                <w:rFonts w:ascii="Segoe UI" w:hAnsi="Segoe UI" w:cs="Segoe UI"/>
                <w:sz w:val="22"/>
                <w:szCs w:val="22"/>
              </w:rPr>
            </w:pPr>
            <w:r w:rsidRPr="00376529">
              <w:rPr>
                <w:rFonts w:ascii="Segoe UI" w:hAnsi="Segoe UI" w:cs="Segoe UI"/>
                <w:sz w:val="22"/>
                <w:szCs w:val="22"/>
              </w:rPr>
              <w:t>4</w:t>
            </w:r>
            <w:r w:rsidR="00AE2489" w:rsidRPr="00376529">
              <w:rPr>
                <w:rFonts w:ascii="Segoe UI" w:hAnsi="Segoe UI" w:cs="Segoe UI"/>
                <w:sz w:val="22"/>
                <w:szCs w:val="22"/>
              </w:rPr>
              <w:t>.</w:t>
            </w:r>
          </w:p>
        </w:tc>
        <w:tc>
          <w:tcPr>
            <w:tcW w:w="1284" w:type="dxa"/>
            <w:tcBorders>
              <w:top w:val="single" w:sz="2" w:space="0" w:color="auto"/>
              <w:bottom w:val="single" w:sz="2" w:space="0" w:color="auto"/>
              <w:right w:val="nil"/>
            </w:tcBorders>
          </w:tcPr>
          <w:p w14:paraId="29F01936" w14:textId="60AACD44" w:rsidR="006D1A20" w:rsidRPr="00376529" w:rsidRDefault="00F24134" w:rsidP="008C00A2">
            <w:pPr>
              <w:pStyle w:val="TableText"/>
              <w:rPr>
                <w:rFonts w:ascii="Segoe UI" w:hAnsi="Segoe UI" w:cs="Segoe UI"/>
                <w:b/>
                <w:bCs/>
                <w:sz w:val="22"/>
                <w:szCs w:val="22"/>
              </w:rPr>
            </w:pPr>
            <w:r w:rsidRPr="00376529">
              <w:rPr>
                <w:rFonts w:ascii="Segoe UI" w:hAnsi="Segoe UI" w:cs="Segoe UI"/>
                <w:b/>
                <w:bCs/>
                <w:sz w:val="22"/>
                <w:szCs w:val="22"/>
              </w:rPr>
              <w:t>Note</w:t>
            </w:r>
          </w:p>
        </w:tc>
        <w:tc>
          <w:tcPr>
            <w:tcW w:w="6662" w:type="dxa"/>
            <w:tcBorders>
              <w:top w:val="single" w:sz="2" w:space="0" w:color="auto"/>
              <w:left w:val="nil"/>
              <w:bottom w:val="single" w:sz="2" w:space="0" w:color="auto"/>
            </w:tcBorders>
          </w:tcPr>
          <w:p w14:paraId="7B03FF2F" w14:textId="60FC710C" w:rsidR="006D1A20" w:rsidRPr="00376529" w:rsidRDefault="00DA5051" w:rsidP="008C00A2">
            <w:pPr>
              <w:pStyle w:val="TableText"/>
              <w:rPr>
                <w:rFonts w:ascii="Segoe UI" w:hAnsi="Segoe UI" w:cs="Segoe UI"/>
                <w:sz w:val="22"/>
                <w:szCs w:val="22"/>
              </w:rPr>
            </w:pPr>
            <w:r w:rsidRPr="00376529">
              <w:rPr>
                <w:rFonts w:ascii="Segoe UI" w:hAnsi="Segoe UI" w:cs="Segoe UI"/>
                <w:sz w:val="22"/>
                <w:szCs w:val="22"/>
              </w:rPr>
              <w:t>The</w:t>
            </w:r>
            <w:r w:rsidR="000976C9" w:rsidRPr="00376529">
              <w:rPr>
                <w:rFonts w:ascii="Segoe UI" w:hAnsi="Segoe UI" w:cs="Segoe UI"/>
                <w:sz w:val="22"/>
                <w:szCs w:val="22"/>
              </w:rPr>
              <w:t xml:space="preserve"> report sets out</w:t>
            </w:r>
            <w:r w:rsidRPr="00376529">
              <w:rPr>
                <w:rFonts w:ascii="Segoe UI" w:hAnsi="Segoe UI" w:cs="Segoe UI"/>
                <w:sz w:val="22"/>
                <w:szCs w:val="22"/>
              </w:rPr>
              <w:t xml:space="preserve"> </w:t>
            </w:r>
            <w:r w:rsidR="000976C9" w:rsidRPr="00376529">
              <w:rPr>
                <w:rFonts w:ascii="Segoe UI" w:hAnsi="Segoe UI" w:cs="Segoe UI"/>
                <w:sz w:val="22"/>
                <w:szCs w:val="22"/>
              </w:rPr>
              <w:t>the Ministry’s</w:t>
            </w:r>
            <w:r w:rsidRPr="00376529">
              <w:rPr>
                <w:rFonts w:ascii="Segoe UI" w:hAnsi="Segoe UI" w:cs="Segoe UI"/>
                <w:sz w:val="22"/>
                <w:szCs w:val="22"/>
              </w:rPr>
              <w:t xml:space="preserve"> key learnings from the EIA</w:t>
            </w:r>
            <w:r w:rsidR="000976C9" w:rsidRPr="00376529">
              <w:rPr>
                <w:rFonts w:ascii="Segoe UI" w:hAnsi="Segoe UI" w:cs="Segoe UI"/>
                <w:sz w:val="22"/>
                <w:szCs w:val="22"/>
              </w:rPr>
              <w:t xml:space="preserve">, </w:t>
            </w:r>
            <w:r w:rsidRPr="00376529">
              <w:rPr>
                <w:rFonts w:ascii="Segoe UI" w:hAnsi="Segoe UI" w:cs="Segoe UI"/>
                <w:sz w:val="22"/>
                <w:szCs w:val="22"/>
              </w:rPr>
              <w:t>including</w:t>
            </w:r>
            <w:r w:rsidR="0083342A" w:rsidRPr="00376529">
              <w:rPr>
                <w:rFonts w:ascii="Segoe UI" w:hAnsi="Segoe UI" w:cs="Segoe UI"/>
                <w:sz w:val="22"/>
                <w:szCs w:val="22"/>
              </w:rPr>
              <w:t xml:space="preserve"> the opportunity</w:t>
            </w:r>
            <w:r w:rsidR="00D47B99" w:rsidRPr="00376529">
              <w:rPr>
                <w:rFonts w:ascii="Segoe UI" w:hAnsi="Segoe UI" w:cs="Segoe UI"/>
                <w:sz w:val="22"/>
                <w:szCs w:val="22"/>
              </w:rPr>
              <w:t xml:space="preserve"> </w:t>
            </w:r>
            <w:r w:rsidR="0083342A" w:rsidRPr="00376529">
              <w:rPr>
                <w:rFonts w:ascii="Segoe UI" w:hAnsi="Segoe UI" w:cs="Segoe UI"/>
                <w:sz w:val="22"/>
                <w:szCs w:val="22"/>
              </w:rPr>
              <w:t xml:space="preserve">to undertake a proactive, </w:t>
            </w:r>
            <w:proofErr w:type="gramStart"/>
            <w:r w:rsidR="0083342A" w:rsidRPr="00376529">
              <w:rPr>
                <w:rFonts w:ascii="Segoe UI" w:hAnsi="Segoe UI" w:cs="Segoe UI"/>
                <w:sz w:val="22"/>
                <w:szCs w:val="22"/>
              </w:rPr>
              <w:t>robust</w:t>
            </w:r>
            <w:proofErr w:type="gramEnd"/>
            <w:r w:rsidR="0083342A" w:rsidRPr="00376529">
              <w:rPr>
                <w:rFonts w:ascii="Segoe UI" w:hAnsi="Segoe UI" w:cs="Segoe UI"/>
                <w:sz w:val="22"/>
                <w:szCs w:val="22"/>
              </w:rPr>
              <w:t xml:space="preserve"> and fulsome EIA of </w:t>
            </w:r>
            <w:r w:rsidR="00C06369" w:rsidRPr="00376529">
              <w:rPr>
                <w:rFonts w:ascii="Segoe UI" w:hAnsi="Segoe UI" w:cs="Segoe UI"/>
                <w:sz w:val="22"/>
                <w:szCs w:val="22"/>
              </w:rPr>
              <w:t xml:space="preserve">any </w:t>
            </w:r>
            <w:r w:rsidR="0083342A" w:rsidRPr="00376529">
              <w:rPr>
                <w:rFonts w:ascii="Segoe UI" w:hAnsi="Segoe UI" w:cs="Segoe UI"/>
                <w:sz w:val="22"/>
                <w:szCs w:val="22"/>
              </w:rPr>
              <w:t>future</w:t>
            </w:r>
            <w:r w:rsidR="00C06369" w:rsidRPr="00376529">
              <w:rPr>
                <w:rFonts w:ascii="Segoe UI" w:hAnsi="Segoe UI" w:cs="Segoe UI"/>
                <w:sz w:val="22"/>
                <w:szCs w:val="22"/>
              </w:rPr>
              <w:t xml:space="preserve"> </w:t>
            </w:r>
            <w:r w:rsidR="0083342A" w:rsidRPr="00376529">
              <w:rPr>
                <w:rFonts w:ascii="Segoe UI" w:hAnsi="Segoe UI" w:cs="Segoe UI"/>
                <w:sz w:val="22"/>
                <w:szCs w:val="22"/>
              </w:rPr>
              <w:t>COVID-19 strategy</w:t>
            </w:r>
            <w:r w:rsidR="00C06369" w:rsidRPr="00376529">
              <w:rPr>
                <w:rFonts w:ascii="Segoe UI" w:hAnsi="Segoe UI" w:cs="Segoe UI"/>
                <w:sz w:val="22"/>
                <w:szCs w:val="22"/>
              </w:rPr>
              <w:t>.</w:t>
            </w:r>
          </w:p>
        </w:tc>
        <w:tc>
          <w:tcPr>
            <w:tcW w:w="1276" w:type="dxa"/>
            <w:tcBorders>
              <w:top w:val="single" w:sz="2" w:space="0" w:color="auto"/>
              <w:bottom w:val="single" w:sz="2" w:space="0" w:color="auto"/>
            </w:tcBorders>
          </w:tcPr>
          <w:p w14:paraId="6361B4B8" w14:textId="18FFB8DF" w:rsidR="006D1A20" w:rsidRPr="00376529" w:rsidRDefault="00427B58" w:rsidP="008C00A2">
            <w:pPr>
              <w:pStyle w:val="TableText"/>
              <w:jc w:val="center"/>
              <w:rPr>
                <w:rFonts w:ascii="Segoe UI" w:hAnsi="Segoe UI" w:cs="Segoe UI"/>
                <w:sz w:val="22"/>
                <w:szCs w:val="22"/>
              </w:rPr>
            </w:pPr>
            <w:r w:rsidRPr="00376529">
              <w:rPr>
                <w:rFonts w:ascii="Segoe UI" w:hAnsi="Segoe UI" w:cs="Segoe UI"/>
                <w:sz w:val="22"/>
                <w:szCs w:val="22"/>
              </w:rPr>
              <w:t>Yes/No</w:t>
            </w:r>
          </w:p>
        </w:tc>
      </w:tr>
      <w:tr w:rsidR="00E3049F" w:rsidRPr="00376529" w14:paraId="5831765A" w14:textId="77777777" w:rsidTr="00761049">
        <w:trPr>
          <w:cantSplit/>
        </w:trPr>
        <w:tc>
          <w:tcPr>
            <w:tcW w:w="451" w:type="dxa"/>
            <w:tcBorders>
              <w:top w:val="single" w:sz="2" w:space="0" w:color="auto"/>
              <w:bottom w:val="single" w:sz="2" w:space="0" w:color="auto"/>
            </w:tcBorders>
          </w:tcPr>
          <w:p w14:paraId="3D1554E8" w14:textId="587EEF97" w:rsidR="00E3049F" w:rsidRPr="00376529" w:rsidRDefault="009D43C1" w:rsidP="008C00A2">
            <w:pPr>
              <w:pStyle w:val="TableText"/>
              <w:rPr>
                <w:rFonts w:ascii="Segoe UI" w:hAnsi="Segoe UI" w:cs="Segoe UI"/>
                <w:sz w:val="22"/>
                <w:szCs w:val="22"/>
              </w:rPr>
            </w:pPr>
            <w:r w:rsidRPr="00376529">
              <w:rPr>
                <w:rFonts w:ascii="Segoe UI" w:hAnsi="Segoe UI" w:cs="Segoe UI"/>
                <w:sz w:val="22"/>
                <w:szCs w:val="22"/>
              </w:rPr>
              <w:t>5</w:t>
            </w:r>
            <w:r w:rsidR="004C6584" w:rsidRPr="00376529">
              <w:rPr>
                <w:rFonts w:ascii="Segoe UI" w:hAnsi="Segoe UI" w:cs="Segoe UI"/>
                <w:sz w:val="22"/>
                <w:szCs w:val="22"/>
              </w:rPr>
              <w:t xml:space="preserve">. </w:t>
            </w:r>
          </w:p>
        </w:tc>
        <w:tc>
          <w:tcPr>
            <w:tcW w:w="1284" w:type="dxa"/>
            <w:tcBorders>
              <w:top w:val="single" w:sz="2" w:space="0" w:color="auto"/>
              <w:bottom w:val="single" w:sz="2" w:space="0" w:color="auto"/>
              <w:right w:val="nil"/>
            </w:tcBorders>
          </w:tcPr>
          <w:p w14:paraId="76672B1C" w14:textId="3136D6C6" w:rsidR="00E3049F" w:rsidRPr="00376529" w:rsidRDefault="00E3049F" w:rsidP="008C00A2">
            <w:pPr>
              <w:pStyle w:val="TableText"/>
              <w:rPr>
                <w:rFonts w:ascii="Segoe UI" w:hAnsi="Segoe UI" w:cs="Segoe UI"/>
                <w:b/>
                <w:bCs/>
                <w:sz w:val="22"/>
                <w:szCs w:val="22"/>
              </w:rPr>
            </w:pPr>
            <w:r w:rsidRPr="00376529">
              <w:rPr>
                <w:rFonts w:ascii="Segoe UI" w:hAnsi="Segoe UI" w:cs="Segoe UI"/>
                <w:b/>
                <w:bCs/>
                <w:sz w:val="22"/>
                <w:szCs w:val="22"/>
              </w:rPr>
              <w:t>Note</w:t>
            </w:r>
          </w:p>
        </w:tc>
        <w:tc>
          <w:tcPr>
            <w:tcW w:w="6662" w:type="dxa"/>
            <w:tcBorders>
              <w:top w:val="single" w:sz="2" w:space="0" w:color="auto"/>
              <w:left w:val="nil"/>
              <w:bottom w:val="single" w:sz="2" w:space="0" w:color="auto"/>
            </w:tcBorders>
          </w:tcPr>
          <w:p w14:paraId="6EEDC169" w14:textId="4FC6E544" w:rsidR="00E3049F" w:rsidRPr="00376529" w:rsidRDefault="00E3049F" w:rsidP="008C00A2">
            <w:pPr>
              <w:pStyle w:val="TableText"/>
              <w:rPr>
                <w:rFonts w:ascii="Segoe UI" w:hAnsi="Segoe UI" w:cs="Segoe UI"/>
                <w:sz w:val="22"/>
                <w:szCs w:val="22"/>
              </w:rPr>
            </w:pPr>
            <w:r w:rsidRPr="00376529">
              <w:rPr>
                <w:rFonts w:ascii="Segoe UI" w:hAnsi="Segoe UI" w:cs="Segoe UI"/>
                <w:sz w:val="22"/>
                <w:szCs w:val="22"/>
              </w:rPr>
              <w:t>A</w:t>
            </w:r>
            <w:r w:rsidR="00814279" w:rsidRPr="00376529">
              <w:rPr>
                <w:rFonts w:ascii="Segoe UI" w:hAnsi="Segoe UI" w:cs="Segoe UI"/>
                <w:sz w:val="22"/>
                <w:szCs w:val="22"/>
              </w:rPr>
              <w:t xml:space="preserve"> copy of this report will be provided to the groups consulted within the</w:t>
            </w:r>
            <w:r w:rsidR="00636030" w:rsidRPr="00376529">
              <w:rPr>
                <w:rFonts w:ascii="Segoe UI" w:hAnsi="Segoe UI" w:cs="Segoe UI"/>
                <w:sz w:val="22"/>
                <w:szCs w:val="22"/>
              </w:rPr>
              <w:t xml:space="preserve"> undertaking of the</w:t>
            </w:r>
            <w:r w:rsidR="00814279" w:rsidRPr="00376529">
              <w:rPr>
                <w:rFonts w:ascii="Segoe UI" w:hAnsi="Segoe UI" w:cs="Segoe UI"/>
                <w:sz w:val="22"/>
                <w:szCs w:val="22"/>
              </w:rPr>
              <w:t xml:space="preserve"> EIA.</w:t>
            </w:r>
          </w:p>
        </w:tc>
        <w:tc>
          <w:tcPr>
            <w:tcW w:w="1276" w:type="dxa"/>
            <w:tcBorders>
              <w:top w:val="single" w:sz="2" w:space="0" w:color="auto"/>
              <w:bottom w:val="single" w:sz="2" w:space="0" w:color="auto"/>
            </w:tcBorders>
          </w:tcPr>
          <w:p w14:paraId="3221DD3F" w14:textId="72793261" w:rsidR="00E3049F" w:rsidRPr="00376529" w:rsidRDefault="00814279" w:rsidP="008C00A2">
            <w:pPr>
              <w:pStyle w:val="TableText"/>
              <w:jc w:val="center"/>
              <w:rPr>
                <w:rFonts w:ascii="Segoe UI" w:hAnsi="Segoe UI" w:cs="Segoe UI"/>
                <w:sz w:val="22"/>
                <w:szCs w:val="22"/>
              </w:rPr>
            </w:pPr>
            <w:r w:rsidRPr="00376529">
              <w:rPr>
                <w:rFonts w:ascii="Segoe UI" w:hAnsi="Segoe UI" w:cs="Segoe UI"/>
                <w:sz w:val="22"/>
                <w:szCs w:val="22"/>
              </w:rPr>
              <w:t>Yes/No</w:t>
            </w:r>
          </w:p>
        </w:tc>
      </w:tr>
      <w:tr w:rsidR="00761049" w:rsidRPr="00376529" w14:paraId="472B0015" w14:textId="77777777" w:rsidTr="00363FE8">
        <w:trPr>
          <w:cantSplit/>
        </w:trPr>
        <w:tc>
          <w:tcPr>
            <w:tcW w:w="451" w:type="dxa"/>
            <w:tcBorders>
              <w:top w:val="single" w:sz="2" w:space="0" w:color="auto"/>
              <w:bottom w:val="single" w:sz="12" w:space="0" w:color="auto"/>
            </w:tcBorders>
          </w:tcPr>
          <w:p w14:paraId="48276640" w14:textId="422EAA34" w:rsidR="00761049" w:rsidRPr="00376529" w:rsidRDefault="009D43C1" w:rsidP="008C00A2">
            <w:pPr>
              <w:pStyle w:val="TableText"/>
              <w:rPr>
                <w:rFonts w:ascii="Segoe UI" w:hAnsi="Segoe UI" w:cs="Segoe UI"/>
                <w:sz w:val="22"/>
                <w:szCs w:val="22"/>
              </w:rPr>
            </w:pPr>
            <w:r w:rsidRPr="00376529">
              <w:rPr>
                <w:rFonts w:ascii="Segoe UI" w:hAnsi="Segoe UI" w:cs="Segoe UI"/>
                <w:sz w:val="22"/>
                <w:szCs w:val="22"/>
              </w:rPr>
              <w:t>6</w:t>
            </w:r>
            <w:r w:rsidR="00AE2489" w:rsidRPr="00376529">
              <w:rPr>
                <w:rFonts w:ascii="Segoe UI" w:hAnsi="Segoe UI" w:cs="Segoe UI"/>
                <w:sz w:val="22"/>
                <w:szCs w:val="22"/>
              </w:rPr>
              <w:t>.</w:t>
            </w:r>
          </w:p>
        </w:tc>
        <w:tc>
          <w:tcPr>
            <w:tcW w:w="1284" w:type="dxa"/>
            <w:tcBorders>
              <w:top w:val="single" w:sz="2" w:space="0" w:color="auto"/>
              <w:bottom w:val="single" w:sz="12" w:space="0" w:color="auto"/>
              <w:right w:val="nil"/>
            </w:tcBorders>
          </w:tcPr>
          <w:p w14:paraId="2A8A8562" w14:textId="62948151" w:rsidR="00761049" w:rsidRPr="00376529" w:rsidRDefault="00F24134" w:rsidP="008C00A2">
            <w:pPr>
              <w:pStyle w:val="TableText"/>
              <w:rPr>
                <w:rFonts w:ascii="Segoe UI" w:hAnsi="Segoe UI" w:cs="Segoe UI"/>
                <w:b/>
                <w:bCs/>
                <w:sz w:val="22"/>
                <w:szCs w:val="22"/>
              </w:rPr>
            </w:pPr>
            <w:r w:rsidRPr="00376529">
              <w:rPr>
                <w:rFonts w:ascii="Segoe UI" w:hAnsi="Segoe UI" w:cs="Segoe UI"/>
                <w:b/>
                <w:bCs/>
                <w:sz w:val="22"/>
                <w:szCs w:val="22"/>
              </w:rPr>
              <w:t>Agree</w:t>
            </w:r>
          </w:p>
        </w:tc>
        <w:tc>
          <w:tcPr>
            <w:tcW w:w="6662" w:type="dxa"/>
            <w:tcBorders>
              <w:top w:val="single" w:sz="2" w:space="0" w:color="auto"/>
              <w:left w:val="nil"/>
              <w:bottom w:val="single" w:sz="12" w:space="0" w:color="auto"/>
            </w:tcBorders>
          </w:tcPr>
          <w:p w14:paraId="1F2BDC2B" w14:textId="27F4829B" w:rsidR="00761049" w:rsidRPr="00376529" w:rsidRDefault="00761049" w:rsidP="008C00A2">
            <w:pPr>
              <w:pStyle w:val="TableText"/>
              <w:rPr>
                <w:rFonts w:ascii="Segoe UI" w:hAnsi="Segoe UI" w:cs="Segoe UI"/>
                <w:sz w:val="22"/>
                <w:szCs w:val="22"/>
              </w:rPr>
            </w:pPr>
            <w:r w:rsidRPr="00376529">
              <w:rPr>
                <w:rFonts w:ascii="Segoe UI" w:hAnsi="Segoe UI" w:cs="Segoe UI"/>
                <w:sz w:val="22"/>
                <w:szCs w:val="22"/>
              </w:rPr>
              <w:t xml:space="preserve">To </w:t>
            </w:r>
            <w:r w:rsidR="00DD7F51" w:rsidRPr="00376529">
              <w:rPr>
                <w:rFonts w:ascii="Segoe UI" w:hAnsi="Segoe UI" w:cs="Segoe UI"/>
                <w:sz w:val="22"/>
                <w:szCs w:val="22"/>
              </w:rPr>
              <w:t>publicly release this</w:t>
            </w:r>
            <w:r w:rsidR="00F24134" w:rsidRPr="00376529">
              <w:rPr>
                <w:rFonts w:ascii="Segoe UI" w:hAnsi="Segoe UI" w:cs="Segoe UI"/>
                <w:sz w:val="22"/>
                <w:szCs w:val="22"/>
              </w:rPr>
              <w:t xml:space="preserve"> report</w:t>
            </w:r>
            <w:r w:rsidR="00B778D3" w:rsidRPr="00376529">
              <w:rPr>
                <w:rFonts w:ascii="Segoe UI" w:hAnsi="Segoe UI" w:cs="Segoe UI"/>
                <w:sz w:val="22"/>
                <w:szCs w:val="22"/>
              </w:rPr>
              <w:t xml:space="preserve"> on the Ministry of Health website.</w:t>
            </w:r>
          </w:p>
        </w:tc>
        <w:tc>
          <w:tcPr>
            <w:tcW w:w="1276" w:type="dxa"/>
            <w:tcBorders>
              <w:top w:val="single" w:sz="2" w:space="0" w:color="auto"/>
              <w:bottom w:val="single" w:sz="12" w:space="0" w:color="auto"/>
            </w:tcBorders>
          </w:tcPr>
          <w:p w14:paraId="70AA0FBF" w14:textId="6E8ACF39" w:rsidR="00761049" w:rsidRPr="00376529" w:rsidRDefault="00427B58" w:rsidP="008C00A2">
            <w:pPr>
              <w:pStyle w:val="TableText"/>
              <w:jc w:val="center"/>
              <w:rPr>
                <w:rFonts w:ascii="Segoe UI" w:hAnsi="Segoe UI" w:cs="Segoe UI"/>
                <w:sz w:val="22"/>
                <w:szCs w:val="22"/>
              </w:rPr>
            </w:pPr>
            <w:r w:rsidRPr="00376529">
              <w:rPr>
                <w:rFonts w:ascii="Segoe UI" w:hAnsi="Segoe UI" w:cs="Segoe UI"/>
                <w:sz w:val="22"/>
                <w:szCs w:val="22"/>
              </w:rPr>
              <w:t>Yes/No</w:t>
            </w:r>
          </w:p>
        </w:tc>
      </w:tr>
    </w:tbl>
    <w:p w14:paraId="5A8A1210" w14:textId="77777777" w:rsidR="008C00A2" w:rsidRPr="00376529" w:rsidRDefault="008C00A2" w:rsidP="00002337">
      <w:pPr>
        <w:rPr>
          <w:rFonts w:ascii="Segoe UI" w:hAnsi="Segoe UI" w:cs="Segoe UI"/>
          <w:sz w:val="22"/>
          <w:szCs w:val="22"/>
        </w:rPr>
      </w:pPr>
    </w:p>
    <w:p w14:paraId="7DE3DCC1" w14:textId="68B02AE5" w:rsidR="001F0700" w:rsidRPr="00376529" w:rsidRDefault="001F0700" w:rsidP="00002337">
      <w:pPr>
        <w:tabs>
          <w:tab w:val="right" w:leader="underscore" w:pos="5670"/>
          <w:tab w:val="left" w:pos="6237"/>
        </w:tabs>
        <w:spacing w:before="240"/>
        <w:rPr>
          <w:rFonts w:ascii="Segoe UI" w:hAnsi="Segoe UI" w:cs="Segoe UI"/>
          <w:sz w:val="22"/>
          <w:szCs w:val="22"/>
        </w:rPr>
      </w:pPr>
    </w:p>
    <w:p w14:paraId="496A7B0B" w14:textId="14FF2566" w:rsidR="00427B58" w:rsidRPr="00376529" w:rsidRDefault="00427B58" w:rsidP="00002337">
      <w:pPr>
        <w:tabs>
          <w:tab w:val="right" w:leader="underscore" w:pos="5670"/>
          <w:tab w:val="left" w:pos="6237"/>
        </w:tabs>
        <w:spacing w:before="240"/>
        <w:rPr>
          <w:rFonts w:ascii="Segoe UI" w:hAnsi="Segoe UI" w:cs="Segoe UI"/>
          <w:sz w:val="22"/>
          <w:szCs w:val="22"/>
        </w:rPr>
      </w:pPr>
    </w:p>
    <w:p w14:paraId="1E92DC3C" w14:textId="4978221B" w:rsidR="00427B58" w:rsidRPr="00376529" w:rsidRDefault="00427B58" w:rsidP="00002337">
      <w:pPr>
        <w:tabs>
          <w:tab w:val="right" w:leader="underscore" w:pos="5670"/>
          <w:tab w:val="left" w:pos="6237"/>
        </w:tabs>
        <w:spacing w:before="240"/>
        <w:rPr>
          <w:rFonts w:ascii="Segoe UI" w:hAnsi="Segoe UI" w:cs="Segoe UI"/>
          <w:sz w:val="22"/>
          <w:szCs w:val="22"/>
        </w:rPr>
      </w:pPr>
    </w:p>
    <w:p w14:paraId="2998DC5D" w14:textId="77777777" w:rsidR="00002337" w:rsidRPr="00376529" w:rsidRDefault="00002337" w:rsidP="00002337">
      <w:pPr>
        <w:tabs>
          <w:tab w:val="right" w:leader="underscore" w:pos="5670"/>
          <w:tab w:val="left" w:pos="6237"/>
        </w:tabs>
        <w:spacing w:before="240"/>
        <w:rPr>
          <w:rFonts w:ascii="Segoe UI" w:hAnsi="Segoe UI" w:cs="Segoe UI"/>
          <w:sz w:val="22"/>
          <w:szCs w:val="22"/>
        </w:rPr>
      </w:pPr>
      <w:r w:rsidRPr="00376529">
        <w:rPr>
          <w:rFonts w:ascii="Segoe UI" w:hAnsi="Segoe UI" w:cs="Segoe UI"/>
          <w:sz w:val="22"/>
          <w:szCs w:val="22"/>
        </w:rPr>
        <w:t>Signature</w:t>
      </w:r>
      <w:r w:rsidRPr="00376529">
        <w:rPr>
          <w:rFonts w:ascii="Segoe UI" w:hAnsi="Segoe UI" w:cs="Segoe UI"/>
          <w:sz w:val="22"/>
          <w:szCs w:val="22"/>
        </w:rPr>
        <w:tab/>
      </w:r>
      <w:r w:rsidRPr="00376529">
        <w:rPr>
          <w:rFonts w:ascii="Segoe UI" w:hAnsi="Segoe UI" w:cs="Segoe UI"/>
          <w:sz w:val="22"/>
          <w:szCs w:val="22"/>
        </w:rPr>
        <w:tab/>
        <w:t>Date:</w:t>
      </w:r>
    </w:p>
    <w:p w14:paraId="684AA630" w14:textId="001E4D55" w:rsidR="00002337" w:rsidRPr="00376529" w:rsidRDefault="00BA15FC" w:rsidP="00002337">
      <w:pPr>
        <w:tabs>
          <w:tab w:val="right" w:leader="underscore" w:pos="5670"/>
          <w:tab w:val="left" w:pos="6237"/>
        </w:tabs>
        <w:rPr>
          <w:rFonts w:ascii="Segoe UI" w:hAnsi="Segoe UI" w:cs="Segoe UI"/>
          <w:sz w:val="22"/>
          <w:szCs w:val="22"/>
        </w:rPr>
      </w:pPr>
      <w:r w:rsidRPr="00376529">
        <w:rPr>
          <w:rFonts w:ascii="Segoe UI" w:hAnsi="Segoe UI" w:cs="Segoe UI"/>
          <w:sz w:val="22"/>
          <w:szCs w:val="22"/>
        </w:rPr>
        <w:t xml:space="preserve">Dr Ashley Bloomfield </w:t>
      </w:r>
    </w:p>
    <w:p w14:paraId="12D66771" w14:textId="22C6E34E" w:rsidR="00002337" w:rsidRPr="00376529" w:rsidRDefault="00BA15FC" w:rsidP="00002337">
      <w:pPr>
        <w:tabs>
          <w:tab w:val="right" w:leader="underscore" w:pos="5670"/>
          <w:tab w:val="left" w:pos="6237"/>
        </w:tabs>
        <w:rPr>
          <w:rFonts w:ascii="Segoe UI" w:hAnsi="Segoe UI" w:cs="Segoe UI"/>
          <w:b/>
          <w:bCs/>
          <w:sz w:val="22"/>
          <w:szCs w:val="22"/>
        </w:rPr>
      </w:pPr>
      <w:r w:rsidRPr="00376529">
        <w:rPr>
          <w:rFonts w:ascii="Segoe UI" w:hAnsi="Segoe UI" w:cs="Segoe UI"/>
          <w:b/>
          <w:bCs/>
          <w:sz w:val="22"/>
          <w:szCs w:val="22"/>
        </w:rPr>
        <w:t>Director-General of Health</w:t>
      </w:r>
    </w:p>
    <w:p w14:paraId="464B1206" w14:textId="77777777" w:rsidR="00002337" w:rsidRPr="00376529" w:rsidRDefault="00002337" w:rsidP="00002337">
      <w:pPr>
        <w:tabs>
          <w:tab w:val="right" w:leader="underscore" w:pos="5670"/>
          <w:tab w:val="left" w:pos="6237"/>
        </w:tabs>
        <w:rPr>
          <w:rFonts w:ascii="Segoe UI" w:hAnsi="Segoe UI" w:cs="Segoe UI"/>
          <w:sz w:val="22"/>
          <w:szCs w:val="22"/>
        </w:rPr>
      </w:pPr>
    </w:p>
    <w:p w14:paraId="5722782B" w14:textId="430AE6CD" w:rsidR="001434CE" w:rsidRPr="00376529" w:rsidRDefault="001434CE">
      <w:pPr>
        <w:rPr>
          <w:rFonts w:ascii="Segoe UI" w:hAnsi="Segoe UI" w:cs="Segoe UI"/>
          <w:b/>
          <w:bCs/>
          <w:sz w:val="22"/>
          <w:szCs w:val="22"/>
        </w:rPr>
      </w:pPr>
    </w:p>
    <w:p w14:paraId="3A1818B1" w14:textId="10FCC9B5" w:rsidR="00BA15FC" w:rsidRPr="00376529" w:rsidRDefault="00BA15FC">
      <w:pPr>
        <w:rPr>
          <w:b/>
          <w:bCs/>
        </w:rPr>
      </w:pPr>
    </w:p>
    <w:p w14:paraId="7EF03217" w14:textId="14451A8C" w:rsidR="00B85651" w:rsidRPr="00376529" w:rsidRDefault="001434CE" w:rsidP="00704555">
      <w:pPr>
        <w:tabs>
          <w:tab w:val="right" w:leader="underscore" w:pos="5670"/>
          <w:tab w:val="left" w:pos="6237"/>
        </w:tabs>
        <w:rPr>
          <w:b/>
          <w:bCs/>
        </w:rPr>
      </w:pPr>
      <w:r w:rsidRPr="00376529">
        <w:rPr>
          <w:b/>
          <w:bCs/>
        </w:rPr>
        <w:t>Appendix 1</w:t>
      </w:r>
      <w:r w:rsidR="004E4ADC" w:rsidRPr="00376529">
        <w:rPr>
          <w:b/>
          <w:bCs/>
        </w:rPr>
        <w:t xml:space="preserve">: </w:t>
      </w:r>
      <w:r w:rsidR="008E683D" w:rsidRPr="00376529">
        <w:rPr>
          <w:b/>
          <w:bCs/>
        </w:rPr>
        <w:t xml:space="preserve">List or organisations who attended hui </w:t>
      </w:r>
    </w:p>
    <w:p w14:paraId="680C3FC8" w14:textId="77777777" w:rsidR="00704555" w:rsidRPr="00376529" w:rsidRDefault="00704555" w:rsidP="00704555">
      <w:pPr>
        <w:tabs>
          <w:tab w:val="right" w:leader="underscore" w:pos="5670"/>
          <w:tab w:val="left" w:pos="6237"/>
        </w:tabs>
        <w:rPr>
          <w:b/>
          <w:bCs/>
          <w:lang w:val="mi-NZ"/>
        </w:rPr>
      </w:pPr>
    </w:p>
    <w:tbl>
      <w:tblPr>
        <w:tblStyle w:val="TableGrid"/>
        <w:tblW w:w="9918" w:type="dxa"/>
        <w:tblLook w:val="04A0" w:firstRow="1" w:lastRow="0" w:firstColumn="1" w:lastColumn="0" w:noHBand="0" w:noVBand="1"/>
      </w:tblPr>
      <w:tblGrid>
        <w:gridCol w:w="1279"/>
        <w:gridCol w:w="3612"/>
        <w:gridCol w:w="5027"/>
      </w:tblGrid>
      <w:tr w:rsidR="00B85651" w:rsidRPr="00376529" w14:paraId="000C460E" w14:textId="77777777" w:rsidTr="00E02580">
        <w:tc>
          <w:tcPr>
            <w:tcW w:w="1279" w:type="dxa"/>
          </w:tcPr>
          <w:p w14:paraId="5FBE8794" w14:textId="77777777" w:rsidR="00B85651" w:rsidRPr="00376529" w:rsidRDefault="00B85651" w:rsidP="008E683D">
            <w:pPr>
              <w:pStyle w:val="TableText"/>
              <w:rPr>
                <w:rFonts w:ascii="Segoe UI" w:hAnsi="Segoe UI" w:cs="Segoe UI"/>
                <w:b/>
                <w:bCs/>
                <w:sz w:val="22"/>
                <w:szCs w:val="22"/>
              </w:rPr>
            </w:pPr>
            <w:r w:rsidRPr="00376529">
              <w:rPr>
                <w:rFonts w:ascii="Segoe UI" w:hAnsi="Segoe UI" w:cs="Segoe UI"/>
                <w:b/>
                <w:bCs/>
                <w:sz w:val="22"/>
                <w:szCs w:val="22"/>
              </w:rPr>
              <w:t>Date</w:t>
            </w:r>
          </w:p>
        </w:tc>
        <w:tc>
          <w:tcPr>
            <w:tcW w:w="3612" w:type="dxa"/>
          </w:tcPr>
          <w:p w14:paraId="2B6426D6" w14:textId="77777777" w:rsidR="00B85651" w:rsidRPr="00376529" w:rsidRDefault="00B85651" w:rsidP="008E683D">
            <w:pPr>
              <w:pStyle w:val="TableText"/>
              <w:rPr>
                <w:rFonts w:ascii="Segoe UI" w:hAnsi="Segoe UI" w:cs="Segoe UI"/>
                <w:b/>
                <w:bCs/>
                <w:sz w:val="22"/>
                <w:szCs w:val="22"/>
              </w:rPr>
            </w:pPr>
            <w:r w:rsidRPr="00376529">
              <w:rPr>
                <w:rFonts w:ascii="Segoe UI" w:hAnsi="Segoe UI" w:cs="Segoe UI"/>
                <w:b/>
                <w:bCs/>
                <w:sz w:val="22"/>
                <w:szCs w:val="22"/>
              </w:rPr>
              <w:t>Hui</w:t>
            </w:r>
          </w:p>
        </w:tc>
        <w:tc>
          <w:tcPr>
            <w:tcW w:w="5027" w:type="dxa"/>
          </w:tcPr>
          <w:p w14:paraId="3C32B310" w14:textId="77777777" w:rsidR="00B85651" w:rsidRPr="00376529" w:rsidRDefault="00B85651" w:rsidP="008E683D">
            <w:pPr>
              <w:pStyle w:val="TableText"/>
              <w:rPr>
                <w:rFonts w:ascii="Segoe UI" w:hAnsi="Segoe UI" w:cs="Segoe UI"/>
                <w:b/>
                <w:bCs/>
                <w:sz w:val="22"/>
                <w:szCs w:val="22"/>
              </w:rPr>
            </w:pPr>
            <w:r w:rsidRPr="00376529">
              <w:rPr>
                <w:rFonts w:ascii="Segoe UI" w:hAnsi="Segoe UI" w:cs="Segoe UI"/>
                <w:b/>
                <w:bCs/>
                <w:sz w:val="22"/>
                <w:szCs w:val="22"/>
              </w:rPr>
              <w:t>Organisations represented</w:t>
            </w:r>
          </w:p>
        </w:tc>
      </w:tr>
      <w:tr w:rsidR="00B85651" w:rsidRPr="00376529" w14:paraId="6A447C38" w14:textId="77777777" w:rsidTr="00E02580">
        <w:tc>
          <w:tcPr>
            <w:tcW w:w="1279" w:type="dxa"/>
            <w:vMerge w:val="restart"/>
          </w:tcPr>
          <w:p w14:paraId="71E8475F"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19 January 2022</w:t>
            </w:r>
          </w:p>
          <w:p w14:paraId="770701DE" w14:textId="77777777" w:rsidR="00B85651" w:rsidRPr="00376529" w:rsidRDefault="00B85651" w:rsidP="008E683D">
            <w:pPr>
              <w:pStyle w:val="TableText"/>
              <w:rPr>
                <w:rFonts w:ascii="Segoe UI" w:hAnsi="Segoe UI" w:cs="Segoe UI"/>
                <w:sz w:val="22"/>
                <w:szCs w:val="22"/>
              </w:rPr>
            </w:pPr>
          </w:p>
        </w:tc>
        <w:tc>
          <w:tcPr>
            <w:tcW w:w="3612" w:type="dxa"/>
          </w:tcPr>
          <w:p w14:paraId="62DFA0F3"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Ministry of Health PHU Meeting</w:t>
            </w:r>
          </w:p>
        </w:tc>
        <w:tc>
          <w:tcPr>
            <w:tcW w:w="5027" w:type="dxa"/>
          </w:tcPr>
          <w:p w14:paraId="382E7B7F"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All 12 PHUs</w:t>
            </w:r>
          </w:p>
        </w:tc>
      </w:tr>
      <w:tr w:rsidR="00B85651" w:rsidRPr="00376529" w14:paraId="58DA3796" w14:textId="77777777" w:rsidTr="00E02580">
        <w:tc>
          <w:tcPr>
            <w:tcW w:w="1279" w:type="dxa"/>
            <w:vMerge/>
          </w:tcPr>
          <w:p w14:paraId="605E5C50" w14:textId="77777777" w:rsidR="00B85651" w:rsidRPr="00376529" w:rsidRDefault="00B85651" w:rsidP="008E683D">
            <w:pPr>
              <w:pStyle w:val="TableText"/>
              <w:rPr>
                <w:rFonts w:ascii="Segoe UI" w:hAnsi="Segoe UI" w:cs="Segoe UI"/>
                <w:sz w:val="22"/>
                <w:szCs w:val="22"/>
              </w:rPr>
            </w:pPr>
          </w:p>
        </w:tc>
        <w:tc>
          <w:tcPr>
            <w:tcW w:w="3612" w:type="dxa"/>
          </w:tcPr>
          <w:p w14:paraId="1F085F74" w14:textId="77777777" w:rsidR="00B85651" w:rsidRPr="00376529" w:rsidRDefault="00B85651" w:rsidP="008E683D">
            <w:pPr>
              <w:pStyle w:val="TableText"/>
              <w:rPr>
                <w:rFonts w:ascii="Segoe UI" w:hAnsi="Segoe UI" w:cs="Segoe UI"/>
                <w:sz w:val="22"/>
                <w:szCs w:val="22"/>
              </w:rPr>
            </w:pPr>
            <w:proofErr w:type="spellStart"/>
            <w:r w:rsidRPr="00376529">
              <w:rPr>
                <w:rFonts w:ascii="Segoe UI" w:hAnsi="Segoe UI" w:cs="Segoe UI"/>
                <w:sz w:val="22"/>
                <w:szCs w:val="22"/>
              </w:rPr>
              <w:t>Te</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Rūnanga</w:t>
            </w:r>
            <w:proofErr w:type="spellEnd"/>
            <w:r w:rsidRPr="00376529">
              <w:rPr>
                <w:rFonts w:ascii="Segoe UI" w:hAnsi="Segoe UI" w:cs="Segoe UI"/>
                <w:sz w:val="22"/>
                <w:szCs w:val="22"/>
              </w:rPr>
              <w:t xml:space="preserve"> o Aotearoa </w:t>
            </w:r>
            <w:proofErr w:type="spellStart"/>
            <w:r w:rsidRPr="00376529">
              <w:rPr>
                <w:rFonts w:ascii="Segoe UI" w:hAnsi="Segoe UI" w:cs="Segoe UI"/>
                <w:sz w:val="22"/>
                <w:szCs w:val="22"/>
              </w:rPr>
              <w:t>Poari</w:t>
            </w:r>
            <w:proofErr w:type="spellEnd"/>
          </w:p>
        </w:tc>
        <w:tc>
          <w:tcPr>
            <w:tcW w:w="5027" w:type="dxa"/>
          </w:tcPr>
          <w:p w14:paraId="1F429852"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16 Attendees – Māori Nurses</w:t>
            </w:r>
          </w:p>
        </w:tc>
      </w:tr>
      <w:tr w:rsidR="00B85651" w:rsidRPr="00376529" w14:paraId="6DE23BA6" w14:textId="77777777" w:rsidTr="00E02580">
        <w:tc>
          <w:tcPr>
            <w:tcW w:w="1279" w:type="dxa"/>
            <w:vMerge/>
          </w:tcPr>
          <w:p w14:paraId="46935F5E" w14:textId="77777777" w:rsidR="00B85651" w:rsidRPr="00376529" w:rsidRDefault="00B85651" w:rsidP="008E683D">
            <w:pPr>
              <w:pStyle w:val="TableText"/>
              <w:rPr>
                <w:rFonts w:ascii="Segoe UI" w:hAnsi="Segoe UI" w:cs="Segoe UI"/>
                <w:sz w:val="22"/>
                <w:szCs w:val="22"/>
              </w:rPr>
            </w:pPr>
          </w:p>
        </w:tc>
        <w:tc>
          <w:tcPr>
            <w:tcW w:w="3612" w:type="dxa"/>
          </w:tcPr>
          <w:p w14:paraId="1EBE65E1"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Māori Regional Coordination Hub</w:t>
            </w:r>
          </w:p>
        </w:tc>
        <w:tc>
          <w:tcPr>
            <w:tcW w:w="5027" w:type="dxa"/>
          </w:tcPr>
          <w:p w14:paraId="09571C38"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3 Attendees</w:t>
            </w:r>
          </w:p>
        </w:tc>
      </w:tr>
      <w:tr w:rsidR="00B85651" w:rsidRPr="00376529" w14:paraId="0E61E1D1" w14:textId="77777777" w:rsidTr="00E02580">
        <w:tc>
          <w:tcPr>
            <w:tcW w:w="1279" w:type="dxa"/>
            <w:vMerge/>
          </w:tcPr>
          <w:p w14:paraId="1B174F0F" w14:textId="77777777" w:rsidR="00B85651" w:rsidRPr="00376529" w:rsidRDefault="00B85651" w:rsidP="008E683D">
            <w:pPr>
              <w:pStyle w:val="TableText"/>
              <w:rPr>
                <w:rFonts w:ascii="Segoe UI" w:hAnsi="Segoe UI" w:cs="Segoe UI"/>
                <w:sz w:val="22"/>
                <w:szCs w:val="22"/>
              </w:rPr>
            </w:pPr>
          </w:p>
        </w:tc>
        <w:tc>
          <w:tcPr>
            <w:tcW w:w="3612" w:type="dxa"/>
          </w:tcPr>
          <w:p w14:paraId="6840C0BF"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COVID-19 Equity Oversight Group</w:t>
            </w:r>
          </w:p>
        </w:tc>
        <w:tc>
          <w:tcPr>
            <w:tcW w:w="5027" w:type="dxa"/>
          </w:tcPr>
          <w:p w14:paraId="172F5879"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10 attendees</w:t>
            </w:r>
          </w:p>
        </w:tc>
      </w:tr>
      <w:tr w:rsidR="00B85651" w:rsidRPr="00376529" w14:paraId="3DDDBF52" w14:textId="77777777" w:rsidTr="00E02580">
        <w:tc>
          <w:tcPr>
            <w:tcW w:w="1279" w:type="dxa"/>
            <w:vMerge w:val="restart"/>
          </w:tcPr>
          <w:p w14:paraId="5C20C9D1"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20 January 2022</w:t>
            </w:r>
          </w:p>
          <w:p w14:paraId="70EB4E49"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 xml:space="preserve"> </w:t>
            </w:r>
          </w:p>
        </w:tc>
        <w:tc>
          <w:tcPr>
            <w:tcW w:w="3612" w:type="dxa"/>
          </w:tcPr>
          <w:p w14:paraId="0E272DED"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Māori Monitoring Group</w:t>
            </w:r>
          </w:p>
        </w:tc>
        <w:tc>
          <w:tcPr>
            <w:tcW w:w="5027" w:type="dxa"/>
          </w:tcPr>
          <w:p w14:paraId="101983B0"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Written minutes</w:t>
            </w:r>
          </w:p>
        </w:tc>
      </w:tr>
      <w:tr w:rsidR="00B85651" w:rsidRPr="00376529" w14:paraId="7D67CD42" w14:textId="77777777" w:rsidTr="00E02580">
        <w:tc>
          <w:tcPr>
            <w:tcW w:w="1279" w:type="dxa"/>
            <w:vMerge/>
          </w:tcPr>
          <w:p w14:paraId="7F017218" w14:textId="77777777" w:rsidR="00B85651" w:rsidRPr="00376529" w:rsidRDefault="00B85651" w:rsidP="008E683D">
            <w:pPr>
              <w:pStyle w:val="TableText"/>
              <w:rPr>
                <w:rFonts w:ascii="Segoe UI" w:hAnsi="Segoe UI" w:cs="Segoe UI"/>
                <w:sz w:val="22"/>
                <w:szCs w:val="22"/>
              </w:rPr>
            </w:pPr>
          </w:p>
        </w:tc>
        <w:tc>
          <w:tcPr>
            <w:tcW w:w="3612" w:type="dxa"/>
          </w:tcPr>
          <w:p w14:paraId="75830398" w14:textId="77777777" w:rsidR="00B85651" w:rsidRPr="00376529" w:rsidRDefault="00B85651" w:rsidP="008E683D">
            <w:pPr>
              <w:pStyle w:val="TableText"/>
              <w:rPr>
                <w:rFonts w:ascii="Segoe UI" w:hAnsi="Segoe UI" w:cs="Segoe UI"/>
                <w:sz w:val="22"/>
                <w:szCs w:val="22"/>
              </w:rPr>
            </w:pPr>
            <w:proofErr w:type="spellStart"/>
            <w:r w:rsidRPr="00376529">
              <w:rPr>
                <w:rFonts w:ascii="Segoe UI" w:hAnsi="Segoe UI" w:cs="Segoe UI"/>
                <w:sz w:val="22"/>
                <w:szCs w:val="22"/>
              </w:rPr>
              <w:t>Ngāti</w:t>
            </w:r>
            <w:proofErr w:type="spellEnd"/>
            <w:r w:rsidRPr="00376529">
              <w:rPr>
                <w:rFonts w:ascii="Segoe UI" w:hAnsi="Segoe UI" w:cs="Segoe UI"/>
                <w:sz w:val="22"/>
                <w:szCs w:val="22"/>
              </w:rPr>
              <w:t xml:space="preserve"> Hine Health – Mahi </w:t>
            </w:r>
            <w:proofErr w:type="spellStart"/>
            <w:r w:rsidRPr="00376529">
              <w:rPr>
                <w:rFonts w:ascii="Segoe UI" w:hAnsi="Segoe UI" w:cs="Segoe UI"/>
                <w:sz w:val="22"/>
                <w:szCs w:val="22"/>
              </w:rPr>
              <w:t>Tahi</w:t>
            </w:r>
            <w:proofErr w:type="spellEnd"/>
            <w:r w:rsidRPr="00376529">
              <w:rPr>
                <w:rFonts w:ascii="Segoe UI" w:hAnsi="Segoe UI" w:cs="Segoe UI"/>
                <w:sz w:val="22"/>
                <w:szCs w:val="22"/>
              </w:rPr>
              <w:t xml:space="preserve"> </w:t>
            </w:r>
          </w:p>
        </w:tc>
        <w:tc>
          <w:tcPr>
            <w:tcW w:w="5027" w:type="dxa"/>
          </w:tcPr>
          <w:p w14:paraId="3E2DC83E"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4 attendees</w:t>
            </w:r>
          </w:p>
        </w:tc>
      </w:tr>
      <w:tr w:rsidR="00B85651" w:rsidRPr="00376529" w14:paraId="20223663" w14:textId="77777777" w:rsidTr="00E02580">
        <w:tc>
          <w:tcPr>
            <w:tcW w:w="1279" w:type="dxa"/>
            <w:vMerge w:val="restart"/>
          </w:tcPr>
          <w:p w14:paraId="123A5BE9"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21 January 2022</w:t>
            </w:r>
          </w:p>
          <w:p w14:paraId="63E4A1BB" w14:textId="77777777" w:rsidR="00B85651" w:rsidRPr="00376529" w:rsidRDefault="00B85651" w:rsidP="008E683D">
            <w:pPr>
              <w:pStyle w:val="TableText"/>
              <w:rPr>
                <w:rFonts w:ascii="Segoe UI" w:hAnsi="Segoe UI" w:cs="Segoe UI"/>
                <w:sz w:val="22"/>
                <w:szCs w:val="22"/>
              </w:rPr>
            </w:pPr>
          </w:p>
        </w:tc>
        <w:tc>
          <w:tcPr>
            <w:tcW w:w="3612" w:type="dxa"/>
          </w:tcPr>
          <w:p w14:paraId="551D6397" w14:textId="77777777" w:rsidR="00B85651" w:rsidRPr="00376529" w:rsidRDefault="00B85651" w:rsidP="008E683D">
            <w:pPr>
              <w:pStyle w:val="TableText"/>
              <w:rPr>
                <w:rFonts w:ascii="Segoe UI" w:hAnsi="Segoe UI" w:cs="Segoe UI"/>
                <w:sz w:val="22"/>
                <w:szCs w:val="22"/>
              </w:rPr>
            </w:pPr>
            <w:proofErr w:type="spellStart"/>
            <w:r w:rsidRPr="00376529">
              <w:rPr>
                <w:rFonts w:ascii="Segoe UI" w:hAnsi="Segoe UI" w:cs="Segoe UI"/>
                <w:sz w:val="22"/>
                <w:szCs w:val="22"/>
              </w:rPr>
              <w:t>Te</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Kōtuku</w:t>
            </w:r>
            <w:proofErr w:type="spellEnd"/>
            <w:r w:rsidRPr="00376529">
              <w:rPr>
                <w:rFonts w:ascii="Segoe UI" w:hAnsi="Segoe UI" w:cs="Segoe UI"/>
                <w:sz w:val="22"/>
                <w:szCs w:val="22"/>
              </w:rPr>
              <w:t xml:space="preserve"> e </w:t>
            </w:r>
            <w:proofErr w:type="spellStart"/>
            <w:r w:rsidRPr="00376529">
              <w:rPr>
                <w:rFonts w:ascii="Segoe UI" w:hAnsi="Segoe UI" w:cs="Segoe UI"/>
                <w:sz w:val="22"/>
                <w:szCs w:val="22"/>
              </w:rPr>
              <w:t>Rere</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MoH</w:t>
            </w:r>
            <w:proofErr w:type="spellEnd"/>
            <w:r w:rsidRPr="00376529">
              <w:rPr>
                <w:rFonts w:ascii="Segoe UI" w:hAnsi="Segoe UI" w:cs="Segoe UI"/>
                <w:sz w:val="22"/>
                <w:szCs w:val="22"/>
              </w:rPr>
              <w:t xml:space="preserve"> Lived Experience Group  </w:t>
            </w:r>
          </w:p>
        </w:tc>
        <w:tc>
          <w:tcPr>
            <w:tcW w:w="5027" w:type="dxa"/>
          </w:tcPr>
          <w:p w14:paraId="63827DD5"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6 attendees</w:t>
            </w:r>
          </w:p>
        </w:tc>
      </w:tr>
      <w:tr w:rsidR="00B85651" w:rsidRPr="00376529" w14:paraId="125045A4" w14:textId="77777777" w:rsidTr="00E02580">
        <w:tc>
          <w:tcPr>
            <w:tcW w:w="1279" w:type="dxa"/>
            <w:vMerge/>
          </w:tcPr>
          <w:p w14:paraId="5B8D3DEB" w14:textId="77777777" w:rsidR="00B85651" w:rsidRPr="00376529" w:rsidRDefault="00B85651" w:rsidP="008E683D">
            <w:pPr>
              <w:pStyle w:val="TableText"/>
              <w:rPr>
                <w:rFonts w:ascii="Segoe UI" w:hAnsi="Segoe UI" w:cs="Segoe UI"/>
                <w:sz w:val="22"/>
                <w:szCs w:val="22"/>
              </w:rPr>
            </w:pPr>
          </w:p>
        </w:tc>
        <w:tc>
          <w:tcPr>
            <w:tcW w:w="3612" w:type="dxa"/>
          </w:tcPr>
          <w:p w14:paraId="548D44ED"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Pacific Technical Advisory Group</w:t>
            </w:r>
          </w:p>
        </w:tc>
        <w:tc>
          <w:tcPr>
            <w:tcW w:w="5027" w:type="dxa"/>
          </w:tcPr>
          <w:p w14:paraId="4A9A08CC"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8 attendees</w:t>
            </w:r>
          </w:p>
        </w:tc>
      </w:tr>
      <w:tr w:rsidR="00B85651" w:rsidRPr="00376529" w14:paraId="26A44D7A" w14:textId="77777777" w:rsidTr="00E02580">
        <w:tc>
          <w:tcPr>
            <w:tcW w:w="1279" w:type="dxa"/>
            <w:vMerge w:val="restart"/>
          </w:tcPr>
          <w:p w14:paraId="2C8C5BA7"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26 January 2022</w:t>
            </w:r>
          </w:p>
          <w:p w14:paraId="1FA4DC8D" w14:textId="77777777" w:rsidR="00B85651" w:rsidRPr="00376529" w:rsidRDefault="00B85651" w:rsidP="008E683D">
            <w:pPr>
              <w:pStyle w:val="TableText"/>
              <w:rPr>
                <w:rFonts w:ascii="Segoe UI" w:hAnsi="Segoe UI" w:cs="Segoe UI"/>
                <w:sz w:val="22"/>
                <w:szCs w:val="22"/>
              </w:rPr>
            </w:pPr>
          </w:p>
        </w:tc>
        <w:tc>
          <w:tcPr>
            <w:tcW w:w="3612" w:type="dxa"/>
          </w:tcPr>
          <w:p w14:paraId="12ADE09F"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Mental Health &amp; Addiction Hui-</w:t>
            </w:r>
            <w:proofErr w:type="spellStart"/>
            <w:r w:rsidRPr="00376529">
              <w:rPr>
                <w:rFonts w:ascii="Segoe UI" w:hAnsi="Segoe UI" w:cs="Segoe UI"/>
                <w:sz w:val="22"/>
                <w:szCs w:val="22"/>
              </w:rPr>
              <w:t>Whakakotahi</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rōpū</w:t>
            </w:r>
            <w:proofErr w:type="spellEnd"/>
            <w:r w:rsidRPr="00376529">
              <w:rPr>
                <w:rFonts w:ascii="Segoe UI" w:hAnsi="Segoe UI" w:cs="Segoe UI"/>
                <w:sz w:val="22"/>
                <w:szCs w:val="22"/>
              </w:rPr>
              <w:t xml:space="preserve">-Sector representatives </w:t>
            </w:r>
          </w:p>
        </w:tc>
        <w:tc>
          <w:tcPr>
            <w:tcW w:w="5027" w:type="dxa"/>
          </w:tcPr>
          <w:p w14:paraId="338EED9C"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18 attendees</w:t>
            </w:r>
          </w:p>
          <w:p w14:paraId="0D3E35D8"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 xml:space="preserve">Mental Health Directorate, Asian Family Services, </w:t>
            </w:r>
            <w:proofErr w:type="spellStart"/>
            <w:r w:rsidRPr="00376529">
              <w:rPr>
                <w:rFonts w:ascii="Segoe UI" w:hAnsi="Segoe UI" w:cs="Segoe UI"/>
                <w:sz w:val="22"/>
                <w:szCs w:val="22"/>
              </w:rPr>
              <w:t>Te</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Pou</w:t>
            </w:r>
            <w:proofErr w:type="spellEnd"/>
            <w:r w:rsidRPr="00376529">
              <w:rPr>
                <w:rFonts w:ascii="Segoe UI" w:hAnsi="Segoe UI" w:cs="Segoe UI"/>
                <w:sz w:val="22"/>
                <w:szCs w:val="22"/>
              </w:rPr>
              <w:t xml:space="preserve">, Balance Aotearoa, CAMHS Waitemata DHB, Salvation Army Bridge, </w:t>
            </w:r>
            <w:proofErr w:type="spellStart"/>
            <w:r w:rsidRPr="00376529">
              <w:rPr>
                <w:rFonts w:ascii="Segoe UI" w:hAnsi="Segoe UI" w:cs="Segoe UI"/>
                <w:sz w:val="22"/>
                <w:szCs w:val="22"/>
              </w:rPr>
              <w:t>Whāraurau</w:t>
            </w:r>
            <w:proofErr w:type="spellEnd"/>
            <w:r w:rsidRPr="00376529">
              <w:rPr>
                <w:rFonts w:ascii="Segoe UI" w:hAnsi="Segoe UI" w:cs="Segoe UI"/>
                <w:sz w:val="22"/>
                <w:szCs w:val="22"/>
              </w:rPr>
              <w:t xml:space="preserve"> Youth Service, Changing Minds, National Needle Exchange, Emerge Aotearoa, Yellow Brick Road, Te Rau Ora</w:t>
            </w:r>
          </w:p>
        </w:tc>
      </w:tr>
      <w:tr w:rsidR="00B85651" w:rsidRPr="00376529" w14:paraId="6D3DFA54" w14:textId="77777777" w:rsidTr="00E02580">
        <w:tc>
          <w:tcPr>
            <w:tcW w:w="1279" w:type="dxa"/>
            <w:vMerge/>
          </w:tcPr>
          <w:p w14:paraId="083D0908" w14:textId="77777777" w:rsidR="00B85651" w:rsidRPr="00376529" w:rsidRDefault="00B85651" w:rsidP="008E683D">
            <w:pPr>
              <w:pStyle w:val="TableText"/>
              <w:rPr>
                <w:rFonts w:ascii="Segoe UI" w:hAnsi="Segoe UI" w:cs="Segoe UI"/>
                <w:sz w:val="22"/>
                <w:szCs w:val="22"/>
              </w:rPr>
            </w:pPr>
          </w:p>
        </w:tc>
        <w:tc>
          <w:tcPr>
            <w:tcW w:w="3612" w:type="dxa"/>
          </w:tcPr>
          <w:p w14:paraId="289024DD"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 xml:space="preserve">Mental health and Addictions-Lived experience group </w:t>
            </w:r>
          </w:p>
        </w:tc>
        <w:tc>
          <w:tcPr>
            <w:tcW w:w="5027" w:type="dxa"/>
            <w:shd w:val="clear" w:color="auto" w:fill="auto"/>
          </w:tcPr>
          <w:p w14:paraId="3CE30B86"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17 attendees (</w:t>
            </w:r>
            <w:proofErr w:type="spellStart"/>
            <w:r w:rsidRPr="00376529">
              <w:rPr>
                <w:rFonts w:ascii="Segoe UI" w:hAnsi="Segoe UI" w:cs="Segoe UI"/>
                <w:sz w:val="22"/>
                <w:szCs w:val="22"/>
              </w:rPr>
              <w:t>approx</w:t>
            </w:r>
            <w:proofErr w:type="spellEnd"/>
            <w:r w:rsidRPr="00376529">
              <w:rPr>
                <w:rFonts w:ascii="Segoe UI" w:hAnsi="Segoe UI" w:cs="Segoe UI"/>
                <w:sz w:val="22"/>
                <w:szCs w:val="22"/>
              </w:rPr>
              <w:t>)</w:t>
            </w:r>
          </w:p>
        </w:tc>
      </w:tr>
      <w:tr w:rsidR="00B85651" w:rsidRPr="00376529" w14:paraId="014CE125" w14:textId="77777777" w:rsidTr="00E02580">
        <w:tc>
          <w:tcPr>
            <w:tcW w:w="1279" w:type="dxa"/>
            <w:vMerge/>
          </w:tcPr>
          <w:p w14:paraId="7DB962DF" w14:textId="77777777" w:rsidR="00B85651" w:rsidRPr="00376529" w:rsidRDefault="00B85651" w:rsidP="008E683D">
            <w:pPr>
              <w:pStyle w:val="TableText"/>
              <w:rPr>
                <w:rFonts w:ascii="Segoe UI" w:hAnsi="Segoe UI" w:cs="Segoe UI"/>
                <w:sz w:val="22"/>
                <w:szCs w:val="22"/>
              </w:rPr>
            </w:pPr>
          </w:p>
        </w:tc>
        <w:tc>
          <w:tcPr>
            <w:tcW w:w="3612" w:type="dxa"/>
          </w:tcPr>
          <w:p w14:paraId="4C12F6AD"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 xml:space="preserve">Leadership group-Mental health and Addictions- </w:t>
            </w:r>
            <w:proofErr w:type="spellStart"/>
            <w:r w:rsidRPr="00376529">
              <w:rPr>
                <w:rFonts w:ascii="Segoe UI" w:hAnsi="Segoe UI" w:cs="Segoe UI"/>
                <w:sz w:val="22"/>
                <w:szCs w:val="22"/>
              </w:rPr>
              <w:t>Matanga</w:t>
            </w:r>
            <w:proofErr w:type="spellEnd"/>
            <w:r w:rsidRPr="00376529">
              <w:rPr>
                <w:rFonts w:ascii="Segoe UI" w:hAnsi="Segoe UI" w:cs="Segoe UI"/>
                <w:sz w:val="22"/>
                <w:szCs w:val="22"/>
              </w:rPr>
              <w:t xml:space="preserve"> Mauri Ora </w:t>
            </w:r>
            <w:proofErr w:type="spellStart"/>
            <w:r w:rsidRPr="00376529">
              <w:rPr>
                <w:rFonts w:ascii="Segoe UI" w:hAnsi="Segoe UI" w:cs="Segoe UI"/>
                <w:sz w:val="22"/>
                <w:szCs w:val="22"/>
              </w:rPr>
              <w:t>roopu</w:t>
            </w:r>
            <w:proofErr w:type="spellEnd"/>
            <w:r w:rsidRPr="00376529">
              <w:rPr>
                <w:rFonts w:ascii="Segoe UI" w:hAnsi="Segoe UI" w:cs="Segoe UI"/>
                <w:sz w:val="22"/>
                <w:szCs w:val="22"/>
              </w:rPr>
              <w:t xml:space="preserve"> (MHAD) </w:t>
            </w:r>
          </w:p>
        </w:tc>
        <w:tc>
          <w:tcPr>
            <w:tcW w:w="5027" w:type="dxa"/>
          </w:tcPr>
          <w:p w14:paraId="0E8E39D2"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9 attendees (</w:t>
            </w:r>
            <w:proofErr w:type="spellStart"/>
            <w:r w:rsidRPr="00376529">
              <w:rPr>
                <w:rFonts w:ascii="Segoe UI" w:hAnsi="Segoe UI" w:cs="Segoe UI"/>
                <w:sz w:val="22"/>
                <w:szCs w:val="22"/>
              </w:rPr>
              <w:t>approx</w:t>
            </w:r>
            <w:proofErr w:type="spellEnd"/>
            <w:r w:rsidRPr="00376529">
              <w:rPr>
                <w:rFonts w:ascii="Segoe UI" w:hAnsi="Segoe UI" w:cs="Segoe UI"/>
                <w:sz w:val="22"/>
                <w:szCs w:val="22"/>
              </w:rPr>
              <w:t>)</w:t>
            </w:r>
          </w:p>
        </w:tc>
      </w:tr>
      <w:tr w:rsidR="00B85651" w:rsidRPr="00376529" w14:paraId="1BE58BA5" w14:textId="77777777" w:rsidTr="00E02580">
        <w:tc>
          <w:tcPr>
            <w:tcW w:w="1279" w:type="dxa"/>
            <w:vMerge/>
          </w:tcPr>
          <w:p w14:paraId="7D65F03A" w14:textId="77777777" w:rsidR="00B85651" w:rsidRPr="00376529" w:rsidRDefault="00B85651" w:rsidP="008E683D">
            <w:pPr>
              <w:pStyle w:val="TableText"/>
              <w:rPr>
                <w:rFonts w:ascii="Segoe UI" w:hAnsi="Segoe UI" w:cs="Segoe UI"/>
                <w:sz w:val="22"/>
                <w:szCs w:val="22"/>
              </w:rPr>
            </w:pPr>
          </w:p>
        </w:tc>
        <w:tc>
          <w:tcPr>
            <w:tcW w:w="3612" w:type="dxa"/>
          </w:tcPr>
          <w:p w14:paraId="4ABDCC38" w14:textId="77777777" w:rsidR="00B85651" w:rsidRPr="00376529" w:rsidRDefault="00B85651" w:rsidP="008E683D">
            <w:pPr>
              <w:pStyle w:val="TableText"/>
              <w:rPr>
                <w:rFonts w:ascii="Segoe UI" w:hAnsi="Segoe UI" w:cs="Segoe UI"/>
                <w:sz w:val="22"/>
                <w:szCs w:val="22"/>
              </w:rPr>
            </w:pPr>
            <w:proofErr w:type="spellStart"/>
            <w:r w:rsidRPr="00376529">
              <w:rPr>
                <w:rFonts w:ascii="Segoe UI" w:hAnsi="Segoe UI" w:cs="Segoe UI"/>
                <w:sz w:val="22"/>
                <w:szCs w:val="22"/>
              </w:rPr>
              <w:t>Te</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Rūnanga</w:t>
            </w:r>
            <w:proofErr w:type="spellEnd"/>
            <w:r w:rsidRPr="00376529">
              <w:rPr>
                <w:rFonts w:ascii="Segoe UI" w:hAnsi="Segoe UI" w:cs="Segoe UI"/>
                <w:sz w:val="22"/>
                <w:szCs w:val="22"/>
              </w:rPr>
              <w:t xml:space="preserve"> o Aotearoa </w:t>
            </w:r>
            <w:proofErr w:type="spellStart"/>
            <w:r w:rsidRPr="00376529">
              <w:rPr>
                <w:rFonts w:ascii="Segoe UI" w:hAnsi="Segoe UI" w:cs="Segoe UI"/>
                <w:sz w:val="22"/>
                <w:szCs w:val="22"/>
              </w:rPr>
              <w:t>Poari</w:t>
            </w:r>
            <w:proofErr w:type="spellEnd"/>
            <w:r w:rsidRPr="00376529">
              <w:rPr>
                <w:rFonts w:ascii="Segoe UI" w:hAnsi="Segoe UI" w:cs="Segoe UI"/>
                <w:sz w:val="22"/>
                <w:szCs w:val="22"/>
              </w:rPr>
              <w:t xml:space="preserve"> (2nd hui) </w:t>
            </w:r>
          </w:p>
        </w:tc>
        <w:tc>
          <w:tcPr>
            <w:tcW w:w="5027" w:type="dxa"/>
          </w:tcPr>
          <w:p w14:paraId="6E505BFB"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6 attendees</w:t>
            </w:r>
          </w:p>
        </w:tc>
      </w:tr>
      <w:tr w:rsidR="00B85651" w:rsidRPr="00376529" w14:paraId="0B1ADCAE" w14:textId="77777777" w:rsidTr="00E02580">
        <w:tc>
          <w:tcPr>
            <w:tcW w:w="1279" w:type="dxa"/>
          </w:tcPr>
          <w:p w14:paraId="502AFC4D"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27 January 2022</w:t>
            </w:r>
          </w:p>
        </w:tc>
        <w:tc>
          <w:tcPr>
            <w:tcW w:w="3612" w:type="dxa"/>
          </w:tcPr>
          <w:p w14:paraId="1C1DFB21" w14:textId="2FB9C6BE" w:rsidR="00B85651" w:rsidRPr="00376529" w:rsidRDefault="00E21872" w:rsidP="008E683D">
            <w:pPr>
              <w:pStyle w:val="TableText"/>
              <w:rPr>
                <w:rFonts w:ascii="Segoe UI" w:hAnsi="Segoe UI" w:cs="Segoe UI"/>
                <w:sz w:val="22"/>
                <w:szCs w:val="22"/>
              </w:rPr>
            </w:pPr>
            <w:proofErr w:type="spellStart"/>
            <w:r w:rsidRPr="00376529">
              <w:rPr>
                <w:rFonts w:ascii="Segoe UI" w:hAnsi="Segoe UI" w:cs="Segoe UI"/>
                <w:sz w:val="22"/>
                <w:szCs w:val="22"/>
              </w:rPr>
              <w:t>Te</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Rōpū</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Waiora</w:t>
            </w:r>
            <w:proofErr w:type="spellEnd"/>
            <w:r w:rsidR="00B85651" w:rsidRPr="00376529">
              <w:rPr>
                <w:rFonts w:ascii="Segoe UI" w:hAnsi="Segoe UI" w:cs="Segoe UI"/>
                <w:sz w:val="22"/>
                <w:szCs w:val="22"/>
              </w:rPr>
              <w:t xml:space="preserve"> (Māori, Pacific and other, disability)</w:t>
            </w:r>
          </w:p>
        </w:tc>
        <w:tc>
          <w:tcPr>
            <w:tcW w:w="5027" w:type="dxa"/>
          </w:tcPr>
          <w:p w14:paraId="4537DCB5" w14:textId="1311E65B"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 xml:space="preserve">22 attendees </w:t>
            </w:r>
            <w:r w:rsidR="00E21872" w:rsidRPr="00376529">
              <w:rPr>
                <w:rFonts w:ascii="Segoe UI" w:hAnsi="Segoe UI" w:cs="Segoe UI"/>
                <w:sz w:val="22"/>
                <w:szCs w:val="22"/>
              </w:rPr>
              <w:t xml:space="preserve">including members of </w:t>
            </w:r>
            <w:proofErr w:type="spellStart"/>
            <w:r w:rsidRPr="00376529">
              <w:rPr>
                <w:rFonts w:ascii="Segoe UI" w:hAnsi="Segoe UI" w:cs="Segoe UI"/>
                <w:sz w:val="22"/>
                <w:szCs w:val="22"/>
              </w:rPr>
              <w:t>Taikura</w:t>
            </w:r>
            <w:proofErr w:type="spellEnd"/>
            <w:r w:rsidRPr="00376529">
              <w:rPr>
                <w:rFonts w:ascii="Segoe UI" w:hAnsi="Segoe UI" w:cs="Segoe UI"/>
                <w:sz w:val="22"/>
                <w:szCs w:val="22"/>
              </w:rPr>
              <w:t xml:space="preserve"> Trust</w:t>
            </w:r>
            <w:r w:rsidR="00E21872" w:rsidRPr="00376529">
              <w:rPr>
                <w:rFonts w:ascii="Segoe UI" w:hAnsi="Segoe UI" w:cs="Segoe UI"/>
                <w:sz w:val="22"/>
                <w:szCs w:val="22"/>
              </w:rPr>
              <w:t>.</w:t>
            </w:r>
            <w:r w:rsidRPr="00376529">
              <w:rPr>
                <w:rFonts w:ascii="Segoe UI" w:hAnsi="Segoe UI" w:cs="Segoe UI"/>
                <w:sz w:val="22"/>
                <w:szCs w:val="22"/>
              </w:rPr>
              <w:t xml:space="preserve"> </w:t>
            </w:r>
          </w:p>
        </w:tc>
      </w:tr>
      <w:tr w:rsidR="00B85651" w:rsidRPr="00376529" w14:paraId="63A7E8BA" w14:textId="77777777" w:rsidTr="00E02580">
        <w:tc>
          <w:tcPr>
            <w:tcW w:w="1279" w:type="dxa"/>
            <w:vMerge w:val="restart"/>
          </w:tcPr>
          <w:p w14:paraId="2090B948"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8 February 2022</w:t>
            </w:r>
          </w:p>
          <w:p w14:paraId="6B20D03A" w14:textId="77777777" w:rsidR="00B85651" w:rsidRPr="00376529" w:rsidRDefault="00B85651" w:rsidP="008E683D">
            <w:pPr>
              <w:pStyle w:val="TableText"/>
              <w:rPr>
                <w:rFonts w:ascii="Segoe UI" w:hAnsi="Segoe UI" w:cs="Segoe UI"/>
                <w:sz w:val="22"/>
                <w:szCs w:val="22"/>
              </w:rPr>
            </w:pPr>
          </w:p>
        </w:tc>
        <w:tc>
          <w:tcPr>
            <w:tcW w:w="3612" w:type="dxa"/>
          </w:tcPr>
          <w:p w14:paraId="64E12F70" w14:textId="008C79E2" w:rsidR="00B85651" w:rsidRPr="00376529" w:rsidRDefault="00B85651" w:rsidP="008E683D">
            <w:pPr>
              <w:pStyle w:val="TableText"/>
              <w:rPr>
                <w:rFonts w:ascii="Segoe UI" w:hAnsi="Segoe UI" w:cs="Segoe UI"/>
                <w:sz w:val="22"/>
                <w:szCs w:val="22"/>
              </w:rPr>
            </w:pPr>
            <w:proofErr w:type="spellStart"/>
            <w:r w:rsidRPr="00376529">
              <w:rPr>
                <w:rFonts w:ascii="Segoe UI" w:hAnsi="Segoe UI" w:cs="Segoe UI"/>
                <w:sz w:val="22"/>
                <w:szCs w:val="22"/>
              </w:rPr>
              <w:t>Te</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Arawa</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Whānau</w:t>
            </w:r>
            <w:proofErr w:type="spellEnd"/>
            <w:r w:rsidRPr="00376529">
              <w:rPr>
                <w:rFonts w:ascii="Segoe UI" w:hAnsi="Segoe UI" w:cs="Segoe UI"/>
                <w:sz w:val="22"/>
                <w:szCs w:val="22"/>
              </w:rPr>
              <w:t xml:space="preserve"> Ora &amp; </w:t>
            </w:r>
            <w:proofErr w:type="spellStart"/>
            <w:r w:rsidRPr="00376529">
              <w:rPr>
                <w:rFonts w:ascii="Segoe UI" w:hAnsi="Segoe UI" w:cs="Segoe UI"/>
                <w:sz w:val="22"/>
                <w:szCs w:val="22"/>
              </w:rPr>
              <w:t>Te</w:t>
            </w:r>
            <w:proofErr w:type="spellEnd"/>
            <w:r w:rsidRPr="00376529">
              <w:rPr>
                <w:rFonts w:ascii="Segoe UI" w:hAnsi="Segoe UI" w:cs="Segoe UI"/>
                <w:sz w:val="22"/>
                <w:szCs w:val="22"/>
              </w:rPr>
              <w:t xml:space="preserve"> </w:t>
            </w:r>
            <w:proofErr w:type="spellStart"/>
            <w:r w:rsidR="00E21872" w:rsidRPr="00376529">
              <w:rPr>
                <w:rFonts w:ascii="Segoe UI" w:hAnsi="Segoe UI" w:cs="Segoe UI"/>
                <w:sz w:val="22"/>
                <w:szCs w:val="22"/>
              </w:rPr>
              <w:t>Ar</w:t>
            </w:r>
            <w:r w:rsidRPr="00376529">
              <w:rPr>
                <w:rFonts w:ascii="Segoe UI" w:hAnsi="Segoe UI" w:cs="Segoe UI"/>
                <w:sz w:val="22"/>
                <w:szCs w:val="22"/>
              </w:rPr>
              <w:t>awa</w:t>
            </w:r>
            <w:proofErr w:type="spellEnd"/>
            <w:r w:rsidRPr="00376529">
              <w:rPr>
                <w:rFonts w:ascii="Segoe UI" w:hAnsi="Segoe UI" w:cs="Segoe UI"/>
                <w:sz w:val="22"/>
                <w:szCs w:val="22"/>
              </w:rPr>
              <w:t xml:space="preserve"> COVID Hub </w:t>
            </w:r>
          </w:p>
        </w:tc>
        <w:tc>
          <w:tcPr>
            <w:tcW w:w="5027" w:type="dxa"/>
          </w:tcPr>
          <w:p w14:paraId="2DE5CAF5"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3 attendees</w:t>
            </w:r>
          </w:p>
        </w:tc>
      </w:tr>
      <w:tr w:rsidR="00B85651" w:rsidRPr="00376529" w14:paraId="1754E63B" w14:textId="77777777" w:rsidTr="00E02580">
        <w:tc>
          <w:tcPr>
            <w:tcW w:w="1279" w:type="dxa"/>
            <w:vMerge/>
          </w:tcPr>
          <w:p w14:paraId="3B980B9A" w14:textId="77777777" w:rsidR="00B85651" w:rsidRPr="00376529" w:rsidRDefault="00B85651" w:rsidP="008E683D">
            <w:pPr>
              <w:pStyle w:val="TableText"/>
              <w:rPr>
                <w:rFonts w:ascii="Segoe UI" w:hAnsi="Segoe UI" w:cs="Segoe UI"/>
                <w:sz w:val="22"/>
                <w:szCs w:val="22"/>
              </w:rPr>
            </w:pPr>
          </w:p>
        </w:tc>
        <w:tc>
          <w:tcPr>
            <w:tcW w:w="3612" w:type="dxa"/>
          </w:tcPr>
          <w:p w14:paraId="5301D93A"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 xml:space="preserve">National Hauora Coalition </w:t>
            </w:r>
          </w:p>
        </w:tc>
        <w:tc>
          <w:tcPr>
            <w:tcW w:w="5027" w:type="dxa"/>
          </w:tcPr>
          <w:p w14:paraId="08F76E73"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8 attendees</w:t>
            </w:r>
          </w:p>
        </w:tc>
      </w:tr>
      <w:tr w:rsidR="00B85651" w:rsidRPr="00376529" w14:paraId="0BAB8F91" w14:textId="77777777" w:rsidTr="00E02580">
        <w:tc>
          <w:tcPr>
            <w:tcW w:w="1279" w:type="dxa"/>
            <w:vMerge/>
          </w:tcPr>
          <w:p w14:paraId="2F111E9B" w14:textId="77777777" w:rsidR="00B85651" w:rsidRPr="00376529" w:rsidRDefault="00B85651" w:rsidP="008E683D">
            <w:pPr>
              <w:pStyle w:val="TableText"/>
              <w:rPr>
                <w:rFonts w:ascii="Segoe UI" w:hAnsi="Segoe UI" w:cs="Segoe UI"/>
                <w:sz w:val="22"/>
                <w:szCs w:val="22"/>
              </w:rPr>
            </w:pPr>
          </w:p>
        </w:tc>
        <w:tc>
          <w:tcPr>
            <w:tcW w:w="3612" w:type="dxa"/>
          </w:tcPr>
          <w:p w14:paraId="3ECFEA7D"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 xml:space="preserve">CEO, Counties Manukau DHB </w:t>
            </w:r>
          </w:p>
        </w:tc>
        <w:tc>
          <w:tcPr>
            <w:tcW w:w="5027" w:type="dxa"/>
          </w:tcPr>
          <w:p w14:paraId="49639081"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 xml:space="preserve">Written feedback </w:t>
            </w:r>
          </w:p>
        </w:tc>
      </w:tr>
      <w:tr w:rsidR="00B85651" w:rsidRPr="00376529" w14:paraId="0B2E75AE" w14:textId="77777777" w:rsidTr="00E02580">
        <w:tc>
          <w:tcPr>
            <w:tcW w:w="1279" w:type="dxa"/>
            <w:vMerge/>
          </w:tcPr>
          <w:p w14:paraId="4FAF53F7" w14:textId="77777777" w:rsidR="00B85651" w:rsidRPr="00376529" w:rsidRDefault="00B85651" w:rsidP="008E683D">
            <w:pPr>
              <w:pStyle w:val="TableText"/>
              <w:rPr>
                <w:rFonts w:ascii="Segoe UI" w:hAnsi="Segoe UI" w:cs="Segoe UI"/>
                <w:sz w:val="22"/>
                <w:szCs w:val="22"/>
              </w:rPr>
            </w:pPr>
          </w:p>
        </w:tc>
        <w:tc>
          <w:tcPr>
            <w:tcW w:w="3612" w:type="dxa"/>
          </w:tcPr>
          <w:p w14:paraId="1434FD9B"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 xml:space="preserve">Mental Health and Addictions Directorate, Northland District Health Board </w:t>
            </w:r>
          </w:p>
        </w:tc>
        <w:tc>
          <w:tcPr>
            <w:tcW w:w="5027" w:type="dxa"/>
          </w:tcPr>
          <w:p w14:paraId="4FF1D2BD"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Written feedback</w:t>
            </w:r>
          </w:p>
        </w:tc>
      </w:tr>
      <w:tr w:rsidR="00B85651" w:rsidRPr="00376529" w14:paraId="3A074C24" w14:textId="77777777" w:rsidTr="00E02580">
        <w:tc>
          <w:tcPr>
            <w:tcW w:w="1279" w:type="dxa"/>
            <w:vMerge/>
          </w:tcPr>
          <w:p w14:paraId="10653F99" w14:textId="77777777" w:rsidR="00B85651" w:rsidRPr="00376529" w:rsidRDefault="00B85651" w:rsidP="008E683D">
            <w:pPr>
              <w:pStyle w:val="TableText"/>
              <w:rPr>
                <w:rFonts w:ascii="Segoe UI" w:hAnsi="Segoe UI" w:cs="Segoe UI"/>
                <w:sz w:val="22"/>
                <w:szCs w:val="22"/>
              </w:rPr>
            </w:pPr>
          </w:p>
        </w:tc>
        <w:tc>
          <w:tcPr>
            <w:tcW w:w="3612" w:type="dxa"/>
          </w:tcPr>
          <w:p w14:paraId="17458A94" w14:textId="77777777" w:rsidR="00B85651" w:rsidRPr="00376529" w:rsidRDefault="00B85651" w:rsidP="008E683D">
            <w:pPr>
              <w:pStyle w:val="TableText"/>
              <w:rPr>
                <w:rFonts w:ascii="Segoe UI" w:hAnsi="Segoe UI" w:cs="Segoe UI"/>
                <w:sz w:val="22"/>
                <w:szCs w:val="22"/>
              </w:rPr>
            </w:pPr>
            <w:proofErr w:type="spellStart"/>
            <w:r w:rsidRPr="00376529">
              <w:rPr>
                <w:rFonts w:ascii="Segoe UI" w:hAnsi="Segoe UI" w:cs="Segoe UI"/>
                <w:sz w:val="22"/>
                <w:szCs w:val="22"/>
              </w:rPr>
              <w:t>Te</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Kōtuku</w:t>
            </w:r>
            <w:proofErr w:type="spellEnd"/>
            <w:r w:rsidRPr="00376529">
              <w:rPr>
                <w:rFonts w:ascii="Segoe UI" w:hAnsi="Segoe UI" w:cs="Segoe UI"/>
                <w:sz w:val="22"/>
                <w:szCs w:val="22"/>
              </w:rPr>
              <w:t xml:space="preserve"> e </w:t>
            </w:r>
            <w:proofErr w:type="spellStart"/>
            <w:r w:rsidRPr="00376529">
              <w:rPr>
                <w:rFonts w:ascii="Segoe UI" w:hAnsi="Segoe UI" w:cs="Segoe UI"/>
                <w:sz w:val="22"/>
                <w:szCs w:val="22"/>
              </w:rPr>
              <w:t>Rere</w:t>
            </w:r>
            <w:proofErr w:type="spellEnd"/>
            <w:r w:rsidRPr="00376529">
              <w:rPr>
                <w:rFonts w:ascii="Segoe UI" w:hAnsi="Segoe UI" w:cs="Segoe UI"/>
                <w:sz w:val="22"/>
                <w:szCs w:val="22"/>
              </w:rPr>
              <w:t xml:space="preserve"> </w:t>
            </w:r>
          </w:p>
        </w:tc>
        <w:tc>
          <w:tcPr>
            <w:tcW w:w="5027" w:type="dxa"/>
          </w:tcPr>
          <w:p w14:paraId="61E219DE"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Written feedback</w:t>
            </w:r>
          </w:p>
        </w:tc>
      </w:tr>
      <w:tr w:rsidR="00B85651" w:rsidRPr="00376529" w14:paraId="50C16B26" w14:textId="77777777" w:rsidTr="00E02580">
        <w:tc>
          <w:tcPr>
            <w:tcW w:w="1279" w:type="dxa"/>
            <w:vMerge/>
          </w:tcPr>
          <w:p w14:paraId="4500C989" w14:textId="77777777" w:rsidR="00B85651" w:rsidRPr="00376529" w:rsidRDefault="00B85651" w:rsidP="008E683D">
            <w:pPr>
              <w:pStyle w:val="TableText"/>
              <w:rPr>
                <w:rFonts w:ascii="Segoe UI" w:hAnsi="Segoe UI" w:cs="Segoe UI"/>
                <w:sz w:val="22"/>
                <w:szCs w:val="22"/>
              </w:rPr>
            </w:pPr>
          </w:p>
        </w:tc>
        <w:tc>
          <w:tcPr>
            <w:tcW w:w="3612" w:type="dxa"/>
          </w:tcPr>
          <w:p w14:paraId="4A40590C" w14:textId="77777777" w:rsidR="00B85651" w:rsidRPr="00376529" w:rsidRDefault="00B85651" w:rsidP="008E683D">
            <w:pPr>
              <w:pStyle w:val="TableText"/>
              <w:rPr>
                <w:rFonts w:ascii="Segoe UI" w:hAnsi="Segoe UI" w:cs="Segoe UI"/>
                <w:sz w:val="22"/>
                <w:szCs w:val="22"/>
              </w:rPr>
            </w:pPr>
            <w:proofErr w:type="spellStart"/>
            <w:r w:rsidRPr="00376529">
              <w:rPr>
                <w:rFonts w:ascii="Segoe UI" w:hAnsi="Segoe UI" w:cs="Segoe UI"/>
                <w:sz w:val="22"/>
                <w:szCs w:val="22"/>
              </w:rPr>
              <w:t>Te</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Upoko</w:t>
            </w:r>
            <w:proofErr w:type="spellEnd"/>
            <w:r w:rsidRPr="00376529">
              <w:rPr>
                <w:rFonts w:ascii="Segoe UI" w:hAnsi="Segoe UI" w:cs="Segoe UI"/>
                <w:sz w:val="22"/>
                <w:szCs w:val="22"/>
              </w:rPr>
              <w:t xml:space="preserve"> o </w:t>
            </w:r>
            <w:proofErr w:type="spellStart"/>
            <w:r w:rsidRPr="00376529">
              <w:rPr>
                <w:rFonts w:ascii="Segoe UI" w:hAnsi="Segoe UI" w:cs="Segoe UI"/>
                <w:sz w:val="22"/>
                <w:szCs w:val="22"/>
              </w:rPr>
              <w:t>te</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Ika</w:t>
            </w:r>
            <w:proofErr w:type="spellEnd"/>
            <w:r w:rsidRPr="00376529">
              <w:rPr>
                <w:rFonts w:ascii="Segoe UI" w:hAnsi="Segoe UI" w:cs="Segoe UI"/>
                <w:sz w:val="22"/>
                <w:szCs w:val="22"/>
              </w:rPr>
              <w:t xml:space="preserve"> a Maui </w:t>
            </w:r>
          </w:p>
        </w:tc>
        <w:tc>
          <w:tcPr>
            <w:tcW w:w="5027" w:type="dxa"/>
          </w:tcPr>
          <w:p w14:paraId="21A4F7C1"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Written feedback</w:t>
            </w:r>
          </w:p>
        </w:tc>
      </w:tr>
      <w:tr w:rsidR="00B85651" w:rsidRPr="00376529" w14:paraId="58DBF186" w14:textId="77777777" w:rsidTr="00E02580">
        <w:tc>
          <w:tcPr>
            <w:tcW w:w="1279" w:type="dxa"/>
            <w:vMerge/>
          </w:tcPr>
          <w:p w14:paraId="273867F3" w14:textId="77777777" w:rsidR="00B85651" w:rsidRPr="00376529" w:rsidRDefault="00B85651" w:rsidP="008E683D">
            <w:pPr>
              <w:pStyle w:val="TableText"/>
              <w:rPr>
                <w:rFonts w:ascii="Segoe UI" w:hAnsi="Segoe UI" w:cs="Segoe UI"/>
                <w:sz w:val="22"/>
                <w:szCs w:val="22"/>
              </w:rPr>
            </w:pPr>
          </w:p>
        </w:tc>
        <w:tc>
          <w:tcPr>
            <w:tcW w:w="3612" w:type="dxa"/>
          </w:tcPr>
          <w:p w14:paraId="39F89245"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 xml:space="preserve">Bhutanese Society of NZ </w:t>
            </w:r>
          </w:p>
        </w:tc>
        <w:tc>
          <w:tcPr>
            <w:tcW w:w="5027" w:type="dxa"/>
          </w:tcPr>
          <w:p w14:paraId="1010355D"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Written feedback</w:t>
            </w:r>
          </w:p>
        </w:tc>
      </w:tr>
      <w:tr w:rsidR="00B85651" w:rsidRPr="00376529" w14:paraId="2BC586B6" w14:textId="77777777" w:rsidTr="00E02580">
        <w:tc>
          <w:tcPr>
            <w:tcW w:w="1279" w:type="dxa"/>
            <w:vMerge/>
          </w:tcPr>
          <w:p w14:paraId="08CD7920" w14:textId="77777777" w:rsidR="00B85651" w:rsidRPr="00376529" w:rsidRDefault="00B85651" w:rsidP="008E683D">
            <w:pPr>
              <w:pStyle w:val="TableText"/>
              <w:rPr>
                <w:rFonts w:ascii="Segoe UI" w:hAnsi="Segoe UI" w:cs="Segoe UI"/>
                <w:sz w:val="22"/>
                <w:szCs w:val="22"/>
              </w:rPr>
            </w:pPr>
          </w:p>
        </w:tc>
        <w:tc>
          <w:tcPr>
            <w:tcW w:w="3612" w:type="dxa"/>
          </w:tcPr>
          <w:p w14:paraId="4DAC7320"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Pacific group feedback to be provided by Gerardine Clifford-Lidstone and Pacific health team</w:t>
            </w:r>
          </w:p>
        </w:tc>
        <w:tc>
          <w:tcPr>
            <w:tcW w:w="5027" w:type="dxa"/>
          </w:tcPr>
          <w:p w14:paraId="6BC97CCC"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Written feedback</w:t>
            </w:r>
          </w:p>
        </w:tc>
      </w:tr>
      <w:tr w:rsidR="00B85651" w:rsidRPr="00376529" w14:paraId="2973BCC7" w14:textId="77777777" w:rsidTr="00E02580">
        <w:tc>
          <w:tcPr>
            <w:tcW w:w="1279" w:type="dxa"/>
            <w:vMerge/>
          </w:tcPr>
          <w:p w14:paraId="53CDBD79" w14:textId="77777777" w:rsidR="00B85651" w:rsidRPr="00376529" w:rsidRDefault="00B85651" w:rsidP="008E683D">
            <w:pPr>
              <w:pStyle w:val="TableText"/>
              <w:rPr>
                <w:rFonts w:ascii="Segoe UI" w:hAnsi="Segoe UI" w:cs="Segoe UI"/>
                <w:sz w:val="22"/>
                <w:szCs w:val="22"/>
              </w:rPr>
            </w:pPr>
          </w:p>
        </w:tc>
        <w:tc>
          <w:tcPr>
            <w:tcW w:w="3612" w:type="dxa"/>
          </w:tcPr>
          <w:p w14:paraId="16EA9E21" w14:textId="77777777" w:rsidR="00B85651" w:rsidRPr="00376529" w:rsidRDefault="00B85651" w:rsidP="008E683D">
            <w:pPr>
              <w:pStyle w:val="TableText"/>
              <w:rPr>
                <w:rFonts w:ascii="Segoe UI" w:hAnsi="Segoe UI" w:cs="Segoe UI"/>
                <w:sz w:val="22"/>
                <w:szCs w:val="22"/>
              </w:rPr>
            </w:pPr>
            <w:proofErr w:type="spellStart"/>
            <w:r w:rsidRPr="00376529">
              <w:rPr>
                <w:rFonts w:ascii="Segoe UI" w:hAnsi="Segoe UI" w:cs="Segoe UI"/>
                <w:sz w:val="22"/>
                <w:szCs w:val="22"/>
              </w:rPr>
              <w:t>Te</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Aho</w:t>
            </w:r>
            <w:proofErr w:type="spellEnd"/>
            <w:r w:rsidRPr="00376529">
              <w:rPr>
                <w:rFonts w:ascii="Segoe UI" w:hAnsi="Segoe UI" w:cs="Segoe UI"/>
                <w:sz w:val="22"/>
                <w:szCs w:val="22"/>
              </w:rPr>
              <w:t xml:space="preserve"> o </w:t>
            </w:r>
            <w:proofErr w:type="spellStart"/>
            <w:r w:rsidRPr="00376529">
              <w:rPr>
                <w:rFonts w:ascii="Segoe UI" w:hAnsi="Segoe UI" w:cs="Segoe UI"/>
                <w:sz w:val="22"/>
                <w:szCs w:val="22"/>
              </w:rPr>
              <w:t>Te</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Kahu</w:t>
            </w:r>
            <w:proofErr w:type="spellEnd"/>
            <w:r w:rsidRPr="00376529">
              <w:rPr>
                <w:rFonts w:ascii="Segoe UI" w:hAnsi="Segoe UI" w:cs="Segoe UI"/>
                <w:sz w:val="22"/>
                <w:szCs w:val="22"/>
              </w:rPr>
              <w:t>/Cancer Control Agency</w:t>
            </w:r>
          </w:p>
        </w:tc>
        <w:tc>
          <w:tcPr>
            <w:tcW w:w="5027" w:type="dxa"/>
          </w:tcPr>
          <w:p w14:paraId="41C1234B"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Written feedback</w:t>
            </w:r>
          </w:p>
        </w:tc>
      </w:tr>
      <w:tr w:rsidR="00B85651" w:rsidRPr="00376529" w14:paraId="1D9787FD" w14:textId="77777777" w:rsidTr="00E02580">
        <w:tc>
          <w:tcPr>
            <w:tcW w:w="1279" w:type="dxa"/>
            <w:vMerge w:val="restart"/>
          </w:tcPr>
          <w:p w14:paraId="581DF18A"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18 February 2022</w:t>
            </w:r>
          </w:p>
          <w:p w14:paraId="0FC80D68" w14:textId="77777777" w:rsidR="00B85651" w:rsidRPr="00376529" w:rsidRDefault="00B85651" w:rsidP="008E683D">
            <w:pPr>
              <w:pStyle w:val="TableText"/>
              <w:rPr>
                <w:rFonts w:ascii="Segoe UI" w:hAnsi="Segoe UI" w:cs="Segoe UI"/>
                <w:sz w:val="22"/>
                <w:szCs w:val="22"/>
              </w:rPr>
            </w:pPr>
          </w:p>
        </w:tc>
        <w:tc>
          <w:tcPr>
            <w:tcW w:w="3612" w:type="dxa"/>
          </w:tcPr>
          <w:p w14:paraId="08B71332" w14:textId="77777777" w:rsidR="00B85651" w:rsidRPr="00376529" w:rsidRDefault="00B85651" w:rsidP="008E683D">
            <w:pPr>
              <w:pStyle w:val="TableText"/>
              <w:rPr>
                <w:rFonts w:ascii="Segoe UI" w:hAnsi="Segoe UI" w:cs="Segoe UI"/>
                <w:sz w:val="22"/>
                <w:szCs w:val="22"/>
              </w:rPr>
            </w:pPr>
            <w:proofErr w:type="spellStart"/>
            <w:r w:rsidRPr="00376529">
              <w:rPr>
                <w:rFonts w:ascii="Segoe UI" w:hAnsi="Segoe UI" w:cs="Segoe UI"/>
                <w:sz w:val="22"/>
                <w:szCs w:val="22"/>
              </w:rPr>
              <w:t>Te</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Arawa</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Whānau</w:t>
            </w:r>
            <w:proofErr w:type="spellEnd"/>
            <w:r w:rsidRPr="00376529">
              <w:rPr>
                <w:rFonts w:ascii="Segoe UI" w:hAnsi="Segoe UI" w:cs="Segoe UI"/>
                <w:sz w:val="22"/>
                <w:szCs w:val="22"/>
              </w:rPr>
              <w:t xml:space="preserve"> Ora</w:t>
            </w:r>
          </w:p>
        </w:tc>
        <w:tc>
          <w:tcPr>
            <w:tcW w:w="5027" w:type="dxa"/>
          </w:tcPr>
          <w:p w14:paraId="7268126B"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6 attendees</w:t>
            </w:r>
          </w:p>
        </w:tc>
      </w:tr>
      <w:tr w:rsidR="00B85651" w:rsidRPr="00376529" w14:paraId="276FD3CE" w14:textId="77777777" w:rsidTr="00E02580">
        <w:tc>
          <w:tcPr>
            <w:tcW w:w="1279" w:type="dxa"/>
            <w:vMerge/>
          </w:tcPr>
          <w:p w14:paraId="5948A4CA" w14:textId="77777777" w:rsidR="00B85651" w:rsidRPr="00376529" w:rsidRDefault="00B85651" w:rsidP="008E683D">
            <w:pPr>
              <w:pStyle w:val="TableText"/>
              <w:rPr>
                <w:rFonts w:ascii="Segoe UI" w:hAnsi="Segoe UI" w:cs="Segoe UI"/>
                <w:sz w:val="22"/>
                <w:szCs w:val="22"/>
              </w:rPr>
            </w:pPr>
          </w:p>
        </w:tc>
        <w:tc>
          <w:tcPr>
            <w:tcW w:w="3612" w:type="dxa"/>
          </w:tcPr>
          <w:p w14:paraId="52E6B5D8"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Toi Te Ora</w:t>
            </w:r>
          </w:p>
        </w:tc>
        <w:tc>
          <w:tcPr>
            <w:tcW w:w="5027" w:type="dxa"/>
          </w:tcPr>
          <w:p w14:paraId="77DAFED9"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30+ attendees</w:t>
            </w:r>
          </w:p>
        </w:tc>
      </w:tr>
      <w:tr w:rsidR="00B85651" w:rsidRPr="008E683D" w14:paraId="126C1E39" w14:textId="77777777" w:rsidTr="00E02580">
        <w:tc>
          <w:tcPr>
            <w:tcW w:w="1279" w:type="dxa"/>
          </w:tcPr>
          <w:p w14:paraId="081D3AD0" w14:textId="77777777" w:rsidR="00B85651" w:rsidRPr="00376529" w:rsidRDefault="00B85651" w:rsidP="008E683D">
            <w:pPr>
              <w:pStyle w:val="TableText"/>
              <w:rPr>
                <w:rFonts w:ascii="Segoe UI" w:hAnsi="Segoe UI" w:cs="Segoe UI"/>
                <w:sz w:val="22"/>
                <w:szCs w:val="22"/>
              </w:rPr>
            </w:pPr>
            <w:r w:rsidRPr="00376529">
              <w:rPr>
                <w:rFonts w:ascii="Segoe UI" w:hAnsi="Segoe UI" w:cs="Segoe UI"/>
                <w:sz w:val="22"/>
                <w:szCs w:val="22"/>
              </w:rPr>
              <w:t>24 February 2022</w:t>
            </w:r>
          </w:p>
        </w:tc>
        <w:tc>
          <w:tcPr>
            <w:tcW w:w="3612" w:type="dxa"/>
          </w:tcPr>
          <w:p w14:paraId="64660125" w14:textId="77777777" w:rsidR="00B85651" w:rsidRPr="00376529" w:rsidRDefault="00B85651" w:rsidP="008E683D">
            <w:pPr>
              <w:pStyle w:val="TableText"/>
              <w:rPr>
                <w:rFonts w:ascii="Segoe UI" w:hAnsi="Segoe UI" w:cs="Segoe UI"/>
                <w:sz w:val="22"/>
                <w:szCs w:val="22"/>
              </w:rPr>
            </w:pPr>
            <w:proofErr w:type="spellStart"/>
            <w:r w:rsidRPr="00376529">
              <w:rPr>
                <w:rFonts w:ascii="Segoe UI" w:hAnsi="Segoe UI" w:cs="Segoe UI"/>
                <w:sz w:val="22"/>
                <w:szCs w:val="22"/>
              </w:rPr>
              <w:t>Waiariki</w:t>
            </w:r>
            <w:proofErr w:type="spellEnd"/>
            <w:r w:rsidRPr="00376529">
              <w:rPr>
                <w:rFonts w:ascii="Segoe UI" w:hAnsi="Segoe UI" w:cs="Segoe UI"/>
                <w:sz w:val="22"/>
                <w:szCs w:val="22"/>
              </w:rPr>
              <w:t xml:space="preserve"> </w:t>
            </w:r>
            <w:proofErr w:type="spellStart"/>
            <w:r w:rsidRPr="00376529">
              <w:rPr>
                <w:rFonts w:ascii="Segoe UI" w:hAnsi="Segoe UI" w:cs="Segoe UI"/>
                <w:sz w:val="22"/>
                <w:szCs w:val="22"/>
              </w:rPr>
              <w:t>Whānau</w:t>
            </w:r>
            <w:proofErr w:type="spellEnd"/>
            <w:r w:rsidRPr="00376529">
              <w:rPr>
                <w:rFonts w:ascii="Segoe UI" w:hAnsi="Segoe UI" w:cs="Segoe UI"/>
                <w:sz w:val="22"/>
                <w:szCs w:val="22"/>
              </w:rPr>
              <w:t xml:space="preserve"> Mentoring (gang outreach)</w:t>
            </w:r>
          </w:p>
        </w:tc>
        <w:tc>
          <w:tcPr>
            <w:tcW w:w="5027" w:type="dxa"/>
          </w:tcPr>
          <w:p w14:paraId="3846E280" w14:textId="77777777" w:rsidR="00B85651" w:rsidRPr="008E683D" w:rsidRDefault="00B85651" w:rsidP="008E683D">
            <w:pPr>
              <w:pStyle w:val="TableText"/>
              <w:rPr>
                <w:rFonts w:ascii="Segoe UI" w:hAnsi="Segoe UI" w:cs="Segoe UI"/>
                <w:sz w:val="22"/>
                <w:szCs w:val="22"/>
              </w:rPr>
            </w:pPr>
            <w:r w:rsidRPr="00376529">
              <w:rPr>
                <w:rFonts w:ascii="Segoe UI" w:hAnsi="Segoe UI" w:cs="Segoe UI"/>
                <w:sz w:val="22"/>
                <w:szCs w:val="22"/>
              </w:rPr>
              <w:t>3 attendees</w:t>
            </w:r>
          </w:p>
        </w:tc>
      </w:tr>
    </w:tbl>
    <w:p w14:paraId="58D01C64" w14:textId="77777777" w:rsidR="00B85651" w:rsidRPr="009320DF" w:rsidRDefault="00B85651" w:rsidP="00B85651">
      <w:pPr>
        <w:rPr>
          <w:rFonts w:ascii="Times New Roman" w:hAnsi="Times New Roman" w:cs="Times New Roman"/>
        </w:rPr>
      </w:pPr>
    </w:p>
    <w:p w14:paraId="5174A4BC" w14:textId="5A85CDAB" w:rsidR="00E71359" w:rsidRDefault="00E71359" w:rsidP="00002337">
      <w:pPr>
        <w:tabs>
          <w:tab w:val="right" w:leader="underscore" w:pos="5670"/>
          <w:tab w:val="left" w:pos="6237"/>
        </w:tabs>
        <w:rPr>
          <w:rFonts w:ascii="Segoe UI" w:hAnsi="Segoe UI" w:cs="Segoe UI"/>
          <w:b/>
          <w:bCs/>
          <w:sz w:val="22"/>
          <w:szCs w:val="22"/>
        </w:rPr>
      </w:pPr>
    </w:p>
    <w:p w14:paraId="48A0C3D6" w14:textId="338902A9" w:rsidR="00B85651" w:rsidRPr="00363FE8" w:rsidRDefault="00B85651" w:rsidP="00DA5051">
      <w:pPr>
        <w:rPr>
          <w:rFonts w:ascii="Segoe UI" w:hAnsi="Segoe UI" w:cs="Segoe UI"/>
          <w:b/>
          <w:bCs/>
          <w:sz w:val="22"/>
          <w:szCs w:val="22"/>
        </w:rPr>
      </w:pPr>
    </w:p>
    <w:sectPr w:rsidR="00B85651" w:rsidRPr="00363FE8" w:rsidSect="00006665">
      <w:headerReference w:type="default" r:id="rId11"/>
      <w:footerReference w:type="even" r:id="rId12"/>
      <w:footerReference w:type="default" r:id="rId13"/>
      <w:pgSz w:w="11907" w:h="16840" w:code="9"/>
      <w:pgMar w:top="567" w:right="992" w:bottom="992" w:left="992" w:header="56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12CB0" w14:textId="77777777" w:rsidR="005C24F1" w:rsidRDefault="005C24F1">
      <w:r>
        <w:separator/>
      </w:r>
    </w:p>
  </w:endnote>
  <w:endnote w:type="continuationSeparator" w:id="0">
    <w:p w14:paraId="5B026BB0" w14:textId="77777777" w:rsidR="005C24F1" w:rsidRDefault="005C24F1">
      <w:r>
        <w:continuationSeparator/>
      </w:r>
    </w:p>
  </w:endnote>
  <w:endnote w:type="continuationNotice" w:id="1">
    <w:p w14:paraId="611275F1" w14:textId="77777777" w:rsidR="005C24F1" w:rsidRDefault="005C2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4A550" w14:textId="77777777" w:rsidR="007A7C6A" w:rsidRDefault="007A7C6A" w:rsidP="00324B4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836C128" w14:textId="77777777" w:rsidR="007A7C6A" w:rsidRDefault="007A7C6A" w:rsidP="00324B4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FBC15" w14:textId="77777777" w:rsidR="007A7C6A" w:rsidRPr="00363FE8" w:rsidRDefault="007A7C6A" w:rsidP="00324B4C">
    <w:pPr>
      <w:pStyle w:val="Footer"/>
      <w:rPr>
        <w:rFonts w:ascii="Segoe UI" w:hAnsi="Segoe UI" w:cs="Segoe UI"/>
      </w:rPr>
    </w:pPr>
    <w:r w:rsidRPr="00363FE8">
      <w:rPr>
        <w:rFonts w:ascii="Segoe UI" w:hAnsi="Segoe UI" w:cs="Segoe UI"/>
      </w:rPr>
      <w:t xml:space="preserve">Page </w:t>
    </w:r>
    <w:r w:rsidRPr="00363FE8">
      <w:rPr>
        <w:rFonts w:ascii="Segoe UI" w:hAnsi="Segoe UI" w:cs="Segoe UI"/>
      </w:rPr>
      <w:fldChar w:fldCharType="begin"/>
    </w:r>
    <w:r w:rsidRPr="00363FE8">
      <w:rPr>
        <w:rFonts w:ascii="Segoe UI" w:hAnsi="Segoe UI" w:cs="Segoe UI"/>
      </w:rPr>
      <w:instrText xml:space="preserve"> PAGE </w:instrText>
    </w:r>
    <w:r w:rsidRPr="00363FE8">
      <w:rPr>
        <w:rFonts w:ascii="Segoe UI" w:hAnsi="Segoe UI" w:cs="Segoe UI"/>
      </w:rPr>
      <w:fldChar w:fldCharType="separate"/>
    </w:r>
    <w:r w:rsidRPr="00363FE8">
      <w:rPr>
        <w:rFonts w:ascii="Segoe UI" w:hAnsi="Segoe UI" w:cs="Segoe UI"/>
        <w:noProof/>
      </w:rPr>
      <w:t>1</w:t>
    </w:r>
    <w:r w:rsidRPr="00363FE8">
      <w:rPr>
        <w:rFonts w:ascii="Segoe UI" w:hAnsi="Segoe UI" w:cs="Segoe UI"/>
      </w:rPr>
      <w:fldChar w:fldCharType="end"/>
    </w:r>
    <w:r w:rsidRPr="00363FE8">
      <w:rPr>
        <w:rFonts w:ascii="Segoe UI" w:hAnsi="Segoe UI" w:cs="Segoe UI"/>
      </w:rPr>
      <w:t xml:space="preserve"> of </w:t>
    </w:r>
    <w:r w:rsidRPr="00363FE8">
      <w:rPr>
        <w:rFonts w:ascii="Segoe UI" w:hAnsi="Segoe UI" w:cs="Segoe UI"/>
        <w:noProof/>
      </w:rPr>
      <w:fldChar w:fldCharType="begin"/>
    </w:r>
    <w:r w:rsidRPr="00363FE8">
      <w:rPr>
        <w:rFonts w:ascii="Segoe UI" w:hAnsi="Segoe UI" w:cs="Segoe UI"/>
        <w:noProof/>
      </w:rPr>
      <w:instrText xml:space="preserve"> NUMPAGES </w:instrText>
    </w:r>
    <w:r w:rsidRPr="00363FE8">
      <w:rPr>
        <w:rFonts w:ascii="Segoe UI" w:hAnsi="Segoe UI" w:cs="Segoe UI"/>
        <w:noProof/>
      </w:rPr>
      <w:fldChar w:fldCharType="separate"/>
    </w:r>
    <w:r w:rsidRPr="00363FE8">
      <w:rPr>
        <w:rFonts w:ascii="Segoe UI" w:hAnsi="Segoe UI" w:cs="Segoe UI"/>
        <w:noProof/>
      </w:rPr>
      <w:t>1</w:t>
    </w:r>
    <w:r w:rsidRPr="00363FE8">
      <w:rPr>
        <w:rFonts w:ascii="Segoe UI" w:hAnsi="Segoe UI" w:cs="Segoe U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FDD4C" w14:textId="77777777" w:rsidR="005C24F1" w:rsidRDefault="005C24F1">
      <w:r>
        <w:separator/>
      </w:r>
    </w:p>
  </w:footnote>
  <w:footnote w:type="continuationSeparator" w:id="0">
    <w:p w14:paraId="52DDE704" w14:textId="77777777" w:rsidR="005C24F1" w:rsidRDefault="005C24F1">
      <w:r>
        <w:continuationSeparator/>
      </w:r>
    </w:p>
  </w:footnote>
  <w:footnote w:type="continuationNotice" w:id="1">
    <w:p w14:paraId="2AE933E3" w14:textId="77777777" w:rsidR="005C24F1" w:rsidRDefault="005C2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009AC" w14:textId="62123567" w:rsidR="007A7C6A" w:rsidRDefault="007A7C6A" w:rsidP="00363FE8">
    <w:pPr>
      <w:pStyle w:val="Header"/>
      <w:jc w:val="right"/>
    </w:pPr>
    <w:r w:rsidRPr="00363FE8">
      <w:rPr>
        <w:rFonts w:ascii="Segoe UI" w:hAnsi="Segoe UI" w:cs="Segoe UI"/>
        <w:noProof/>
        <w:lang w:eastAsia="en-NZ"/>
      </w:rPr>
      <w:drawing>
        <wp:inline distT="0" distB="0" distL="0" distR="0" wp14:anchorId="4B23E6CD" wp14:editId="3B5A1D17">
          <wp:extent cx="989330" cy="481965"/>
          <wp:effectExtent l="0" t="0" r="1270" b="0"/>
          <wp:docPr id="1" name="Picture 1"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510 MOH word template masthead"/>
                  <pic:cNvPicPr>
                    <a:picLocks noChangeAspect="1" noChangeArrowheads="1"/>
                  </pic:cNvPicPr>
                </pic:nvPicPr>
                <pic:blipFill>
                  <a:blip r:embed="rId1" cstate="print">
                    <a:extLst>
                      <a:ext uri="{28A0092B-C50C-407E-A947-70E740481C1C}">
                        <a14:useLocalDpi xmlns:a14="http://schemas.microsoft.com/office/drawing/2010/main" val="0"/>
                      </a:ext>
                    </a:extLst>
                  </a:blip>
                  <a:srcRect l="6610" t="43289" r="79724" b="11005"/>
                  <a:stretch>
                    <a:fillRect/>
                  </a:stretch>
                </pic:blipFill>
                <pic:spPr bwMode="auto">
                  <a:xfrm>
                    <a:off x="0" y="0"/>
                    <a:ext cx="989330" cy="481965"/>
                  </a:xfrm>
                  <a:prstGeom prst="rect">
                    <a:avLst/>
                  </a:prstGeom>
                  <a:noFill/>
                  <a:ln>
                    <a:noFill/>
                  </a:ln>
                </pic:spPr>
              </pic:pic>
            </a:graphicData>
          </a:graphic>
        </wp:inline>
      </w:drawing>
    </w:r>
  </w:p>
  <w:p w14:paraId="6FC70BAD" w14:textId="77777777" w:rsidR="007A7C6A" w:rsidRDefault="007A7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C78D2"/>
    <w:multiLevelType w:val="hybridMultilevel"/>
    <w:tmpl w:val="596AA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D5D18E"/>
    <w:multiLevelType w:val="multilevel"/>
    <w:tmpl w:val="FFFFFFFF"/>
    <w:lvl w:ilvl="0">
      <w:start w:val="1"/>
      <w:numFmt w:val="decimal"/>
      <w:lvlText w:val="%1"/>
      <w:lvlJc w:val="left"/>
      <w:pPr>
        <w:ind w:left="493" w:hanging="49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C0A40"/>
    <w:multiLevelType w:val="hybridMultilevel"/>
    <w:tmpl w:val="AE78AE44"/>
    <w:lvl w:ilvl="0" w:tplc="1409001B">
      <w:start w:val="1"/>
      <w:numFmt w:val="lowerRoman"/>
      <w:lvlText w:val="%1."/>
      <w:lvlJc w:val="right"/>
      <w:pPr>
        <w:ind w:left="643" w:hanging="360"/>
      </w:pPr>
    </w:lvl>
    <w:lvl w:ilvl="1" w:tplc="14090019">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 w15:restartNumberingAfterBreak="0">
    <w:nsid w:val="16451796"/>
    <w:multiLevelType w:val="hybridMultilevel"/>
    <w:tmpl w:val="5DA859C2"/>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1E4A2F38"/>
    <w:multiLevelType w:val="hybridMultilevel"/>
    <w:tmpl w:val="F77AB0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40A3D78"/>
    <w:multiLevelType w:val="hybridMultilevel"/>
    <w:tmpl w:val="C532AB3A"/>
    <w:lvl w:ilvl="0" w:tplc="1409001B">
      <w:start w:val="1"/>
      <w:numFmt w:val="lowerRoman"/>
      <w:lvlText w:val="%1."/>
      <w:lvlJc w:val="righ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15:restartNumberingAfterBreak="0">
    <w:nsid w:val="2F6C731B"/>
    <w:multiLevelType w:val="hybridMultilevel"/>
    <w:tmpl w:val="5FF01822"/>
    <w:lvl w:ilvl="0" w:tplc="1409000F">
      <w:start w:val="1"/>
      <w:numFmt w:val="decimal"/>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 w15:restartNumberingAfterBreak="0">
    <w:nsid w:val="3174597C"/>
    <w:multiLevelType w:val="multilevel"/>
    <w:tmpl w:val="4BCA125E"/>
    <w:lvl w:ilvl="0">
      <w:start w:val="1"/>
      <w:numFmt w:val="decimal"/>
      <w:pStyle w:val="NumberedParagraphs-MOH"/>
      <w:lvlText w:val="%1"/>
      <w:lvlJc w:val="left"/>
      <w:pPr>
        <w:tabs>
          <w:tab w:val="num" w:pos="493"/>
        </w:tabs>
        <w:ind w:left="493" w:hanging="493"/>
      </w:p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8" w15:restartNumberingAfterBreak="0">
    <w:nsid w:val="31831896"/>
    <w:multiLevelType w:val="hybridMultilevel"/>
    <w:tmpl w:val="EABE43D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9" w15:restartNumberingAfterBreak="0">
    <w:nsid w:val="372D0AED"/>
    <w:multiLevelType w:val="hybridMultilevel"/>
    <w:tmpl w:val="609A5B22"/>
    <w:lvl w:ilvl="0" w:tplc="8CA2CCC6">
      <w:start w:val="1"/>
      <w:numFmt w:val="bullet"/>
      <w:pStyle w:val="Bullet"/>
      <w:lvlText w:val=""/>
      <w:lvlJc w:val="left"/>
      <w:pPr>
        <w:tabs>
          <w:tab w:val="num" w:pos="567"/>
        </w:tabs>
        <w:ind w:left="567" w:hanging="567"/>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9336AB"/>
    <w:multiLevelType w:val="hybridMultilevel"/>
    <w:tmpl w:val="0BC016A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1" w15:restartNumberingAfterBreak="0">
    <w:nsid w:val="65B64B75"/>
    <w:multiLevelType w:val="multilevel"/>
    <w:tmpl w:val="9B00DDFA"/>
    <w:lvl w:ilvl="0">
      <w:start w:val="1"/>
      <w:numFmt w:val="bullet"/>
      <w:lvlText w:val=""/>
      <w:lvlJc w:val="left"/>
      <w:pPr>
        <w:tabs>
          <w:tab w:val="num" w:pos="1060"/>
        </w:tabs>
        <w:ind w:left="1060" w:hanging="493"/>
      </w:pPr>
      <w:rPr>
        <w:rFonts w:ascii="Symbol" w:hAnsi="Symbol" w:hint="default"/>
      </w:rPr>
    </w:lvl>
    <w:lvl w:ilvl="1">
      <w:start w:val="1"/>
      <w:numFmt w:val="decimal"/>
      <w:lvlText w:val="%1.%2"/>
      <w:lvlJc w:val="left"/>
      <w:pPr>
        <w:tabs>
          <w:tab w:val="num" w:pos="1060"/>
        </w:tabs>
        <w:ind w:left="1554" w:hanging="494"/>
      </w:pPr>
      <w:rPr>
        <w:rFonts w:hint="default"/>
        <w:b w:val="0"/>
        <w:bCs w:val="0"/>
      </w:rPr>
    </w:lvl>
    <w:lvl w:ilvl="2">
      <w:start w:val="1"/>
      <w:numFmt w:val="decimal"/>
      <w:lvlText w:val="%1.%2.%3"/>
      <w:lvlJc w:val="left"/>
      <w:pPr>
        <w:tabs>
          <w:tab w:val="num" w:pos="2121"/>
        </w:tabs>
        <w:ind w:left="2121" w:hanging="567"/>
      </w:pPr>
      <w:rPr>
        <w:rFonts w:hint="default"/>
      </w:rPr>
    </w:lvl>
    <w:lvl w:ilvl="3">
      <w:start w:val="1"/>
      <w:numFmt w:val="decimal"/>
      <w:lvlText w:val="%1.%2.%3.%4."/>
      <w:lvlJc w:val="left"/>
      <w:pPr>
        <w:tabs>
          <w:tab w:val="num" w:pos="270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78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86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12" w15:restartNumberingAfterBreak="0">
    <w:nsid w:val="6FE205BA"/>
    <w:multiLevelType w:val="hybridMultilevel"/>
    <w:tmpl w:val="532E826A"/>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3" w15:restartNumberingAfterBreak="0">
    <w:nsid w:val="7C2C77D3"/>
    <w:multiLevelType w:val="hybridMultilevel"/>
    <w:tmpl w:val="69ECE3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9"/>
  </w:num>
  <w:num w:numId="3">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
    <w:abstractNumId w:val="10"/>
  </w:num>
  <w:num w:numId="5">
    <w:abstractNumId w:val="12"/>
  </w:num>
  <w:num w:numId="6">
    <w:abstractNumId w:val="8"/>
  </w:num>
  <w:num w:numId="7">
    <w:abstractNumId w:val="11"/>
  </w:num>
  <w:num w:numId="8">
    <w:abstractNumId w:val="6"/>
  </w:num>
  <w:num w:numId="9">
    <w:abstractNumId w:val="2"/>
  </w:num>
  <w:num w:numId="10">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1">
    <w:abstractNumId w:val="0"/>
  </w:num>
  <w:num w:numId="12">
    <w:abstractNumId w:val="5"/>
  </w:num>
  <w:num w:numId="13">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4">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5">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6">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7">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8">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9">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0">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1">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2">
    <w:abstractNumId w:val="13"/>
  </w:num>
  <w:num w:numId="23">
    <w:abstractNumId w:val="4"/>
  </w:num>
  <w:num w:numId="24">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5">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6">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8">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9">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0">
    <w:abstractNumId w:val="7"/>
    <w:lvlOverride w:ilvl="0">
      <w:lvl w:ilvl="0">
        <w:numFmt w:val="decimal"/>
        <w:pStyle w:val="NumberedParagraphs-MOH"/>
        <w:lvlText w:val="%1."/>
        <w:lvlJc w:val="left"/>
        <w:pPr>
          <w:ind w:left="360" w:hanging="360"/>
        </w:pPr>
      </w:lvl>
    </w:lvlOverride>
    <w:lvlOverride w:ilvl="1">
      <w:lvl w:ilvl="1">
        <w:numFmt w:val="decimal"/>
        <w:pStyle w:val="ReportBody2-MOH"/>
        <w:lvlText w:val=""/>
        <w:lvlJc w:val="left"/>
      </w:lvl>
    </w:lvlOverride>
    <w:lvlOverride w:ilvl="2">
      <w:startOverride w:val="1"/>
      <w:lvl w:ilvl="2">
        <w:start w:val="1"/>
        <w:numFmt w:val="decimal"/>
        <w:pStyle w:val="SecondLevelBullets-MOH"/>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5">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6">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7">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8">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9">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0">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1">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2">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3">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4">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5">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6">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7">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8">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9">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0">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1">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2">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3">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4">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7">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8">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502"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15"/>
    <w:rsid w:val="00002049"/>
    <w:rsid w:val="0000206B"/>
    <w:rsid w:val="00002337"/>
    <w:rsid w:val="000031B3"/>
    <w:rsid w:val="0000379D"/>
    <w:rsid w:val="00004987"/>
    <w:rsid w:val="00004B13"/>
    <w:rsid w:val="00005090"/>
    <w:rsid w:val="0000648A"/>
    <w:rsid w:val="00006665"/>
    <w:rsid w:val="000109A5"/>
    <w:rsid w:val="00011314"/>
    <w:rsid w:val="00012990"/>
    <w:rsid w:val="0001369A"/>
    <w:rsid w:val="00013C3E"/>
    <w:rsid w:val="00014E33"/>
    <w:rsid w:val="00015736"/>
    <w:rsid w:val="00016217"/>
    <w:rsid w:val="000168CF"/>
    <w:rsid w:val="000174E3"/>
    <w:rsid w:val="000174FE"/>
    <w:rsid w:val="0001785B"/>
    <w:rsid w:val="00017D6B"/>
    <w:rsid w:val="00023545"/>
    <w:rsid w:val="00023CE1"/>
    <w:rsid w:val="00024981"/>
    <w:rsid w:val="00026FCA"/>
    <w:rsid w:val="00027EB6"/>
    <w:rsid w:val="000311A0"/>
    <w:rsid w:val="000314EA"/>
    <w:rsid w:val="0003189A"/>
    <w:rsid w:val="000318D4"/>
    <w:rsid w:val="00033D12"/>
    <w:rsid w:val="000348B5"/>
    <w:rsid w:val="00036401"/>
    <w:rsid w:val="00036B20"/>
    <w:rsid w:val="0003710F"/>
    <w:rsid w:val="000375BA"/>
    <w:rsid w:val="00037A5E"/>
    <w:rsid w:val="00037E08"/>
    <w:rsid w:val="00037E9D"/>
    <w:rsid w:val="00041464"/>
    <w:rsid w:val="000414EF"/>
    <w:rsid w:val="00041AA1"/>
    <w:rsid w:val="00041EE4"/>
    <w:rsid w:val="0004225F"/>
    <w:rsid w:val="000428C5"/>
    <w:rsid w:val="00043324"/>
    <w:rsid w:val="00043C1F"/>
    <w:rsid w:val="00044112"/>
    <w:rsid w:val="00044AA5"/>
    <w:rsid w:val="00044B2F"/>
    <w:rsid w:val="0004556F"/>
    <w:rsid w:val="00045BD2"/>
    <w:rsid w:val="00045D4C"/>
    <w:rsid w:val="0004617A"/>
    <w:rsid w:val="00050F42"/>
    <w:rsid w:val="0005204F"/>
    <w:rsid w:val="00052430"/>
    <w:rsid w:val="00052D79"/>
    <w:rsid w:val="00053B84"/>
    <w:rsid w:val="00053E72"/>
    <w:rsid w:val="00054FC3"/>
    <w:rsid w:val="00055DAE"/>
    <w:rsid w:val="0005741B"/>
    <w:rsid w:val="00060785"/>
    <w:rsid w:val="00065EF5"/>
    <w:rsid w:val="00066783"/>
    <w:rsid w:val="00066A4B"/>
    <w:rsid w:val="000671D4"/>
    <w:rsid w:val="000675CB"/>
    <w:rsid w:val="000678BB"/>
    <w:rsid w:val="00074BFA"/>
    <w:rsid w:val="00074E32"/>
    <w:rsid w:val="0007583E"/>
    <w:rsid w:val="0007698E"/>
    <w:rsid w:val="00080F14"/>
    <w:rsid w:val="000824CF"/>
    <w:rsid w:val="00082DF0"/>
    <w:rsid w:val="00082EB6"/>
    <w:rsid w:val="0008353A"/>
    <w:rsid w:val="00084C18"/>
    <w:rsid w:val="0008539F"/>
    <w:rsid w:val="00085BCA"/>
    <w:rsid w:val="00085C1A"/>
    <w:rsid w:val="00085CE3"/>
    <w:rsid w:val="00086D7A"/>
    <w:rsid w:val="000873E3"/>
    <w:rsid w:val="00087C87"/>
    <w:rsid w:val="000910F3"/>
    <w:rsid w:val="000913F6"/>
    <w:rsid w:val="00092B2C"/>
    <w:rsid w:val="00093790"/>
    <w:rsid w:val="00093D38"/>
    <w:rsid w:val="00094A28"/>
    <w:rsid w:val="0009709A"/>
    <w:rsid w:val="000976C9"/>
    <w:rsid w:val="00097D1D"/>
    <w:rsid w:val="000A009F"/>
    <w:rsid w:val="000A1688"/>
    <w:rsid w:val="000A2F23"/>
    <w:rsid w:val="000A6E15"/>
    <w:rsid w:val="000A6ECA"/>
    <w:rsid w:val="000A6F07"/>
    <w:rsid w:val="000A70DF"/>
    <w:rsid w:val="000A7F08"/>
    <w:rsid w:val="000B0255"/>
    <w:rsid w:val="000B1A39"/>
    <w:rsid w:val="000B2D6E"/>
    <w:rsid w:val="000B3C7B"/>
    <w:rsid w:val="000B4720"/>
    <w:rsid w:val="000B527A"/>
    <w:rsid w:val="000C1310"/>
    <w:rsid w:val="000C37B8"/>
    <w:rsid w:val="000C3E6F"/>
    <w:rsid w:val="000C4B74"/>
    <w:rsid w:val="000C4C4F"/>
    <w:rsid w:val="000C56E4"/>
    <w:rsid w:val="000C6302"/>
    <w:rsid w:val="000C7080"/>
    <w:rsid w:val="000D000C"/>
    <w:rsid w:val="000D00B8"/>
    <w:rsid w:val="000D1FD6"/>
    <w:rsid w:val="000D4E49"/>
    <w:rsid w:val="000D7406"/>
    <w:rsid w:val="000E0242"/>
    <w:rsid w:val="000E07A8"/>
    <w:rsid w:val="000E0CF8"/>
    <w:rsid w:val="000E0D86"/>
    <w:rsid w:val="000E1279"/>
    <w:rsid w:val="000E14A9"/>
    <w:rsid w:val="000E2FF4"/>
    <w:rsid w:val="000E406B"/>
    <w:rsid w:val="000E5AA9"/>
    <w:rsid w:val="000E6D80"/>
    <w:rsid w:val="000E7C1B"/>
    <w:rsid w:val="000F0BF4"/>
    <w:rsid w:val="000F26F2"/>
    <w:rsid w:val="000F5040"/>
    <w:rsid w:val="000F76E7"/>
    <w:rsid w:val="000F77AF"/>
    <w:rsid w:val="00104462"/>
    <w:rsid w:val="00106376"/>
    <w:rsid w:val="001068B9"/>
    <w:rsid w:val="00107051"/>
    <w:rsid w:val="00110081"/>
    <w:rsid w:val="00111379"/>
    <w:rsid w:val="00111DBC"/>
    <w:rsid w:val="001144FA"/>
    <w:rsid w:val="00114789"/>
    <w:rsid w:val="00116FAC"/>
    <w:rsid w:val="001216E2"/>
    <w:rsid w:val="00122AF7"/>
    <w:rsid w:val="00122B5D"/>
    <w:rsid w:val="00127233"/>
    <w:rsid w:val="0012724C"/>
    <w:rsid w:val="00132FFC"/>
    <w:rsid w:val="00133CB0"/>
    <w:rsid w:val="00134BBB"/>
    <w:rsid w:val="00135FAD"/>
    <w:rsid w:val="00136C94"/>
    <w:rsid w:val="00136ED2"/>
    <w:rsid w:val="00137742"/>
    <w:rsid w:val="00140574"/>
    <w:rsid w:val="0014247C"/>
    <w:rsid w:val="001434CE"/>
    <w:rsid w:val="00143819"/>
    <w:rsid w:val="00145469"/>
    <w:rsid w:val="001457D7"/>
    <w:rsid w:val="00152845"/>
    <w:rsid w:val="0015568F"/>
    <w:rsid w:val="00156293"/>
    <w:rsid w:val="00156706"/>
    <w:rsid w:val="00156789"/>
    <w:rsid w:val="0016062E"/>
    <w:rsid w:val="00160CA3"/>
    <w:rsid w:val="00162143"/>
    <w:rsid w:val="00162561"/>
    <w:rsid w:val="001638B6"/>
    <w:rsid w:val="0016519A"/>
    <w:rsid w:val="00166029"/>
    <w:rsid w:val="00166966"/>
    <w:rsid w:val="0016752E"/>
    <w:rsid w:val="00170111"/>
    <w:rsid w:val="00170FE7"/>
    <w:rsid w:val="0017176C"/>
    <w:rsid w:val="00171D9E"/>
    <w:rsid w:val="0017201A"/>
    <w:rsid w:val="00172317"/>
    <w:rsid w:val="00174652"/>
    <w:rsid w:val="00174787"/>
    <w:rsid w:val="00175201"/>
    <w:rsid w:val="00177E83"/>
    <w:rsid w:val="0018133D"/>
    <w:rsid w:val="00181ABF"/>
    <w:rsid w:val="00181E61"/>
    <w:rsid w:val="001828E9"/>
    <w:rsid w:val="00183333"/>
    <w:rsid w:val="001834D3"/>
    <w:rsid w:val="001837A4"/>
    <w:rsid w:val="00186638"/>
    <w:rsid w:val="00186936"/>
    <w:rsid w:val="00186F87"/>
    <w:rsid w:val="00190D84"/>
    <w:rsid w:val="001923A8"/>
    <w:rsid w:val="001929E4"/>
    <w:rsid w:val="00193BD5"/>
    <w:rsid w:val="00194366"/>
    <w:rsid w:val="00194D60"/>
    <w:rsid w:val="001A14CD"/>
    <w:rsid w:val="001A2336"/>
    <w:rsid w:val="001A33C8"/>
    <w:rsid w:val="001A4909"/>
    <w:rsid w:val="001A5025"/>
    <w:rsid w:val="001A6685"/>
    <w:rsid w:val="001A720B"/>
    <w:rsid w:val="001A7236"/>
    <w:rsid w:val="001B2269"/>
    <w:rsid w:val="001B340A"/>
    <w:rsid w:val="001B366C"/>
    <w:rsid w:val="001B3739"/>
    <w:rsid w:val="001B7FC3"/>
    <w:rsid w:val="001C043B"/>
    <w:rsid w:val="001C27C0"/>
    <w:rsid w:val="001C371B"/>
    <w:rsid w:val="001C74C9"/>
    <w:rsid w:val="001D0016"/>
    <w:rsid w:val="001D299E"/>
    <w:rsid w:val="001D2DEB"/>
    <w:rsid w:val="001D3B59"/>
    <w:rsid w:val="001D4158"/>
    <w:rsid w:val="001D52A9"/>
    <w:rsid w:val="001D5340"/>
    <w:rsid w:val="001D5A40"/>
    <w:rsid w:val="001D6742"/>
    <w:rsid w:val="001D7F1C"/>
    <w:rsid w:val="001E2DCC"/>
    <w:rsid w:val="001E32B4"/>
    <w:rsid w:val="001E3665"/>
    <w:rsid w:val="001E4419"/>
    <w:rsid w:val="001E4B1A"/>
    <w:rsid w:val="001E4E1A"/>
    <w:rsid w:val="001E7358"/>
    <w:rsid w:val="001F0700"/>
    <w:rsid w:val="001F0B09"/>
    <w:rsid w:val="001F0DBC"/>
    <w:rsid w:val="001F1D15"/>
    <w:rsid w:val="001F20B8"/>
    <w:rsid w:val="001F21A7"/>
    <w:rsid w:val="001F49E6"/>
    <w:rsid w:val="001F4DBD"/>
    <w:rsid w:val="001F6A1B"/>
    <w:rsid w:val="00200CCC"/>
    <w:rsid w:val="002015EF"/>
    <w:rsid w:val="00202904"/>
    <w:rsid w:val="00204191"/>
    <w:rsid w:val="002046B0"/>
    <w:rsid w:val="002046BC"/>
    <w:rsid w:val="00206348"/>
    <w:rsid w:val="00211078"/>
    <w:rsid w:val="00211FAD"/>
    <w:rsid w:val="00213206"/>
    <w:rsid w:val="00213744"/>
    <w:rsid w:val="00214ABA"/>
    <w:rsid w:val="00217208"/>
    <w:rsid w:val="002221D8"/>
    <w:rsid w:val="0022298D"/>
    <w:rsid w:val="002235B7"/>
    <w:rsid w:val="002253F6"/>
    <w:rsid w:val="0022625A"/>
    <w:rsid w:val="00226FBD"/>
    <w:rsid w:val="002300BE"/>
    <w:rsid w:val="00231625"/>
    <w:rsid w:val="00231C91"/>
    <w:rsid w:val="00231D09"/>
    <w:rsid w:val="0023267E"/>
    <w:rsid w:val="002340D0"/>
    <w:rsid w:val="002345F1"/>
    <w:rsid w:val="00235660"/>
    <w:rsid w:val="00235847"/>
    <w:rsid w:val="0023697F"/>
    <w:rsid w:val="00236F15"/>
    <w:rsid w:val="00237040"/>
    <w:rsid w:val="00237D9A"/>
    <w:rsid w:val="002438D9"/>
    <w:rsid w:val="00243C6E"/>
    <w:rsid w:val="00245E7A"/>
    <w:rsid w:val="002468B8"/>
    <w:rsid w:val="00246A53"/>
    <w:rsid w:val="002502BB"/>
    <w:rsid w:val="002510EA"/>
    <w:rsid w:val="002516B1"/>
    <w:rsid w:val="00252051"/>
    <w:rsid w:val="002524BE"/>
    <w:rsid w:val="0025465F"/>
    <w:rsid w:val="00254BB8"/>
    <w:rsid w:val="00257903"/>
    <w:rsid w:val="002579A3"/>
    <w:rsid w:val="00262A47"/>
    <w:rsid w:val="00265C17"/>
    <w:rsid w:val="002665D2"/>
    <w:rsid w:val="00266D6E"/>
    <w:rsid w:val="002676D6"/>
    <w:rsid w:val="002678D4"/>
    <w:rsid w:val="00270666"/>
    <w:rsid w:val="002719BE"/>
    <w:rsid w:val="00271C81"/>
    <w:rsid w:val="002735BE"/>
    <w:rsid w:val="0027447E"/>
    <w:rsid w:val="00275CDE"/>
    <w:rsid w:val="00277B77"/>
    <w:rsid w:val="00277D94"/>
    <w:rsid w:val="00280A23"/>
    <w:rsid w:val="00280C3F"/>
    <w:rsid w:val="002824A9"/>
    <w:rsid w:val="00283306"/>
    <w:rsid w:val="00283BBE"/>
    <w:rsid w:val="00283DA9"/>
    <w:rsid w:val="00285ABD"/>
    <w:rsid w:val="0028649B"/>
    <w:rsid w:val="00287553"/>
    <w:rsid w:val="002904AF"/>
    <w:rsid w:val="00290B6F"/>
    <w:rsid w:val="002919A7"/>
    <w:rsid w:val="002920CF"/>
    <w:rsid w:val="002928B2"/>
    <w:rsid w:val="0029295D"/>
    <w:rsid w:val="002936A3"/>
    <w:rsid w:val="00294D56"/>
    <w:rsid w:val="00295523"/>
    <w:rsid w:val="00295FA4"/>
    <w:rsid w:val="002973BC"/>
    <w:rsid w:val="002A0178"/>
    <w:rsid w:val="002A1D05"/>
    <w:rsid w:val="002A2CBE"/>
    <w:rsid w:val="002A3B49"/>
    <w:rsid w:val="002A4007"/>
    <w:rsid w:val="002A5A24"/>
    <w:rsid w:val="002B0D59"/>
    <w:rsid w:val="002B1708"/>
    <w:rsid w:val="002B2E0C"/>
    <w:rsid w:val="002B2F2E"/>
    <w:rsid w:val="002B49E8"/>
    <w:rsid w:val="002B510E"/>
    <w:rsid w:val="002B5561"/>
    <w:rsid w:val="002C0B42"/>
    <w:rsid w:val="002C2D1A"/>
    <w:rsid w:val="002C2E04"/>
    <w:rsid w:val="002C36CF"/>
    <w:rsid w:val="002C4C81"/>
    <w:rsid w:val="002C5213"/>
    <w:rsid w:val="002C5BD6"/>
    <w:rsid w:val="002C6FC1"/>
    <w:rsid w:val="002C7CF5"/>
    <w:rsid w:val="002D21F7"/>
    <w:rsid w:val="002D36E2"/>
    <w:rsid w:val="002D41B7"/>
    <w:rsid w:val="002D5DD3"/>
    <w:rsid w:val="002D7BBF"/>
    <w:rsid w:val="002E29FB"/>
    <w:rsid w:val="002E46EB"/>
    <w:rsid w:val="002E53A7"/>
    <w:rsid w:val="002E6E80"/>
    <w:rsid w:val="002F0847"/>
    <w:rsid w:val="002F1DF6"/>
    <w:rsid w:val="002F1F2B"/>
    <w:rsid w:val="002F20BE"/>
    <w:rsid w:val="002F3D3B"/>
    <w:rsid w:val="002F4272"/>
    <w:rsid w:val="002F4FDE"/>
    <w:rsid w:val="002F54EF"/>
    <w:rsid w:val="002F5F85"/>
    <w:rsid w:val="002F740D"/>
    <w:rsid w:val="00301452"/>
    <w:rsid w:val="00302165"/>
    <w:rsid w:val="00303DB0"/>
    <w:rsid w:val="00304CDA"/>
    <w:rsid w:val="00306BCF"/>
    <w:rsid w:val="00307049"/>
    <w:rsid w:val="00307A7E"/>
    <w:rsid w:val="003103A6"/>
    <w:rsid w:val="00310A24"/>
    <w:rsid w:val="00311C6C"/>
    <w:rsid w:val="00313AB5"/>
    <w:rsid w:val="00313AC5"/>
    <w:rsid w:val="0031401A"/>
    <w:rsid w:val="0031538F"/>
    <w:rsid w:val="003159D6"/>
    <w:rsid w:val="00320D4D"/>
    <w:rsid w:val="00321D39"/>
    <w:rsid w:val="00323253"/>
    <w:rsid w:val="00324A9C"/>
    <w:rsid w:val="00324B4C"/>
    <w:rsid w:val="00325F29"/>
    <w:rsid w:val="00326C76"/>
    <w:rsid w:val="00326F50"/>
    <w:rsid w:val="00330078"/>
    <w:rsid w:val="00330178"/>
    <w:rsid w:val="0033289E"/>
    <w:rsid w:val="00332B10"/>
    <w:rsid w:val="00332ED2"/>
    <w:rsid w:val="00336B8B"/>
    <w:rsid w:val="00341758"/>
    <w:rsid w:val="00342CA0"/>
    <w:rsid w:val="00343147"/>
    <w:rsid w:val="003462ED"/>
    <w:rsid w:val="0034700F"/>
    <w:rsid w:val="0034743A"/>
    <w:rsid w:val="003500CB"/>
    <w:rsid w:val="00350D67"/>
    <w:rsid w:val="00351003"/>
    <w:rsid w:val="0035127D"/>
    <w:rsid w:val="00351A6E"/>
    <w:rsid w:val="00351CBB"/>
    <w:rsid w:val="003522BD"/>
    <w:rsid w:val="003545B9"/>
    <w:rsid w:val="003573F7"/>
    <w:rsid w:val="00357E46"/>
    <w:rsid w:val="003621F8"/>
    <w:rsid w:val="00363FE8"/>
    <w:rsid w:val="00366001"/>
    <w:rsid w:val="00367777"/>
    <w:rsid w:val="00367CAB"/>
    <w:rsid w:val="00367DDE"/>
    <w:rsid w:val="00370BBF"/>
    <w:rsid w:val="00370C1F"/>
    <w:rsid w:val="0037210F"/>
    <w:rsid w:val="00374230"/>
    <w:rsid w:val="00376402"/>
    <w:rsid w:val="00376529"/>
    <w:rsid w:val="003776CF"/>
    <w:rsid w:val="00380CEF"/>
    <w:rsid w:val="00380FE2"/>
    <w:rsid w:val="003814B1"/>
    <w:rsid w:val="00381C5B"/>
    <w:rsid w:val="00385B42"/>
    <w:rsid w:val="00386005"/>
    <w:rsid w:val="003916C2"/>
    <w:rsid w:val="00392B32"/>
    <w:rsid w:val="00392D1D"/>
    <w:rsid w:val="0039560C"/>
    <w:rsid w:val="0039661A"/>
    <w:rsid w:val="003A169D"/>
    <w:rsid w:val="003A1BE7"/>
    <w:rsid w:val="003A3804"/>
    <w:rsid w:val="003A3DFF"/>
    <w:rsid w:val="003A42B3"/>
    <w:rsid w:val="003A5CFE"/>
    <w:rsid w:val="003A5F00"/>
    <w:rsid w:val="003A61A1"/>
    <w:rsid w:val="003A75E8"/>
    <w:rsid w:val="003B17EA"/>
    <w:rsid w:val="003B3622"/>
    <w:rsid w:val="003B5F20"/>
    <w:rsid w:val="003C0969"/>
    <w:rsid w:val="003C10FD"/>
    <w:rsid w:val="003C1E37"/>
    <w:rsid w:val="003C1E9B"/>
    <w:rsid w:val="003C268E"/>
    <w:rsid w:val="003C3FDC"/>
    <w:rsid w:val="003C531B"/>
    <w:rsid w:val="003C54E6"/>
    <w:rsid w:val="003D009B"/>
    <w:rsid w:val="003D0EC9"/>
    <w:rsid w:val="003D11AC"/>
    <w:rsid w:val="003D1645"/>
    <w:rsid w:val="003D233A"/>
    <w:rsid w:val="003D2CB5"/>
    <w:rsid w:val="003D45B8"/>
    <w:rsid w:val="003D692E"/>
    <w:rsid w:val="003D6C22"/>
    <w:rsid w:val="003E0828"/>
    <w:rsid w:val="003E0C2F"/>
    <w:rsid w:val="003E0E31"/>
    <w:rsid w:val="003E1D0C"/>
    <w:rsid w:val="003E1D43"/>
    <w:rsid w:val="003E1DF8"/>
    <w:rsid w:val="003E1F65"/>
    <w:rsid w:val="003E206A"/>
    <w:rsid w:val="003E2A56"/>
    <w:rsid w:val="003E35B0"/>
    <w:rsid w:val="003E3955"/>
    <w:rsid w:val="003E3986"/>
    <w:rsid w:val="003E493B"/>
    <w:rsid w:val="003E5917"/>
    <w:rsid w:val="003E671A"/>
    <w:rsid w:val="003E7060"/>
    <w:rsid w:val="003E75CD"/>
    <w:rsid w:val="003F0935"/>
    <w:rsid w:val="003F0AD4"/>
    <w:rsid w:val="003F182C"/>
    <w:rsid w:val="003F289A"/>
    <w:rsid w:val="003F39D9"/>
    <w:rsid w:val="003F585B"/>
    <w:rsid w:val="003F6138"/>
    <w:rsid w:val="003F6444"/>
    <w:rsid w:val="003F679E"/>
    <w:rsid w:val="003F745B"/>
    <w:rsid w:val="00403CBE"/>
    <w:rsid w:val="00404C08"/>
    <w:rsid w:val="00405CC6"/>
    <w:rsid w:val="00411426"/>
    <w:rsid w:val="0041163D"/>
    <w:rsid w:val="004119D1"/>
    <w:rsid w:val="0041254F"/>
    <w:rsid w:val="0041317F"/>
    <w:rsid w:val="00414D96"/>
    <w:rsid w:val="00416C24"/>
    <w:rsid w:val="00417845"/>
    <w:rsid w:val="00420961"/>
    <w:rsid w:val="00421451"/>
    <w:rsid w:val="00421973"/>
    <w:rsid w:val="00423204"/>
    <w:rsid w:val="00424FDE"/>
    <w:rsid w:val="00425135"/>
    <w:rsid w:val="00427B58"/>
    <w:rsid w:val="00427E67"/>
    <w:rsid w:val="0043156E"/>
    <w:rsid w:val="0043165C"/>
    <w:rsid w:val="00432A31"/>
    <w:rsid w:val="00433AD2"/>
    <w:rsid w:val="00434446"/>
    <w:rsid w:val="004344E2"/>
    <w:rsid w:val="00434814"/>
    <w:rsid w:val="00435079"/>
    <w:rsid w:val="00435F5D"/>
    <w:rsid w:val="00436844"/>
    <w:rsid w:val="004368F5"/>
    <w:rsid w:val="00436A4D"/>
    <w:rsid w:val="0044084B"/>
    <w:rsid w:val="0044108D"/>
    <w:rsid w:val="00441FBC"/>
    <w:rsid w:val="00442AFB"/>
    <w:rsid w:val="00443CC0"/>
    <w:rsid w:val="0044476D"/>
    <w:rsid w:val="004449D5"/>
    <w:rsid w:val="004452B6"/>
    <w:rsid w:val="00447DC3"/>
    <w:rsid w:val="00450984"/>
    <w:rsid w:val="00451480"/>
    <w:rsid w:val="00452CA2"/>
    <w:rsid w:val="00453B78"/>
    <w:rsid w:val="00454604"/>
    <w:rsid w:val="00454A0A"/>
    <w:rsid w:val="00454EB0"/>
    <w:rsid w:val="0045605E"/>
    <w:rsid w:val="00457A11"/>
    <w:rsid w:val="00460B64"/>
    <w:rsid w:val="00460CE0"/>
    <w:rsid w:val="0046247E"/>
    <w:rsid w:val="00463275"/>
    <w:rsid w:val="00464B3A"/>
    <w:rsid w:val="0046596C"/>
    <w:rsid w:val="00466ACA"/>
    <w:rsid w:val="00467F06"/>
    <w:rsid w:val="0047031E"/>
    <w:rsid w:val="004708BF"/>
    <w:rsid w:val="004712F4"/>
    <w:rsid w:val="00471F6E"/>
    <w:rsid w:val="004741A9"/>
    <w:rsid w:val="00474C2A"/>
    <w:rsid w:val="00474D2E"/>
    <w:rsid w:val="004756BC"/>
    <w:rsid w:val="004769A4"/>
    <w:rsid w:val="00477EB0"/>
    <w:rsid w:val="00480448"/>
    <w:rsid w:val="00480C49"/>
    <w:rsid w:val="004823DF"/>
    <w:rsid w:val="004824CC"/>
    <w:rsid w:val="00482B7F"/>
    <w:rsid w:val="00482FA0"/>
    <w:rsid w:val="00483669"/>
    <w:rsid w:val="00483BBC"/>
    <w:rsid w:val="0048552F"/>
    <w:rsid w:val="00486E0C"/>
    <w:rsid w:val="004903B0"/>
    <w:rsid w:val="00490E0A"/>
    <w:rsid w:val="00494035"/>
    <w:rsid w:val="004941BC"/>
    <w:rsid w:val="00495370"/>
    <w:rsid w:val="00496982"/>
    <w:rsid w:val="004977A1"/>
    <w:rsid w:val="004A1313"/>
    <w:rsid w:val="004A154D"/>
    <w:rsid w:val="004A1A06"/>
    <w:rsid w:val="004A1C7C"/>
    <w:rsid w:val="004A21C2"/>
    <w:rsid w:val="004A24B0"/>
    <w:rsid w:val="004A293C"/>
    <w:rsid w:val="004B0033"/>
    <w:rsid w:val="004B0B94"/>
    <w:rsid w:val="004B0E24"/>
    <w:rsid w:val="004B27AF"/>
    <w:rsid w:val="004B2D99"/>
    <w:rsid w:val="004B3626"/>
    <w:rsid w:val="004B5673"/>
    <w:rsid w:val="004B5A22"/>
    <w:rsid w:val="004B5DFD"/>
    <w:rsid w:val="004C0925"/>
    <w:rsid w:val="004C23ED"/>
    <w:rsid w:val="004C2B20"/>
    <w:rsid w:val="004C3E20"/>
    <w:rsid w:val="004C4353"/>
    <w:rsid w:val="004C53DB"/>
    <w:rsid w:val="004C6584"/>
    <w:rsid w:val="004C711D"/>
    <w:rsid w:val="004C7614"/>
    <w:rsid w:val="004C76ED"/>
    <w:rsid w:val="004D021C"/>
    <w:rsid w:val="004D05F3"/>
    <w:rsid w:val="004D12F6"/>
    <w:rsid w:val="004D1775"/>
    <w:rsid w:val="004D1998"/>
    <w:rsid w:val="004D2298"/>
    <w:rsid w:val="004D2686"/>
    <w:rsid w:val="004D278F"/>
    <w:rsid w:val="004D3D1D"/>
    <w:rsid w:val="004D5848"/>
    <w:rsid w:val="004D5954"/>
    <w:rsid w:val="004D7445"/>
    <w:rsid w:val="004D7C04"/>
    <w:rsid w:val="004E0BB7"/>
    <w:rsid w:val="004E2D94"/>
    <w:rsid w:val="004E34FF"/>
    <w:rsid w:val="004E3F52"/>
    <w:rsid w:val="004E4369"/>
    <w:rsid w:val="004E46A2"/>
    <w:rsid w:val="004E4ADC"/>
    <w:rsid w:val="004E4EDF"/>
    <w:rsid w:val="004E6E94"/>
    <w:rsid w:val="004E79A2"/>
    <w:rsid w:val="004E7A83"/>
    <w:rsid w:val="004F04DB"/>
    <w:rsid w:val="004F0D9C"/>
    <w:rsid w:val="004F2663"/>
    <w:rsid w:val="004F2C17"/>
    <w:rsid w:val="004F2DE7"/>
    <w:rsid w:val="004F4883"/>
    <w:rsid w:val="004F5EF6"/>
    <w:rsid w:val="004F5F3A"/>
    <w:rsid w:val="004F6B29"/>
    <w:rsid w:val="00501BD3"/>
    <w:rsid w:val="005020DC"/>
    <w:rsid w:val="0050234D"/>
    <w:rsid w:val="005037A9"/>
    <w:rsid w:val="00503EF3"/>
    <w:rsid w:val="00505C24"/>
    <w:rsid w:val="00507979"/>
    <w:rsid w:val="00510350"/>
    <w:rsid w:val="00510544"/>
    <w:rsid w:val="00510CFD"/>
    <w:rsid w:val="005116E3"/>
    <w:rsid w:val="00511AFC"/>
    <w:rsid w:val="00512B1C"/>
    <w:rsid w:val="00513453"/>
    <w:rsid w:val="005136D4"/>
    <w:rsid w:val="00513F61"/>
    <w:rsid w:val="00514840"/>
    <w:rsid w:val="00515A6B"/>
    <w:rsid w:val="0051668B"/>
    <w:rsid w:val="00516C29"/>
    <w:rsid w:val="00520BA9"/>
    <w:rsid w:val="005215EB"/>
    <w:rsid w:val="005219B4"/>
    <w:rsid w:val="00523119"/>
    <w:rsid w:val="00523EF2"/>
    <w:rsid w:val="00525B44"/>
    <w:rsid w:val="00525B6C"/>
    <w:rsid w:val="005276FB"/>
    <w:rsid w:val="00527E53"/>
    <w:rsid w:val="00531F6A"/>
    <w:rsid w:val="00532B19"/>
    <w:rsid w:val="005337E7"/>
    <w:rsid w:val="00533908"/>
    <w:rsid w:val="00533C44"/>
    <w:rsid w:val="00534E61"/>
    <w:rsid w:val="005357D4"/>
    <w:rsid w:val="005373EC"/>
    <w:rsid w:val="0054111A"/>
    <w:rsid w:val="00543F3F"/>
    <w:rsid w:val="00546EC5"/>
    <w:rsid w:val="00550848"/>
    <w:rsid w:val="005508E4"/>
    <w:rsid w:val="00554245"/>
    <w:rsid w:val="005562AC"/>
    <w:rsid w:val="00556CD7"/>
    <w:rsid w:val="005573D6"/>
    <w:rsid w:val="00557504"/>
    <w:rsid w:val="00557B50"/>
    <w:rsid w:val="0056044B"/>
    <w:rsid w:val="005609AE"/>
    <w:rsid w:val="0056136E"/>
    <w:rsid w:val="005616A1"/>
    <w:rsid w:val="005633F3"/>
    <w:rsid w:val="00564F90"/>
    <w:rsid w:val="0056515C"/>
    <w:rsid w:val="00565ACE"/>
    <w:rsid w:val="0056764D"/>
    <w:rsid w:val="00567E7B"/>
    <w:rsid w:val="00570D5C"/>
    <w:rsid w:val="005714AD"/>
    <w:rsid w:val="00571CF4"/>
    <w:rsid w:val="005720C3"/>
    <w:rsid w:val="00573EF9"/>
    <w:rsid w:val="00574371"/>
    <w:rsid w:val="0057482E"/>
    <w:rsid w:val="00574AB0"/>
    <w:rsid w:val="00575136"/>
    <w:rsid w:val="00575C10"/>
    <w:rsid w:val="00577B82"/>
    <w:rsid w:val="00581662"/>
    <w:rsid w:val="00581AB1"/>
    <w:rsid w:val="00581B6F"/>
    <w:rsid w:val="005835CC"/>
    <w:rsid w:val="005839B1"/>
    <w:rsid w:val="00584472"/>
    <w:rsid w:val="00584565"/>
    <w:rsid w:val="00585F76"/>
    <w:rsid w:val="005861FC"/>
    <w:rsid w:val="00586660"/>
    <w:rsid w:val="0058687A"/>
    <w:rsid w:val="00590F26"/>
    <w:rsid w:val="0059115A"/>
    <w:rsid w:val="0059245F"/>
    <w:rsid w:val="00593D6E"/>
    <w:rsid w:val="005944DA"/>
    <w:rsid w:val="00596814"/>
    <w:rsid w:val="005978A7"/>
    <w:rsid w:val="005A1612"/>
    <w:rsid w:val="005A176E"/>
    <w:rsid w:val="005A1793"/>
    <w:rsid w:val="005A2647"/>
    <w:rsid w:val="005A3C03"/>
    <w:rsid w:val="005A3FF6"/>
    <w:rsid w:val="005A44BA"/>
    <w:rsid w:val="005A476E"/>
    <w:rsid w:val="005A4FDD"/>
    <w:rsid w:val="005A55CF"/>
    <w:rsid w:val="005A7811"/>
    <w:rsid w:val="005B0012"/>
    <w:rsid w:val="005B20D7"/>
    <w:rsid w:val="005B3418"/>
    <w:rsid w:val="005B4AB1"/>
    <w:rsid w:val="005B7859"/>
    <w:rsid w:val="005B7B99"/>
    <w:rsid w:val="005C09F1"/>
    <w:rsid w:val="005C13BA"/>
    <w:rsid w:val="005C24F1"/>
    <w:rsid w:val="005C2A79"/>
    <w:rsid w:val="005C2CF3"/>
    <w:rsid w:val="005C3624"/>
    <w:rsid w:val="005C392E"/>
    <w:rsid w:val="005C40E0"/>
    <w:rsid w:val="005C44B8"/>
    <w:rsid w:val="005C45D3"/>
    <w:rsid w:val="005C545D"/>
    <w:rsid w:val="005C5DF2"/>
    <w:rsid w:val="005C6A36"/>
    <w:rsid w:val="005D0077"/>
    <w:rsid w:val="005D1286"/>
    <w:rsid w:val="005D1699"/>
    <w:rsid w:val="005D1D44"/>
    <w:rsid w:val="005D28DC"/>
    <w:rsid w:val="005D312C"/>
    <w:rsid w:val="005D31DC"/>
    <w:rsid w:val="005D32F4"/>
    <w:rsid w:val="005D4953"/>
    <w:rsid w:val="005D5731"/>
    <w:rsid w:val="005D699A"/>
    <w:rsid w:val="005D6D4B"/>
    <w:rsid w:val="005E101C"/>
    <w:rsid w:val="005E260E"/>
    <w:rsid w:val="005E2C02"/>
    <w:rsid w:val="005E5964"/>
    <w:rsid w:val="005E5B0F"/>
    <w:rsid w:val="005E6B16"/>
    <w:rsid w:val="005E7C1E"/>
    <w:rsid w:val="005F0D4A"/>
    <w:rsid w:val="005F1099"/>
    <w:rsid w:val="005F12D9"/>
    <w:rsid w:val="005F1DB0"/>
    <w:rsid w:val="005F2C59"/>
    <w:rsid w:val="005F430D"/>
    <w:rsid w:val="005F60F9"/>
    <w:rsid w:val="00600533"/>
    <w:rsid w:val="00601D9C"/>
    <w:rsid w:val="006025BF"/>
    <w:rsid w:val="00602752"/>
    <w:rsid w:val="006029A9"/>
    <w:rsid w:val="0061210F"/>
    <w:rsid w:val="00612120"/>
    <w:rsid w:val="006143EF"/>
    <w:rsid w:val="00614B83"/>
    <w:rsid w:val="0061563D"/>
    <w:rsid w:val="0061675B"/>
    <w:rsid w:val="006210D9"/>
    <w:rsid w:val="006226B0"/>
    <w:rsid w:val="006236E2"/>
    <w:rsid w:val="006240EC"/>
    <w:rsid w:val="00624A92"/>
    <w:rsid w:val="006251CF"/>
    <w:rsid w:val="00625A66"/>
    <w:rsid w:val="0062686E"/>
    <w:rsid w:val="00626C4C"/>
    <w:rsid w:val="00627CDC"/>
    <w:rsid w:val="00627E5A"/>
    <w:rsid w:val="0063125F"/>
    <w:rsid w:val="00631AEB"/>
    <w:rsid w:val="006325A4"/>
    <w:rsid w:val="0063273E"/>
    <w:rsid w:val="006343A9"/>
    <w:rsid w:val="00634A6C"/>
    <w:rsid w:val="00635823"/>
    <w:rsid w:val="00636030"/>
    <w:rsid w:val="006378D7"/>
    <w:rsid w:val="00637B75"/>
    <w:rsid w:val="00640090"/>
    <w:rsid w:val="006422FC"/>
    <w:rsid w:val="006442A5"/>
    <w:rsid w:val="00645201"/>
    <w:rsid w:val="006460C1"/>
    <w:rsid w:val="006514B1"/>
    <w:rsid w:val="00651830"/>
    <w:rsid w:val="0065186A"/>
    <w:rsid w:val="00652478"/>
    <w:rsid w:val="00653FA6"/>
    <w:rsid w:val="00654E98"/>
    <w:rsid w:val="006557D4"/>
    <w:rsid w:val="006563D1"/>
    <w:rsid w:val="006575E9"/>
    <w:rsid w:val="00657A6B"/>
    <w:rsid w:val="006602A4"/>
    <w:rsid w:val="006613D0"/>
    <w:rsid w:val="0066419E"/>
    <w:rsid w:val="00664653"/>
    <w:rsid w:val="00664C9B"/>
    <w:rsid w:val="006653E1"/>
    <w:rsid w:val="00666014"/>
    <w:rsid w:val="00666471"/>
    <w:rsid w:val="00666E2B"/>
    <w:rsid w:val="006740EF"/>
    <w:rsid w:val="00675DCB"/>
    <w:rsid w:val="00675E4A"/>
    <w:rsid w:val="0067609F"/>
    <w:rsid w:val="00680577"/>
    <w:rsid w:val="006808F0"/>
    <w:rsid w:val="00681414"/>
    <w:rsid w:val="00681615"/>
    <w:rsid w:val="006820B0"/>
    <w:rsid w:val="006825CD"/>
    <w:rsid w:val="0068302E"/>
    <w:rsid w:val="006838BA"/>
    <w:rsid w:val="00684D98"/>
    <w:rsid w:val="006855EB"/>
    <w:rsid w:val="00686EAE"/>
    <w:rsid w:val="0068717C"/>
    <w:rsid w:val="00687E73"/>
    <w:rsid w:val="00691636"/>
    <w:rsid w:val="00691E5F"/>
    <w:rsid w:val="00692046"/>
    <w:rsid w:val="006922CD"/>
    <w:rsid w:val="00692C9C"/>
    <w:rsid w:val="006935EC"/>
    <w:rsid w:val="006A0CC3"/>
    <w:rsid w:val="006A1705"/>
    <w:rsid w:val="006A2EE2"/>
    <w:rsid w:val="006A3016"/>
    <w:rsid w:val="006A3208"/>
    <w:rsid w:val="006A694A"/>
    <w:rsid w:val="006A7DD8"/>
    <w:rsid w:val="006B1718"/>
    <w:rsid w:val="006B2C43"/>
    <w:rsid w:val="006B3CEC"/>
    <w:rsid w:val="006B3E1C"/>
    <w:rsid w:val="006B3EFF"/>
    <w:rsid w:val="006B43C0"/>
    <w:rsid w:val="006B5CC3"/>
    <w:rsid w:val="006C052D"/>
    <w:rsid w:val="006C273A"/>
    <w:rsid w:val="006C2B4D"/>
    <w:rsid w:val="006C3AB4"/>
    <w:rsid w:val="006C5BCD"/>
    <w:rsid w:val="006C755A"/>
    <w:rsid w:val="006D1070"/>
    <w:rsid w:val="006D130C"/>
    <w:rsid w:val="006D1A20"/>
    <w:rsid w:val="006D268A"/>
    <w:rsid w:val="006D39B9"/>
    <w:rsid w:val="006D6B59"/>
    <w:rsid w:val="006D7700"/>
    <w:rsid w:val="006E0737"/>
    <w:rsid w:val="006E1844"/>
    <w:rsid w:val="006E20F2"/>
    <w:rsid w:val="006E2B45"/>
    <w:rsid w:val="006E2C84"/>
    <w:rsid w:val="006E2CD2"/>
    <w:rsid w:val="006E3301"/>
    <w:rsid w:val="006E372E"/>
    <w:rsid w:val="006E38B8"/>
    <w:rsid w:val="006E3BA6"/>
    <w:rsid w:val="006E44E0"/>
    <w:rsid w:val="006E57B1"/>
    <w:rsid w:val="006E5855"/>
    <w:rsid w:val="006E6277"/>
    <w:rsid w:val="006E74E0"/>
    <w:rsid w:val="006F0A7F"/>
    <w:rsid w:val="006F3A8E"/>
    <w:rsid w:val="006F4114"/>
    <w:rsid w:val="006F5529"/>
    <w:rsid w:val="006F68D0"/>
    <w:rsid w:val="006F7C96"/>
    <w:rsid w:val="00701775"/>
    <w:rsid w:val="007019D8"/>
    <w:rsid w:val="007019EC"/>
    <w:rsid w:val="007025C0"/>
    <w:rsid w:val="007029A1"/>
    <w:rsid w:val="00704555"/>
    <w:rsid w:val="00705512"/>
    <w:rsid w:val="007078CD"/>
    <w:rsid w:val="007110B3"/>
    <w:rsid w:val="00712420"/>
    <w:rsid w:val="00712492"/>
    <w:rsid w:val="007140ED"/>
    <w:rsid w:val="00715615"/>
    <w:rsid w:val="00722A40"/>
    <w:rsid w:val="00722D1B"/>
    <w:rsid w:val="0072546C"/>
    <w:rsid w:val="007260EC"/>
    <w:rsid w:val="00727B84"/>
    <w:rsid w:val="00730C59"/>
    <w:rsid w:val="007311BC"/>
    <w:rsid w:val="00732258"/>
    <w:rsid w:val="00733AF0"/>
    <w:rsid w:val="00733FE9"/>
    <w:rsid w:val="007343DC"/>
    <w:rsid w:val="007350F0"/>
    <w:rsid w:val="00735739"/>
    <w:rsid w:val="00736639"/>
    <w:rsid w:val="00736857"/>
    <w:rsid w:val="007434C3"/>
    <w:rsid w:val="00743E91"/>
    <w:rsid w:val="007441F1"/>
    <w:rsid w:val="00747617"/>
    <w:rsid w:val="00747BC2"/>
    <w:rsid w:val="00751B51"/>
    <w:rsid w:val="007527FA"/>
    <w:rsid w:val="00753416"/>
    <w:rsid w:val="007534EF"/>
    <w:rsid w:val="007539B2"/>
    <w:rsid w:val="00755031"/>
    <w:rsid w:val="0075549F"/>
    <w:rsid w:val="00755D0C"/>
    <w:rsid w:val="00756E1B"/>
    <w:rsid w:val="00761049"/>
    <w:rsid w:val="00761A3F"/>
    <w:rsid w:val="007641EE"/>
    <w:rsid w:val="00764349"/>
    <w:rsid w:val="007643CB"/>
    <w:rsid w:val="007648B7"/>
    <w:rsid w:val="0076705C"/>
    <w:rsid w:val="0076792E"/>
    <w:rsid w:val="00767AF3"/>
    <w:rsid w:val="00770207"/>
    <w:rsid w:val="00770ED6"/>
    <w:rsid w:val="007728D2"/>
    <w:rsid w:val="00773281"/>
    <w:rsid w:val="007749A4"/>
    <w:rsid w:val="00775A14"/>
    <w:rsid w:val="00781564"/>
    <w:rsid w:val="00782E6C"/>
    <w:rsid w:val="00783DE2"/>
    <w:rsid w:val="0078662D"/>
    <w:rsid w:val="007867DB"/>
    <w:rsid w:val="00786950"/>
    <w:rsid w:val="00787C1E"/>
    <w:rsid w:val="0079073C"/>
    <w:rsid w:val="00790C3F"/>
    <w:rsid w:val="00790F25"/>
    <w:rsid w:val="007911B9"/>
    <w:rsid w:val="007915B2"/>
    <w:rsid w:val="007928C8"/>
    <w:rsid w:val="00793E4D"/>
    <w:rsid w:val="00793EAC"/>
    <w:rsid w:val="007943F6"/>
    <w:rsid w:val="0079494D"/>
    <w:rsid w:val="00794FF7"/>
    <w:rsid w:val="007968EC"/>
    <w:rsid w:val="007A0120"/>
    <w:rsid w:val="007A31DB"/>
    <w:rsid w:val="007A35A0"/>
    <w:rsid w:val="007A3603"/>
    <w:rsid w:val="007A4E54"/>
    <w:rsid w:val="007A5578"/>
    <w:rsid w:val="007A7C6A"/>
    <w:rsid w:val="007B2A33"/>
    <w:rsid w:val="007B4148"/>
    <w:rsid w:val="007B414E"/>
    <w:rsid w:val="007B5EF0"/>
    <w:rsid w:val="007B71AE"/>
    <w:rsid w:val="007B79CE"/>
    <w:rsid w:val="007C1F08"/>
    <w:rsid w:val="007C26F6"/>
    <w:rsid w:val="007C3480"/>
    <w:rsid w:val="007C44AE"/>
    <w:rsid w:val="007C5046"/>
    <w:rsid w:val="007C52B7"/>
    <w:rsid w:val="007C53B3"/>
    <w:rsid w:val="007C63EC"/>
    <w:rsid w:val="007C7309"/>
    <w:rsid w:val="007D12BA"/>
    <w:rsid w:val="007D18D3"/>
    <w:rsid w:val="007D1C41"/>
    <w:rsid w:val="007D2062"/>
    <w:rsid w:val="007D51B3"/>
    <w:rsid w:val="007D58A1"/>
    <w:rsid w:val="007D5F5F"/>
    <w:rsid w:val="007E2A1A"/>
    <w:rsid w:val="007E48AD"/>
    <w:rsid w:val="007E5CC4"/>
    <w:rsid w:val="007E6248"/>
    <w:rsid w:val="007E68BA"/>
    <w:rsid w:val="007E7049"/>
    <w:rsid w:val="007E7A65"/>
    <w:rsid w:val="007F07E3"/>
    <w:rsid w:val="007F1BCE"/>
    <w:rsid w:val="007F1BDE"/>
    <w:rsid w:val="007F2037"/>
    <w:rsid w:val="007F40A8"/>
    <w:rsid w:val="007F479A"/>
    <w:rsid w:val="007F63DA"/>
    <w:rsid w:val="007F6476"/>
    <w:rsid w:val="007F657A"/>
    <w:rsid w:val="007F7354"/>
    <w:rsid w:val="007F7538"/>
    <w:rsid w:val="007F7AFD"/>
    <w:rsid w:val="00802389"/>
    <w:rsid w:val="0080314D"/>
    <w:rsid w:val="00803C42"/>
    <w:rsid w:val="00803DB3"/>
    <w:rsid w:val="00804DD4"/>
    <w:rsid w:val="00805EFD"/>
    <w:rsid w:val="008060DF"/>
    <w:rsid w:val="00806D04"/>
    <w:rsid w:val="00806D85"/>
    <w:rsid w:val="0081082F"/>
    <w:rsid w:val="00810F3C"/>
    <w:rsid w:val="008115CE"/>
    <w:rsid w:val="00812043"/>
    <w:rsid w:val="00812202"/>
    <w:rsid w:val="00814279"/>
    <w:rsid w:val="00814B0C"/>
    <w:rsid w:val="008152F8"/>
    <w:rsid w:val="00816140"/>
    <w:rsid w:val="00816CA0"/>
    <w:rsid w:val="0081749C"/>
    <w:rsid w:val="00817F7D"/>
    <w:rsid w:val="008201CB"/>
    <w:rsid w:val="00822846"/>
    <w:rsid w:val="00823272"/>
    <w:rsid w:val="00823D8A"/>
    <w:rsid w:val="00823F88"/>
    <w:rsid w:val="00824003"/>
    <w:rsid w:val="00826084"/>
    <w:rsid w:val="008311ED"/>
    <w:rsid w:val="00831B11"/>
    <w:rsid w:val="008329AF"/>
    <w:rsid w:val="0083342A"/>
    <w:rsid w:val="00834EFC"/>
    <w:rsid w:val="0083535D"/>
    <w:rsid w:val="00835856"/>
    <w:rsid w:val="008367FE"/>
    <w:rsid w:val="00840533"/>
    <w:rsid w:val="0084076E"/>
    <w:rsid w:val="0084490E"/>
    <w:rsid w:val="00845860"/>
    <w:rsid w:val="0084608A"/>
    <w:rsid w:val="008469B3"/>
    <w:rsid w:val="0085060A"/>
    <w:rsid w:val="008530D4"/>
    <w:rsid w:val="00853CA3"/>
    <w:rsid w:val="00853CBB"/>
    <w:rsid w:val="00854A71"/>
    <w:rsid w:val="00855CF9"/>
    <w:rsid w:val="00856F56"/>
    <w:rsid w:val="00857B7D"/>
    <w:rsid w:val="0086132F"/>
    <w:rsid w:val="00863FE4"/>
    <w:rsid w:val="008642AD"/>
    <w:rsid w:val="00864877"/>
    <w:rsid w:val="008649E2"/>
    <w:rsid w:val="0086578D"/>
    <w:rsid w:val="0087032E"/>
    <w:rsid w:val="00870E6F"/>
    <w:rsid w:val="008724FB"/>
    <w:rsid w:val="00873D65"/>
    <w:rsid w:val="008757C9"/>
    <w:rsid w:val="00875CA9"/>
    <w:rsid w:val="00882641"/>
    <w:rsid w:val="008833FB"/>
    <w:rsid w:val="00883A29"/>
    <w:rsid w:val="008847A2"/>
    <w:rsid w:val="00884B15"/>
    <w:rsid w:val="00890C19"/>
    <w:rsid w:val="00890C1B"/>
    <w:rsid w:val="008917F9"/>
    <w:rsid w:val="00891C97"/>
    <w:rsid w:val="00893A3E"/>
    <w:rsid w:val="00894CB1"/>
    <w:rsid w:val="00897B92"/>
    <w:rsid w:val="00897D80"/>
    <w:rsid w:val="008A0619"/>
    <w:rsid w:val="008A0FA8"/>
    <w:rsid w:val="008A1B3C"/>
    <w:rsid w:val="008A3320"/>
    <w:rsid w:val="008A390F"/>
    <w:rsid w:val="008A3B10"/>
    <w:rsid w:val="008A3DA2"/>
    <w:rsid w:val="008A7541"/>
    <w:rsid w:val="008B02D2"/>
    <w:rsid w:val="008B06AB"/>
    <w:rsid w:val="008B1569"/>
    <w:rsid w:val="008B2033"/>
    <w:rsid w:val="008B20FA"/>
    <w:rsid w:val="008B28A0"/>
    <w:rsid w:val="008B2A2D"/>
    <w:rsid w:val="008B2BAA"/>
    <w:rsid w:val="008B2DE6"/>
    <w:rsid w:val="008B2EDA"/>
    <w:rsid w:val="008B4925"/>
    <w:rsid w:val="008B53BC"/>
    <w:rsid w:val="008B5936"/>
    <w:rsid w:val="008B64CE"/>
    <w:rsid w:val="008B6E40"/>
    <w:rsid w:val="008B7F50"/>
    <w:rsid w:val="008B7FB5"/>
    <w:rsid w:val="008C00A2"/>
    <w:rsid w:val="008C0306"/>
    <w:rsid w:val="008C07B8"/>
    <w:rsid w:val="008C1459"/>
    <w:rsid w:val="008C2481"/>
    <w:rsid w:val="008C3902"/>
    <w:rsid w:val="008C47E6"/>
    <w:rsid w:val="008C4DFE"/>
    <w:rsid w:val="008C5580"/>
    <w:rsid w:val="008C6789"/>
    <w:rsid w:val="008D0115"/>
    <w:rsid w:val="008D03B6"/>
    <w:rsid w:val="008D06B4"/>
    <w:rsid w:val="008D07EB"/>
    <w:rsid w:val="008D1B59"/>
    <w:rsid w:val="008D4697"/>
    <w:rsid w:val="008D5BB7"/>
    <w:rsid w:val="008D6897"/>
    <w:rsid w:val="008D70B6"/>
    <w:rsid w:val="008D7E64"/>
    <w:rsid w:val="008E1AB8"/>
    <w:rsid w:val="008E1AFA"/>
    <w:rsid w:val="008E262E"/>
    <w:rsid w:val="008E273C"/>
    <w:rsid w:val="008E2872"/>
    <w:rsid w:val="008E43A2"/>
    <w:rsid w:val="008E4BAE"/>
    <w:rsid w:val="008E683D"/>
    <w:rsid w:val="008E6EE9"/>
    <w:rsid w:val="008E726D"/>
    <w:rsid w:val="008F057D"/>
    <w:rsid w:val="008F0EBF"/>
    <w:rsid w:val="008F1BBC"/>
    <w:rsid w:val="008F2E06"/>
    <w:rsid w:val="008F3B36"/>
    <w:rsid w:val="008F421D"/>
    <w:rsid w:val="008F45E6"/>
    <w:rsid w:val="008F5297"/>
    <w:rsid w:val="008F58CD"/>
    <w:rsid w:val="008F6E8F"/>
    <w:rsid w:val="0090071B"/>
    <w:rsid w:val="009025F4"/>
    <w:rsid w:val="009030EE"/>
    <w:rsid w:val="009036BF"/>
    <w:rsid w:val="009050B7"/>
    <w:rsid w:val="0090647B"/>
    <w:rsid w:val="009068E2"/>
    <w:rsid w:val="00907D8D"/>
    <w:rsid w:val="009104CF"/>
    <w:rsid w:val="009121CE"/>
    <w:rsid w:val="00913886"/>
    <w:rsid w:val="00916A47"/>
    <w:rsid w:val="00916D08"/>
    <w:rsid w:val="00917BC7"/>
    <w:rsid w:val="00920A16"/>
    <w:rsid w:val="00921040"/>
    <w:rsid w:val="0092165A"/>
    <w:rsid w:val="00922567"/>
    <w:rsid w:val="0092561B"/>
    <w:rsid w:val="00927A88"/>
    <w:rsid w:val="00927DFA"/>
    <w:rsid w:val="00927FAE"/>
    <w:rsid w:val="00930163"/>
    <w:rsid w:val="00930FC9"/>
    <w:rsid w:val="00931A22"/>
    <w:rsid w:val="009321FD"/>
    <w:rsid w:val="009325FA"/>
    <w:rsid w:val="00932FE0"/>
    <w:rsid w:val="009330BE"/>
    <w:rsid w:val="0093464F"/>
    <w:rsid w:val="00934E98"/>
    <w:rsid w:val="0093731D"/>
    <w:rsid w:val="00937889"/>
    <w:rsid w:val="00937EB0"/>
    <w:rsid w:val="0094010A"/>
    <w:rsid w:val="00942A5A"/>
    <w:rsid w:val="0094368A"/>
    <w:rsid w:val="00944F1B"/>
    <w:rsid w:val="00945FB9"/>
    <w:rsid w:val="00945FDE"/>
    <w:rsid w:val="00946AF2"/>
    <w:rsid w:val="00947DCF"/>
    <w:rsid w:val="00950942"/>
    <w:rsid w:val="00950DCE"/>
    <w:rsid w:val="00951036"/>
    <w:rsid w:val="00951A9F"/>
    <w:rsid w:val="00951CF9"/>
    <w:rsid w:val="0095217A"/>
    <w:rsid w:val="009530B7"/>
    <w:rsid w:val="0095481B"/>
    <w:rsid w:val="00954EA2"/>
    <w:rsid w:val="009550E4"/>
    <w:rsid w:val="0095634E"/>
    <w:rsid w:val="009564E6"/>
    <w:rsid w:val="009565BC"/>
    <w:rsid w:val="00957754"/>
    <w:rsid w:val="00962B24"/>
    <w:rsid w:val="00963882"/>
    <w:rsid w:val="00963CC7"/>
    <w:rsid w:val="00963EEC"/>
    <w:rsid w:val="00963FE9"/>
    <w:rsid w:val="009645B6"/>
    <w:rsid w:val="00964992"/>
    <w:rsid w:val="00964D59"/>
    <w:rsid w:val="00967012"/>
    <w:rsid w:val="00967804"/>
    <w:rsid w:val="00967B4E"/>
    <w:rsid w:val="0097097C"/>
    <w:rsid w:val="0097142E"/>
    <w:rsid w:val="0097163F"/>
    <w:rsid w:val="009719A0"/>
    <w:rsid w:val="00972209"/>
    <w:rsid w:val="00972696"/>
    <w:rsid w:val="00972759"/>
    <w:rsid w:val="00972A8D"/>
    <w:rsid w:val="00973660"/>
    <w:rsid w:val="00977164"/>
    <w:rsid w:val="009801F2"/>
    <w:rsid w:val="00980ADC"/>
    <w:rsid w:val="009825A9"/>
    <w:rsid w:val="009837F7"/>
    <w:rsid w:val="00983A53"/>
    <w:rsid w:val="009842FE"/>
    <w:rsid w:val="00984740"/>
    <w:rsid w:val="0099186E"/>
    <w:rsid w:val="009918B2"/>
    <w:rsid w:val="00991D3F"/>
    <w:rsid w:val="009920F9"/>
    <w:rsid w:val="00992D69"/>
    <w:rsid w:val="00995F13"/>
    <w:rsid w:val="0099680C"/>
    <w:rsid w:val="00996858"/>
    <w:rsid w:val="00997528"/>
    <w:rsid w:val="009A07C2"/>
    <w:rsid w:val="009A10C7"/>
    <w:rsid w:val="009A1969"/>
    <w:rsid w:val="009A334E"/>
    <w:rsid w:val="009A38BD"/>
    <w:rsid w:val="009A413F"/>
    <w:rsid w:val="009A4E9B"/>
    <w:rsid w:val="009A67C2"/>
    <w:rsid w:val="009A7518"/>
    <w:rsid w:val="009B115E"/>
    <w:rsid w:val="009B2596"/>
    <w:rsid w:val="009B292E"/>
    <w:rsid w:val="009B3A23"/>
    <w:rsid w:val="009B4781"/>
    <w:rsid w:val="009B4796"/>
    <w:rsid w:val="009B4D59"/>
    <w:rsid w:val="009B546D"/>
    <w:rsid w:val="009B69BE"/>
    <w:rsid w:val="009C0456"/>
    <w:rsid w:val="009C12E7"/>
    <w:rsid w:val="009C1EA6"/>
    <w:rsid w:val="009C29B0"/>
    <w:rsid w:val="009C3FFD"/>
    <w:rsid w:val="009C47F6"/>
    <w:rsid w:val="009C535A"/>
    <w:rsid w:val="009C5B72"/>
    <w:rsid w:val="009C5C6D"/>
    <w:rsid w:val="009C5FE0"/>
    <w:rsid w:val="009C7338"/>
    <w:rsid w:val="009C75FA"/>
    <w:rsid w:val="009D1948"/>
    <w:rsid w:val="009D1F23"/>
    <w:rsid w:val="009D43C1"/>
    <w:rsid w:val="009D4E20"/>
    <w:rsid w:val="009D4E88"/>
    <w:rsid w:val="009D5C66"/>
    <w:rsid w:val="009D5DF7"/>
    <w:rsid w:val="009E0E17"/>
    <w:rsid w:val="009E1124"/>
    <w:rsid w:val="009E124A"/>
    <w:rsid w:val="009E2B2A"/>
    <w:rsid w:val="009E38DD"/>
    <w:rsid w:val="009E4BFF"/>
    <w:rsid w:val="009E6EB6"/>
    <w:rsid w:val="009E765C"/>
    <w:rsid w:val="009F1AF7"/>
    <w:rsid w:val="009F2093"/>
    <w:rsid w:val="009F2E59"/>
    <w:rsid w:val="009F2F6F"/>
    <w:rsid w:val="009F36E4"/>
    <w:rsid w:val="009F668C"/>
    <w:rsid w:val="00A01E86"/>
    <w:rsid w:val="00A02528"/>
    <w:rsid w:val="00A02A0B"/>
    <w:rsid w:val="00A02DF8"/>
    <w:rsid w:val="00A0305D"/>
    <w:rsid w:val="00A03A50"/>
    <w:rsid w:val="00A054CC"/>
    <w:rsid w:val="00A05738"/>
    <w:rsid w:val="00A057AF"/>
    <w:rsid w:val="00A11839"/>
    <w:rsid w:val="00A12E3B"/>
    <w:rsid w:val="00A13B5A"/>
    <w:rsid w:val="00A14944"/>
    <w:rsid w:val="00A15FCC"/>
    <w:rsid w:val="00A17E23"/>
    <w:rsid w:val="00A20F3C"/>
    <w:rsid w:val="00A2181B"/>
    <w:rsid w:val="00A21A19"/>
    <w:rsid w:val="00A2278F"/>
    <w:rsid w:val="00A22D4A"/>
    <w:rsid w:val="00A23341"/>
    <w:rsid w:val="00A23A8E"/>
    <w:rsid w:val="00A24B82"/>
    <w:rsid w:val="00A2550B"/>
    <w:rsid w:val="00A27761"/>
    <w:rsid w:val="00A279C7"/>
    <w:rsid w:val="00A27FC4"/>
    <w:rsid w:val="00A319A0"/>
    <w:rsid w:val="00A31D72"/>
    <w:rsid w:val="00A32751"/>
    <w:rsid w:val="00A330C8"/>
    <w:rsid w:val="00A34CFF"/>
    <w:rsid w:val="00A352A4"/>
    <w:rsid w:val="00A354F0"/>
    <w:rsid w:val="00A35E6C"/>
    <w:rsid w:val="00A369ED"/>
    <w:rsid w:val="00A37455"/>
    <w:rsid w:val="00A37C78"/>
    <w:rsid w:val="00A41109"/>
    <w:rsid w:val="00A417FA"/>
    <w:rsid w:val="00A41DD5"/>
    <w:rsid w:val="00A423CC"/>
    <w:rsid w:val="00A42800"/>
    <w:rsid w:val="00A45C6C"/>
    <w:rsid w:val="00A47BF8"/>
    <w:rsid w:val="00A5244D"/>
    <w:rsid w:val="00A531B3"/>
    <w:rsid w:val="00A54328"/>
    <w:rsid w:val="00A54A77"/>
    <w:rsid w:val="00A54D8A"/>
    <w:rsid w:val="00A555BA"/>
    <w:rsid w:val="00A56A51"/>
    <w:rsid w:val="00A607F2"/>
    <w:rsid w:val="00A60A03"/>
    <w:rsid w:val="00A62202"/>
    <w:rsid w:val="00A62689"/>
    <w:rsid w:val="00A639BD"/>
    <w:rsid w:val="00A63E3A"/>
    <w:rsid w:val="00A64804"/>
    <w:rsid w:val="00A65AC0"/>
    <w:rsid w:val="00A66FC9"/>
    <w:rsid w:val="00A6734A"/>
    <w:rsid w:val="00A6770C"/>
    <w:rsid w:val="00A67A85"/>
    <w:rsid w:val="00A70637"/>
    <w:rsid w:val="00A7091E"/>
    <w:rsid w:val="00A70DDE"/>
    <w:rsid w:val="00A71A6C"/>
    <w:rsid w:val="00A726C4"/>
    <w:rsid w:val="00A7610F"/>
    <w:rsid w:val="00A77DDF"/>
    <w:rsid w:val="00A80754"/>
    <w:rsid w:val="00A808AD"/>
    <w:rsid w:val="00A8192B"/>
    <w:rsid w:val="00A821E1"/>
    <w:rsid w:val="00A839AD"/>
    <w:rsid w:val="00A83C0D"/>
    <w:rsid w:val="00A86D03"/>
    <w:rsid w:val="00A9045F"/>
    <w:rsid w:val="00A90551"/>
    <w:rsid w:val="00A90606"/>
    <w:rsid w:val="00A92605"/>
    <w:rsid w:val="00A92834"/>
    <w:rsid w:val="00A97AE4"/>
    <w:rsid w:val="00AA0A39"/>
    <w:rsid w:val="00AA14D3"/>
    <w:rsid w:val="00AA17E6"/>
    <w:rsid w:val="00AA4B4B"/>
    <w:rsid w:val="00AA4C80"/>
    <w:rsid w:val="00AA5FA6"/>
    <w:rsid w:val="00AA647E"/>
    <w:rsid w:val="00AB0239"/>
    <w:rsid w:val="00AB120E"/>
    <w:rsid w:val="00AB229E"/>
    <w:rsid w:val="00AB2BBD"/>
    <w:rsid w:val="00AB619D"/>
    <w:rsid w:val="00AB71F2"/>
    <w:rsid w:val="00AC11DE"/>
    <w:rsid w:val="00AC2FC2"/>
    <w:rsid w:val="00AC463D"/>
    <w:rsid w:val="00AC5131"/>
    <w:rsid w:val="00AC6443"/>
    <w:rsid w:val="00AC6486"/>
    <w:rsid w:val="00AD043F"/>
    <w:rsid w:val="00AD0998"/>
    <w:rsid w:val="00AD0CD3"/>
    <w:rsid w:val="00AD191D"/>
    <w:rsid w:val="00AD3852"/>
    <w:rsid w:val="00AD3B92"/>
    <w:rsid w:val="00AD41CE"/>
    <w:rsid w:val="00AD59BA"/>
    <w:rsid w:val="00AE1885"/>
    <w:rsid w:val="00AE2489"/>
    <w:rsid w:val="00AE2697"/>
    <w:rsid w:val="00AE47D8"/>
    <w:rsid w:val="00AE6168"/>
    <w:rsid w:val="00AF1240"/>
    <w:rsid w:val="00AF402A"/>
    <w:rsid w:val="00AF42DB"/>
    <w:rsid w:val="00AF49D1"/>
    <w:rsid w:val="00AF5331"/>
    <w:rsid w:val="00AF5F63"/>
    <w:rsid w:val="00AF61AE"/>
    <w:rsid w:val="00AF6857"/>
    <w:rsid w:val="00AF72D1"/>
    <w:rsid w:val="00AF7899"/>
    <w:rsid w:val="00AF7A3A"/>
    <w:rsid w:val="00AFAA03"/>
    <w:rsid w:val="00B0060E"/>
    <w:rsid w:val="00B00C6E"/>
    <w:rsid w:val="00B02229"/>
    <w:rsid w:val="00B037A3"/>
    <w:rsid w:val="00B04EEB"/>
    <w:rsid w:val="00B05353"/>
    <w:rsid w:val="00B0607C"/>
    <w:rsid w:val="00B07260"/>
    <w:rsid w:val="00B07B10"/>
    <w:rsid w:val="00B11156"/>
    <w:rsid w:val="00B12DB8"/>
    <w:rsid w:val="00B14C13"/>
    <w:rsid w:val="00B15A8D"/>
    <w:rsid w:val="00B15FAB"/>
    <w:rsid w:val="00B16B15"/>
    <w:rsid w:val="00B16BDB"/>
    <w:rsid w:val="00B172D3"/>
    <w:rsid w:val="00B222BE"/>
    <w:rsid w:val="00B23BAB"/>
    <w:rsid w:val="00B26B5F"/>
    <w:rsid w:val="00B278DB"/>
    <w:rsid w:val="00B27B23"/>
    <w:rsid w:val="00B30921"/>
    <w:rsid w:val="00B30BC8"/>
    <w:rsid w:val="00B318E6"/>
    <w:rsid w:val="00B31FA8"/>
    <w:rsid w:val="00B32780"/>
    <w:rsid w:val="00B32CEF"/>
    <w:rsid w:val="00B334DC"/>
    <w:rsid w:val="00B36438"/>
    <w:rsid w:val="00B37651"/>
    <w:rsid w:val="00B422C3"/>
    <w:rsid w:val="00B4231A"/>
    <w:rsid w:val="00B433E3"/>
    <w:rsid w:val="00B44216"/>
    <w:rsid w:val="00B47676"/>
    <w:rsid w:val="00B50022"/>
    <w:rsid w:val="00B51272"/>
    <w:rsid w:val="00B5347D"/>
    <w:rsid w:val="00B53EE2"/>
    <w:rsid w:val="00B54109"/>
    <w:rsid w:val="00B5413F"/>
    <w:rsid w:val="00B547A7"/>
    <w:rsid w:val="00B564CD"/>
    <w:rsid w:val="00B60005"/>
    <w:rsid w:val="00B61072"/>
    <w:rsid w:val="00B6317C"/>
    <w:rsid w:val="00B638A5"/>
    <w:rsid w:val="00B645A1"/>
    <w:rsid w:val="00B65848"/>
    <w:rsid w:val="00B67EEE"/>
    <w:rsid w:val="00B719B0"/>
    <w:rsid w:val="00B751AC"/>
    <w:rsid w:val="00B75982"/>
    <w:rsid w:val="00B759A6"/>
    <w:rsid w:val="00B75E0F"/>
    <w:rsid w:val="00B768CC"/>
    <w:rsid w:val="00B778A1"/>
    <w:rsid w:val="00B778D3"/>
    <w:rsid w:val="00B77B72"/>
    <w:rsid w:val="00B806B7"/>
    <w:rsid w:val="00B82785"/>
    <w:rsid w:val="00B82C98"/>
    <w:rsid w:val="00B8408C"/>
    <w:rsid w:val="00B84564"/>
    <w:rsid w:val="00B8470A"/>
    <w:rsid w:val="00B84D8E"/>
    <w:rsid w:val="00B8543F"/>
    <w:rsid w:val="00B85651"/>
    <w:rsid w:val="00B85735"/>
    <w:rsid w:val="00B85B2A"/>
    <w:rsid w:val="00B86614"/>
    <w:rsid w:val="00B8670E"/>
    <w:rsid w:val="00B90425"/>
    <w:rsid w:val="00B91E67"/>
    <w:rsid w:val="00B940A8"/>
    <w:rsid w:val="00B951C1"/>
    <w:rsid w:val="00B966B7"/>
    <w:rsid w:val="00B96824"/>
    <w:rsid w:val="00BA15FC"/>
    <w:rsid w:val="00BA2387"/>
    <w:rsid w:val="00BA28A7"/>
    <w:rsid w:val="00BA35CD"/>
    <w:rsid w:val="00BA37D0"/>
    <w:rsid w:val="00BA3A80"/>
    <w:rsid w:val="00BA5A3A"/>
    <w:rsid w:val="00BA5B11"/>
    <w:rsid w:val="00BA604E"/>
    <w:rsid w:val="00BA68BB"/>
    <w:rsid w:val="00BA6B98"/>
    <w:rsid w:val="00BA71F3"/>
    <w:rsid w:val="00BB0404"/>
    <w:rsid w:val="00BB1E3F"/>
    <w:rsid w:val="00BB1EFD"/>
    <w:rsid w:val="00BB4778"/>
    <w:rsid w:val="00BB4E75"/>
    <w:rsid w:val="00BB5FEE"/>
    <w:rsid w:val="00BB6AF4"/>
    <w:rsid w:val="00BC031A"/>
    <w:rsid w:val="00BC07F4"/>
    <w:rsid w:val="00BC1E09"/>
    <w:rsid w:val="00BC2C51"/>
    <w:rsid w:val="00BC36EC"/>
    <w:rsid w:val="00BC3C18"/>
    <w:rsid w:val="00BC48BF"/>
    <w:rsid w:val="00BC57FA"/>
    <w:rsid w:val="00BC644B"/>
    <w:rsid w:val="00BC6FA1"/>
    <w:rsid w:val="00BC7F16"/>
    <w:rsid w:val="00BD0E2C"/>
    <w:rsid w:val="00BD199B"/>
    <w:rsid w:val="00BD588C"/>
    <w:rsid w:val="00BD7173"/>
    <w:rsid w:val="00BE24F7"/>
    <w:rsid w:val="00BE6F39"/>
    <w:rsid w:val="00BE7C84"/>
    <w:rsid w:val="00BF085D"/>
    <w:rsid w:val="00BF1281"/>
    <w:rsid w:val="00BF1D59"/>
    <w:rsid w:val="00BF4AF3"/>
    <w:rsid w:val="00BF4CFE"/>
    <w:rsid w:val="00BF59A0"/>
    <w:rsid w:val="00BF6D74"/>
    <w:rsid w:val="00C03171"/>
    <w:rsid w:val="00C034D2"/>
    <w:rsid w:val="00C0476A"/>
    <w:rsid w:val="00C06369"/>
    <w:rsid w:val="00C06D48"/>
    <w:rsid w:val="00C12819"/>
    <w:rsid w:val="00C12FCE"/>
    <w:rsid w:val="00C1487C"/>
    <w:rsid w:val="00C14FBF"/>
    <w:rsid w:val="00C16317"/>
    <w:rsid w:val="00C16D6E"/>
    <w:rsid w:val="00C17199"/>
    <w:rsid w:val="00C17852"/>
    <w:rsid w:val="00C21170"/>
    <w:rsid w:val="00C2164A"/>
    <w:rsid w:val="00C233FE"/>
    <w:rsid w:val="00C25FDD"/>
    <w:rsid w:val="00C27321"/>
    <w:rsid w:val="00C30DD3"/>
    <w:rsid w:val="00C3119B"/>
    <w:rsid w:val="00C31755"/>
    <w:rsid w:val="00C317D5"/>
    <w:rsid w:val="00C330B0"/>
    <w:rsid w:val="00C335C3"/>
    <w:rsid w:val="00C40B80"/>
    <w:rsid w:val="00C415AB"/>
    <w:rsid w:val="00C42BF8"/>
    <w:rsid w:val="00C43035"/>
    <w:rsid w:val="00C431CA"/>
    <w:rsid w:val="00C43BAC"/>
    <w:rsid w:val="00C43C22"/>
    <w:rsid w:val="00C43EC6"/>
    <w:rsid w:val="00C45AA6"/>
    <w:rsid w:val="00C462CF"/>
    <w:rsid w:val="00C46E9E"/>
    <w:rsid w:val="00C516B8"/>
    <w:rsid w:val="00C52388"/>
    <w:rsid w:val="00C52A85"/>
    <w:rsid w:val="00C52F05"/>
    <w:rsid w:val="00C538AC"/>
    <w:rsid w:val="00C56012"/>
    <w:rsid w:val="00C56C63"/>
    <w:rsid w:val="00C6024F"/>
    <w:rsid w:val="00C609B5"/>
    <w:rsid w:val="00C67C65"/>
    <w:rsid w:val="00C73216"/>
    <w:rsid w:val="00C755A4"/>
    <w:rsid w:val="00C755F9"/>
    <w:rsid w:val="00C75BEF"/>
    <w:rsid w:val="00C76C60"/>
    <w:rsid w:val="00C80ED2"/>
    <w:rsid w:val="00C812E9"/>
    <w:rsid w:val="00C8137F"/>
    <w:rsid w:val="00C81967"/>
    <w:rsid w:val="00C82456"/>
    <w:rsid w:val="00C82860"/>
    <w:rsid w:val="00C83635"/>
    <w:rsid w:val="00C850BC"/>
    <w:rsid w:val="00C86776"/>
    <w:rsid w:val="00C872C1"/>
    <w:rsid w:val="00C9051E"/>
    <w:rsid w:val="00C9518B"/>
    <w:rsid w:val="00C9629E"/>
    <w:rsid w:val="00C9710F"/>
    <w:rsid w:val="00CA0839"/>
    <w:rsid w:val="00CA152F"/>
    <w:rsid w:val="00CA530B"/>
    <w:rsid w:val="00CA56BB"/>
    <w:rsid w:val="00CA5F5D"/>
    <w:rsid w:val="00CA6867"/>
    <w:rsid w:val="00CA733A"/>
    <w:rsid w:val="00CA7931"/>
    <w:rsid w:val="00CB2656"/>
    <w:rsid w:val="00CB275E"/>
    <w:rsid w:val="00CB43B2"/>
    <w:rsid w:val="00CB4AFE"/>
    <w:rsid w:val="00CB4B46"/>
    <w:rsid w:val="00CB4F78"/>
    <w:rsid w:val="00CB679D"/>
    <w:rsid w:val="00CB6E6F"/>
    <w:rsid w:val="00CB7AC2"/>
    <w:rsid w:val="00CB7B16"/>
    <w:rsid w:val="00CC1190"/>
    <w:rsid w:val="00CC1813"/>
    <w:rsid w:val="00CC1D83"/>
    <w:rsid w:val="00CC2622"/>
    <w:rsid w:val="00CC315E"/>
    <w:rsid w:val="00CC5D65"/>
    <w:rsid w:val="00CC5FA0"/>
    <w:rsid w:val="00CC62A8"/>
    <w:rsid w:val="00CC6B44"/>
    <w:rsid w:val="00CC7779"/>
    <w:rsid w:val="00CD1229"/>
    <w:rsid w:val="00CD227E"/>
    <w:rsid w:val="00CD26C1"/>
    <w:rsid w:val="00CD40EB"/>
    <w:rsid w:val="00CD41BF"/>
    <w:rsid w:val="00CD5019"/>
    <w:rsid w:val="00CD5E2B"/>
    <w:rsid w:val="00CD7F81"/>
    <w:rsid w:val="00CE0FE2"/>
    <w:rsid w:val="00CE1292"/>
    <w:rsid w:val="00CE197E"/>
    <w:rsid w:val="00CE1B00"/>
    <w:rsid w:val="00CE1CC2"/>
    <w:rsid w:val="00CE1ED2"/>
    <w:rsid w:val="00CE20CC"/>
    <w:rsid w:val="00CE27D7"/>
    <w:rsid w:val="00CE4368"/>
    <w:rsid w:val="00CE49B9"/>
    <w:rsid w:val="00CE4A49"/>
    <w:rsid w:val="00CE5897"/>
    <w:rsid w:val="00CE716A"/>
    <w:rsid w:val="00CE7D2F"/>
    <w:rsid w:val="00CF091B"/>
    <w:rsid w:val="00CF21FC"/>
    <w:rsid w:val="00CF23D1"/>
    <w:rsid w:val="00CF4094"/>
    <w:rsid w:val="00CF4D38"/>
    <w:rsid w:val="00CF4F69"/>
    <w:rsid w:val="00CF59A9"/>
    <w:rsid w:val="00CF7644"/>
    <w:rsid w:val="00D00A9E"/>
    <w:rsid w:val="00D00FE7"/>
    <w:rsid w:val="00D010F4"/>
    <w:rsid w:val="00D013BB"/>
    <w:rsid w:val="00D035CA"/>
    <w:rsid w:val="00D06976"/>
    <w:rsid w:val="00D06BFF"/>
    <w:rsid w:val="00D079D1"/>
    <w:rsid w:val="00D07A82"/>
    <w:rsid w:val="00D1083A"/>
    <w:rsid w:val="00D10D18"/>
    <w:rsid w:val="00D13A95"/>
    <w:rsid w:val="00D13B77"/>
    <w:rsid w:val="00D14625"/>
    <w:rsid w:val="00D155A9"/>
    <w:rsid w:val="00D15710"/>
    <w:rsid w:val="00D164A8"/>
    <w:rsid w:val="00D16DCE"/>
    <w:rsid w:val="00D175A7"/>
    <w:rsid w:val="00D17932"/>
    <w:rsid w:val="00D179EF"/>
    <w:rsid w:val="00D2179E"/>
    <w:rsid w:val="00D227AA"/>
    <w:rsid w:val="00D2289F"/>
    <w:rsid w:val="00D23462"/>
    <w:rsid w:val="00D23820"/>
    <w:rsid w:val="00D2492C"/>
    <w:rsid w:val="00D257EC"/>
    <w:rsid w:val="00D262CD"/>
    <w:rsid w:val="00D26DEC"/>
    <w:rsid w:val="00D30FF1"/>
    <w:rsid w:val="00D31557"/>
    <w:rsid w:val="00D33951"/>
    <w:rsid w:val="00D33DC7"/>
    <w:rsid w:val="00D36767"/>
    <w:rsid w:val="00D4139C"/>
    <w:rsid w:val="00D42F41"/>
    <w:rsid w:val="00D43ABF"/>
    <w:rsid w:val="00D45722"/>
    <w:rsid w:val="00D4574A"/>
    <w:rsid w:val="00D45A4D"/>
    <w:rsid w:val="00D46007"/>
    <w:rsid w:val="00D46476"/>
    <w:rsid w:val="00D47B99"/>
    <w:rsid w:val="00D51692"/>
    <w:rsid w:val="00D528AD"/>
    <w:rsid w:val="00D52CA5"/>
    <w:rsid w:val="00D54A27"/>
    <w:rsid w:val="00D54FDD"/>
    <w:rsid w:val="00D5598B"/>
    <w:rsid w:val="00D565F2"/>
    <w:rsid w:val="00D56CBE"/>
    <w:rsid w:val="00D56E30"/>
    <w:rsid w:val="00D61000"/>
    <w:rsid w:val="00D61E24"/>
    <w:rsid w:val="00D62185"/>
    <w:rsid w:val="00D6226D"/>
    <w:rsid w:val="00D6296A"/>
    <w:rsid w:val="00D6297A"/>
    <w:rsid w:val="00D63A8A"/>
    <w:rsid w:val="00D64E7D"/>
    <w:rsid w:val="00D657E1"/>
    <w:rsid w:val="00D66607"/>
    <w:rsid w:val="00D709DC"/>
    <w:rsid w:val="00D71186"/>
    <w:rsid w:val="00D72FF6"/>
    <w:rsid w:val="00D755CC"/>
    <w:rsid w:val="00D764BF"/>
    <w:rsid w:val="00D77416"/>
    <w:rsid w:val="00D816CA"/>
    <w:rsid w:val="00D8340A"/>
    <w:rsid w:val="00D844AF"/>
    <w:rsid w:val="00D84A54"/>
    <w:rsid w:val="00D85BE2"/>
    <w:rsid w:val="00D9047E"/>
    <w:rsid w:val="00D908CD"/>
    <w:rsid w:val="00D90CEE"/>
    <w:rsid w:val="00D9148A"/>
    <w:rsid w:val="00D9197D"/>
    <w:rsid w:val="00D92447"/>
    <w:rsid w:val="00D934B0"/>
    <w:rsid w:val="00D944F8"/>
    <w:rsid w:val="00D94C9D"/>
    <w:rsid w:val="00D96CBF"/>
    <w:rsid w:val="00DA035C"/>
    <w:rsid w:val="00DA1523"/>
    <w:rsid w:val="00DA16EE"/>
    <w:rsid w:val="00DA17A5"/>
    <w:rsid w:val="00DA4BCE"/>
    <w:rsid w:val="00DA5051"/>
    <w:rsid w:val="00DA5736"/>
    <w:rsid w:val="00DA67D5"/>
    <w:rsid w:val="00DA6909"/>
    <w:rsid w:val="00DA7609"/>
    <w:rsid w:val="00DB02DB"/>
    <w:rsid w:val="00DB1973"/>
    <w:rsid w:val="00DB20AD"/>
    <w:rsid w:val="00DB2582"/>
    <w:rsid w:val="00DB59F3"/>
    <w:rsid w:val="00DB7277"/>
    <w:rsid w:val="00DB795F"/>
    <w:rsid w:val="00DC06F0"/>
    <w:rsid w:val="00DC081B"/>
    <w:rsid w:val="00DC16AA"/>
    <w:rsid w:val="00DC34A8"/>
    <w:rsid w:val="00DC3ADF"/>
    <w:rsid w:val="00DC3CD1"/>
    <w:rsid w:val="00DC3D59"/>
    <w:rsid w:val="00DC45FE"/>
    <w:rsid w:val="00DC5D45"/>
    <w:rsid w:val="00DC6D9E"/>
    <w:rsid w:val="00DC7965"/>
    <w:rsid w:val="00DD0E4D"/>
    <w:rsid w:val="00DD1336"/>
    <w:rsid w:val="00DD2E70"/>
    <w:rsid w:val="00DD42D2"/>
    <w:rsid w:val="00DD48EA"/>
    <w:rsid w:val="00DD4BB0"/>
    <w:rsid w:val="00DD6257"/>
    <w:rsid w:val="00DD7F51"/>
    <w:rsid w:val="00DE3715"/>
    <w:rsid w:val="00DE56D6"/>
    <w:rsid w:val="00DE6CDF"/>
    <w:rsid w:val="00DE6D3B"/>
    <w:rsid w:val="00DE717A"/>
    <w:rsid w:val="00DE7DB2"/>
    <w:rsid w:val="00DF0383"/>
    <w:rsid w:val="00DF0639"/>
    <w:rsid w:val="00DF0A01"/>
    <w:rsid w:val="00DF0C69"/>
    <w:rsid w:val="00DF0E8E"/>
    <w:rsid w:val="00DF1DA7"/>
    <w:rsid w:val="00DF1EE5"/>
    <w:rsid w:val="00DF792F"/>
    <w:rsid w:val="00DF7D0C"/>
    <w:rsid w:val="00E008B6"/>
    <w:rsid w:val="00E009DC"/>
    <w:rsid w:val="00E01B8B"/>
    <w:rsid w:val="00E024FC"/>
    <w:rsid w:val="00E02580"/>
    <w:rsid w:val="00E02A69"/>
    <w:rsid w:val="00E030A9"/>
    <w:rsid w:val="00E05EA7"/>
    <w:rsid w:val="00E078D9"/>
    <w:rsid w:val="00E07FD4"/>
    <w:rsid w:val="00E10773"/>
    <w:rsid w:val="00E10AE5"/>
    <w:rsid w:val="00E1305C"/>
    <w:rsid w:val="00E1356E"/>
    <w:rsid w:val="00E1361F"/>
    <w:rsid w:val="00E1391A"/>
    <w:rsid w:val="00E13DD3"/>
    <w:rsid w:val="00E140F9"/>
    <w:rsid w:val="00E142D7"/>
    <w:rsid w:val="00E14955"/>
    <w:rsid w:val="00E1531B"/>
    <w:rsid w:val="00E16735"/>
    <w:rsid w:val="00E17012"/>
    <w:rsid w:val="00E1711E"/>
    <w:rsid w:val="00E17A2F"/>
    <w:rsid w:val="00E20B50"/>
    <w:rsid w:val="00E21872"/>
    <w:rsid w:val="00E21E1F"/>
    <w:rsid w:val="00E245D7"/>
    <w:rsid w:val="00E2530E"/>
    <w:rsid w:val="00E26FD7"/>
    <w:rsid w:val="00E2733A"/>
    <w:rsid w:val="00E278CD"/>
    <w:rsid w:val="00E3034C"/>
    <w:rsid w:val="00E3049F"/>
    <w:rsid w:val="00E30881"/>
    <w:rsid w:val="00E30CA0"/>
    <w:rsid w:val="00E32E2D"/>
    <w:rsid w:val="00E330E3"/>
    <w:rsid w:val="00E3352F"/>
    <w:rsid w:val="00E33869"/>
    <w:rsid w:val="00E33ACC"/>
    <w:rsid w:val="00E34420"/>
    <w:rsid w:val="00E347D3"/>
    <w:rsid w:val="00E34855"/>
    <w:rsid w:val="00E35430"/>
    <w:rsid w:val="00E35519"/>
    <w:rsid w:val="00E365B7"/>
    <w:rsid w:val="00E376EB"/>
    <w:rsid w:val="00E40FE1"/>
    <w:rsid w:val="00E426F6"/>
    <w:rsid w:val="00E42B36"/>
    <w:rsid w:val="00E43038"/>
    <w:rsid w:val="00E44050"/>
    <w:rsid w:val="00E44267"/>
    <w:rsid w:val="00E46112"/>
    <w:rsid w:val="00E46703"/>
    <w:rsid w:val="00E4790D"/>
    <w:rsid w:val="00E47B6E"/>
    <w:rsid w:val="00E50D90"/>
    <w:rsid w:val="00E51E3B"/>
    <w:rsid w:val="00E53BB0"/>
    <w:rsid w:val="00E54294"/>
    <w:rsid w:val="00E54C1E"/>
    <w:rsid w:val="00E56263"/>
    <w:rsid w:val="00E5776C"/>
    <w:rsid w:val="00E57926"/>
    <w:rsid w:val="00E60C6C"/>
    <w:rsid w:val="00E61E54"/>
    <w:rsid w:val="00E62474"/>
    <w:rsid w:val="00E62ED2"/>
    <w:rsid w:val="00E66C5D"/>
    <w:rsid w:val="00E70083"/>
    <w:rsid w:val="00E70989"/>
    <w:rsid w:val="00E70E56"/>
    <w:rsid w:val="00E71359"/>
    <w:rsid w:val="00E72109"/>
    <w:rsid w:val="00E73450"/>
    <w:rsid w:val="00E73C8D"/>
    <w:rsid w:val="00E75CBB"/>
    <w:rsid w:val="00E805B9"/>
    <w:rsid w:val="00E80A14"/>
    <w:rsid w:val="00E80ED8"/>
    <w:rsid w:val="00E813DF"/>
    <w:rsid w:val="00E8332B"/>
    <w:rsid w:val="00E85B84"/>
    <w:rsid w:val="00E87725"/>
    <w:rsid w:val="00E8790B"/>
    <w:rsid w:val="00E930FC"/>
    <w:rsid w:val="00E94374"/>
    <w:rsid w:val="00E9498F"/>
    <w:rsid w:val="00E94F86"/>
    <w:rsid w:val="00E97DB2"/>
    <w:rsid w:val="00E97EAE"/>
    <w:rsid w:val="00EA0C9E"/>
    <w:rsid w:val="00EA1467"/>
    <w:rsid w:val="00EA4703"/>
    <w:rsid w:val="00EA5B5F"/>
    <w:rsid w:val="00EA69C2"/>
    <w:rsid w:val="00EA6B56"/>
    <w:rsid w:val="00EB02EF"/>
    <w:rsid w:val="00EB08DF"/>
    <w:rsid w:val="00EB0B44"/>
    <w:rsid w:val="00EB1480"/>
    <w:rsid w:val="00EB2A2F"/>
    <w:rsid w:val="00EB312E"/>
    <w:rsid w:val="00EB594A"/>
    <w:rsid w:val="00EB5CD9"/>
    <w:rsid w:val="00EB7BB4"/>
    <w:rsid w:val="00EC0A56"/>
    <w:rsid w:val="00EC1B12"/>
    <w:rsid w:val="00EC272D"/>
    <w:rsid w:val="00EC4053"/>
    <w:rsid w:val="00EC4920"/>
    <w:rsid w:val="00EC5359"/>
    <w:rsid w:val="00EC543B"/>
    <w:rsid w:val="00EC5506"/>
    <w:rsid w:val="00EC64EF"/>
    <w:rsid w:val="00EC675A"/>
    <w:rsid w:val="00EC7E9A"/>
    <w:rsid w:val="00ED05FA"/>
    <w:rsid w:val="00ED0C64"/>
    <w:rsid w:val="00ED4223"/>
    <w:rsid w:val="00ED693D"/>
    <w:rsid w:val="00ED69FA"/>
    <w:rsid w:val="00ED7488"/>
    <w:rsid w:val="00ED7679"/>
    <w:rsid w:val="00EE2781"/>
    <w:rsid w:val="00EE4FF4"/>
    <w:rsid w:val="00EE504E"/>
    <w:rsid w:val="00EE5440"/>
    <w:rsid w:val="00EE5879"/>
    <w:rsid w:val="00EE5F18"/>
    <w:rsid w:val="00EF149E"/>
    <w:rsid w:val="00EF14EC"/>
    <w:rsid w:val="00EF1F65"/>
    <w:rsid w:val="00EF4051"/>
    <w:rsid w:val="00EF4E13"/>
    <w:rsid w:val="00EF55DD"/>
    <w:rsid w:val="00EF6353"/>
    <w:rsid w:val="00EF7471"/>
    <w:rsid w:val="00F009FE"/>
    <w:rsid w:val="00F00C21"/>
    <w:rsid w:val="00F00CBD"/>
    <w:rsid w:val="00F011DE"/>
    <w:rsid w:val="00F013A4"/>
    <w:rsid w:val="00F03EF9"/>
    <w:rsid w:val="00F0454C"/>
    <w:rsid w:val="00F0509C"/>
    <w:rsid w:val="00F05BB3"/>
    <w:rsid w:val="00F05D64"/>
    <w:rsid w:val="00F077C2"/>
    <w:rsid w:val="00F14A52"/>
    <w:rsid w:val="00F17A34"/>
    <w:rsid w:val="00F17ADB"/>
    <w:rsid w:val="00F223BB"/>
    <w:rsid w:val="00F24134"/>
    <w:rsid w:val="00F24C35"/>
    <w:rsid w:val="00F25A43"/>
    <w:rsid w:val="00F269D9"/>
    <w:rsid w:val="00F32BF6"/>
    <w:rsid w:val="00F33421"/>
    <w:rsid w:val="00F34CE8"/>
    <w:rsid w:val="00F3661E"/>
    <w:rsid w:val="00F41229"/>
    <w:rsid w:val="00F41A97"/>
    <w:rsid w:val="00F41EC7"/>
    <w:rsid w:val="00F430C6"/>
    <w:rsid w:val="00F45F6C"/>
    <w:rsid w:val="00F5117A"/>
    <w:rsid w:val="00F512EA"/>
    <w:rsid w:val="00F51413"/>
    <w:rsid w:val="00F51B33"/>
    <w:rsid w:val="00F51D8A"/>
    <w:rsid w:val="00F52D02"/>
    <w:rsid w:val="00F52E01"/>
    <w:rsid w:val="00F5350D"/>
    <w:rsid w:val="00F57FEC"/>
    <w:rsid w:val="00F64B1D"/>
    <w:rsid w:val="00F66A04"/>
    <w:rsid w:val="00F67081"/>
    <w:rsid w:val="00F67593"/>
    <w:rsid w:val="00F67AFA"/>
    <w:rsid w:val="00F7343C"/>
    <w:rsid w:val="00F73FC6"/>
    <w:rsid w:val="00F755F4"/>
    <w:rsid w:val="00F77CFC"/>
    <w:rsid w:val="00F83055"/>
    <w:rsid w:val="00F83356"/>
    <w:rsid w:val="00F83F55"/>
    <w:rsid w:val="00F84499"/>
    <w:rsid w:val="00F8537A"/>
    <w:rsid w:val="00F857C4"/>
    <w:rsid w:val="00F90BB1"/>
    <w:rsid w:val="00F91541"/>
    <w:rsid w:val="00F92167"/>
    <w:rsid w:val="00F92452"/>
    <w:rsid w:val="00F92BE5"/>
    <w:rsid w:val="00F92E49"/>
    <w:rsid w:val="00FA02C2"/>
    <w:rsid w:val="00FA08C1"/>
    <w:rsid w:val="00FA41B7"/>
    <w:rsid w:val="00FA514B"/>
    <w:rsid w:val="00FA54D7"/>
    <w:rsid w:val="00FB1751"/>
    <w:rsid w:val="00FB3ADF"/>
    <w:rsid w:val="00FB3B9C"/>
    <w:rsid w:val="00FB5235"/>
    <w:rsid w:val="00FB65FE"/>
    <w:rsid w:val="00FC1B58"/>
    <w:rsid w:val="00FC2744"/>
    <w:rsid w:val="00FC40A3"/>
    <w:rsid w:val="00FC4811"/>
    <w:rsid w:val="00FC49D1"/>
    <w:rsid w:val="00FC6435"/>
    <w:rsid w:val="00FC6B7B"/>
    <w:rsid w:val="00FC70AE"/>
    <w:rsid w:val="00FC7263"/>
    <w:rsid w:val="00FD081E"/>
    <w:rsid w:val="00FD3320"/>
    <w:rsid w:val="00FD695E"/>
    <w:rsid w:val="00FD6ABC"/>
    <w:rsid w:val="00FD7B45"/>
    <w:rsid w:val="00FE110D"/>
    <w:rsid w:val="00FE1554"/>
    <w:rsid w:val="00FE256C"/>
    <w:rsid w:val="00FE5C45"/>
    <w:rsid w:val="00FE62DF"/>
    <w:rsid w:val="00FE6850"/>
    <w:rsid w:val="00FE76B8"/>
    <w:rsid w:val="00FE77D3"/>
    <w:rsid w:val="00FE78AC"/>
    <w:rsid w:val="00FE78DE"/>
    <w:rsid w:val="00FF163C"/>
    <w:rsid w:val="00FF1B16"/>
    <w:rsid w:val="00FF3AF4"/>
    <w:rsid w:val="00FF55A9"/>
    <w:rsid w:val="00FF62DB"/>
    <w:rsid w:val="00FF6470"/>
    <w:rsid w:val="00FF68AD"/>
    <w:rsid w:val="00FF6EA2"/>
    <w:rsid w:val="00FF7AF9"/>
    <w:rsid w:val="00FF7BDF"/>
    <w:rsid w:val="013AA33E"/>
    <w:rsid w:val="01ACC7BC"/>
    <w:rsid w:val="020E750E"/>
    <w:rsid w:val="023C22C2"/>
    <w:rsid w:val="02B4339E"/>
    <w:rsid w:val="02C46B39"/>
    <w:rsid w:val="03116F16"/>
    <w:rsid w:val="03A281CE"/>
    <w:rsid w:val="03B45C1F"/>
    <w:rsid w:val="0458BDF1"/>
    <w:rsid w:val="047A5B6A"/>
    <w:rsid w:val="047CBDE4"/>
    <w:rsid w:val="04C2A8AC"/>
    <w:rsid w:val="04EBBE77"/>
    <w:rsid w:val="059FE54F"/>
    <w:rsid w:val="05A4ACC5"/>
    <w:rsid w:val="0657F142"/>
    <w:rsid w:val="06A9DCF5"/>
    <w:rsid w:val="06DE3080"/>
    <w:rsid w:val="06E996FF"/>
    <w:rsid w:val="0783F819"/>
    <w:rsid w:val="07B6DDE0"/>
    <w:rsid w:val="09B73F40"/>
    <w:rsid w:val="0A255B51"/>
    <w:rsid w:val="0A6D51ED"/>
    <w:rsid w:val="0A7CC31E"/>
    <w:rsid w:val="0BD9D75C"/>
    <w:rsid w:val="0C062DF1"/>
    <w:rsid w:val="0C12D00C"/>
    <w:rsid w:val="0C267F4B"/>
    <w:rsid w:val="0C6CBE30"/>
    <w:rsid w:val="0CE89315"/>
    <w:rsid w:val="0D061C0F"/>
    <w:rsid w:val="0D5CFC13"/>
    <w:rsid w:val="0DF6760C"/>
    <w:rsid w:val="0EB629AC"/>
    <w:rsid w:val="0EE53902"/>
    <w:rsid w:val="0FC07552"/>
    <w:rsid w:val="0FEA3E4F"/>
    <w:rsid w:val="11E5701E"/>
    <w:rsid w:val="120C4DC6"/>
    <w:rsid w:val="1210F9DC"/>
    <w:rsid w:val="12454C05"/>
    <w:rsid w:val="1271CD80"/>
    <w:rsid w:val="1359C4BF"/>
    <w:rsid w:val="13C6BD85"/>
    <w:rsid w:val="141D93D2"/>
    <w:rsid w:val="141D9F76"/>
    <w:rsid w:val="14614C98"/>
    <w:rsid w:val="14B32E0E"/>
    <w:rsid w:val="14B49AA2"/>
    <w:rsid w:val="15405BD0"/>
    <w:rsid w:val="1594EDF1"/>
    <w:rsid w:val="1595E7CE"/>
    <w:rsid w:val="15A94DB4"/>
    <w:rsid w:val="160BF8D1"/>
    <w:rsid w:val="160F2D75"/>
    <w:rsid w:val="165BD6CA"/>
    <w:rsid w:val="16DA2FC8"/>
    <w:rsid w:val="17174397"/>
    <w:rsid w:val="1777B0D7"/>
    <w:rsid w:val="178C4F03"/>
    <w:rsid w:val="17C6118A"/>
    <w:rsid w:val="17D6A606"/>
    <w:rsid w:val="184F8B44"/>
    <w:rsid w:val="194662FC"/>
    <w:rsid w:val="1970CF04"/>
    <w:rsid w:val="1976B7B9"/>
    <w:rsid w:val="1A7D8303"/>
    <w:rsid w:val="1A9232B3"/>
    <w:rsid w:val="1AE9F5F6"/>
    <w:rsid w:val="1B04ACC1"/>
    <w:rsid w:val="1C52EC77"/>
    <w:rsid w:val="1C748657"/>
    <w:rsid w:val="1C756EA0"/>
    <w:rsid w:val="1D10571F"/>
    <w:rsid w:val="1E5BC7ED"/>
    <w:rsid w:val="1ED94F99"/>
    <w:rsid w:val="1F23C3D6"/>
    <w:rsid w:val="200131A5"/>
    <w:rsid w:val="202E61F8"/>
    <w:rsid w:val="20398A6D"/>
    <w:rsid w:val="20405A8C"/>
    <w:rsid w:val="205D80A2"/>
    <w:rsid w:val="20E82293"/>
    <w:rsid w:val="2193888E"/>
    <w:rsid w:val="21D16F2E"/>
    <w:rsid w:val="21EEA204"/>
    <w:rsid w:val="2202E5F9"/>
    <w:rsid w:val="2204223D"/>
    <w:rsid w:val="2215C59B"/>
    <w:rsid w:val="225C900F"/>
    <w:rsid w:val="227908F8"/>
    <w:rsid w:val="228A6C8A"/>
    <w:rsid w:val="229B1FE3"/>
    <w:rsid w:val="23273FB4"/>
    <w:rsid w:val="234F42D8"/>
    <w:rsid w:val="24D988A8"/>
    <w:rsid w:val="24EA79DA"/>
    <w:rsid w:val="24F18215"/>
    <w:rsid w:val="25003103"/>
    <w:rsid w:val="25F96BC4"/>
    <w:rsid w:val="2623298D"/>
    <w:rsid w:val="264B536D"/>
    <w:rsid w:val="2720312E"/>
    <w:rsid w:val="27F7C3B1"/>
    <w:rsid w:val="282CC3D3"/>
    <w:rsid w:val="286F93A4"/>
    <w:rsid w:val="28784E5B"/>
    <w:rsid w:val="2891FBCD"/>
    <w:rsid w:val="28C9B307"/>
    <w:rsid w:val="28DA55A6"/>
    <w:rsid w:val="29BB96DB"/>
    <w:rsid w:val="29EBEF7A"/>
    <w:rsid w:val="2A5B9DBB"/>
    <w:rsid w:val="2B986660"/>
    <w:rsid w:val="2B9C329A"/>
    <w:rsid w:val="2BBAC2E2"/>
    <w:rsid w:val="2C801792"/>
    <w:rsid w:val="2CE54D8D"/>
    <w:rsid w:val="2D2949BE"/>
    <w:rsid w:val="2D708C4F"/>
    <w:rsid w:val="2D9F114E"/>
    <w:rsid w:val="2DAB468A"/>
    <w:rsid w:val="2DB3EE99"/>
    <w:rsid w:val="2DD8555C"/>
    <w:rsid w:val="2DDD75AA"/>
    <w:rsid w:val="2DF1E25C"/>
    <w:rsid w:val="2E8D248C"/>
    <w:rsid w:val="2EAAD8BA"/>
    <w:rsid w:val="2EF9E159"/>
    <w:rsid w:val="2F15BC07"/>
    <w:rsid w:val="2F1E9489"/>
    <w:rsid w:val="2F66CEDB"/>
    <w:rsid w:val="3046BA78"/>
    <w:rsid w:val="309E6691"/>
    <w:rsid w:val="30A17219"/>
    <w:rsid w:val="30BE33ED"/>
    <w:rsid w:val="30CDE6C0"/>
    <w:rsid w:val="31B01F25"/>
    <w:rsid w:val="31E9B9A2"/>
    <w:rsid w:val="3225A1F4"/>
    <w:rsid w:val="3316E91D"/>
    <w:rsid w:val="33363A92"/>
    <w:rsid w:val="33AAB79D"/>
    <w:rsid w:val="33B01BFB"/>
    <w:rsid w:val="34B49488"/>
    <w:rsid w:val="356A4F67"/>
    <w:rsid w:val="3597CC0F"/>
    <w:rsid w:val="36100DF7"/>
    <w:rsid w:val="36C336E3"/>
    <w:rsid w:val="37808F1D"/>
    <w:rsid w:val="37A22AE9"/>
    <w:rsid w:val="38650580"/>
    <w:rsid w:val="392ACFEC"/>
    <w:rsid w:val="3992D333"/>
    <w:rsid w:val="39CFF1B7"/>
    <w:rsid w:val="3A1233F1"/>
    <w:rsid w:val="3B3E0544"/>
    <w:rsid w:val="3B904967"/>
    <w:rsid w:val="3BD4CBD0"/>
    <w:rsid w:val="3BE357BD"/>
    <w:rsid w:val="3C6B0067"/>
    <w:rsid w:val="3C814DC4"/>
    <w:rsid w:val="3D1B30EF"/>
    <w:rsid w:val="3D31CEF3"/>
    <w:rsid w:val="3DB3DC1E"/>
    <w:rsid w:val="3E1164F7"/>
    <w:rsid w:val="3E77642D"/>
    <w:rsid w:val="3F26C667"/>
    <w:rsid w:val="3F78379E"/>
    <w:rsid w:val="3F8AC8A0"/>
    <w:rsid w:val="3FC17475"/>
    <w:rsid w:val="404F432A"/>
    <w:rsid w:val="406169A5"/>
    <w:rsid w:val="40E65CD7"/>
    <w:rsid w:val="40FBDBC1"/>
    <w:rsid w:val="4113FDE4"/>
    <w:rsid w:val="4160CE90"/>
    <w:rsid w:val="41C00389"/>
    <w:rsid w:val="4237E40C"/>
    <w:rsid w:val="427707B8"/>
    <w:rsid w:val="42FC6851"/>
    <w:rsid w:val="430F259E"/>
    <w:rsid w:val="4391F9FF"/>
    <w:rsid w:val="43A1D2CB"/>
    <w:rsid w:val="44E4897E"/>
    <w:rsid w:val="44FB0253"/>
    <w:rsid w:val="451E55D1"/>
    <w:rsid w:val="45B0673D"/>
    <w:rsid w:val="45B25B49"/>
    <w:rsid w:val="45BA66D0"/>
    <w:rsid w:val="467CE3CB"/>
    <w:rsid w:val="46BA2632"/>
    <w:rsid w:val="46EF9E7F"/>
    <w:rsid w:val="47492460"/>
    <w:rsid w:val="47BEA26C"/>
    <w:rsid w:val="4811CD42"/>
    <w:rsid w:val="4855F693"/>
    <w:rsid w:val="48B52AB9"/>
    <w:rsid w:val="48B72701"/>
    <w:rsid w:val="48EB4C54"/>
    <w:rsid w:val="4945B637"/>
    <w:rsid w:val="49729321"/>
    <w:rsid w:val="49E5B7F7"/>
    <w:rsid w:val="4A178965"/>
    <w:rsid w:val="4A4C43F6"/>
    <w:rsid w:val="4A6DDB36"/>
    <w:rsid w:val="4AA434B5"/>
    <w:rsid w:val="4AD2900C"/>
    <w:rsid w:val="4B5173DD"/>
    <w:rsid w:val="4C5DAB12"/>
    <w:rsid w:val="4CA425A6"/>
    <w:rsid w:val="4CCE9381"/>
    <w:rsid w:val="4E00DF13"/>
    <w:rsid w:val="4E5CDA8D"/>
    <w:rsid w:val="4E725145"/>
    <w:rsid w:val="4E8F36F7"/>
    <w:rsid w:val="4ED94E34"/>
    <w:rsid w:val="4F278645"/>
    <w:rsid w:val="4F435F26"/>
    <w:rsid w:val="4F86C77B"/>
    <w:rsid w:val="4FA6FB7D"/>
    <w:rsid w:val="5032C018"/>
    <w:rsid w:val="50364BED"/>
    <w:rsid w:val="503729EE"/>
    <w:rsid w:val="5097F25F"/>
    <w:rsid w:val="509DB1FF"/>
    <w:rsid w:val="50C4A718"/>
    <w:rsid w:val="51B291FD"/>
    <w:rsid w:val="51E1ADA6"/>
    <w:rsid w:val="5233E536"/>
    <w:rsid w:val="52670A2C"/>
    <w:rsid w:val="52CB0F36"/>
    <w:rsid w:val="52EC307B"/>
    <w:rsid w:val="53804436"/>
    <w:rsid w:val="53850F38"/>
    <w:rsid w:val="53B21955"/>
    <w:rsid w:val="548505BE"/>
    <w:rsid w:val="54C90714"/>
    <w:rsid w:val="551AFBAA"/>
    <w:rsid w:val="55D80A5D"/>
    <w:rsid w:val="55ECE35F"/>
    <w:rsid w:val="562DA21E"/>
    <w:rsid w:val="563BAE6D"/>
    <w:rsid w:val="5649FAAA"/>
    <w:rsid w:val="564B3BDE"/>
    <w:rsid w:val="5690039F"/>
    <w:rsid w:val="569CC9FC"/>
    <w:rsid w:val="56D83782"/>
    <w:rsid w:val="5748822E"/>
    <w:rsid w:val="57657B50"/>
    <w:rsid w:val="5778C59F"/>
    <w:rsid w:val="579969B2"/>
    <w:rsid w:val="58493F48"/>
    <w:rsid w:val="58918F1B"/>
    <w:rsid w:val="58D8FC7E"/>
    <w:rsid w:val="58FA9038"/>
    <w:rsid w:val="59C9820B"/>
    <w:rsid w:val="59DB0212"/>
    <w:rsid w:val="5A2F8356"/>
    <w:rsid w:val="5A3D30D8"/>
    <w:rsid w:val="5A4DADBE"/>
    <w:rsid w:val="5AA00429"/>
    <w:rsid w:val="5ACCC62D"/>
    <w:rsid w:val="5B5D4FFF"/>
    <w:rsid w:val="5B7A5DE7"/>
    <w:rsid w:val="5B82E1C4"/>
    <w:rsid w:val="5BE48ADC"/>
    <w:rsid w:val="5BEDD5CC"/>
    <w:rsid w:val="5BFCF983"/>
    <w:rsid w:val="5BFEF550"/>
    <w:rsid w:val="5C4A0931"/>
    <w:rsid w:val="5CD2CA2F"/>
    <w:rsid w:val="5D7B1835"/>
    <w:rsid w:val="5D836967"/>
    <w:rsid w:val="5D8519E7"/>
    <w:rsid w:val="5E408367"/>
    <w:rsid w:val="5E5158D0"/>
    <w:rsid w:val="5E5AB1B4"/>
    <w:rsid w:val="5ECA210A"/>
    <w:rsid w:val="5F62ACD5"/>
    <w:rsid w:val="5F717DD3"/>
    <w:rsid w:val="5FAE8145"/>
    <w:rsid w:val="5FED930D"/>
    <w:rsid w:val="6065F16B"/>
    <w:rsid w:val="6091610D"/>
    <w:rsid w:val="61829C46"/>
    <w:rsid w:val="61BB74AF"/>
    <w:rsid w:val="626508C5"/>
    <w:rsid w:val="6293225B"/>
    <w:rsid w:val="62A8EC3B"/>
    <w:rsid w:val="636C5348"/>
    <w:rsid w:val="639780F7"/>
    <w:rsid w:val="6589FA13"/>
    <w:rsid w:val="65A14806"/>
    <w:rsid w:val="65C353E9"/>
    <w:rsid w:val="67373161"/>
    <w:rsid w:val="676091DE"/>
    <w:rsid w:val="6783516D"/>
    <w:rsid w:val="67965A0B"/>
    <w:rsid w:val="68003544"/>
    <w:rsid w:val="68EB17F9"/>
    <w:rsid w:val="6936E945"/>
    <w:rsid w:val="693B1E79"/>
    <w:rsid w:val="69943CAD"/>
    <w:rsid w:val="69F94F1E"/>
    <w:rsid w:val="6A37850B"/>
    <w:rsid w:val="6AB22B2D"/>
    <w:rsid w:val="6AF8F4F9"/>
    <w:rsid w:val="6B02DC06"/>
    <w:rsid w:val="6B29F0D8"/>
    <w:rsid w:val="6BA3643D"/>
    <w:rsid w:val="6CA00D58"/>
    <w:rsid w:val="6CAF0E35"/>
    <w:rsid w:val="6CFBC6F1"/>
    <w:rsid w:val="6D38D3F5"/>
    <w:rsid w:val="6D3A4916"/>
    <w:rsid w:val="6DC93F48"/>
    <w:rsid w:val="6DD49C69"/>
    <w:rsid w:val="6E8DC719"/>
    <w:rsid w:val="6E9023FE"/>
    <w:rsid w:val="6EC29BFB"/>
    <w:rsid w:val="6EC3CFFF"/>
    <w:rsid w:val="6EDA508E"/>
    <w:rsid w:val="6EFA2DB7"/>
    <w:rsid w:val="6F15AA6B"/>
    <w:rsid w:val="6F99346D"/>
    <w:rsid w:val="6FA6F417"/>
    <w:rsid w:val="6FB2FD0A"/>
    <w:rsid w:val="6FFEC9CD"/>
    <w:rsid w:val="7102DBBE"/>
    <w:rsid w:val="7137BC06"/>
    <w:rsid w:val="731C07C9"/>
    <w:rsid w:val="73313537"/>
    <w:rsid w:val="7331E6F7"/>
    <w:rsid w:val="73E7D0C0"/>
    <w:rsid w:val="73FCAB5C"/>
    <w:rsid w:val="73FF9056"/>
    <w:rsid w:val="740B3283"/>
    <w:rsid w:val="744B9A95"/>
    <w:rsid w:val="74A3C594"/>
    <w:rsid w:val="74CF62A5"/>
    <w:rsid w:val="751AB32F"/>
    <w:rsid w:val="759283A6"/>
    <w:rsid w:val="75F7E0EA"/>
    <w:rsid w:val="767362CB"/>
    <w:rsid w:val="7688B10D"/>
    <w:rsid w:val="76DEAC0A"/>
    <w:rsid w:val="77049503"/>
    <w:rsid w:val="77440947"/>
    <w:rsid w:val="7758E9FE"/>
    <w:rsid w:val="778815B4"/>
    <w:rsid w:val="77B296B9"/>
    <w:rsid w:val="783F30FA"/>
    <w:rsid w:val="786FD437"/>
    <w:rsid w:val="794C3C0B"/>
    <w:rsid w:val="7BBE25C9"/>
    <w:rsid w:val="7BC9A416"/>
    <w:rsid w:val="7C0CC9D1"/>
    <w:rsid w:val="7C196209"/>
    <w:rsid w:val="7C6B3385"/>
    <w:rsid w:val="7CA42666"/>
    <w:rsid w:val="7D2D9709"/>
    <w:rsid w:val="7D882D37"/>
    <w:rsid w:val="7E04CA71"/>
    <w:rsid w:val="7E384272"/>
    <w:rsid w:val="7EC826CD"/>
    <w:rsid w:val="7EE6D746"/>
    <w:rsid w:val="7EF35758"/>
    <w:rsid w:val="7FDE643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D27AC5"/>
  <w15:docId w15:val="{EE22FE90-71A9-4BF4-8B73-CDA9C256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404"/>
    <w:rPr>
      <w:rFonts w:ascii="Arial" w:hAnsi="Arial" w:cs="Times"/>
      <w:sz w:val="24"/>
      <w:szCs w:val="24"/>
      <w:lang w:eastAsia="en-GB"/>
    </w:rPr>
  </w:style>
  <w:style w:type="paragraph" w:styleId="Heading1">
    <w:name w:val="heading 1"/>
    <w:basedOn w:val="Normal"/>
    <w:next w:val="Normal"/>
    <w:qFormat/>
    <w:rsid w:val="008C00A2"/>
    <w:pPr>
      <w:keepNext/>
      <w:spacing w:before="240" w:after="120"/>
      <w:outlineLvl w:val="0"/>
    </w:pPr>
    <w:rPr>
      <w:rFonts w:cs="Arial"/>
      <w:b/>
      <w:bCs/>
      <w:szCs w:val="28"/>
    </w:rPr>
  </w:style>
  <w:style w:type="paragraph" w:styleId="Heading2">
    <w:name w:val="heading 2"/>
    <w:basedOn w:val="Normal"/>
    <w:next w:val="Normal"/>
    <w:qFormat/>
    <w:rsid w:val="00C609B5"/>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363FE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363F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Bullet">
    <w:name w:val="Box Bullet"/>
    <w:basedOn w:val="Normal"/>
    <w:rsid w:val="005E5964"/>
    <w:pPr>
      <w:pBdr>
        <w:top w:val="single" w:sz="4" w:space="12" w:color="auto"/>
        <w:left w:val="single" w:sz="4" w:space="12" w:color="auto"/>
        <w:bottom w:val="single" w:sz="4" w:space="12" w:color="auto"/>
        <w:right w:val="single" w:sz="4" w:space="12" w:color="auto"/>
      </w:pBdr>
      <w:spacing w:before="120"/>
      <w:ind w:right="284"/>
    </w:pPr>
    <w:rPr>
      <w:rFonts w:ascii="Arial Narrow" w:hAnsi="Arial Narrow" w:cs="Times New Roman"/>
      <w:sz w:val="20"/>
      <w:szCs w:val="20"/>
      <w:lang w:eastAsia="en-US"/>
    </w:rPr>
  </w:style>
  <w:style w:type="paragraph" w:customStyle="1" w:styleId="Bullet">
    <w:name w:val="Bullet"/>
    <w:basedOn w:val="Normal"/>
    <w:rsid w:val="00884B15"/>
    <w:pPr>
      <w:numPr>
        <w:numId w:val="2"/>
      </w:numPr>
      <w:spacing w:before="120"/>
    </w:pPr>
    <w:rPr>
      <w:rFonts w:ascii="Times New Roman" w:hAnsi="Times New Roman"/>
    </w:rPr>
  </w:style>
  <w:style w:type="table" w:styleId="TableGrid">
    <w:name w:val="Table Grid"/>
    <w:basedOn w:val="TableNormal"/>
    <w:uiPriority w:val="39"/>
    <w:rsid w:val="00280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003"/>
    <w:pPr>
      <w:tabs>
        <w:tab w:val="center" w:pos="4320"/>
        <w:tab w:val="right" w:pos="8640"/>
      </w:tabs>
    </w:pPr>
  </w:style>
  <w:style w:type="paragraph" w:customStyle="1" w:styleId="TableText">
    <w:name w:val="TableText"/>
    <w:basedOn w:val="Normal"/>
    <w:rsid w:val="00280A23"/>
    <w:pPr>
      <w:spacing w:before="120" w:after="120"/>
    </w:pPr>
  </w:style>
  <w:style w:type="paragraph" w:styleId="Footer">
    <w:name w:val="footer"/>
    <w:basedOn w:val="Normal"/>
    <w:rsid w:val="007434C3"/>
    <w:pPr>
      <w:pBdr>
        <w:top w:val="single" w:sz="4" w:space="4" w:color="auto"/>
      </w:pBdr>
    </w:pPr>
    <w:rPr>
      <w:rFonts w:ascii="Georgia" w:hAnsi="Georgia"/>
      <w:b/>
      <w:sz w:val="20"/>
    </w:rPr>
  </w:style>
  <w:style w:type="character" w:styleId="PageNumber">
    <w:name w:val="page number"/>
    <w:basedOn w:val="DefaultParagraphFont"/>
    <w:rsid w:val="00324B4C"/>
  </w:style>
  <w:style w:type="character" w:customStyle="1" w:styleId="HeaderChar">
    <w:name w:val="Header Char"/>
    <w:basedOn w:val="DefaultParagraphFont"/>
    <w:link w:val="Header"/>
    <w:rsid w:val="00363FE8"/>
    <w:rPr>
      <w:rFonts w:ascii="Arial" w:hAnsi="Arial" w:cs="Times"/>
      <w:sz w:val="24"/>
      <w:szCs w:val="24"/>
      <w:lang w:eastAsia="en-GB"/>
    </w:rPr>
  </w:style>
  <w:style w:type="paragraph" w:customStyle="1" w:styleId="NumberedParagraphs-MOH">
    <w:name w:val="Numbered Paragraphs - MOH"/>
    <w:basedOn w:val="Normal"/>
    <w:link w:val="NumberedParagraphs-MOHChar"/>
    <w:qFormat/>
    <w:rsid w:val="00363FE8"/>
    <w:pPr>
      <w:numPr>
        <w:numId w:val="3"/>
      </w:numPr>
      <w:spacing w:before="120"/>
      <w:ind w:right="284"/>
    </w:pPr>
    <w:rPr>
      <w:rFonts w:ascii="Segoe UI" w:hAnsi="Segoe UI" w:cs="Segoe UI"/>
      <w:kern w:val="22"/>
      <w:sz w:val="22"/>
      <w:szCs w:val="22"/>
      <w:lang w:eastAsia="en-NZ"/>
    </w:rPr>
  </w:style>
  <w:style w:type="paragraph" w:customStyle="1" w:styleId="ReportBody2-MOH">
    <w:name w:val="Report Body 2 - MOH"/>
    <w:basedOn w:val="NumberedParagraphs-MOH"/>
    <w:qFormat/>
    <w:rsid w:val="00363FE8"/>
    <w:pPr>
      <w:numPr>
        <w:ilvl w:val="1"/>
      </w:numPr>
      <w:tabs>
        <w:tab w:val="num" w:pos="360"/>
      </w:tabs>
    </w:pPr>
  </w:style>
  <w:style w:type="character" w:customStyle="1" w:styleId="NumberedParagraphs-MOHChar">
    <w:name w:val="Numbered Paragraphs - MOH Char"/>
    <w:basedOn w:val="DefaultParagraphFont"/>
    <w:link w:val="NumberedParagraphs-MOH"/>
    <w:rsid w:val="00363FE8"/>
    <w:rPr>
      <w:rFonts w:ascii="Segoe UI" w:hAnsi="Segoe UI" w:cs="Segoe UI"/>
      <w:kern w:val="22"/>
      <w:sz w:val="22"/>
      <w:szCs w:val="22"/>
    </w:rPr>
  </w:style>
  <w:style w:type="paragraph" w:customStyle="1" w:styleId="SecondLevelBullets-MOH">
    <w:name w:val="Second Level Bullets - MOH"/>
    <w:basedOn w:val="Normal"/>
    <w:qFormat/>
    <w:rsid w:val="00363FE8"/>
    <w:pPr>
      <w:numPr>
        <w:ilvl w:val="2"/>
        <w:numId w:val="3"/>
      </w:numPr>
      <w:spacing w:before="120"/>
      <w:ind w:right="284"/>
    </w:pPr>
    <w:rPr>
      <w:rFonts w:ascii="Segoe UI" w:hAnsi="Segoe UI" w:cs="Segoe UI"/>
      <w:kern w:val="22"/>
      <w:sz w:val="22"/>
      <w:szCs w:val="22"/>
      <w:lang w:eastAsia="en-NZ"/>
    </w:rPr>
  </w:style>
  <w:style w:type="character" w:customStyle="1" w:styleId="Heading3Char">
    <w:name w:val="Heading 3 Char"/>
    <w:basedOn w:val="DefaultParagraphFont"/>
    <w:link w:val="Heading3"/>
    <w:semiHidden/>
    <w:rsid w:val="00363FE8"/>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semiHidden/>
    <w:rsid w:val="00363FE8"/>
    <w:rPr>
      <w:rFonts w:asciiTheme="majorHAnsi" w:eastAsiaTheme="majorEastAsia" w:hAnsiTheme="majorHAnsi" w:cstheme="majorBidi"/>
      <w:i/>
      <w:iCs/>
      <w:color w:val="365F91" w:themeColor="accent1" w:themeShade="BF"/>
      <w:sz w:val="24"/>
      <w:szCs w:val="24"/>
      <w:lang w:eastAsia="en-GB"/>
    </w:rPr>
  </w:style>
  <w:style w:type="character" w:styleId="Hyperlink">
    <w:name w:val="Hyperlink"/>
    <w:semiHidden/>
    <w:rsid w:val="00363FE8"/>
    <w:rPr>
      <w:color w:val="0000FF"/>
      <w:u w:val="single"/>
    </w:rPr>
  </w:style>
  <w:style w:type="paragraph" w:styleId="BalloonText">
    <w:name w:val="Balloon Text"/>
    <w:basedOn w:val="Normal"/>
    <w:link w:val="BalloonTextChar"/>
    <w:semiHidden/>
    <w:unhideWhenUsed/>
    <w:rsid w:val="00B91E67"/>
    <w:rPr>
      <w:rFonts w:ascii="Segoe UI" w:hAnsi="Segoe UI" w:cs="Segoe UI"/>
      <w:sz w:val="18"/>
      <w:szCs w:val="18"/>
    </w:rPr>
  </w:style>
  <w:style w:type="character" w:customStyle="1" w:styleId="BalloonTextChar">
    <w:name w:val="Balloon Text Char"/>
    <w:basedOn w:val="DefaultParagraphFont"/>
    <w:link w:val="BalloonText"/>
    <w:semiHidden/>
    <w:rsid w:val="00B91E67"/>
    <w:rPr>
      <w:rFonts w:ascii="Segoe UI" w:hAnsi="Segoe UI" w:cs="Segoe UI"/>
      <w:sz w:val="18"/>
      <w:szCs w:val="18"/>
      <w:lang w:eastAsia="en-GB"/>
    </w:rPr>
  </w:style>
  <w:style w:type="paragraph" w:customStyle="1" w:styleId="Default">
    <w:name w:val="Default"/>
    <w:rsid w:val="006210D9"/>
    <w:pPr>
      <w:autoSpaceDE w:val="0"/>
      <w:autoSpaceDN w:val="0"/>
      <w:adjustRightInd w:val="0"/>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783DE2"/>
    <w:rPr>
      <w:sz w:val="16"/>
      <w:szCs w:val="16"/>
    </w:rPr>
  </w:style>
  <w:style w:type="paragraph" w:styleId="CommentText">
    <w:name w:val="annotation text"/>
    <w:basedOn w:val="Normal"/>
    <w:link w:val="CommentTextChar"/>
    <w:unhideWhenUsed/>
    <w:rsid w:val="00783DE2"/>
    <w:rPr>
      <w:sz w:val="20"/>
      <w:szCs w:val="20"/>
    </w:rPr>
  </w:style>
  <w:style w:type="character" w:customStyle="1" w:styleId="CommentTextChar">
    <w:name w:val="Comment Text Char"/>
    <w:basedOn w:val="DefaultParagraphFont"/>
    <w:link w:val="CommentText"/>
    <w:rsid w:val="00783DE2"/>
    <w:rPr>
      <w:rFonts w:ascii="Arial" w:hAnsi="Arial" w:cs="Times"/>
      <w:lang w:eastAsia="en-GB"/>
    </w:rPr>
  </w:style>
  <w:style w:type="paragraph" w:styleId="CommentSubject">
    <w:name w:val="annotation subject"/>
    <w:basedOn w:val="CommentText"/>
    <w:next w:val="CommentText"/>
    <w:link w:val="CommentSubjectChar"/>
    <w:semiHidden/>
    <w:unhideWhenUsed/>
    <w:rsid w:val="00783DE2"/>
    <w:rPr>
      <w:b/>
      <w:bCs/>
    </w:rPr>
  </w:style>
  <w:style w:type="character" w:customStyle="1" w:styleId="CommentSubjectChar">
    <w:name w:val="Comment Subject Char"/>
    <w:basedOn w:val="CommentTextChar"/>
    <w:link w:val="CommentSubject"/>
    <w:semiHidden/>
    <w:rsid w:val="00783DE2"/>
    <w:rPr>
      <w:rFonts w:ascii="Arial" w:hAnsi="Arial" w:cs="Times"/>
      <w:b/>
      <w:bCs/>
      <w:lang w:eastAsia="en-GB"/>
    </w:rPr>
  </w:style>
  <w:style w:type="paragraph" w:styleId="ListParagraph">
    <w:name w:val="List Paragraph"/>
    <w:aliases w:val="Numbered list"/>
    <w:basedOn w:val="Normal"/>
    <w:link w:val="ListParagraphChar"/>
    <w:uiPriority w:val="34"/>
    <w:qFormat/>
    <w:rsid w:val="00A21A19"/>
    <w:pPr>
      <w:ind w:left="720"/>
      <w:contextualSpacing/>
    </w:pPr>
  </w:style>
  <w:style w:type="character" w:customStyle="1" w:styleId="ListParagraphChar">
    <w:name w:val="List Paragraph Char"/>
    <w:aliases w:val="Numbered list Char"/>
    <w:basedOn w:val="DefaultParagraphFont"/>
    <w:link w:val="ListParagraph"/>
    <w:uiPriority w:val="34"/>
    <w:rsid w:val="005C3624"/>
    <w:rPr>
      <w:rFonts w:ascii="Arial" w:hAnsi="Arial" w:cs="Times"/>
      <w:sz w:val="24"/>
      <w:szCs w:val="24"/>
      <w:lang w:eastAsia="en-GB"/>
    </w:rPr>
  </w:style>
  <w:style w:type="character" w:customStyle="1" w:styleId="normaltextrun">
    <w:name w:val="normaltextrun"/>
    <w:basedOn w:val="DefaultParagraphFont"/>
    <w:rsid w:val="002919A7"/>
  </w:style>
  <w:style w:type="character" w:styleId="Strong">
    <w:name w:val="Strong"/>
    <w:basedOn w:val="DefaultParagraphFont"/>
    <w:uiPriority w:val="22"/>
    <w:qFormat/>
    <w:rsid w:val="00B16B15"/>
    <w:rPr>
      <w:b/>
      <w:bCs/>
    </w:rPr>
  </w:style>
  <w:style w:type="paragraph" w:customStyle="1" w:styleId="paragraph">
    <w:name w:val="paragraph"/>
    <w:basedOn w:val="Normal"/>
    <w:rsid w:val="00581662"/>
    <w:pPr>
      <w:spacing w:before="100" w:beforeAutospacing="1" w:after="100" w:afterAutospacing="1"/>
    </w:pPr>
    <w:rPr>
      <w:rFonts w:ascii="Times New Roman" w:hAnsi="Times New Roman" w:cs="Times New Roman"/>
      <w:lang w:eastAsia="en-NZ"/>
    </w:rPr>
  </w:style>
  <w:style w:type="table" w:customStyle="1" w:styleId="TableGrid1">
    <w:name w:val="Table Grid1"/>
    <w:basedOn w:val="TableNormal"/>
    <w:next w:val="TableGrid"/>
    <w:uiPriority w:val="39"/>
    <w:rsid w:val="00E713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1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86825">
      <w:bodyDiv w:val="1"/>
      <w:marLeft w:val="0"/>
      <w:marRight w:val="0"/>
      <w:marTop w:val="0"/>
      <w:marBottom w:val="0"/>
      <w:divBdr>
        <w:top w:val="none" w:sz="0" w:space="0" w:color="auto"/>
        <w:left w:val="none" w:sz="0" w:space="0" w:color="auto"/>
        <w:bottom w:val="none" w:sz="0" w:space="0" w:color="auto"/>
        <w:right w:val="none" w:sz="0" w:space="0" w:color="auto"/>
      </w:divBdr>
    </w:div>
    <w:div w:id="279801615">
      <w:bodyDiv w:val="1"/>
      <w:marLeft w:val="0"/>
      <w:marRight w:val="0"/>
      <w:marTop w:val="0"/>
      <w:marBottom w:val="0"/>
      <w:divBdr>
        <w:top w:val="none" w:sz="0" w:space="0" w:color="auto"/>
        <w:left w:val="none" w:sz="0" w:space="0" w:color="auto"/>
        <w:bottom w:val="none" w:sz="0" w:space="0" w:color="auto"/>
        <w:right w:val="none" w:sz="0" w:space="0" w:color="auto"/>
      </w:divBdr>
    </w:div>
    <w:div w:id="648169499">
      <w:bodyDiv w:val="1"/>
      <w:marLeft w:val="0"/>
      <w:marRight w:val="0"/>
      <w:marTop w:val="0"/>
      <w:marBottom w:val="0"/>
      <w:divBdr>
        <w:top w:val="none" w:sz="0" w:space="0" w:color="auto"/>
        <w:left w:val="none" w:sz="0" w:space="0" w:color="auto"/>
        <w:bottom w:val="none" w:sz="0" w:space="0" w:color="auto"/>
        <w:right w:val="none" w:sz="0" w:space="0" w:color="auto"/>
      </w:divBdr>
    </w:div>
    <w:div w:id="1105270998">
      <w:bodyDiv w:val="1"/>
      <w:marLeft w:val="0"/>
      <w:marRight w:val="0"/>
      <w:marTop w:val="0"/>
      <w:marBottom w:val="0"/>
      <w:divBdr>
        <w:top w:val="none" w:sz="0" w:space="0" w:color="auto"/>
        <w:left w:val="none" w:sz="0" w:space="0" w:color="auto"/>
        <w:bottom w:val="none" w:sz="0" w:space="0" w:color="auto"/>
        <w:right w:val="none" w:sz="0" w:space="0" w:color="auto"/>
      </w:divBdr>
    </w:div>
    <w:div w:id="1378047938">
      <w:bodyDiv w:val="1"/>
      <w:marLeft w:val="0"/>
      <w:marRight w:val="0"/>
      <w:marTop w:val="0"/>
      <w:marBottom w:val="0"/>
      <w:divBdr>
        <w:top w:val="none" w:sz="0" w:space="0" w:color="auto"/>
        <w:left w:val="none" w:sz="0" w:space="0" w:color="auto"/>
        <w:bottom w:val="none" w:sz="0" w:space="0" w:color="auto"/>
        <w:right w:val="none" w:sz="0" w:space="0" w:color="auto"/>
      </w:divBdr>
    </w:div>
    <w:div w:id="1591304826">
      <w:bodyDiv w:val="1"/>
      <w:marLeft w:val="0"/>
      <w:marRight w:val="0"/>
      <w:marTop w:val="0"/>
      <w:marBottom w:val="0"/>
      <w:divBdr>
        <w:top w:val="none" w:sz="0" w:space="0" w:color="auto"/>
        <w:left w:val="none" w:sz="0" w:space="0" w:color="auto"/>
        <w:bottom w:val="none" w:sz="0" w:space="0" w:color="auto"/>
        <w:right w:val="none" w:sz="0" w:space="0" w:color="auto"/>
      </w:divBdr>
    </w:div>
    <w:div w:id="1783064921">
      <w:bodyDiv w:val="1"/>
      <w:marLeft w:val="0"/>
      <w:marRight w:val="0"/>
      <w:marTop w:val="0"/>
      <w:marBottom w:val="0"/>
      <w:divBdr>
        <w:top w:val="none" w:sz="0" w:space="0" w:color="auto"/>
        <w:left w:val="none" w:sz="0" w:space="0" w:color="auto"/>
        <w:bottom w:val="none" w:sz="0" w:space="0" w:color="auto"/>
        <w:right w:val="none" w:sz="0" w:space="0" w:color="auto"/>
      </w:divBdr>
    </w:div>
    <w:div w:id="1941335595">
      <w:bodyDiv w:val="1"/>
      <w:marLeft w:val="0"/>
      <w:marRight w:val="0"/>
      <w:marTop w:val="0"/>
      <w:marBottom w:val="0"/>
      <w:divBdr>
        <w:top w:val="none" w:sz="0" w:space="0" w:color="auto"/>
        <w:left w:val="none" w:sz="0" w:space="0" w:color="auto"/>
        <w:bottom w:val="none" w:sz="0" w:space="0" w:color="auto"/>
        <w:right w:val="none" w:sz="0" w:space="0" w:color="auto"/>
      </w:divBdr>
    </w:div>
    <w:div w:id="1969971051">
      <w:bodyDiv w:val="1"/>
      <w:marLeft w:val="0"/>
      <w:marRight w:val="0"/>
      <w:marTop w:val="0"/>
      <w:marBottom w:val="0"/>
      <w:divBdr>
        <w:top w:val="none" w:sz="0" w:space="0" w:color="auto"/>
        <w:left w:val="none" w:sz="0" w:space="0" w:color="auto"/>
        <w:bottom w:val="none" w:sz="0" w:space="0" w:color="auto"/>
        <w:right w:val="none" w:sz="0" w:space="0" w:color="auto"/>
      </w:divBdr>
    </w:div>
    <w:div w:id="205666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1" ma:contentTypeDescription="Create a new document." ma:contentTypeScope="" ma:versionID="843d7387ebc7b419d5d078dfdb954f14">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3e548a834177598d7ba1c70c7bd58364"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5513F-0BF4-42E3-B66C-50FD3EAAB101}">
  <ds:schemaRefs>
    <ds:schemaRef ds:uri="http://schemas.microsoft.com/sharepoint/v3/contenttype/forms"/>
  </ds:schemaRefs>
</ds:datastoreItem>
</file>

<file path=customXml/itemProps2.xml><?xml version="1.0" encoding="utf-8"?>
<ds:datastoreItem xmlns:ds="http://schemas.openxmlformats.org/officeDocument/2006/customXml" ds:itemID="{A5D22469-AFF2-4D8F-909C-86AE9E6BC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0377D-36AC-4D2B-9699-585DDD8006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97C62A-77C2-4F07-BBFC-E0E0ABB3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6539</Words>
  <Characters>37275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Wordpro</Company>
  <LinksUpToDate>false</LinksUpToDate>
  <CharactersWithSpaces>43727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Impact Assessment on the Omicron public health</dc:title>
  <dc:subject/>
  <dc:creator>Ministry of Health</dc:creator>
  <cp:keywords/>
  <cp:lastModifiedBy>Ministry of Health</cp:lastModifiedBy>
  <cp:revision>3</cp:revision>
  <cp:lastPrinted>2022-06-20T08:30:00Z</cp:lastPrinted>
  <dcterms:created xsi:type="dcterms:W3CDTF">2022-07-04T23:09:00Z</dcterms:created>
  <dcterms:modified xsi:type="dcterms:W3CDTF">2022-07-05T02:55:00Z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