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A9628" w14:textId="56133012" w:rsidR="003B2845" w:rsidRPr="007A2833" w:rsidRDefault="00EA639C" w:rsidP="000D44D7">
      <w:pPr>
        <w:pStyle w:val="Heading1"/>
      </w:pPr>
      <w:r w:rsidRPr="007A2833">
        <w:t>Annual R</w:t>
      </w:r>
      <w:r w:rsidR="003B2845" w:rsidRPr="007A2833">
        <w:t xml:space="preserve">eport </w:t>
      </w:r>
      <w:r w:rsidR="000D44D7">
        <w:br/>
      </w:r>
      <w:r w:rsidR="003B2845" w:rsidRPr="007A2833">
        <w:t>to the Minister of Health</w:t>
      </w:r>
      <w:r w:rsidR="000D44D7">
        <w:br/>
      </w:r>
      <w:r w:rsidR="003B2845" w:rsidRPr="007A2833">
        <w:t>January 2022</w:t>
      </w:r>
    </w:p>
    <w:p w14:paraId="0B49F1EA" w14:textId="77777777" w:rsidR="00F35D34" w:rsidRDefault="00F35D34">
      <w:pPr>
        <w:rPr>
          <w:rFonts w:ascii="Segoe UI" w:hAnsi="Segoe UI" w:cs="Segoe UI"/>
        </w:rPr>
      </w:pPr>
    </w:p>
    <w:p w14:paraId="542B43A0" w14:textId="77777777" w:rsidR="00F35D34" w:rsidRDefault="00F35D34">
      <w:pPr>
        <w:rPr>
          <w:rFonts w:ascii="Segoe UI" w:hAnsi="Segoe UI" w:cs="Segoe UI"/>
        </w:rPr>
      </w:pPr>
    </w:p>
    <w:p w14:paraId="570A3E8B" w14:textId="77777777" w:rsidR="00F35D34" w:rsidRPr="00182FCF" w:rsidRDefault="00F35D34" w:rsidP="00F35D34">
      <w:pPr>
        <w:rPr>
          <w:rFonts w:ascii="Segoe UI" w:hAnsi="Segoe UI" w:cs="Segoe UI"/>
          <w:i/>
          <w:iCs/>
          <w:sz w:val="40"/>
          <w:szCs w:val="40"/>
        </w:rPr>
      </w:pPr>
      <w:r w:rsidRPr="00182FCF">
        <w:rPr>
          <w:rFonts w:ascii="Segoe UI" w:hAnsi="Segoe UI" w:cs="Segoe UI"/>
          <w:i/>
          <w:iCs/>
          <w:sz w:val="40"/>
          <w:szCs w:val="40"/>
        </w:rPr>
        <w:t>Health Workforce Advisory Board</w:t>
      </w:r>
    </w:p>
    <w:p w14:paraId="0776C254" w14:textId="1ACE32AF" w:rsidR="00C6163A" w:rsidRDefault="00C6163A">
      <w:pPr>
        <w:rPr>
          <w:rFonts w:ascii="Segoe UI" w:hAnsi="Segoe UI" w:cs="Segoe UI"/>
        </w:rPr>
      </w:pPr>
      <w:r>
        <w:rPr>
          <w:rFonts w:ascii="Segoe UI" w:hAnsi="Segoe UI" w:cs="Segoe UI"/>
        </w:rPr>
        <w:br w:type="page"/>
      </w:r>
    </w:p>
    <w:p w14:paraId="727B2B94" w14:textId="11D66A6F" w:rsidR="00E6576B" w:rsidRPr="002801BF" w:rsidRDefault="003B2845" w:rsidP="00EC360E">
      <w:pPr>
        <w:pStyle w:val="Heading2"/>
      </w:pPr>
      <w:r w:rsidRPr="002801BF">
        <w:lastRenderedPageBreak/>
        <w:t>Introduction</w:t>
      </w:r>
      <w:r w:rsidR="00E6576B" w:rsidRPr="002801BF">
        <w:t xml:space="preserve"> from the Board </w:t>
      </w:r>
      <w:r w:rsidR="00E6576B" w:rsidRPr="00EC360E">
        <w:t>Chairperson</w:t>
      </w:r>
    </w:p>
    <w:p w14:paraId="7895DCFB" w14:textId="77777777" w:rsidR="00D431F9" w:rsidRDefault="00D431F9" w:rsidP="003B2845">
      <w:pPr>
        <w:rPr>
          <w:rFonts w:ascii="Segoe UI" w:hAnsi="Segoe UI" w:cs="Segoe UI"/>
        </w:rPr>
        <w:sectPr w:rsidR="00D431F9" w:rsidSect="004137DD">
          <w:footerReference w:type="default" r:id="rId8"/>
          <w:footerReference w:type="first" r:id="rId9"/>
          <w:pgSz w:w="11906" w:h="16838" w:code="9"/>
          <w:pgMar w:top="1276" w:right="1440" w:bottom="1440" w:left="1440" w:header="709" w:footer="709" w:gutter="0"/>
          <w:cols w:space="708"/>
          <w:vAlign w:val="center"/>
          <w:titlePg/>
          <w:docGrid w:linePitch="360"/>
        </w:sectPr>
      </w:pPr>
    </w:p>
    <w:p w14:paraId="5F9DBD34" w14:textId="2509315A" w:rsidR="003712B0" w:rsidRPr="003712B0" w:rsidRDefault="003712B0" w:rsidP="00095007">
      <w:pPr>
        <w:spacing w:line="252" w:lineRule="auto"/>
        <w:rPr>
          <w:rFonts w:ascii="Segoe UI" w:hAnsi="Segoe UI" w:cs="Segoe UI"/>
          <w:i/>
        </w:rPr>
      </w:pPr>
      <w:r>
        <w:rPr>
          <w:rFonts w:ascii="Segoe UI" w:hAnsi="Segoe UI" w:cs="Segoe UI"/>
        </w:rPr>
        <w:t>“</w:t>
      </w:r>
      <w:r>
        <w:rPr>
          <w:rFonts w:ascii="Segoe UI" w:hAnsi="Segoe UI" w:cs="Segoe UI"/>
          <w:i/>
        </w:rPr>
        <w:t xml:space="preserve">The pandemic has taken us to the abyss. What have we learned? How do we change our ways?” Bruno </w:t>
      </w:r>
      <w:proofErr w:type="spellStart"/>
      <w:r>
        <w:rPr>
          <w:rFonts w:ascii="Segoe UI" w:hAnsi="Segoe UI" w:cs="Segoe UI"/>
          <w:i/>
        </w:rPr>
        <w:t>Macāes</w:t>
      </w:r>
      <w:proofErr w:type="spellEnd"/>
      <w:r>
        <w:rPr>
          <w:rFonts w:ascii="Segoe UI" w:hAnsi="Segoe UI" w:cs="Segoe UI"/>
          <w:i/>
        </w:rPr>
        <w:t>.</w:t>
      </w:r>
    </w:p>
    <w:p w14:paraId="4737102D" w14:textId="5F419216" w:rsidR="003B2845" w:rsidRPr="00D802FC" w:rsidRDefault="003B2845" w:rsidP="00095007">
      <w:pPr>
        <w:spacing w:line="252" w:lineRule="auto"/>
        <w:rPr>
          <w:rFonts w:ascii="Segoe UI" w:hAnsi="Segoe UI" w:cs="Segoe UI"/>
        </w:rPr>
      </w:pPr>
      <w:r w:rsidRPr="00D802FC">
        <w:rPr>
          <w:rFonts w:ascii="Segoe UI" w:hAnsi="Segoe UI" w:cs="Segoe UI"/>
        </w:rPr>
        <w:t xml:space="preserve">This is the second Annual Report to the Minister of Health from the Health Workforce Advisory Board </w:t>
      </w:r>
      <w:r w:rsidR="0094055B" w:rsidRPr="00D802FC">
        <w:rPr>
          <w:rFonts w:ascii="Segoe UI" w:hAnsi="Segoe UI" w:cs="Segoe UI"/>
        </w:rPr>
        <w:t>(HWAB)</w:t>
      </w:r>
      <w:r w:rsidR="00F9149C">
        <w:rPr>
          <w:rFonts w:ascii="Segoe UI" w:hAnsi="Segoe UI" w:cs="Segoe UI"/>
        </w:rPr>
        <w:t xml:space="preserve"> </w:t>
      </w:r>
      <w:r w:rsidRPr="00D802FC">
        <w:rPr>
          <w:rFonts w:ascii="Segoe UI" w:hAnsi="Segoe UI" w:cs="Segoe UI"/>
        </w:rPr>
        <w:t>which was introduced in 2019 under section 11 of the New Zealand Public Health and Disability Act 2000.</w:t>
      </w:r>
    </w:p>
    <w:p w14:paraId="26746DE2" w14:textId="718E44CF" w:rsidR="003B2845" w:rsidRPr="00D802FC" w:rsidRDefault="003B2845" w:rsidP="00095007">
      <w:pPr>
        <w:spacing w:line="252" w:lineRule="auto"/>
        <w:rPr>
          <w:rFonts w:ascii="Segoe UI" w:hAnsi="Segoe UI" w:cs="Segoe UI"/>
        </w:rPr>
      </w:pPr>
      <w:r w:rsidRPr="00D802FC">
        <w:rPr>
          <w:rFonts w:ascii="Segoe UI" w:hAnsi="Segoe UI" w:cs="Segoe UI"/>
        </w:rPr>
        <w:t>The Board was established to provide advice to the Minister on health workforce matters including strategic direction, emerging issues and risks. Under s15 of the Act, the Board must report to the Minister at least once a year in relation to its statutory pu</w:t>
      </w:r>
      <w:r w:rsidR="0002016E" w:rsidRPr="00D802FC">
        <w:rPr>
          <w:rFonts w:ascii="Segoe UI" w:hAnsi="Segoe UI" w:cs="Segoe UI"/>
        </w:rPr>
        <w:t xml:space="preserve">rpose. A copy of the report will </w:t>
      </w:r>
      <w:r w:rsidR="00A21EDD" w:rsidRPr="00D802FC">
        <w:rPr>
          <w:rFonts w:ascii="Segoe UI" w:hAnsi="Segoe UI" w:cs="Segoe UI"/>
        </w:rPr>
        <w:t>be presented to the House of R</w:t>
      </w:r>
      <w:r w:rsidRPr="00D802FC">
        <w:rPr>
          <w:rFonts w:ascii="Segoe UI" w:hAnsi="Segoe UI" w:cs="Segoe UI"/>
        </w:rPr>
        <w:t>epresentatives by the Minister.</w:t>
      </w:r>
    </w:p>
    <w:p w14:paraId="5BA84147" w14:textId="6BD00C69" w:rsidR="001116F9" w:rsidRPr="00D802FC" w:rsidRDefault="003B2845" w:rsidP="00095007">
      <w:pPr>
        <w:spacing w:line="252" w:lineRule="auto"/>
        <w:rPr>
          <w:rFonts w:ascii="Segoe UI" w:hAnsi="Segoe UI" w:cs="Segoe UI"/>
        </w:rPr>
      </w:pPr>
      <w:r w:rsidRPr="00D802FC">
        <w:rPr>
          <w:rFonts w:ascii="Segoe UI" w:hAnsi="Segoe UI" w:cs="Segoe UI"/>
        </w:rPr>
        <w:t xml:space="preserve">Its work in the </w:t>
      </w:r>
      <w:r w:rsidR="0002016E" w:rsidRPr="00D802FC">
        <w:rPr>
          <w:rFonts w:ascii="Segoe UI" w:hAnsi="Segoe UI" w:cs="Segoe UI"/>
        </w:rPr>
        <w:t>p</w:t>
      </w:r>
      <w:r w:rsidRPr="00D802FC">
        <w:rPr>
          <w:rFonts w:ascii="Segoe UI" w:hAnsi="Segoe UI" w:cs="Segoe UI"/>
        </w:rPr>
        <w:t>ast year has been dominate</w:t>
      </w:r>
      <w:r w:rsidR="0002016E" w:rsidRPr="00D802FC">
        <w:rPr>
          <w:rFonts w:ascii="Segoe UI" w:hAnsi="Segoe UI" w:cs="Segoe UI"/>
        </w:rPr>
        <w:t>d by the global pandemic, COVID-</w:t>
      </w:r>
      <w:r w:rsidRPr="00D802FC">
        <w:rPr>
          <w:rFonts w:ascii="Segoe UI" w:hAnsi="Segoe UI" w:cs="Segoe UI"/>
        </w:rPr>
        <w:t>19</w:t>
      </w:r>
      <w:r w:rsidR="0002016E" w:rsidRPr="00D802FC">
        <w:rPr>
          <w:rFonts w:ascii="Segoe UI" w:hAnsi="Segoe UI" w:cs="Segoe UI"/>
        </w:rPr>
        <w:t>,</w:t>
      </w:r>
      <w:r w:rsidRPr="00D802FC">
        <w:rPr>
          <w:rFonts w:ascii="Segoe UI" w:hAnsi="Segoe UI" w:cs="Segoe UI"/>
        </w:rPr>
        <w:t xml:space="preserve"> and </w:t>
      </w:r>
      <w:r w:rsidR="0002016E" w:rsidRPr="00D802FC">
        <w:rPr>
          <w:rFonts w:ascii="Segoe UI" w:hAnsi="Segoe UI" w:cs="Segoe UI"/>
        </w:rPr>
        <w:t xml:space="preserve">the </w:t>
      </w:r>
      <w:r w:rsidRPr="00D802FC">
        <w:rPr>
          <w:rFonts w:ascii="Segoe UI" w:hAnsi="Segoe UI" w:cs="Segoe UI"/>
        </w:rPr>
        <w:t>health r</w:t>
      </w:r>
      <w:r w:rsidR="0002016E" w:rsidRPr="00D802FC">
        <w:rPr>
          <w:rFonts w:ascii="Segoe UI" w:hAnsi="Segoe UI" w:cs="Segoe UI"/>
        </w:rPr>
        <w:t>eforms which will see District H</w:t>
      </w:r>
      <w:r w:rsidRPr="00D802FC">
        <w:rPr>
          <w:rFonts w:ascii="Segoe UI" w:hAnsi="Segoe UI" w:cs="Segoe UI"/>
        </w:rPr>
        <w:t>ealth Boards dis</w:t>
      </w:r>
      <w:r w:rsidR="00A21EDD" w:rsidRPr="00D802FC">
        <w:rPr>
          <w:rFonts w:ascii="Segoe UI" w:hAnsi="Segoe UI" w:cs="Segoe UI"/>
        </w:rPr>
        <w:t>-</w:t>
      </w:r>
      <w:r w:rsidRPr="00D802FC">
        <w:rPr>
          <w:rFonts w:ascii="Segoe UI" w:hAnsi="Segoe UI" w:cs="Segoe UI"/>
        </w:rPr>
        <w:t>esta</w:t>
      </w:r>
      <w:r w:rsidR="001116F9" w:rsidRPr="00D802FC">
        <w:rPr>
          <w:rFonts w:ascii="Segoe UI" w:hAnsi="Segoe UI" w:cs="Segoe UI"/>
        </w:rPr>
        <w:t xml:space="preserve">blished by </w:t>
      </w:r>
      <w:r w:rsidR="00F532C9">
        <w:rPr>
          <w:rFonts w:ascii="Segoe UI" w:hAnsi="Segoe UI" w:cs="Segoe UI"/>
        </w:rPr>
        <w:t xml:space="preserve">30 </w:t>
      </w:r>
      <w:r w:rsidR="001116F9" w:rsidRPr="00D802FC">
        <w:rPr>
          <w:rFonts w:ascii="Segoe UI" w:hAnsi="Segoe UI" w:cs="Segoe UI"/>
        </w:rPr>
        <w:t>June 2022 and new</w:t>
      </w:r>
      <w:r w:rsidRPr="00D802FC">
        <w:rPr>
          <w:rFonts w:ascii="Segoe UI" w:hAnsi="Segoe UI" w:cs="Segoe UI"/>
        </w:rPr>
        <w:t xml:space="preserve"> centralised structures, Health New Zealand</w:t>
      </w:r>
      <w:r w:rsidR="0002016E" w:rsidRPr="00D802FC">
        <w:rPr>
          <w:rFonts w:ascii="Segoe UI" w:hAnsi="Segoe UI" w:cs="Segoe UI"/>
        </w:rPr>
        <w:t>,</w:t>
      </w:r>
      <w:r w:rsidRPr="00D802FC">
        <w:rPr>
          <w:rFonts w:ascii="Segoe UI" w:hAnsi="Segoe UI" w:cs="Segoe UI"/>
        </w:rPr>
        <w:t xml:space="preserve"> and the</w:t>
      </w:r>
      <w:r w:rsidR="001116F9" w:rsidRPr="00D802FC">
        <w:rPr>
          <w:rFonts w:ascii="Segoe UI" w:hAnsi="Segoe UI" w:cs="Segoe UI"/>
        </w:rPr>
        <w:t xml:space="preserve"> M</w:t>
      </w:r>
      <w:r w:rsidR="0094055B" w:rsidRPr="00D802FC">
        <w:rPr>
          <w:rFonts w:ascii="Segoe UI" w:hAnsi="Segoe UI" w:cs="Segoe UI"/>
        </w:rPr>
        <w:t>ā</w:t>
      </w:r>
      <w:r w:rsidR="001116F9" w:rsidRPr="00D802FC">
        <w:rPr>
          <w:rFonts w:ascii="Segoe UI" w:hAnsi="Segoe UI" w:cs="Segoe UI"/>
        </w:rPr>
        <w:t xml:space="preserve">ori Health Authority, </w:t>
      </w:r>
      <w:r w:rsidRPr="00D802FC">
        <w:rPr>
          <w:rFonts w:ascii="Segoe UI" w:hAnsi="Segoe UI" w:cs="Segoe UI"/>
        </w:rPr>
        <w:t>take over the delivery of health services to Aotearoa New Zealand.</w:t>
      </w:r>
      <w:r w:rsidR="0002016E" w:rsidRPr="00D802FC">
        <w:rPr>
          <w:rFonts w:ascii="Segoe UI" w:hAnsi="Segoe UI" w:cs="Segoe UI"/>
        </w:rPr>
        <w:t xml:space="preserve"> </w:t>
      </w:r>
    </w:p>
    <w:p w14:paraId="60DD3A40" w14:textId="495C79FE" w:rsidR="0094055B" w:rsidRPr="00D802FC" w:rsidRDefault="0002016E" w:rsidP="00095007">
      <w:pPr>
        <w:spacing w:line="252" w:lineRule="auto"/>
        <w:rPr>
          <w:rFonts w:ascii="Segoe UI" w:hAnsi="Segoe UI" w:cs="Segoe UI"/>
        </w:rPr>
      </w:pPr>
      <w:r w:rsidRPr="00D802FC">
        <w:rPr>
          <w:rFonts w:ascii="Segoe UI" w:hAnsi="Segoe UI" w:cs="Segoe UI"/>
        </w:rPr>
        <w:t>Transitional change has impacted on the composition of both the Board and the Ministry of Health’s Health Workforce Directorate during 2021. The Board lost a number of members to take up positions in the Ministry</w:t>
      </w:r>
      <w:r w:rsidR="00A21EDD" w:rsidRPr="00D802FC">
        <w:rPr>
          <w:rFonts w:ascii="Segoe UI" w:hAnsi="Segoe UI" w:cs="Segoe UI"/>
        </w:rPr>
        <w:t>, while two of them</w:t>
      </w:r>
      <w:r w:rsidR="0094055B" w:rsidRPr="00D802FC">
        <w:rPr>
          <w:rFonts w:ascii="Segoe UI" w:hAnsi="Segoe UI" w:cs="Segoe UI"/>
        </w:rPr>
        <w:t xml:space="preserve"> continued to act </w:t>
      </w:r>
      <w:r w:rsidR="00A21EDD" w:rsidRPr="00D802FC">
        <w:rPr>
          <w:rFonts w:ascii="Segoe UI" w:hAnsi="Segoe UI" w:cs="Segoe UI"/>
        </w:rPr>
        <w:t>in an advisory capacity and HWAB benefitted from their collaboration.</w:t>
      </w:r>
      <w:r w:rsidR="00C84764" w:rsidRPr="00D802FC">
        <w:rPr>
          <w:rFonts w:ascii="Segoe UI" w:hAnsi="Segoe UI" w:cs="Segoe UI"/>
        </w:rPr>
        <w:t xml:space="preserve"> The ex-</w:t>
      </w:r>
      <w:r w:rsidR="0094055B" w:rsidRPr="00D802FC">
        <w:rPr>
          <w:rFonts w:ascii="Segoe UI" w:hAnsi="Segoe UI" w:cs="Segoe UI"/>
        </w:rPr>
        <w:t xml:space="preserve">officio Board member representing DHBs was often unavailable due to COVID-19 demands in </w:t>
      </w:r>
      <w:r w:rsidR="00844AF2" w:rsidRPr="00D802FC">
        <w:rPr>
          <w:rFonts w:ascii="Segoe UI" w:hAnsi="Segoe UI" w:cs="Segoe UI"/>
        </w:rPr>
        <w:t>the</w:t>
      </w:r>
      <w:r w:rsidR="00907EF1" w:rsidRPr="00D802FC">
        <w:rPr>
          <w:rFonts w:ascii="Segoe UI" w:hAnsi="Segoe UI" w:cs="Segoe UI"/>
        </w:rPr>
        <w:t xml:space="preserve"> Northern region and one Board member was working in Samoa for much of the year. </w:t>
      </w:r>
      <w:r w:rsidR="0094055B" w:rsidRPr="00D802FC">
        <w:rPr>
          <w:rFonts w:ascii="Segoe UI" w:hAnsi="Segoe UI" w:cs="Segoe UI"/>
        </w:rPr>
        <w:t>T</w:t>
      </w:r>
      <w:r w:rsidR="00810DAD" w:rsidRPr="00D802FC">
        <w:rPr>
          <w:rFonts w:ascii="Segoe UI" w:hAnsi="Segoe UI" w:cs="Segoe UI"/>
        </w:rPr>
        <w:t xml:space="preserve">he Ministry, </w:t>
      </w:r>
      <w:r w:rsidRPr="00D802FC">
        <w:rPr>
          <w:rFonts w:ascii="Segoe UI" w:hAnsi="Segoe UI" w:cs="Segoe UI"/>
        </w:rPr>
        <w:t>in turn</w:t>
      </w:r>
      <w:r w:rsidR="00810DAD" w:rsidRPr="00D802FC">
        <w:rPr>
          <w:rFonts w:ascii="Segoe UI" w:hAnsi="Segoe UI" w:cs="Segoe UI"/>
        </w:rPr>
        <w:t>,</w:t>
      </w:r>
      <w:r w:rsidR="00907EF1" w:rsidRPr="00D802FC">
        <w:rPr>
          <w:rFonts w:ascii="Segoe UI" w:hAnsi="Segoe UI" w:cs="Segoe UI"/>
        </w:rPr>
        <w:t xml:space="preserve"> lost </w:t>
      </w:r>
      <w:r w:rsidR="00907EF1" w:rsidRPr="00D802FC">
        <w:rPr>
          <w:rFonts w:ascii="Segoe UI" w:hAnsi="Segoe UI" w:cs="Segoe UI"/>
        </w:rPr>
        <w:t>several senior managers</w:t>
      </w:r>
      <w:r w:rsidR="001116F9" w:rsidRPr="00D802FC">
        <w:rPr>
          <w:rFonts w:ascii="Segoe UI" w:hAnsi="Segoe UI" w:cs="Segoe UI"/>
        </w:rPr>
        <w:t xml:space="preserve"> in the </w:t>
      </w:r>
      <w:r w:rsidR="0094055B" w:rsidRPr="00D802FC">
        <w:rPr>
          <w:rFonts w:ascii="Segoe UI" w:hAnsi="Segoe UI" w:cs="Segoe UI"/>
        </w:rPr>
        <w:t xml:space="preserve">workforce </w:t>
      </w:r>
      <w:r w:rsidR="001116F9" w:rsidRPr="00D802FC">
        <w:rPr>
          <w:rFonts w:ascii="Segoe UI" w:hAnsi="Segoe UI" w:cs="Segoe UI"/>
        </w:rPr>
        <w:t>directorate over</w:t>
      </w:r>
      <w:r w:rsidRPr="00D802FC">
        <w:rPr>
          <w:rFonts w:ascii="Segoe UI" w:hAnsi="Segoe UI" w:cs="Segoe UI"/>
        </w:rPr>
        <w:t xml:space="preserve"> a short period of time. </w:t>
      </w:r>
    </w:p>
    <w:p w14:paraId="221093F3" w14:textId="1EADEF43" w:rsidR="003B2845" w:rsidRPr="00D802FC" w:rsidRDefault="0002016E" w:rsidP="00861DD7">
      <w:pPr>
        <w:spacing w:line="247" w:lineRule="auto"/>
        <w:rPr>
          <w:rFonts w:ascii="Segoe UI" w:hAnsi="Segoe UI" w:cs="Segoe UI"/>
        </w:rPr>
      </w:pPr>
      <w:r w:rsidRPr="00D802FC">
        <w:rPr>
          <w:rFonts w:ascii="Segoe UI" w:hAnsi="Segoe UI" w:cs="Segoe UI"/>
        </w:rPr>
        <w:t>Three new Ministerial app</w:t>
      </w:r>
      <w:r w:rsidR="0094055B" w:rsidRPr="00D802FC">
        <w:rPr>
          <w:rFonts w:ascii="Segoe UI" w:hAnsi="Segoe UI" w:cs="Segoe UI"/>
        </w:rPr>
        <w:t>ointments were made to HWAB</w:t>
      </w:r>
      <w:r w:rsidRPr="00D802FC">
        <w:rPr>
          <w:rFonts w:ascii="Segoe UI" w:hAnsi="Segoe UI" w:cs="Segoe UI"/>
        </w:rPr>
        <w:t xml:space="preserve"> at the end of 2021, to supp</w:t>
      </w:r>
      <w:r w:rsidR="00810DAD" w:rsidRPr="00D802FC">
        <w:rPr>
          <w:rFonts w:ascii="Segoe UI" w:hAnsi="Segoe UI" w:cs="Segoe UI"/>
        </w:rPr>
        <w:t>lement m</w:t>
      </w:r>
      <w:r w:rsidR="00165372" w:rsidRPr="00D802FC">
        <w:rPr>
          <w:rFonts w:ascii="Segoe UI" w:hAnsi="Segoe UI" w:cs="Segoe UI"/>
        </w:rPr>
        <w:t>embership going forward and the Board</w:t>
      </w:r>
      <w:r w:rsidR="00810DAD" w:rsidRPr="00D802FC">
        <w:rPr>
          <w:rFonts w:ascii="Segoe UI" w:hAnsi="Segoe UI" w:cs="Segoe UI"/>
        </w:rPr>
        <w:t xml:space="preserve"> looks forward to their contribution to its work.</w:t>
      </w:r>
    </w:p>
    <w:p w14:paraId="71089DED" w14:textId="77777777" w:rsidR="0002016E" w:rsidRPr="00D802FC" w:rsidRDefault="001116F9" w:rsidP="00861DD7">
      <w:pPr>
        <w:spacing w:line="247" w:lineRule="auto"/>
        <w:rPr>
          <w:rFonts w:ascii="Segoe UI" w:hAnsi="Segoe UI" w:cs="Segoe UI"/>
        </w:rPr>
      </w:pPr>
      <w:r w:rsidRPr="00D802FC">
        <w:rPr>
          <w:rFonts w:ascii="Segoe UI" w:hAnsi="Segoe UI" w:cs="Segoe UI"/>
        </w:rPr>
        <w:t>The Board works with the Ministry of Health, in particular alongside the Health Workforce Directorate. It has no personnel, funding or budget management responsibility and is concerned with the whole of the health workforce, both regulated and unregulated.</w:t>
      </w:r>
      <w:r w:rsidR="0094055B" w:rsidRPr="00D802FC">
        <w:rPr>
          <w:rFonts w:ascii="Segoe UI" w:hAnsi="Segoe UI" w:cs="Segoe UI"/>
        </w:rPr>
        <w:t xml:space="preserve"> </w:t>
      </w:r>
      <w:r w:rsidR="0002016E" w:rsidRPr="00D802FC">
        <w:rPr>
          <w:rFonts w:ascii="Segoe UI" w:hAnsi="Segoe UI" w:cs="Segoe UI"/>
        </w:rPr>
        <w:t>The Board’s Terms of Reference include providing strategic oversight, advice and recommendations on matters relating to health workforce including but not limited to:</w:t>
      </w:r>
    </w:p>
    <w:p w14:paraId="729F8654" w14:textId="77777777" w:rsidR="0002016E" w:rsidRPr="00D802FC" w:rsidRDefault="0002016E" w:rsidP="00095007">
      <w:pPr>
        <w:pStyle w:val="ListParagraph"/>
        <w:numPr>
          <w:ilvl w:val="0"/>
          <w:numId w:val="1"/>
        </w:numPr>
        <w:spacing w:line="250" w:lineRule="auto"/>
        <w:rPr>
          <w:rFonts w:ascii="Segoe UI" w:hAnsi="Segoe UI" w:cs="Segoe UI"/>
        </w:rPr>
      </w:pPr>
      <w:r w:rsidRPr="00D802FC">
        <w:rPr>
          <w:rFonts w:ascii="Segoe UI" w:hAnsi="Segoe UI" w:cs="Segoe UI"/>
        </w:rPr>
        <w:t>Planning for New Zealand’s health and disability system workforce</w:t>
      </w:r>
    </w:p>
    <w:p w14:paraId="6CF140D2" w14:textId="3547ABA3" w:rsidR="0002016E" w:rsidRPr="00D802FC" w:rsidRDefault="0002016E" w:rsidP="00095007">
      <w:pPr>
        <w:pStyle w:val="ListParagraph"/>
        <w:numPr>
          <w:ilvl w:val="0"/>
          <w:numId w:val="1"/>
        </w:numPr>
        <w:spacing w:line="250" w:lineRule="auto"/>
        <w:rPr>
          <w:rFonts w:ascii="Segoe UI" w:hAnsi="Segoe UI" w:cs="Segoe UI"/>
        </w:rPr>
      </w:pPr>
      <w:r w:rsidRPr="00D802FC">
        <w:rPr>
          <w:rFonts w:ascii="Segoe UI" w:hAnsi="Segoe UI" w:cs="Segoe UI"/>
        </w:rPr>
        <w:t>Enabling greater participation of M</w:t>
      </w:r>
      <w:r w:rsidR="00A21EDD" w:rsidRPr="00D802FC">
        <w:rPr>
          <w:rFonts w:ascii="Segoe UI" w:hAnsi="Segoe UI" w:cs="Segoe UI"/>
        </w:rPr>
        <w:t>ā</w:t>
      </w:r>
      <w:r w:rsidRPr="00D802FC">
        <w:rPr>
          <w:rFonts w:ascii="Segoe UI" w:hAnsi="Segoe UI" w:cs="Segoe UI"/>
        </w:rPr>
        <w:t>ori in the health workforce and partnering with M</w:t>
      </w:r>
      <w:r w:rsidR="00A21EDD" w:rsidRPr="00D802FC">
        <w:rPr>
          <w:rFonts w:ascii="Segoe UI" w:hAnsi="Segoe UI" w:cs="Segoe UI"/>
        </w:rPr>
        <w:t>ā</w:t>
      </w:r>
      <w:r w:rsidRPr="00D802FC">
        <w:rPr>
          <w:rFonts w:ascii="Segoe UI" w:hAnsi="Segoe UI" w:cs="Segoe UI"/>
        </w:rPr>
        <w:t>ori to better understand the needs and aspirations of the M</w:t>
      </w:r>
      <w:r w:rsidR="00A21EDD" w:rsidRPr="00D802FC">
        <w:rPr>
          <w:rFonts w:ascii="Segoe UI" w:hAnsi="Segoe UI" w:cs="Segoe UI"/>
        </w:rPr>
        <w:t>ā</w:t>
      </w:r>
      <w:r w:rsidRPr="00D802FC">
        <w:rPr>
          <w:rFonts w:ascii="Segoe UI" w:hAnsi="Segoe UI" w:cs="Segoe UI"/>
        </w:rPr>
        <w:t>ori workforce</w:t>
      </w:r>
    </w:p>
    <w:p w14:paraId="7E509F50" w14:textId="77777777" w:rsidR="0002016E" w:rsidRPr="00D802FC" w:rsidRDefault="0002016E" w:rsidP="00095007">
      <w:pPr>
        <w:pStyle w:val="ListParagraph"/>
        <w:numPr>
          <w:ilvl w:val="0"/>
          <w:numId w:val="1"/>
        </w:numPr>
        <w:spacing w:line="250" w:lineRule="auto"/>
        <w:rPr>
          <w:rFonts w:ascii="Segoe UI" w:hAnsi="Segoe UI" w:cs="Segoe UI"/>
        </w:rPr>
      </w:pPr>
      <w:r w:rsidRPr="00D802FC">
        <w:rPr>
          <w:rFonts w:ascii="Segoe UI" w:hAnsi="Segoe UI" w:cs="Segoe UI"/>
        </w:rPr>
        <w:t>Enabling greater participation of Pacific and other under-represented populations in the health workforce</w:t>
      </w:r>
    </w:p>
    <w:p w14:paraId="75FCB6F9" w14:textId="77777777" w:rsidR="0002016E" w:rsidRPr="00D802FC" w:rsidRDefault="0002016E" w:rsidP="00095007">
      <w:pPr>
        <w:pStyle w:val="ListParagraph"/>
        <w:numPr>
          <w:ilvl w:val="0"/>
          <w:numId w:val="1"/>
        </w:numPr>
        <w:spacing w:line="250" w:lineRule="auto"/>
        <w:rPr>
          <w:rFonts w:ascii="Segoe UI" w:hAnsi="Segoe UI" w:cs="Segoe UI"/>
        </w:rPr>
      </w:pPr>
      <w:r w:rsidRPr="00D802FC">
        <w:rPr>
          <w:rFonts w:ascii="Segoe UI" w:hAnsi="Segoe UI" w:cs="Segoe UI"/>
        </w:rPr>
        <w:t>Education, training and development of the health workforce</w:t>
      </w:r>
    </w:p>
    <w:p w14:paraId="7B04527C" w14:textId="77777777" w:rsidR="0002016E" w:rsidRPr="00D802FC" w:rsidRDefault="0002016E" w:rsidP="00095007">
      <w:pPr>
        <w:pStyle w:val="ListParagraph"/>
        <w:numPr>
          <w:ilvl w:val="0"/>
          <w:numId w:val="1"/>
        </w:numPr>
        <w:spacing w:line="250" w:lineRule="auto"/>
        <w:rPr>
          <w:rFonts w:ascii="Segoe UI" w:hAnsi="Segoe UI" w:cs="Segoe UI"/>
        </w:rPr>
      </w:pPr>
      <w:r w:rsidRPr="00D802FC">
        <w:rPr>
          <w:rFonts w:ascii="Segoe UI" w:hAnsi="Segoe UI" w:cs="Segoe UI"/>
        </w:rPr>
        <w:t>Health workforce</w:t>
      </w:r>
      <w:r w:rsidR="001116F9" w:rsidRPr="00D802FC">
        <w:rPr>
          <w:rFonts w:ascii="Segoe UI" w:hAnsi="Segoe UI" w:cs="Segoe UI"/>
        </w:rPr>
        <w:t xml:space="preserve"> wellbeing</w:t>
      </w:r>
    </w:p>
    <w:p w14:paraId="6FDD4BC4" w14:textId="71571538" w:rsidR="001116F9" w:rsidRPr="00D802FC" w:rsidRDefault="001116F9" w:rsidP="00095007">
      <w:pPr>
        <w:pStyle w:val="ListParagraph"/>
        <w:numPr>
          <w:ilvl w:val="0"/>
          <w:numId w:val="1"/>
        </w:numPr>
        <w:spacing w:line="250" w:lineRule="auto"/>
        <w:rPr>
          <w:rFonts w:ascii="Segoe UI" w:hAnsi="Segoe UI" w:cs="Segoe UI"/>
        </w:rPr>
      </w:pPr>
      <w:r w:rsidRPr="00D802FC">
        <w:rPr>
          <w:rFonts w:ascii="Segoe UI" w:hAnsi="Segoe UI" w:cs="Segoe UI"/>
        </w:rPr>
        <w:t>Supporting quality improvement, innovation and change</w:t>
      </w:r>
      <w:r w:rsidR="00F971A8">
        <w:rPr>
          <w:rFonts w:ascii="Segoe UI" w:hAnsi="Segoe UI" w:cs="Segoe UI"/>
        </w:rPr>
        <w:t>d</w:t>
      </w:r>
      <w:r w:rsidRPr="00D802FC">
        <w:rPr>
          <w:rFonts w:ascii="Segoe UI" w:hAnsi="Segoe UI" w:cs="Segoe UI"/>
        </w:rPr>
        <w:t xml:space="preserve"> ways of working.</w:t>
      </w:r>
    </w:p>
    <w:p w14:paraId="17B08DA0" w14:textId="433C5D6C" w:rsidR="001116F9" w:rsidRDefault="001116F9" w:rsidP="00095007">
      <w:pPr>
        <w:spacing w:line="250" w:lineRule="auto"/>
        <w:rPr>
          <w:rFonts w:ascii="Segoe UI" w:hAnsi="Segoe UI" w:cs="Segoe UI"/>
        </w:rPr>
      </w:pPr>
      <w:r w:rsidRPr="00D802FC">
        <w:rPr>
          <w:rFonts w:ascii="Segoe UI" w:hAnsi="Segoe UI" w:cs="Segoe UI"/>
        </w:rPr>
        <w:t>These will be referred to in the following report.</w:t>
      </w:r>
    </w:p>
    <w:p w14:paraId="3083C2C7" w14:textId="0DBF9648" w:rsidR="00195F95" w:rsidRPr="001B1989" w:rsidRDefault="00095007" w:rsidP="000D3AE9">
      <w:pPr>
        <w:spacing w:after="0" w:line="247" w:lineRule="auto"/>
        <w:rPr>
          <w:rFonts w:ascii="Segoe UI" w:hAnsi="Segoe UI" w:cs="Segoe UI"/>
        </w:rPr>
      </w:pPr>
      <w:r w:rsidRPr="001B1989">
        <w:rPr>
          <w:rFonts w:ascii="Segoe UI" w:hAnsi="Segoe UI" w:cs="Segoe UI"/>
          <w:noProof/>
          <w:lang w:eastAsia="en-NZ"/>
        </w:rPr>
        <w:drawing>
          <wp:anchor distT="0" distB="0" distL="114300" distR="114300" simplePos="0" relativeHeight="251659264" behindDoc="1" locked="0" layoutInCell="1" allowOverlap="1" wp14:anchorId="6C4399FB" wp14:editId="6EB56867">
            <wp:simplePos x="0" y="0"/>
            <wp:positionH relativeFrom="column">
              <wp:posOffset>0</wp:posOffset>
            </wp:positionH>
            <wp:positionV relativeFrom="paragraph">
              <wp:posOffset>93345</wp:posOffset>
            </wp:positionV>
            <wp:extent cx="1284605" cy="363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4605" cy="363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AE098" w14:textId="51859C07" w:rsidR="00861DD7" w:rsidRDefault="00861DD7" w:rsidP="00095007">
      <w:pPr>
        <w:spacing w:after="0" w:line="247" w:lineRule="auto"/>
        <w:rPr>
          <w:rFonts w:ascii="Segoe UI" w:hAnsi="Segoe UI" w:cs="Segoe UI"/>
        </w:rPr>
      </w:pPr>
    </w:p>
    <w:p w14:paraId="23CF14A6" w14:textId="4CA05032" w:rsidR="00624340" w:rsidRPr="00624340" w:rsidRDefault="00624340" w:rsidP="00861DD7">
      <w:pPr>
        <w:spacing w:after="0" w:line="247" w:lineRule="auto"/>
        <w:rPr>
          <w:rFonts w:ascii="Segoe UI" w:hAnsi="Segoe UI" w:cs="Segoe UI"/>
          <w:b/>
          <w:bCs/>
        </w:rPr>
      </w:pPr>
      <w:r w:rsidRPr="00624340">
        <w:rPr>
          <w:rFonts w:ascii="Segoe UI" w:hAnsi="Segoe UI" w:cs="Segoe UI"/>
          <w:b/>
          <w:bCs/>
        </w:rPr>
        <w:t>Dr Judy Mc</w:t>
      </w:r>
      <w:r w:rsidR="00D431F9">
        <w:rPr>
          <w:rFonts w:ascii="Segoe UI" w:hAnsi="Segoe UI" w:cs="Segoe UI"/>
          <w:b/>
          <w:bCs/>
        </w:rPr>
        <w:t>G</w:t>
      </w:r>
      <w:r w:rsidRPr="00624340">
        <w:rPr>
          <w:rFonts w:ascii="Segoe UI" w:hAnsi="Segoe UI" w:cs="Segoe UI"/>
          <w:b/>
          <w:bCs/>
        </w:rPr>
        <w:t>regor</w:t>
      </w:r>
    </w:p>
    <w:p w14:paraId="72478AB6" w14:textId="77777777" w:rsidR="00D431F9" w:rsidRDefault="00624340" w:rsidP="00861DD7">
      <w:pPr>
        <w:spacing w:after="0" w:line="247" w:lineRule="auto"/>
        <w:rPr>
          <w:rFonts w:ascii="Segoe UI" w:hAnsi="Segoe UI" w:cs="Segoe UI"/>
        </w:rPr>
        <w:sectPr w:rsidR="00D431F9" w:rsidSect="00D431F9">
          <w:type w:val="continuous"/>
          <w:pgSz w:w="11906" w:h="16838" w:code="9"/>
          <w:pgMar w:top="1440" w:right="1440" w:bottom="1440" w:left="1440" w:header="709" w:footer="709" w:gutter="0"/>
          <w:cols w:num="2" w:space="708"/>
          <w:vAlign w:val="center"/>
          <w:titlePg/>
          <w:docGrid w:linePitch="360"/>
        </w:sectPr>
      </w:pPr>
      <w:r>
        <w:rPr>
          <w:rFonts w:ascii="Segoe UI" w:hAnsi="Segoe UI" w:cs="Segoe UI"/>
        </w:rPr>
        <w:t>Chair, Health Workforce Advisory Board</w:t>
      </w:r>
    </w:p>
    <w:p w14:paraId="7D18FA6B" w14:textId="3ED2DEFF" w:rsidR="00ED2D2F" w:rsidRPr="002801BF" w:rsidRDefault="003B43CE" w:rsidP="00EC360E">
      <w:pPr>
        <w:pStyle w:val="Heading2"/>
      </w:pPr>
      <w:r w:rsidRPr="002801BF">
        <w:lastRenderedPageBreak/>
        <w:t>Board scope</w:t>
      </w:r>
      <w:r w:rsidR="00ED2D2F" w:rsidRPr="002801BF">
        <w:t xml:space="preserve"> in </w:t>
      </w:r>
      <w:r w:rsidRPr="002801BF">
        <w:t>2020/</w:t>
      </w:r>
      <w:r w:rsidR="00ED2D2F" w:rsidRPr="002801BF">
        <w:t>2021</w:t>
      </w:r>
    </w:p>
    <w:p w14:paraId="6B627F56" w14:textId="77777777" w:rsidR="001D39B4" w:rsidRDefault="001D39B4" w:rsidP="003B2845">
      <w:pPr>
        <w:rPr>
          <w:rFonts w:ascii="Segoe UI" w:hAnsi="Segoe UI" w:cs="Segoe UI"/>
        </w:rPr>
        <w:sectPr w:rsidR="001D39B4" w:rsidSect="00D431F9">
          <w:type w:val="continuous"/>
          <w:pgSz w:w="11906" w:h="16838" w:code="9"/>
          <w:pgMar w:top="1440" w:right="1440" w:bottom="1440" w:left="1440" w:header="709" w:footer="709" w:gutter="0"/>
          <w:cols w:space="708"/>
          <w:vAlign w:val="center"/>
          <w:titlePg/>
          <w:docGrid w:linePitch="360"/>
        </w:sectPr>
      </w:pPr>
    </w:p>
    <w:p w14:paraId="126A57BE" w14:textId="3983E566" w:rsidR="003B43CE" w:rsidRPr="00D802FC" w:rsidRDefault="003B43CE" w:rsidP="003B2845">
      <w:pPr>
        <w:rPr>
          <w:rFonts w:ascii="Segoe UI" w:hAnsi="Segoe UI" w:cs="Segoe UI"/>
        </w:rPr>
      </w:pPr>
      <w:r w:rsidRPr="00D802FC">
        <w:rPr>
          <w:rFonts w:ascii="Segoe UI" w:hAnsi="Segoe UI" w:cs="Segoe UI"/>
        </w:rPr>
        <w:t>T</w:t>
      </w:r>
      <w:r w:rsidR="00C32F2D" w:rsidRPr="00D802FC">
        <w:rPr>
          <w:rFonts w:ascii="Segoe UI" w:hAnsi="Segoe UI" w:cs="Segoe UI"/>
        </w:rPr>
        <w:t>he</w:t>
      </w:r>
      <w:r w:rsidR="00165372" w:rsidRPr="00D802FC">
        <w:rPr>
          <w:rFonts w:ascii="Segoe UI" w:hAnsi="Segoe UI" w:cs="Segoe UI"/>
        </w:rPr>
        <w:t xml:space="preserve"> limited composition of</w:t>
      </w:r>
      <w:r w:rsidRPr="00D802FC">
        <w:rPr>
          <w:rFonts w:ascii="Segoe UI" w:hAnsi="Segoe UI" w:cs="Segoe UI"/>
        </w:rPr>
        <w:t xml:space="preserve"> HWAB and management change within the Directorate throughout the past year was a challenge, mitigated by strong cooperation between the Board and the Ministry. Both Lorraine Het</w:t>
      </w:r>
      <w:r w:rsidR="008B4263">
        <w:rPr>
          <w:rFonts w:ascii="Segoe UI" w:hAnsi="Segoe UI" w:cs="Segoe UI"/>
        </w:rPr>
        <w:t>a</w:t>
      </w:r>
      <w:r w:rsidRPr="00D802FC">
        <w:rPr>
          <w:rFonts w:ascii="Segoe UI" w:hAnsi="Segoe UI" w:cs="Segoe UI"/>
        </w:rPr>
        <w:t>raka and Dr Andrew Connolly continued to provide HWAB with suppor</w:t>
      </w:r>
      <w:r w:rsidR="00C32F2D" w:rsidRPr="00D802FC">
        <w:rPr>
          <w:rFonts w:ascii="Segoe UI" w:hAnsi="Segoe UI" w:cs="Segoe UI"/>
        </w:rPr>
        <w:t>t</w:t>
      </w:r>
      <w:r w:rsidRPr="00D802FC">
        <w:rPr>
          <w:rFonts w:ascii="Segoe UI" w:hAnsi="Segoe UI" w:cs="Segoe UI"/>
        </w:rPr>
        <w:t xml:space="preserve"> and advice even after they had taken up hi</w:t>
      </w:r>
      <w:r w:rsidR="00C32F2D" w:rsidRPr="00D802FC">
        <w:rPr>
          <w:rFonts w:ascii="Segoe UI" w:hAnsi="Segoe UI" w:cs="Segoe UI"/>
        </w:rPr>
        <w:t>gh level Ministry positions. T</w:t>
      </w:r>
      <w:r w:rsidRPr="00D802FC">
        <w:rPr>
          <w:rFonts w:ascii="Segoe UI" w:hAnsi="Segoe UI" w:cs="Segoe UI"/>
        </w:rPr>
        <w:t xml:space="preserve">wo members, Dr Karl Metzler and Professor Jo Baxter provided welcome </w:t>
      </w:r>
      <w:r w:rsidR="00C32F2D" w:rsidRPr="00D802FC">
        <w:rPr>
          <w:rFonts w:ascii="Segoe UI" w:hAnsi="Segoe UI" w:cs="Segoe UI"/>
        </w:rPr>
        <w:t xml:space="preserve">and conscientious </w:t>
      </w:r>
      <w:r w:rsidRPr="00D802FC">
        <w:rPr>
          <w:rFonts w:ascii="Segoe UI" w:hAnsi="Segoe UI" w:cs="Segoe UI"/>
        </w:rPr>
        <w:t>continuity and high-level advice.</w:t>
      </w:r>
      <w:r w:rsidR="002D2A3D" w:rsidRPr="00D802FC">
        <w:rPr>
          <w:rFonts w:ascii="Segoe UI" w:hAnsi="Segoe UI" w:cs="Segoe UI"/>
        </w:rPr>
        <w:t xml:space="preserve"> </w:t>
      </w:r>
    </w:p>
    <w:p w14:paraId="7A5BED4B" w14:textId="77777777" w:rsidR="002A41C6" w:rsidRPr="00D802FC" w:rsidRDefault="002A41C6" w:rsidP="002A41C6">
      <w:pPr>
        <w:rPr>
          <w:rFonts w:ascii="Segoe UI" w:hAnsi="Segoe UI" w:cs="Segoe UI"/>
        </w:rPr>
      </w:pPr>
      <w:r w:rsidRPr="00D802FC">
        <w:rPr>
          <w:rFonts w:ascii="Segoe UI" w:hAnsi="Segoe UI" w:cs="Segoe UI"/>
        </w:rPr>
        <w:t>Advice and support to the Directorate was provided on the following activities:</w:t>
      </w:r>
    </w:p>
    <w:p w14:paraId="33AB53D4" w14:textId="65417510" w:rsidR="002A41C6" w:rsidRPr="00D802FC" w:rsidRDefault="002A41C6" w:rsidP="007A6B9D">
      <w:pPr>
        <w:pStyle w:val="ListParagraph"/>
        <w:numPr>
          <w:ilvl w:val="0"/>
          <w:numId w:val="5"/>
        </w:numPr>
        <w:rPr>
          <w:rFonts w:ascii="Segoe UI" w:hAnsi="Segoe UI" w:cs="Segoe UI"/>
        </w:rPr>
      </w:pPr>
      <w:r w:rsidRPr="00D802FC">
        <w:rPr>
          <w:rFonts w:ascii="Segoe UI" w:hAnsi="Segoe UI" w:cs="Segoe UI"/>
        </w:rPr>
        <w:t xml:space="preserve">Interface of education and health (including advising the Minister of Health to create a joint body comprising Ministry of Health, Ministry of Education/Tertiary Education Commission to work collaboratively on health workforce matters; and advised officials on the development of a joint education and health work programme) </w:t>
      </w:r>
    </w:p>
    <w:p w14:paraId="4EBBAFFA" w14:textId="6EFA8A53" w:rsidR="002A41C6" w:rsidRPr="00D802FC" w:rsidRDefault="002A41C6" w:rsidP="007A6B9D">
      <w:pPr>
        <w:pStyle w:val="ListParagraph"/>
        <w:numPr>
          <w:ilvl w:val="0"/>
          <w:numId w:val="5"/>
        </w:numPr>
        <w:rPr>
          <w:rFonts w:ascii="Segoe UI" w:hAnsi="Segoe UI" w:cs="Segoe UI"/>
        </w:rPr>
      </w:pPr>
      <w:r w:rsidRPr="00D802FC">
        <w:rPr>
          <w:rFonts w:ascii="Segoe UI" w:hAnsi="Segoe UI" w:cs="Segoe UI"/>
        </w:rPr>
        <w:t xml:space="preserve">Regulatory reform </w:t>
      </w:r>
    </w:p>
    <w:p w14:paraId="115AD9FF" w14:textId="035EC69E" w:rsidR="002A41C6" w:rsidRPr="00D802FC" w:rsidRDefault="002A41C6" w:rsidP="007A6B9D">
      <w:pPr>
        <w:pStyle w:val="ListParagraph"/>
        <w:numPr>
          <w:ilvl w:val="0"/>
          <w:numId w:val="5"/>
        </w:numPr>
        <w:rPr>
          <w:rFonts w:ascii="Segoe UI" w:hAnsi="Segoe UI" w:cs="Segoe UI"/>
        </w:rPr>
      </w:pPr>
      <w:r w:rsidRPr="00D802FC">
        <w:rPr>
          <w:rFonts w:ascii="Segoe UI" w:hAnsi="Segoe UI" w:cs="Segoe UI"/>
        </w:rPr>
        <w:t xml:space="preserve">Leadership development programme (including sharing insights on the benefits of digital preparedness, health science academies and clinical digital academy) </w:t>
      </w:r>
    </w:p>
    <w:p w14:paraId="6569CCBF" w14:textId="094CFA59" w:rsidR="002A41C6" w:rsidRPr="00D802FC" w:rsidRDefault="002A41C6" w:rsidP="007A6B9D">
      <w:pPr>
        <w:pStyle w:val="ListParagraph"/>
        <w:numPr>
          <w:ilvl w:val="0"/>
          <w:numId w:val="5"/>
        </w:numPr>
        <w:rPr>
          <w:rFonts w:ascii="Segoe UI" w:hAnsi="Segoe UI" w:cs="Segoe UI"/>
        </w:rPr>
      </w:pPr>
      <w:r w:rsidRPr="00D802FC">
        <w:rPr>
          <w:rFonts w:ascii="Segoe UI" w:hAnsi="Segoe UI" w:cs="Segoe UI"/>
        </w:rPr>
        <w:t>Internal review of the Health Workforce Directorate contracting process / DHB funding and prioritisation framework</w:t>
      </w:r>
    </w:p>
    <w:p w14:paraId="26E0B5AC" w14:textId="0A96A9B5" w:rsidR="002A41C6" w:rsidRPr="00D802FC" w:rsidRDefault="002A41C6" w:rsidP="007A6B9D">
      <w:pPr>
        <w:pStyle w:val="ListParagraph"/>
        <w:numPr>
          <w:ilvl w:val="0"/>
          <w:numId w:val="5"/>
        </w:numPr>
        <w:rPr>
          <w:rFonts w:ascii="Segoe UI" w:hAnsi="Segoe UI" w:cs="Segoe UI"/>
        </w:rPr>
      </w:pPr>
      <w:r w:rsidRPr="00D802FC">
        <w:rPr>
          <w:rFonts w:ascii="Segoe UI" w:hAnsi="Segoe UI" w:cs="Segoe UI"/>
        </w:rPr>
        <w:t>Vaccinator surge workforce and the COVID-19 vaccinator role</w:t>
      </w:r>
    </w:p>
    <w:p w14:paraId="15A64BBF" w14:textId="108F2175" w:rsidR="002A41C6" w:rsidRPr="00D802FC" w:rsidRDefault="002A41C6" w:rsidP="007A6B9D">
      <w:pPr>
        <w:pStyle w:val="ListParagraph"/>
        <w:numPr>
          <w:ilvl w:val="0"/>
          <w:numId w:val="5"/>
        </w:numPr>
        <w:rPr>
          <w:rFonts w:ascii="Segoe UI" w:hAnsi="Segoe UI" w:cs="Segoe UI"/>
        </w:rPr>
      </w:pPr>
      <w:r w:rsidRPr="00D802FC">
        <w:rPr>
          <w:rFonts w:ascii="Segoe UI" w:hAnsi="Segoe UI" w:cs="Segoe UI"/>
        </w:rPr>
        <w:t>Data collection on the non-regulated workforce</w:t>
      </w:r>
    </w:p>
    <w:p w14:paraId="27B4A412" w14:textId="0C9D9289" w:rsidR="002A41C6" w:rsidRPr="00D802FC" w:rsidRDefault="002A41C6" w:rsidP="007A6B9D">
      <w:pPr>
        <w:pStyle w:val="ListParagraph"/>
        <w:numPr>
          <w:ilvl w:val="0"/>
          <w:numId w:val="5"/>
        </w:numPr>
        <w:rPr>
          <w:rFonts w:ascii="Segoe UI" w:hAnsi="Segoe UI" w:cs="Segoe UI"/>
        </w:rPr>
      </w:pPr>
      <w:r w:rsidRPr="00D802FC">
        <w:rPr>
          <w:rFonts w:ascii="Segoe UI" w:hAnsi="Segoe UI" w:cs="Segoe UI"/>
        </w:rPr>
        <w:t xml:space="preserve">Māori Health Workforce Action Plan and Pacific Health Workforce Action Plan (including advising the Associate Minister of Health (Pacific peoples) on the low Pasifika representation in the health sector) </w:t>
      </w:r>
    </w:p>
    <w:p w14:paraId="58071D88" w14:textId="2DE6103A" w:rsidR="002A41C6" w:rsidRPr="00D802FC" w:rsidRDefault="002A41C6" w:rsidP="007A6B9D">
      <w:pPr>
        <w:pStyle w:val="ListParagraph"/>
        <w:numPr>
          <w:ilvl w:val="0"/>
          <w:numId w:val="5"/>
        </w:numPr>
        <w:rPr>
          <w:rFonts w:ascii="Segoe UI" w:hAnsi="Segoe UI" w:cs="Segoe UI"/>
        </w:rPr>
      </w:pPr>
      <w:r w:rsidRPr="00D802FC">
        <w:rPr>
          <w:rFonts w:ascii="Segoe UI" w:hAnsi="Segoe UI" w:cs="Segoe UI"/>
        </w:rPr>
        <w:t>Health system reform programme (including engaging with the Transition Unit on the Health Charter and the New Zealand Health Plan).</w:t>
      </w:r>
    </w:p>
    <w:p w14:paraId="2404BFD4" w14:textId="77777777" w:rsidR="002A41C6" w:rsidRPr="00D802FC" w:rsidRDefault="002A41C6" w:rsidP="002A41C6">
      <w:pPr>
        <w:rPr>
          <w:rFonts w:ascii="Segoe UI" w:hAnsi="Segoe UI" w:cs="Segoe UI"/>
        </w:rPr>
      </w:pPr>
      <w:r w:rsidRPr="00D802FC">
        <w:rPr>
          <w:rFonts w:ascii="Segoe UI" w:hAnsi="Segoe UI" w:cs="Segoe UI"/>
        </w:rPr>
        <w:t>During the year, the Board engaged with various stakeholders on a range of matters including:</w:t>
      </w:r>
    </w:p>
    <w:p w14:paraId="653FDE30" w14:textId="0161119F" w:rsidR="002A41C6" w:rsidRPr="001460C9" w:rsidRDefault="002A41C6" w:rsidP="001460C9">
      <w:pPr>
        <w:pStyle w:val="ListParagraph"/>
        <w:numPr>
          <w:ilvl w:val="0"/>
          <w:numId w:val="7"/>
        </w:numPr>
        <w:rPr>
          <w:rFonts w:ascii="Segoe UI" w:hAnsi="Segoe UI" w:cs="Segoe UI"/>
        </w:rPr>
      </w:pPr>
      <w:r w:rsidRPr="001460C9">
        <w:rPr>
          <w:rFonts w:ascii="Segoe UI" w:hAnsi="Segoe UI" w:cs="Segoe UI"/>
        </w:rPr>
        <w:t xml:space="preserve">Professor Margaret Wilson, Deputy Commissioner; Kate Coley, Executive Director for Organisational Support; and </w:t>
      </w:r>
      <w:proofErr w:type="spellStart"/>
      <w:r w:rsidRPr="001460C9">
        <w:rPr>
          <w:rFonts w:ascii="Segoe UI" w:hAnsi="Segoe UI" w:cs="Segoe UI"/>
        </w:rPr>
        <w:t>Riki</w:t>
      </w:r>
      <w:proofErr w:type="spellEnd"/>
      <w:r w:rsidRPr="001460C9">
        <w:rPr>
          <w:rFonts w:ascii="Segoe UI" w:hAnsi="Segoe UI" w:cs="Segoe UI"/>
        </w:rPr>
        <w:t xml:space="preserve"> Nia</w:t>
      </w:r>
      <w:r w:rsidR="00CA0533">
        <w:rPr>
          <w:rFonts w:ascii="Segoe UI" w:hAnsi="Segoe UI" w:cs="Segoe UI"/>
        </w:rPr>
        <w:t xml:space="preserve"> </w:t>
      </w:r>
      <w:proofErr w:type="spellStart"/>
      <w:r w:rsidR="00CA0533">
        <w:rPr>
          <w:rFonts w:ascii="Segoe UI" w:hAnsi="Segoe UI" w:cs="Segoe UI"/>
        </w:rPr>
        <w:t>Nia</w:t>
      </w:r>
      <w:proofErr w:type="spellEnd"/>
      <w:r w:rsidRPr="001460C9">
        <w:rPr>
          <w:rFonts w:ascii="Segoe UI" w:hAnsi="Segoe UI" w:cs="Segoe UI"/>
        </w:rPr>
        <w:t>, Executive Director for M</w:t>
      </w:r>
      <w:r w:rsidR="00190E9A">
        <w:rPr>
          <w:rFonts w:ascii="Segoe UI" w:hAnsi="Segoe UI" w:cs="Segoe UI"/>
          <w:lang w:val="en-US"/>
        </w:rPr>
        <w:t>ā</w:t>
      </w:r>
      <w:proofErr w:type="spellStart"/>
      <w:r w:rsidRPr="001460C9">
        <w:rPr>
          <w:rFonts w:ascii="Segoe UI" w:hAnsi="Segoe UI" w:cs="Segoe UI"/>
        </w:rPr>
        <w:t>ori</w:t>
      </w:r>
      <w:proofErr w:type="spellEnd"/>
      <w:r w:rsidRPr="001460C9">
        <w:rPr>
          <w:rFonts w:ascii="Segoe UI" w:hAnsi="Segoe UI" w:cs="Segoe UI"/>
        </w:rPr>
        <w:t xml:space="preserve"> Equity and Health Improvement, from the Waikato District Health Board</w:t>
      </w:r>
    </w:p>
    <w:p w14:paraId="5E3BBDCA" w14:textId="4AC761DB" w:rsidR="002A41C6" w:rsidRPr="001460C9" w:rsidRDefault="002A41C6" w:rsidP="001460C9">
      <w:pPr>
        <w:pStyle w:val="ListParagraph"/>
        <w:numPr>
          <w:ilvl w:val="0"/>
          <w:numId w:val="7"/>
        </w:numPr>
        <w:rPr>
          <w:rFonts w:ascii="Segoe UI" w:hAnsi="Segoe UI" w:cs="Segoe UI"/>
        </w:rPr>
      </w:pPr>
      <w:r w:rsidRPr="001460C9">
        <w:rPr>
          <w:rFonts w:ascii="Segoe UI" w:hAnsi="Segoe UI" w:cs="Segoe UI"/>
        </w:rPr>
        <w:t xml:space="preserve">Professor Sarah Strasser, Dean; and Professor Roger Strasser, from Te </w:t>
      </w:r>
      <w:proofErr w:type="spellStart"/>
      <w:r w:rsidRPr="001460C9">
        <w:rPr>
          <w:rFonts w:ascii="Segoe UI" w:hAnsi="Segoe UI" w:cs="Segoe UI"/>
        </w:rPr>
        <w:t>Huataki</w:t>
      </w:r>
      <w:proofErr w:type="spellEnd"/>
      <w:r w:rsidRPr="001460C9">
        <w:rPr>
          <w:rFonts w:ascii="Segoe UI" w:hAnsi="Segoe UI" w:cs="Segoe UI"/>
        </w:rPr>
        <w:t xml:space="preserve"> </w:t>
      </w:r>
      <w:proofErr w:type="spellStart"/>
      <w:r w:rsidRPr="001460C9">
        <w:rPr>
          <w:rFonts w:ascii="Segoe UI" w:hAnsi="Segoe UI" w:cs="Segoe UI"/>
        </w:rPr>
        <w:t>Waiora</w:t>
      </w:r>
      <w:proofErr w:type="spellEnd"/>
      <w:r w:rsidRPr="001460C9">
        <w:rPr>
          <w:rFonts w:ascii="Segoe UI" w:hAnsi="Segoe UI" w:cs="Segoe UI"/>
        </w:rPr>
        <w:t xml:space="preserve"> School of Health, University of Waikato</w:t>
      </w:r>
    </w:p>
    <w:p w14:paraId="34ECCCDE" w14:textId="54CFD606" w:rsidR="002A41C6" w:rsidRPr="001460C9" w:rsidRDefault="002A41C6" w:rsidP="001460C9">
      <w:pPr>
        <w:pStyle w:val="ListParagraph"/>
        <w:numPr>
          <w:ilvl w:val="0"/>
          <w:numId w:val="7"/>
        </w:numPr>
        <w:rPr>
          <w:rFonts w:ascii="Segoe UI" w:hAnsi="Segoe UI" w:cs="Segoe UI"/>
        </w:rPr>
      </w:pPr>
      <w:r w:rsidRPr="001460C9">
        <w:rPr>
          <w:rFonts w:ascii="Segoe UI" w:hAnsi="Segoe UI" w:cs="Segoe UI"/>
        </w:rPr>
        <w:t>Jill Ovens and Caroline Conroy, co-Chairs of the Midwifery Accord</w:t>
      </w:r>
    </w:p>
    <w:p w14:paraId="7B7C3C5B" w14:textId="5E21FC66" w:rsidR="002A41C6" w:rsidRPr="001460C9" w:rsidRDefault="002A41C6" w:rsidP="001460C9">
      <w:pPr>
        <w:pStyle w:val="ListParagraph"/>
        <w:numPr>
          <w:ilvl w:val="0"/>
          <w:numId w:val="7"/>
        </w:numPr>
        <w:rPr>
          <w:rFonts w:ascii="Segoe UI" w:hAnsi="Segoe UI" w:cs="Segoe UI"/>
        </w:rPr>
      </w:pPr>
      <w:r w:rsidRPr="001460C9">
        <w:rPr>
          <w:rFonts w:ascii="Segoe UI" w:hAnsi="Segoe UI" w:cs="Segoe UI"/>
        </w:rPr>
        <w:t>Stephen McKernan; Andrew Norton; and Dr David Galler from the Transition Unit</w:t>
      </w:r>
    </w:p>
    <w:p w14:paraId="68247BD9" w14:textId="68851E3E" w:rsidR="002A41C6" w:rsidRPr="001460C9" w:rsidRDefault="002A41C6" w:rsidP="001460C9">
      <w:pPr>
        <w:pStyle w:val="ListParagraph"/>
        <w:numPr>
          <w:ilvl w:val="0"/>
          <w:numId w:val="7"/>
        </w:numPr>
        <w:rPr>
          <w:rFonts w:ascii="Segoe UI" w:hAnsi="Segoe UI" w:cs="Segoe UI"/>
        </w:rPr>
      </w:pPr>
      <w:r w:rsidRPr="001460C9">
        <w:rPr>
          <w:rFonts w:ascii="Segoe UI" w:hAnsi="Segoe UI" w:cs="Segoe UI"/>
        </w:rPr>
        <w:t xml:space="preserve">Fiona McCarthy, Chair; and Brenda Hall, Workstream Lead, from Kahui </w:t>
      </w:r>
      <w:proofErr w:type="spellStart"/>
      <w:r w:rsidRPr="001460C9">
        <w:rPr>
          <w:rFonts w:ascii="Segoe UI" w:hAnsi="Segoe UI" w:cs="Segoe UI"/>
        </w:rPr>
        <w:t>Oranga</w:t>
      </w:r>
      <w:proofErr w:type="spellEnd"/>
      <w:r w:rsidRPr="001460C9">
        <w:rPr>
          <w:rFonts w:ascii="Segoe UI" w:hAnsi="Segoe UI" w:cs="Segoe UI"/>
        </w:rPr>
        <w:t xml:space="preserve"> Wellbeing for Health Programme</w:t>
      </w:r>
    </w:p>
    <w:p w14:paraId="5AB0195C" w14:textId="727FE928" w:rsidR="002A41C6" w:rsidRPr="001460C9" w:rsidRDefault="002A41C6" w:rsidP="001460C9">
      <w:pPr>
        <w:pStyle w:val="ListParagraph"/>
        <w:numPr>
          <w:ilvl w:val="0"/>
          <w:numId w:val="7"/>
        </w:numPr>
        <w:rPr>
          <w:rFonts w:ascii="Segoe UI" w:hAnsi="Segoe UI" w:cs="Segoe UI"/>
        </w:rPr>
      </w:pPr>
      <w:r w:rsidRPr="001460C9">
        <w:rPr>
          <w:rFonts w:ascii="Segoe UI" w:hAnsi="Segoe UI" w:cs="Segoe UI"/>
        </w:rPr>
        <w:t>Margaret Dotchin; Allison Plumridge; and Rebecca Kay, from the Nursing Pre-registration Pipeline Project</w:t>
      </w:r>
    </w:p>
    <w:p w14:paraId="5AF3B302" w14:textId="541AB250" w:rsidR="003B43CE" w:rsidRPr="00A679A7" w:rsidRDefault="002A41C6" w:rsidP="003B2845">
      <w:pPr>
        <w:pStyle w:val="ListParagraph"/>
        <w:numPr>
          <w:ilvl w:val="0"/>
          <w:numId w:val="7"/>
        </w:numPr>
        <w:rPr>
          <w:rFonts w:ascii="Segoe UI" w:hAnsi="Segoe UI" w:cs="Segoe UI"/>
        </w:rPr>
      </w:pPr>
      <w:r w:rsidRPr="001460C9">
        <w:rPr>
          <w:rFonts w:ascii="Segoe UI" w:hAnsi="Segoe UI" w:cs="Segoe UI"/>
        </w:rPr>
        <w:t xml:space="preserve">Professor Peter Crampton from Kōhatu, Centre for Hauora Māori, University of Otago. </w:t>
      </w:r>
    </w:p>
    <w:p w14:paraId="242997C4" w14:textId="77777777" w:rsidR="001460C9" w:rsidRDefault="001460C9">
      <w:pPr>
        <w:rPr>
          <w:rFonts w:ascii="Segoe UI" w:hAnsi="Segoe UI" w:cs="Segoe UI"/>
        </w:rPr>
      </w:pPr>
      <w:r>
        <w:rPr>
          <w:rFonts w:ascii="Segoe UI" w:hAnsi="Segoe UI" w:cs="Segoe UI"/>
        </w:rPr>
        <w:br w:type="page"/>
      </w:r>
    </w:p>
    <w:p w14:paraId="46190C60" w14:textId="77777777" w:rsidR="005C54A2" w:rsidRDefault="005C54A2" w:rsidP="003B2845">
      <w:pPr>
        <w:rPr>
          <w:rFonts w:ascii="Segoe UI" w:hAnsi="Segoe UI" w:cs="Segoe UI"/>
          <w:b/>
          <w:bCs/>
          <w:sz w:val="28"/>
          <w:szCs w:val="28"/>
        </w:rPr>
        <w:sectPr w:rsidR="005C54A2" w:rsidSect="005C54A2">
          <w:type w:val="continuous"/>
          <w:pgSz w:w="11906" w:h="16838" w:code="9"/>
          <w:pgMar w:top="1440" w:right="1440" w:bottom="1440" w:left="1440" w:header="709" w:footer="709" w:gutter="0"/>
          <w:cols w:num="2" w:space="708"/>
          <w:titlePg/>
          <w:docGrid w:linePitch="360"/>
        </w:sectPr>
      </w:pPr>
    </w:p>
    <w:p w14:paraId="5ACFE4FB" w14:textId="02F68355" w:rsidR="00A679A7" w:rsidRPr="002801BF" w:rsidRDefault="001116F9" w:rsidP="00EC360E">
      <w:pPr>
        <w:pStyle w:val="Heading2"/>
      </w:pPr>
      <w:r w:rsidRPr="002801BF">
        <w:lastRenderedPageBreak/>
        <w:t>COVID-19 and health workforce issues</w:t>
      </w:r>
    </w:p>
    <w:p w14:paraId="7A3C4FFF" w14:textId="77777777" w:rsidR="005C54A2" w:rsidRDefault="005C54A2">
      <w:pPr>
        <w:rPr>
          <w:rFonts w:ascii="Segoe UI" w:hAnsi="Segoe UI" w:cs="Segoe UI"/>
          <w:b/>
          <w:bCs/>
          <w:sz w:val="28"/>
          <w:szCs w:val="28"/>
        </w:rPr>
        <w:sectPr w:rsidR="005C54A2" w:rsidSect="005C54A2">
          <w:type w:val="continuous"/>
          <w:pgSz w:w="11906" w:h="16838" w:code="9"/>
          <w:pgMar w:top="1440" w:right="1440" w:bottom="1440" w:left="1440" w:header="709" w:footer="709" w:gutter="0"/>
          <w:cols w:space="708"/>
          <w:titlePg/>
          <w:docGrid w:linePitch="360"/>
        </w:sectPr>
      </w:pPr>
    </w:p>
    <w:p w14:paraId="47C71F3B" w14:textId="67D3AC40" w:rsidR="00895433" w:rsidRPr="00D802FC" w:rsidRDefault="00895433" w:rsidP="003B2845">
      <w:pPr>
        <w:rPr>
          <w:rFonts w:ascii="Segoe UI" w:hAnsi="Segoe UI" w:cs="Segoe UI"/>
        </w:rPr>
      </w:pPr>
      <w:r w:rsidRPr="00D802FC">
        <w:rPr>
          <w:rFonts w:ascii="Segoe UI" w:hAnsi="Segoe UI" w:cs="Segoe UI"/>
        </w:rPr>
        <w:t xml:space="preserve">The defining health workforce concern for Aotearoa New Zealand, as it is internationally, is health sector responsiveness to the continuing waves of COVID-19 infections. </w:t>
      </w:r>
      <w:r w:rsidR="00EA639C" w:rsidRPr="00D802FC">
        <w:rPr>
          <w:rFonts w:ascii="Segoe UI" w:hAnsi="Segoe UI" w:cs="Segoe UI"/>
        </w:rPr>
        <w:t xml:space="preserve">The global pandemic and new variants of COVID-19 will dominate the health services and delivery landscape in the short </w:t>
      </w:r>
      <w:r w:rsidR="00C84764" w:rsidRPr="00D802FC">
        <w:rPr>
          <w:rFonts w:ascii="Segoe UI" w:hAnsi="Segoe UI" w:cs="Segoe UI"/>
        </w:rPr>
        <w:t xml:space="preserve">and medium </w:t>
      </w:r>
      <w:r w:rsidR="00ED2D2F" w:rsidRPr="00D802FC">
        <w:rPr>
          <w:rFonts w:ascii="Segoe UI" w:hAnsi="Segoe UI" w:cs="Segoe UI"/>
        </w:rPr>
        <w:t>term, with predictions of a five to 10</w:t>
      </w:r>
      <w:r w:rsidR="000043CD">
        <w:rPr>
          <w:rFonts w:ascii="Segoe UI" w:hAnsi="Segoe UI" w:cs="Segoe UI"/>
        </w:rPr>
        <w:t>-</w:t>
      </w:r>
      <w:r w:rsidR="00ED2D2F" w:rsidRPr="00D802FC">
        <w:rPr>
          <w:rFonts w:ascii="Segoe UI" w:hAnsi="Segoe UI" w:cs="Segoe UI"/>
        </w:rPr>
        <w:t>year horizon.</w:t>
      </w:r>
      <w:r w:rsidR="008D153F" w:rsidRPr="00D802FC">
        <w:rPr>
          <w:rStyle w:val="EndnoteReference"/>
          <w:rFonts w:ascii="Segoe UI" w:hAnsi="Segoe UI" w:cs="Segoe UI"/>
        </w:rPr>
        <w:endnoteReference w:id="1"/>
      </w:r>
      <w:r w:rsidR="00810DAD" w:rsidRPr="00D802FC">
        <w:rPr>
          <w:rFonts w:ascii="Segoe UI" w:hAnsi="Segoe UI" w:cs="Segoe UI"/>
        </w:rPr>
        <w:t xml:space="preserve"> The</w:t>
      </w:r>
      <w:r w:rsidR="00EA639C" w:rsidRPr="00D802FC">
        <w:rPr>
          <w:rFonts w:ascii="Segoe UI" w:hAnsi="Segoe UI" w:cs="Segoe UI"/>
        </w:rPr>
        <w:t xml:space="preserve"> h</w:t>
      </w:r>
      <w:r w:rsidR="0094055B" w:rsidRPr="00D802FC">
        <w:rPr>
          <w:rFonts w:ascii="Segoe UI" w:hAnsi="Segoe UI" w:cs="Segoe UI"/>
        </w:rPr>
        <w:t xml:space="preserve">ealth workforce is </w:t>
      </w:r>
      <w:r w:rsidR="00EA639C" w:rsidRPr="00D802FC">
        <w:rPr>
          <w:rFonts w:ascii="Segoe UI" w:hAnsi="Segoe UI" w:cs="Segoe UI"/>
        </w:rPr>
        <w:t>the critical determinant in successful responses to vaccination</w:t>
      </w:r>
      <w:r w:rsidR="00E86FF2" w:rsidRPr="00D802FC">
        <w:rPr>
          <w:rFonts w:ascii="Segoe UI" w:hAnsi="Segoe UI" w:cs="Segoe UI"/>
        </w:rPr>
        <w:t xml:space="preserve"> campaigns</w:t>
      </w:r>
      <w:r w:rsidR="00EA639C" w:rsidRPr="00D802FC">
        <w:rPr>
          <w:rFonts w:ascii="Segoe UI" w:hAnsi="Segoe UI" w:cs="Segoe UI"/>
        </w:rPr>
        <w:t xml:space="preserve">, to surge demand </w:t>
      </w:r>
      <w:r w:rsidR="00E86FF2" w:rsidRPr="00D802FC">
        <w:rPr>
          <w:rFonts w:ascii="Segoe UI" w:hAnsi="Segoe UI" w:cs="Segoe UI"/>
        </w:rPr>
        <w:t>in hospital and community settings, and to prevention campaigns and</w:t>
      </w:r>
      <w:r w:rsidR="00EA639C" w:rsidRPr="00D802FC">
        <w:rPr>
          <w:rFonts w:ascii="Segoe UI" w:hAnsi="Segoe UI" w:cs="Segoe UI"/>
        </w:rPr>
        <w:t xml:space="preserve"> containment of existing and new variants.</w:t>
      </w:r>
      <w:r w:rsidR="00DE34DC" w:rsidRPr="00D802FC">
        <w:rPr>
          <w:rFonts w:ascii="Segoe UI" w:hAnsi="Segoe UI" w:cs="Segoe UI"/>
        </w:rPr>
        <w:t xml:space="preserve"> So far in response to the pandemic the health workforce has been “scaled up, redeployed, repurposed, retrained and retained”</w:t>
      </w:r>
      <w:r w:rsidR="004C298E">
        <w:rPr>
          <w:rFonts w:ascii="Segoe UI" w:hAnsi="Segoe UI" w:cs="Segoe UI"/>
        </w:rPr>
        <w:t>.</w:t>
      </w:r>
      <w:r w:rsidR="00DE34DC" w:rsidRPr="00D802FC">
        <w:rPr>
          <w:rStyle w:val="EndnoteReference"/>
          <w:rFonts w:ascii="Segoe UI" w:hAnsi="Segoe UI" w:cs="Segoe UI"/>
        </w:rPr>
        <w:endnoteReference w:id="2"/>
      </w:r>
      <w:r w:rsidR="00DE34DC" w:rsidRPr="00D802FC">
        <w:rPr>
          <w:rFonts w:ascii="Segoe UI" w:hAnsi="Segoe UI" w:cs="Segoe UI"/>
        </w:rPr>
        <w:t xml:space="preserve"> </w:t>
      </w:r>
      <w:r w:rsidR="00B539C0" w:rsidRPr="00D802FC">
        <w:rPr>
          <w:rFonts w:ascii="Segoe UI" w:hAnsi="Segoe UI" w:cs="Segoe UI"/>
        </w:rPr>
        <w:t xml:space="preserve"> </w:t>
      </w:r>
    </w:p>
    <w:p w14:paraId="122DD68C" w14:textId="3E8412C7" w:rsidR="00895433" w:rsidRPr="00D802FC" w:rsidRDefault="00B539C0" w:rsidP="003B2845">
      <w:pPr>
        <w:rPr>
          <w:rFonts w:ascii="Segoe UI" w:hAnsi="Segoe UI" w:cs="Segoe UI"/>
        </w:rPr>
      </w:pPr>
      <w:r w:rsidRPr="00D802FC">
        <w:rPr>
          <w:rFonts w:ascii="Segoe UI" w:hAnsi="Segoe UI" w:cs="Segoe UI"/>
        </w:rPr>
        <w:t>T</w:t>
      </w:r>
      <w:r w:rsidR="00E86FF2" w:rsidRPr="00D802FC">
        <w:rPr>
          <w:rFonts w:ascii="Segoe UI" w:hAnsi="Segoe UI" w:cs="Segoe UI"/>
        </w:rPr>
        <w:t>he health workforce</w:t>
      </w:r>
      <w:r w:rsidRPr="00D802FC">
        <w:rPr>
          <w:rFonts w:ascii="Segoe UI" w:hAnsi="Segoe UI" w:cs="Segoe UI"/>
        </w:rPr>
        <w:t xml:space="preserve"> in Aotearoa </w:t>
      </w:r>
      <w:r w:rsidR="00A52226" w:rsidRPr="00D802FC">
        <w:rPr>
          <w:rFonts w:ascii="Segoe UI" w:hAnsi="Segoe UI" w:cs="Segoe UI"/>
        </w:rPr>
        <w:t xml:space="preserve">New </w:t>
      </w:r>
      <w:r w:rsidR="00165372" w:rsidRPr="00D802FC">
        <w:rPr>
          <w:rFonts w:ascii="Segoe UI" w:hAnsi="Segoe UI" w:cs="Segoe UI"/>
        </w:rPr>
        <w:t>Zealand</w:t>
      </w:r>
      <w:r w:rsidR="00E86FF2" w:rsidRPr="00D802FC">
        <w:rPr>
          <w:rFonts w:ascii="Segoe UI" w:hAnsi="Segoe UI" w:cs="Segoe UI"/>
        </w:rPr>
        <w:t xml:space="preserve"> has been</w:t>
      </w:r>
      <w:r w:rsidR="003950F8" w:rsidRPr="00D802FC">
        <w:rPr>
          <w:rFonts w:ascii="Segoe UI" w:hAnsi="Segoe UI" w:cs="Segoe UI"/>
        </w:rPr>
        <w:t xml:space="preserve"> critical to the successful 90% </w:t>
      </w:r>
      <w:r w:rsidR="00165372" w:rsidRPr="00D802FC">
        <w:rPr>
          <w:rFonts w:ascii="Segoe UI" w:hAnsi="Segoe UI" w:cs="Segoe UI"/>
        </w:rPr>
        <w:t xml:space="preserve">plus </w:t>
      </w:r>
      <w:r w:rsidR="003950F8" w:rsidRPr="00D802FC">
        <w:rPr>
          <w:rFonts w:ascii="Segoe UI" w:hAnsi="Segoe UI" w:cs="Segoe UI"/>
        </w:rPr>
        <w:t xml:space="preserve">vaccination achievement, to the </w:t>
      </w:r>
      <w:r w:rsidRPr="00D802FC">
        <w:rPr>
          <w:rFonts w:ascii="Segoe UI" w:hAnsi="Segoe UI" w:cs="Segoe UI"/>
        </w:rPr>
        <w:t xml:space="preserve">health </w:t>
      </w:r>
      <w:r w:rsidR="003950F8" w:rsidRPr="00D802FC">
        <w:rPr>
          <w:rFonts w:ascii="Segoe UI" w:hAnsi="Segoe UI" w:cs="Segoe UI"/>
        </w:rPr>
        <w:t>care of COVID</w:t>
      </w:r>
      <w:r w:rsidR="009D69A8">
        <w:rPr>
          <w:rFonts w:ascii="Segoe UI" w:hAnsi="Segoe UI" w:cs="Segoe UI"/>
        </w:rPr>
        <w:t>-19</w:t>
      </w:r>
      <w:r w:rsidR="003950F8" w:rsidRPr="00D802FC">
        <w:rPr>
          <w:rFonts w:ascii="Segoe UI" w:hAnsi="Segoe UI" w:cs="Segoe UI"/>
        </w:rPr>
        <w:t xml:space="preserve"> infected patients in hospitals and in home isolation, to the effectiveness of the contact tracing and testing regimes and to the public health initiatives prompted by the pandemic.</w:t>
      </w:r>
      <w:r w:rsidR="00CB5DFC" w:rsidRPr="00D802FC">
        <w:rPr>
          <w:rFonts w:ascii="Segoe UI" w:hAnsi="Segoe UI" w:cs="Segoe UI"/>
        </w:rPr>
        <w:t xml:space="preserve"> </w:t>
      </w:r>
      <w:r w:rsidR="00A52226" w:rsidRPr="00D802FC">
        <w:rPr>
          <w:rFonts w:ascii="Segoe UI" w:hAnsi="Segoe UI" w:cs="Segoe UI"/>
        </w:rPr>
        <w:t>But the rolling patterns of COVID</w:t>
      </w:r>
      <w:r w:rsidR="00BD5DDE">
        <w:rPr>
          <w:rFonts w:ascii="Segoe UI" w:hAnsi="Segoe UI" w:cs="Segoe UI"/>
        </w:rPr>
        <w:t>-19</w:t>
      </w:r>
      <w:r w:rsidR="00A52226" w:rsidRPr="00D802FC">
        <w:rPr>
          <w:rFonts w:ascii="Segoe UI" w:hAnsi="Segoe UI" w:cs="Segoe UI"/>
        </w:rPr>
        <w:t xml:space="preserve"> variants</w:t>
      </w:r>
      <w:r w:rsidR="00895433" w:rsidRPr="00D802FC">
        <w:rPr>
          <w:rFonts w:ascii="Segoe UI" w:hAnsi="Segoe UI" w:cs="Segoe UI"/>
        </w:rPr>
        <w:t xml:space="preserve"> has place</w:t>
      </w:r>
      <w:r w:rsidR="00A52226" w:rsidRPr="00D802FC">
        <w:rPr>
          <w:rFonts w:ascii="Segoe UI" w:hAnsi="Segoe UI" w:cs="Segoe UI"/>
        </w:rPr>
        <w:t>d</w:t>
      </w:r>
      <w:r w:rsidR="00895433" w:rsidRPr="00D802FC">
        <w:rPr>
          <w:rFonts w:ascii="Segoe UI" w:hAnsi="Segoe UI" w:cs="Segoe UI"/>
        </w:rPr>
        <w:t xml:space="preserve"> the workforce under unimaginable pressures.</w:t>
      </w:r>
    </w:p>
    <w:p w14:paraId="7E5DE7EC" w14:textId="77777777" w:rsidR="001479DB" w:rsidRPr="00D802FC" w:rsidRDefault="001479DB" w:rsidP="001479DB">
      <w:pPr>
        <w:rPr>
          <w:rFonts w:ascii="Segoe UI" w:hAnsi="Segoe UI" w:cs="Segoe UI"/>
        </w:rPr>
      </w:pPr>
      <w:r w:rsidRPr="00D802FC">
        <w:rPr>
          <w:rFonts w:ascii="Segoe UI" w:hAnsi="Segoe UI" w:cs="Segoe UI"/>
        </w:rPr>
        <w:t>The degree to which the health workforce can sustain the demand waves of the virus will depend on how well the system can adapt to the collaborative learning unleashed by COVID-19, and to the higher degrees of flexibility and improvisation required to achieve problem-solving under pressure. Leadership is vital.</w:t>
      </w:r>
    </w:p>
    <w:p w14:paraId="1A4372E5" w14:textId="6BD13BF9" w:rsidR="008F2937" w:rsidRPr="00D802FC" w:rsidRDefault="00CB5DFC" w:rsidP="003B2845">
      <w:pPr>
        <w:rPr>
          <w:rFonts w:ascii="Segoe UI" w:hAnsi="Segoe UI" w:cs="Segoe UI"/>
        </w:rPr>
      </w:pPr>
      <w:r w:rsidRPr="00D802FC">
        <w:rPr>
          <w:rFonts w:ascii="Segoe UI" w:hAnsi="Segoe UI" w:cs="Segoe UI"/>
        </w:rPr>
        <w:t>Several</w:t>
      </w:r>
      <w:r w:rsidR="00ED2D2F" w:rsidRPr="00D802FC">
        <w:rPr>
          <w:rFonts w:ascii="Segoe UI" w:hAnsi="Segoe UI" w:cs="Segoe UI"/>
        </w:rPr>
        <w:t xml:space="preserve"> critical workforce issues are</w:t>
      </w:r>
      <w:r w:rsidRPr="00D802FC">
        <w:rPr>
          <w:rFonts w:ascii="Segoe UI" w:hAnsi="Segoe UI" w:cs="Segoe UI"/>
        </w:rPr>
        <w:t xml:space="preserve"> impact</w:t>
      </w:r>
      <w:r w:rsidR="00ED2D2F" w:rsidRPr="00D802FC">
        <w:rPr>
          <w:rFonts w:ascii="Segoe UI" w:hAnsi="Segoe UI" w:cs="Segoe UI"/>
        </w:rPr>
        <w:t>ing</w:t>
      </w:r>
      <w:r w:rsidRPr="00D802FC">
        <w:rPr>
          <w:rFonts w:ascii="Segoe UI" w:hAnsi="Segoe UI" w:cs="Segoe UI"/>
        </w:rPr>
        <w:t xml:space="preserve"> on health care services during </w:t>
      </w:r>
      <w:r w:rsidRPr="00D802FC">
        <w:rPr>
          <w:rFonts w:ascii="Segoe UI" w:hAnsi="Segoe UI" w:cs="Segoe UI"/>
        </w:rPr>
        <w:t>COVID</w:t>
      </w:r>
      <w:r w:rsidR="00BD5DDE">
        <w:rPr>
          <w:rFonts w:ascii="Segoe UI" w:hAnsi="Segoe UI" w:cs="Segoe UI"/>
        </w:rPr>
        <w:t>-19</w:t>
      </w:r>
      <w:r w:rsidRPr="00D802FC">
        <w:rPr>
          <w:rFonts w:ascii="Segoe UI" w:hAnsi="Segoe UI" w:cs="Segoe UI"/>
        </w:rPr>
        <w:t xml:space="preserve"> and p</w:t>
      </w:r>
      <w:r w:rsidR="009F7774" w:rsidRPr="00D802FC">
        <w:rPr>
          <w:rFonts w:ascii="Segoe UI" w:hAnsi="Segoe UI" w:cs="Segoe UI"/>
        </w:rPr>
        <w:t>ost the pandemic. The most immediate is</w:t>
      </w:r>
      <w:r w:rsidRPr="00D802FC">
        <w:rPr>
          <w:rFonts w:ascii="Segoe UI" w:hAnsi="Segoe UI" w:cs="Segoe UI"/>
        </w:rPr>
        <w:t xml:space="preserve"> labour force availability</w:t>
      </w:r>
      <w:r w:rsidR="00187139" w:rsidRPr="00D802FC">
        <w:rPr>
          <w:rFonts w:ascii="Segoe UI" w:hAnsi="Segoe UI" w:cs="Segoe UI"/>
        </w:rPr>
        <w:t>. There are</w:t>
      </w:r>
      <w:r w:rsidRPr="00D802FC">
        <w:rPr>
          <w:rFonts w:ascii="Segoe UI" w:hAnsi="Segoe UI" w:cs="Segoe UI"/>
        </w:rPr>
        <w:t xml:space="preserve"> widening gaps in critical areas </w:t>
      </w:r>
      <w:r w:rsidR="009F7774" w:rsidRPr="00D802FC">
        <w:rPr>
          <w:rFonts w:ascii="Segoe UI" w:hAnsi="Segoe UI" w:cs="Segoe UI"/>
        </w:rPr>
        <w:t>at a time when COVID-19 related immigration constraints inhibit t</w:t>
      </w:r>
      <w:r w:rsidR="004B3FA3" w:rsidRPr="00D802FC">
        <w:rPr>
          <w:rFonts w:ascii="Segoe UI" w:hAnsi="Segoe UI" w:cs="Segoe UI"/>
        </w:rPr>
        <w:t>he usual practice of attracting</w:t>
      </w:r>
      <w:r w:rsidRPr="00D802FC">
        <w:rPr>
          <w:rFonts w:ascii="Segoe UI" w:hAnsi="Segoe UI" w:cs="Segoe UI"/>
        </w:rPr>
        <w:t xml:space="preserve"> international medical and health care workers</w:t>
      </w:r>
      <w:r w:rsidR="009F7774" w:rsidRPr="00D802FC">
        <w:rPr>
          <w:rFonts w:ascii="Segoe UI" w:hAnsi="Segoe UI" w:cs="Segoe UI"/>
        </w:rPr>
        <w:t>. Secondly, and no less important,</w:t>
      </w:r>
      <w:r w:rsidR="0085436A" w:rsidRPr="00D802FC">
        <w:rPr>
          <w:rFonts w:ascii="Segoe UI" w:hAnsi="Segoe UI" w:cs="Segoe UI"/>
        </w:rPr>
        <w:t xml:space="preserve"> is</w:t>
      </w:r>
      <w:r w:rsidRPr="00D802FC">
        <w:rPr>
          <w:rFonts w:ascii="Segoe UI" w:hAnsi="Segoe UI" w:cs="Segoe UI"/>
        </w:rPr>
        <w:t xml:space="preserve"> health workforce </w:t>
      </w:r>
      <w:r w:rsidR="008F2937" w:rsidRPr="00D802FC">
        <w:rPr>
          <w:rFonts w:ascii="Segoe UI" w:hAnsi="Segoe UI" w:cs="Segoe UI"/>
        </w:rPr>
        <w:t xml:space="preserve">wellbeing including </w:t>
      </w:r>
      <w:r w:rsidRPr="00D802FC">
        <w:rPr>
          <w:rFonts w:ascii="Segoe UI" w:hAnsi="Segoe UI" w:cs="Segoe UI"/>
        </w:rPr>
        <w:t xml:space="preserve">burnout encompassing physical, mental and </w:t>
      </w:r>
      <w:r w:rsidR="00A21EDD" w:rsidRPr="00D802FC">
        <w:rPr>
          <w:rFonts w:ascii="Segoe UI" w:hAnsi="Segoe UI" w:cs="Segoe UI"/>
        </w:rPr>
        <w:t>emotional exhaustion and stress</w:t>
      </w:r>
      <w:r w:rsidR="008F2937" w:rsidRPr="00D802FC">
        <w:rPr>
          <w:rFonts w:ascii="Segoe UI" w:hAnsi="Segoe UI" w:cs="Segoe UI"/>
        </w:rPr>
        <w:t xml:space="preserve"> plus the </w:t>
      </w:r>
      <w:r w:rsidR="00895433" w:rsidRPr="00D802FC">
        <w:rPr>
          <w:rFonts w:ascii="Segoe UI" w:hAnsi="Segoe UI" w:cs="Segoe UI"/>
        </w:rPr>
        <w:t xml:space="preserve">immediate and long-term </w:t>
      </w:r>
      <w:r w:rsidR="00797569">
        <w:rPr>
          <w:rFonts w:ascii="Segoe UI" w:hAnsi="Segoe UI" w:cs="Segoe UI"/>
        </w:rPr>
        <w:t>effects of COVID-19</w:t>
      </w:r>
      <w:r w:rsidR="008F2937" w:rsidRPr="00D802FC">
        <w:rPr>
          <w:rFonts w:ascii="Segoe UI" w:hAnsi="Segoe UI" w:cs="Segoe UI"/>
        </w:rPr>
        <w:t xml:space="preserve"> </w:t>
      </w:r>
      <w:r w:rsidR="00A20D1D">
        <w:rPr>
          <w:rFonts w:ascii="Segoe UI" w:hAnsi="Segoe UI" w:cs="Segoe UI"/>
        </w:rPr>
        <w:t>o</w:t>
      </w:r>
      <w:r w:rsidR="008F2937" w:rsidRPr="00D802FC">
        <w:rPr>
          <w:rFonts w:ascii="Segoe UI" w:hAnsi="Segoe UI" w:cs="Segoe UI"/>
        </w:rPr>
        <w:t>n the health workforce.</w:t>
      </w:r>
    </w:p>
    <w:p w14:paraId="0E71ECE5" w14:textId="0D92368B" w:rsidR="003950F8" w:rsidRPr="00D802FC" w:rsidRDefault="008F2937" w:rsidP="003B2845">
      <w:pPr>
        <w:rPr>
          <w:rFonts w:ascii="Segoe UI" w:hAnsi="Segoe UI" w:cs="Segoe UI"/>
        </w:rPr>
      </w:pPr>
      <w:r w:rsidRPr="00D802FC">
        <w:rPr>
          <w:rFonts w:ascii="Segoe UI" w:hAnsi="Segoe UI" w:cs="Segoe UI"/>
        </w:rPr>
        <w:t xml:space="preserve">Both- labour force availability and health workforce wellbeing- </w:t>
      </w:r>
      <w:r w:rsidR="00907EF1" w:rsidRPr="00D802FC">
        <w:rPr>
          <w:rFonts w:ascii="Segoe UI" w:hAnsi="Segoe UI" w:cs="Segoe UI"/>
        </w:rPr>
        <w:t xml:space="preserve">highlight the </w:t>
      </w:r>
      <w:r w:rsidRPr="00D802FC">
        <w:rPr>
          <w:rFonts w:ascii="Segoe UI" w:hAnsi="Segoe UI" w:cs="Segoe UI"/>
        </w:rPr>
        <w:t xml:space="preserve">critical </w:t>
      </w:r>
      <w:r w:rsidR="00907EF1" w:rsidRPr="00D802FC">
        <w:rPr>
          <w:rFonts w:ascii="Segoe UI" w:hAnsi="Segoe UI" w:cs="Segoe UI"/>
        </w:rPr>
        <w:t>ne</w:t>
      </w:r>
      <w:r w:rsidRPr="00D802FC">
        <w:rPr>
          <w:rFonts w:ascii="Segoe UI" w:hAnsi="Segoe UI" w:cs="Segoe UI"/>
        </w:rPr>
        <w:t xml:space="preserve">ed for focussed health workforce retention strategies, and a targeted and purposeful approach to the retention and development of new health workforces in the </w:t>
      </w:r>
      <w:proofErr w:type="spellStart"/>
      <w:r w:rsidRPr="00D802FC">
        <w:rPr>
          <w:rFonts w:ascii="Segoe UI" w:hAnsi="Segoe UI" w:cs="Segoe UI"/>
        </w:rPr>
        <w:t>kaimanaaki</w:t>
      </w:r>
      <w:proofErr w:type="spellEnd"/>
      <w:r w:rsidRPr="00D802FC">
        <w:rPr>
          <w:rFonts w:ascii="Segoe UI" w:hAnsi="Segoe UI" w:cs="Segoe UI"/>
        </w:rPr>
        <w:t xml:space="preserve"> and peer, lived experience spaces. These tactical initiatives</w:t>
      </w:r>
      <w:r w:rsidR="00895433" w:rsidRPr="00D802FC">
        <w:rPr>
          <w:rFonts w:ascii="Segoe UI" w:hAnsi="Segoe UI" w:cs="Segoe UI"/>
        </w:rPr>
        <w:t xml:space="preserve"> should be prioritised and would complement the continuing </w:t>
      </w:r>
      <w:r w:rsidR="00907EF1" w:rsidRPr="00D802FC">
        <w:rPr>
          <w:rFonts w:ascii="Segoe UI" w:hAnsi="Segoe UI" w:cs="Segoe UI"/>
        </w:rPr>
        <w:t xml:space="preserve">focus on </w:t>
      </w:r>
      <w:r w:rsidR="00895433" w:rsidRPr="00D802FC">
        <w:rPr>
          <w:rFonts w:ascii="Segoe UI" w:hAnsi="Segoe UI" w:cs="Segoe UI"/>
        </w:rPr>
        <w:t>health workforce recruitment.</w:t>
      </w:r>
    </w:p>
    <w:p w14:paraId="75EAC490" w14:textId="77777777" w:rsidR="00165372" w:rsidRPr="00D802FC" w:rsidRDefault="00165372" w:rsidP="003B2845">
      <w:pPr>
        <w:rPr>
          <w:rFonts w:ascii="Segoe UI" w:hAnsi="Segoe UI" w:cs="Segoe UI"/>
          <w:i/>
        </w:rPr>
      </w:pPr>
    </w:p>
    <w:p w14:paraId="4399D041" w14:textId="6DB93D0D" w:rsidR="003950F8" w:rsidRPr="00A62F75" w:rsidRDefault="003950F8" w:rsidP="00EC360E">
      <w:pPr>
        <w:pStyle w:val="Heading3"/>
      </w:pPr>
      <w:r w:rsidRPr="00A62F75">
        <w:t xml:space="preserve">Workforce </w:t>
      </w:r>
      <w:r w:rsidR="00C05582" w:rsidRPr="00EC360E">
        <w:t>g</w:t>
      </w:r>
      <w:r w:rsidRPr="00EC360E">
        <w:t>overnance</w:t>
      </w:r>
      <w:r w:rsidRPr="00A62F75">
        <w:t xml:space="preserve"> issues </w:t>
      </w:r>
    </w:p>
    <w:p w14:paraId="16C22B94" w14:textId="33133C41" w:rsidR="00895433" w:rsidRPr="00D802FC" w:rsidRDefault="00895433" w:rsidP="00895433">
      <w:pPr>
        <w:rPr>
          <w:rFonts w:ascii="Segoe UI" w:hAnsi="Segoe UI" w:cs="Segoe UI"/>
        </w:rPr>
      </w:pPr>
      <w:r w:rsidRPr="00D802FC">
        <w:rPr>
          <w:rFonts w:ascii="Segoe UI" w:hAnsi="Segoe UI" w:cs="Segoe UI"/>
        </w:rPr>
        <w:t xml:space="preserve">COVID-19 has </w:t>
      </w:r>
      <w:r w:rsidR="002F3223" w:rsidRPr="00D802FC">
        <w:rPr>
          <w:rFonts w:ascii="Segoe UI" w:hAnsi="Segoe UI" w:cs="Segoe UI"/>
        </w:rPr>
        <w:t xml:space="preserve">graphically </w:t>
      </w:r>
      <w:r w:rsidRPr="00D802FC">
        <w:rPr>
          <w:rFonts w:ascii="Segoe UI" w:hAnsi="Segoe UI" w:cs="Segoe UI"/>
        </w:rPr>
        <w:t>exposed the limitations of traditional health workforce governance and signals the need for a radically different approach with the identification of the agency who has the “power to act”.  I</w:t>
      </w:r>
      <w:r w:rsidR="002F3223" w:rsidRPr="00D802FC">
        <w:rPr>
          <w:rFonts w:ascii="Segoe UI" w:hAnsi="Segoe UI" w:cs="Segoe UI"/>
        </w:rPr>
        <w:t>n many countries,</w:t>
      </w:r>
      <w:r w:rsidRPr="00D802FC">
        <w:rPr>
          <w:rFonts w:ascii="Segoe UI" w:hAnsi="Segoe UI" w:cs="Segoe UI"/>
        </w:rPr>
        <w:t xml:space="preserve"> pandemic responses have broken up “sclerotic governance structures” which have hampered past health workforce development and reform.</w:t>
      </w:r>
      <w:r w:rsidRPr="00D802FC">
        <w:rPr>
          <w:rStyle w:val="EndnoteReference"/>
          <w:rFonts w:ascii="Segoe UI" w:hAnsi="Segoe UI" w:cs="Segoe UI"/>
        </w:rPr>
        <w:endnoteReference w:id="3"/>
      </w:r>
      <w:r w:rsidRPr="00D802FC">
        <w:rPr>
          <w:rFonts w:ascii="Segoe UI" w:hAnsi="Segoe UI" w:cs="Segoe UI"/>
        </w:rPr>
        <w:t xml:space="preserve"> </w:t>
      </w:r>
    </w:p>
    <w:p w14:paraId="4D6118A7" w14:textId="43FFFF81" w:rsidR="00B50010" w:rsidRPr="00D802FC" w:rsidRDefault="00CB5DFC" w:rsidP="003B2845">
      <w:pPr>
        <w:rPr>
          <w:rFonts w:ascii="Segoe UI" w:hAnsi="Segoe UI" w:cs="Segoe UI"/>
        </w:rPr>
      </w:pPr>
      <w:r w:rsidRPr="00D802FC">
        <w:rPr>
          <w:rFonts w:ascii="Segoe UI" w:hAnsi="Segoe UI" w:cs="Segoe UI"/>
        </w:rPr>
        <w:t xml:space="preserve">Complexity </w:t>
      </w:r>
      <w:r w:rsidR="00057C78" w:rsidRPr="00D802FC">
        <w:rPr>
          <w:rFonts w:ascii="Segoe UI" w:hAnsi="Segoe UI" w:cs="Segoe UI"/>
        </w:rPr>
        <w:t xml:space="preserve">of the health workforce eco-system </w:t>
      </w:r>
      <w:r w:rsidR="004432E8" w:rsidRPr="00D802FC">
        <w:rPr>
          <w:rFonts w:ascii="Segoe UI" w:hAnsi="Segoe UI" w:cs="Segoe UI"/>
        </w:rPr>
        <w:t>and time-worn patterns mark</w:t>
      </w:r>
      <w:r w:rsidR="003950F8" w:rsidRPr="00D802FC">
        <w:rPr>
          <w:rFonts w:ascii="Segoe UI" w:hAnsi="Segoe UI" w:cs="Segoe UI"/>
        </w:rPr>
        <w:t xml:space="preserve"> the</w:t>
      </w:r>
      <w:r w:rsidR="0066514A" w:rsidRPr="00D802FC">
        <w:rPr>
          <w:rFonts w:ascii="Segoe UI" w:hAnsi="Segoe UI" w:cs="Segoe UI"/>
        </w:rPr>
        <w:t xml:space="preserve"> </w:t>
      </w:r>
      <w:r w:rsidR="00AD27A2" w:rsidRPr="00D802FC">
        <w:rPr>
          <w:rFonts w:ascii="Segoe UI" w:hAnsi="Segoe UI" w:cs="Segoe UI"/>
        </w:rPr>
        <w:t>traditional</w:t>
      </w:r>
      <w:r w:rsidR="003950F8" w:rsidRPr="00D802FC">
        <w:rPr>
          <w:rFonts w:ascii="Segoe UI" w:hAnsi="Segoe UI" w:cs="Segoe UI"/>
        </w:rPr>
        <w:t xml:space="preserve"> slowness of health workforce </w:t>
      </w:r>
      <w:r w:rsidR="003950F8" w:rsidRPr="00D802FC">
        <w:rPr>
          <w:rFonts w:ascii="Segoe UI" w:hAnsi="Segoe UI" w:cs="Segoe UI"/>
        </w:rPr>
        <w:lastRenderedPageBreak/>
        <w:t>development</w:t>
      </w:r>
      <w:r w:rsidR="00165372" w:rsidRPr="00D802FC">
        <w:rPr>
          <w:rFonts w:ascii="Segoe UI" w:hAnsi="Segoe UI" w:cs="Segoe UI"/>
        </w:rPr>
        <w:t xml:space="preserve"> and reveal that there is no quick fix.</w:t>
      </w:r>
      <w:r w:rsidRPr="00D802FC">
        <w:rPr>
          <w:rFonts w:ascii="Segoe UI" w:hAnsi="Segoe UI" w:cs="Segoe UI"/>
        </w:rPr>
        <w:t xml:space="preserve"> A </w:t>
      </w:r>
      <w:r w:rsidR="004432E8" w:rsidRPr="00D802FC">
        <w:rPr>
          <w:rFonts w:ascii="Segoe UI" w:hAnsi="Segoe UI" w:cs="Segoe UI"/>
        </w:rPr>
        <w:t>number</w:t>
      </w:r>
      <w:r w:rsidR="0066514A" w:rsidRPr="00D802FC">
        <w:rPr>
          <w:rFonts w:ascii="Segoe UI" w:hAnsi="Segoe UI" w:cs="Segoe UI"/>
        </w:rPr>
        <w:t xml:space="preserve"> of autonomous stakeholders </w:t>
      </w:r>
      <w:r w:rsidRPr="00D802FC">
        <w:rPr>
          <w:rFonts w:ascii="Segoe UI" w:hAnsi="Segoe UI" w:cs="Segoe UI"/>
        </w:rPr>
        <w:t>with vested interests working in silos hampered by a</w:t>
      </w:r>
      <w:r w:rsidR="0066514A" w:rsidRPr="00D802FC">
        <w:rPr>
          <w:rFonts w:ascii="Segoe UI" w:hAnsi="Segoe UI" w:cs="Segoe UI"/>
        </w:rPr>
        <w:t xml:space="preserve"> lack of streamlined and authoritative coordination</w:t>
      </w:r>
      <w:r w:rsidRPr="00D802FC">
        <w:rPr>
          <w:rFonts w:ascii="Segoe UI" w:hAnsi="Segoe UI" w:cs="Segoe UI"/>
        </w:rPr>
        <w:t xml:space="preserve"> has resulted in </w:t>
      </w:r>
      <w:r w:rsidR="00AD27A2" w:rsidRPr="00D802FC">
        <w:rPr>
          <w:rFonts w:ascii="Segoe UI" w:hAnsi="Segoe UI" w:cs="Segoe UI"/>
        </w:rPr>
        <w:t>often i</w:t>
      </w:r>
      <w:r w:rsidR="004432E8" w:rsidRPr="00D802FC">
        <w:rPr>
          <w:rFonts w:ascii="Segoe UI" w:hAnsi="Segoe UI" w:cs="Segoe UI"/>
        </w:rPr>
        <w:t xml:space="preserve">nflexible </w:t>
      </w:r>
      <w:r w:rsidR="00AD27A2" w:rsidRPr="00D802FC">
        <w:rPr>
          <w:rFonts w:ascii="Segoe UI" w:hAnsi="Segoe UI" w:cs="Segoe UI"/>
        </w:rPr>
        <w:t>h</w:t>
      </w:r>
      <w:r w:rsidR="004432E8" w:rsidRPr="00D802FC">
        <w:rPr>
          <w:rFonts w:ascii="Segoe UI" w:hAnsi="Segoe UI" w:cs="Segoe UI"/>
        </w:rPr>
        <w:t xml:space="preserve">ealth workforce </w:t>
      </w:r>
      <w:r w:rsidR="00C84126" w:rsidRPr="00D802FC">
        <w:rPr>
          <w:rFonts w:ascii="Segoe UI" w:hAnsi="Segoe UI" w:cs="Segoe UI"/>
        </w:rPr>
        <w:t>governance</w:t>
      </w:r>
      <w:r w:rsidR="004432E8" w:rsidRPr="00D802FC">
        <w:rPr>
          <w:rFonts w:ascii="Segoe UI" w:hAnsi="Segoe UI" w:cs="Segoe UI"/>
        </w:rPr>
        <w:t xml:space="preserve">.  </w:t>
      </w:r>
    </w:p>
    <w:p w14:paraId="29D01360" w14:textId="33E82E77" w:rsidR="002F3223" w:rsidRPr="00D802FC" w:rsidRDefault="002F3223" w:rsidP="003B2845">
      <w:pPr>
        <w:rPr>
          <w:rFonts w:ascii="Segoe UI" w:hAnsi="Segoe UI" w:cs="Segoe UI"/>
        </w:rPr>
      </w:pPr>
      <w:r w:rsidRPr="00D802FC">
        <w:rPr>
          <w:rFonts w:ascii="Segoe UI" w:hAnsi="Segoe UI" w:cs="Segoe UI"/>
        </w:rPr>
        <w:t>Several agencies and organisations have different roles and accountabilities in t</w:t>
      </w:r>
      <w:r w:rsidR="00B50010" w:rsidRPr="00D802FC">
        <w:rPr>
          <w:rFonts w:ascii="Segoe UI" w:hAnsi="Segoe UI" w:cs="Segoe UI"/>
        </w:rPr>
        <w:t xml:space="preserve">he education, </w:t>
      </w:r>
      <w:r w:rsidRPr="00D802FC">
        <w:rPr>
          <w:rFonts w:ascii="Segoe UI" w:hAnsi="Segoe UI" w:cs="Segoe UI"/>
        </w:rPr>
        <w:t>training and regulation of the health workforce.</w:t>
      </w:r>
      <w:r w:rsidR="00B50010" w:rsidRPr="00D802FC">
        <w:rPr>
          <w:rFonts w:ascii="Segoe UI" w:hAnsi="Segoe UI" w:cs="Segoe UI"/>
        </w:rPr>
        <w:t xml:space="preserve"> The policy drivers</w:t>
      </w:r>
      <w:r w:rsidRPr="00D802FC">
        <w:rPr>
          <w:rFonts w:ascii="Segoe UI" w:hAnsi="Segoe UI" w:cs="Segoe UI"/>
        </w:rPr>
        <w:t xml:space="preserve"> </w:t>
      </w:r>
      <w:r w:rsidR="00B50010" w:rsidRPr="00D802FC">
        <w:rPr>
          <w:rFonts w:ascii="Segoe UI" w:hAnsi="Segoe UI" w:cs="Segoe UI"/>
        </w:rPr>
        <w:t>of education providers</w:t>
      </w:r>
      <w:r w:rsidRPr="00D802FC">
        <w:rPr>
          <w:rFonts w:ascii="Segoe UI" w:hAnsi="Segoe UI" w:cs="Segoe UI"/>
        </w:rPr>
        <w:t xml:space="preserve"> are often not in alignment with the ne</w:t>
      </w:r>
      <w:r w:rsidR="00B50010" w:rsidRPr="00D802FC">
        <w:rPr>
          <w:rFonts w:ascii="Segoe UI" w:hAnsi="Segoe UI" w:cs="Segoe UI"/>
        </w:rPr>
        <w:t>eds of the health sector and coherent, holistic</w:t>
      </w:r>
      <w:r w:rsidRPr="00D802FC">
        <w:rPr>
          <w:rFonts w:ascii="Segoe UI" w:hAnsi="Segoe UI" w:cs="Segoe UI"/>
        </w:rPr>
        <w:t xml:space="preserve"> workforce development. Operating in a commercial and often competitive environment</w:t>
      </w:r>
      <w:r w:rsidR="00B50010" w:rsidRPr="00D802FC">
        <w:rPr>
          <w:rFonts w:ascii="Segoe UI" w:hAnsi="Segoe UI" w:cs="Segoe UI"/>
        </w:rPr>
        <w:t>,</w:t>
      </w:r>
      <w:r w:rsidRPr="00D802FC">
        <w:rPr>
          <w:rFonts w:ascii="Segoe UI" w:hAnsi="Segoe UI" w:cs="Segoe UI"/>
        </w:rPr>
        <w:t xml:space="preserve"> education providers can exit from health programmes, change the lengths of programmes and their delivery models and elevate or downgrade the level of a programme, without</w:t>
      </w:r>
      <w:r w:rsidR="00B50010" w:rsidRPr="00D802FC">
        <w:rPr>
          <w:rFonts w:ascii="Segoe UI" w:hAnsi="Segoe UI" w:cs="Segoe UI"/>
        </w:rPr>
        <w:t xml:space="preserve"> recourse to health</w:t>
      </w:r>
      <w:r w:rsidR="00A52226" w:rsidRPr="00D802FC">
        <w:rPr>
          <w:rFonts w:ascii="Segoe UI" w:hAnsi="Segoe UI" w:cs="Segoe UI"/>
        </w:rPr>
        <w:t xml:space="preserve"> sector demand and supply influences</w:t>
      </w:r>
      <w:r w:rsidR="00B50010" w:rsidRPr="00D802FC">
        <w:rPr>
          <w:rFonts w:ascii="Segoe UI" w:hAnsi="Segoe UI" w:cs="Segoe UI"/>
        </w:rPr>
        <w:t xml:space="preserve">. </w:t>
      </w:r>
    </w:p>
    <w:p w14:paraId="1C3352AE" w14:textId="4E106D2F" w:rsidR="00647FE1" w:rsidRPr="00D802FC" w:rsidRDefault="00384732" w:rsidP="003B2845">
      <w:pPr>
        <w:rPr>
          <w:rFonts w:ascii="Segoe UI" w:hAnsi="Segoe UI" w:cs="Segoe UI"/>
        </w:rPr>
      </w:pPr>
      <w:r w:rsidRPr="00D802FC">
        <w:rPr>
          <w:rFonts w:ascii="Segoe UI" w:hAnsi="Segoe UI" w:cs="Segoe UI"/>
        </w:rPr>
        <w:t>T</w:t>
      </w:r>
      <w:r w:rsidR="00B50010" w:rsidRPr="00D802FC">
        <w:rPr>
          <w:rFonts w:ascii="Segoe UI" w:hAnsi="Segoe UI" w:cs="Segoe UI"/>
        </w:rPr>
        <w:t xml:space="preserve">here are at least a dozen health professions </w:t>
      </w:r>
      <w:r w:rsidRPr="00D802FC">
        <w:rPr>
          <w:rFonts w:ascii="Segoe UI" w:hAnsi="Segoe UI" w:cs="Segoe UI"/>
        </w:rPr>
        <w:t xml:space="preserve">trained at undergraduate level and funded by the Tertiary Education Commission with overall policy responsibility sitting with </w:t>
      </w:r>
      <w:r w:rsidR="00546861" w:rsidRPr="00D802FC">
        <w:rPr>
          <w:rFonts w:ascii="Segoe UI" w:hAnsi="Segoe UI" w:cs="Segoe UI"/>
        </w:rPr>
        <w:t xml:space="preserve">the Ministry of Education, </w:t>
      </w:r>
      <w:r w:rsidRPr="00D802FC">
        <w:rPr>
          <w:rFonts w:ascii="Segoe UI" w:hAnsi="Segoe UI" w:cs="Segoe UI"/>
        </w:rPr>
        <w:t>which are</w:t>
      </w:r>
      <w:r w:rsidR="00B50010" w:rsidRPr="00D802FC">
        <w:rPr>
          <w:rFonts w:ascii="Segoe UI" w:hAnsi="Segoe UI" w:cs="Segoe UI"/>
        </w:rPr>
        <w:t xml:space="preserve"> at risk</w:t>
      </w:r>
      <w:r w:rsidR="00647FE1" w:rsidRPr="00D802FC">
        <w:rPr>
          <w:rFonts w:ascii="Segoe UI" w:hAnsi="Segoe UI" w:cs="Segoe UI"/>
        </w:rPr>
        <w:t xml:space="preserve"> of not meet</w:t>
      </w:r>
      <w:r w:rsidRPr="00D802FC">
        <w:rPr>
          <w:rFonts w:ascii="Segoe UI" w:hAnsi="Segoe UI" w:cs="Segoe UI"/>
        </w:rPr>
        <w:t>ing</w:t>
      </w:r>
      <w:r w:rsidR="00647FE1" w:rsidRPr="00D802FC">
        <w:rPr>
          <w:rFonts w:ascii="Segoe UI" w:hAnsi="Segoe UI" w:cs="Segoe UI"/>
        </w:rPr>
        <w:t xml:space="preserve"> health workfo</w:t>
      </w:r>
      <w:r w:rsidR="00B50010" w:rsidRPr="00D802FC">
        <w:rPr>
          <w:rFonts w:ascii="Segoe UI" w:hAnsi="Segoe UI" w:cs="Segoe UI"/>
        </w:rPr>
        <w:t>rce demands</w:t>
      </w:r>
      <w:r w:rsidRPr="00D802FC">
        <w:rPr>
          <w:rFonts w:ascii="Segoe UI" w:hAnsi="Segoe UI" w:cs="Segoe UI"/>
        </w:rPr>
        <w:t xml:space="preserve">. These </w:t>
      </w:r>
      <w:r w:rsidR="00546861" w:rsidRPr="00D802FC">
        <w:rPr>
          <w:rFonts w:ascii="Segoe UI" w:hAnsi="Segoe UI" w:cs="Segoe UI"/>
        </w:rPr>
        <w:t>include</w:t>
      </w:r>
      <w:r w:rsidRPr="00D802FC">
        <w:rPr>
          <w:rFonts w:ascii="Segoe UI" w:hAnsi="Segoe UI" w:cs="Segoe UI"/>
        </w:rPr>
        <w:t xml:space="preserve"> </w:t>
      </w:r>
      <w:r w:rsidR="00B47002">
        <w:rPr>
          <w:rFonts w:ascii="Segoe UI" w:hAnsi="Segoe UI" w:cs="Segoe UI"/>
        </w:rPr>
        <w:t>r</w:t>
      </w:r>
      <w:r w:rsidRPr="00D802FC">
        <w:rPr>
          <w:rFonts w:ascii="Segoe UI" w:hAnsi="Segoe UI" w:cs="Segoe UI"/>
        </w:rPr>
        <w:t xml:space="preserve">egistered </w:t>
      </w:r>
      <w:r w:rsidR="00B47002">
        <w:rPr>
          <w:rFonts w:ascii="Segoe UI" w:hAnsi="Segoe UI" w:cs="Segoe UI"/>
        </w:rPr>
        <w:t>n</w:t>
      </w:r>
      <w:r w:rsidRPr="00D802FC">
        <w:rPr>
          <w:rFonts w:ascii="Segoe UI" w:hAnsi="Segoe UI" w:cs="Segoe UI"/>
        </w:rPr>
        <w:t xml:space="preserve">urses, the vanguard of pandemic responsiveness, </w:t>
      </w:r>
      <w:r w:rsidR="00B47002">
        <w:rPr>
          <w:rFonts w:ascii="Segoe UI" w:hAnsi="Segoe UI" w:cs="Segoe UI"/>
        </w:rPr>
        <w:t>r</w:t>
      </w:r>
      <w:r w:rsidRPr="00D802FC">
        <w:rPr>
          <w:rFonts w:ascii="Segoe UI" w:hAnsi="Segoe UI" w:cs="Segoe UI"/>
        </w:rPr>
        <w:t xml:space="preserve">egistered </w:t>
      </w:r>
      <w:r w:rsidR="00B47002">
        <w:rPr>
          <w:rFonts w:ascii="Segoe UI" w:hAnsi="Segoe UI" w:cs="Segoe UI"/>
        </w:rPr>
        <w:t>m</w:t>
      </w:r>
      <w:r w:rsidRPr="00D802FC">
        <w:rPr>
          <w:rFonts w:ascii="Segoe UI" w:hAnsi="Segoe UI" w:cs="Segoe UI"/>
        </w:rPr>
        <w:t xml:space="preserve">idwives, those working in drug and alcohol addictions, psychotherapists, medical laboratory and anaesthetic technicians, medical laboratory scientists and pharmacists. </w:t>
      </w:r>
    </w:p>
    <w:p w14:paraId="7ED716E4" w14:textId="45D8F030" w:rsidR="00C84126" w:rsidRPr="00D802FC" w:rsidRDefault="00384732" w:rsidP="003B2845">
      <w:pPr>
        <w:rPr>
          <w:rFonts w:ascii="Segoe UI" w:hAnsi="Segoe UI" w:cs="Segoe UI"/>
        </w:rPr>
      </w:pPr>
      <w:r w:rsidRPr="00D802FC">
        <w:rPr>
          <w:rFonts w:ascii="Segoe UI" w:hAnsi="Segoe UI" w:cs="Segoe UI"/>
        </w:rPr>
        <w:t xml:space="preserve">Many of the shortages are endemic. </w:t>
      </w:r>
      <w:r w:rsidR="002F3223" w:rsidRPr="00D802FC">
        <w:rPr>
          <w:rFonts w:ascii="Segoe UI" w:hAnsi="Segoe UI" w:cs="Segoe UI"/>
        </w:rPr>
        <w:t>For example</w:t>
      </w:r>
      <w:r w:rsidRPr="00D802FC">
        <w:rPr>
          <w:rFonts w:ascii="Segoe UI" w:hAnsi="Segoe UI" w:cs="Segoe UI"/>
        </w:rPr>
        <w:t>, at a time of a continuing critical lack</w:t>
      </w:r>
      <w:r w:rsidR="002F3223" w:rsidRPr="00D802FC">
        <w:rPr>
          <w:rFonts w:ascii="Segoe UI" w:hAnsi="Segoe UI" w:cs="Segoe UI"/>
        </w:rPr>
        <w:t xml:space="preserve"> of midwives, the tota</w:t>
      </w:r>
      <w:r w:rsidR="00B50010" w:rsidRPr="00D802FC">
        <w:rPr>
          <w:rFonts w:ascii="Segoe UI" w:hAnsi="Segoe UI" w:cs="Segoe UI"/>
        </w:rPr>
        <w:t>l</w:t>
      </w:r>
      <w:r w:rsidR="002F3223" w:rsidRPr="00D802FC">
        <w:rPr>
          <w:rFonts w:ascii="Segoe UI" w:hAnsi="Segoe UI" w:cs="Segoe UI"/>
        </w:rPr>
        <w:t xml:space="preserve"> number of new enrolments </w:t>
      </w:r>
      <w:r w:rsidRPr="00D802FC">
        <w:rPr>
          <w:rFonts w:ascii="Segoe UI" w:hAnsi="Segoe UI" w:cs="Segoe UI"/>
        </w:rPr>
        <w:t xml:space="preserve">in 2020 </w:t>
      </w:r>
      <w:r w:rsidR="002F3223" w:rsidRPr="00D802FC">
        <w:rPr>
          <w:rFonts w:ascii="Segoe UI" w:hAnsi="Segoe UI" w:cs="Segoe UI"/>
        </w:rPr>
        <w:t>was 239, 18% lower than the 2010 figure of 292, and annual completion figures for pre-registration</w:t>
      </w:r>
      <w:r w:rsidRPr="00D802FC">
        <w:rPr>
          <w:rFonts w:ascii="Segoe UI" w:hAnsi="Segoe UI" w:cs="Segoe UI"/>
        </w:rPr>
        <w:t xml:space="preserve"> </w:t>
      </w:r>
      <w:r w:rsidRPr="00D802FC">
        <w:rPr>
          <w:rFonts w:ascii="Segoe UI" w:hAnsi="Segoe UI" w:cs="Segoe UI"/>
        </w:rPr>
        <w:t>was a low 139.</w:t>
      </w:r>
      <w:r w:rsidR="00B50010" w:rsidRPr="00D802FC">
        <w:rPr>
          <w:rFonts w:ascii="Segoe UI" w:hAnsi="Segoe UI" w:cs="Segoe UI"/>
        </w:rPr>
        <w:t xml:space="preserve"> </w:t>
      </w:r>
      <w:r w:rsidRPr="00D802FC">
        <w:rPr>
          <w:rFonts w:ascii="Segoe UI" w:hAnsi="Segoe UI" w:cs="Segoe UI"/>
        </w:rPr>
        <w:t xml:space="preserve"> However, the health sector has no influence on the level of support offered by education providers</w:t>
      </w:r>
      <w:r w:rsidR="00A52226" w:rsidRPr="00D802FC">
        <w:rPr>
          <w:rFonts w:ascii="Segoe UI" w:hAnsi="Segoe UI" w:cs="Segoe UI"/>
        </w:rPr>
        <w:t xml:space="preserve"> to ensure those </w:t>
      </w:r>
      <w:r w:rsidR="00ED2D2F" w:rsidRPr="00D802FC">
        <w:rPr>
          <w:rFonts w:ascii="Segoe UI" w:hAnsi="Segoe UI" w:cs="Segoe UI"/>
        </w:rPr>
        <w:t xml:space="preserve">students that </w:t>
      </w:r>
      <w:r w:rsidR="00A52226" w:rsidRPr="00D802FC">
        <w:rPr>
          <w:rFonts w:ascii="Segoe UI" w:hAnsi="Segoe UI" w:cs="Segoe UI"/>
        </w:rPr>
        <w:t>the providers</w:t>
      </w:r>
      <w:r w:rsidRPr="00D802FC">
        <w:rPr>
          <w:rFonts w:ascii="Segoe UI" w:hAnsi="Segoe UI" w:cs="Segoe UI"/>
        </w:rPr>
        <w:t xml:space="preserve"> </w:t>
      </w:r>
      <w:r w:rsidR="00165372" w:rsidRPr="00D802FC">
        <w:rPr>
          <w:rFonts w:ascii="Segoe UI" w:hAnsi="Segoe UI" w:cs="Segoe UI"/>
        </w:rPr>
        <w:t xml:space="preserve">admitted to their </w:t>
      </w:r>
      <w:r w:rsidR="00B50010" w:rsidRPr="00D802FC">
        <w:rPr>
          <w:rFonts w:ascii="Segoe UI" w:hAnsi="Segoe UI" w:cs="Segoe UI"/>
        </w:rPr>
        <w:t>programmes</w:t>
      </w:r>
      <w:r w:rsidR="00ED2D2F" w:rsidRPr="00D802FC">
        <w:rPr>
          <w:rFonts w:ascii="Segoe UI" w:hAnsi="Segoe UI" w:cs="Segoe UI"/>
        </w:rPr>
        <w:t>,</w:t>
      </w:r>
      <w:r w:rsidR="00B50010" w:rsidRPr="00D802FC">
        <w:rPr>
          <w:rFonts w:ascii="Segoe UI" w:hAnsi="Segoe UI" w:cs="Segoe UI"/>
        </w:rPr>
        <w:t xml:space="preserve"> </w:t>
      </w:r>
      <w:r w:rsidR="001479DB" w:rsidRPr="00D802FC">
        <w:rPr>
          <w:rFonts w:ascii="Segoe UI" w:hAnsi="Segoe UI" w:cs="Segoe UI"/>
        </w:rPr>
        <w:t xml:space="preserve">actually </w:t>
      </w:r>
      <w:r w:rsidR="00057C78" w:rsidRPr="00D802FC">
        <w:rPr>
          <w:rFonts w:ascii="Segoe UI" w:hAnsi="Segoe UI" w:cs="Segoe UI"/>
        </w:rPr>
        <w:t>stay the course and graduate</w:t>
      </w:r>
      <w:r w:rsidR="00165372" w:rsidRPr="00D802FC">
        <w:rPr>
          <w:rFonts w:ascii="Segoe UI" w:hAnsi="Segoe UI" w:cs="Segoe UI"/>
        </w:rPr>
        <w:t>, thereby</w:t>
      </w:r>
      <w:r w:rsidR="00057C78" w:rsidRPr="00D802FC">
        <w:rPr>
          <w:rFonts w:ascii="Segoe UI" w:hAnsi="Segoe UI" w:cs="Segoe UI"/>
        </w:rPr>
        <w:t xml:space="preserve"> reali</w:t>
      </w:r>
      <w:r w:rsidR="00165372" w:rsidRPr="00D802FC">
        <w:rPr>
          <w:rFonts w:ascii="Segoe UI" w:hAnsi="Segoe UI" w:cs="Segoe UI"/>
        </w:rPr>
        <w:t>sing a</w:t>
      </w:r>
      <w:r w:rsidR="00797569">
        <w:rPr>
          <w:rFonts w:ascii="Segoe UI" w:hAnsi="Segoe UI" w:cs="Segoe UI"/>
        </w:rPr>
        <w:t>n adequate</w:t>
      </w:r>
      <w:r w:rsidR="00165372" w:rsidRPr="00D802FC">
        <w:rPr>
          <w:rFonts w:ascii="Segoe UI" w:hAnsi="Segoe UI" w:cs="Segoe UI"/>
        </w:rPr>
        <w:t xml:space="preserve"> return on public funding and individual student investment</w:t>
      </w:r>
      <w:r w:rsidR="001479DB" w:rsidRPr="00D802FC">
        <w:rPr>
          <w:rFonts w:ascii="Segoe UI" w:hAnsi="Segoe UI" w:cs="Segoe UI"/>
        </w:rPr>
        <w:t xml:space="preserve"> in midwifery education.</w:t>
      </w:r>
      <w:r w:rsidR="00B50010" w:rsidRPr="00D802FC">
        <w:rPr>
          <w:rFonts w:ascii="Segoe UI" w:hAnsi="Segoe UI" w:cs="Segoe UI"/>
        </w:rPr>
        <w:t xml:space="preserve"> </w:t>
      </w:r>
    </w:p>
    <w:p w14:paraId="02F143EE" w14:textId="67397D9D" w:rsidR="0066514A" w:rsidRPr="00D802FC" w:rsidRDefault="00057C78" w:rsidP="003B2845">
      <w:pPr>
        <w:rPr>
          <w:rFonts w:ascii="Segoe UI" w:hAnsi="Segoe UI" w:cs="Segoe UI"/>
        </w:rPr>
      </w:pPr>
      <w:r w:rsidRPr="00D802FC">
        <w:rPr>
          <w:rFonts w:ascii="Segoe UI" w:hAnsi="Segoe UI" w:cs="Segoe UI"/>
        </w:rPr>
        <w:t>In its six</w:t>
      </w:r>
      <w:r w:rsidR="00415E59">
        <w:rPr>
          <w:rFonts w:ascii="Segoe UI" w:hAnsi="Segoe UI" w:cs="Segoe UI"/>
        </w:rPr>
        <w:t>-</w:t>
      </w:r>
      <w:r w:rsidRPr="00D802FC">
        <w:rPr>
          <w:rFonts w:ascii="Segoe UI" w:hAnsi="Segoe UI" w:cs="Segoe UI"/>
        </w:rPr>
        <w:t>monthly report</w:t>
      </w:r>
      <w:r w:rsidR="00417CCA" w:rsidRPr="00D802FC">
        <w:rPr>
          <w:rFonts w:ascii="Segoe UI" w:hAnsi="Segoe UI" w:cs="Segoe UI"/>
        </w:rPr>
        <w:t xml:space="preserve"> to the Minister in </w:t>
      </w:r>
      <w:r w:rsidRPr="00D802FC">
        <w:rPr>
          <w:rFonts w:ascii="Segoe UI" w:hAnsi="Segoe UI" w:cs="Segoe UI"/>
        </w:rPr>
        <w:t>July 2021 HWAB recommended</w:t>
      </w:r>
      <w:r w:rsidR="00546861" w:rsidRPr="00D802FC">
        <w:rPr>
          <w:rFonts w:ascii="Segoe UI" w:hAnsi="Segoe UI" w:cs="Segoe UI"/>
        </w:rPr>
        <w:t xml:space="preserve"> </w:t>
      </w:r>
      <w:r w:rsidRPr="00D802FC">
        <w:rPr>
          <w:rFonts w:ascii="Segoe UI" w:hAnsi="Segoe UI" w:cs="Segoe UI"/>
        </w:rPr>
        <w:t>the formation of</w:t>
      </w:r>
      <w:r w:rsidR="002F0A62" w:rsidRPr="00D802FC">
        <w:rPr>
          <w:rFonts w:ascii="Segoe UI" w:hAnsi="Segoe UI" w:cs="Segoe UI"/>
        </w:rPr>
        <w:t xml:space="preserve"> </w:t>
      </w:r>
      <w:r w:rsidRPr="00D802FC">
        <w:rPr>
          <w:rFonts w:ascii="Segoe UI" w:hAnsi="Segoe UI" w:cs="Segoe UI"/>
        </w:rPr>
        <w:t>a joint health-education  mechanism. This was followed by a letter from DHB Chairs and CEOs.</w:t>
      </w:r>
      <w:r w:rsidR="00D353C7" w:rsidRPr="00D802FC">
        <w:rPr>
          <w:rFonts w:ascii="Segoe UI" w:hAnsi="Segoe UI" w:cs="Segoe UI"/>
        </w:rPr>
        <w:t xml:space="preserve">  </w:t>
      </w:r>
      <w:r w:rsidR="00797569">
        <w:rPr>
          <w:rFonts w:ascii="Segoe UI" w:hAnsi="Segoe UI" w:cs="Segoe UI"/>
        </w:rPr>
        <w:t>Following communication between ministers,</w:t>
      </w:r>
      <w:r w:rsidR="00F52334">
        <w:rPr>
          <w:rFonts w:ascii="Segoe UI" w:hAnsi="Segoe UI" w:cs="Segoe UI"/>
        </w:rPr>
        <w:t xml:space="preserve"> </w:t>
      </w:r>
      <w:r w:rsidR="00797569">
        <w:rPr>
          <w:rFonts w:ascii="Segoe UI" w:hAnsi="Segoe UI" w:cs="Segoe UI"/>
        </w:rPr>
        <w:t>t</w:t>
      </w:r>
      <w:r w:rsidR="002F0A62" w:rsidRPr="00D802FC">
        <w:rPr>
          <w:rFonts w:ascii="Segoe UI" w:hAnsi="Segoe UI" w:cs="Segoe UI"/>
        </w:rPr>
        <w:t>he Ministry’s Healt</w:t>
      </w:r>
      <w:r w:rsidR="00797569">
        <w:rPr>
          <w:rFonts w:ascii="Segoe UI" w:hAnsi="Segoe UI" w:cs="Segoe UI"/>
        </w:rPr>
        <w:t>h Workforce Directorate began</w:t>
      </w:r>
      <w:r w:rsidR="00417CCA" w:rsidRPr="00D802FC">
        <w:rPr>
          <w:rFonts w:ascii="Segoe UI" w:hAnsi="Segoe UI" w:cs="Segoe UI"/>
        </w:rPr>
        <w:t xml:space="preserve"> working with officials at the Ministry of Education and the Tertiary Education Commission to establish a mechanism to ensure health workforce sustainability.</w:t>
      </w:r>
    </w:p>
    <w:p w14:paraId="7CC7ADBD" w14:textId="6D111CF9" w:rsidR="004432E8" w:rsidRPr="00D802FC" w:rsidRDefault="002F0A62" w:rsidP="003B2845">
      <w:pPr>
        <w:rPr>
          <w:rFonts w:ascii="Segoe UI" w:hAnsi="Segoe UI" w:cs="Segoe UI"/>
        </w:rPr>
      </w:pPr>
      <w:r w:rsidRPr="00D802FC">
        <w:rPr>
          <w:rFonts w:ascii="Segoe UI" w:hAnsi="Segoe UI" w:cs="Segoe UI"/>
        </w:rPr>
        <w:t>The impetus afforded by COVID-19 to better coordinate the four strands of workforce governance (government departments and ministries; professional councils and employee associations; universities; and politicians/legislators) to provide purposeful, speedier and pragmatic decision-making informed by clin</w:t>
      </w:r>
      <w:r w:rsidR="00FF6990" w:rsidRPr="00D802FC">
        <w:rPr>
          <w:rFonts w:ascii="Segoe UI" w:hAnsi="Segoe UI" w:cs="Segoe UI"/>
        </w:rPr>
        <w:t xml:space="preserve">ical safety, should </w:t>
      </w:r>
      <w:r w:rsidR="00B539C0" w:rsidRPr="00D802FC">
        <w:rPr>
          <w:rFonts w:ascii="Segoe UI" w:hAnsi="Segoe UI" w:cs="Segoe UI"/>
        </w:rPr>
        <w:t>not be lost. But it</w:t>
      </w:r>
      <w:r w:rsidR="00FF6990" w:rsidRPr="00D802FC">
        <w:rPr>
          <w:rFonts w:ascii="Segoe UI" w:hAnsi="Segoe UI" w:cs="Segoe UI"/>
        </w:rPr>
        <w:t xml:space="preserve"> requires a</w:t>
      </w:r>
      <w:r w:rsidR="00B539C0" w:rsidRPr="00D802FC">
        <w:rPr>
          <w:rFonts w:ascii="Segoe UI" w:hAnsi="Segoe UI" w:cs="Segoe UI"/>
        </w:rPr>
        <w:t>n</w:t>
      </w:r>
      <w:r w:rsidR="00FF6990" w:rsidRPr="00D802FC">
        <w:rPr>
          <w:rFonts w:ascii="Segoe UI" w:hAnsi="Segoe UI" w:cs="Segoe UI"/>
        </w:rPr>
        <w:t xml:space="preserve"> </w:t>
      </w:r>
      <w:r w:rsidR="00B539C0" w:rsidRPr="00D802FC">
        <w:rPr>
          <w:rFonts w:ascii="Segoe UI" w:hAnsi="Segoe UI" w:cs="Segoe UI"/>
        </w:rPr>
        <w:t xml:space="preserve">urgent, </w:t>
      </w:r>
      <w:r w:rsidR="00FF6990" w:rsidRPr="00D802FC">
        <w:rPr>
          <w:rFonts w:ascii="Segoe UI" w:hAnsi="Segoe UI" w:cs="Segoe UI"/>
        </w:rPr>
        <w:t>focuss</w:t>
      </w:r>
      <w:r w:rsidR="00AD27A2" w:rsidRPr="00D802FC">
        <w:rPr>
          <w:rFonts w:ascii="Segoe UI" w:hAnsi="Segoe UI" w:cs="Segoe UI"/>
        </w:rPr>
        <w:t>ed approach</w:t>
      </w:r>
      <w:r w:rsidR="00417CCA" w:rsidRPr="00D802FC">
        <w:rPr>
          <w:rFonts w:ascii="Segoe UI" w:hAnsi="Segoe UI" w:cs="Segoe UI"/>
        </w:rPr>
        <w:t xml:space="preserve"> with an identified single agency with a “power to act”.</w:t>
      </w:r>
    </w:p>
    <w:p w14:paraId="2E13A7B6" w14:textId="0C0A3316" w:rsidR="00D44EE0" w:rsidRDefault="00B64B0F" w:rsidP="003B2845">
      <w:pPr>
        <w:rPr>
          <w:rFonts w:ascii="Segoe UI" w:hAnsi="Segoe UI" w:cs="Segoe UI"/>
        </w:rPr>
      </w:pPr>
      <w:r w:rsidRPr="00D802FC">
        <w:rPr>
          <w:rFonts w:ascii="Segoe UI" w:hAnsi="Segoe UI" w:cs="Segoe UI"/>
        </w:rPr>
        <w:t>The Health and Disability System Review</w:t>
      </w:r>
      <w:r w:rsidR="00737106" w:rsidRPr="00D802FC">
        <w:rPr>
          <w:rFonts w:ascii="Segoe UI" w:hAnsi="Segoe UI" w:cs="Segoe UI"/>
        </w:rPr>
        <w:t xml:space="preserve"> recommended</w:t>
      </w:r>
      <w:r w:rsidRPr="00D802FC">
        <w:rPr>
          <w:rFonts w:ascii="Segoe UI" w:hAnsi="Segoe UI" w:cs="Segoe UI"/>
        </w:rPr>
        <w:t xml:space="preserve"> that “</w:t>
      </w:r>
      <w:r w:rsidRPr="00D802FC">
        <w:rPr>
          <w:rFonts w:ascii="Segoe UI" w:hAnsi="Segoe UI" w:cs="Segoe UI"/>
          <w:i/>
        </w:rPr>
        <w:t xml:space="preserve">the Ministry should work with the Tertiary Education Commission, Health NZ, the new </w:t>
      </w:r>
      <w:proofErr w:type="spellStart"/>
      <w:r w:rsidR="00FE5F33">
        <w:rPr>
          <w:rFonts w:ascii="Segoe UI" w:hAnsi="Segoe UI" w:cs="Segoe UI"/>
          <w:i/>
        </w:rPr>
        <w:t>New</w:t>
      </w:r>
      <w:proofErr w:type="spellEnd"/>
      <w:r w:rsidR="00FE5F33">
        <w:rPr>
          <w:rFonts w:ascii="Segoe UI" w:hAnsi="Segoe UI" w:cs="Segoe UI"/>
          <w:i/>
        </w:rPr>
        <w:t xml:space="preserve"> </w:t>
      </w:r>
      <w:r w:rsidRPr="00D802FC">
        <w:rPr>
          <w:rFonts w:ascii="Segoe UI" w:hAnsi="Segoe UI" w:cs="Segoe UI"/>
          <w:i/>
        </w:rPr>
        <w:t xml:space="preserve">Zealand Institute of Skills and Technology (NZIST) and other </w:t>
      </w:r>
      <w:r w:rsidR="00B539C0" w:rsidRPr="00D802FC">
        <w:rPr>
          <w:rFonts w:ascii="Segoe UI" w:hAnsi="Segoe UI" w:cs="Segoe UI"/>
          <w:i/>
        </w:rPr>
        <w:t>regulatory authoritie</w:t>
      </w:r>
      <w:r w:rsidRPr="00D802FC">
        <w:rPr>
          <w:rFonts w:ascii="Segoe UI" w:hAnsi="Segoe UI" w:cs="Segoe UI"/>
          <w:i/>
        </w:rPr>
        <w:t>s</w:t>
      </w:r>
      <w:r w:rsidR="00B539C0" w:rsidRPr="00D802FC">
        <w:rPr>
          <w:rFonts w:ascii="Segoe UI" w:hAnsi="Segoe UI" w:cs="Segoe UI"/>
          <w:i/>
        </w:rPr>
        <w:t xml:space="preserve"> and training establishments to ensure all relevant training is consi</w:t>
      </w:r>
      <w:r w:rsidR="00797569">
        <w:rPr>
          <w:rFonts w:ascii="Segoe UI" w:hAnsi="Segoe UI" w:cs="Segoe UI"/>
          <w:i/>
        </w:rPr>
        <w:t>stent with the goals of the NZ H</w:t>
      </w:r>
      <w:r w:rsidR="00B539C0" w:rsidRPr="00D802FC">
        <w:rPr>
          <w:rFonts w:ascii="Segoe UI" w:hAnsi="Segoe UI" w:cs="Segoe UI"/>
          <w:i/>
        </w:rPr>
        <w:t xml:space="preserve">ealth Plan and </w:t>
      </w:r>
      <w:r w:rsidR="00B539C0" w:rsidRPr="00D802FC">
        <w:rPr>
          <w:rFonts w:ascii="Segoe UI" w:hAnsi="Segoe UI" w:cs="Segoe UI"/>
          <w:i/>
        </w:rPr>
        <w:lastRenderedPageBreak/>
        <w:t>accompanying strategies.</w:t>
      </w:r>
      <w:r w:rsidR="00736368">
        <w:rPr>
          <w:rFonts w:ascii="Segoe UI" w:hAnsi="Segoe UI" w:cs="Segoe UI"/>
          <w:i/>
        </w:rPr>
        <w:t>”</w:t>
      </w:r>
      <w:r w:rsidR="004432E8" w:rsidRPr="00D802FC">
        <w:rPr>
          <w:rFonts w:ascii="Segoe UI" w:hAnsi="Segoe UI" w:cs="Segoe UI"/>
          <w:i/>
        </w:rPr>
        <w:t xml:space="preserve"> </w:t>
      </w:r>
      <w:r w:rsidR="004432E8" w:rsidRPr="00D802FC">
        <w:rPr>
          <w:rFonts w:ascii="Segoe UI" w:hAnsi="Segoe UI" w:cs="Segoe UI"/>
        </w:rPr>
        <w:t>However,</w:t>
      </w:r>
      <w:r w:rsidR="004432E8" w:rsidRPr="00D802FC">
        <w:rPr>
          <w:rFonts w:ascii="Segoe UI" w:hAnsi="Segoe UI" w:cs="Segoe UI"/>
          <w:i/>
        </w:rPr>
        <w:t xml:space="preserve"> </w:t>
      </w:r>
      <w:r w:rsidR="00AA1387" w:rsidRPr="00D802FC">
        <w:rPr>
          <w:rFonts w:ascii="Segoe UI" w:hAnsi="Segoe UI" w:cs="Segoe UI"/>
        </w:rPr>
        <w:t>i</w:t>
      </w:r>
      <w:r w:rsidR="004931D4" w:rsidRPr="00D802FC">
        <w:rPr>
          <w:rFonts w:ascii="Segoe UI" w:hAnsi="Segoe UI" w:cs="Segoe UI"/>
        </w:rPr>
        <w:t xml:space="preserve">n addition to collaboration, </w:t>
      </w:r>
      <w:r w:rsidR="00B539C0" w:rsidRPr="00D802FC">
        <w:rPr>
          <w:rFonts w:ascii="Segoe UI" w:hAnsi="Segoe UI" w:cs="Segoe UI"/>
        </w:rPr>
        <w:t>a mand</w:t>
      </w:r>
      <w:r w:rsidR="004432E8" w:rsidRPr="00D802FC">
        <w:rPr>
          <w:rFonts w:ascii="Segoe UI" w:hAnsi="Segoe UI" w:cs="Segoe UI"/>
        </w:rPr>
        <w:t>ated decisi</w:t>
      </w:r>
      <w:r w:rsidR="00ED2D2F" w:rsidRPr="00D802FC">
        <w:rPr>
          <w:rFonts w:ascii="Segoe UI" w:hAnsi="Segoe UI" w:cs="Segoe UI"/>
        </w:rPr>
        <w:t xml:space="preserve">on-maker </w:t>
      </w:r>
      <w:r w:rsidR="004931D4" w:rsidRPr="00D802FC">
        <w:rPr>
          <w:rFonts w:ascii="Segoe UI" w:hAnsi="Segoe UI" w:cs="Segoe UI"/>
        </w:rPr>
        <w:t xml:space="preserve">is required for purposeful change. </w:t>
      </w:r>
      <w:r w:rsidR="00A31294" w:rsidRPr="00D802FC">
        <w:rPr>
          <w:rFonts w:ascii="Segoe UI" w:hAnsi="Segoe UI" w:cs="Segoe UI"/>
        </w:rPr>
        <w:t>Addressing workforce shortages and workforce planning involve</w:t>
      </w:r>
      <w:r w:rsidR="00ED2D2F" w:rsidRPr="00D802FC">
        <w:rPr>
          <w:rFonts w:ascii="Segoe UI" w:hAnsi="Segoe UI" w:cs="Segoe UI"/>
        </w:rPr>
        <w:t>s</w:t>
      </w:r>
      <w:r w:rsidR="00A31294" w:rsidRPr="00D802FC">
        <w:rPr>
          <w:rFonts w:ascii="Segoe UI" w:hAnsi="Segoe UI" w:cs="Segoe UI"/>
        </w:rPr>
        <w:t xml:space="preserve"> all health entities and both the M</w:t>
      </w:r>
      <w:r w:rsidR="00AA1387" w:rsidRPr="00D802FC">
        <w:rPr>
          <w:rFonts w:ascii="Segoe UI" w:hAnsi="Segoe UI" w:cs="Segoe UI"/>
        </w:rPr>
        <w:t>ā</w:t>
      </w:r>
      <w:r w:rsidR="00A31294" w:rsidRPr="00D802FC">
        <w:rPr>
          <w:rFonts w:ascii="Segoe UI" w:hAnsi="Segoe UI" w:cs="Segoe UI"/>
        </w:rPr>
        <w:t xml:space="preserve">ori Health Authority and Health New Zealand will have </w:t>
      </w:r>
      <w:r w:rsidR="00ED2D2F" w:rsidRPr="00D802FC">
        <w:rPr>
          <w:rFonts w:ascii="Segoe UI" w:hAnsi="Segoe UI" w:cs="Segoe UI"/>
        </w:rPr>
        <w:t xml:space="preserve">new </w:t>
      </w:r>
      <w:r w:rsidR="00A31294" w:rsidRPr="00D802FC">
        <w:rPr>
          <w:rFonts w:ascii="Segoe UI" w:hAnsi="Segoe UI" w:cs="Segoe UI"/>
        </w:rPr>
        <w:t>levers to combat shortages</w:t>
      </w:r>
      <w:r w:rsidR="00D44EE0">
        <w:rPr>
          <w:rFonts w:ascii="Segoe UI" w:hAnsi="Segoe UI" w:cs="Segoe UI"/>
        </w:rPr>
        <w:t xml:space="preserve"> and plan coherently across the system</w:t>
      </w:r>
      <w:r w:rsidR="00A31294" w:rsidRPr="00D802FC">
        <w:rPr>
          <w:rFonts w:ascii="Segoe UI" w:hAnsi="Segoe UI" w:cs="Segoe UI"/>
        </w:rPr>
        <w:t xml:space="preserve">. </w:t>
      </w:r>
    </w:p>
    <w:p w14:paraId="3C88D174" w14:textId="2394CC33" w:rsidR="00D44EE0" w:rsidRDefault="00D44EE0" w:rsidP="003B2845">
      <w:pPr>
        <w:rPr>
          <w:rFonts w:ascii="Segoe UI" w:hAnsi="Segoe UI" w:cs="Segoe UI"/>
        </w:rPr>
      </w:pPr>
      <w:r>
        <w:rPr>
          <w:rFonts w:ascii="Segoe UI" w:hAnsi="Segoe UI" w:cs="Segoe UI"/>
        </w:rPr>
        <w:t>For example, currently approximately $110 million is annually allocated to DHB</w:t>
      </w:r>
      <w:r w:rsidR="008F2820">
        <w:rPr>
          <w:rFonts w:ascii="Segoe UI" w:hAnsi="Segoe UI" w:cs="Segoe UI"/>
        </w:rPr>
        <w:t>s</w:t>
      </w:r>
      <w:r>
        <w:rPr>
          <w:rFonts w:ascii="Segoe UI" w:hAnsi="Segoe UI" w:cs="Segoe UI"/>
        </w:rPr>
        <w:t xml:space="preserve"> for medical training.  This has resulted in some lost opportunities for training in rarer sub-specialties because of the disconnection between funding and where training can occur. Neuro-interventional radiology for clot retrieval is an example. </w:t>
      </w:r>
    </w:p>
    <w:p w14:paraId="09F6179C" w14:textId="1E3F5558" w:rsidR="00A62F75" w:rsidRDefault="00D44EE0" w:rsidP="003B2845">
      <w:pPr>
        <w:rPr>
          <w:rFonts w:ascii="Segoe UI" w:hAnsi="Segoe UI" w:cs="Segoe UI"/>
        </w:rPr>
      </w:pPr>
      <w:r>
        <w:rPr>
          <w:rFonts w:ascii="Segoe UI" w:hAnsi="Segoe UI" w:cs="Segoe UI"/>
        </w:rPr>
        <w:t>The</w:t>
      </w:r>
      <w:r w:rsidR="00A31294" w:rsidRPr="00D802FC">
        <w:rPr>
          <w:rFonts w:ascii="Segoe UI" w:hAnsi="Segoe UI" w:cs="Segoe UI"/>
        </w:rPr>
        <w:t xml:space="preserve"> multiplicity of autonomous decision-makers with different accountabilities characterises the</w:t>
      </w:r>
      <w:r w:rsidR="00AA1387" w:rsidRPr="00D802FC">
        <w:rPr>
          <w:rFonts w:ascii="Segoe UI" w:hAnsi="Segoe UI" w:cs="Segoe UI"/>
        </w:rPr>
        <w:t xml:space="preserve"> current health workforce eco-system</w:t>
      </w:r>
      <w:r w:rsidR="00ED2D2F" w:rsidRPr="00D802FC">
        <w:rPr>
          <w:rFonts w:ascii="Segoe UI" w:hAnsi="Segoe UI" w:cs="Segoe UI"/>
        </w:rPr>
        <w:t>,</w:t>
      </w:r>
      <w:r w:rsidR="00AA1387" w:rsidRPr="00D802FC">
        <w:rPr>
          <w:rFonts w:ascii="Segoe UI" w:hAnsi="Segoe UI" w:cs="Segoe UI"/>
        </w:rPr>
        <w:t xml:space="preserve"> to its detriment. </w:t>
      </w:r>
      <w:r>
        <w:rPr>
          <w:rFonts w:ascii="Segoe UI" w:hAnsi="Segoe UI" w:cs="Segoe UI"/>
        </w:rPr>
        <w:t xml:space="preserve">Health New Zealand and the Māori Health Authority have a unique opportunity to break business-as-usual patterns for the benefit of patients and </w:t>
      </w:r>
      <w:proofErr w:type="spellStart"/>
      <w:r w:rsidR="00850C05">
        <w:rPr>
          <w:rFonts w:ascii="Segoe UI" w:hAnsi="Segoe UI" w:cs="Segoe UI"/>
        </w:rPr>
        <w:t>whānau</w:t>
      </w:r>
      <w:proofErr w:type="spellEnd"/>
      <w:r>
        <w:rPr>
          <w:rFonts w:ascii="Segoe UI" w:hAnsi="Segoe UI" w:cs="Segoe UI"/>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149"/>
      </w:tblGrid>
      <w:tr w:rsidR="00D11D89" w:rsidRPr="00D11D89" w14:paraId="5E8780F0" w14:textId="77777777" w:rsidTr="00D11D89">
        <w:tc>
          <w:tcPr>
            <w:tcW w:w="4149" w:type="dxa"/>
          </w:tcPr>
          <w:p w14:paraId="53938CA5" w14:textId="7758405B" w:rsidR="00D11D89" w:rsidRPr="00D11D89" w:rsidRDefault="00D11D89" w:rsidP="00797569">
            <w:pPr>
              <w:spacing w:before="120" w:after="120"/>
              <w:rPr>
                <w:rFonts w:ascii="Segoe UI" w:hAnsi="Segoe UI" w:cs="Segoe UI"/>
                <w:b/>
                <w:i/>
              </w:rPr>
            </w:pPr>
            <w:r w:rsidRPr="00D11D89">
              <w:rPr>
                <w:rFonts w:ascii="Segoe UI" w:hAnsi="Segoe UI" w:cs="Segoe UI"/>
                <w:b/>
                <w:i/>
              </w:rPr>
              <w:t xml:space="preserve">Health New Zealand, as a single employer replacing 20 DHB employers, is a catalyst for implementing radically changed health workforce development in line with the New Zealand </w:t>
            </w:r>
            <w:r w:rsidR="00094722">
              <w:rPr>
                <w:rFonts w:ascii="Segoe UI" w:hAnsi="Segoe UI" w:cs="Segoe UI"/>
                <w:b/>
                <w:i/>
              </w:rPr>
              <w:t>H</w:t>
            </w:r>
            <w:r w:rsidRPr="00D11D89">
              <w:rPr>
                <w:rFonts w:ascii="Segoe UI" w:hAnsi="Segoe UI" w:cs="Segoe UI"/>
                <w:b/>
                <w:i/>
              </w:rPr>
              <w:t xml:space="preserve">ealth </w:t>
            </w:r>
            <w:r w:rsidR="00094722">
              <w:rPr>
                <w:rFonts w:ascii="Segoe UI" w:hAnsi="Segoe UI" w:cs="Segoe UI"/>
                <w:b/>
                <w:i/>
              </w:rPr>
              <w:t>P</w:t>
            </w:r>
            <w:r w:rsidRPr="00D11D89">
              <w:rPr>
                <w:rFonts w:ascii="Segoe UI" w:hAnsi="Segoe UI" w:cs="Segoe UI"/>
                <w:b/>
                <w:i/>
              </w:rPr>
              <w:t>lan. Additionally, it is critical that the Ministry of Health be a mandated policy decision</w:t>
            </w:r>
            <w:r w:rsidR="00797569">
              <w:rPr>
                <w:rFonts w:ascii="Segoe UI" w:hAnsi="Segoe UI" w:cs="Segoe UI"/>
                <w:b/>
                <w:i/>
              </w:rPr>
              <w:t>-</w:t>
            </w:r>
            <w:r w:rsidRPr="00D11D89">
              <w:rPr>
                <w:rFonts w:ascii="Segoe UI" w:hAnsi="Segoe UI" w:cs="Segoe UI"/>
                <w:b/>
                <w:i/>
              </w:rPr>
              <w:t>maker with the power to address and align settings across education, health and the professional associations to ensure a sustainable health workforce.</w:t>
            </w:r>
          </w:p>
        </w:tc>
      </w:tr>
    </w:tbl>
    <w:p w14:paraId="5F61260F" w14:textId="77777777" w:rsidR="00D11D89" w:rsidRDefault="00D11D89" w:rsidP="003B2845">
      <w:pPr>
        <w:rPr>
          <w:rFonts w:ascii="Segoe UI" w:hAnsi="Segoe UI" w:cs="Segoe UI"/>
        </w:rPr>
      </w:pPr>
    </w:p>
    <w:p w14:paraId="7C199951" w14:textId="7A360FD5" w:rsidR="00A62F75" w:rsidRDefault="00AD27A2" w:rsidP="003B2845">
      <w:pPr>
        <w:rPr>
          <w:rFonts w:ascii="Segoe UI" w:hAnsi="Segoe UI" w:cs="Segoe UI"/>
        </w:rPr>
      </w:pPr>
      <w:r w:rsidRPr="00D802FC">
        <w:rPr>
          <w:rFonts w:ascii="Segoe UI" w:hAnsi="Segoe UI" w:cs="Segoe UI"/>
        </w:rPr>
        <w:t>The Board</w:t>
      </w:r>
      <w:r w:rsidR="00B539C0" w:rsidRPr="00D802FC">
        <w:rPr>
          <w:rFonts w:ascii="Segoe UI" w:hAnsi="Segoe UI" w:cs="Segoe UI"/>
        </w:rPr>
        <w:t xml:space="preserve"> fully supports</w:t>
      </w:r>
      <w:r w:rsidR="00554427" w:rsidRPr="00D802FC">
        <w:rPr>
          <w:rFonts w:ascii="Segoe UI" w:hAnsi="Segoe UI" w:cs="Segoe UI"/>
        </w:rPr>
        <w:t xml:space="preserve"> the Ministry’s review of health professional regulatory settings including the Health Practitioners </w:t>
      </w:r>
      <w:r w:rsidR="00554427" w:rsidRPr="00D802FC">
        <w:rPr>
          <w:rFonts w:ascii="Segoe UI" w:hAnsi="Segoe UI" w:cs="Segoe UI"/>
        </w:rPr>
        <w:t xml:space="preserve">Competence Assurance Act 2003, with a target deadline of draft legislation by November 2022. </w:t>
      </w:r>
      <w:r w:rsidR="00ED2D2F" w:rsidRPr="00D802FC">
        <w:rPr>
          <w:rFonts w:ascii="Segoe UI" w:hAnsi="Segoe UI" w:cs="Segoe UI"/>
        </w:rPr>
        <w:t xml:space="preserve">This is part of a whole of system approach to health workforce development. </w:t>
      </w:r>
      <w:r w:rsidR="00783EE5" w:rsidRPr="00D802FC">
        <w:rPr>
          <w:rFonts w:ascii="Segoe UI" w:hAnsi="Segoe UI" w:cs="Segoe UI"/>
        </w:rPr>
        <w:t>Responsible Authorities accredit and monitor health education programmes that lead to registration under the Health Practitioner</w:t>
      </w:r>
      <w:r w:rsidR="006711E4">
        <w:rPr>
          <w:rFonts w:ascii="Segoe UI" w:hAnsi="Segoe UI" w:cs="Segoe UI"/>
        </w:rPr>
        <w:t>s</w:t>
      </w:r>
      <w:r w:rsidR="00783EE5" w:rsidRPr="00D802FC">
        <w:rPr>
          <w:rFonts w:ascii="Segoe UI" w:hAnsi="Segoe UI" w:cs="Segoe UI"/>
        </w:rPr>
        <w:t xml:space="preserve"> Competence Assurance Act 2003. </w:t>
      </w:r>
      <w:r w:rsidR="00B44C59" w:rsidRPr="00D802FC">
        <w:rPr>
          <w:rFonts w:ascii="Segoe UI" w:hAnsi="Segoe UI" w:cs="Segoe UI"/>
        </w:rPr>
        <w:t xml:space="preserve">The Board continues to be concerned that the 17 Responsible Authorities responsible for 24 regulated professions have full autonomy in setting accreditation standards, but without the consequent responsibility for policy settings relating to accreditation standards, which are required for a responsive, pressured and changing health sector. </w:t>
      </w:r>
      <w:r w:rsidR="00D44EE0">
        <w:rPr>
          <w:rFonts w:ascii="Segoe UI" w:hAnsi="Segoe UI" w:cs="Segoe UI"/>
        </w:rPr>
        <w:t xml:space="preserve">In addition, it is timely to review College functions. </w:t>
      </w:r>
      <w:r w:rsidR="00B44C59" w:rsidRPr="00D802FC">
        <w:rPr>
          <w:rFonts w:ascii="Segoe UI" w:hAnsi="Segoe UI" w:cs="Segoe UI"/>
        </w:rPr>
        <w:t xml:space="preserve">For example, a College needs to have a selection process for entry to training but the success or otherwise of such a process, including its effectiveness in addressing equity </w:t>
      </w:r>
      <w:r w:rsidRPr="00D802FC">
        <w:rPr>
          <w:rFonts w:ascii="Segoe UI" w:hAnsi="Segoe UI" w:cs="Segoe UI"/>
        </w:rPr>
        <w:t xml:space="preserve">representation </w:t>
      </w:r>
      <w:r w:rsidR="00783EE5" w:rsidRPr="00D802FC">
        <w:rPr>
          <w:rFonts w:ascii="Segoe UI" w:hAnsi="Segoe UI" w:cs="Segoe UI"/>
        </w:rPr>
        <w:t>of M</w:t>
      </w:r>
      <w:r w:rsidR="00797569">
        <w:rPr>
          <w:rFonts w:ascii="Segoe UI" w:hAnsi="Segoe UI" w:cs="Segoe UI"/>
        </w:rPr>
        <w:t>ā</w:t>
      </w:r>
      <w:r w:rsidR="00783EE5" w:rsidRPr="00D802FC">
        <w:rPr>
          <w:rFonts w:ascii="Segoe UI" w:hAnsi="Segoe UI" w:cs="Segoe UI"/>
        </w:rPr>
        <w:t xml:space="preserve">ori and Pacific </w:t>
      </w:r>
      <w:r w:rsidR="00A21EDD" w:rsidRPr="00D802FC">
        <w:rPr>
          <w:rFonts w:ascii="Segoe UI" w:hAnsi="Segoe UI" w:cs="Segoe UI"/>
        </w:rPr>
        <w:t xml:space="preserve">and </w:t>
      </w:r>
      <w:r w:rsidR="00B44C59" w:rsidRPr="00D802FC">
        <w:rPr>
          <w:rFonts w:ascii="Segoe UI" w:hAnsi="Segoe UI" w:cs="Segoe UI"/>
        </w:rPr>
        <w:t xml:space="preserve">the need for a rural workforce, is not relevant.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149"/>
      </w:tblGrid>
      <w:tr w:rsidR="00D11D89" w:rsidRPr="00D11D89" w14:paraId="5421B078" w14:textId="77777777" w:rsidTr="00D11D89">
        <w:tc>
          <w:tcPr>
            <w:tcW w:w="4149" w:type="dxa"/>
          </w:tcPr>
          <w:p w14:paraId="5573BCE0" w14:textId="21D44D73" w:rsidR="00D11D89" w:rsidRPr="00D11D89" w:rsidRDefault="00D11D89" w:rsidP="007C5DC4">
            <w:pPr>
              <w:spacing w:before="120" w:after="120"/>
              <w:rPr>
                <w:rFonts w:ascii="Segoe UI" w:hAnsi="Segoe UI" w:cs="Segoe UI"/>
                <w:b/>
                <w:i/>
              </w:rPr>
            </w:pPr>
            <w:r w:rsidRPr="00D11D89">
              <w:rPr>
                <w:rFonts w:ascii="Segoe UI" w:hAnsi="Segoe UI" w:cs="Segoe UI"/>
                <w:b/>
                <w:i/>
              </w:rPr>
              <w:t>HWAB recommends to the Minister that the regulatory review and other work to advance more flexible regulatory settings</w:t>
            </w:r>
            <w:r w:rsidR="007C5DC4">
              <w:rPr>
                <w:rFonts w:ascii="Segoe UI" w:hAnsi="Segoe UI" w:cs="Segoe UI"/>
                <w:b/>
                <w:i/>
              </w:rPr>
              <w:t xml:space="preserve"> </w:t>
            </w:r>
            <w:r w:rsidRPr="00D11D89">
              <w:rPr>
                <w:rFonts w:ascii="Segoe UI" w:hAnsi="Segoe UI" w:cs="Segoe UI"/>
                <w:b/>
                <w:i/>
              </w:rPr>
              <w:t>be prioritised during the transition period</w:t>
            </w:r>
            <w:r w:rsidR="007C5DC4">
              <w:rPr>
                <w:rFonts w:ascii="Segoe UI" w:hAnsi="Segoe UI" w:cs="Segoe UI"/>
                <w:b/>
                <w:i/>
              </w:rPr>
              <w:t xml:space="preserve"> </w:t>
            </w:r>
            <w:r w:rsidRPr="00D11D89">
              <w:rPr>
                <w:rFonts w:ascii="Segoe UI" w:hAnsi="Segoe UI" w:cs="Segoe UI"/>
                <w:b/>
                <w:i/>
              </w:rPr>
              <w:t>as part of new health workforce governance frameworks.</w:t>
            </w:r>
          </w:p>
        </w:tc>
      </w:tr>
    </w:tbl>
    <w:p w14:paraId="2D8C32F5" w14:textId="77777777" w:rsidR="00A62F75" w:rsidRDefault="00A62F75" w:rsidP="003B2845">
      <w:pPr>
        <w:rPr>
          <w:rFonts w:ascii="Segoe UI" w:hAnsi="Segoe UI" w:cs="Segoe UI"/>
          <w:i/>
        </w:rPr>
      </w:pPr>
    </w:p>
    <w:p w14:paraId="33B1229C" w14:textId="47778308" w:rsidR="00ED2D2F" w:rsidRPr="00A62F75" w:rsidRDefault="00ED2D2F" w:rsidP="00EC360E">
      <w:pPr>
        <w:pStyle w:val="Heading3"/>
      </w:pPr>
      <w:r w:rsidRPr="00A62F75">
        <w:t xml:space="preserve">Vaccinator </w:t>
      </w:r>
      <w:r w:rsidR="00D07AC1">
        <w:t>w</w:t>
      </w:r>
      <w:r w:rsidRPr="00A62F75">
        <w:t>orkforce</w:t>
      </w:r>
    </w:p>
    <w:p w14:paraId="33DAD6D4" w14:textId="03805317" w:rsidR="00D11D89" w:rsidRDefault="001728B9" w:rsidP="003B2845">
      <w:pPr>
        <w:rPr>
          <w:rFonts w:ascii="Segoe UI" w:hAnsi="Segoe UI" w:cs="Segoe UI"/>
        </w:rPr>
      </w:pPr>
      <w:r w:rsidRPr="00D802FC">
        <w:rPr>
          <w:rFonts w:ascii="Segoe UI" w:hAnsi="Segoe UI" w:cs="Segoe UI"/>
        </w:rPr>
        <w:t>A positive</w:t>
      </w:r>
      <w:r w:rsidR="00546861" w:rsidRPr="00D802FC">
        <w:rPr>
          <w:rFonts w:ascii="Segoe UI" w:hAnsi="Segoe UI" w:cs="Segoe UI"/>
        </w:rPr>
        <w:t xml:space="preserve"> example of COVID-19 health workforce disruption is the development of vaccinator assistants to relieve reliance on registered nurses during the vaccination campaigns of 2021. This was a Ministry initiat</w:t>
      </w:r>
      <w:r w:rsidR="00797569">
        <w:rPr>
          <w:rFonts w:ascii="Segoe UI" w:hAnsi="Segoe UI" w:cs="Segoe UI"/>
        </w:rPr>
        <w:t xml:space="preserve">ive strongly supported by HWAB and DHBs. </w:t>
      </w:r>
      <w:r w:rsidR="00546861" w:rsidRPr="00D802FC">
        <w:rPr>
          <w:rFonts w:ascii="Segoe UI" w:hAnsi="Segoe UI" w:cs="Segoe UI"/>
        </w:rPr>
        <w:t xml:space="preserve">Changes of scopes of </w:t>
      </w:r>
      <w:r w:rsidR="00546861" w:rsidRPr="00D802FC">
        <w:rPr>
          <w:rFonts w:ascii="Segoe UI" w:hAnsi="Segoe UI" w:cs="Segoe UI"/>
        </w:rPr>
        <w:lastRenderedPageBreak/>
        <w:t>practice (with supervision) which have previously been resisted and new competency and training programmes were rapidly developed for online delivery in response to the pandemic. More than 300 have been trained, 50 are fully authorised and working in the field and 50% of those who trained are Māori</w:t>
      </w:r>
      <w:r w:rsidR="00130D67">
        <w:rPr>
          <w:rFonts w:ascii="Segoe UI" w:hAnsi="Segoe UI" w:cs="Segoe UI"/>
        </w:rPr>
        <w:t>.</w:t>
      </w:r>
      <w:r w:rsidR="00546861" w:rsidRPr="00D802FC">
        <w:rPr>
          <w:rStyle w:val="EndnoteReference"/>
          <w:rFonts w:ascii="Segoe UI" w:hAnsi="Segoe UI" w:cs="Segoe UI"/>
        </w:rPr>
        <w:endnoteReference w:id="4"/>
      </w:r>
      <w:r w:rsidR="00546861" w:rsidRPr="00D802FC">
        <w:rPr>
          <w:rFonts w:ascii="Segoe UI" w:hAnsi="Segoe UI" w:cs="Segoe UI"/>
        </w:rPr>
        <w:t xml:space="preserve"> Long term opportunities to build an auxiliary workforce and retain this new skill set exist for continuing pandemic responsiveness to booster shots and to vaccinating younger New Zealanders in 2022.  In the future, vaccinator assistants as an auxiliary workforce can have a legacy effect in vaccination by helping to address New Zealand’s worrying fall in childhood immunisation statistics particularly </w:t>
      </w:r>
      <w:r w:rsidR="00797569">
        <w:rPr>
          <w:rFonts w:ascii="Segoe UI" w:hAnsi="Segoe UI" w:cs="Segoe UI"/>
        </w:rPr>
        <w:t>among Māori and Pacific peoples. This has been identified as</w:t>
      </w:r>
      <w:r w:rsidR="00546861" w:rsidRPr="00D802FC">
        <w:rPr>
          <w:rFonts w:ascii="Segoe UI" w:hAnsi="Segoe UI" w:cs="Segoe UI"/>
        </w:rPr>
        <w:t xml:space="preserve"> a priority activity for regional health governance during the transition period.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149"/>
      </w:tblGrid>
      <w:tr w:rsidR="00D11D89" w:rsidRPr="00D11D89" w14:paraId="29E2BDAA" w14:textId="77777777" w:rsidTr="00D11D89">
        <w:tc>
          <w:tcPr>
            <w:tcW w:w="4149" w:type="dxa"/>
          </w:tcPr>
          <w:p w14:paraId="366A5F9C" w14:textId="1097956A" w:rsidR="00D11D89" w:rsidRPr="00D11D89" w:rsidRDefault="00D11D89" w:rsidP="007C5DC4">
            <w:pPr>
              <w:spacing w:before="120" w:after="120"/>
              <w:rPr>
                <w:rFonts w:ascii="Segoe UI" w:hAnsi="Segoe UI" w:cs="Segoe UI"/>
                <w:b/>
                <w:i/>
              </w:rPr>
            </w:pPr>
            <w:r w:rsidRPr="00D11D89">
              <w:rPr>
                <w:rFonts w:ascii="Segoe UI" w:hAnsi="Segoe UI" w:cs="Segoe UI"/>
                <w:b/>
                <w:i/>
              </w:rPr>
              <w:t>HWAB recommends to the Minister that supporting</w:t>
            </w:r>
            <w:r w:rsidR="00BE59B4">
              <w:rPr>
                <w:rFonts w:ascii="Segoe UI" w:hAnsi="Segoe UI" w:cs="Segoe UI"/>
                <w:b/>
                <w:i/>
              </w:rPr>
              <w:t>,</w:t>
            </w:r>
            <w:r w:rsidR="007C5DC4">
              <w:rPr>
                <w:rFonts w:ascii="Segoe UI" w:hAnsi="Segoe UI" w:cs="Segoe UI"/>
                <w:b/>
                <w:i/>
              </w:rPr>
              <w:t xml:space="preserve"> </w:t>
            </w:r>
            <w:r w:rsidRPr="00D11D89">
              <w:rPr>
                <w:rFonts w:ascii="Segoe UI" w:hAnsi="Segoe UI" w:cs="Segoe UI"/>
                <w:b/>
                <w:i/>
              </w:rPr>
              <w:t>retaining and increasing the vaccinator assistant workforce and improving its professionalisation to allow a legitimate scope of practice</w:t>
            </w:r>
            <w:r w:rsidR="00797569">
              <w:rPr>
                <w:rFonts w:ascii="Segoe UI" w:hAnsi="Segoe UI" w:cs="Segoe UI"/>
                <w:b/>
                <w:i/>
              </w:rPr>
              <w:t>,</w:t>
            </w:r>
            <w:r w:rsidR="007C5DC4">
              <w:rPr>
                <w:rFonts w:ascii="Segoe UI" w:hAnsi="Segoe UI" w:cs="Segoe UI"/>
                <w:b/>
                <w:i/>
              </w:rPr>
              <w:t xml:space="preserve"> </w:t>
            </w:r>
            <w:r w:rsidRPr="00D11D89">
              <w:rPr>
                <w:rFonts w:ascii="Segoe UI" w:hAnsi="Segoe UI" w:cs="Segoe UI"/>
                <w:b/>
                <w:i/>
              </w:rPr>
              <w:t>be a regional workforce priority.</w:t>
            </w:r>
          </w:p>
        </w:tc>
      </w:tr>
    </w:tbl>
    <w:p w14:paraId="0A1D1571" w14:textId="77777777" w:rsidR="00D11D89" w:rsidRDefault="00D11D89" w:rsidP="00783EE5">
      <w:pPr>
        <w:rPr>
          <w:rFonts w:ascii="Segoe UI" w:hAnsi="Segoe UI" w:cs="Segoe UI"/>
          <w:i/>
        </w:rPr>
      </w:pPr>
    </w:p>
    <w:p w14:paraId="0C4A6FA2" w14:textId="6D705941" w:rsidR="00ED2D2F" w:rsidRPr="00D11D89" w:rsidRDefault="00ED2D2F" w:rsidP="00FD55F7">
      <w:pPr>
        <w:pStyle w:val="Heading3"/>
      </w:pPr>
      <w:r w:rsidRPr="00D11D89">
        <w:t>Student placement</w:t>
      </w:r>
    </w:p>
    <w:p w14:paraId="4BC4D89A" w14:textId="4F0A4820" w:rsidR="00783EE5" w:rsidRPr="00D802FC" w:rsidRDefault="001728B9" w:rsidP="00783EE5">
      <w:pPr>
        <w:rPr>
          <w:rFonts w:ascii="Segoe UI" w:hAnsi="Segoe UI" w:cs="Segoe UI"/>
        </w:rPr>
      </w:pPr>
      <w:r w:rsidRPr="00D802FC">
        <w:rPr>
          <w:rFonts w:ascii="Segoe UI" w:hAnsi="Segoe UI" w:cs="Segoe UI"/>
        </w:rPr>
        <w:t>COVID-19 considerably disrupted student clinical placements during 2021</w:t>
      </w:r>
      <w:r w:rsidR="00783EE5" w:rsidRPr="00D802FC">
        <w:rPr>
          <w:rFonts w:ascii="Segoe UI" w:hAnsi="Segoe UI" w:cs="Segoe UI"/>
        </w:rPr>
        <w:t xml:space="preserve">, resulting in some delays to registration for physiotherapy, </w:t>
      </w:r>
      <w:r w:rsidR="001F4D43">
        <w:rPr>
          <w:rFonts w:ascii="Segoe UI" w:hAnsi="Segoe UI" w:cs="Segoe UI"/>
        </w:rPr>
        <w:t xml:space="preserve">dental, </w:t>
      </w:r>
      <w:r w:rsidR="00783EE5" w:rsidRPr="00D802FC">
        <w:rPr>
          <w:rFonts w:ascii="Segoe UI" w:hAnsi="Segoe UI" w:cs="Segoe UI"/>
        </w:rPr>
        <w:t xml:space="preserve">occupational therapy, other allied health jobs and medical students. For example, approximately 100 physiotherapy students are normally allocated annually to </w:t>
      </w:r>
      <w:proofErr w:type="spellStart"/>
      <w:r w:rsidR="00783EE5" w:rsidRPr="00D802FC">
        <w:rPr>
          <w:rFonts w:ascii="Segoe UI" w:hAnsi="Segoe UI" w:cs="Segoe UI"/>
        </w:rPr>
        <w:t>Waitemat</w:t>
      </w:r>
      <w:r w:rsidR="00165372" w:rsidRPr="00D802FC">
        <w:rPr>
          <w:rFonts w:ascii="Segoe UI" w:hAnsi="Segoe UI" w:cs="Segoe UI"/>
        </w:rPr>
        <w:t>ā</w:t>
      </w:r>
      <w:proofErr w:type="spellEnd"/>
      <w:r w:rsidR="00783EE5" w:rsidRPr="00D802FC">
        <w:rPr>
          <w:rFonts w:ascii="Segoe UI" w:hAnsi="Segoe UI" w:cs="Segoe UI"/>
        </w:rPr>
        <w:t xml:space="preserve">, Auckland and Counties Manukau and Northland hospitals, working in cardio vascular and cardio </w:t>
      </w:r>
      <w:r w:rsidR="00783EE5" w:rsidRPr="00D802FC">
        <w:rPr>
          <w:rFonts w:ascii="Segoe UI" w:hAnsi="Segoe UI" w:cs="Segoe UI"/>
        </w:rPr>
        <w:t>respiratory and other wards. However, they had no access during outbreaks in the Northern region under</w:t>
      </w:r>
      <w:r w:rsidRPr="00D802FC">
        <w:rPr>
          <w:rFonts w:ascii="Segoe UI" w:hAnsi="Segoe UI" w:cs="Segoe UI"/>
        </w:rPr>
        <w:t xml:space="preserve"> Alert Level 4</w:t>
      </w:r>
      <w:r w:rsidR="00783EE5" w:rsidRPr="00D802FC">
        <w:rPr>
          <w:rFonts w:ascii="Segoe UI" w:hAnsi="Segoe UI" w:cs="Segoe UI"/>
        </w:rPr>
        <w:t xml:space="preserve"> on the legitimate basis of student safety and </w:t>
      </w:r>
      <w:r w:rsidR="00165372" w:rsidRPr="00D802FC">
        <w:rPr>
          <w:rFonts w:ascii="Segoe UI" w:hAnsi="Segoe UI" w:cs="Segoe UI"/>
        </w:rPr>
        <w:t>because of prioritised</w:t>
      </w:r>
      <w:r w:rsidRPr="00D802FC">
        <w:rPr>
          <w:rFonts w:ascii="Segoe UI" w:hAnsi="Segoe UI" w:cs="Segoe UI"/>
        </w:rPr>
        <w:t xml:space="preserve"> demands </w:t>
      </w:r>
      <w:r w:rsidR="00165372" w:rsidRPr="00D802FC">
        <w:rPr>
          <w:rFonts w:ascii="Segoe UI" w:hAnsi="Segoe UI" w:cs="Segoe UI"/>
        </w:rPr>
        <w:t xml:space="preserve">on supervisory staff </w:t>
      </w:r>
      <w:r w:rsidRPr="00D802FC">
        <w:rPr>
          <w:rFonts w:ascii="Segoe UI" w:hAnsi="Segoe UI" w:cs="Segoe UI"/>
        </w:rPr>
        <w:t>during pandemic responses.</w:t>
      </w:r>
      <w:r w:rsidR="00783EE5" w:rsidRPr="00D802FC">
        <w:rPr>
          <w:rFonts w:ascii="Segoe UI" w:hAnsi="Segoe UI" w:cs="Segoe UI"/>
        </w:rPr>
        <w:t xml:space="preserve"> </w:t>
      </w:r>
      <w:r w:rsidR="00972F1A">
        <w:rPr>
          <w:rFonts w:ascii="Segoe UI" w:hAnsi="Segoe UI" w:cs="Segoe UI"/>
        </w:rPr>
        <w:t xml:space="preserve">Similarly, dental students based in Auckland could not graduate in December 2021 due to the lack of clinical hours. </w:t>
      </w:r>
      <w:r w:rsidR="00783EE5" w:rsidRPr="00D802FC">
        <w:rPr>
          <w:rFonts w:ascii="Segoe UI" w:hAnsi="Segoe UI" w:cs="Segoe UI"/>
        </w:rPr>
        <w:t>Professional registration requires fixed numbers of clinical hours for different workforces.</w:t>
      </w:r>
    </w:p>
    <w:p w14:paraId="71A8418E" w14:textId="7AA3C300" w:rsidR="00D11D89" w:rsidRDefault="00783EE5" w:rsidP="003B2845">
      <w:pPr>
        <w:rPr>
          <w:rFonts w:ascii="Segoe UI" w:hAnsi="Segoe UI" w:cs="Segoe UI"/>
        </w:rPr>
      </w:pPr>
      <w:r w:rsidRPr="00D802FC">
        <w:rPr>
          <w:rFonts w:ascii="Segoe UI" w:hAnsi="Segoe UI" w:cs="Segoe UI"/>
        </w:rPr>
        <w:t>Now the health sector has learnt more about hospital management and COVID-19, and in response to the urgent need for new graduates</w:t>
      </w:r>
      <w:r w:rsidR="00D11D89">
        <w:rPr>
          <w:rFonts w:ascii="Segoe UI" w:hAnsi="Segoe UI" w:cs="Segoe UI"/>
        </w:rPr>
        <w:t>.</w:t>
      </w:r>
      <w:r w:rsidRPr="00D802FC">
        <w:rPr>
          <w:rFonts w:ascii="Segoe UI" w:hAnsi="Segoe UI" w:cs="Segoe UI"/>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149"/>
      </w:tblGrid>
      <w:tr w:rsidR="00D11D89" w14:paraId="08198E44" w14:textId="77777777" w:rsidTr="00D11D89">
        <w:tc>
          <w:tcPr>
            <w:tcW w:w="4149" w:type="dxa"/>
          </w:tcPr>
          <w:p w14:paraId="363AC80E" w14:textId="3905DC20" w:rsidR="00D11D89" w:rsidRDefault="00D11D89" w:rsidP="007C5DC4">
            <w:pPr>
              <w:spacing w:before="120" w:after="120"/>
              <w:rPr>
                <w:rFonts w:ascii="Segoe UI" w:hAnsi="Segoe UI" w:cs="Segoe UI"/>
              </w:rPr>
            </w:pPr>
            <w:r w:rsidRPr="00D11D89">
              <w:rPr>
                <w:rFonts w:ascii="Segoe UI" w:hAnsi="Segoe UI" w:cs="Segoe UI"/>
                <w:b/>
                <w:i/>
              </w:rPr>
              <w:t xml:space="preserve">HWAB recommends to the Minister that national policy allows continuation of student hospital placements during </w:t>
            </w:r>
            <w:r w:rsidR="00797569">
              <w:rPr>
                <w:rFonts w:ascii="Segoe UI" w:hAnsi="Segoe UI" w:cs="Segoe UI"/>
                <w:b/>
                <w:i/>
              </w:rPr>
              <w:t xml:space="preserve">pandemics such as </w:t>
            </w:r>
            <w:r w:rsidRPr="00D11D89">
              <w:rPr>
                <w:rFonts w:ascii="Segoe UI" w:hAnsi="Segoe UI" w:cs="Segoe UI"/>
                <w:b/>
                <w:i/>
              </w:rPr>
              <w:t>COVID</w:t>
            </w:r>
            <w:r w:rsidR="007C5DC4">
              <w:rPr>
                <w:rFonts w:ascii="Segoe UI" w:hAnsi="Segoe UI" w:cs="Segoe UI"/>
                <w:b/>
                <w:i/>
              </w:rPr>
              <w:t xml:space="preserve">-19 </w:t>
            </w:r>
            <w:r w:rsidRPr="00D11D89">
              <w:rPr>
                <w:rFonts w:ascii="Segoe UI" w:hAnsi="Segoe UI" w:cs="Segoe UI"/>
                <w:b/>
                <w:i/>
              </w:rPr>
              <w:t>unless there are exceptional demands on hospital wards and services that should curtail placements.</w:t>
            </w:r>
          </w:p>
        </w:tc>
      </w:tr>
    </w:tbl>
    <w:p w14:paraId="7145875A" w14:textId="77C6C268" w:rsidR="00D11D89" w:rsidRDefault="00165372" w:rsidP="003B2845">
      <w:pPr>
        <w:rPr>
          <w:rFonts w:ascii="Segoe UI" w:hAnsi="Segoe UI" w:cs="Segoe UI"/>
        </w:rPr>
      </w:pPr>
      <w:r w:rsidRPr="00D802FC">
        <w:rPr>
          <w:rFonts w:ascii="Segoe UI" w:hAnsi="Segoe UI" w:cs="Segoe UI"/>
          <w:b/>
          <w:i/>
        </w:rPr>
        <w:t xml:space="preserve"> </w:t>
      </w:r>
      <w:r w:rsidR="001728B9" w:rsidRPr="00D802FC">
        <w:rPr>
          <w:rFonts w:ascii="Segoe UI" w:hAnsi="Segoe UI" w:cs="Segoe UI"/>
        </w:rPr>
        <w:t xml:space="preserve"> </w:t>
      </w:r>
    </w:p>
    <w:p w14:paraId="37E4B873" w14:textId="408A6DCD" w:rsidR="00783EE5" w:rsidRPr="00D802FC" w:rsidRDefault="001728B9" w:rsidP="003B2845">
      <w:pPr>
        <w:rPr>
          <w:rFonts w:ascii="Segoe UI" w:hAnsi="Segoe UI" w:cs="Segoe UI"/>
        </w:rPr>
      </w:pPr>
      <w:r w:rsidRPr="00D802FC">
        <w:rPr>
          <w:rFonts w:ascii="Segoe UI" w:hAnsi="Segoe UI" w:cs="Segoe UI"/>
        </w:rPr>
        <w:t>E</w:t>
      </w:r>
      <w:r w:rsidR="00A52226" w:rsidRPr="00D802FC">
        <w:rPr>
          <w:rFonts w:ascii="Segoe UI" w:hAnsi="Segoe UI" w:cs="Segoe UI"/>
        </w:rPr>
        <w:t>ducational institutions</w:t>
      </w:r>
      <w:r w:rsidRPr="00D802FC">
        <w:rPr>
          <w:rFonts w:ascii="Segoe UI" w:hAnsi="Segoe UI" w:cs="Segoe UI"/>
        </w:rPr>
        <w:t xml:space="preserve"> plus placement facilities should be responsible for </w:t>
      </w:r>
      <w:r w:rsidR="00783EE5" w:rsidRPr="00D802FC">
        <w:rPr>
          <w:rFonts w:ascii="Segoe UI" w:hAnsi="Segoe UI" w:cs="Segoe UI"/>
        </w:rPr>
        <w:t>ensuring adequate mask fitting and safety education. Two for one supervisory ratios introduced by some DHB</w:t>
      </w:r>
      <w:r w:rsidR="00C4428B">
        <w:rPr>
          <w:rFonts w:ascii="Segoe UI" w:hAnsi="Segoe UI" w:cs="Segoe UI"/>
        </w:rPr>
        <w:t>s</w:t>
      </w:r>
      <w:r w:rsidR="00783EE5" w:rsidRPr="00D802FC">
        <w:rPr>
          <w:rFonts w:ascii="Segoe UI" w:hAnsi="Segoe UI" w:cs="Segoe UI"/>
        </w:rPr>
        <w:t xml:space="preserve"> </w:t>
      </w:r>
      <w:r w:rsidR="00797569">
        <w:rPr>
          <w:rFonts w:ascii="Segoe UI" w:hAnsi="Segoe UI" w:cs="Segoe UI"/>
        </w:rPr>
        <w:t xml:space="preserve">during COVID-19 </w:t>
      </w:r>
      <w:r w:rsidRPr="00D802FC">
        <w:rPr>
          <w:rFonts w:ascii="Segoe UI" w:hAnsi="Segoe UI" w:cs="Segoe UI"/>
        </w:rPr>
        <w:t xml:space="preserve">have helped </w:t>
      </w:r>
      <w:r w:rsidR="00783EE5" w:rsidRPr="00D802FC">
        <w:rPr>
          <w:rFonts w:ascii="Segoe UI" w:hAnsi="Segoe UI" w:cs="Segoe UI"/>
        </w:rPr>
        <w:t>reduce demand on hospital staff</w:t>
      </w:r>
      <w:r w:rsidRPr="00D802FC">
        <w:rPr>
          <w:rFonts w:ascii="Segoe UI" w:hAnsi="Segoe UI" w:cs="Segoe UI"/>
        </w:rPr>
        <w:t xml:space="preserve"> in these roles </w:t>
      </w:r>
      <w:r w:rsidR="00783EE5" w:rsidRPr="00D802FC">
        <w:rPr>
          <w:rFonts w:ascii="Segoe UI" w:hAnsi="Segoe UI" w:cs="Segoe UI"/>
        </w:rPr>
        <w:t xml:space="preserve">and </w:t>
      </w:r>
      <w:r w:rsidRPr="00D802FC">
        <w:rPr>
          <w:rFonts w:ascii="Segoe UI" w:hAnsi="Segoe UI" w:cs="Segoe UI"/>
        </w:rPr>
        <w:t>need not necessarily impact on the quality of student placement.</w:t>
      </w:r>
      <w:r w:rsidR="00783EE5" w:rsidRPr="00D802FC">
        <w:rPr>
          <w:rFonts w:ascii="Segoe UI" w:hAnsi="Segoe UI" w:cs="Segoe UI"/>
        </w:rPr>
        <w:t xml:space="preserve"> </w:t>
      </w:r>
    </w:p>
    <w:p w14:paraId="5DB7E87A" w14:textId="77777777" w:rsidR="00D11D89" w:rsidRDefault="00D11D89" w:rsidP="003B2845">
      <w:pPr>
        <w:rPr>
          <w:rFonts w:ascii="Segoe UI" w:hAnsi="Segoe UI" w:cs="Segoe UI"/>
          <w:i/>
        </w:rPr>
      </w:pPr>
    </w:p>
    <w:p w14:paraId="1F92398A" w14:textId="13667C36" w:rsidR="003950F8" w:rsidRPr="00D11D89" w:rsidRDefault="003950F8" w:rsidP="00FD55F7">
      <w:pPr>
        <w:pStyle w:val="Heading3"/>
      </w:pPr>
      <w:r w:rsidRPr="00D11D89">
        <w:t>Health workforce wellbeing</w:t>
      </w:r>
    </w:p>
    <w:p w14:paraId="513C4AC1" w14:textId="77777777" w:rsidR="00524A0C" w:rsidRPr="00D802FC" w:rsidRDefault="004B3FA3" w:rsidP="003B2845">
      <w:pPr>
        <w:rPr>
          <w:rFonts w:ascii="Segoe UI" w:hAnsi="Segoe UI" w:cs="Segoe UI"/>
        </w:rPr>
      </w:pPr>
      <w:r w:rsidRPr="00D802FC">
        <w:rPr>
          <w:rFonts w:ascii="Segoe UI" w:hAnsi="Segoe UI" w:cs="Segoe UI"/>
        </w:rPr>
        <w:t>New Zealand’s</w:t>
      </w:r>
      <w:r w:rsidR="003950F8" w:rsidRPr="00D802FC">
        <w:rPr>
          <w:rFonts w:ascii="Segoe UI" w:hAnsi="Segoe UI" w:cs="Segoe UI"/>
        </w:rPr>
        <w:t xml:space="preserve"> favourable position amongst OECD co</w:t>
      </w:r>
      <w:r w:rsidRPr="00D802FC">
        <w:rPr>
          <w:rFonts w:ascii="Segoe UI" w:hAnsi="Segoe UI" w:cs="Segoe UI"/>
        </w:rPr>
        <w:t>untries in combatting COVID-19 has come at a price. T</w:t>
      </w:r>
      <w:r w:rsidR="003950F8" w:rsidRPr="00D802FC">
        <w:rPr>
          <w:rFonts w:ascii="Segoe UI" w:hAnsi="Segoe UI" w:cs="Segoe UI"/>
        </w:rPr>
        <w:t>he pandemic has placed</w:t>
      </w:r>
      <w:r w:rsidR="00924A6A" w:rsidRPr="00D802FC">
        <w:rPr>
          <w:rFonts w:ascii="Segoe UI" w:hAnsi="Segoe UI" w:cs="Segoe UI"/>
        </w:rPr>
        <w:t xml:space="preserve"> considerable </w:t>
      </w:r>
      <w:r w:rsidR="00924A6A" w:rsidRPr="00D802FC">
        <w:rPr>
          <w:rFonts w:ascii="Segoe UI" w:hAnsi="Segoe UI" w:cs="Segoe UI"/>
        </w:rPr>
        <w:lastRenderedPageBreak/>
        <w:t xml:space="preserve">pressure in New Zealand and elsewhere </w:t>
      </w:r>
      <w:r w:rsidR="00DE34DC" w:rsidRPr="00D802FC">
        <w:rPr>
          <w:rFonts w:ascii="Segoe UI" w:hAnsi="Segoe UI" w:cs="Segoe UI"/>
        </w:rPr>
        <w:t>on health workforce availability</w:t>
      </w:r>
      <w:r w:rsidR="003950F8" w:rsidRPr="00D802FC">
        <w:rPr>
          <w:rFonts w:ascii="Segoe UI" w:hAnsi="Segoe UI" w:cs="Segoe UI"/>
        </w:rPr>
        <w:t>, retention and health care worker</w:t>
      </w:r>
      <w:r w:rsidR="00DE34DC" w:rsidRPr="00D802FC">
        <w:rPr>
          <w:rFonts w:ascii="Segoe UI" w:hAnsi="Segoe UI" w:cs="Segoe UI"/>
        </w:rPr>
        <w:t xml:space="preserve"> wellbeing</w:t>
      </w:r>
      <w:r w:rsidRPr="00D802FC">
        <w:rPr>
          <w:rFonts w:ascii="Segoe UI" w:hAnsi="Segoe UI" w:cs="Segoe UI"/>
        </w:rPr>
        <w:t xml:space="preserve">. </w:t>
      </w:r>
    </w:p>
    <w:p w14:paraId="79E6C712" w14:textId="77777777" w:rsidR="00165372" w:rsidRPr="00D802FC" w:rsidRDefault="00524A0C" w:rsidP="003B2845">
      <w:pPr>
        <w:rPr>
          <w:rFonts w:ascii="Segoe UI" w:hAnsi="Segoe UI" w:cs="Segoe UI"/>
        </w:rPr>
      </w:pPr>
      <w:r w:rsidRPr="00D802FC">
        <w:rPr>
          <w:rFonts w:ascii="Segoe UI" w:hAnsi="Segoe UI" w:cs="Segoe UI"/>
        </w:rPr>
        <w:t>As a positive, the pandemic provides</w:t>
      </w:r>
      <w:r w:rsidR="00A52226" w:rsidRPr="00D802FC">
        <w:rPr>
          <w:rFonts w:ascii="Segoe UI" w:hAnsi="Segoe UI" w:cs="Segoe UI"/>
        </w:rPr>
        <w:t xml:space="preserve"> dozens of health workers with new and challenging professional experiences i</w:t>
      </w:r>
      <w:r w:rsidRPr="00D802FC">
        <w:rPr>
          <w:rFonts w:ascii="Segoe UI" w:hAnsi="Segoe UI" w:cs="Segoe UI"/>
        </w:rPr>
        <w:t>n pandemic leadership, in incident management, in</w:t>
      </w:r>
      <w:r w:rsidR="00A52226" w:rsidRPr="00D802FC">
        <w:rPr>
          <w:rFonts w:ascii="Segoe UI" w:hAnsi="Segoe UI" w:cs="Segoe UI"/>
        </w:rPr>
        <w:t xml:space="preserve"> vaccination and testing work away from </w:t>
      </w:r>
      <w:r w:rsidRPr="00D802FC">
        <w:rPr>
          <w:rFonts w:ascii="Segoe UI" w:hAnsi="Segoe UI" w:cs="Segoe UI"/>
        </w:rPr>
        <w:t xml:space="preserve">routine </w:t>
      </w:r>
      <w:r w:rsidR="00A52226" w:rsidRPr="00D802FC">
        <w:rPr>
          <w:rFonts w:ascii="Segoe UI" w:hAnsi="Segoe UI" w:cs="Segoe UI"/>
        </w:rPr>
        <w:t>ward shifts, in epidemiology, in laboratory testing and in a variety o</w:t>
      </w:r>
      <w:r w:rsidRPr="00D802FC">
        <w:rPr>
          <w:rFonts w:ascii="Segoe UI" w:hAnsi="Segoe UI" w:cs="Segoe UI"/>
        </w:rPr>
        <w:t xml:space="preserve">f public health contexts. </w:t>
      </w:r>
    </w:p>
    <w:p w14:paraId="584BEB87" w14:textId="19A31DAD" w:rsidR="00524A0C" w:rsidRPr="00D802FC" w:rsidRDefault="00524A0C" w:rsidP="003B2845">
      <w:pPr>
        <w:rPr>
          <w:rFonts w:ascii="Segoe UI" w:hAnsi="Segoe UI" w:cs="Segoe UI"/>
        </w:rPr>
      </w:pPr>
      <w:r w:rsidRPr="00D802FC">
        <w:rPr>
          <w:rFonts w:ascii="Segoe UI" w:hAnsi="Segoe UI" w:cs="Segoe UI"/>
        </w:rPr>
        <w:t>COVID-19 also made highly visible the agility and efficiency of</w:t>
      </w:r>
      <w:r w:rsidR="00A52226" w:rsidRPr="00D802FC">
        <w:rPr>
          <w:rFonts w:ascii="Segoe UI" w:hAnsi="Segoe UI" w:cs="Segoe UI"/>
        </w:rPr>
        <w:t xml:space="preserve"> M</w:t>
      </w:r>
      <w:r w:rsidRPr="00D802FC">
        <w:rPr>
          <w:rFonts w:ascii="Segoe UI" w:hAnsi="Segoe UI" w:cs="Segoe UI"/>
        </w:rPr>
        <w:t>ā</w:t>
      </w:r>
      <w:r w:rsidR="00A52226" w:rsidRPr="00D802FC">
        <w:rPr>
          <w:rFonts w:ascii="Segoe UI" w:hAnsi="Segoe UI" w:cs="Segoe UI"/>
        </w:rPr>
        <w:t>ori and Pacific providers and community</w:t>
      </w:r>
      <w:r w:rsidR="001043EF">
        <w:rPr>
          <w:rFonts w:ascii="Segoe UI" w:hAnsi="Segoe UI" w:cs="Segoe UI"/>
        </w:rPr>
        <w:t>-</w:t>
      </w:r>
      <w:r w:rsidR="00A52226" w:rsidRPr="00D802FC">
        <w:rPr>
          <w:rFonts w:ascii="Segoe UI" w:hAnsi="Segoe UI" w:cs="Segoe UI"/>
        </w:rPr>
        <w:t>based NGOs working with vulnerable communities</w:t>
      </w:r>
      <w:r w:rsidRPr="00D802FC">
        <w:rPr>
          <w:rFonts w:ascii="Segoe UI" w:hAnsi="Segoe UI" w:cs="Segoe UI"/>
        </w:rPr>
        <w:t xml:space="preserve"> to respond in culturally safe ways to community transmission and the vaccination programme. The pandemic also catalysed new forms of health sector delivery in which bureaucratic processes were secondary to digital health services. </w:t>
      </w:r>
    </w:p>
    <w:p w14:paraId="40B09321" w14:textId="6DC76AAC" w:rsidR="00960222" w:rsidRPr="00D802FC" w:rsidRDefault="00524A0C" w:rsidP="003B2845">
      <w:pPr>
        <w:rPr>
          <w:rFonts w:ascii="Segoe UI" w:hAnsi="Segoe UI" w:cs="Segoe UI"/>
        </w:rPr>
      </w:pPr>
      <w:r w:rsidRPr="00D802FC">
        <w:rPr>
          <w:rFonts w:ascii="Segoe UI" w:hAnsi="Segoe UI" w:cs="Segoe UI"/>
        </w:rPr>
        <w:t>There are, though</w:t>
      </w:r>
      <w:r w:rsidR="00095AE2" w:rsidRPr="00D802FC">
        <w:rPr>
          <w:rFonts w:ascii="Segoe UI" w:hAnsi="Segoe UI" w:cs="Segoe UI"/>
        </w:rPr>
        <w:t>,</w:t>
      </w:r>
      <w:r w:rsidRPr="00D802FC">
        <w:rPr>
          <w:rFonts w:ascii="Segoe UI" w:hAnsi="Segoe UI" w:cs="Segoe UI"/>
        </w:rPr>
        <w:t xml:space="preserve"> m</w:t>
      </w:r>
      <w:r w:rsidR="004B3FA3" w:rsidRPr="00D802FC">
        <w:rPr>
          <w:rFonts w:ascii="Segoe UI" w:hAnsi="Segoe UI" w:cs="Segoe UI"/>
        </w:rPr>
        <w:t xml:space="preserve">any </w:t>
      </w:r>
      <w:r w:rsidRPr="00D802FC">
        <w:rPr>
          <w:rFonts w:ascii="Segoe UI" w:hAnsi="Segoe UI" w:cs="Segoe UI"/>
        </w:rPr>
        <w:t>thousands of health workers (especially in regions where COVID</w:t>
      </w:r>
      <w:r w:rsidR="005220E0">
        <w:rPr>
          <w:rFonts w:ascii="Segoe UI" w:hAnsi="Segoe UI" w:cs="Segoe UI"/>
        </w:rPr>
        <w:t>-19</w:t>
      </w:r>
      <w:r w:rsidRPr="00D802FC">
        <w:rPr>
          <w:rFonts w:ascii="Segoe UI" w:hAnsi="Segoe UI" w:cs="Segoe UI"/>
        </w:rPr>
        <w:t xml:space="preserve"> has predominated) at the front line </w:t>
      </w:r>
      <w:r w:rsidR="004B3FA3" w:rsidRPr="00D802FC">
        <w:rPr>
          <w:rFonts w:ascii="Segoe UI" w:hAnsi="Segoe UI" w:cs="Segoe UI"/>
        </w:rPr>
        <w:t>in emergency departments, in COVID-19 wards and roles, and in community settings,</w:t>
      </w:r>
      <w:r w:rsidR="003950F8" w:rsidRPr="00D802FC">
        <w:rPr>
          <w:rFonts w:ascii="Segoe UI" w:hAnsi="Segoe UI" w:cs="Segoe UI"/>
        </w:rPr>
        <w:t xml:space="preserve"> </w:t>
      </w:r>
      <w:r w:rsidRPr="00D802FC">
        <w:rPr>
          <w:rFonts w:ascii="Segoe UI" w:hAnsi="Segoe UI" w:cs="Segoe UI"/>
        </w:rPr>
        <w:t xml:space="preserve">who </w:t>
      </w:r>
      <w:r w:rsidR="003950F8" w:rsidRPr="00D802FC">
        <w:rPr>
          <w:rFonts w:ascii="Segoe UI" w:hAnsi="Segoe UI" w:cs="Segoe UI"/>
        </w:rPr>
        <w:t>feel emotionally, physically and mentally exhausted</w:t>
      </w:r>
      <w:r w:rsidR="00924A6A" w:rsidRPr="00D802FC">
        <w:rPr>
          <w:rFonts w:ascii="Segoe UI" w:hAnsi="Segoe UI" w:cs="Segoe UI"/>
        </w:rPr>
        <w:t>. Some health workers</w:t>
      </w:r>
      <w:r w:rsidRPr="00D802FC">
        <w:rPr>
          <w:rFonts w:ascii="Segoe UI" w:hAnsi="Segoe UI" w:cs="Segoe UI"/>
        </w:rPr>
        <w:t xml:space="preserve"> also feel under-valued and</w:t>
      </w:r>
      <w:r w:rsidR="004B3FA3" w:rsidRPr="00D802FC">
        <w:rPr>
          <w:rFonts w:ascii="Segoe UI" w:hAnsi="Segoe UI" w:cs="Segoe UI"/>
        </w:rPr>
        <w:t xml:space="preserve"> are complaini</w:t>
      </w:r>
      <w:r w:rsidR="00924A6A" w:rsidRPr="00D802FC">
        <w:rPr>
          <w:rFonts w:ascii="Segoe UI" w:hAnsi="Segoe UI" w:cs="Segoe UI"/>
        </w:rPr>
        <w:t>ng of a loss of moral authority and personal work satisfaction as they are redeployed in COVID-facing roles which may not see them working at the top of their scope of practice.</w:t>
      </w:r>
      <w:r w:rsidR="00924A6A" w:rsidRPr="00D802FC">
        <w:rPr>
          <w:rStyle w:val="EndnoteReference"/>
          <w:rFonts w:ascii="Segoe UI" w:hAnsi="Segoe UI" w:cs="Segoe UI"/>
        </w:rPr>
        <w:endnoteReference w:id="5"/>
      </w:r>
      <w:r w:rsidR="002C2F9B" w:rsidRPr="00D802FC">
        <w:rPr>
          <w:rFonts w:ascii="Segoe UI" w:hAnsi="Segoe UI" w:cs="Segoe UI"/>
        </w:rPr>
        <w:t xml:space="preserve"> </w:t>
      </w:r>
    </w:p>
    <w:p w14:paraId="47B61EB3" w14:textId="688C5695" w:rsidR="00EA639C" w:rsidRPr="00D802FC" w:rsidRDefault="002C2F9B" w:rsidP="003B2845">
      <w:pPr>
        <w:rPr>
          <w:rFonts w:ascii="Segoe UI" w:hAnsi="Segoe UI" w:cs="Segoe UI"/>
        </w:rPr>
      </w:pPr>
      <w:r w:rsidRPr="00D802FC">
        <w:rPr>
          <w:rFonts w:ascii="Segoe UI" w:hAnsi="Segoe UI" w:cs="Segoe UI"/>
        </w:rPr>
        <w:t>Health care professionals, in aged care, h</w:t>
      </w:r>
      <w:r w:rsidR="0082696E" w:rsidRPr="00D802FC">
        <w:rPr>
          <w:rFonts w:ascii="Segoe UI" w:hAnsi="Segoe UI" w:cs="Segoe UI"/>
        </w:rPr>
        <w:t xml:space="preserve">ospital and community settings </w:t>
      </w:r>
      <w:r w:rsidRPr="00D802FC">
        <w:rPr>
          <w:rFonts w:ascii="Segoe UI" w:hAnsi="Segoe UI" w:cs="Segoe UI"/>
        </w:rPr>
        <w:t xml:space="preserve">have faced the fear and risks </w:t>
      </w:r>
      <w:r w:rsidR="00AD27A2" w:rsidRPr="00D802FC">
        <w:rPr>
          <w:rFonts w:ascii="Segoe UI" w:hAnsi="Segoe UI" w:cs="Segoe UI"/>
        </w:rPr>
        <w:t xml:space="preserve">of infection for themselves, </w:t>
      </w:r>
      <w:r w:rsidRPr="00D802FC">
        <w:rPr>
          <w:rFonts w:ascii="Segoe UI" w:hAnsi="Segoe UI" w:cs="Segoe UI"/>
        </w:rPr>
        <w:t xml:space="preserve">family and </w:t>
      </w:r>
      <w:proofErr w:type="spellStart"/>
      <w:r w:rsidR="00850C05">
        <w:rPr>
          <w:rFonts w:ascii="Segoe UI" w:hAnsi="Segoe UI" w:cs="Segoe UI"/>
        </w:rPr>
        <w:t>whānau</w:t>
      </w:r>
      <w:proofErr w:type="spellEnd"/>
      <w:r w:rsidRPr="00D802FC">
        <w:rPr>
          <w:rFonts w:ascii="Segoe UI" w:hAnsi="Segoe UI" w:cs="Segoe UI"/>
        </w:rPr>
        <w:t>. Several thousand health care assistants, security guards, cleaners, nurses and doctors</w:t>
      </w:r>
      <w:r w:rsidR="00B912FD" w:rsidRPr="00D802FC">
        <w:rPr>
          <w:rFonts w:ascii="Segoe UI" w:hAnsi="Segoe UI" w:cs="Segoe UI"/>
        </w:rPr>
        <w:t>,</w:t>
      </w:r>
      <w:r w:rsidRPr="00D802FC">
        <w:rPr>
          <w:rFonts w:ascii="Segoe UI" w:hAnsi="Segoe UI" w:cs="Segoe UI"/>
        </w:rPr>
        <w:t xml:space="preserve"> have faced </w:t>
      </w:r>
      <w:r w:rsidR="00AD27A2" w:rsidRPr="00D802FC">
        <w:rPr>
          <w:rFonts w:ascii="Segoe UI" w:hAnsi="Segoe UI" w:cs="Segoe UI"/>
        </w:rPr>
        <w:t xml:space="preserve">anxious </w:t>
      </w:r>
      <w:r w:rsidR="00B912FD" w:rsidRPr="00D802FC">
        <w:rPr>
          <w:rFonts w:ascii="Segoe UI" w:hAnsi="Segoe UI" w:cs="Segoe UI"/>
        </w:rPr>
        <w:t>stand-</w:t>
      </w:r>
      <w:r w:rsidRPr="00D802FC">
        <w:rPr>
          <w:rFonts w:ascii="Segoe UI" w:hAnsi="Segoe UI" w:cs="Segoe UI"/>
        </w:rPr>
        <w:t xml:space="preserve">down periods </w:t>
      </w:r>
      <w:r w:rsidR="00B912FD" w:rsidRPr="00D802FC">
        <w:rPr>
          <w:rFonts w:ascii="Segoe UI" w:hAnsi="Segoe UI" w:cs="Segoe UI"/>
        </w:rPr>
        <w:t xml:space="preserve">often in isolation, </w:t>
      </w:r>
      <w:r w:rsidRPr="00D802FC">
        <w:rPr>
          <w:rFonts w:ascii="Segoe UI" w:hAnsi="Segoe UI" w:cs="Segoe UI"/>
        </w:rPr>
        <w:t xml:space="preserve">to ensure </w:t>
      </w:r>
      <w:r w:rsidR="00B912FD" w:rsidRPr="00D802FC">
        <w:rPr>
          <w:rFonts w:ascii="Segoe UI" w:hAnsi="Segoe UI" w:cs="Segoe UI"/>
        </w:rPr>
        <w:t xml:space="preserve">adherence to </w:t>
      </w:r>
      <w:r w:rsidRPr="00D802FC">
        <w:rPr>
          <w:rFonts w:ascii="Segoe UI" w:hAnsi="Segoe UI" w:cs="Segoe UI"/>
        </w:rPr>
        <w:t xml:space="preserve">infection </w:t>
      </w:r>
      <w:r w:rsidRPr="00D802FC">
        <w:rPr>
          <w:rFonts w:ascii="Segoe UI" w:hAnsi="Segoe UI" w:cs="Segoe UI"/>
        </w:rPr>
        <w:t>control protocols</w:t>
      </w:r>
      <w:r w:rsidR="00B912FD" w:rsidRPr="00D802FC">
        <w:rPr>
          <w:rFonts w:ascii="Segoe UI" w:hAnsi="Segoe UI" w:cs="Segoe UI"/>
        </w:rPr>
        <w:t>.</w:t>
      </w:r>
      <w:r w:rsidRPr="00D802FC">
        <w:rPr>
          <w:rFonts w:ascii="Segoe UI" w:hAnsi="Segoe UI" w:cs="Segoe UI"/>
        </w:rPr>
        <w:t xml:space="preserve"> </w:t>
      </w:r>
      <w:r w:rsidR="00D164C4" w:rsidRPr="00D802FC">
        <w:rPr>
          <w:rFonts w:ascii="Segoe UI" w:hAnsi="Segoe UI" w:cs="Segoe UI"/>
        </w:rPr>
        <w:t>Others have caught COVID-19 with</w:t>
      </w:r>
      <w:r w:rsidR="007A3DF8" w:rsidRPr="00D802FC">
        <w:rPr>
          <w:rFonts w:ascii="Segoe UI" w:hAnsi="Segoe UI" w:cs="Segoe UI"/>
        </w:rPr>
        <w:t xml:space="preserve"> direct and indirect consequences. Professional associations have alerted health managers to </w:t>
      </w:r>
      <w:r w:rsidR="00960222" w:rsidRPr="00D802FC">
        <w:rPr>
          <w:rFonts w:ascii="Segoe UI" w:hAnsi="Segoe UI" w:cs="Segoe UI"/>
        </w:rPr>
        <w:t>urgency of</w:t>
      </w:r>
      <w:r w:rsidR="007A3DF8" w:rsidRPr="00D802FC">
        <w:rPr>
          <w:rFonts w:ascii="Segoe UI" w:hAnsi="Segoe UI" w:cs="Segoe UI"/>
        </w:rPr>
        <w:t xml:space="preserve"> aligning traditional health sector values of caring and comp</w:t>
      </w:r>
      <w:r w:rsidR="00DA309E">
        <w:rPr>
          <w:rFonts w:ascii="Segoe UI" w:hAnsi="Segoe UI" w:cs="Segoe UI"/>
        </w:rPr>
        <w:t>assion to staff</w:t>
      </w:r>
      <w:r w:rsidR="007A3DF8" w:rsidRPr="00D802FC">
        <w:rPr>
          <w:rFonts w:ascii="Segoe UI" w:hAnsi="Segoe UI" w:cs="Segoe UI"/>
        </w:rPr>
        <w:t xml:space="preserve"> as well as </w:t>
      </w:r>
      <w:r w:rsidR="00960222" w:rsidRPr="00D802FC">
        <w:rPr>
          <w:rFonts w:ascii="Segoe UI" w:hAnsi="Segoe UI" w:cs="Segoe UI"/>
        </w:rPr>
        <w:t xml:space="preserve">to </w:t>
      </w:r>
      <w:r w:rsidR="007A3DF8" w:rsidRPr="00D802FC">
        <w:rPr>
          <w:rFonts w:ascii="Segoe UI" w:hAnsi="Segoe UI" w:cs="Segoe UI"/>
        </w:rPr>
        <w:t>patient</w:t>
      </w:r>
      <w:r w:rsidR="00960222" w:rsidRPr="00D802FC">
        <w:rPr>
          <w:rFonts w:ascii="Segoe UI" w:hAnsi="Segoe UI" w:cs="Segoe UI"/>
        </w:rPr>
        <w:t xml:space="preserve">s. While the public recognises and appreciates the sacrifices made by many working in health over the past year, revaluing health workers during the rolling waves of COVID-19 requires </w:t>
      </w:r>
      <w:r w:rsidR="00E96A49" w:rsidRPr="00D802FC">
        <w:rPr>
          <w:rFonts w:ascii="Segoe UI" w:hAnsi="Segoe UI" w:cs="Segoe UI"/>
        </w:rPr>
        <w:t xml:space="preserve">continuing top-level </w:t>
      </w:r>
      <w:r w:rsidR="00960222" w:rsidRPr="00D802FC">
        <w:rPr>
          <w:rFonts w:ascii="Segoe UI" w:hAnsi="Segoe UI" w:cs="Segoe UI"/>
        </w:rPr>
        <w:t>political and community leadership and appropriate managerial responses.</w:t>
      </w:r>
    </w:p>
    <w:p w14:paraId="7A02F374" w14:textId="2D59A181" w:rsidR="00B912FD" w:rsidRPr="00D802FC" w:rsidRDefault="002C2F9B" w:rsidP="003B2845">
      <w:pPr>
        <w:rPr>
          <w:rFonts w:ascii="Segoe UI" w:hAnsi="Segoe UI" w:cs="Segoe UI"/>
        </w:rPr>
      </w:pPr>
      <w:r w:rsidRPr="00D802FC">
        <w:rPr>
          <w:rFonts w:ascii="Segoe UI" w:hAnsi="Segoe UI" w:cs="Segoe UI"/>
        </w:rPr>
        <w:t xml:space="preserve">In response </w:t>
      </w:r>
      <w:r w:rsidR="00960222" w:rsidRPr="00D802FC">
        <w:rPr>
          <w:rFonts w:ascii="Segoe UI" w:hAnsi="Segoe UI" w:cs="Segoe UI"/>
        </w:rPr>
        <w:t>to COVID-19</w:t>
      </w:r>
      <w:r w:rsidR="00E96A49" w:rsidRPr="00D802FC">
        <w:rPr>
          <w:rFonts w:ascii="Segoe UI" w:hAnsi="Segoe UI" w:cs="Segoe UI"/>
        </w:rPr>
        <w:t>,</w:t>
      </w:r>
      <w:r w:rsidR="00960222" w:rsidRPr="00D802FC">
        <w:rPr>
          <w:rFonts w:ascii="Segoe UI" w:hAnsi="Segoe UI" w:cs="Segoe UI"/>
        </w:rPr>
        <w:t xml:space="preserve"> </w:t>
      </w:r>
      <w:r w:rsidR="00924A6A" w:rsidRPr="00D802FC">
        <w:rPr>
          <w:rFonts w:ascii="Segoe UI" w:hAnsi="Segoe UI" w:cs="Segoe UI"/>
        </w:rPr>
        <w:t xml:space="preserve">DHBs </w:t>
      </w:r>
      <w:r w:rsidR="007A3DF8" w:rsidRPr="00D802FC">
        <w:rPr>
          <w:rFonts w:ascii="Segoe UI" w:hAnsi="Segoe UI" w:cs="Segoe UI"/>
        </w:rPr>
        <w:t xml:space="preserve">and other agencies </w:t>
      </w:r>
      <w:r w:rsidR="00924A6A" w:rsidRPr="00D802FC">
        <w:rPr>
          <w:rFonts w:ascii="Segoe UI" w:hAnsi="Segoe UI" w:cs="Segoe UI"/>
        </w:rPr>
        <w:t xml:space="preserve">introduced a raft of </w:t>
      </w:r>
      <w:r w:rsidR="00407863" w:rsidRPr="00D802FC">
        <w:rPr>
          <w:rFonts w:ascii="Segoe UI" w:hAnsi="Segoe UI" w:cs="Segoe UI"/>
        </w:rPr>
        <w:t xml:space="preserve">occupational health and safety policies and procedures, </w:t>
      </w:r>
      <w:r w:rsidR="00924A6A" w:rsidRPr="00D802FC">
        <w:rPr>
          <w:rFonts w:ascii="Segoe UI" w:hAnsi="Segoe UI" w:cs="Segoe UI"/>
        </w:rPr>
        <w:t>staff wellbeing initiatives such as increased access to Employer Assis</w:t>
      </w:r>
      <w:r w:rsidR="0082696E" w:rsidRPr="00D802FC">
        <w:rPr>
          <w:rFonts w:ascii="Segoe UI" w:hAnsi="Segoe UI" w:cs="Segoe UI"/>
        </w:rPr>
        <w:t>tance Programmes and resilience</w:t>
      </w:r>
      <w:r w:rsidR="00173BCF" w:rsidRPr="00D802FC">
        <w:rPr>
          <w:rFonts w:ascii="Segoe UI" w:hAnsi="Segoe UI" w:cs="Segoe UI"/>
        </w:rPr>
        <w:t xml:space="preserve"> and wellbeing </w:t>
      </w:r>
      <w:r w:rsidR="00924A6A" w:rsidRPr="00D802FC">
        <w:rPr>
          <w:rFonts w:ascii="Segoe UI" w:hAnsi="Segoe UI" w:cs="Segoe UI"/>
        </w:rPr>
        <w:t>workshops</w:t>
      </w:r>
      <w:r w:rsidRPr="00D802FC">
        <w:rPr>
          <w:rFonts w:ascii="Segoe UI" w:hAnsi="Segoe UI" w:cs="Segoe UI"/>
        </w:rPr>
        <w:t xml:space="preserve">, plus </w:t>
      </w:r>
      <w:r w:rsidR="00960222" w:rsidRPr="00D802FC">
        <w:rPr>
          <w:rFonts w:ascii="Segoe UI" w:hAnsi="Segoe UI" w:cs="Segoe UI"/>
        </w:rPr>
        <w:t xml:space="preserve">daily checks, extra forms of leave and </w:t>
      </w:r>
      <w:r w:rsidRPr="00D802FC">
        <w:rPr>
          <w:rFonts w:ascii="Segoe UI" w:hAnsi="Segoe UI" w:cs="Segoe UI"/>
        </w:rPr>
        <w:t>welfare assistance</w:t>
      </w:r>
      <w:r w:rsidR="00173BCF" w:rsidRPr="00D802FC">
        <w:rPr>
          <w:rFonts w:ascii="Segoe UI" w:hAnsi="Segoe UI" w:cs="Segoe UI"/>
        </w:rPr>
        <w:t xml:space="preserve"> for those directly affected</w:t>
      </w:r>
      <w:r w:rsidR="00960222" w:rsidRPr="00D802FC">
        <w:rPr>
          <w:rFonts w:ascii="Segoe UI" w:hAnsi="Segoe UI" w:cs="Segoe UI"/>
        </w:rPr>
        <w:t xml:space="preserve">. </w:t>
      </w:r>
      <w:r w:rsidR="00407863" w:rsidRPr="00D802FC">
        <w:rPr>
          <w:rFonts w:ascii="Segoe UI" w:hAnsi="Segoe UI" w:cs="Segoe UI"/>
        </w:rPr>
        <w:t>Additionally</w:t>
      </w:r>
      <w:r w:rsidR="00E96A49" w:rsidRPr="00D802FC">
        <w:rPr>
          <w:rFonts w:ascii="Segoe UI" w:hAnsi="Segoe UI" w:cs="Segoe UI"/>
        </w:rPr>
        <w:t>,</w:t>
      </w:r>
      <w:r w:rsidR="00407863" w:rsidRPr="00D802FC">
        <w:rPr>
          <w:rFonts w:ascii="Segoe UI" w:hAnsi="Segoe UI" w:cs="Segoe UI"/>
        </w:rPr>
        <w:t xml:space="preserve"> a raft of psychosocial impact statements were added to risk assessments. At much the same time,</w:t>
      </w:r>
      <w:r w:rsidRPr="00D802FC">
        <w:rPr>
          <w:rFonts w:ascii="Segoe UI" w:hAnsi="Segoe UI" w:cs="Segoe UI"/>
        </w:rPr>
        <w:t xml:space="preserve"> </w:t>
      </w:r>
      <w:r w:rsidR="00407863" w:rsidRPr="00D802FC">
        <w:rPr>
          <w:rFonts w:ascii="Segoe UI" w:hAnsi="Segoe UI" w:cs="Segoe UI"/>
        </w:rPr>
        <w:t>s</w:t>
      </w:r>
      <w:r w:rsidR="00960222" w:rsidRPr="00D802FC">
        <w:rPr>
          <w:rFonts w:ascii="Segoe UI" w:hAnsi="Segoe UI" w:cs="Segoe UI"/>
        </w:rPr>
        <w:t>taff were urged to aba</w:t>
      </w:r>
      <w:r w:rsidR="00E96A49" w:rsidRPr="00D802FC">
        <w:rPr>
          <w:rFonts w:ascii="Segoe UI" w:hAnsi="Segoe UI" w:cs="Segoe UI"/>
        </w:rPr>
        <w:t>ndon their previous patterns of</w:t>
      </w:r>
      <w:r w:rsidR="00960222" w:rsidRPr="00D802FC">
        <w:rPr>
          <w:rFonts w:ascii="Segoe UI" w:hAnsi="Segoe UI" w:cs="Segoe UI"/>
        </w:rPr>
        <w:t xml:space="preserve"> presenteeism if they were sick. </w:t>
      </w:r>
      <w:r w:rsidRPr="00D802FC">
        <w:rPr>
          <w:rFonts w:ascii="Segoe UI" w:hAnsi="Segoe UI" w:cs="Segoe UI"/>
        </w:rPr>
        <w:t>Thes</w:t>
      </w:r>
      <w:r w:rsidR="0082696E" w:rsidRPr="00D802FC">
        <w:rPr>
          <w:rFonts w:ascii="Segoe UI" w:hAnsi="Segoe UI" w:cs="Segoe UI"/>
        </w:rPr>
        <w:t xml:space="preserve">e </w:t>
      </w:r>
      <w:r w:rsidR="00095AE2" w:rsidRPr="00D802FC">
        <w:rPr>
          <w:rFonts w:ascii="Segoe UI" w:hAnsi="Segoe UI" w:cs="Segoe UI"/>
        </w:rPr>
        <w:t>welcome</w:t>
      </w:r>
      <w:r w:rsidR="007A3DF8" w:rsidRPr="00D802FC">
        <w:rPr>
          <w:rFonts w:ascii="Segoe UI" w:hAnsi="Segoe UI" w:cs="Segoe UI"/>
        </w:rPr>
        <w:t xml:space="preserve"> </w:t>
      </w:r>
      <w:r w:rsidR="00960222" w:rsidRPr="00D802FC">
        <w:rPr>
          <w:rFonts w:ascii="Segoe UI" w:hAnsi="Segoe UI" w:cs="Segoe UI"/>
        </w:rPr>
        <w:t xml:space="preserve">initiatives </w:t>
      </w:r>
      <w:r w:rsidR="007A3DF8" w:rsidRPr="00D802FC">
        <w:rPr>
          <w:rFonts w:ascii="Segoe UI" w:hAnsi="Segoe UI" w:cs="Segoe UI"/>
        </w:rPr>
        <w:t>have largely been bespoke responses to the pand</w:t>
      </w:r>
      <w:r w:rsidR="006A282F" w:rsidRPr="00D802FC">
        <w:rPr>
          <w:rFonts w:ascii="Segoe UI" w:hAnsi="Segoe UI" w:cs="Segoe UI"/>
        </w:rPr>
        <w:t>emic, however.</w:t>
      </w:r>
    </w:p>
    <w:p w14:paraId="329E8B44" w14:textId="1ADDD3DF" w:rsidR="006A282F" w:rsidRPr="00D802FC" w:rsidRDefault="00173BCF" w:rsidP="003B2845">
      <w:pPr>
        <w:rPr>
          <w:rFonts w:ascii="Segoe UI" w:hAnsi="Segoe UI" w:cs="Segoe UI"/>
        </w:rPr>
      </w:pPr>
      <w:r w:rsidRPr="00D802FC">
        <w:rPr>
          <w:rFonts w:ascii="Segoe UI" w:hAnsi="Segoe UI" w:cs="Segoe UI"/>
        </w:rPr>
        <w:t>New Zealand owes its dedicated and professional health care workfor</w:t>
      </w:r>
      <w:r w:rsidR="0082696E" w:rsidRPr="00D802FC">
        <w:rPr>
          <w:rFonts w:ascii="Segoe UI" w:hAnsi="Segoe UI" w:cs="Segoe UI"/>
        </w:rPr>
        <w:t>ce a debt of gratitude</w:t>
      </w:r>
      <w:r w:rsidR="007A3DF8" w:rsidRPr="00D802FC">
        <w:rPr>
          <w:rFonts w:ascii="Segoe UI" w:hAnsi="Segoe UI" w:cs="Segoe UI"/>
        </w:rPr>
        <w:t>.</w:t>
      </w:r>
      <w:r w:rsidR="0082696E" w:rsidRPr="00D802FC">
        <w:rPr>
          <w:rFonts w:ascii="Segoe UI" w:hAnsi="Segoe UI" w:cs="Segoe UI"/>
        </w:rPr>
        <w:t xml:space="preserve"> </w:t>
      </w:r>
      <w:r w:rsidR="007A3DF8" w:rsidRPr="00D802FC">
        <w:rPr>
          <w:rFonts w:ascii="Segoe UI" w:hAnsi="Segoe UI" w:cs="Segoe UI"/>
        </w:rPr>
        <w:t xml:space="preserve">Health staff wellbeing in response to COVID-19 is </w:t>
      </w:r>
      <w:r w:rsidR="00095AE2" w:rsidRPr="00D802FC">
        <w:rPr>
          <w:rFonts w:ascii="Segoe UI" w:hAnsi="Segoe UI" w:cs="Segoe UI"/>
        </w:rPr>
        <w:t xml:space="preserve">clearly </w:t>
      </w:r>
      <w:r w:rsidR="007A3DF8" w:rsidRPr="00D802FC">
        <w:rPr>
          <w:rFonts w:ascii="Segoe UI" w:hAnsi="Segoe UI" w:cs="Segoe UI"/>
        </w:rPr>
        <w:t xml:space="preserve">an evolving field </w:t>
      </w:r>
      <w:r w:rsidR="00E96A49" w:rsidRPr="00D802FC">
        <w:rPr>
          <w:rFonts w:ascii="Segoe UI" w:hAnsi="Segoe UI" w:cs="Segoe UI"/>
        </w:rPr>
        <w:t xml:space="preserve">of research and practice, </w:t>
      </w:r>
      <w:r w:rsidR="007A3DF8" w:rsidRPr="00D802FC">
        <w:rPr>
          <w:rFonts w:ascii="Segoe UI" w:hAnsi="Segoe UI" w:cs="Segoe UI"/>
        </w:rPr>
        <w:t xml:space="preserve">but requires priority attention if New Zealand is to retain staff, value them and </w:t>
      </w:r>
      <w:r w:rsidR="00095AE2" w:rsidRPr="00D802FC">
        <w:rPr>
          <w:rFonts w:ascii="Segoe UI" w:hAnsi="Segoe UI" w:cs="Segoe UI"/>
        </w:rPr>
        <w:t>ensure workforce sustainability</w:t>
      </w:r>
      <w:r w:rsidR="0082696E" w:rsidRPr="00D802FC">
        <w:rPr>
          <w:rFonts w:ascii="Segoe UI" w:hAnsi="Segoe UI" w:cs="Segoe UI"/>
        </w:rPr>
        <w:t xml:space="preserve"> w</w:t>
      </w:r>
      <w:r w:rsidR="00095AE2" w:rsidRPr="00D802FC">
        <w:rPr>
          <w:rFonts w:ascii="Segoe UI" w:hAnsi="Segoe UI" w:cs="Segoe UI"/>
        </w:rPr>
        <w:t>hile</w:t>
      </w:r>
      <w:r w:rsidR="0082696E" w:rsidRPr="00D802FC">
        <w:rPr>
          <w:rFonts w:ascii="Segoe UI" w:hAnsi="Segoe UI" w:cs="Segoe UI"/>
        </w:rPr>
        <w:t xml:space="preserve"> </w:t>
      </w:r>
      <w:r w:rsidR="006A282F" w:rsidRPr="00D802FC">
        <w:rPr>
          <w:rFonts w:ascii="Segoe UI" w:hAnsi="Segoe UI" w:cs="Segoe UI"/>
        </w:rPr>
        <w:t xml:space="preserve">there is limited recruitment of </w:t>
      </w:r>
      <w:r w:rsidR="0082696E" w:rsidRPr="00D802FC">
        <w:rPr>
          <w:rFonts w:ascii="Segoe UI" w:hAnsi="Segoe UI" w:cs="Segoe UI"/>
        </w:rPr>
        <w:t>overseas h</w:t>
      </w:r>
      <w:r w:rsidR="00095AE2" w:rsidRPr="00D802FC">
        <w:rPr>
          <w:rFonts w:ascii="Segoe UI" w:hAnsi="Segoe UI" w:cs="Segoe UI"/>
        </w:rPr>
        <w:t>ealth care professionals</w:t>
      </w:r>
      <w:r w:rsidR="006A282F" w:rsidRPr="00D802FC">
        <w:rPr>
          <w:rFonts w:ascii="Segoe UI" w:hAnsi="Segoe UI" w:cs="Segoe UI"/>
        </w:rPr>
        <w:t>.</w:t>
      </w:r>
    </w:p>
    <w:p w14:paraId="14FFD1AB" w14:textId="77777777" w:rsidR="00765D1C" w:rsidRDefault="00765D1C" w:rsidP="003B2845">
      <w:pPr>
        <w:rPr>
          <w:rFonts w:ascii="Segoe UI" w:hAnsi="Segoe UI" w:cs="Segoe UI"/>
        </w:rPr>
      </w:pPr>
    </w:p>
    <w:p w14:paraId="30C4A261" w14:textId="7A7C7E22" w:rsidR="00924A6A" w:rsidRPr="00D802FC" w:rsidRDefault="006A282F" w:rsidP="003B2845">
      <w:pPr>
        <w:rPr>
          <w:rFonts w:ascii="Segoe UI" w:hAnsi="Segoe UI" w:cs="Segoe UI"/>
        </w:rPr>
      </w:pPr>
      <w:r w:rsidRPr="00D802FC">
        <w:rPr>
          <w:rFonts w:ascii="Segoe UI" w:hAnsi="Segoe UI" w:cs="Segoe UI"/>
        </w:rPr>
        <w:lastRenderedPageBreak/>
        <w:t>Best practice in overseas jurisdictions includes</w:t>
      </w:r>
      <w:r w:rsidR="00960222" w:rsidRPr="00D802FC">
        <w:rPr>
          <w:rFonts w:ascii="Segoe UI" w:hAnsi="Segoe UI" w:cs="Segoe UI"/>
        </w:rPr>
        <w:t xml:space="preserve"> </w:t>
      </w:r>
      <w:r w:rsidR="00095AE2" w:rsidRPr="00D802FC">
        <w:rPr>
          <w:rFonts w:ascii="Segoe UI" w:hAnsi="Segoe UI" w:cs="Segoe UI"/>
        </w:rPr>
        <w:t xml:space="preserve">health workforce </w:t>
      </w:r>
      <w:r w:rsidR="007A3DF8" w:rsidRPr="00D802FC">
        <w:rPr>
          <w:rFonts w:ascii="Segoe UI" w:hAnsi="Segoe UI" w:cs="Segoe UI"/>
        </w:rPr>
        <w:t>national d</w:t>
      </w:r>
      <w:r w:rsidR="00960222" w:rsidRPr="00D802FC">
        <w:rPr>
          <w:rFonts w:ascii="Segoe UI" w:hAnsi="Segoe UI" w:cs="Segoe UI"/>
        </w:rPr>
        <w:t>ata gathering relating to COVID-</w:t>
      </w:r>
      <w:r w:rsidR="007A3DF8" w:rsidRPr="00D802FC">
        <w:rPr>
          <w:rFonts w:ascii="Segoe UI" w:hAnsi="Segoe UI" w:cs="Segoe UI"/>
        </w:rPr>
        <w:t>19 which could be usefully replicated</w:t>
      </w:r>
      <w:r w:rsidRPr="00D802FC">
        <w:rPr>
          <w:rFonts w:ascii="Segoe UI" w:hAnsi="Segoe UI" w:cs="Segoe UI"/>
        </w:rPr>
        <w:t>.</w:t>
      </w:r>
      <w:r w:rsidR="007A3DF8" w:rsidRPr="00D802FC">
        <w:rPr>
          <w:rFonts w:ascii="Segoe UI" w:hAnsi="Segoe UI" w:cs="Segoe UI"/>
        </w:rPr>
        <w:t xml:space="preserve"> </w:t>
      </w:r>
      <w:r w:rsidR="0082696E" w:rsidRPr="00D802FC">
        <w:rPr>
          <w:rFonts w:ascii="Segoe UI" w:hAnsi="Segoe UI" w:cs="Segoe UI"/>
        </w:rPr>
        <w:t xml:space="preserve">While DHBs routinely collect </w:t>
      </w:r>
      <w:r w:rsidR="00D536F8" w:rsidRPr="00D802FC">
        <w:rPr>
          <w:rFonts w:ascii="Segoe UI" w:hAnsi="Segoe UI" w:cs="Segoe UI"/>
        </w:rPr>
        <w:t xml:space="preserve">basic </w:t>
      </w:r>
      <w:r w:rsidR="00B912FD" w:rsidRPr="00D802FC">
        <w:rPr>
          <w:rFonts w:ascii="Segoe UI" w:hAnsi="Segoe UI" w:cs="Segoe UI"/>
        </w:rPr>
        <w:t xml:space="preserve">exit and sick leave </w:t>
      </w:r>
      <w:r w:rsidR="0082696E" w:rsidRPr="00D802FC">
        <w:rPr>
          <w:rFonts w:ascii="Segoe UI" w:hAnsi="Segoe UI" w:cs="Segoe UI"/>
        </w:rPr>
        <w:t>data, this could be supplemented by rapid, standardised, unified whole of system reporting of absences and types of absences related to COVID-19</w:t>
      </w:r>
      <w:r w:rsidR="00D536F8" w:rsidRPr="00D802FC">
        <w:rPr>
          <w:rFonts w:ascii="Segoe UI" w:hAnsi="Segoe UI" w:cs="Segoe UI"/>
        </w:rPr>
        <w:t>,</w:t>
      </w:r>
      <w:r w:rsidR="0082696E" w:rsidRPr="00D802FC">
        <w:rPr>
          <w:rFonts w:ascii="Segoe UI" w:hAnsi="Segoe UI" w:cs="Segoe UI"/>
        </w:rPr>
        <w:t xml:space="preserve"> such </w:t>
      </w:r>
      <w:r w:rsidR="00D536F8" w:rsidRPr="00D802FC">
        <w:rPr>
          <w:rFonts w:ascii="Segoe UI" w:hAnsi="Segoe UI" w:cs="Segoe UI"/>
        </w:rPr>
        <w:t xml:space="preserve">as undertaken by </w:t>
      </w:r>
      <w:r w:rsidR="0082696E" w:rsidRPr="00D802FC">
        <w:rPr>
          <w:rFonts w:ascii="Segoe UI" w:hAnsi="Segoe UI" w:cs="Segoe UI"/>
        </w:rPr>
        <w:t>the NHS in Scotland</w:t>
      </w:r>
      <w:r w:rsidR="00666E6F" w:rsidRPr="00D802FC">
        <w:rPr>
          <w:rFonts w:ascii="Segoe UI" w:hAnsi="Segoe UI" w:cs="Segoe UI"/>
        </w:rPr>
        <w:t xml:space="preserve"> to prov</w:t>
      </w:r>
      <w:r w:rsidR="00095AE2" w:rsidRPr="00D802FC">
        <w:rPr>
          <w:rFonts w:ascii="Segoe UI" w:hAnsi="Segoe UI" w:cs="Segoe UI"/>
        </w:rPr>
        <w:t>ide</w:t>
      </w:r>
      <w:r w:rsidR="00666E6F" w:rsidRPr="00D802FC">
        <w:rPr>
          <w:rFonts w:ascii="Segoe UI" w:hAnsi="Segoe UI" w:cs="Segoe UI"/>
        </w:rPr>
        <w:t xml:space="preserve"> the evidential basis for a whole of system response to health staff wellbeing.</w:t>
      </w:r>
      <w:r w:rsidR="00B912FD" w:rsidRPr="00D802FC">
        <w:rPr>
          <w:rStyle w:val="EndnoteReference"/>
          <w:rFonts w:ascii="Segoe UI" w:hAnsi="Segoe UI" w:cs="Segoe UI"/>
        </w:rPr>
        <w:endnoteReference w:id="6"/>
      </w:r>
      <w:r w:rsidR="007A3DF8" w:rsidRPr="00D802FC">
        <w:rPr>
          <w:rFonts w:ascii="Segoe UI" w:hAnsi="Segoe UI" w:cs="Segoe UI"/>
        </w:rPr>
        <w:t xml:space="preserve"> </w:t>
      </w:r>
      <w:r w:rsidR="00ED2D2F" w:rsidRPr="00D802FC">
        <w:rPr>
          <w:rFonts w:ascii="Segoe UI" w:hAnsi="Segoe UI" w:cs="Segoe UI"/>
        </w:rPr>
        <w:t>Eight types of COVID-19 relate</w:t>
      </w:r>
      <w:r w:rsidRPr="00D802FC">
        <w:rPr>
          <w:rFonts w:ascii="Segoe UI" w:hAnsi="Segoe UI" w:cs="Segoe UI"/>
        </w:rPr>
        <w:t xml:space="preserve">d absence, all of which </w:t>
      </w:r>
      <w:r w:rsidR="00ED2D2F" w:rsidRPr="00D802FC">
        <w:rPr>
          <w:rFonts w:ascii="Segoe UI" w:hAnsi="Segoe UI" w:cs="Segoe UI"/>
        </w:rPr>
        <w:t>apply here, are reported and monitored, providing the ability to rapidly assess the changing rates of absenteeism among the workforce and helping management respond appropriately to supporting staff.</w:t>
      </w:r>
      <w:r w:rsidR="00057C78" w:rsidRPr="00D802FC">
        <w:rPr>
          <w:rStyle w:val="EndnoteReference"/>
          <w:rFonts w:ascii="Segoe UI" w:hAnsi="Segoe UI" w:cs="Segoe UI"/>
        </w:rPr>
        <w:endnoteReference w:id="7"/>
      </w:r>
      <w:r w:rsidR="00ED2D2F" w:rsidRPr="00D802FC">
        <w:rPr>
          <w:rFonts w:ascii="Segoe UI" w:hAnsi="Segoe UI" w:cs="Segoe UI"/>
        </w:rPr>
        <w:t xml:space="preserve"> </w:t>
      </w:r>
      <w:r w:rsidR="00E96A49" w:rsidRPr="00D802FC">
        <w:rPr>
          <w:rFonts w:ascii="Segoe UI" w:hAnsi="Segoe UI" w:cs="Segoe UI"/>
        </w:rPr>
        <w:t>Research into the effects of long COVID-19 should be funded appropriately and include a primary focus on health staff who have cont</w:t>
      </w:r>
      <w:r w:rsidR="002600D0">
        <w:rPr>
          <w:rFonts w:ascii="Segoe UI" w:hAnsi="Segoe UI" w:cs="Segoe UI"/>
        </w:rPr>
        <w:t>r</w:t>
      </w:r>
      <w:r w:rsidR="00E96A49" w:rsidRPr="00D802FC">
        <w:rPr>
          <w:rFonts w:ascii="Segoe UI" w:hAnsi="Segoe UI" w:cs="Segoe UI"/>
        </w:rPr>
        <w:t>acted one or other of the variants.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149"/>
      </w:tblGrid>
      <w:tr w:rsidR="00EF2984" w:rsidRPr="00EF2984" w14:paraId="533A6F59" w14:textId="77777777" w:rsidTr="00EF2984">
        <w:tc>
          <w:tcPr>
            <w:tcW w:w="4149" w:type="dxa"/>
          </w:tcPr>
          <w:p w14:paraId="53B7F4E2" w14:textId="7F848DA2" w:rsidR="00EF2984" w:rsidRPr="00EF2984" w:rsidRDefault="00EF2984" w:rsidP="00EF2984">
            <w:pPr>
              <w:spacing w:before="120" w:after="120"/>
              <w:rPr>
                <w:rFonts w:ascii="Segoe UI" w:hAnsi="Segoe UI" w:cs="Segoe UI"/>
                <w:b/>
                <w:i/>
                <w:iCs/>
              </w:rPr>
            </w:pPr>
            <w:r w:rsidRPr="00EF2984">
              <w:rPr>
                <w:rFonts w:ascii="Segoe UI" w:hAnsi="Segoe UI" w:cs="Segoe UI"/>
                <w:b/>
                <w:i/>
              </w:rPr>
              <w:t>HWAB recommends to the Minister that urgent consideration be given to national human resource metrics and data collection re</w:t>
            </w:r>
            <w:r w:rsidR="00912BCE">
              <w:rPr>
                <w:rFonts w:ascii="Segoe UI" w:hAnsi="Segoe UI" w:cs="Segoe UI"/>
                <w:b/>
                <w:i/>
              </w:rPr>
              <w:t>garding</w:t>
            </w:r>
            <w:r w:rsidRPr="00EF2984">
              <w:rPr>
                <w:rFonts w:ascii="Segoe UI" w:hAnsi="Segoe UI" w:cs="Segoe UI"/>
                <w:b/>
                <w:i/>
              </w:rPr>
              <w:t xml:space="preserve"> the effect of COVID</w:t>
            </w:r>
            <w:r>
              <w:rPr>
                <w:rFonts w:ascii="Segoe UI" w:hAnsi="Segoe UI" w:cs="Segoe UI"/>
                <w:b/>
                <w:i/>
              </w:rPr>
              <w:t>-19</w:t>
            </w:r>
            <w:r w:rsidRPr="00EF2984">
              <w:rPr>
                <w:rFonts w:ascii="Segoe UI" w:hAnsi="Segoe UI" w:cs="Segoe UI"/>
                <w:b/>
                <w:i/>
              </w:rPr>
              <w:t xml:space="preserve"> on the health workforce to inform wellbeing initiatives and aid staff retention.</w:t>
            </w:r>
          </w:p>
        </w:tc>
      </w:tr>
    </w:tbl>
    <w:p w14:paraId="7D90E781" w14:textId="77777777" w:rsidR="00EF2984" w:rsidRDefault="00EF2984" w:rsidP="003B2845">
      <w:pPr>
        <w:rPr>
          <w:rFonts w:ascii="Segoe UI" w:hAnsi="Segoe UI" w:cs="Segoe UI"/>
          <w:b/>
          <w:i/>
          <w:iCs/>
        </w:rPr>
      </w:pPr>
    </w:p>
    <w:p w14:paraId="0296258E" w14:textId="30FD396D" w:rsidR="0002016E" w:rsidRPr="00FB6151" w:rsidRDefault="00EA639C" w:rsidP="00FD55F7">
      <w:pPr>
        <w:pStyle w:val="Heading3"/>
      </w:pPr>
      <w:r w:rsidRPr="00FB6151">
        <w:t>R</w:t>
      </w:r>
      <w:r w:rsidR="001116F9" w:rsidRPr="00FB6151">
        <w:t>ecovery of planned and elective care</w:t>
      </w:r>
    </w:p>
    <w:p w14:paraId="5CA40551" w14:textId="57D1E4DA" w:rsidR="004A2564" w:rsidRDefault="006D7FAF" w:rsidP="003B2845">
      <w:pPr>
        <w:rPr>
          <w:rFonts w:ascii="Segoe UI" w:hAnsi="Segoe UI" w:cs="Segoe UI"/>
        </w:rPr>
      </w:pPr>
      <w:r w:rsidRPr="00D802FC">
        <w:rPr>
          <w:rFonts w:ascii="Segoe UI" w:hAnsi="Segoe UI" w:cs="Segoe UI"/>
        </w:rPr>
        <w:t>A priority for hos</w:t>
      </w:r>
      <w:r w:rsidR="005E1BBD" w:rsidRPr="00D802FC">
        <w:rPr>
          <w:rFonts w:ascii="Segoe UI" w:hAnsi="Segoe UI" w:cs="Segoe UI"/>
        </w:rPr>
        <w:t>pi</w:t>
      </w:r>
      <w:r w:rsidRPr="00D802FC">
        <w:rPr>
          <w:rFonts w:ascii="Segoe UI" w:hAnsi="Segoe UI" w:cs="Segoe UI"/>
        </w:rPr>
        <w:t>tal services is the</w:t>
      </w:r>
      <w:r w:rsidR="007278F5" w:rsidRPr="00D802FC">
        <w:rPr>
          <w:rFonts w:ascii="Segoe UI" w:hAnsi="Segoe UI" w:cs="Segoe UI"/>
        </w:rPr>
        <w:t xml:space="preserve"> accelerat</w:t>
      </w:r>
      <w:r w:rsidRPr="00D802FC">
        <w:rPr>
          <w:rFonts w:ascii="Segoe UI" w:hAnsi="Segoe UI" w:cs="Segoe UI"/>
        </w:rPr>
        <w:t>ion in</w:t>
      </w:r>
      <w:r w:rsidR="007278F5" w:rsidRPr="00D802FC">
        <w:rPr>
          <w:rFonts w:ascii="Segoe UI" w:hAnsi="Segoe UI" w:cs="Segoe UI"/>
        </w:rPr>
        <w:t xml:space="preserve"> the recovery of elective care following cancellations and increased waiting times of patients during the COVID-19 response</w:t>
      </w:r>
      <w:r w:rsidR="005E1BBD" w:rsidRPr="00D802FC">
        <w:rPr>
          <w:rFonts w:ascii="Segoe UI" w:hAnsi="Segoe UI" w:cs="Segoe UI"/>
        </w:rPr>
        <w:t>. This</w:t>
      </w:r>
      <w:r w:rsidR="007278F5" w:rsidRPr="00D802FC">
        <w:rPr>
          <w:rFonts w:ascii="Segoe UI" w:hAnsi="Segoe UI" w:cs="Segoe UI"/>
        </w:rPr>
        <w:t xml:space="preserve"> will be a major challenge for Health New Zealand as it begins operations on </w:t>
      </w:r>
      <w:r w:rsidR="001771F0">
        <w:rPr>
          <w:rFonts w:ascii="Segoe UI" w:hAnsi="Segoe UI" w:cs="Segoe UI"/>
        </w:rPr>
        <w:t xml:space="preserve">1 </w:t>
      </w:r>
      <w:r w:rsidR="007278F5" w:rsidRPr="00D802FC">
        <w:rPr>
          <w:rFonts w:ascii="Segoe UI" w:hAnsi="Segoe UI" w:cs="Segoe UI"/>
        </w:rPr>
        <w:t xml:space="preserve">July 2022.  International research notes, though, that demanding performance targets and additional funding alone are not </w:t>
      </w:r>
      <w:r w:rsidR="007278F5" w:rsidRPr="00D802FC">
        <w:rPr>
          <w:rFonts w:ascii="Segoe UI" w:hAnsi="Segoe UI" w:cs="Segoe UI"/>
        </w:rPr>
        <w:t xml:space="preserve">“solutions” unless urgent health workforce issues are attended to in the short, medium and longer terms. </w:t>
      </w:r>
    </w:p>
    <w:p w14:paraId="552B628B" w14:textId="45525374" w:rsidR="005E1BBD" w:rsidRPr="00D802FC" w:rsidRDefault="007278F5" w:rsidP="003B2845">
      <w:pPr>
        <w:rPr>
          <w:rFonts w:ascii="Segoe UI" w:hAnsi="Segoe UI" w:cs="Segoe UI"/>
        </w:rPr>
      </w:pPr>
      <w:r w:rsidRPr="00D802FC">
        <w:rPr>
          <w:rFonts w:ascii="Segoe UI" w:hAnsi="Segoe UI" w:cs="Segoe UI"/>
        </w:rPr>
        <w:t>The health workforce has been stretched beyond tolerable limits in the past 18 months and it operates in a crucial sector with a worldwide shortage of skills.</w:t>
      </w:r>
      <w:r w:rsidR="00A52226" w:rsidRPr="00D802FC">
        <w:rPr>
          <w:rFonts w:ascii="Segoe UI" w:hAnsi="Segoe UI" w:cs="Segoe UI"/>
        </w:rPr>
        <w:t xml:space="preserve"> Fo</w:t>
      </w:r>
      <w:r w:rsidR="00E96A49" w:rsidRPr="00D802FC">
        <w:rPr>
          <w:rFonts w:ascii="Segoe UI" w:hAnsi="Segoe UI" w:cs="Segoe UI"/>
        </w:rPr>
        <w:t>r example, New Zealand has over</w:t>
      </w:r>
      <w:r w:rsidR="00A52226" w:rsidRPr="00D802FC">
        <w:rPr>
          <w:rFonts w:ascii="Segoe UI" w:hAnsi="Segoe UI" w:cs="Segoe UI"/>
        </w:rPr>
        <w:t xml:space="preserve"> a 30 per cent reliance on overseas </w:t>
      </w:r>
      <w:r w:rsidR="002F2E04">
        <w:rPr>
          <w:rFonts w:ascii="Segoe UI" w:hAnsi="Segoe UI" w:cs="Segoe UI"/>
        </w:rPr>
        <w:t>r</w:t>
      </w:r>
      <w:r w:rsidR="00A52226" w:rsidRPr="00D802FC">
        <w:rPr>
          <w:rFonts w:ascii="Segoe UI" w:hAnsi="Segoe UI" w:cs="Segoe UI"/>
        </w:rPr>
        <w:t xml:space="preserve">egistered </w:t>
      </w:r>
      <w:r w:rsidR="002F2E04">
        <w:rPr>
          <w:rFonts w:ascii="Segoe UI" w:hAnsi="Segoe UI" w:cs="Segoe UI"/>
        </w:rPr>
        <w:t>n</w:t>
      </w:r>
      <w:r w:rsidR="00A52226" w:rsidRPr="00D802FC">
        <w:rPr>
          <w:rFonts w:ascii="Segoe UI" w:hAnsi="Segoe UI" w:cs="Segoe UI"/>
        </w:rPr>
        <w:t>urses.</w:t>
      </w:r>
      <w:r w:rsidRPr="00D802FC">
        <w:rPr>
          <w:rFonts w:ascii="Segoe UI" w:hAnsi="Segoe UI" w:cs="Segoe UI"/>
        </w:rPr>
        <w:t xml:space="preserve"> </w:t>
      </w:r>
    </w:p>
    <w:p w14:paraId="4F048E19" w14:textId="77777777" w:rsidR="004A2564" w:rsidRDefault="005E1BBD" w:rsidP="003B2845">
      <w:pPr>
        <w:rPr>
          <w:rFonts w:ascii="Segoe UI" w:hAnsi="Segoe UI" w:cs="Segoe UI"/>
        </w:rPr>
      </w:pPr>
      <w:r w:rsidRPr="00D802FC">
        <w:rPr>
          <w:rFonts w:ascii="Segoe UI" w:hAnsi="Segoe UI" w:cs="Segoe UI"/>
        </w:rPr>
        <w:t xml:space="preserve">Training </w:t>
      </w:r>
      <w:r w:rsidR="004A2564">
        <w:rPr>
          <w:rFonts w:ascii="Segoe UI" w:hAnsi="Segoe UI" w:cs="Segoe UI"/>
        </w:rPr>
        <w:t>for areas</w:t>
      </w:r>
      <w:r w:rsidR="00666E6F" w:rsidRPr="00D802FC">
        <w:rPr>
          <w:rFonts w:ascii="Segoe UI" w:hAnsi="Segoe UI" w:cs="Segoe UI"/>
        </w:rPr>
        <w:t xml:space="preserve"> with the greatest</w:t>
      </w:r>
      <w:r w:rsidR="007278F5" w:rsidRPr="00D802FC">
        <w:rPr>
          <w:rFonts w:ascii="Segoe UI" w:hAnsi="Segoe UI" w:cs="Segoe UI"/>
        </w:rPr>
        <w:t xml:space="preserve"> need in electiv</w:t>
      </w:r>
      <w:r w:rsidRPr="00D802FC">
        <w:rPr>
          <w:rFonts w:ascii="Segoe UI" w:hAnsi="Segoe UI" w:cs="Segoe UI"/>
        </w:rPr>
        <w:t>e care should be prioritised for New Zealand to</w:t>
      </w:r>
      <w:r w:rsidR="00666E6F" w:rsidRPr="00D802FC">
        <w:rPr>
          <w:rFonts w:ascii="Segoe UI" w:hAnsi="Segoe UI" w:cs="Segoe UI"/>
        </w:rPr>
        <w:t xml:space="preserve"> reduce </w:t>
      </w:r>
      <w:r w:rsidR="007278F5" w:rsidRPr="00D802FC">
        <w:rPr>
          <w:rFonts w:ascii="Segoe UI" w:hAnsi="Segoe UI" w:cs="Segoe UI"/>
        </w:rPr>
        <w:t>waiting lists.</w:t>
      </w:r>
      <w:r w:rsidRPr="00D802FC">
        <w:rPr>
          <w:rFonts w:ascii="Segoe UI" w:hAnsi="Segoe UI" w:cs="Segoe UI"/>
        </w:rPr>
        <w:t xml:space="preserve"> Some of the</w:t>
      </w:r>
      <w:r w:rsidR="006D7FAF" w:rsidRPr="00D802FC">
        <w:rPr>
          <w:rFonts w:ascii="Segoe UI" w:hAnsi="Segoe UI" w:cs="Segoe UI"/>
        </w:rPr>
        <w:t xml:space="preserve"> critical</w:t>
      </w:r>
      <w:r w:rsidRPr="00D802FC">
        <w:rPr>
          <w:rFonts w:ascii="Segoe UI" w:hAnsi="Segoe UI" w:cs="Segoe UI"/>
        </w:rPr>
        <w:t xml:space="preserve"> roles and specialisms that nee</w:t>
      </w:r>
      <w:r w:rsidR="006D7FAF" w:rsidRPr="00D802FC">
        <w:rPr>
          <w:rFonts w:ascii="Segoe UI" w:hAnsi="Segoe UI" w:cs="Segoe UI"/>
        </w:rPr>
        <w:t>d attention are the shortages</w:t>
      </w:r>
      <w:r w:rsidRPr="00D802FC">
        <w:rPr>
          <w:rFonts w:ascii="Segoe UI" w:hAnsi="Segoe UI" w:cs="Segoe UI"/>
        </w:rPr>
        <w:t xml:space="preserve"> of theatre nurses,</w:t>
      </w:r>
      <w:r w:rsidR="006D7FAF" w:rsidRPr="00D802FC">
        <w:rPr>
          <w:rFonts w:ascii="Segoe UI" w:hAnsi="Segoe UI" w:cs="Segoe UI"/>
        </w:rPr>
        <w:t xml:space="preserve"> the need for an</w:t>
      </w:r>
      <w:r w:rsidRPr="00D802FC">
        <w:rPr>
          <w:rFonts w:ascii="Segoe UI" w:hAnsi="Segoe UI" w:cs="Segoe UI"/>
        </w:rPr>
        <w:t xml:space="preserve"> increased number of orthopaedic surgeons, and a dramatic e</w:t>
      </w:r>
      <w:r w:rsidR="006D7FAF" w:rsidRPr="00D802FC">
        <w:rPr>
          <w:rFonts w:ascii="Segoe UI" w:hAnsi="Segoe UI" w:cs="Segoe UI"/>
        </w:rPr>
        <w:t>xpansion in diagnostic capacity</w:t>
      </w:r>
      <w:r w:rsidR="004A2564">
        <w:rPr>
          <w:rFonts w:ascii="Segoe UI" w:hAnsi="Segoe UI" w:cs="Segoe UI"/>
        </w:rPr>
        <w:t xml:space="preserve"> plus data management staff, a variety of technical staff and anaesthetic technicians.</w:t>
      </w:r>
      <w:r w:rsidR="006D7FAF" w:rsidRPr="00D802FC">
        <w:rPr>
          <w:rFonts w:ascii="Segoe UI" w:hAnsi="Segoe UI" w:cs="Segoe UI"/>
        </w:rPr>
        <w:t xml:space="preserve"> </w:t>
      </w:r>
      <w:r w:rsidRPr="00D802FC">
        <w:rPr>
          <w:rFonts w:ascii="Segoe UI" w:hAnsi="Segoe UI" w:cs="Segoe UI"/>
        </w:rPr>
        <w:t xml:space="preserve"> </w:t>
      </w:r>
    </w:p>
    <w:p w14:paraId="6EB0CE32" w14:textId="02586455" w:rsidR="004A2564" w:rsidRDefault="005E1BBD" w:rsidP="003B2845">
      <w:pPr>
        <w:rPr>
          <w:rFonts w:ascii="Segoe UI" w:hAnsi="Segoe UI" w:cs="Segoe UI"/>
        </w:rPr>
      </w:pPr>
      <w:r w:rsidRPr="00D802FC">
        <w:rPr>
          <w:rFonts w:ascii="Segoe UI" w:hAnsi="Segoe UI" w:cs="Segoe UI"/>
        </w:rPr>
        <w:t xml:space="preserve">Given the time investment required for specialist training, the temptation to create a working group or a strategy should defer to prioritised action, exploiting the intellectual capital of dedicated health care professionals </w:t>
      </w:r>
      <w:r w:rsidR="00627EFC">
        <w:rPr>
          <w:rFonts w:ascii="Segoe UI" w:hAnsi="Segoe UI" w:cs="Segoe UI"/>
        </w:rPr>
        <w:t>i</w:t>
      </w:r>
      <w:r w:rsidRPr="00D802FC">
        <w:rPr>
          <w:rFonts w:ascii="Segoe UI" w:hAnsi="Segoe UI" w:cs="Segoe UI"/>
        </w:rPr>
        <w:t xml:space="preserve">n the front line. </w:t>
      </w:r>
    </w:p>
    <w:p w14:paraId="7C7063E8" w14:textId="140DC688" w:rsidR="00EA639C" w:rsidRPr="00D802FC" w:rsidRDefault="004A2564" w:rsidP="003B2845">
      <w:pPr>
        <w:rPr>
          <w:rFonts w:ascii="Segoe UI" w:hAnsi="Segoe UI" w:cs="Segoe UI"/>
        </w:rPr>
      </w:pPr>
      <w:r>
        <w:rPr>
          <w:rFonts w:ascii="Segoe UI" w:hAnsi="Segoe UI" w:cs="Segoe UI"/>
        </w:rPr>
        <w:t>T</w:t>
      </w:r>
      <w:r w:rsidR="005E1BBD" w:rsidRPr="00D802FC">
        <w:rPr>
          <w:rFonts w:ascii="Segoe UI" w:hAnsi="Segoe UI" w:cs="Segoe UI"/>
        </w:rPr>
        <w:t>he expansion of jo</w:t>
      </w:r>
      <w:r w:rsidR="006D7FAF" w:rsidRPr="00D802FC">
        <w:rPr>
          <w:rFonts w:ascii="Segoe UI" w:hAnsi="Segoe UI" w:cs="Segoe UI"/>
        </w:rPr>
        <w:t>i</w:t>
      </w:r>
      <w:r w:rsidR="005E1BBD" w:rsidRPr="00D802FC">
        <w:rPr>
          <w:rFonts w:ascii="Segoe UI" w:hAnsi="Segoe UI" w:cs="Segoe UI"/>
        </w:rPr>
        <w:t>nt replacement surgery alone requires up to 80 additional</w:t>
      </w:r>
      <w:r w:rsidR="006D7FAF" w:rsidRPr="00D802FC">
        <w:rPr>
          <w:rFonts w:ascii="Segoe UI" w:hAnsi="Segoe UI" w:cs="Segoe UI"/>
        </w:rPr>
        <w:t xml:space="preserve"> surgeons in New Zealand by 2026, involving a seven</w:t>
      </w:r>
      <w:r w:rsidR="0055007E">
        <w:rPr>
          <w:rFonts w:ascii="Segoe UI" w:hAnsi="Segoe UI" w:cs="Segoe UI"/>
        </w:rPr>
        <w:t>-</w:t>
      </w:r>
      <w:r w:rsidR="006D7FAF" w:rsidRPr="00D802FC">
        <w:rPr>
          <w:rFonts w:ascii="Segoe UI" w:hAnsi="Segoe UI" w:cs="Segoe UI"/>
        </w:rPr>
        <w:t>year time investment.</w:t>
      </w:r>
      <w:r w:rsidR="006D7FAF" w:rsidRPr="00D802FC">
        <w:rPr>
          <w:rStyle w:val="EndnoteReference"/>
          <w:rFonts w:ascii="Segoe UI" w:hAnsi="Segoe UI" w:cs="Segoe UI"/>
        </w:rPr>
        <w:endnoteReference w:id="8"/>
      </w:r>
      <w:r>
        <w:rPr>
          <w:rFonts w:ascii="Segoe UI" w:hAnsi="Segoe UI" w:cs="Segoe UI"/>
        </w:rPr>
        <w:t xml:space="preserve"> Looking ahead, pre-replacement musculoskeletal physiotherapy may replace joint replacement in up to 30 per cent of cases, so investing in increasing the number of musculoskeletal physiotherapists in current graduate health practice programmes is equally important.</w:t>
      </w:r>
    </w:p>
    <w:p w14:paraId="040680F0" w14:textId="79F1B7A0" w:rsidR="00D11D89" w:rsidRDefault="006D7FAF" w:rsidP="003B2845">
      <w:pPr>
        <w:rPr>
          <w:rFonts w:ascii="Segoe UI" w:hAnsi="Segoe UI" w:cs="Segoe UI"/>
        </w:rPr>
      </w:pPr>
      <w:r w:rsidRPr="00D802FC">
        <w:rPr>
          <w:rFonts w:ascii="Segoe UI" w:hAnsi="Segoe UI" w:cs="Segoe UI"/>
        </w:rPr>
        <w:t xml:space="preserve">Many thousands of New Zealanders are desperately waiting for care and many </w:t>
      </w:r>
      <w:r w:rsidRPr="00D802FC">
        <w:rPr>
          <w:rFonts w:ascii="Segoe UI" w:hAnsi="Segoe UI" w:cs="Segoe UI"/>
        </w:rPr>
        <w:lastRenderedPageBreak/>
        <w:t xml:space="preserve">have </w:t>
      </w:r>
      <w:r w:rsidR="00374A5E">
        <w:rPr>
          <w:rFonts w:ascii="Segoe UI" w:hAnsi="Segoe UI" w:cs="Segoe UI"/>
        </w:rPr>
        <w:t>p</w:t>
      </w:r>
      <w:r w:rsidRPr="00D802FC">
        <w:rPr>
          <w:rFonts w:ascii="Segoe UI" w:hAnsi="Segoe UI" w:cs="Segoe UI"/>
        </w:rPr>
        <w:t>ut their lives on hold with a loss of mobility, diminished employment prospects and</w:t>
      </w:r>
      <w:r w:rsidR="00A56628" w:rsidRPr="00D802FC">
        <w:rPr>
          <w:rFonts w:ascii="Segoe UI" w:hAnsi="Segoe UI" w:cs="Segoe UI"/>
        </w:rPr>
        <w:t xml:space="preserve">/or </w:t>
      </w:r>
      <w:r w:rsidRPr="00D802FC">
        <w:rPr>
          <w:rFonts w:ascii="Segoe UI" w:hAnsi="Segoe UI" w:cs="Segoe UI"/>
        </w:rPr>
        <w:t xml:space="preserve">increased mental health issues. While the development of </w:t>
      </w:r>
      <w:r w:rsidR="004B3031" w:rsidRPr="00D802FC">
        <w:rPr>
          <w:rFonts w:ascii="Segoe UI" w:hAnsi="Segoe UI" w:cs="Segoe UI"/>
        </w:rPr>
        <w:t xml:space="preserve">regional </w:t>
      </w:r>
      <w:r w:rsidR="00A56628" w:rsidRPr="00D802FC">
        <w:rPr>
          <w:rFonts w:ascii="Segoe UI" w:hAnsi="Segoe UI" w:cs="Segoe UI"/>
        </w:rPr>
        <w:t xml:space="preserve">surgical hubs, </w:t>
      </w:r>
      <w:r w:rsidRPr="00D802FC">
        <w:rPr>
          <w:rFonts w:ascii="Segoe UI" w:hAnsi="Segoe UI" w:cs="Segoe UI"/>
        </w:rPr>
        <w:t>flexible private/public provision arrangements and increased operating hours may all assist in reducing waiting lists, heal</w:t>
      </w:r>
      <w:r w:rsidR="00A56628" w:rsidRPr="00D802FC">
        <w:rPr>
          <w:rFonts w:ascii="Segoe UI" w:hAnsi="Segoe UI" w:cs="Segoe UI"/>
        </w:rPr>
        <w:t>th workforce availability is a critical determinant requiring a whole of system approach.</w:t>
      </w:r>
      <w:r w:rsidR="00ED1903" w:rsidRPr="00D802FC">
        <w:rPr>
          <w:rFonts w:ascii="Segoe UI" w:hAnsi="Segoe UI" w:cs="Segoe UI"/>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149"/>
      </w:tblGrid>
      <w:tr w:rsidR="00D11D89" w:rsidRPr="00D11D89" w14:paraId="2FCEC68F" w14:textId="77777777" w:rsidTr="00D11D89">
        <w:tc>
          <w:tcPr>
            <w:tcW w:w="4149" w:type="dxa"/>
          </w:tcPr>
          <w:p w14:paraId="666E480B" w14:textId="1398D707" w:rsidR="00D11D89" w:rsidRPr="002A0F74" w:rsidRDefault="00D11D89" w:rsidP="007C5DC4">
            <w:pPr>
              <w:spacing w:before="120" w:after="120"/>
              <w:rPr>
                <w:rFonts w:ascii="Segoe UI" w:hAnsi="Segoe UI" w:cs="Segoe UI"/>
                <w:b/>
                <w:i/>
              </w:rPr>
            </w:pPr>
            <w:r w:rsidRPr="002A0F74">
              <w:rPr>
                <w:rFonts w:ascii="Segoe UI" w:hAnsi="Segoe UI" w:cs="Segoe UI"/>
                <w:b/>
                <w:i/>
              </w:rPr>
              <w:t>In the rebalancing of New Zealand’s immigration policies which may see a lowering of the overall volume of immigrations</w:t>
            </w:r>
            <w:r w:rsidR="006D573A" w:rsidRPr="002A0F74">
              <w:rPr>
                <w:rFonts w:ascii="Segoe UI" w:hAnsi="Segoe UI" w:cs="Segoe UI"/>
                <w:b/>
                <w:i/>
              </w:rPr>
              <w:t>,</w:t>
            </w:r>
            <w:r w:rsidR="007C5DC4" w:rsidRPr="002A0F74">
              <w:rPr>
                <w:rFonts w:ascii="Segoe UI" w:hAnsi="Segoe UI" w:cs="Segoe UI"/>
                <w:b/>
                <w:i/>
              </w:rPr>
              <w:t xml:space="preserve"> </w:t>
            </w:r>
            <w:r w:rsidRPr="002A0F74">
              <w:rPr>
                <w:rFonts w:ascii="Segoe UI" w:hAnsi="Segoe UI" w:cs="Segoe UI"/>
                <w:b/>
                <w:i/>
              </w:rPr>
              <w:t>HWAB recommends an exemption for the health care sector in critical areas</w:t>
            </w:r>
            <w:r w:rsidR="007C5DC4" w:rsidRPr="002A0F74">
              <w:rPr>
                <w:rFonts w:ascii="Segoe UI" w:hAnsi="Segoe UI" w:cs="Segoe UI"/>
                <w:b/>
                <w:i/>
              </w:rPr>
              <w:t xml:space="preserve"> </w:t>
            </w:r>
            <w:r w:rsidRPr="002A0F74">
              <w:rPr>
                <w:rFonts w:ascii="Segoe UI" w:hAnsi="Segoe UI" w:cs="Segoe UI"/>
                <w:b/>
                <w:i/>
              </w:rPr>
              <w:t xml:space="preserve">such as the specialisms needed to remobilise planned care. </w:t>
            </w:r>
          </w:p>
        </w:tc>
      </w:tr>
    </w:tbl>
    <w:p w14:paraId="27E48D60" w14:textId="77777777" w:rsidR="00D11D89" w:rsidRDefault="00D11D89" w:rsidP="003B2845">
      <w:pPr>
        <w:rPr>
          <w:rFonts w:ascii="Segoe UI" w:hAnsi="Segoe UI" w:cs="Segoe UI"/>
        </w:rPr>
      </w:pPr>
    </w:p>
    <w:p w14:paraId="1E398689" w14:textId="43020BCD" w:rsidR="001116F9" w:rsidRPr="00D11D89" w:rsidRDefault="00DB5716" w:rsidP="00FD55F7">
      <w:pPr>
        <w:pStyle w:val="Heading3"/>
      </w:pPr>
      <w:r w:rsidRPr="00D11D89">
        <w:t>Mental health workforce crisis</w:t>
      </w:r>
    </w:p>
    <w:p w14:paraId="153B7106" w14:textId="1137CE6A" w:rsidR="00D87FB4" w:rsidRPr="00D802FC" w:rsidRDefault="00D87FB4" w:rsidP="003B2845">
      <w:pPr>
        <w:rPr>
          <w:rFonts w:ascii="Segoe UI" w:hAnsi="Segoe UI" w:cs="Segoe UI"/>
        </w:rPr>
      </w:pPr>
      <w:r w:rsidRPr="00D802FC">
        <w:rPr>
          <w:rFonts w:ascii="Segoe UI" w:hAnsi="Segoe UI" w:cs="Segoe UI"/>
        </w:rPr>
        <w:t>A historic lack of investment</w:t>
      </w:r>
      <w:r w:rsidR="00F34A6B" w:rsidRPr="00D802FC">
        <w:rPr>
          <w:rFonts w:ascii="Segoe UI" w:hAnsi="Segoe UI" w:cs="Segoe UI"/>
        </w:rPr>
        <w:t xml:space="preserve"> and focus on</w:t>
      </w:r>
      <w:r w:rsidRPr="00D802FC">
        <w:rPr>
          <w:rFonts w:ascii="Segoe UI" w:hAnsi="Segoe UI" w:cs="Segoe UI"/>
        </w:rPr>
        <w:t xml:space="preserve"> mental</w:t>
      </w:r>
      <w:r w:rsidR="00F34A6B" w:rsidRPr="00D802FC">
        <w:rPr>
          <w:rFonts w:ascii="Segoe UI" w:hAnsi="Segoe UI" w:cs="Segoe UI"/>
        </w:rPr>
        <w:t xml:space="preserve"> health and addictions staff</w:t>
      </w:r>
      <w:r w:rsidRPr="00D802FC">
        <w:rPr>
          <w:rFonts w:ascii="Segoe UI" w:hAnsi="Segoe UI" w:cs="Segoe UI"/>
        </w:rPr>
        <w:t xml:space="preserve"> in health workforce planning was addressed in the He </w:t>
      </w:r>
      <w:r w:rsidR="009868B4" w:rsidRPr="00D802FC">
        <w:rPr>
          <w:rFonts w:ascii="Segoe UI" w:hAnsi="Segoe UI" w:cs="Segoe UI"/>
        </w:rPr>
        <w:t xml:space="preserve">Ara </w:t>
      </w:r>
      <w:proofErr w:type="spellStart"/>
      <w:r w:rsidRPr="00D802FC">
        <w:rPr>
          <w:rFonts w:ascii="Segoe UI" w:hAnsi="Segoe UI" w:cs="Segoe UI"/>
        </w:rPr>
        <w:t>Oranga</w:t>
      </w:r>
      <w:proofErr w:type="spellEnd"/>
      <w:r w:rsidRPr="00D802FC">
        <w:rPr>
          <w:rFonts w:ascii="Segoe UI" w:hAnsi="Segoe UI" w:cs="Segoe UI"/>
        </w:rPr>
        <w:t xml:space="preserve"> Inquiry into mental health and addictions</w:t>
      </w:r>
      <w:r w:rsidR="00027546" w:rsidRPr="00D802FC">
        <w:rPr>
          <w:rFonts w:ascii="Segoe UI" w:hAnsi="Segoe UI" w:cs="Segoe UI"/>
        </w:rPr>
        <w:t xml:space="preserve">. In response, </w:t>
      </w:r>
      <w:r w:rsidR="00F34A6B" w:rsidRPr="00D802FC">
        <w:rPr>
          <w:rFonts w:ascii="Segoe UI" w:hAnsi="Segoe UI" w:cs="Segoe UI"/>
        </w:rPr>
        <w:t>t</w:t>
      </w:r>
      <w:r w:rsidRPr="00D802FC">
        <w:rPr>
          <w:rFonts w:ascii="Segoe UI" w:hAnsi="Segoe UI" w:cs="Segoe UI"/>
        </w:rPr>
        <w:t>he Budget-19 mental health workforce development programme</w:t>
      </w:r>
      <w:r w:rsidR="00DB5716" w:rsidRPr="00D802FC">
        <w:rPr>
          <w:rFonts w:ascii="Segoe UI" w:hAnsi="Segoe UI" w:cs="Segoe UI"/>
        </w:rPr>
        <w:t xml:space="preserve"> focussed</w:t>
      </w:r>
      <w:r w:rsidRPr="00D802FC">
        <w:rPr>
          <w:rFonts w:ascii="Segoe UI" w:hAnsi="Segoe UI" w:cs="Segoe UI"/>
        </w:rPr>
        <w:t xml:space="preserve"> on three priority areas for mental health and addiction workforce development</w:t>
      </w:r>
      <w:r w:rsidR="00983B92">
        <w:rPr>
          <w:rFonts w:ascii="Segoe UI" w:hAnsi="Segoe UI" w:cs="Segoe UI"/>
        </w:rPr>
        <w:t>,</w:t>
      </w:r>
      <w:r w:rsidRPr="00D802FC">
        <w:rPr>
          <w:rFonts w:ascii="Segoe UI" w:hAnsi="Segoe UI" w:cs="Segoe UI"/>
        </w:rPr>
        <w:t xml:space="preserve"> growing the existing workforce, developing new workforces and</w:t>
      </w:r>
      <w:r w:rsidR="00F34A6B" w:rsidRPr="00D802FC">
        <w:rPr>
          <w:rFonts w:ascii="Segoe UI" w:hAnsi="Segoe UI" w:cs="Segoe UI"/>
        </w:rPr>
        <w:t xml:space="preserve"> </w:t>
      </w:r>
      <w:r w:rsidRPr="00D802FC">
        <w:rPr>
          <w:rFonts w:ascii="Segoe UI" w:hAnsi="Segoe UI" w:cs="Segoe UI"/>
        </w:rPr>
        <w:t>align</w:t>
      </w:r>
      <w:r w:rsidR="00F34A6B" w:rsidRPr="00D802FC">
        <w:rPr>
          <w:rFonts w:ascii="Segoe UI" w:hAnsi="Segoe UI" w:cs="Segoe UI"/>
        </w:rPr>
        <w:t>ing</w:t>
      </w:r>
      <w:r w:rsidRPr="00D802FC">
        <w:rPr>
          <w:rFonts w:ascii="Segoe UI" w:hAnsi="Segoe UI" w:cs="Segoe UI"/>
        </w:rPr>
        <w:t xml:space="preserve"> w</w:t>
      </w:r>
      <w:r w:rsidR="00F34A6B" w:rsidRPr="00D802FC">
        <w:rPr>
          <w:rFonts w:ascii="Segoe UI" w:hAnsi="Segoe UI" w:cs="Segoe UI"/>
        </w:rPr>
        <w:t>ith new service delivery models by</w:t>
      </w:r>
      <w:r w:rsidRPr="00D802FC">
        <w:rPr>
          <w:rFonts w:ascii="Segoe UI" w:hAnsi="Segoe UI" w:cs="Segoe UI"/>
        </w:rPr>
        <w:t xml:space="preserve"> repurposing skills and competencies</w:t>
      </w:r>
      <w:r w:rsidR="00F34A6B" w:rsidRPr="00D802FC">
        <w:rPr>
          <w:rFonts w:ascii="Segoe UI" w:hAnsi="Segoe UI" w:cs="Segoe UI"/>
        </w:rPr>
        <w:t>. To date the emphasis has been on growing the existing workforce with Budget investment targeted to support approximately 580 additional clinical FTEs into practice by 2024.</w:t>
      </w:r>
    </w:p>
    <w:p w14:paraId="1E596731" w14:textId="77777777" w:rsidR="00810DAD" w:rsidRPr="00D802FC" w:rsidRDefault="00F34A6B" w:rsidP="003B2845">
      <w:pPr>
        <w:rPr>
          <w:rFonts w:ascii="Segoe UI" w:hAnsi="Segoe UI" w:cs="Segoe UI"/>
        </w:rPr>
      </w:pPr>
      <w:r w:rsidRPr="00D802FC">
        <w:rPr>
          <w:rFonts w:ascii="Segoe UI" w:hAnsi="Segoe UI" w:cs="Segoe UI"/>
        </w:rPr>
        <w:t>There is wid</w:t>
      </w:r>
      <w:r w:rsidR="00DB5716" w:rsidRPr="00D802FC">
        <w:rPr>
          <w:rFonts w:ascii="Segoe UI" w:hAnsi="Segoe UI" w:cs="Segoe UI"/>
        </w:rPr>
        <w:t>espread acknowledgement of the</w:t>
      </w:r>
      <w:r w:rsidRPr="00D802FC">
        <w:rPr>
          <w:rFonts w:ascii="Segoe UI" w:hAnsi="Segoe UI" w:cs="Segoe UI"/>
        </w:rPr>
        <w:t xml:space="preserve"> legacy of under-investment in the mental</w:t>
      </w:r>
      <w:r w:rsidR="00DB5716" w:rsidRPr="00D802FC">
        <w:rPr>
          <w:rFonts w:ascii="Segoe UI" w:hAnsi="Segoe UI" w:cs="Segoe UI"/>
        </w:rPr>
        <w:t xml:space="preserve"> health and addictions workforce</w:t>
      </w:r>
      <w:r w:rsidR="00A56F12" w:rsidRPr="00D802FC">
        <w:rPr>
          <w:rFonts w:ascii="Segoe UI" w:hAnsi="Segoe UI" w:cs="Segoe UI"/>
        </w:rPr>
        <w:t xml:space="preserve"> </w:t>
      </w:r>
      <w:r w:rsidRPr="00D802FC">
        <w:rPr>
          <w:rFonts w:ascii="Segoe UI" w:hAnsi="Segoe UI" w:cs="Segoe UI"/>
        </w:rPr>
        <w:t>in N</w:t>
      </w:r>
      <w:r w:rsidR="00DB5716" w:rsidRPr="00D802FC">
        <w:rPr>
          <w:rFonts w:ascii="Segoe UI" w:hAnsi="Segoe UI" w:cs="Segoe UI"/>
        </w:rPr>
        <w:t>ew Zealand over many years</w:t>
      </w:r>
      <w:r w:rsidRPr="00D802FC">
        <w:rPr>
          <w:rFonts w:ascii="Segoe UI" w:hAnsi="Segoe UI" w:cs="Segoe UI"/>
        </w:rPr>
        <w:t>. T</w:t>
      </w:r>
      <w:r w:rsidR="00DB5716" w:rsidRPr="00D802FC">
        <w:rPr>
          <w:rFonts w:ascii="Segoe UI" w:hAnsi="Segoe UI" w:cs="Segoe UI"/>
        </w:rPr>
        <w:t xml:space="preserve">he mental </w:t>
      </w:r>
      <w:r w:rsidR="00DB5716" w:rsidRPr="00D802FC">
        <w:rPr>
          <w:rFonts w:ascii="Segoe UI" w:hAnsi="Segoe UI" w:cs="Segoe UI"/>
        </w:rPr>
        <w:t xml:space="preserve">health </w:t>
      </w:r>
      <w:r w:rsidRPr="00D802FC">
        <w:rPr>
          <w:rFonts w:ascii="Segoe UI" w:hAnsi="Segoe UI" w:cs="Segoe UI"/>
        </w:rPr>
        <w:t>impacts of C</w:t>
      </w:r>
      <w:r w:rsidR="00A56F12" w:rsidRPr="00D802FC">
        <w:rPr>
          <w:rFonts w:ascii="Segoe UI" w:hAnsi="Segoe UI" w:cs="Segoe UI"/>
        </w:rPr>
        <w:t>OVID-19 have greatly compounded</w:t>
      </w:r>
      <w:r w:rsidR="00DB5716" w:rsidRPr="00D802FC">
        <w:rPr>
          <w:rFonts w:ascii="Segoe UI" w:hAnsi="Segoe UI" w:cs="Segoe UI"/>
        </w:rPr>
        <w:t xml:space="preserve"> </w:t>
      </w:r>
      <w:r w:rsidRPr="00D802FC">
        <w:rPr>
          <w:rFonts w:ascii="Segoe UI" w:hAnsi="Segoe UI" w:cs="Segoe UI"/>
        </w:rPr>
        <w:t>staff shortages</w:t>
      </w:r>
      <w:r w:rsidR="00DB5716" w:rsidRPr="00D802FC">
        <w:rPr>
          <w:rFonts w:ascii="Segoe UI" w:hAnsi="Segoe UI" w:cs="Segoe UI"/>
        </w:rPr>
        <w:t xml:space="preserve"> both in inpatient facilities and community settings</w:t>
      </w:r>
      <w:r w:rsidR="00810DAD" w:rsidRPr="00D802FC">
        <w:rPr>
          <w:rFonts w:ascii="Segoe UI" w:hAnsi="Segoe UI" w:cs="Segoe UI"/>
        </w:rPr>
        <w:t xml:space="preserve"> and at both primary and secondary levels, and</w:t>
      </w:r>
      <w:r w:rsidR="00DB5716" w:rsidRPr="00D802FC">
        <w:rPr>
          <w:rFonts w:ascii="Segoe UI" w:hAnsi="Segoe UI" w:cs="Segoe UI"/>
        </w:rPr>
        <w:t xml:space="preserve"> demand </w:t>
      </w:r>
      <w:r w:rsidR="00810DAD" w:rsidRPr="00D802FC">
        <w:rPr>
          <w:rFonts w:ascii="Segoe UI" w:hAnsi="Segoe UI" w:cs="Segoe UI"/>
        </w:rPr>
        <w:t xml:space="preserve">for a range of mental health services significantly </w:t>
      </w:r>
      <w:r w:rsidR="00DB5716" w:rsidRPr="00D802FC">
        <w:rPr>
          <w:rFonts w:ascii="Segoe UI" w:hAnsi="Segoe UI" w:cs="Segoe UI"/>
        </w:rPr>
        <w:t>outstrips supply. D</w:t>
      </w:r>
      <w:r w:rsidRPr="00D802FC">
        <w:rPr>
          <w:rFonts w:ascii="Segoe UI" w:hAnsi="Segoe UI" w:cs="Segoe UI"/>
        </w:rPr>
        <w:t>irect and indirect COVID-19 related mental health pressures on young people, M</w:t>
      </w:r>
      <w:r w:rsidR="00DB5716" w:rsidRPr="00D802FC">
        <w:rPr>
          <w:rFonts w:ascii="Segoe UI" w:hAnsi="Segoe UI" w:cs="Segoe UI"/>
        </w:rPr>
        <w:t>ā</w:t>
      </w:r>
      <w:r w:rsidRPr="00D802FC">
        <w:rPr>
          <w:rFonts w:ascii="Segoe UI" w:hAnsi="Segoe UI" w:cs="Segoe UI"/>
        </w:rPr>
        <w:t>ori and Pacific communities and the most vulnerable in the community manifest in different ways every day.</w:t>
      </w:r>
      <w:r w:rsidR="00DB5716" w:rsidRPr="00D802FC">
        <w:rPr>
          <w:rFonts w:ascii="Segoe UI" w:hAnsi="Segoe UI" w:cs="Segoe UI"/>
        </w:rPr>
        <w:t xml:space="preserve"> </w:t>
      </w:r>
    </w:p>
    <w:p w14:paraId="340C05C9" w14:textId="491E7BFF" w:rsidR="00B7280F" w:rsidRPr="00D802FC" w:rsidRDefault="00810DAD" w:rsidP="003B2845">
      <w:pPr>
        <w:rPr>
          <w:rFonts w:ascii="Segoe UI" w:hAnsi="Segoe UI" w:cs="Segoe UI"/>
        </w:rPr>
      </w:pPr>
      <w:r w:rsidRPr="00D802FC">
        <w:rPr>
          <w:rFonts w:ascii="Segoe UI" w:hAnsi="Segoe UI" w:cs="Segoe UI"/>
        </w:rPr>
        <w:t>There is</w:t>
      </w:r>
      <w:r w:rsidR="00B912FD" w:rsidRPr="00D802FC">
        <w:rPr>
          <w:rFonts w:ascii="Segoe UI" w:hAnsi="Segoe UI" w:cs="Segoe UI"/>
        </w:rPr>
        <w:t xml:space="preserve"> general</w:t>
      </w:r>
      <w:r w:rsidRPr="00D802FC">
        <w:rPr>
          <w:rFonts w:ascii="Segoe UI" w:hAnsi="Segoe UI" w:cs="Segoe UI"/>
        </w:rPr>
        <w:t xml:space="preserve"> sector </w:t>
      </w:r>
      <w:r w:rsidR="00DB5716" w:rsidRPr="00D802FC">
        <w:rPr>
          <w:rFonts w:ascii="Segoe UI" w:hAnsi="Segoe UI" w:cs="Segoe UI"/>
        </w:rPr>
        <w:t>consensus that the</w:t>
      </w:r>
      <w:r w:rsidR="00B912FD" w:rsidRPr="00D802FC">
        <w:rPr>
          <w:rFonts w:ascii="Segoe UI" w:hAnsi="Segoe UI" w:cs="Segoe UI"/>
        </w:rPr>
        <w:t xml:space="preserve"> welcome</w:t>
      </w:r>
      <w:r w:rsidR="00DB5716" w:rsidRPr="00D802FC">
        <w:rPr>
          <w:rFonts w:ascii="Segoe UI" w:hAnsi="Segoe UI" w:cs="Segoe UI"/>
        </w:rPr>
        <w:t xml:space="preserve"> range of initiatives to increase nursing and allied health, clinical psychology interns</w:t>
      </w:r>
      <w:r w:rsidR="005E03E5" w:rsidRPr="00D802FC">
        <w:rPr>
          <w:rFonts w:ascii="Segoe UI" w:hAnsi="Segoe UI" w:cs="Segoe UI"/>
        </w:rPr>
        <w:t>,</w:t>
      </w:r>
      <w:r w:rsidR="00DB5716" w:rsidRPr="00D802FC">
        <w:rPr>
          <w:rFonts w:ascii="Segoe UI" w:hAnsi="Segoe UI" w:cs="Segoe UI"/>
        </w:rPr>
        <w:t xml:space="preserve"> </w:t>
      </w:r>
      <w:r w:rsidR="00666E6F" w:rsidRPr="00D802FC">
        <w:rPr>
          <w:rFonts w:ascii="Segoe UI" w:hAnsi="Segoe UI" w:cs="Segoe UI"/>
        </w:rPr>
        <w:t>n</w:t>
      </w:r>
      <w:r w:rsidR="00DB5716" w:rsidRPr="00D802FC">
        <w:rPr>
          <w:rFonts w:ascii="Segoe UI" w:hAnsi="Segoe UI" w:cs="Segoe UI"/>
        </w:rPr>
        <w:t>urse practitioners, health improvement practitioners</w:t>
      </w:r>
      <w:r w:rsidR="00666E6F" w:rsidRPr="00D802FC">
        <w:rPr>
          <w:rFonts w:ascii="Segoe UI" w:hAnsi="Segoe UI" w:cs="Segoe UI"/>
        </w:rPr>
        <w:t>, with the addition of</w:t>
      </w:r>
      <w:r w:rsidR="00DB5716" w:rsidRPr="00D802FC">
        <w:rPr>
          <w:rFonts w:ascii="Segoe UI" w:hAnsi="Segoe UI" w:cs="Segoe UI"/>
        </w:rPr>
        <w:t xml:space="preserve"> new bursaries for M</w:t>
      </w:r>
      <w:r w:rsidR="00666E6F" w:rsidRPr="00D802FC">
        <w:rPr>
          <w:rFonts w:ascii="Segoe UI" w:hAnsi="Segoe UI" w:cs="Segoe UI"/>
        </w:rPr>
        <w:t>ā</w:t>
      </w:r>
      <w:r w:rsidR="00DB5716" w:rsidRPr="00D802FC">
        <w:rPr>
          <w:rFonts w:ascii="Segoe UI" w:hAnsi="Segoe UI" w:cs="Segoe UI"/>
        </w:rPr>
        <w:t xml:space="preserve">ori and Pacific students, cultural competency training and additional mental health literacy training for cross sector workforces, will not solve the current </w:t>
      </w:r>
      <w:r w:rsidR="00666E6F" w:rsidRPr="00D802FC">
        <w:rPr>
          <w:rFonts w:ascii="Segoe UI" w:hAnsi="Segoe UI" w:cs="Segoe UI"/>
        </w:rPr>
        <w:t>crisis, while they will</w:t>
      </w:r>
      <w:r w:rsidR="00DB5716" w:rsidRPr="00D802FC">
        <w:rPr>
          <w:rFonts w:ascii="Segoe UI" w:hAnsi="Segoe UI" w:cs="Segoe UI"/>
        </w:rPr>
        <w:t xml:space="preserve"> alleviate </w:t>
      </w:r>
      <w:r w:rsidR="00666E6F" w:rsidRPr="00D802FC">
        <w:rPr>
          <w:rFonts w:ascii="Segoe UI" w:hAnsi="Segoe UI" w:cs="Segoe UI"/>
        </w:rPr>
        <w:t>short term</w:t>
      </w:r>
      <w:r w:rsidR="00DB5716" w:rsidRPr="00D802FC">
        <w:rPr>
          <w:rFonts w:ascii="Segoe UI" w:hAnsi="Segoe UI" w:cs="Segoe UI"/>
        </w:rPr>
        <w:t xml:space="preserve"> workforce </w:t>
      </w:r>
      <w:r w:rsidR="00B912FD" w:rsidRPr="00D802FC">
        <w:rPr>
          <w:rFonts w:ascii="Segoe UI" w:hAnsi="Segoe UI" w:cs="Segoe UI"/>
        </w:rPr>
        <w:t xml:space="preserve">pressures and </w:t>
      </w:r>
      <w:r w:rsidR="00DB5716" w:rsidRPr="00D802FC">
        <w:rPr>
          <w:rFonts w:ascii="Segoe UI" w:hAnsi="Segoe UI" w:cs="Segoe UI"/>
        </w:rPr>
        <w:t>gaps.</w:t>
      </w:r>
      <w:r w:rsidR="00BF0D90" w:rsidRPr="00D802FC">
        <w:rPr>
          <w:rStyle w:val="EndnoteReference"/>
          <w:rFonts w:ascii="Segoe UI" w:hAnsi="Segoe UI" w:cs="Segoe UI"/>
        </w:rPr>
        <w:endnoteReference w:id="9"/>
      </w:r>
    </w:p>
    <w:p w14:paraId="0DFDF2EF" w14:textId="7617D773" w:rsidR="00810DAD" w:rsidRPr="00D802FC" w:rsidRDefault="00DB5716" w:rsidP="003B2845">
      <w:pPr>
        <w:rPr>
          <w:rFonts w:ascii="Segoe UI" w:hAnsi="Segoe UI" w:cs="Segoe UI"/>
        </w:rPr>
      </w:pPr>
      <w:r w:rsidRPr="00D802FC">
        <w:rPr>
          <w:rFonts w:ascii="Segoe UI" w:hAnsi="Segoe UI" w:cs="Segoe UI"/>
        </w:rPr>
        <w:t xml:space="preserve">Early signs of the success of the </w:t>
      </w:r>
      <w:r w:rsidR="000B0AF9" w:rsidRPr="00D802FC">
        <w:rPr>
          <w:rFonts w:ascii="Segoe UI" w:hAnsi="Segoe UI" w:cs="Segoe UI"/>
        </w:rPr>
        <w:t>Integrated Primar</w:t>
      </w:r>
      <w:r w:rsidR="00A56F12" w:rsidRPr="00D802FC">
        <w:rPr>
          <w:rFonts w:ascii="Segoe UI" w:hAnsi="Segoe UI" w:cs="Segoe UI"/>
        </w:rPr>
        <w:t>y Mental Health and Addictions S</w:t>
      </w:r>
      <w:r w:rsidR="000B0AF9" w:rsidRPr="00D802FC">
        <w:rPr>
          <w:rFonts w:ascii="Segoe UI" w:hAnsi="Segoe UI" w:cs="Segoe UI"/>
        </w:rPr>
        <w:t>er</w:t>
      </w:r>
      <w:r w:rsidR="00666E6F" w:rsidRPr="00D802FC">
        <w:rPr>
          <w:rFonts w:ascii="Segoe UI" w:hAnsi="Segoe UI" w:cs="Segoe UI"/>
        </w:rPr>
        <w:t xml:space="preserve">vices (Access and Choice) with </w:t>
      </w:r>
      <w:r w:rsidR="00357ABC">
        <w:rPr>
          <w:rFonts w:ascii="Segoe UI" w:hAnsi="Segoe UI" w:cs="Segoe UI"/>
        </w:rPr>
        <w:t>h</w:t>
      </w:r>
      <w:r w:rsidR="00666E6F" w:rsidRPr="00D802FC">
        <w:rPr>
          <w:rFonts w:ascii="Segoe UI" w:hAnsi="Segoe UI" w:cs="Segoe UI"/>
        </w:rPr>
        <w:t xml:space="preserve">ealth </w:t>
      </w:r>
      <w:r w:rsidR="009B748F">
        <w:rPr>
          <w:rFonts w:ascii="Segoe UI" w:hAnsi="Segoe UI" w:cs="Segoe UI"/>
        </w:rPr>
        <w:t>i</w:t>
      </w:r>
      <w:r w:rsidR="00666E6F" w:rsidRPr="00D802FC">
        <w:rPr>
          <w:rFonts w:ascii="Segoe UI" w:hAnsi="Segoe UI" w:cs="Segoe UI"/>
        </w:rPr>
        <w:t xml:space="preserve">mprovement </w:t>
      </w:r>
      <w:r w:rsidR="009B748F">
        <w:rPr>
          <w:rFonts w:ascii="Segoe UI" w:hAnsi="Segoe UI" w:cs="Segoe UI"/>
        </w:rPr>
        <w:t>p</w:t>
      </w:r>
      <w:r w:rsidR="000B0AF9" w:rsidRPr="00D802FC">
        <w:rPr>
          <w:rFonts w:ascii="Segoe UI" w:hAnsi="Segoe UI" w:cs="Segoe UI"/>
        </w:rPr>
        <w:t>ractitioners</w:t>
      </w:r>
      <w:r w:rsidR="00027546" w:rsidRPr="00D802FC">
        <w:rPr>
          <w:rFonts w:ascii="Segoe UI" w:hAnsi="Segoe UI" w:cs="Segoe UI"/>
        </w:rPr>
        <w:t xml:space="preserve"> and </w:t>
      </w:r>
      <w:r w:rsidR="009B748F">
        <w:rPr>
          <w:rFonts w:ascii="Segoe UI" w:hAnsi="Segoe UI" w:cs="Segoe UI"/>
        </w:rPr>
        <w:t>h</w:t>
      </w:r>
      <w:r w:rsidR="00027546" w:rsidRPr="00D802FC">
        <w:rPr>
          <w:rFonts w:ascii="Segoe UI" w:hAnsi="Segoe UI" w:cs="Segoe UI"/>
        </w:rPr>
        <w:t xml:space="preserve">ealth </w:t>
      </w:r>
      <w:r w:rsidR="009B748F">
        <w:rPr>
          <w:rFonts w:ascii="Segoe UI" w:hAnsi="Segoe UI" w:cs="Segoe UI"/>
        </w:rPr>
        <w:t>c</w:t>
      </w:r>
      <w:r w:rsidR="00027546" w:rsidRPr="00D802FC">
        <w:rPr>
          <w:rFonts w:ascii="Segoe UI" w:hAnsi="Segoe UI" w:cs="Segoe UI"/>
        </w:rPr>
        <w:t>oaches risk</w:t>
      </w:r>
      <w:r w:rsidR="000B0AF9" w:rsidRPr="00D802FC">
        <w:rPr>
          <w:rFonts w:ascii="Segoe UI" w:hAnsi="Segoe UI" w:cs="Segoe UI"/>
        </w:rPr>
        <w:t xml:space="preserve"> being overshadowed by the</w:t>
      </w:r>
      <w:r w:rsidR="00666E6F" w:rsidRPr="00D802FC">
        <w:rPr>
          <w:rFonts w:ascii="Segoe UI" w:hAnsi="Segoe UI" w:cs="Segoe UI"/>
        </w:rPr>
        <w:t xml:space="preserve"> demonstrable</w:t>
      </w:r>
      <w:r w:rsidR="00A56F12" w:rsidRPr="00D802FC">
        <w:rPr>
          <w:rFonts w:ascii="Segoe UI" w:hAnsi="Segoe UI" w:cs="Segoe UI"/>
        </w:rPr>
        <w:t xml:space="preserve"> unmet</w:t>
      </w:r>
      <w:r w:rsidR="00810DAD" w:rsidRPr="00D802FC">
        <w:rPr>
          <w:rFonts w:ascii="Segoe UI" w:hAnsi="Segoe UI" w:cs="Segoe UI"/>
        </w:rPr>
        <w:t xml:space="preserve"> need </w:t>
      </w:r>
      <w:r w:rsidR="00B912FD" w:rsidRPr="00D802FC">
        <w:rPr>
          <w:rFonts w:ascii="Segoe UI" w:hAnsi="Segoe UI" w:cs="Segoe UI"/>
        </w:rPr>
        <w:t>highlighted by both</w:t>
      </w:r>
      <w:r w:rsidR="00810DAD" w:rsidRPr="00D802FC">
        <w:rPr>
          <w:rFonts w:ascii="Segoe UI" w:hAnsi="Segoe UI" w:cs="Segoe UI"/>
        </w:rPr>
        <w:t xml:space="preserve"> the existenc</w:t>
      </w:r>
      <w:r w:rsidR="009868B4" w:rsidRPr="00D802FC">
        <w:rPr>
          <w:rFonts w:ascii="Segoe UI" w:hAnsi="Segoe UI" w:cs="Segoe UI"/>
        </w:rPr>
        <w:t>e of the programmes exacerbated by</w:t>
      </w:r>
      <w:r w:rsidR="00810DAD" w:rsidRPr="00D802FC">
        <w:rPr>
          <w:rFonts w:ascii="Segoe UI" w:hAnsi="Segoe UI" w:cs="Segoe UI"/>
        </w:rPr>
        <w:t xml:space="preserve"> </w:t>
      </w:r>
      <w:r w:rsidR="00B912FD" w:rsidRPr="00D802FC">
        <w:rPr>
          <w:rFonts w:ascii="Segoe UI" w:hAnsi="Segoe UI" w:cs="Segoe UI"/>
        </w:rPr>
        <w:t xml:space="preserve">increasing </w:t>
      </w:r>
      <w:r w:rsidR="00810DAD" w:rsidRPr="00D802FC">
        <w:rPr>
          <w:rFonts w:ascii="Segoe UI" w:hAnsi="Segoe UI" w:cs="Segoe UI"/>
        </w:rPr>
        <w:t>COVID-19</w:t>
      </w:r>
      <w:r w:rsidR="00A56F12" w:rsidRPr="00D802FC">
        <w:rPr>
          <w:rFonts w:ascii="Segoe UI" w:hAnsi="Segoe UI" w:cs="Segoe UI"/>
        </w:rPr>
        <w:t xml:space="preserve"> </w:t>
      </w:r>
      <w:r w:rsidR="00B912FD" w:rsidRPr="00D802FC">
        <w:rPr>
          <w:rFonts w:ascii="Segoe UI" w:hAnsi="Segoe UI" w:cs="Segoe UI"/>
        </w:rPr>
        <w:t>demands.</w:t>
      </w:r>
    </w:p>
    <w:p w14:paraId="301174DB" w14:textId="1A3A17D7" w:rsidR="0026249D" w:rsidRPr="00D802FC" w:rsidRDefault="00407863" w:rsidP="003B2845">
      <w:pPr>
        <w:rPr>
          <w:rFonts w:ascii="Segoe UI" w:hAnsi="Segoe UI" w:cs="Segoe UI"/>
        </w:rPr>
      </w:pPr>
      <w:r w:rsidRPr="00D802FC">
        <w:rPr>
          <w:rFonts w:ascii="Segoe UI" w:hAnsi="Segoe UI" w:cs="Segoe UI"/>
        </w:rPr>
        <w:t>New Zealand is part of the global health care worker market, a market which places a premium on mental health professionals. Late last year a leading Australian mental health expert urged importation to double the number of  mental health workers, and cited New Zealand as a prime target for catchment.</w:t>
      </w:r>
      <w:r w:rsidRPr="00D802FC">
        <w:rPr>
          <w:rStyle w:val="EndnoteReference"/>
          <w:rFonts w:ascii="Segoe UI" w:hAnsi="Segoe UI" w:cs="Segoe UI"/>
        </w:rPr>
        <w:endnoteReference w:id="10"/>
      </w:r>
      <w:r w:rsidR="005E03E5" w:rsidRPr="00D802FC">
        <w:rPr>
          <w:rFonts w:ascii="Segoe UI" w:hAnsi="Segoe UI" w:cs="Segoe UI"/>
        </w:rPr>
        <w:t xml:space="preserve">  Nationally, the </w:t>
      </w:r>
      <w:r w:rsidR="00FC3019" w:rsidRPr="00D802FC">
        <w:rPr>
          <w:rFonts w:ascii="Segoe UI" w:hAnsi="Segoe UI" w:cs="Segoe UI"/>
        </w:rPr>
        <w:t>h</w:t>
      </w:r>
      <w:r w:rsidR="005E03E5" w:rsidRPr="00D802FC">
        <w:rPr>
          <w:rFonts w:ascii="Segoe UI" w:hAnsi="Segoe UI" w:cs="Segoe UI"/>
        </w:rPr>
        <w:t xml:space="preserve">ealth </w:t>
      </w:r>
      <w:r w:rsidR="00FC3019" w:rsidRPr="00D802FC">
        <w:rPr>
          <w:rFonts w:ascii="Segoe UI" w:hAnsi="Segoe UI" w:cs="Segoe UI"/>
        </w:rPr>
        <w:t>s</w:t>
      </w:r>
      <w:r w:rsidR="005E03E5" w:rsidRPr="00D802FC">
        <w:rPr>
          <w:rFonts w:ascii="Segoe UI" w:hAnsi="Segoe UI" w:cs="Segoe UI"/>
        </w:rPr>
        <w:t xml:space="preserve">ector is increasingly </w:t>
      </w:r>
      <w:r w:rsidR="0026249D" w:rsidRPr="00D802FC">
        <w:rPr>
          <w:rFonts w:ascii="Segoe UI" w:hAnsi="Segoe UI" w:cs="Segoe UI"/>
        </w:rPr>
        <w:t>losing</w:t>
      </w:r>
      <w:r w:rsidR="005E03E5" w:rsidRPr="00D802FC">
        <w:rPr>
          <w:rFonts w:ascii="Segoe UI" w:hAnsi="Segoe UI" w:cs="Segoe UI"/>
        </w:rPr>
        <w:t xml:space="preserve"> experienced and recently graduated </w:t>
      </w:r>
      <w:r w:rsidR="00C439CC" w:rsidRPr="00D802FC">
        <w:rPr>
          <w:rFonts w:ascii="Segoe UI" w:hAnsi="Segoe UI" w:cs="Segoe UI"/>
        </w:rPr>
        <w:t>m</w:t>
      </w:r>
      <w:r w:rsidR="00A5365F" w:rsidRPr="00D802FC">
        <w:rPr>
          <w:rFonts w:ascii="Segoe UI" w:hAnsi="Segoe UI" w:cs="Segoe UI"/>
        </w:rPr>
        <w:t xml:space="preserve">ental health and </w:t>
      </w:r>
      <w:r w:rsidR="00A5365F" w:rsidRPr="00D802FC">
        <w:rPr>
          <w:rFonts w:ascii="Segoe UI" w:hAnsi="Segoe UI" w:cs="Segoe UI"/>
        </w:rPr>
        <w:lastRenderedPageBreak/>
        <w:t>addiction</w:t>
      </w:r>
      <w:r w:rsidR="009511B1">
        <w:rPr>
          <w:rFonts w:ascii="Segoe UI" w:hAnsi="Segoe UI" w:cs="Segoe UI"/>
        </w:rPr>
        <w:t>s</w:t>
      </w:r>
      <w:r w:rsidR="00A5365F" w:rsidRPr="00D802FC">
        <w:rPr>
          <w:rFonts w:ascii="Segoe UI" w:hAnsi="Segoe UI" w:cs="Segoe UI"/>
        </w:rPr>
        <w:t xml:space="preserve"> </w:t>
      </w:r>
      <w:r w:rsidR="005E03E5" w:rsidRPr="00D802FC">
        <w:rPr>
          <w:rFonts w:ascii="Segoe UI" w:hAnsi="Segoe UI" w:cs="Segoe UI"/>
        </w:rPr>
        <w:t xml:space="preserve">staff </w:t>
      </w:r>
      <w:r w:rsidR="0026249D" w:rsidRPr="00D802FC">
        <w:rPr>
          <w:rFonts w:ascii="Segoe UI" w:hAnsi="Segoe UI" w:cs="Segoe UI"/>
        </w:rPr>
        <w:t>to</w:t>
      </w:r>
      <w:r w:rsidR="005E03E5" w:rsidRPr="00D802FC">
        <w:rPr>
          <w:rFonts w:ascii="Segoe UI" w:hAnsi="Segoe UI" w:cs="Segoe UI"/>
        </w:rPr>
        <w:t xml:space="preserve"> </w:t>
      </w:r>
      <w:r w:rsidR="0026249D" w:rsidRPr="00D802FC">
        <w:rPr>
          <w:rFonts w:ascii="Segoe UI" w:hAnsi="Segoe UI" w:cs="Segoe UI"/>
        </w:rPr>
        <w:t xml:space="preserve">other sectors such as Ara Poutama and </w:t>
      </w:r>
      <w:proofErr w:type="spellStart"/>
      <w:r w:rsidR="0026249D" w:rsidRPr="00D802FC">
        <w:rPr>
          <w:rFonts w:ascii="Segoe UI" w:hAnsi="Segoe UI" w:cs="Segoe UI"/>
        </w:rPr>
        <w:t>Oranga</w:t>
      </w:r>
      <w:proofErr w:type="spellEnd"/>
      <w:r w:rsidR="0026249D" w:rsidRPr="00D802FC">
        <w:rPr>
          <w:rFonts w:ascii="Segoe UI" w:hAnsi="Segoe UI" w:cs="Segoe UI"/>
        </w:rPr>
        <w:t xml:space="preserve"> Tamariki who are </w:t>
      </w:r>
      <w:r w:rsidR="00345B38" w:rsidRPr="00D802FC">
        <w:rPr>
          <w:rFonts w:ascii="Segoe UI" w:hAnsi="Segoe UI" w:cs="Segoe UI"/>
        </w:rPr>
        <w:t xml:space="preserve">able to </w:t>
      </w:r>
      <w:r w:rsidR="00A5365F" w:rsidRPr="00D802FC">
        <w:rPr>
          <w:rFonts w:ascii="Segoe UI" w:hAnsi="Segoe UI" w:cs="Segoe UI"/>
        </w:rPr>
        <w:t>offer</w:t>
      </w:r>
      <w:r w:rsidR="0026249D" w:rsidRPr="00D802FC">
        <w:rPr>
          <w:rFonts w:ascii="Segoe UI" w:hAnsi="Segoe UI" w:cs="Segoe UI"/>
        </w:rPr>
        <w:t xml:space="preserve"> higher salaries and benefits. </w:t>
      </w:r>
      <w:r w:rsidR="00EE211A" w:rsidRPr="00D802FC">
        <w:rPr>
          <w:rFonts w:ascii="Segoe UI" w:hAnsi="Segoe UI" w:cs="Segoe UI"/>
        </w:rPr>
        <w:t>I</w:t>
      </w:r>
      <w:r w:rsidR="0026249D" w:rsidRPr="00D802FC">
        <w:rPr>
          <w:rFonts w:ascii="Segoe UI" w:hAnsi="Segoe UI" w:cs="Segoe UI"/>
        </w:rPr>
        <w:t xml:space="preserve">nitiatives such as the Ara Poutama Hikitia Services and expansion of the </w:t>
      </w:r>
      <w:proofErr w:type="spellStart"/>
      <w:r w:rsidR="0026249D" w:rsidRPr="00D802FC">
        <w:rPr>
          <w:rFonts w:ascii="Segoe UI" w:hAnsi="Segoe UI" w:cs="Segoe UI"/>
        </w:rPr>
        <w:t>Waikeria</w:t>
      </w:r>
      <w:proofErr w:type="spellEnd"/>
      <w:r w:rsidR="0026249D" w:rsidRPr="00D802FC">
        <w:rPr>
          <w:rFonts w:ascii="Segoe UI" w:hAnsi="Segoe UI" w:cs="Segoe UI"/>
        </w:rPr>
        <w:t xml:space="preserve"> Prison Health Services will likely further stress the available workforce for health, despite joint work to mitigate this.</w:t>
      </w:r>
      <w:r w:rsidR="00FD3F6B" w:rsidRPr="00D802FC">
        <w:rPr>
          <w:rFonts w:ascii="Segoe UI" w:hAnsi="Segoe UI" w:cs="Segoe UI"/>
        </w:rPr>
        <w:t xml:space="preserve">  The Ministry will work with other agencies to grow cross-agency planning to grow and upskill the mental health and addiction workforce.</w:t>
      </w:r>
    </w:p>
    <w:p w14:paraId="43B4B615" w14:textId="49664E5E" w:rsidR="00DA309E" w:rsidRDefault="00A56F12" w:rsidP="003B2845">
      <w:pPr>
        <w:rPr>
          <w:rFonts w:ascii="Segoe UI" w:hAnsi="Segoe UI" w:cs="Segoe UI"/>
        </w:rPr>
      </w:pPr>
      <w:r w:rsidRPr="00D802FC">
        <w:rPr>
          <w:rFonts w:ascii="Segoe UI" w:hAnsi="Segoe UI" w:cs="Segoe UI"/>
        </w:rPr>
        <w:t>The development of</w:t>
      </w:r>
      <w:r w:rsidR="000B0AF9" w:rsidRPr="00D802FC">
        <w:rPr>
          <w:rFonts w:ascii="Segoe UI" w:hAnsi="Segoe UI" w:cs="Segoe UI"/>
        </w:rPr>
        <w:t xml:space="preserve"> </w:t>
      </w:r>
      <w:r w:rsidR="00810DAD" w:rsidRPr="00D802FC">
        <w:rPr>
          <w:rFonts w:ascii="Segoe UI" w:hAnsi="Segoe UI" w:cs="Segoe UI"/>
        </w:rPr>
        <w:t>well-</w:t>
      </w:r>
      <w:r w:rsidRPr="00D802FC">
        <w:rPr>
          <w:rFonts w:ascii="Segoe UI" w:hAnsi="Segoe UI" w:cs="Segoe UI"/>
        </w:rPr>
        <w:t>trained</w:t>
      </w:r>
      <w:r w:rsidR="00B64CA9">
        <w:rPr>
          <w:rFonts w:ascii="Segoe UI" w:hAnsi="Segoe UI" w:cs="Segoe UI"/>
        </w:rPr>
        <w:t xml:space="preserve">, </w:t>
      </w:r>
      <w:r w:rsidR="000B0AF9" w:rsidRPr="00D802FC">
        <w:rPr>
          <w:rFonts w:ascii="Segoe UI" w:hAnsi="Segoe UI" w:cs="Segoe UI"/>
        </w:rPr>
        <w:t xml:space="preserve">new peer and lived experience workforces that are culturally competent and that can assist in addressing primary care needs </w:t>
      </w:r>
      <w:r w:rsidR="0026249D" w:rsidRPr="00D802FC">
        <w:rPr>
          <w:rFonts w:ascii="Segoe UI" w:hAnsi="Segoe UI" w:cs="Segoe UI"/>
        </w:rPr>
        <w:t xml:space="preserve">has begun and </w:t>
      </w:r>
      <w:r w:rsidR="000B0AF9" w:rsidRPr="00D802FC">
        <w:rPr>
          <w:rFonts w:ascii="Segoe UI" w:hAnsi="Segoe UI" w:cs="Segoe UI"/>
        </w:rPr>
        <w:t xml:space="preserve">should be </w:t>
      </w:r>
      <w:r w:rsidRPr="00D802FC">
        <w:rPr>
          <w:rFonts w:ascii="Segoe UI" w:hAnsi="Segoe UI" w:cs="Segoe UI"/>
        </w:rPr>
        <w:t xml:space="preserve">urgently </w:t>
      </w:r>
      <w:r w:rsidR="000B0AF9" w:rsidRPr="00D802FC">
        <w:rPr>
          <w:rFonts w:ascii="Segoe UI" w:hAnsi="Segoe UI" w:cs="Segoe UI"/>
        </w:rPr>
        <w:t xml:space="preserve">prioritised. </w:t>
      </w:r>
      <w:r w:rsidR="009868B4" w:rsidRPr="00D802FC">
        <w:rPr>
          <w:rFonts w:ascii="Segoe UI" w:hAnsi="Segoe UI" w:cs="Segoe UI"/>
        </w:rPr>
        <w:t>A</w:t>
      </w:r>
      <w:r w:rsidRPr="00D802FC">
        <w:rPr>
          <w:rFonts w:ascii="Segoe UI" w:hAnsi="Segoe UI" w:cs="Segoe UI"/>
        </w:rPr>
        <w:t xml:space="preserve"> new </w:t>
      </w:r>
      <w:r w:rsidR="009868B4" w:rsidRPr="00D802FC">
        <w:rPr>
          <w:rFonts w:ascii="Segoe UI" w:hAnsi="Segoe UI" w:cs="Segoe UI"/>
        </w:rPr>
        <w:t xml:space="preserve">auxiliary peer </w:t>
      </w:r>
      <w:r w:rsidRPr="00D802FC">
        <w:rPr>
          <w:rFonts w:ascii="Segoe UI" w:hAnsi="Segoe UI" w:cs="Segoe UI"/>
        </w:rPr>
        <w:t>workforce requires M</w:t>
      </w:r>
      <w:r w:rsidR="00E03D7D" w:rsidRPr="00D802FC">
        <w:rPr>
          <w:rFonts w:ascii="Segoe UI" w:hAnsi="Segoe UI" w:cs="Segoe UI"/>
        </w:rPr>
        <w:t>ā</w:t>
      </w:r>
      <w:r w:rsidRPr="00D802FC">
        <w:rPr>
          <w:rFonts w:ascii="Segoe UI" w:hAnsi="Segoe UI" w:cs="Segoe UI"/>
        </w:rPr>
        <w:t>ori and Pacific leadership to embed constructive solutions from their experience i</w:t>
      </w:r>
      <w:r w:rsidR="00B912FD" w:rsidRPr="00D802FC">
        <w:rPr>
          <w:rFonts w:ascii="Segoe UI" w:hAnsi="Segoe UI" w:cs="Segoe UI"/>
        </w:rPr>
        <w:t>n eliminating health inequities</w:t>
      </w:r>
      <w:r w:rsidR="009868B4" w:rsidRPr="00D802FC">
        <w:rPr>
          <w:rFonts w:ascii="Segoe UI" w:hAnsi="Segoe UI" w:cs="Segoe UI"/>
        </w:rPr>
        <w:t>. It could ideally harness</w:t>
      </w:r>
      <w:r w:rsidR="00B912FD" w:rsidRPr="00D802FC">
        <w:rPr>
          <w:rFonts w:ascii="Segoe UI" w:hAnsi="Segoe UI" w:cs="Segoe UI"/>
        </w:rPr>
        <w:t xml:space="preserve"> regional Māori and Pacific</w:t>
      </w:r>
      <w:r w:rsidR="00B7280F" w:rsidRPr="00D802FC">
        <w:rPr>
          <w:rFonts w:ascii="Segoe UI" w:hAnsi="Segoe UI" w:cs="Segoe UI"/>
        </w:rPr>
        <w:t xml:space="preserve"> training providers and in</w:t>
      </w:r>
      <w:r w:rsidR="009868B4" w:rsidRPr="00D802FC">
        <w:rPr>
          <w:rFonts w:ascii="Segoe UI" w:hAnsi="Segoe UI" w:cs="Segoe UI"/>
        </w:rPr>
        <w:t>corporate lessons learnt from</w:t>
      </w:r>
      <w:r w:rsidR="00B912FD" w:rsidRPr="00D802FC">
        <w:rPr>
          <w:rFonts w:ascii="Segoe UI" w:hAnsi="Segoe UI" w:cs="Segoe UI"/>
        </w:rPr>
        <w:t xml:space="preserve"> </w:t>
      </w:r>
      <w:r w:rsidR="009868B4" w:rsidRPr="00D802FC">
        <w:rPr>
          <w:rFonts w:ascii="Segoe UI" w:hAnsi="Segoe UI" w:cs="Segoe UI"/>
        </w:rPr>
        <w:t xml:space="preserve">fast tracking auxiliary workforces, such as </w:t>
      </w:r>
      <w:proofErr w:type="spellStart"/>
      <w:r w:rsidR="009868B4" w:rsidRPr="00D802FC">
        <w:rPr>
          <w:rFonts w:ascii="Segoe UI" w:hAnsi="Segoe UI" w:cs="Segoe UI"/>
        </w:rPr>
        <w:t>kaimanaaki</w:t>
      </w:r>
      <w:proofErr w:type="spellEnd"/>
      <w:r w:rsidR="009868B4" w:rsidRPr="00D802FC">
        <w:rPr>
          <w:rFonts w:ascii="Segoe UI" w:hAnsi="Segoe UI" w:cs="Segoe UI"/>
        </w:rPr>
        <w:t xml:space="preserve">, during COVID-19. </w:t>
      </w:r>
      <w:r w:rsidR="00B912FD" w:rsidRPr="00D802FC">
        <w:rPr>
          <w:rFonts w:ascii="Segoe UI" w:hAnsi="Segoe UI" w:cs="Segoe UI"/>
        </w:rPr>
        <w:t>N</w:t>
      </w:r>
      <w:r w:rsidRPr="00D802FC">
        <w:rPr>
          <w:rFonts w:ascii="Segoe UI" w:hAnsi="Segoe UI" w:cs="Segoe UI"/>
        </w:rPr>
        <w:t>ew</w:t>
      </w:r>
      <w:r w:rsidR="00E03D7D" w:rsidRPr="00D802FC">
        <w:rPr>
          <w:rFonts w:ascii="Segoe UI" w:hAnsi="Segoe UI" w:cs="Segoe UI"/>
        </w:rPr>
        <w:t xml:space="preserve"> peer </w:t>
      </w:r>
      <w:r w:rsidR="00B912FD" w:rsidRPr="00D802FC">
        <w:rPr>
          <w:rFonts w:ascii="Segoe UI" w:hAnsi="Segoe UI" w:cs="Segoe UI"/>
        </w:rPr>
        <w:t xml:space="preserve">and lived experience </w:t>
      </w:r>
      <w:r w:rsidR="00E03D7D" w:rsidRPr="00D802FC">
        <w:rPr>
          <w:rFonts w:ascii="Segoe UI" w:hAnsi="Segoe UI" w:cs="Segoe UI"/>
        </w:rPr>
        <w:t>workforce</w:t>
      </w:r>
      <w:r w:rsidR="00B912FD" w:rsidRPr="00D802FC">
        <w:rPr>
          <w:rFonts w:ascii="Segoe UI" w:hAnsi="Segoe UI" w:cs="Segoe UI"/>
        </w:rPr>
        <w:t xml:space="preserve">s will increase capability and capacity through </w:t>
      </w:r>
      <w:r w:rsidR="00BC6197" w:rsidRPr="00D802FC">
        <w:rPr>
          <w:rFonts w:ascii="Segoe UI" w:hAnsi="Segoe UI" w:cs="Segoe UI"/>
        </w:rPr>
        <w:t>credentialling and</w:t>
      </w:r>
      <w:r w:rsidRPr="00D802FC">
        <w:rPr>
          <w:rFonts w:ascii="Segoe UI" w:hAnsi="Segoe UI" w:cs="Segoe UI"/>
        </w:rPr>
        <w:t xml:space="preserve"> </w:t>
      </w:r>
      <w:r w:rsidR="00B912FD" w:rsidRPr="00D802FC">
        <w:rPr>
          <w:rFonts w:ascii="Segoe UI" w:hAnsi="Segoe UI" w:cs="Segoe UI"/>
        </w:rPr>
        <w:t xml:space="preserve">could </w:t>
      </w:r>
      <w:r w:rsidRPr="00D802FC">
        <w:rPr>
          <w:rFonts w:ascii="Segoe UI" w:hAnsi="Segoe UI" w:cs="Segoe UI"/>
        </w:rPr>
        <w:t>provide different pathways for M</w:t>
      </w:r>
      <w:r w:rsidR="00E03D7D" w:rsidRPr="00D802FC">
        <w:rPr>
          <w:rFonts w:ascii="Segoe UI" w:hAnsi="Segoe UI" w:cs="Segoe UI"/>
        </w:rPr>
        <w:t>ā</w:t>
      </w:r>
      <w:r w:rsidRPr="00D802FC">
        <w:rPr>
          <w:rFonts w:ascii="Segoe UI" w:hAnsi="Segoe UI" w:cs="Segoe UI"/>
        </w:rPr>
        <w:t>ori and Pacific workforces.</w:t>
      </w:r>
      <w:r w:rsidR="009868B4" w:rsidRPr="00D802FC">
        <w:rPr>
          <w:rFonts w:ascii="Segoe UI" w:hAnsi="Segoe UI" w:cs="Segoe UI"/>
        </w:rPr>
        <w:t xml:space="preserve"> </w:t>
      </w:r>
    </w:p>
    <w:p w14:paraId="158B7869" w14:textId="74D95844" w:rsidR="000B0AF9" w:rsidRPr="00D802FC" w:rsidRDefault="009868B4" w:rsidP="003B2845">
      <w:pPr>
        <w:rPr>
          <w:rFonts w:ascii="Segoe UI" w:hAnsi="Segoe UI" w:cs="Segoe UI"/>
          <w:highlight w:val="yellow"/>
        </w:rPr>
      </w:pPr>
      <w:r w:rsidRPr="00D802FC">
        <w:rPr>
          <w:rFonts w:ascii="Segoe UI" w:hAnsi="Segoe UI" w:cs="Segoe UI"/>
        </w:rPr>
        <w:t>Again,</w:t>
      </w:r>
      <w:r w:rsidR="00B7280F" w:rsidRPr="00D802FC">
        <w:rPr>
          <w:rFonts w:ascii="Segoe UI" w:hAnsi="Segoe UI" w:cs="Segoe UI"/>
        </w:rPr>
        <w:t xml:space="preserve"> the unme</w:t>
      </w:r>
      <w:r w:rsidRPr="00D802FC">
        <w:rPr>
          <w:rFonts w:ascii="Segoe UI" w:hAnsi="Segoe UI" w:cs="Segoe UI"/>
        </w:rPr>
        <w:t xml:space="preserve">t </w:t>
      </w:r>
      <w:r w:rsidR="00B7280F" w:rsidRPr="00D802FC">
        <w:rPr>
          <w:rFonts w:ascii="Segoe UI" w:hAnsi="Segoe UI" w:cs="Segoe UI"/>
        </w:rPr>
        <w:t xml:space="preserve">and growing </w:t>
      </w:r>
      <w:r w:rsidRPr="00D802FC">
        <w:rPr>
          <w:rFonts w:ascii="Segoe UI" w:hAnsi="Segoe UI" w:cs="Segoe UI"/>
        </w:rPr>
        <w:t>ne</w:t>
      </w:r>
      <w:r w:rsidR="00B7280F" w:rsidRPr="00D802FC">
        <w:rPr>
          <w:rFonts w:ascii="Segoe UI" w:hAnsi="Segoe UI" w:cs="Segoe UI"/>
        </w:rPr>
        <w:t>e</w:t>
      </w:r>
      <w:r w:rsidRPr="00D802FC">
        <w:rPr>
          <w:rFonts w:ascii="Segoe UI" w:hAnsi="Segoe UI" w:cs="Segoe UI"/>
        </w:rPr>
        <w:t>d for mental health and addiction services</w:t>
      </w:r>
      <w:r w:rsidR="00B7280F" w:rsidRPr="00D802FC">
        <w:rPr>
          <w:rFonts w:ascii="Segoe UI" w:hAnsi="Segoe UI" w:cs="Segoe UI"/>
        </w:rPr>
        <w:t xml:space="preserve"> requires planning for peer workforce development to be a focus during 2022.</w:t>
      </w:r>
      <w:r w:rsidR="005D7DAF" w:rsidRPr="00D802FC">
        <w:rPr>
          <w:rFonts w:ascii="Segoe UI" w:hAnsi="Segoe UI" w:cs="Segoe UI"/>
        </w:rPr>
        <w:t xml:space="preserve"> Te </w:t>
      </w:r>
      <w:proofErr w:type="spellStart"/>
      <w:r w:rsidR="005D7DAF" w:rsidRPr="00D802FC">
        <w:rPr>
          <w:rFonts w:ascii="Segoe UI" w:hAnsi="Segoe UI" w:cs="Segoe UI"/>
        </w:rPr>
        <w:t>Pou</w:t>
      </w:r>
      <w:proofErr w:type="spellEnd"/>
      <w:r w:rsidR="005D7DAF" w:rsidRPr="00D802FC">
        <w:rPr>
          <w:rFonts w:ascii="Segoe UI" w:hAnsi="Segoe UI" w:cs="Segoe UI"/>
        </w:rPr>
        <w:t xml:space="preserve"> coordinated the </w:t>
      </w:r>
      <w:r w:rsidR="003038E5" w:rsidRPr="00D802FC">
        <w:rPr>
          <w:rFonts w:ascii="Segoe UI" w:hAnsi="Segoe UI" w:cs="Segoe UI"/>
        </w:rPr>
        <w:t xml:space="preserve">2021 </w:t>
      </w:r>
      <w:r w:rsidR="005D7DAF" w:rsidRPr="00D802FC">
        <w:rPr>
          <w:rFonts w:ascii="Segoe UI" w:hAnsi="Segoe UI" w:cs="Segoe UI"/>
        </w:rPr>
        <w:t xml:space="preserve">development and release of </w:t>
      </w:r>
      <w:r w:rsidR="003038E5" w:rsidRPr="00D802FC">
        <w:rPr>
          <w:rFonts w:ascii="Segoe UI" w:hAnsi="Segoe UI" w:cs="Segoe UI"/>
        </w:rPr>
        <w:t xml:space="preserve">the </w:t>
      </w:r>
      <w:r w:rsidR="000B1F1B">
        <w:rPr>
          <w:rFonts w:ascii="Segoe UI" w:hAnsi="Segoe UI" w:cs="Segoe UI"/>
        </w:rPr>
        <w:t>c</w:t>
      </w:r>
      <w:r w:rsidR="003038E5" w:rsidRPr="00D802FC">
        <w:rPr>
          <w:rFonts w:ascii="Segoe UI" w:hAnsi="Segoe UI" w:cs="Segoe UI"/>
        </w:rPr>
        <w:t xml:space="preserve">onsumer, peer support and lived experience workforce development action plan.  The Ministry is working with </w:t>
      </w:r>
      <w:r w:rsidR="00E51A0C" w:rsidRPr="00D802FC">
        <w:rPr>
          <w:rFonts w:ascii="Segoe UI" w:hAnsi="Segoe UI" w:cs="Segoe UI"/>
        </w:rPr>
        <w:t xml:space="preserve">the sector to </w:t>
      </w:r>
      <w:r w:rsidR="00DD6A9B" w:rsidRPr="00D802FC">
        <w:rPr>
          <w:rFonts w:ascii="Segoe UI" w:hAnsi="Segoe UI" w:cs="Segoe UI"/>
        </w:rPr>
        <w:t>support</w:t>
      </w:r>
      <w:r w:rsidR="00E51A0C" w:rsidRPr="00D802FC">
        <w:rPr>
          <w:rFonts w:ascii="Segoe UI" w:hAnsi="Segoe UI" w:cs="Segoe UI"/>
        </w:rPr>
        <w:t xml:space="preserve"> the </w:t>
      </w:r>
      <w:r w:rsidR="00DD6A9B" w:rsidRPr="00D802FC">
        <w:rPr>
          <w:rFonts w:ascii="Segoe UI" w:hAnsi="Segoe UI" w:cs="Segoe UI"/>
        </w:rPr>
        <w:t xml:space="preserve">timely </w:t>
      </w:r>
      <w:r w:rsidR="00E51A0C" w:rsidRPr="00D802FC">
        <w:rPr>
          <w:rFonts w:ascii="Segoe UI" w:hAnsi="Segoe UI" w:cs="Segoe UI"/>
        </w:rPr>
        <w:t>deliver</w:t>
      </w:r>
      <w:r w:rsidR="00DD6A9B" w:rsidRPr="00D802FC">
        <w:rPr>
          <w:rFonts w:ascii="Segoe UI" w:hAnsi="Segoe UI" w:cs="Segoe UI"/>
        </w:rPr>
        <w:t>y</w:t>
      </w:r>
      <w:r w:rsidR="00E51A0C" w:rsidRPr="00D802FC">
        <w:rPr>
          <w:rFonts w:ascii="Segoe UI" w:hAnsi="Segoe UI" w:cs="Segoe UI"/>
        </w:rPr>
        <w:t xml:space="preserve"> of key plan actions.</w:t>
      </w:r>
    </w:p>
    <w:p w14:paraId="10C3B5A6" w14:textId="723AFCF8" w:rsidR="00027546" w:rsidRPr="00D802FC" w:rsidRDefault="00027546" w:rsidP="003B2845">
      <w:pPr>
        <w:rPr>
          <w:rFonts w:ascii="Segoe UI" w:hAnsi="Segoe UI" w:cs="Segoe UI"/>
        </w:rPr>
      </w:pPr>
      <w:r w:rsidRPr="00D802FC">
        <w:rPr>
          <w:rFonts w:ascii="Segoe UI" w:hAnsi="Segoe UI" w:cs="Segoe UI"/>
        </w:rPr>
        <w:t xml:space="preserve">Another workforce gap concerns counsellors. Counsellors in New Zealand </w:t>
      </w:r>
      <w:r w:rsidRPr="00D802FC">
        <w:rPr>
          <w:rFonts w:ascii="Segoe UI" w:hAnsi="Segoe UI" w:cs="Segoe UI"/>
        </w:rPr>
        <w:t>are currently self-regulated</w:t>
      </w:r>
      <w:r w:rsidR="0026249D" w:rsidRPr="00D802FC">
        <w:rPr>
          <w:rFonts w:ascii="Segoe UI" w:hAnsi="Segoe UI" w:cs="Segoe UI"/>
        </w:rPr>
        <w:t>. T</w:t>
      </w:r>
      <w:r w:rsidRPr="00D802FC">
        <w:rPr>
          <w:rFonts w:ascii="Segoe UI" w:hAnsi="Segoe UI" w:cs="Segoe UI"/>
        </w:rPr>
        <w:t xml:space="preserve">he Ministry is working </w:t>
      </w:r>
      <w:r w:rsidR="0026249D" w:rsidRPr="00D802FC">
        <w:rPr>
          <w:rFonts w:ascii="Segoe UI" w:hAnsi="Segoe UI" w:cs="Segoe UI"/>
        </w:rPr>
        <w:t xml:space="preserve"> with the leading counselling associations to implement the </w:t>
      </w:r>
      <w:r w:rsidR="004204EE" w:rsidRPr="00D802FC">
        <w:rPr>
          <w:rFonts w:ascii="Segoe UI" w:hAnsi="Segoe UI" w:cs="Segoe UI"/>
        </w:rPr>
        <w:t>preferred</w:t>
      </w:r>
      <w:r w:rsidR="0026249D" w:rsidRPr="00D802FC">
        <w:rPr>
          <w:rFonts w:ascii="Segoe UI" w:hAnsi="Segoe UI" w:cs="Segoe UI"/>
        </w:rPr>
        <w:t xml:space="preserve"> </w:t>
      </w:r>
      <w:r w:rsidRPr="00D802FC">
        <w:rPr>
          <w:rFonts w:ascii="Segoe UI" w:hAnsi="Segoe UI" w:cs="Segoe UI"/>
        </w:rPr>
        <w:t xml:space="preserve"> </w:t>
      </w:r>
      <w:r w:rsidR="00E35F0F" w:rsidRPr="00D802FC">
        <w:rPr>
          <w:rFonts w:ascii="Segoe UI" w:hAnsi="Segoe UI" w:cs="Segoe UI"/>
        </w:rPr>
        <w:t xml:space="preserve">regulatory </w:t>
      </w:r>
      <w:r w:rsidRPr="00D802FC">
        <w:rPr>
          <w:rFonts w:ascii="Segoe UI" w:hAnsi="Segoe UI" w:cs="Segoe UI"/>
        </w:rPr>
        <w:t xml:space="preserve">option to allow counsellors to work as part of the funded mental health and addictions workforce. This work </w:t>
      </w:r>
      <w:r w:rsidR="0026249D" w:rsidRPr="00D802FC">
        <w:rPr>
          <w:rFonts w:ascii="Segoe UI" w:hAnsi="Segoe UI" w:cs="Segoe UI"/>
        </w:rPr>
        <w:t>is proc</w:t>
      </w:r>
      <w:r w:rsidR="00FD3F6B" w:rsidRPr="00D802FC">
        <w:rPr>
          <w:rFonts w:ascii="Segoe UI" w:hAnsi="Segoe UI" w:cs="Segoe UI"/>
        </w:rPr>
        <w:t>e</w:t>
      </w:r>
      <w:r w:rsidR="0026249D" w:rsidRPr="00D802FC">
        <w:rPr>
          <w:rFonts w:ascii="Segoe UI" w:hAnsi="Segoe UI" w:cs="Segoe UI"/>
        </w:rPr>
        <w:t>eding with urgency.</w:t>
      </w:r>
    </w:p>
    <w:p w14:paraId="3FEEC130" w14:textId="70EDF1CD" w:rsidR="00DB5716" w:rsidRPr="00D802FC" w:rsidRDefault="000B0AF9" w:rsidP="003B2845">
      <w:pPr>
        <w:rPr>
          <w:rFonts w:ascii="Segoe UI" w:hAnsi="Segoe UI" w:cs="Segoe UI"/>
        </w:rPr>
      </w:pPr>
      <w:r w:rsidRPr="00D802FC">
        <w:rPr>
          <w:rFonts w:ascii="Segoe UI" w:hAnsi="Segoe UI" w:cs="Segoe UI"/>
        </w:rPr>
        <w:t>Equally, secondary care services are critical</w:t>
      </w:r>
      <w:r w:rsidR="00B7280F" w:rsidRPr="00D802FC">
        <w:rPr>
          <w:rFonts w:ascii="Segoe UI" w:hAnsi="Segoe UI" w:cs="Segoe UI"/>
        </w:rPr>
        <w:t xml:space="preserve">. Long standing shortages of psychiatrists and clinical psychologists plus the turnover of </w:t>
      </w:r>
      <w:r w:rsidR="000E75DB">
        <w:rPr>
          <w:rFonts w:ascii="Segoe UI" w:hAnsi="Segoe UI" w:cs="Segoe UI"/>
        </w:rPr>
        <w:t>r</w:t>
      </w:r>
      <w:r w:rsidR="00B7280F" w:rsidRPr="00D802FC">
        <w:rPr>
          <w:rFonts w:ascii="Segoe UI" w:hAnsi="Segoe UI" w:cs="Segoe UI"/>
        </w:rPr>
        <w:t xml:space="preserve">egistered </w:t>
      </w:r>
      <w:r w:rsidR="000E75DB">
        <w:rPr>
          <w:rFonts w:ascii="Segoe UI" w:hAnsi="Segoe UI" w:cs="Segoe UI"/>
        </w:rPr>
        <w:t>n</w:t>
      </w:r>
      <w:r w:rsidR="00B7280F" w:rsidRPr="00D802FC">
        <w:rPr>
          <w:rFonts w:ascii="Segoe UI" w:hAnsi="Segoe UI" w:cs="Segoe UI"/>
        </w:rPr>
        <w:t>urses working in mental health have become endemic and difficult to address in the short term. T</w:t>
      </w:r>
      <w:r w:rsidRPr="00D802FC">
        <w:rPr>
          <w:rFonts w:ascii="Segoe UI" w:hAnsi="Segoe UI" w:cs="Segoe UI"/>
        </w:rPr>
        <w:t xml:space="preserve">he Ministry is committed to growing the </w:t>
      </w:r>
      <w:r w:rsidR="001B5250">
        <w:rPr>
          <w:rFonts w:ascii="Segoe UI" w:hAnsi="Segoe UI" w:cs="Segoe UI"/>
        </w:rPr>
        <w:t>c</w:t>
      </w:r>
      <w:r w:rsidRPr="00D802FC">
        <w:rPr>
          <w:rFonts w:ascii="Segoe UI" w:hAnsi="Segoe UI" w:cs="Segoe UI"/>
        </w:rPr>
        <w:t xml:space="preserve">linical </w:t>
      </w:r>
      <w:r w:rsidR="001B5250">
        <w:rPr>
          <w:rFonts w:ascii="Segoe UI" w:hAnsi="Segoe UI" w:cs="Segoe UI"/>
        </w:rPr>
        <w:t>p</w:t>
      </w:r>
      <w:r w:rsidRPr="00D802FC">
        <w:rPr>
          <w:rFonts w:ascii="Segoe UI" w:hAnsi="Segoe UI" w:cs="Segoe UI"/>
        </w:rPr>
        <w:t>sycho</w:t>
      </w:r>
      <w:r w:rsidR="00095AE2" w:rsidRPr="00D802FC">
        <w:rPr>
          <w:rFonts w:ascii="Segoe UI" w:hAnsi="Segoe UI" w:cs="Segoe UI"/>
        </w:rPr>
        <w:t>logy workforce. I</w:t>
      </w:r>
      <w:r w:rsidRPr="00D802FC">
        <w:rPr>
          <w:rFonts w:ascii="Segoe UI" w:hAnsi="Segoe UI" w:cs="Segoe UI"/>
        </w:rPr>
        <w:t>t is working with regional health workforce representatives, professional leads, university coordinators and members of the Psychology Workforce</w:t>
      </w:r>
      <w:r w:rsidR="00E3167A" w:rsidRPr="00D802FC">
        <w:rPr>
          <w:rFonts w:ascii="Segoe UI" w:hAnsi="Segoe UI" w:cs="Segoe UI"/>
        </w:rPr>
        <w:t xml:space="preserve"> </w:t>
      </w:r>
      <w:r w:rsidR="00A25D50">
        <w:rPr>
          <w:rFonts w:ascii="Segoe UI" w:hAnsi="Segoe UI" w:cs="Segoe UI"/>
        </w:rPr>
        <w:t>T</w:t>
      </w:r>
      <w:r w:rsidR="00E3167A" w:rsidRPr="00D802FC">
        <w:rPr>
          <w:rFonts w:ascii="Segoe UI" w:hAnsi="Segoe UI" w:cs="Segoe UI"/>
        </w:rPr>
        <w:t xml:space="preserve">askforce to understand and to respond to local barriers. As referred </w:t>
      </w:r>
      <w:r w:rsidR="00666E6F" w:rsidRPr="00D802FC">
        <w:rPr>
          <w:rFonts w:ascii="Segoe UI" w:hAnsi="Segoe UI" w:cs="Segoe UI"/>
        </w:rPr>
        <w:t xml:space="preserve">to above, this is an example </w:t>
      </w:r>
      <w:r w:rsidR="00A56F12" w:rsidRPr="00D802FC">
        <w:rPr>
          <w:rFonts w:ascii="Segoe UI" w:hAnsi="Segoe UI" w:cs="Segoe UI"/>
        </w:rPr>
        <w:t>where</w:t>
      </w:r>
      <w:r w:rsidR="00E3167A" w:rsidRPr="00D802FC">
        <w:rPr>
          <w:rFonts w:ascii="Segoe UI" w:hAnsi="Segoe UI" w:cs="Segoe UI"/>
        </w:rPr>
        <w:t xml:space="preserve"> the</w:t>
      </w:r>
      <w:r w:rsidR="00A56F12" w:rsidRPr="00D802FC">
        <w:rPr>
          <w:rFonts w:ascii="Segoe UI" w:hAnsi="Segoe UI" w:cs="Segoe UI"/>
        </w:rPr>
        <w:t>re is a demonstrable</w:t>
      </w:r>
      <w:r w:rsidR="00E3167A" w:rsidRPr="00D802FC">
        <w:rPr>
          <w:rFonts w:ascii="Segoe UI" w:hAnsi="Segoe UI" w:cs="Segoe UI"/>
        </w:rPr>
        <w:t xml:space="preserve"> need for a “power to act” in the health workforce governance</w:t>
      </w:r>
      <w:r w:rsidR="00666E6F" w:rsidRPr="00D802FC">
        <w:rPr>
          <w:rFonts w:ascii="Segoe UI" w:hAnsi="Segoe UI" w:cs="Segoe UI"/>
        </w:rPr>
        <w:t xml:space="preserve"> environment</w:t>
      </w:r>
      <w:r w:rsidR="00E03D7D" w:rsidRPr="00D802FC">
        <w:rPr>
          <w:rFonts w:ascii="Segoe UI" w:hAnsi="Segoe UI" w:cs="Segoe UI"/>
        </w:rPr>
        <w:t>,</w:t>
      </w:r>
      <w:r w:rsidR="00E96A49" w:rsidRPr="00D802FC">
        <w:rPr>
          <w:rFonts w:ascii="Segoe UI" w:hAnsi="Segoe UI" w:cs="Segoe UI"/>
        </w:rPr>
        <w:t xml:space="preserve"> following</w:t>
      </w:r>
      <w:r w:rsidR="00A56F12" w:rsidRPr="00D802FC">
        <w:rPr>
          <w:rFonts w:ascii="Segoe UI" w:hAnsi="Segoe UI" w:cs="Segoe UI"/>
        </w:rPr>
        <w:t xml:space="preserve"> </w:t>
      </w:r>
      <w:r w:rsidR="00E03D7D" w:rsidRPr="00D802FC">
        <w:rPr>
          <w:rFonts w:ascii="Segoe UI" w:hAnsi="Segoe UI" w:cs="Segoe UI"/>
        </w:rPr>
        <w:t xml:space="preserve">effective </w:t>
      </w:r>
      <w:r w:rsidR="00A56F12" w:rsidRPr="00D802FC">
        <w:rPr>
          <w:rFonts w:ascii="Segoe UI" w:hAnsi="Segoe UI" w:cs="Segoe UI"/>
        </w:rPr>
        <w:t xml:space="preserve">consultation with stakeholders. </w:t>
      </w:r>
    </w:p>
    <w:p w14:paraId="42C105B9" w14:textId="6469A776" w:rsidR="00B7280F" w:rsidRPr="00D802FC" w:rsidRDefault="00E3167A" w:rsidP="003B2845">
      <w:pPr>
        <w:rPr>
          <w:rFonts w:ascii="Segoe UI" w:hAnsi="Segoe UI" w:cs="Segoe UI"/>
        </w:rPr>
      </w:pPr>
      <w:r w:rsidRPr="00D802FC">
        <w:rPr>
          <w:rFonts w:ascii="Segoe UI" w:hAnsi="Segoe UI" w:cs="Segoe UI"/>
        </w:rPr>
        <w:t xml:space="preserve">About $20 million of the Ministry’s baseline workforce development funding is invested across the four national mental health and addiction workforce centres (Te </w:t>
      </w:r>
      <w:proofErr w:type="spellStart"/>
      <w:r w:rsidRPr="00D802FC">
        <w:rPr>
          <w:rFonts w:ascii="Segoe UI" w:hAnsi="Segoe UI" w:cs="Segoe UI"/>
        </w:rPr>
        <w:t>Pou</w:t>
      </w:r>
      <w:proofErr w:type="spellEnd"/>
      <w:r w:rsidRPr="00D802FC">
        <w:rPr>
          <w:rFonts w:ascii="Segoe UI" w:hAnsi="Segoe UI" w:cs="Segoe UI"/>
        </w:rPr>
        <w:t xml:space="preserve">, </w:t>
      </w:r>
      <w:proofErr w:type="spellStart"/>
      <w:r w:rsidRPr="00D802FC">
        <w:rPr>
          <w:rFonts w:ascii="Segoe UI" w:hAnsi="Segoe UI" w:cs="Segoe UI"/>
        </w:rPr>
        <w:t>Whā</w:t>
      </w:r>
      <w:r w:rsidR="00DA6263" w:rsidRPr="00D802FC">
        <w:rPr>
          <w:rFonts w:ascii="Segoe UI" w:hAnsi="Segoe UI" w:cs="Segoe UI"/>
        </w:rPr>
        <w:t>raurau</w:t>
      </w:r>
      <w:proofErr w:type="spellEnd"/>
      <w:r w:rsidR="00DA6263" w:rsidRPr="00D802FC">
        <w:rPr>
          <w:rFonts w:ascii="Segoe UI" w:hAnsi="Segoe UI" w:cs="Segoe UI"/>
        </w:rPr>
        <w:t xml:space="preserve">, Le </w:t>
      </w:r>
      <w:proofErr w:type="spellStart"/>
      <w:r w:rsidR="00DA6263" w:rsidRPr="00D802FC">
        <w:rPr>
          <w:rFonts w:ascii="Segoe UI" w:hAnsi="Segoe UI" w:cs="Segoe UI"/>
        </w:rPr>
        <w:t>Va</w:t>
      </w:r>
      <w:proofErr w:type="spellEnd"/>
      <w:r w:rsidR="00DA6263" w:rsidRPr="00D802FC">
        <w:rPr>
          <w:rFonts w:ascii="Segoe UI" w:hAnsi="Segoe UI" w:cs="Segoe UI"/>
        </w:rPr>
        <w:t xml:space="preserve"> and Te Rau Ora) </w:t>
      </w:r>
      <w:r w:rsidRPr="00D802FC">
        <w:rPr>
          <w:rFonts w:ascii="Segoe UI" w:hAnsi="Segoe UI" w:cs="Segoe UI"/>
        </w:rPr>
        <w:t>with $1.325 million extra allocated to initiatives outsid</w:t>
      </w:r>
      <w:r w:rsidR="00DA6263" w:rsidRPr="00D802FC">
        <w:rPr>
          <w:rFonts w:ascii="Segoe UI" w:hAnsi="Segoe UI" w:cs="Segoe UI"/>
        </w:rPr>
        <w:t>e of the</w:t>
      </w:r>
      <w:r w:rsidRPr="00D802FC">
        <w:rPr>
          <w:rFonts w:ascii="Segoe UI" w:hAnsi="Segoe UI" w:cs="Segoe UI"/>
        </w:rPr>
        <w:t xml:space="preserve"> w</w:t>
      </w:r>
      <w:r w:rsidR="00A56F12" w:rsidRPr="00D802FC">
        <w:rPr>
          <w:rFonts w:ascii="Segoe UI" w:hAnsi="Segoe UI" w:cs="Segoe UI"/>
        </w:rPr>
        <w:t>orkforce centres.</w:t>
      </w:r>
      <w:r w:rsidR="00E53501" w:rsidRPr="00D802FC">
        <w:rPr>
          <w:rFonts w:ascii="Segoe UI" w:hAnsi="Segoe UI" w:cs="Segoe UI"/>
        </w:rPr>
        <w:t xml:space="preserve"> </w:t>
      </w:r>
      <w:r w:rsidR="00A56F12" w:rsidRPr="00D802FC">
        <w:rPr>
          <w:rFonts w:ascii="Segoe UI" w:hAnsi="Segoe UI" w:cs="Segoe UI"/>
        </w:rPr>
        <w:t>Each of the workforce centres have individual responsibilities and core activities</w:t>
      </w:r>
      <w:r w:rsidR="00E53501" w:rsidRPr="00D802FC">
        <w:rPr>
          <w:rFonts w:ascii="Segoe UI" w:hAnsi="Segoe UI" w:cs="Segoe UI"/>
        </w:rPr>
        <w:t xml:space="preserve">. For example, Le </w:t>
      </w:r>
      <w:proofErr w:type="spellStart"/>
      <w:r w:rsidR="00E53501" w:rsidRPr="00D802FC">
        <w:rPr>
          <w:rFonts w:ascii="Segoe UI" w:hAnsi="Segoe UI" w:cs="Segoe UI"/>
        </w:rPr>
        <w:t>Va</w:t>
      </w:r>
      <w:proofErr w:type="spellEnd"/>
      <w:r w:rsidR="00E53501" w:rsidRPr="00D802FC">
        <w:rPr>
          <w:rFonts w:ascii="Segoe UI" w:hAnsi="Segoe UI" w:cs="Segoe UI"/>
        </w:rPr>
        <w:t xml:space="preserve"> is Pacific focussed; </w:t>
      </w:r>
      <w:proofErr w:type="spellStart"/>
      <w:r w:rsidR="00E53501" w:rsidRPr="00D802FC">
        <w:rPr>
          <w:rFonts w:ascii="Segoe UI" w:hAnsi="Segoe UI" w:cs="Segoe UI"/>
        </w:rPr>
        <w:t>Whāraurau</w:t>
      </w:r>
      <w:proofErr w:type="spellEnd"/>
      <w:r w:rsidR="00E53501" w:rsidRPr="00D802FC">
        <w:rPr>
          <w:rFonts w:ascii="Segoe UI" w:hAnsi="Segoe UI" w:cs="Segoe UI"/>
        </w:rPr>
        <w:t xml:space="preserve"> </w:t>
      </w:r>
      <w:r w:rsidR="00B7280F" w:rsidRPr="00D802FC">
        <w:rPr>
          <w:rFonts w:ascii="Segoe UI" w:hAnsi="Segoe UI" w:cs="Segoe UI"/>
        </w:rPr>
        <w:t>undertakes considerable activity</w:t>
      </w:r>
      <w:r w:rsidR="00E53501" w:rsidRPr="00D802FC">
        <w:rPr>
          <w:rFonts w:ascii="Segoe UI" w:hAnsi="Segoe UI" w:cs="Segoe UI"/>
        </w:rPr>
        <w:t xml:space="preserve"> for</w:t>
      </w:r>
      <w:r w:rsidR="00FD3F6B" w:rsidRPr="00D802FC">
        <w:rPr>
          <w:rFonts w:ascii="Segoe UI" w:hAnsi="Segoe UI" w:cs="Segoe UI"/>
        </w:rPr>
        <w:t xml:space="preserve"> the workforce who work with</w:t>
      </w:r>
      <w:r w:rsidR="00E53501" w:rsidRPr="00D802FC">
        <w:rPr>
          <w:rFonts w:ascii="Segoe UI" w:hAnsi="Segoe UI" w:cs="Segoe UI"/>
        </w:rPr>
        <w:t xml:space="preserve"> children and young people; Te Rau Ora looks at M</w:t>
      </w:r>
      <w:r w:rsidR="00F9655A">
        <w:rPr>
          <w:rFonts w:ascii="Segoe UI" w:hAnsi="Segoe UI" w:cs="Segoe UI"/>
        </w:rPr>
        <w:t>ā</w:t>
      </w:r>
      <w:r w:rsidR="00E53501" w:rsidRPr="00D802FC">
        <w:rPr>
          <w:rFonts w:ascii="Segoe UI" w:hAnsi="Segoe UI" w:cs="Segoe UI"/>
        </w:rPr>
        <w:t>ori lived experience, leadership, frameworks and sch</w:t>
      </w:r>
      <w:r w:rsidR="00E03D7D" w:rsidRPr="00D802FC">
        <w:rPr>
          <w:rFonts w:ascii="Segoe UI" w:hAnsi="Segoe UI" w:cs="Segoe UI"/>
        </w:rPr>
        <w:t>olarships among other work,</w:t>
      </w:r>
      <w:r w:rsidR="00E53501" w:rsidRPr="00D802FC">
        <w:rPr>
          <w:rFonts w:ascii="Segoe UI" w:hAnsi="Segoe UI" w:cs="Segoe UI"/>
        </w:rPr>
        <w:t xml:space="preserve"> while Te </w:t>
      </w:r>
      <w:proofErr w:type="spellStart"/>
      <w:r w:rsidR="00E53501" w:rsidRPr="00D802FC">
        <w:rPr>
          <w:rFonts w:ascii="Segoe UI" w:hAnsi="Segoe UI" w:cs="Segoe UI"/>
        </w:rPr>
        <w:t>Pou</w:t>
      </w:r>
      <w:proofErr w:type="spellEnd"/>
      <w:r w:rsidR="00A56F12" w:rsidRPr="00D802FC">
        <w:rPr>
          <w:rFonts w:ascii="Segoe UI" w:hAnsi="Segoe UI" w:cs="Segoe UI"/>
        </w:rPr>
        <w:t xml:space="preserve"> </w:t>
      </w:r>
      <w:r w:rsidR="00E53501" w:rsidRPr="00D802FC">
        <w:rPr>
          <w:rFonts w:ascii="Segoe UI" w:hAnsi="Segoe UI" w:cs="Segoe UI"/>
        </w:rPr>
        <w:t xml:space="preserve">incorporates leadership and system </w:t>
      </w:r>
      <w:r w:rsidR="00E53501" w:rsidRPr="00D802FC">
        <w:rPr>
          <w:rFonts w:ascii="Segoe UI" w:hAnsi="Segoe UI" w:cs="Segoe UI"/>
        </w:rPr>
        <w:lastRenderedPageBreak/>
        <w:t xml:space="preserve">change, data information and research, basic addiction and mental health first aid education, in </w:t>
      </w:r>
      <w:r w:rsidR="007B702C" w:rsidRPr="00D802FC">
        <w:rPr>
          <w:rFonts w:ascii="Segoe UI" w:hAnsi="Segoe UI" w:cs="Segoe UI"/>
        </w:rPr>
        <w:t>addi</w:t>
      </w:r>
      <w:r w:rsidR="00E53501" w:rsidRPr="00D802FC">
        <w:rPr>
          <w:rFonts w:ascii="Segoe UI" w:hAnsi="Segoe UI" w:cs="Segoe UI"/>
        </w:rPr>
        <w:t>tion to other act</w:t>
      </w:r>
      <w:r w:rsidR="00E03D7D" w:rsidRPr="00D802FC">
        <w:rPr>
          <w:rFonts w:ascii="Segoe UI" w:hAnsi="Segoe UI" w:cs="Segoe UI"/>
        </w:rPr>
        <w:t xml:space="preserve">ivities. </w:t>
      </w:r>
      <w:r w:rsidR="00FD3F6B" w:rsidRPr="00D802FC">
        <w:rPr>
          <w:rFonts w:ascii="Segoe UI" w:hAnsi="Segoe UI" w:cs="Segoe UI"/>
        </w:rPr>
        <w:t xml:space="preserve"> The workforce centres</w:t>
      </w:r>
      <w:r w:rsidR="00297A19" w:rsidRPr="00D802FC">
        <w:rPr>
          <w:rFonts w:ascii="Segoe UI" w:hAnsi="Segoe UI" w:cs="Segoe UI"/>
        </w:rPr>
        <w:t xml:space="preserve">, despite their </w:t>
      </w:r>
      <w:r w:rsidR="00783DCB" w:rsidRPr="00D802FC">
        <w:rPr>
          <w:rFonts w:ascii="Segoe UI" w:hAnsi="Segoe UI" w:cs="Segoe UI"/>
        </w:rPr>
        <w:t xml:space="preserve">strong </w:t>
      </w:r>
      <w:r w:rsidR="009738B4" w:rsidRPr="00D802FC">
        <w:rPr>
          <w:rFonts w:ascii="Segoe UI" w:hAnsi="Segoe UI" w:cs="Segoe UI"/>
        </w:rPr>
        <w:t xml:space="preserve">reputation, </w:t>
      </w:r>
      <w:r w:rsidR="00297A19" w:rsidRPr="00D802FC">
        <w:rPr>
          <w:rFonts w:ascii="Segoe UI" w:hAnsi="Segoe UI" w:cs="Segoe UI"/>
        </w:rPr>
        <w:t xml:space="preserve">presence and leadership in the sector, </w:t>
      </w:r>
      <w:r w:rsidR="009738B4" w:rsidRPr="00D802FC">
        <w:rPr>
          <w:rFonts w:ascii="Segoe UI" w:hAnsi="Segoe UI" w:cs="Segoe UI"/>
        </w:rPr>
        <w:t>are</w:t>
      </w:r>
      <w:r w:rsidR="00FD3F6B" w:rsidRPr="00D802FC">
        <w:rPr>
          <w:rFonts w:ascii="Segoe UI" w:hAnsi="Segoe UI" w:cs="Segoe UI"/>
        </w:rPr>
        <w:t xml:space="preserve"> </w:t>
      </w:r>
      <w:r w:rsidR="00FA5D0F" w:rsidRPr="00D802FC">
        <w:rPr>
          <w:rFonts w:ascii="Segoe UI" w:hAnsi="Segoe UI" w:cs="Segoe UI"/>
        </w:rPr>
        <w:t xml:space="preserve">not currently </w:t>
      </w:r>
      <w:r w:rsidR="00FD3F6B" w:rsidRPr="00D802FC">
        <w:rPr>
          <w:rFonts w:ascii="Segoe UI" w:hAnsi="Segoe UI" w:cs="Segoe UI"/>
        </w:rPr>
        <w:t>mandated to work on the undergraduate or recruitment pipeline for the workforce</w:t>
      </w:r>
      <w:r w:rsidR="00AC481D" w:rsidRPr="00D802FC">
        <w:rPr>
          <w:rFonts w:ascii="Segoe UI" w:hAnsi="Segoe UI" w:cs="Segoe UI"/>
        </w:rPr>
        <w:t>. R</w:t>
      </w:r>
      <w:r w:rsidR="00FD3F6B" w:rsidRPr="00D802FC">
        <w:rPr>
          <w:rFonts w:ascii="Segoe UI" w:hAnsi="Segoe UI" w:cs="Segoe UI"/>
        </w:rPr>
        <w:t xml:space="preserve">ather </w:t>
      </w:r>
      <w:r w:rsidR="00E16253" w:rsidRPr="00D802FC">
        <w:rPr>
          <w:rFonts w:ascii="Segoe UI" w:hAnsi="Segoe UI" w:cs="Segoe UI"/>
        </w:rPr>
        <w:t>they have</w:t>
      </w:r>
      <w:r w:rsidR="00FD3F6B" w:rsidRPr="00D802FC">
        <w:rPr>
          <w:rFonts w:ascii="Segoe UI" w:hAnsi="Segoe UI" w:cs="Segoe UI"/>
        </w:rPr>
        <w:t xml:space="preserve"> been directed toward the improvement in the skills, knowledge, quality,</w:t>
      </w:r>
      <w:r w:rsidR="0095323C" w:rsidRPr="00D802FC">
        <w:rPr>
          <w:rFonts w:ascii="Segoe UI" w:hAnsi="Segoe UI" w:cs="Segoe UI"/>
        </w:rPr>
        <w:t xml:space="preserve"> </w:t>
      </w:r>
      <w:r w:rsidR="00FD3F6B" w:rsidRPr="00D802FC">
        <w:rPr>
          <w:rFonts w:ascii="Segoe UI" w:hAnsi="Segoe UI" w:cs="Segoe UI"/>
        </w:rPr>
        <w:t>safety and effectiveness of the workforce.</w:t>
      </w:r>
      <w:r w:rsidR="00AC481D" w:rsidRPr="00D802FC">
        <w:rPr>
          <w:rFonts w:ascii="Segoe UI" w:hAnsi="Segoe UI" w:cs="Segoe UI"/>
        </w:rPr>
        <w:t xml:space="preserve">  </w:t>
      </w:r>
      <w:r w:rsidR="009738B4" w:rsidRPr="00D802FC">
        <w:rPr>
          <w:rFonts w:ascii="Segoe UI" w:hAnsi="Segoe UI" w:cs="Segoe UI"/>
        </w:rPr>
        <w:t xml:space="preserve">The Ministry </w:t>
      </w:r>
      <w:r w:rsidR="00226A9C" w:rsidRPr="00D802FC">
        <w:rPr>
          <w:rFonts w:ascii="Segoe UI" w:hAnsi="Segoe UI" w:cs="Segoe UI"/>
        </w:rPr>
        <w:t xml:space="preserve">will work with them to direct resource and expertise towards the </w:t>
      </w:r>
      <w:r w:rsidR="00127439" w:rsidRPr="00D802FC">
        <w:rPr>
          <w:rFonts w:ascii="Segoe UI" w:hAnsi="Segoe UI" w:cs="Segoe UI"/>
        </w:rPr>
        <w:t>need to</w:t>
      </w:r>
      <w:r w:rsidR="006059B9" w:rsidRPr="00D802FC">
        <w:rPr>
          <w:rFonts w:ascii="Segoe UI" w:hAnsi="Segoe UI" w:cs="Segoe UI"/>
        </w:rPr>
        <w:t xml:space="preserve"> also</w:t>
      </w:r>
      <w:r w:rsidR="00127439" w:rsidRPr="00D802FC">
        <w:rPr>
          <w:rFonts w:ascii="Segoe UI" w:hAnsi="Segoe UI" w:cs="Segoe UI"/>
        </w:rPr>
        <w:t xml:space="preserve"> rapidly grow the multi</w:t>
      </w:r>
      <w:r w:rsidR="00BF0D90" w:rsidRPr="00D802FC">
        <w:rPr>
          <w:rFonts w:ascii="Segoe UI" w:hAnsi="Segoe UI" w:cs="Segoe UI"/>
        </w:rPr>
        <w:t>-</w:t>
      </w:r>
      <w:r w:rsidR="00127439" w:rsidRPr="00D802FC">
        <w:rPr>
          <w:rFonts w:ascii="Segoe UI" w:hAnsi="Segoe UI" w:cs="Segoe UI"/>
        </w:rPr>
        <w:t>disciplinary workforce</w:t>
      </w:r>
      <w:r w:rsidR="000F447B" w:rsidRPr="00D802FC">
        <w:rPr>
          <w:rFonts w:ascii="Segoe UI" w:hAnsi="Segoe UI" w:cs="Segoe UI"/>
        </w:rPr>
        <w:t>.</w:t>
      </w:r>
    </w:p>
    <w:p w14:paraId="5A6C06C1" w14:textId="0F5CB849" w:rsidR="007769AD" w:rsidRPr="00D802FC" w:rsidRDefault="00E03D7D" w:rsidP="00E83B3F">
      <w:pPr>
        <w:spacing w:after="1200"/>
        <w:rPr>
          <w:rFonts w:ascii="Segoe UI" w:hAnsi="Segoe UI" w:cs="Segoe UI"/>
        </w:rPr>
      </w:pPr>
      <w:r w:rsidRPr="00D802FC">
        <w:rPr>
          <w:rFonts w:ascii="Segoe UI" w:hAnsi="Segoe UI" w:cs="Segoe UI"/>
        </w:rPr>
        <w:t>The urgent need</w:t>
      </w:r>
      <w:r w:rsidR="00E53501" w:rsidRPr="00D802FC">
        <w:rPr>
          <w:rFonts w:ascii="Segoe UI" w:hAnsi="Segoe UI" w:cs="Segoe UI"/>
        </w:rPr>
        <w:t xml:space="preserve"> to </w:t>
      </w:r>
      <w:r w:rsidR="00E3167A" w:rsidRPr="00D802FC">
        <w:rPr>
          <w:rFonts w:ascii="Segoe UI" w:hAnsi="Segoe UI" w:cs="Segoe UI"/>
        </w:rPr>
        <w:t>create new workforces and to transform existing workers</w:t>
      </w:r>
      <w:r w:rsidR="00DA6263" w:rsidRPr="00D802FC">
        <w:rPr>
          <w:rFonts w:ascii="Segoe UI" w:hAnsi="Segoe UI" w:cs="Segoe UI"/>
        </w:rPr>
        <w:t xml:space="preserve"> with new skills and competenci</w:t>
      </w:r>
      <w:r w:rsidR="00E3167A" w:rsidRPr="00D802FC">
        <w:rPr>
          <w:rFonts w:ascii="Segoe UI" w:hAnsi="Segoe UI" w:cs="Segoe UI"/>
        </w:rPr>
        <w:t>es</w:t>
      </w:r>
      <w:r w:rsidR="00B7280F" w:rsidRPr="00D802FC">
        <w:rPr>
          <w:rFonts w:ascii="Segoe UI" w:hAnsi="Segoe UI" w:cs="Segoe UI"/>
        </w:rPr>
        <w:t xml:space="preserve"> plus the health reforms</w:t>
      </w:r>
      <w:r w:rsidR="00666E6F" w:rsidRPr="00D802FC">
        <w:rPr>
          <w:rFonts w:ascii="Segoe UI" w:hAnsi="Segoe UI" w:cs="Segoe UI"/>
        </w:rPr>
        <w:t>,</w:t>
      </w:r>
      <w:r w:rsidR="00E3167A" w:rsidRPr="00D802FC">
        <w:rPr>
          <w:rFonts w:ascii="Segoe UI" w:hAnsi="Segoe UI" w:cs="Segoe UI"/>
        </w:rPr>
        <w:t xml:space="preserve"> </w:t>
      </w:r>
      <w:r w:rsidR="00E53501" w:rsidRPr="00D802FC">
        <w:rPr>
          <w:rFonts w:ascii="Segoe UI" w:hAnsi="Segoe UI" w:cs="Segoe UI"/>
        </w:rPr>
        <w:t>provides a timely op</w:t>
      </w:r>
      <w:r w:rsidR="004B3031" w:rsidRPr="00D802FC">
        <w:rPr>
          <w:rFonts w:ascii="Segoe UI" w:hAnsi="Segoe UI" w:cs="Segoe UI"/>
        </w:rPr>
        <w:t xml:space="preserve">portunity </w:t>
      </w:r>
      <w:r w:rsidR="00B7280F" w:rsidRPr="00D802FC">
        <w:rPr>
          <w:rFonts w:ascii="Segoe UI" w:hAnsi="Segoe UI" w:cs="Segoe UI"/>
        </w:rPr>
        <w:t>for a</w:t>
      </w:r>
      <w:r w:rsidR="00E53501" w:rsidRPr="00D802FC">
        <w:rPr>
          <w:rFonts w:ascii="Segoe UI" w:hAnsi="Segoe UI" w:cs="Segoe UI"/>
        </w:rPr>
        <w:t xml:space="preserve"> review of the workforce centre work programme in conjunction with leading stakeholders.  </w:t>
      </w:r>
      <w:r w:rsidR="00CF4C0C" w:rsidRPr="00D802FC">
        <w:rPr>
          <w:rFonts w:ascii="Segoe UI" w:hAnsi="Segoe UI" w:cs="Segoe UI"/>
        </w:rPr>
        <w:t>The s</w:t>
      </w:r>
      <w:r w:rsidR="00E53501" w:rsidRPr="00D802FC">
        <w:rPr>
          <w:rFonts w:ascii="Segoe UI" w:hAnsi="Segoe UI" w:cs="Segoe UI"/>
        </w:rPr>
        <w:t>ustainability of the m</w:t>
      </w:r>
      <w:r w:rsidR="00CF4C0C" w:rsidRPr="00D802FC">
        <w:rPr>
          <w:rFonts w:ascii="Segoe UI" w:hAnsi="Segoe UI" w:cs="Segoe UI"/>
        </w:rPr>
        <w:t>ental health workforce, including rec</w:t>
      </w:r>
      <w:r w:rsidR="00E53501" w:rsidRPr="00D802FC">
        <w:rPr>
          <w:rFonts w:ascii="Segoe UI" w:hAnsi="Segoe UI" w:cs="Segoe UI"/>
        </w:rPr>
        <w:t>ruitment, training, re</w:t>
      </w:r>
      <w:r w:rsidR="00CF4C0C" w:rsidRPr="00D802FC">
        <w:rPr>
          <w:rFonts w:ascii="Segoe UI" w:hAnsi="Segoe UI" w:cs="Segoe UI"/>
        </w:rPr>
        <w:t>tention and</w:t>
      </w:r>
      <w:r w:rsidR="00E53501" w:rsidRPr="00D802FC">
        <w:rPr>
          <w:rFonts w:ascii="Segoe UI" w:hAnsi="Segoe UI" w:cs="Segoe UI"/>
        </w:rPr>
        <w:t xml:space="preserve"> skill</w:t>
      </w:r>
      <w:r w:rsidR="00CF4C0C" w:rsidRPr="00D802FC">
        <w:rPr>
          <w:rFonts w:ascii="Segoe UI" w:hAnsi="Segoe UI" w:cs="Segoe UI"/>
        </w:rPr>
        <w:t>s transformation, is critical to the succes</w:t>
      </w:r>
      <w:r w:rsidRPr="00D802FC">
        <w:rPr>
          <w:rFonts w:ascii="Segoe UI" w:hAnsi="Segoe UI" w:cs="Segoe UI"/>
        </w:rPr>
        <w:t xml:space="preserve">s of Kia </w:t>
      </w:r>
      <w:proofErr w:type="spellStart"/>
      <w:r w:rsidRPr="00D802FC">
        <w:rPr>
          <w:rFonts w:ascii="Segoe UI" w:hAnsi="Segoe UI" w:cs="Segoe UI"/>
        </w:rPr>
        <w:t>Manawanui</w:t>
      </w:r>
      <w:proofErr w:type="spellEnd"/>
      <w:r w:rsidR="00177D51" w:rsidRPr="00D802FC">
        <w:rPr>
          <w:rFonts w:ascii="Segoe UI" w:hAnsi="Segoe UI" w:cs="Segoe UI"/>
        </w:rPr>
        <w:t xml:space="preserve"> Aotearoa</w:t>
      </w:r>
      <w:r w:rsidR="002917AE" w:rsidRPr="00D802FC">
        <w:rPr>
          <w:rFonts w:ascii="Segoe UI" w:hAnsi="Segoe UI" w:cs="Segoe UI"/>
        </w:rPr>
        <w:t>: Long-Term Pathway to Mental Wellbeing</w:t>
      </w:r>
      <w:r w:rsidR="00095AE2" w:rsidRPr="00D802FC">
        <w:rPr>
          <w:rFonts w:ascii="Segoe UI" w:hAnsi="Segoe UI" w:cs="Segoe UI"/>
        </w:rPr>
        <w:t>, alongside the</w:t>
      </w:r>
      <w:r w:rsidR="00E53501" w:rsidRPr="00D802FC">
        <w:rPr>
          <w:rFonts w:ascii="Segoe UI" w:hAnsi="Segoe UI" w:cs="Segoe UI"/>
        </w:rPr>
        <w:t xml:space="preserve"> new health plan and new health structures</w:t>
      </w:r>
      <w:r w:rsidR="00BF0D90" w:rsidRPr="00D802FC">
        <w:rPr>
          <w:rFonts w:ascii="Segoe UI" w:hAnsi="Segoe UI" w:cs="Segoe UI"/>
        </w:rPr>
        <w:t xml:space="preserve">. </w:t>
      </w:r>
      <w:r w:rsidR="007769AD" w:rsidRPr="00D802FC">
        <w:rPr>
          <w:rFonts w:ascii="Segoe UI" w:hAnsi="Segoe UI" w:cs="Segoe UI"/>
        </w:rPr>
        <w:t xml:space="preserve">The Ministry is  planning the next tranche of investment in growing the </w:t>
      </w:r>
      <w:r w:rsidR="00094C9F">
        <w:rPr>
          <w:rFonts w:ascii="Segoe UI" w:hAnsi="Segoe UI" w:cs="Segoe UI"/>
        </w:rPr>
        <w:t>m</w:t>
      </w:r>
      <w:r w:rsidR="007769AD" w:rsidRPr="00D802FC">
        <w:rPr>
          <w:rFonts w:ascii="Segoe UI" w:hAnsi="Segoe UI" w:cs="Segoe UI"/>
        </w:rPr>
        <w:t xml:space="preserve">ental </w:t>
      </w:r>
      <w:r w:rsidR="00094C9F">
        <w:rPr>
          <w:rFonts w:ascii="Segoe UI" w:hAnsi="Segoe UI" w:cs="Segoe UI"/>
        </w:rPr>
        <w:t>h</w:t>
      </w:r>
      <w:r w:rsidR="007769AD" w:rsidRPr="00D802FC">
        <w:rPr>
          <w:rFonts w:ascii="Segoe UI" w:hAnsi="Segoe UI" w:cs="Segoe UI"/>
        </w:rPr>
        <w:t xml:space="preserve">ealth and </w:t>
      </w:r>
      <w:r w:rsidR="00094C9F">
        <w:rPr>
          <w:rFonts w:ascii="Segoe UI" w:hAnsi="Segoe UI" w:cs="Segoe UI"/>
        </w:rPr>
        <w:t>a</w:t>
      </w:r>
      <w:r w:rsidR="007769AD" w:rsidRPr="00D802FC">
        <w:rPr>
          <w:rFonts w:ascii="Segoe UI" w:hAnsi="Segoe UI" w:cs="Segoe UI"/>
        </w:rPr>
        <w:t xml:space="preserve">ddiction </w:t>
      </w:r>
      <w:r w:rsidR="00094C9F">
        <w:rPr>
          <w:rFonts w:ascii="Segoe UI" w:hAnsi="Segoe UI" w:cs="Segoe UI"/>
        </w:rPr>
        <w:t>w</w:t>
      </w:r>
      <w:r w:rsidR="007769AD" w:rsidRPr="00D802FC">
        <w:rPr>
          <w:rFonts w:ascii="Segoe UI" w:hAnsi="Segoe UI" w:cs="Segoe UI"/>
        </w:rPr>
        <w:t>orkforce</w:t>
      </w:r>
      <w:r w:rsidR="001479DB" w:rsidRPr="00D802FC">
        <w:rPr>
          <w:rFonts w:ascii="Segoe UI" w:hAnsi="Segoe UI" w:cs="Segoe UI"/>
        </w:rPr>
        <w:t xml:space="preserve"> and an evaluation of what is working and what is not should be incorporated</w:t>
      </w:r>
      <w:r w:rsidR="008B4263">
        <w:rPr>
          <w:rFonts w:ascii="Segoe UI" w:hAnsi="Segoe UI" w:cs="Segoe UI"/>
        </w:rPr>
        <w:t xml:space="preserve">. </w:t>
      </w:r>
      <w:r w:rsidR="00BF0D90" w:rsidRPr="00D802FC">
        <w:rPr>
          <w:rFonts w:ascii="Segoe UI" w:hAnsi="Segoe UI" w:cs="Segoe UI"/>
        </w:rPr>
        <w:t xml:space="preserve"> </w:t>
      </w:r>
      <w:r w:rsidR="00600CCF" w:rsidRPr="00D802FC">
        <w:rPr>
          <w:rFonts w:ascii="Segoe UI" w:hAnsi="Segoe UI" w:cs="Segoe UI"/>
        </w:rPr>
        <w:t>On</w:t>
      </w:r>
      <w:r w:rsidR="008B4263">
        <w:rPr>
          <w:rFonts w:ascii="Segoe UI" w:hAnsi="Segoe UI" w:cs="Segoe UI"/>
        </w:rPr>
        <w:t xml:space="preserve"> </w:t>
      </w:r>
      <w:r w:rsidR="00600CCF" w:rsidRPr="00D802FC">
        <w:rPr>
          <w:rFonts w:ascii="Segoe UI" w:hAnsi="Segoe UI" w:cs="Segoe UI"/>
        </w:rPr>
        <w:t xml:space="preserve">1 December 2021, most of the </w:t>
      </w:r>
      <w:r w:rsidR="005034A7">
        <w:rPr>
          <w:rFonts w:ascii="Segoe UI" w:hAnsi="Segoe UI" w:cs="Segoe UI"/>
        </w:rPr>
        <w:t>m</w:t>
      </w:r>
      <w:r w:rsidR="00600CCF" w:rsidRPr="00D802FC">
        <w:rPr>
          <w:rFonts w:ascii="Segoe UI" w:hAnsi="Segoe UI" w:cs="Segoe UI"/>
        </w:rPr>
        <w:t>ental</w:t>
      </w:r>
      <w:r w:rsidR="00AC71E1" w:rsidRPr="00D802FC">
        <w:rPr>
          <w:rFonts w:ascii="Segoe UI" w:hAnsi="Segoe UI" w:cs="Segoe UI"/>
        </w:rPr>
        <w:t xml:space="preserve"> </w:t>
      </w:r>
      <w:r w:rsidR="005034A7">
        <w:rPr>
          <w:rFonts w:ascii="Segoe UI" w:hAnsi="Segoe UI" w:cs="Segoe UI"/>
        </w:rPr>
        <w:t>h</w:t>
      </w:r>
      <w:r w:rsidR="00AC71E1" w:rsidRPr="00D802FC">
        <w:rPr>
          <w:rFonts w:ascii="Segoe UI" w:hAnsi="Segoe UI" w:cs="Segoe UI"/>
        </w:rPr>
        <w:t xml:space="preserve">ealth and </w:t>
      </w:r>
      <w:r w:rsidR="005034A7">
        <w:rPr>
          <w:rFonts w:ascii="Segoe UI" w:hAnsi="Segoe UI" w:cs="Segoe UI"/>
        </w:rPr>
        <w:t>a</w:t>
      </w:r>
      <w:r w:rsidR="00AC71E1" w:rsidRPr="00D802FC">
        <w:rPr>
          <w:rFonts w:ascii="Segoe UI" w:hAnsi="Segoe UI" w:cs="Segoe UI"/>
        </w:rPr>
        <w:t xml:space="preserve">ddiction </w:t>
      </w:r>
      <w:r w:rsidR="005034A7">
        <w:rPr>
          <w:rFonts w:ascii="Segoe UI" w:hAnsi="Segoe UI" w:cs="Segoe UI"/>
        </w:rPr>
        <w:t>w</w:t>
      </w:r>
      <w:r w:rsidR="00AC71E1" w:rsidRPr="00D802FC">
        <w:rPr>
          <w:rFonts w:ascii="Segoe UI" w:hAnsi="Segoe UI" w:cs="Segoe UI"/>
        </w:rPr>
        <w:t xml:space="preserve">orkforce </w:t>
      </w:r>
      <w:r w:rsidR="00715EA3" w:rsidRPr="00D802FC">
        <w:rPr>
          <w:rFonts w:ascii="Segoe UI" w:hAnsi="Segoe UI" w:cs="Segoe UI"/>
        </w:rPr>
        <w:t xml:space="preserve">contracts and funding transferred </w:t>
      </w:r>
      <w:r w:rsidR="009F0113" w:rsidRPr="00D802FC">
        <w:rPr>
          <w:rFonts w:ascii="Segoe UI" w:hAnsi="Segoe UI" w:cs="Segoe UI"/>
        </w:rPr>
        <w:t xml:space="preserve">from </w:t>
      </w:r>
      <w:r w:rsidR="005034A7">
        <w:rPr>
          <w:rFonts w:ascii="Segoe UI" w:hAnsi="Segoe UI" w:cs="Segoe UI"/>
        </w:rPr>
        <w:t xml:space="preserve">the </w:t>
      </w:r>
      <w:r w:rsidR="009F0113" w:rsidRPr="00D802FC">
        <w:rPr>
          <w:rFonts w:ascii="Segoe UI" w:hAnsi="Segoe UI" w:cs="Segoe UI"/>
        </w:rPr>
        <w:t>Health Workforce</w:t>
      </w:r>
      <w:r w:rsidR="00715EA3" w:rsidRPr="00D802FC">
        <w:rPr>
          <w:rFonts w:ascii="Segoe UI" w:hAnsi="Segoe UI" w:cs="Segoe UI"/>
        </w:rPr>
        <w:t xml:space="preserve"> to the Mental Health and Addiction Directorate</w:t>
      </w:r>
      <w:r w:rsidR="009F0113" w:rsidRPr="00D802FC">
        <w:rPr>
          <w:rFonts w:ascii="Segoe UI" w:hAnsi="Segoe UI" w:cs="Segoe UI"/>
        </w:rPr>
        <w:t>.</w:t>
      </w:r>
    </w:p>
    <w:p w14:paraId="55BADCE7" w14:textId="038A3F16" w:rsidR="007B702C" w:rsidRPr="007C5DC4" w:rsidRDefault="007B702C" w:rsidP="00FD55F7">
      <w:pPr>
        <w:pStyle w:val="Heading3"/>
      </w:pPr>
      <w:r w:rsidRPr="007C5DC4">
        <w:t>Māori health workforce</w:t>
      </w:r>
    </w:p>
    <w:p w14:paraId="06C525EC" w14:textId="731681FD" w:rsidR="00C81625" w:rsidRDefault="00E6350B" w:rsidP="00E6350B">
      <w:pPr>
        <w:rPr>
          <w:rFonts w:ascii="Segoe UI" w:hAnsi="Segoe UI" w:cs="Segoe UI"/>
        </w:rPr>
      </w:pPr>
      <w:r w:rsidRPr="00D802FC">
        <w:rPr>
          <w:rFonts w:ascii="Segoe UI" w:hAnsi="Segoe UI" w:cs="Segoe UI"/>
        </w:rPr>
        <w:t>The vaccination campaign against COVID-19 starkly illustrates the well documented health inequities for M</w:t>
      </w:r>
      <w:r w:rsidR="00DA309E">
        <w:rPr>
          <w:rFonts w:ascii="Segoe UI" w:hAnsi="Segoe UI" w:cs="Segoe UI"/>
        </w:rPr>
        <w:t>ā</w:t>
      </w:r>
      <w:r w:rsidRPr="00D802FC">
        <w:rPr>
          <w:rFonts w:ascii="Segoe UI" w:hAnsi="Segoe UI" w:cs="Segoe UI"/>
        </w:rPr>
        <w:t xml:space="preserve">ori, with equity gaps for </w:t>
      </w:r>
      <w:r w:rsidR="00E76E3F">
        <w:rPr>
          <w:rFonts w:ascii="Segoe UI" w:hAnsi="Segoe UI" w:cs="Segoe UI"/>
        </w:rPr>
        <w:t xml:space="preserve">many communities including rural and </w:t>
      </w:r>
      <w:r w:rsidRPr="00D802FC">
        <w:rPr>
          <w:rFonts w:ascii="Segoe UI" w:hAnsi="Segoe UI" w:cs="Segoe UI"/>
        </w:rPr>
        <w:t>harder to reach communities</w:t>
      </w:r>
      <w:r w:rsidR="00E76E3F">
        <w:rPr>
          <w:rFonts w:ascii="Segoe UI" w:hAnsi="Segoe UI" w:cs="Segoe UI"/>
        </w:rPr>
        <w:t xml:space="preserve">. </w:t>
      </w:r>
      <w:r w:rsidRPr="00D802FC">
        <w:rPr>
          <w:rFonts w:ascii="Segoe UI" w:hAnsi="Segoe UI" w:cs="Segoe UI"/>
        </w:rPr>
        <w:t xml:space="preserve">A core element in Māori dissatisfaction with the mainstream prevention approach concerned limited participation from the outset of decision-making, and inadequate representation of Māori in initial service </w:t>
      </w:r>
      <w:r w:rsidR="00555F4C">
        <w:rPr>
          <w:rFonts w:ascii="Segoe UI" w:hAnsi="Segoe UI" w:cs="Segoe UI"/>
        </w:rPr>
        <w:t xml:space="preserve">design and </w:t>
      </w:r>
      <w:r w:rsidRPr="00D802FC">
        <w:rPr>
          <w:rFonts w:ascii="Segoe UI" w:hAnsi="Segoe UI" w:cs="Segoe UI"/>
        </w:rPr>
        <w:t xml:space="preserve">delivery in communities.  The very low number </w:t>
      </w:r>
      <w:r w:rsidR="005A4F1D">
        <w:rPr>
          <w:rFonts w:ascii="Segoe UI" w:hAnsi="Segoe UI" w:cs="Segoe UI"/>
        </w:rPr>
        <w:t>and roles for</w:t>
      </w:r>
      <w:r w:rsidR="005A4F1D" w:rsidRPr="00D802FC">
        <w:rPr>
          <w:rFonts w:ascii="Segoe UI" w:hAnsi="Segoe UI" w:cs="Segoe UI"/>
        </w:rPr>
        <w:t xml:space="preserve"> </w:t>
      </w:r>
      <w:r w:rsidRPr="00D802FC">
        <w:rPr>
          <w:rFonts w:ascii="Segoe UI" w:hAnsi="Segoe UI" w:cs="Segoe UI"/>
        </w:rPr>
        <w:t xml:space="preserve">Māori public health leaders in national and </w:t>
      </w:r>
      <w:r w:rsidR="00DA576D" w:rsidRPr="00D802FC">
        <w:rPr>
          <w:rFonts w:ascii="Segoe UI" w:hAnsi="Segoe UI" w:cs="Segoe UI"/>
        </w:rPr>
        <w:t xml:space="preserve">regional decision-making about </w:t>
      </w:r>
      <w:r w:rsidRPr="00D802FC">
        <w:rPr>
          <w:rFonts w:ascii="Segoe UI" w:hAnsi="Segoe UI" w:cs="Segoe UI"/>
        </w:rPr>
        <w:t>population vaccination meant that iwi leaders, Māori clinicians and Māori providers, often expressed in the media that the sector’s approach was out of step by not prioritising Māori from the outset</w:t>
      </w:r>
      <w:r w:rsidR="005A4F1D">
        <w:rPr>
          <w:rFonts w:ascii="Segoe UI" w:hAnsi="Segoe UI" w:cs="Segoe UI"/>
        </w:rPr>
        <w:t>. In addition the response was</w:t>
      </w:r>
      <w:r w:rsidR="00DA309E">
        <w:rPr>
          <w:rFonts w:ascii="Segoe UI" w:hAnsi="Segoe UI" w:cs="Segoe UI"/>
        </w:rPr>
        <w:t xml:space="preserve"> late to </w:t>
      </w:r>
      <w:r w:rsidR="005A4F1D">
        <w:rPr>
          <w:rFonts w:ascii="Segoe UI" w:hAnsi="Segoe UI" w:cs="Segoe UI"/>
        </w:rPr>
        <w:t xml:space="preserve">engage Māori expertise or </w:t>
      </w:r>
      <w:r w:rsidR="00DA309E">
        <w:rPr>
          <w:rFonts w:ascii="Segoe UI" w:hAnsi="Segoe UI" w:cs="Segoe UI"/>
        </w:rPr>
        <w:t>use</w:t>
      </w:r>
      <w:r w:rsidRPr="00D802FC">
        <w:rPr>
          <w:rFonts w:ascii="Segoe UI" w:hAnsi="Segoe UI" w:cs="Segoe UI"/>
        </w:rPr>
        <w:t xml:space="preserve"> </w:t>
      </w:r>
      <w:proofErr w:type="spellStart"/>
      <w:r w:rsidRPr="00D802FC">
        <w:rPr>
          <w:rFonts w:ascii="Segoe UI" w:hAnsi="Segoe UI" w:cs="Segoe UI"/>
        </w:rPr>
        <w:t>kaupapa</w:t>
      </w:r>
      <w:proofErr w:type="spellEnd"/>
      <w:r w:rsidRPr="00D802FC">
        <w:rPr>
          <w:rFonts w:ascii="Segoe UI" w:hAnsi="Segoe UI" w:cs="Segoe UI"/>
        </w:rPr>
        <w:t xml:space="preserve"> Māori approaches to dealing with </w:t>
      </w:r>
      <w:r w:rsidR="00555F4C">
        <w:rPr>
          <w:rFonts w:ascii="Segoe UI" w:hAnsi="Segoe UI" w:cs="Segoe UI"/>
        </w:rPr>
        <w:t>diverse</w:t>
      </w:r>
      <w:r w:rsidR="00C81625">
        <w:rPr>
          <w:rFonts w:ascii="Segoe UI" w:hAnsi="Segoe UI" w:cs="Segoe UI"/>
        </w:rPr>
        <w:t xml:space="preserve"> and underserved</w:t>
      </w:r>
      <w:r w:rsidR="00555F4C">
        <w:rPr>
          <w:rFonts w:ascii="Segoe UI" w:hAnsi="Segoe UI" w:cs="Segoe UI"/>
        </w:rPr>
        <w:t xml:space="preserve"> Māori </w:t>
      </w:r>
      <w:r w:rsidRPr="00D802FC">
        <w:rPr>
          <w:rFonts w:ascii="Segoe UI" w:hAnsi="Segoe UI" w:cs="Segoe UI"/>
        </w:rPr>
        <w:t xml:space="preserve">populations. Vaccine hesitancy stoked by social media, especially in the Northland region, demonstrate a current need for a better understanding by the health communicators of the nuanced, non-bureaucratic narratives needed to combat misinformation. </w:t>
      </w:r>
    </w:p>
    <w:p w14:paraId="5810E3E1" w14:textId="4185ACF6" w:rsidR="00E6350B" w:rsidRPr="00D802FC" w:rsidRDefault="00E6350B" w:rsidP="00E6350B">
      <w:pPr>
        <w:rPr>
          <w:rFonts w:ascii="Segoe UI" w:hAnsi="Segoe UI" w:cs="Segoe UI"/>
        </w:rPr>
      </w:pPr>
      <w:r w:rsidRPr="00D802FC">
        <w:rPr>
          <w:rFonts w:ascii="Segoe UI" w:hAnsi="Segoe UI" w:cs="Segoe UI"/>
        </w:rPr>
        <w:t>The virus has exposed graphically what Māori health academics, researchers, iwi leaders, and Māori providers have evidenced and experienced for decades- too few Māori health leaders</w:t>
      </w:r>
      <w:r w:rsidR="0031647D">
        <w:rPr>
          <w:rFonts w:ascii="Segoe UI" w:hAnsi="Segoe UI" w:cs="Segoe UI"/>
        </w:rPr>
        <w:t>,</w:t>
      </w:r>
      <w:r w:rsidRPr="00D802FC">
        <w:rPr>
          <w:rFonts w:ascii="Segoe UI" w:hAnsi="Segoe UI" w:cs="Segoe UI"/>
        </w:rPr>
        <w:t xml:space="preserve"> too few trained Māori health staff in regulated and non-regulated roles</w:t>
      </w:r>
      <w:r w:rsidR="00555F4C">
        <w:rPr>
          <w:rFonts w:ascii="Segoe UI" w:hAnsi="Segoe UI" w:cs="Segoe UI"/>
        </w:rPr>
        <w:t>, and a lack of meaningful understanding by some in health leadership of the distinctive role and effective impacts of Māori staff within all parts of the system.</w:t>
      </w:r>
    </w:p>
    <w:p w14:paraId="1B031398" w14:textId="5759FA29" w:rsidR="00E6350B" w:rsidRPr="00D802FC" w:rsidRDefault="00E6350B" w:rsidP="00E6350B">
      <w:pPr>
        <w:rPr>
          <w:rFonts w:ascii="Segoe UI" w:hAnsi="Segoe UI" w:cs="Segoe UI"/>
        </w:rPr>
      </w:pPr>
      <w:r w:rsidRPr="00D802FC">
        <w:rPr>
          <w:rFonts w:ascii="Segoe UI" w:hAnsi="Segoe UI" w:cs="Segoe UI"/>
        </w:rPr>
        <w:lastRenderedPageBreak/>
        <w:t xml:space="preserve">The experience of Māori providers during responsiveness to COVID-19 showed that strategies for encouraging vaccination based on </w:t>
      </w:r>
      <w:proofErr w:type="spellStart"/>
      <w:r w:rsidRPr="00D802FC">
        <w:rPr>
          <w:rFonts w:ascii="Segoe UI" w:hAnsi="Segoe UI" w:cs="Segoe UI"/>
        </w:rPr>
        <w:t>matauranga</w:t>
      </w:r>
      <w:proofErr w:type="spellEnd"/>
      <w:r w:rsidRPr="00D802FC">
        <w:rPr>
          <w:rFonts w:ascii="Segoe UI" w:hAnsi="Segoe UI" w:cs="Segoe UI"/>
        </w:rPr>
        <w:t xml:space="preserve"> Māori and on </w:t>
      </w:r>
      <w:proofErr w:type="spellStart"/>
      <w:r w:rsidRPr="00D802FC">
        <w:rPr>
          <w:rFonts w:ascii="Segoe UI" w:hAnsi="Segoe UI" w:cs="Segoe UI"/>
        </w:rPr>
        <w:t>kaupapa</w:t>
      </w:r>
      <w:proofErr w:type="spellEnd"/>
      <w:r w:rsidRPr="00D802FC">
        <w:rPr>
          <w:rFonts w:ascii="Segoe UI" w:hAnsi="Segoe UI" w:cs="Segoe UI"/>
        </w:rPr>
        <w:t xml:space="preserve"> Māori were singularly more successful in boosting numbers than mainstream health sector approaches. COVID-19 also again taught the health sector powerful lessons around early engagement, trust, the value of grassroots delivery, cultural </w:t>
      </w:r>
      <w:r w:rsidR="005A4F1D">
        <w:rPr>
          <w:rFonts w:ascii="Segoe UI" w:hAnsi="Segoe UI" w:cs="Segoe UI"/>
        </w:rPr>
        <w:t>safety</w:t>
      </w:r>
      <w:r w:rsidRPr="00D802FC">
        <w:rPr>
          <w:rFonts w:ascii="Segoe UI" w:hAnsi="Segoe UI" w:cs="Segoe UI"/>
        </w:rPr>
        <w:t xml:space="preserve">, and the value of a </w:t>
      </w:r>
      <w:proofErr w:type="spellStart"/>
      <w:r w:rsidRPr="00D802FC">
        <w:rPr>
          <w:rFonts w:ascii="Segoe UI" w:hAnsi="Segoe UI" w:cs="Segoe UI"/>
        </w:rPr>
        <w:t>kai</w:t>
      </w:r>
      <w:r w:rsidR="003D6ACF">
        <w:rPr>
          <w:rFonts w:ascii="Segoe UI" w:hAnsi="Segoe UI" w:cs="Segoe UI"/>
        </w:rPr>
        <w:t>ā</w:t>
      </w:r>
      <w:r w:rsidRPr="00D802FC">
        <w:rPr>
          <w:rFonts w:ascii="Segoe UI" w:hAnsi="Segoe UI" w:cs="Segoe UI"/>
        </w:rPr>
        <w:t>whina</w:t>
      </w:r>
      <w:proofErr w:type="spellEnd"/>
      <w:r w:rsidRPr="00D802FC">
        <w:rPr>
          <w:rFonts w:ascii="Segoe UI" w:hAnsi="Segoe UI" w:cs="Segoe UI"/>
        </w:rPr>
        <w:t xml:space="preserve"> workforce.  It is critical that this workforce is not lost</w:t>
      </w:r>
      <w:r w:rsidR="00C81625">
        <w:rPr>
          <w:rFonts w:ascii="Segoe UI" w:hAnsi="Segoe UI" w:cs="Segoe UI"/>
        </w:rPr>
        <w:t xml:space="preserve">, and can be built on and supported. </w:t>
      </w:r>
      <w:r w:rsidRPr="00D802FC">
        <w:rPr>
          <w:rFonts w:ascii="Segoe UI" w:hAnsi="Segoe UI" w:cs="Segoe UI"/>
        </w:rPr>
        <w:t xml:space="preserve"> </w:t>
      </w:r>
      <w:r w:rsidR="00C81625">
        <w:rPr>
          <w:rFonts w:ascii="Segoe UI" w:hAnsi="Segoe UI" w:cs="Segoe UI"/>
        </w:rPr>
        <w:t>A</w:t>
      </w:r>
      <w:r w:rsidRPr="00D802FC">
        <w:rPr>
          <w:rFonts w:ascii="Segoe UI" w:hAnsi="Segoe UI" w:cs="Segoe UI"/>
        </w:rPr>
        <w:t>gile resourcing to Māori and iwi providers is</w:t>
      </w:r>
      <w:r w:rsidR="005A4F1D">
        <w:rPr>
          <w:rFonts w:ascii="Segoe UI" w:hAnsi="Segoe UI" w:cs="Segoe UI"/>
        </w:rPr>
        <w:t xml:space="preserve"> required to</w:t>
      </w:r>
      <w:r w:rsidRPr="00D802FC">
        <w:rPr>
          <w:rFonts w:ascii="Segoe UI" w:hAnsi="Segoe UI" w:cs="Segoe UI"/>
        </w:rPr>
        <w:t xml:space="preserve"> </w:t>
      </w:r>
      <w:r w:rsidR="005A4F1D">
        <w:rPr>
          <w:rFonts w:ascii="Segoe UI" w:hAnsi="Segoe UI" w:cs="Segoe UI"/>
        </w:rPr>
        <w:t>assure this</w:t>
      </w:r>
      <w:r w:rsidRPr="00D802FC">
        <w:rPr>
          <w:rFonts w:ascii="Segoe UI" w:hAnsi="Segoe UI" w:cs="Segoe UI"/>
        </w:rPr>
        <w:t xml:space="preserve"> continuity.</w:t>
      </w:r>
    </w:p>
    <w:p w14:paraId="6013746D" w14:textId="77C3442E" w:rsidR="00E6350B" w:rsidRPr="00D802FC" w:rsidRDefault="00E6350B" w:rsidP="00E6350B">
      <w:pPr>
        <w:rPr>
          <w:rFonts w:ascii="Segoe UI" w:hAnsi="Segoe UI" w:cs="Segoe UI"/>
        </w:rPr>
      </w:pPr>
      <w:r w:rsidRPr="00D802FC">
        <w:rPr>
          <w:rFonts w:ascii="Segoe UI" w:hAnsi="Segoe UI" w:cs="Segoe UI"/>
        </w:rPr>
        <w:t>A draft five</w:t>
      </w:r>
      <w:r w:rsidR="005A4F1D">
        <w:rPr>
          <w:rFonts w:ascii="Segoe UI" w:hAnsi="Segoe UI" w:cs="Segoe UI"/>
        </w:rPr>
        <w:t>-</w:t>
      </w:r>
      <w:r w:rsidRPr="00D802FC">
        <w:rPr>
          <w:rFonts w:ascii="Segoe UI" w:hAnsi="Segoe UI" w:cs="Segoe UI"/>
        </w:rPr>
        <w:t xml:space="preserve">year Māori health workforce action plan was developed by the Ministry of Health following sector engagement. It tracks against the strategic framework of “attract, educate and train, recruit, and retain and value” and will be passed for review and possible implementation by the Māori Health Authority. </w:t>
      </w:r>
      <w:r w:rsidR="00555F4C">
        <w:rPr>
          <w:rFonts w:ascii="Segoe UI" w:hAnsi="Segoe UI" w:cs="Segoe UI"/>
        </w:rPr>
        <w:t xml:space="preserve">Māori </w:t>
      </w:r>
      <w:r w:rsidR="007A22E1">
        <w:rPr>
          <w:rFonts w:ascii="Segoe UI" w:hAnsi="Segoe UI" w:cs="Segoe UI"/>
        </w:rPr>
        <w:t>h</w:t>
      </w:r>
      <w:r w:rsidR="00555F4C">
        <w:rPr>
          <w:rFonts w:ascii="Segoe UI" w:hAnsi="Segoe UI" w:cs="Segoe UI"/>
        </w:rPr>
        <w:t xml:space="preserve">ealth </w:t>
      </w:r>
      <w:r w:rsidR="007A22E1">
        <w:rPr>
          <w:rFonts w:ascii="Segoe UI" w:hAnsi="Segoe UI" w:cs="Segoe UI"/>
        </w:rPr>
        <w:t>w</w:t>
      </w:r>
      <w:r w:rsidR="00555F4C">
        <w:rPr>
          <w:rFonts w:ascii="Segoe UI" w:hAnsi="Segoe UI" w:cs="Segoe UI"/>
        </w:rPr>
        <w:t xml:space="preserve">orkforce </w:t>
      </w:r>
      <w:r w:rsidR="007A22E1">
        <w:rPr>
          <w:rFonts w:ascii="Segoe UI" w:hAnsi="Segoe UI" w:cs="Segoe UI"/>
        </w:rPr>
        <w:t>d</w:t>
      </w:r>
      <w:r w:rsidR="00555F4C">
        <w:rPr>
          <w:rFonts w:ascii="Segoe UI" w:hAnsi="Segoe UI" w:cs="Segoe UI"/>
        </w:rPr>
        <w:t xml:space="preserve">evelopment is a critical element of the </w:t>
      </w:r>
      <w:r w:rsidR="005A4F1D">
        <w:rPr>
          <w:rFonts w:ascii="Segoe UI" w:hAnsi="Segoe UI" w:cs="Segoe UI"/>
        </w:rPr>
        <w:t xml:space="preserve">Ministry of Health’s </w:t>
      </w:r>
      <w:proofErr w:type="spellStart"/>
      <w:r w:rsidR="00555F4C">
        <w:rPr>
          <w:rFonts w:ascii="Segoe UI" w:hAnsi="Segoe UI" w:cs="Segoe UI"/>
        </w:rPr>
        <w:t>Whakamaua</w:t>
      </w:r>
      <w:proofErr w:type="spellEnd"/>
      <w:r w:rsidR="00555F4C">
        <w:rPr>
          <w:rFonts w:ascii="Segoe UI" w:hAnsi="Segoe UI" w:cs="Segoe UI"/>
        </w:rPr>
        <w:t xml:space="preserve"> Māori Health Action Plan and we strongly endorse the continued working together of </w:t>
      </w:r>
      <w:r w:rsidR="007A22E1">
        <w:rPr>
          <w:rFonts w:ascii="Segoe UI" w:hAnsi="Segoe UI" w:cs="Segoe UI"/>
        </w:rPr>
        <w:t xml:space="preserve">the </w:t>
      </w:r>
      <w:r w:rsidR="00555F4C">
        <w:rPr>
          <w:rFonts w:ascii="Segoe UI" w:hAnsi="Segoe UI" w:cs="Segoe UI"/>
        </w:rPr>
        <w:t xml:space="preserve">Health Workforce and Māori Health </w:t>
      </w:r>
      <w:r w:rsidR="007A22E1">
        <w:rPr>
          <w:rFonts w:ascii="Segoe UI" w:hAnsi="Segoe UI" w:cs="Segoe UI"/>
        </w:rPr>
        <w:t xml:space="preserve">Directorates </w:t>
      </w:r>
      <w:r w:rsidR="00555F4C">
        <w:rPr>
          <w:rFonts w:ascii="Segoe UI" w:hAnsi="Segoe UI" w:cs="Segoe UI"/>
        </w:rPr>
        <w:t xml:space="preserve">to support a highly effective and transformational </w:t>
      </w:r>
      <w:r w:rsidR="005A4F1D">
        <w:rPr>
          <w:rFonts w:ascii="Segoe UI" w:hAnsi="Segoe UI" w:cs="Segoe UI"/>
        </w:rPr>
        <w:t xml:space="preserve">Māori Health Workforce Development </w:t>
      </w:r>
      <w:r w:rsidR="00555F4C">
        <w:rPr>
          <w:rFonts w:ascii="Segoe UI" w:hAnsi="Segoe UI" w:cs="Segoe UI"/>
        </w:rPr>
        <w:t xml:space="preserve">strategy. </w:t>
      </w:r>
    </w:p>
    <w:p w14:paraId="65665B01" w14:textId="191B8D01" w:rsidR="00E6350B" w:rsidRDefault="00E6350B" w:rsidP="00E6350B">
      <w:pPr>
        <w:rPr>
          <w:rFonts w:ascii="Segoe UI" w:hAnsi="Segoe UI" w:cs="Segoe UI"/>
        </w:rPr>
      </w:pPr>
      <w:r w:rsidRPr="00D802FC">
        <w:rPr>
          <w:rFonts w:ascii="Segoe UI" w:hAnsi="Segoe UI" w:cs="Segoe UI"/>
        </w:rPr>
        <w:t xml:space="preserve">Māori workforce development is a singular and critical challenge facing the </w:t>
      </w:r>
      <w:r w:rsidR="005A4F1D">
        <w:rPr>
          <w:rFonts w:ascii="Segoe UI" w:hAnsi="Segoe UI" w:cs="Segoe UI"/>
        </w:rPr>
        <w:t xml:space="preserve">Māori Health </w:t>
      </w:r>
      <w:r w:rsidRPr="00D802FC">
        <w:rPr>
          <w:rFonts w:ascii="Segoe UI" w:hAnsi="Segoe UI" w:cs="Segoe UI"/>
        </w:rPr>
        <w:t xml:space="preserve">Authority and </w:t>
      </w:r>
      <w:r w:rsidR="00BC631F">
        <w:rPr>
          <w:rFonts w:ascii="Segoe UI" w:hAnsi="Segoe UI" w:cs="Segoe UI"/>
        </w:rPr>
        <w:t xml:space="preserve">Health </w:t>
      </w:r>
      <w:r w:rsidRPr="00D802FC">
        <w:rPr>
          <w:rFonts w:ascii="Segoe UI" w:hAnsi="Segoe UI" w:cs="Segoe UI"/>
        </w:rPr>
        <w:t xml:space="preserve">New Zealand if they are to collectively address the enduring inequities in health outcomes for Māori when compared with non-Māori, to address treaty breaches identified by the Waitangi Tribunal’s Hauora report, Wai 2575, the recommendations of the Health and Disability System Review report and </w:t>
      </w:r>
      <w:r w:rsidRPr="00D802FC">
        <w:rPr>
          <w:rFonts w:ascii="Segoe UI" w:hAnsi="Segoe UI" w:cs="Segoe UI"/>
        </w:rPr>
        <w:t xml:space="preserve">the equity aspirations outlined in the </w:t>
      </w:r>
      <w:proofErr w:type="spellStart"/>
      <w:r w:rsidRPr="00D802FC">
        <w:rPr>
          <w:rFonts w:ascii="Segoe UI" w:hAnsi="Segoe UI" w:cs="Segoe UI"/>
        </w:rPr>
        <w:t>Pae</w:t>
      </w:r>
      <w:proofErr w:type="spellEnd"/>
      <w:r w:rsidRPr="00D802FC">
        <w:rPr>
          <w:rFonts w:ascii="Segoe UI" w:hAnsi="Segoe UI" w:cs="Segoe UI"/>
        </w:rPr>
        <w:t xml:space="preserve"> Ora legislation.</w:t>
      </w:r>
    </w:p>
    <w:p w14:paraId="4F8824D0" w14:textId="3DA787D4" w:rsidR="00445BDD" w:rsidRPr="0009567D" w:rsidRDefault="00445BDD" w:rsidP="00445BDD">
      <w:pPr>
        <w:rPr>
          <w:rFonts w:ascii="Segoe UI" w:hAnsi="Segoe UI" w:cs="Segoe UI"/>
        </w:rPr>
      </w:pPr>
      <w:r w:rsidRPr="0009567D">
        <w:rPr>
          <w:rFonts w:ascii="Segoe UI" w:hAnsi="Segoe UI" w:cs="Segoe UI"/>
        </w:rPr>
        <w:t xml:space="preserve">There are a number of extremely successful Māori </w:t>
      </w:r>
      <w:r w:rsidR="00D311FB">
        <w:rPr>
          <w:rFonts w:ascii="Segoe UI" w:hAnsi="Segoe UI" w:cs="Segoe UI"/>
        </w:rPr>
        <w:t>h</w:t>
      </w:r>
      <w:r w:rsidRPr="0009567D">
        <w:rPr>
          <w:rFonts w:ascii="Segoe UI" w:hAnsi="Segoe UI" w:cs="Segoe UI"/>
        </w:rPr>
        <w:t xml:space="preserve">ealth </w:t>
      </w:r>
      <w:r w:rsidR="00D311FB">
        <w:rPr>
          <w:rFonts w:ascii="Segoe UI" w:hAnsi="Segoe UI" w:cs="Segoe UI"/>
        </w:rPr>
        <w:t>w</w:t>
      </w:r>
      <w:r w:rsidRPr="0009567D">
        <w:rPr>
          <w:rFonts w:ascii="Segoe UI" w:hAnsi="Segoe UI" w:cs="Segoe UI"/>
        </w:rPr>
        <w:t xml:space="preserve">orkforce </w:t>
      </w:r>
      <w:r w:rsidR="00D311FB">
        <w:rPr>
          <w:rFonts w:ascii="Segoe UI" w:hAnsi="Segoe UI" w:cs="Segoe UI"/>
        </w:rPr>
        <w:t>d</w:t>
      </w:r>
      <w:r w:rsidRPr="0009567D">
        <w:rPr>
          <w:rFonts w:ascii="Segoe UI" w:hAnsi="Segoe UI" w:cs="Segoe UI"/>
        </w:rPr>
        <w:t>evelopment initiatives that have been making some inroads into the</w:t>
      </w:r>
      <w:r>
        <w:rPr>
          <w:rFonts w:ascii="Segoe UI" w:hAnsi="Segoe UI" w:cs="Segoe UI"/>
        </w:rPr>
        <w:t>se</w:t>
      </w:r>
      <w:r w:rsidRPr="0009567D">
        <w:rPr>
          <w:rFonts w:ascii="Segoe UI" w:hAnsi="Segoe UI" w:cs="Segoe UI"/>
        </w:rPr>
        <w:t xml:space="preserve"> health workforce inequities. Despite these initiatives, Māori </w:t>
      </w:r>
      <w:r w:rsidR="00D311FB">
        <w:rPr>
          <w:rFonts w:ascii="Segoe UI" w:hAnsi="Segoe UI" w:cs="Segoe UI"/>
        </w:rPr>
        <w:t>h</w:t>
      </w:r>
      <w:r w:rsidRPr="0009567D">
        <w:rPr>
          <w:rFonts w:ascii="Segoe UI" w:hAnsi="Segoe UI" w:cs="Segoe UI"/>
        </w:rPr>
        <w:t xml:space="preserve">ealth </w:t>
      </w:r>
      <w:r w:rsidR="00D311FB">
        <w:rPr>
          <w:rFonts w:ascii="Segoe UI" w:hAnsi="Segoe UI" w:cs="Segoe UI"/>
        </w:rPr>
        <w:t>w</w:t>
      </w:r>
      <w:r w:rsidRPr="0009567D">
        <w:rPr>
          <w:rFonts w:ascii="Segoe UI" w:hAnsi="Segoe UI" w:cs="Segoe UI"/>
        </w:rPr>
        <w:t>orkforce gains remain incremental, and slow. It is critical to ramp up Māori health workforce development</w:t>
      </w:r>
      <w:r>
        <w:rPr>
          <w:rFonts w:ascii="Segoe UI" w:hAnsi="Segoe UI" w:cs="Segoe UI"/>
        </w:rPr>
        <w:t>, building on the gains of these successful initiatives.  T</w:t>
      </w:r>
      <w:r w:rsidRPr="0009567D">
        <w:rPr>
          <w:rFonts w:ascii="Segoe UI" w:hAnsi="Segoe UI" w:cs="Segoe UI"/>
        </w:rPr>
        <w:t xml:space="preserve">his requires a whole of system and inter-sectoral level commitment and strategy, in order to achieve Māori participation, representation and leadership across the primary, secondary and tertiary workforces. </w:t>
      </w:r>
    </w:p>
    <w:p w14:paraId="34F91056" w14:textId="6FF94622" w:rsidR="00445BDD" w:rsidRPr="0009567D" w:rsidRDefault="00445BDD" w:rsidP="00445BDD">
      <w:pPr>
        <w:rPr>
          <w:rFonts w:ascii="Segoe UI" w:hAnsi="Segoe UI" w:cs="Segoe UI"/>
        </w:rPr>
      </w:pPr>
      <w:r w:rsidRPr="0009567D">
        <w:rPr>
          <w:rFonts w:ascii="Segoe UI" w:hAnsi="Segoe UI" w:cs="Segoe UI"/>
        </w:rPr>
        <w:t xml:space="preserve">The current incremental increases are adding only one or two percentage points a year to already low totals of Māori health workers within the DHB system.  The relationship between </w:t>
      </w:r>
      <w:r w:rsidR="00BD4F63">
        <w:rPr>
          <w:rFonts w:ascii="Segoe UI" w:hAnsi="Segoe UI" w:cs="Segoe UI"/>
        </w:rPr>
        <w:t>h</w:t>
      </w:r>
      <w:r w:rsidRPr="0009567D">
        <w:rPr>
          <w:rFonts w:ascii="Segoe UI" w:hAnsi="Segoe UI" w:cs="Segoe UI"/>
        </w:rPr>
        <w:t xml:space="preserve">ealth and </w:t>
      </w:r>
      <w:r w:rsidR="00BD4F63">
        <w:rPr>
          <w:rFonts w:ascii="Segoe UI" w:hAnsi="Segoe UI" w:cs="Segoe UI"/>
        </w:rPr>
        <w:t>e</w:t>
      </w:r>
      <w:r w:rsidRPr="0009567D">
        <w:rPr>
          <w:rFonts w:ascii="Segoe UI" w:hAnsi="Segoe UI" w:cs="Segoe UI"/>
        </w:rPr>
        <w:t xml:space="preserve">ducation sectors is critical for Māori </w:t>
      </w:r>
      <w:r w:rsidR="00BD4F63">
        <w:rPr>
          <w:rFonts w:ascii="Segoe UI" w:hAnsi="Segoe UI" w:cs="Segoe UI"/>
        </w:rPr>
        <w:t>h</w:t>
      </w:r>
      <w:r w:rsidRPr="0009567D">
        <w:rPr>
          <w:rFonts w:ascii="Segoe UI" w:hAnsi="Segoe UI" w:cs="Segoe UI"/>
        </w:rPr>
        <w:t xml:space="preserve">ealth </w:t>
      </w:r>
      <w:r w:rsidR="00BD4F63">
        <w:rPr>
          <w:rFonts w:ascii="Segoe UI" w:hAnsi="Segoe UI" w:cs="Segoe UI"/>
        </w:rPr>
        <w:t>w</w:t>
      </w:r>
      <w:r w:rsidRPr="0009567D">
        <w:rPr>
          <w:rFonts w:ascii="Segoe UI" w:hAnsi="Segoe UI" w:cs="Segoe UI"/>
        </w:rPr>
        <w:t xml:space="preserve">orkforce </w:t>
      </w:r>
      <w:r w:rsidR="00BD4F63">
        <w:rPr>
          <w:rFonts w:ascii="Segoe UI" w:hAnsi="Segoe UI" w:cs="Segoe UI"/>
        </w:rPr>
        <w:t>d</w:t>
      </w:r>
      <w:r w:rsidRPr="0009567D">
        <w:rPr>
          <w:rFonts w:ascii="Segoe UI" w:hAnsi="Segoe UI" w:cs="Segoe UI"/>
        </w:rPr>
        <w:t xml:space="preserve">evelopment, and we recognise this is a priority area of outcome for the collaboration between </w:t>
      </w:r>
      <w:r w:rsidR="009346FD">
        <w:rPr>
          <w:rFonts w:ascii="Segoe UI" w:hAnsi="Segoe UI" w:cs="Segoe UI"/>
        </w:rPr>
        <w:t>h</w:t>
      </w:r>
      <w:r w:rsidRPr="0009567D">
        <w:rPr>
          <w:rFonts w:ascii="Segoe UI" w:hAnsi="Segoe UI" w:cs="Segoe UI"/>
        </w:rPr>
        <w:t xml:space="preserve">ealth and </w:t>
      </w:r>
      <w:r w:rsidR="009346FD">
        <w:rPr>
          <w:rFonts w:ascii="Segoe UI" w:hAnsi="Segoe UI" w:cs="Segoe UI"/>
        </w:rPr>
        <w:t>e</w:t>
      </w:r>
      <w:r w:rsidRPr="0009567D">
        <w:rPr>
          <w:rFonts w:ascii="Segoe UI" w:hAnsi="Segoe UI" w:cs="Segoe UI"/>
        </w:rPr>
        <w:t>ducation sectors described on pages 5 and 6 of this report.</w:t>
      </w:r>
    </w:p>
    <w:p w14:paraId="51F485BD" w14:textId="6E883E54" w:rsidR="00445BDD" w:rsidRPr="0009567D" w:rsidRDefault="00445BDD" w:rsidP="00445BDD">
      <w:pPr>
        <w:rPr>
          <w:rFonts w:ascii="Segoe UI" w:hAnsi="Segoe UI" w:cs="Segoe UI"/>
        </w:rPr>
      </w:pPr>
      <w:r w:rsidRPr="0009567D">
        <w:rPr>
          <w:rFonts w:ascii="Segoe UI" w:hAnsi="Segoe UI" w:cs="Segoe UI"/>
        </w:rPr>
        <w:t xml:space="preserve">The longstanding failure to address Māori </w:t>
      </w:r>
      <w:r w:rsidR="00B35D21">
        <w:rPr>
          <w:rFonts w:ascii="Segoe UI" w:hAnsi="Segoe UI" w:cs="Segoe UI"/>
        </w:rPr>
        <w:t>h</w:t>
      </w:r>
      <w:r w:rsidRPr="0009567D">
        <w:rPr>
          <w:rFonts w:ascii="Segoe UI" w:hAnsi="Segoe UI" w:cs="Segoe UI"/>
        </w:rPr>
        <w:t xml:space="preserve">ealth </w:t>
      </w:r>
      <w:r w:rsidR="00B35D21">
        <w:rPr>
          <w:rFonts w:ascii="Segoe UI" w:hAnsi="Segoe UI" w:cs="Segoe UI"/>
        </w:rPr>
        <w:t>w</w:t>
      </w:r>
      <w:r w:rsidRPr="0009567D">
        <w:rPr>
          <w:rFonts w:ascii="Segoe UI" w:hAnsi="Segoe UI" w:cs="Segoe UI"/>
        </w:rPr>
        <w:t xml:space="preserve">orkforce inequity has failed Aotearoa New Zealand, failed Māori and Māori </w:t>
      </w:r>
      <w:proofErr w:type="spellStart"/>
      <w:r w:rsidRPr="0009567D">
        <w:rPr>
          <w:rFonts w:ascii="Segoe UI" w:hAnsi="Segoe UI" w:cs="Segoe UI"/>
        </w:rPr>
        <w:t>whānau</w:t>
      </w:r>
      <w:proofErr w:type="spellEnd"/>
      <w:r w:rsidRPr="0009567D">
        <w:rPr>
          <w:rFonts w:ascii="Segoe UI" w:hAnsi="Segoe UI" w:cs="Segoe UI"/>
        </w:rPr>
        <w:t>.  Some regions have done better than others with hospital and community services’ representation but this has tended to reflect local leadership initiatives rather than strong nationally</w:t>
      </w:r>
      <w:r w:rsidR="00880448">
        <w:rPr>
          <w:rFonts w:ascii="Segoe UI" w:hAnsi="Segoe UI" w:cs="Segoe UI"/>
        </w:rPr>
        <w:t>-</w:t>
      </w:r>
      <w:r w:rsidRPr="0009567D">
        <w:rPr>
          <w:rFonts w:ascii="Segoe UI" w:hAnsi="Segoe UI" w:cs="Segoe UI"/>
        </w:rPr>
        <w:t>led commitment with transparent accountabilities.</w:t>
      </w:r>
    </w:p>
    <w:p w14:paraId="711D86C4" w14:textId="36696876" w:rsidR="00E6350B" w:rsidRPr="00D802FC" w:rsidRDefault="00E6350B" w:rsidP="00E6350B">
      <w:pPr>
        <w:rPr>
          <w:rFonts w:ascii="Segoe UI" w:hAnsi="Segoe UI" w:cs="Segoe UI"/>
        </w:rPr>
      </w:pPr>
      <w:r w:rsidRPr="00D802FC">
        <w:rPr>
          <w:rFonts w:ascii="Segoe UI" w:hAnsi="Segoe UI" w:cs="Segoe UI"/>
        </w:rPr>
        <w:t xml:space="preserve">Significant attention </w:t>
      </w:r>
      <w:r w:rsidR="00E76E3F">
        <w:rPr>
          <w:rFonts w:ascii="Segoe UI" w:hAnsi="Segoe UI" w:cs="Segoe UI"/>
        </w:rPr>
        <w:t>must</w:t>
      </w:r>
      <w:r w:rsidR="00E76E3F" w:rsidRPr="00D802FC">
        <w:rPr>
          <w:rFonts w:ascii="Segoe UI" w:hAnsi="Segoe UI" w:cs="Segoe UI"/>
        </w:rPr>
        <w:t xml:space="preserve"> </w:t>
      </w:r>
      <w:r w:rsidRPr="00D802FC">
        <w:rPr>
          <w:rFonts w:ascii="Segoe UI" w:hAnsi="Segoe UI" w:cs="Segoe UI"/>
        </w:rPr>
        <w:t xml:space="preserve">be placed on identifying pipelines and pathways into </w:t>
      </w:r>
      <w:r w:rsidR="00555F4C">
        <w:rPr>
          <w:rFonts w:ascii="Segoe UI" w:hAnsi="Segoe UI" w:cs="Segoe UI"/>
        </w:rPr>
        <w:t xml:space="preserve">and through </w:t>
      </w:r>
      <w:r w:rsidRPr="00D802FC">
        <w:rPr>
          <w:rFonts w:ascii="Segoe UI" w:hAnsi="Segoe UI" w:cs="Segoe UI"/>
        </w:rPr>
        <w:t xml:space="preserve">existing training and </w:t>
      </w:r>
      <w:r w:rsidRPr="00D802FC">
        <w:rPr>
          <w:rFonts w:ascii="Segoe UI" w:hAnsi="Segoe UI" w:cs="Segoe UI"/>
        </w:rPr>
        <w:lastRenderedPageBreak/>
        <w:t xml:space="preserve">educational institutions and building new regional capability and capacity with educational providers that can ensure </w:t>
      </w:r>
      <w:proofErr w:type="spellStart"/>
      <w:r w:rsidRPr="00D802FC">
        <w:rPr>
          <w:rFonts w:ascii="Segoe UI" w:hAnsi="Segoe UI" w:cs="Segoe UI"/>
        </w:rPr>
        <w:t>kaupapa</w:t>
      </w:r>
      <w:proofErr w:type="spellEnd"/>
      <w:r w:rsidRPr="00D802FC">
        <w:rPr>
          <w:rFonts w:ascii="Segoe UI" w:hAnsi="Segoe UI" w:cs="Segoe UI"/>
        </w:rPr>
        <w:t xml:space="preserve"> </w:t>
      </w:r>
      <w:r w:rsidR="00E76E3F">
        <w:rPr>
          <w:rFonts w:ascii="Segoe UI" w:hAnsi="Segoe UI" w:cs="Segoe UI"/>
        </w:rPr>
        <w:t xml:space="preserve">Māori </w:t>
      </w:r>
      <w:r w:rsidRPr="00D802FC">
        <w:rPr>
          <w:rFonts w:ascii="Segoe UI" w:hAnsi="Segoe UI" w:cs="Segoe UI"/>
        </w:rPr>
        <w:t xml:space="preserve">ways of working with Māori to increase regulated or non-regulated workforces. Understanding Māori career paths, building on knowledge that Māori who enter nursing and midwifery and other health professions are often older, promoting allied health careers to Māori students and </w:t>
      </w:r>
      <w:proofErr w:type="spellStart"/>
      <w:r w:rsidR="00850C05">
        <w:rPr>
          <w:rFonts w:ascii="Segoe UI" w:hAnsi="Segoe UI" w:cs="Segoe UI"/>
        </w:rPr>
        <w:t>whānau</w:t>
      </w:r>
      <w:proofErr w:type="spellEnd"/>
      <w:r w:rsidRPr="00D802FC">
        <w:rPr>
          <w:rFonts w:ascii="Segoe UI" w:hAnsi="Segoe UI" w:cs="Segoe UI"/>
        </w:rPr>
        <w:t xml:space="preserve">, strengthening and auditing equity accountabilities across qualifications and health sector  accreditation and developing </w:t>
      </w:r>
      <w:proofErr w:type="spellStart"/>
      <w:r w:rsidRPr="00D802FC">
        <w:rPr>
          <w:rFonts w:ascii="Segoe UI" w:hAnsi="Segoe UI" w:cs="Segoe UI"/>
        </w:rPr>
        <w:t>kaupapa</w:t>
      </w:r>
      <w:proofErr w:type="spellEnd"/>
      <w:r w:rsidRPr="00D802FC">
        <w:rPr>
          <w:rFonts w:ascii="Segoe UI" w:hAnsi="Segoe UI" w:cs="Segoe UI"/>
        </w:rPr>
        <w:t xml:space="preserve"> retention strategies for Māori health workers are just some of the elements that need to be aligned.</w:t>
      </w:r>
    </w:p>
    <w:p w14:paraId="14C80145" w14:textId="77777777" w:rsidR="00E6350B" w:rsidRPr="00D802FC" w:rsidRDefault="00E6350B" w:rsidP="00E6350B">
      <w:pPr>
        <w:rPr>
          <w:rFonts w:ascii="Segoe UI" w:hAnsi="Segoe UI" w:cs="Segoe UI"/>
        </w:rPr>
      </w:pPr>
      <w:r w:rsidRPr="00D802FC">
        <w:rPr>
          <w:rFonts w:ascii="Segoe UI" w:hAnsi="Segoe UI" w:cs="Segoe UI"/>
        </w:rPr>
        <w:t xml:space="preserve">Māori leadership and greater strategic engagement is critical to effective implementation of a different Māori health workforce strategy working with iwi, Māori health providers, Tumu </w:t>
      </w:r>
      <w:proofErr w:type="spellStart"/>
      <w:r w:rsidRPr="00D802FC">
        <w:rPr>
          <w:rFonts w:ascii="Segoe UI" w:hAnsi="Segoe UI" w:cs="Segoe UI"/>
        </w:rPr>
        <w:t>Whakarae</w:t>
      </w:r>
      <w:proofErr w:type="spellEnd"/>
      <w:r w:rsidRPr="00D802FC">
        <w:rPr>
          <w:rFonts w:ascii="Segoe UI" w:hAnsi="Segoe UI" w:cs="Segoe UI"/>
        </w:rPr>
        <w:t>, existing  school programmes feeding health pathways, existing educators especially those with a track record of working with Māori.</w:t>
      </w:r>
    </w:p>
    <w:p w14:paraId="159EF331" w14:textId="7BCC2136" w:rsidR="00DA309E" w:rsidRDefault="00E6350B" w:rsidP="00E6350B">
      <w:pPr>
        <w:rPr>
          <w:rFonts w:ascii="Segoe UI" w:hAnsi="Segoe UI" w:cs="Segoe UI"/>
        </w:rPr>
      </w:pPr>
      <w:r w:rsidRPr="00D802FC">
        <w:rPr>
          <w:rFonts w:ascii="Segoe UI" w:hAnsi="Segoe UI" w:cs="Segoe UI"/>
        </w:rPr>
        <w:t>The current M</w:t>
      </w:r>
      <w:r w:rsidR="00F9655A">
        <w:rPr>
          <w:rFonts w:ascii="Segoe UI" w:hAnsi="Segoe UI" w:cs="Segoe UI"/>
        </w:rPr>
        <w:t>ā</w:t>
      </w:r>
      <w:r w:rsidRPr="00D802FC">
        <w:rPr>
          <w:rFonts w:ascii="Segoe UI" w:hAnsi="Segoe UI" w:cs="Segoe UI"/>
        </w:rPr>
        <w:t>ori under-representation in the health workforce perpetuates the marginalisation and invisibility in leadership positions, inhibits role modelling for Māori who desire health careers, restricts Māori perspectives in service problem solving and decision-making, and ultimately means too high expectations on too few. Without targeted, specific and adequate resourcing to attract, educat</w:t>
      </w:r>
      <w:r w:rsidR="007F1815">
        <w:rPr>
          <w:rFonts w:ascii="Segoe UI" w:hAnsi="Segoe UI" w:cs="Segoe UI"/>
        </w:rPr>
        <w:t>e</w:t>
      </w:r>
      <w:r w:rsidRPr="00D802FC">
        <w:rPr>
          <w:rFonts w:ascii="Segoe UI" w:hAnsi="Segoe UI" w:cs="Segoe UI"/>
        </w:rPr>
        <w:t xml:space="preserve">, develop and retain Māori health workers, nothing will change despite clear evidence of Māori health inequities. </w:t>
      </w:r>
    </w:p>
    <w:p w14:paraId="57E5757A" w14:textId="612308D4" w:rsidR="00E6350B" w:rsidRPr="00D802FC" w:rsidRDefault="00E6350B" w:rsidP="00E6350B">
      <w:pPr>
        <w:rPr>
          <w:rFonts w:ascii="Segoe UI" w:hAnsi="Segoe UI" w:cs="Segoe UI"/>
        </w:rPr>
      </w:pPr>
      <w:r w:rsidRPr="00D802FC">
        <w:rPr>
          <w:rFonts w:ascii="Segoe UI" w:hAnsi="Segoe UI" w:cs="Segoe UI"/>
        </w:rPr>
        <w:t xml:space="preserve">At this juncture, retention must be prioritised </w:t>
      </w:r>
      <w:r w:rsidR="00DA309E">
        <w:rPr>
          <w:rFonts w:ascii="Segoe UI" w:hAnsi="Segoe UI" w:cs="Segoe UI"/>
        </w:rPr>
        <w:t>in the fight against COVID-19 which means that for the booster campaign and care in the community to be successful</w:t>
      </w:r>
      <w:r w:rsidRPr="00D802FC">
        <w:rPr>
          <w:rFonts w:ascii="Segoe UI" w:hAnsi="Segoe UI" w:cs="Segoe UI"/>
        </w:rPr>
        <w:t xml:space="preserve"> </w:t>
      </w:r>
      <w:r w:rsidR="00DA309E">
        <w:rPr>
          <w:rFonts w:ascii="Segoe UI" w:hAnsi="Segoe UI" w:cs="Segoe UI"/>
        </w:rPr>
        <w:t>M</w:t>
      </w:r>
      <w:r w:rsidR="00F9655A">
        <w:rPr>
          <w:rFonts w:ascii="Segoe UI" w:hAnsi="Segoe UI" w:cs="Segoe UI"/>
        </w:rPr>
        <w:t>ā</w:t>
      </w:r>
      <w:r w:rsidR="00DA309E">
        <w:rPr>
          <w:rFonts w:ascii="Segoe UI" w:hAnsi="Segoe UI" w:cs="Segoe UI"/>
        </w:rPr>
        <w:t xml:space="preserve">ori clinical and community teams, plus the </w:t>
      </w:r>
      <w:proofErr w:type="spellStart"/>
      <w:r w:rsidRPr="00D802FC">
        <w:rPr>
          <w:rFonts w:ascii="Segoe UI" w:hAnsi="Segoe UI" w:cs="Segoe UI"/>
        </w:rPr>
        <w:t>kai</w:t>
      </w:r>
      <w:r w:rsidR="003D6ACF">
        <w:rPr>
          <w:rFonts w:ascii="Segoe UI" w:hAnsi="Segoe UI" w:cs="Segoe UI"/>
        </w:rPr>
        <w:t>ā</w:t>
      </w:r>
      <w:r w:rsidR="00DA309E">
        <w:rPr>
          <w:rFonts w:ascii="Segoe UI" w:hAnsi="Segoe UI" w:cs="Segoe UI"/>
        </w:rPr>
        <w:t>whina</w:t>
      </w:r>
      <w:proofErr w:type="spellEnd"/>
      <w:r w:rsidR="00DA309E">
        <w:rPr>
          <w:rFonts w:ascii="Segoe UI" w:hAnsi="Segoe UI" w:cs="Segoe UI"/>
        </w:rPr>
        <w:t xml:space="preserve"> workforce, have to be </w:t>
      </w:r>
      <w:r w:rsidR="00626A76">
        <w:rPr>
          <w:rFonts w:ascii="Segoe UI" w:hAnsi="Segoe UI" w:cs="Segoe UI"/>
        </w:rPr>
        <w:t>at the forefront of decision-making and delivery to their communities. Secure, long term resourcing of Māori providers with track records has to be prioritised to secure, retain and enhance these health workers. They cannot be casualties of short term contract funding horizons, complex application and compliance processes, and slow funding flows when their capability and capacity are critical to how Aotearoa New Zealand stamps out the virus.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149"/>
      </w:tblGrid>
      <w:tr w:rsidR="00EF2984" w:rsidRPr="00EF2984" w14:paraId="0222C34B" w14:textId="77777777" w:rsidTr="00EF2984">
        <w:tc>
          <w:tcPr>
            <w:tcW w:w="4149" w:type="dxa"/>
          </w:tcPr>
          <w:p w14:paraId="0B1D67C6" w14:textId="47AD5A16" w:rsidR="00EF2984" w:rsidRPr="00EF2984" w:rsidRDefault="00EF2984" w:rsidP="00EF2984">
            <w:pPr>
              <w:spacing w:before="120" w:after="120"/>
              <w:rPr>
                <w:rFonts w:ascii="Segoe UI" w:hAnsi="Segoe UI" w:cs="Segoe UI"/>
                <w:b/>
                <w:i/>
              </w:rPr>
            </w:pPr>
            <w:r w:rsidRPr="00EF2984">
              <w:rPr>
                <w:rFonts w:ascii="Segoe UI" w:hAnsi="Segoe UI" w:cs="Segoe UI"/>
                <w:b/>
                <w:i/>
              </w:rPr>
              <w:t>HWAB recommends to the Minister that co</w:t>
            </w:r>
            <w:r w:rsidR="00765D1C">
              <w:rPr>
                <w:rFonts w:ascii="Segoe UI" w:hAnsi="Segoe UI" w:cs="Segoe UI"/>
                <w:b/>
                <w:i/>
              </w:rPr>
              <w:t>-</w:t>
            </w:r>
            <w:r w:rsidRPr="00EF2984">
              <w:rPr>
                <w:rFonts w:ascii="Segoe UI" w:hAnsi="Segoe UI" w:cs="Segoe UI"/>
                <w:b/>
                <w:i/>
              </w:rPr>
              <w:t>designed procurement processes become the norm not an exception in the delivery of primary and community care to Māori, and that active workforce retention and development strategies are an integral part of funding allocations.</w:t>
            </w:r>
          </w:p>
        </w:tc>
      </w:tr>
    </w:tbl>
    <w:p w14:paraId="62D8809C" w14:textId="77777777" w:rsidR="00EF2984" w:rsidRDefault="00EF2984" w:rsidP="003B2845">
      <w:pPr>
        <w:rPr>
          <w:rFonts w:ascii="Segoe UI" w:hAnsi="Segoe UI" w:cs="Segoe UI"/>
          <w:b/>
          <w:bCs/>
          <w:i/>
          <w:iCs/>
        </w:rPr>
      </w:pPr>
    </w:p>
    <w:p w14:paraId="37FD4271" w14:textId="4435E67F" w:rsidR="007B702C" w:rsidRPr="00D46424" w:rsidRDefault="007B702C" w:rsidP="00497A31">
      <w:pPr>
        <w:pStyle w:val="Heading3"/>
      </w:pPr>
      <w:r w:rsidRPr="00D46424">
        <w:t>Pacific health workforce</w:t>
      </w:r>
    </w:p>
    <w:p w14:paraId="089ADFE3" w14:textId="09F418AF" w:rsidR="00E87018" w:rsidRDefault="00E87018" w:rsidP="00E87018">
      <w:pPr>
        <w:rPr>
          <w:rFonts w:ascii="Segoe UI" w:hAnsi="Segoe UI" w:cs="Segoe UI"/>
          <w:bCs/>
          <w:iCs/>
        </w:rPr>
      </w:pPr>
      <w:r>
        <w:rPr>
          <w:rFonts w:ascii="Segoe UI" w:hAnsi="Segoe UI" w:cs="Segoe UI"/>
          <w:bCs/>
          <w:iCs/>
        </w:rPr>
        <w:t>The value and contribution of the Pacific health workforce was evident during the C</w:t>
      </w:r>
      <w:r w:rsidR="00556468">
        <w:rPr>
          <w:rFonts w:ascii="Segoe UI" w:hAnsi="Segoe UI" w:cs="Segoe UI"/>
          <w:bCs/>
          <w:iCs/>
        </w:rPr>
        <w:t xml:space="preserve">OVID-19 </w:t>
      </w:r>
      <w:r>
        <w:rPr>
          <w:rFonts w:ascii="Segoe UI" w:hAnsi="Segoe UI" w:cs="Segoe UI"/>
          <w:bCs/>
          <w:iCs/>
        </w:rPr>
        <w:t xml:space="preserve">vaccination roll-out in 2020. Utilising their technical skills, cultural intelligence and relationships with the community they were able </w:t>
      </w:r>
      <w:r w:rsidR="000956DC">
        <w:rPr>
          <w:rFonts w:ascii="Segoe UI" w:hAnsi="Segoe UI" w:cs="Segoe UI"/>
          <w:bCs/>
          <w:iCs/>
        </w:rPr>
        <w:t xml:space="preserve">to </w:t>
      </w:r>
      <w:r>
        <w:rPr>
          <w:rFonts w:ascii="Segoe UI" w:hAnsi="Segoe UI" w:cs="Segoe UI"/>
          <w:bCs/>
          <w:iCs/>
        </w:rPr>
        <w:t xml:space="preserve">significantly increase the uptake of vaccines. To date, 94% of Pacific peoples 12 years and above are fully vaccinated. The Pacific is a young population, and getting the next phase of vaccination roll out to the younger age group is critical. Only 25% of those aged 5 to 11 years have received their first vaccination. Supporting the efforts of </w:t>
      </w:r>
      <w:r>
        <w:rPr>
          <w:rFonts w:ascii="Segoe UI" w:hAnsi="Segoe UI" w:cs="Segoe UI"/>
          <w:bCs/>
          <w:iCs/>
        </w:rPr>
        <w:lastRenderedPageBreak/>
        <w:t xml:space="preserve">Pacific providers is important for success of the next phase of the campaign. </w:t>
      </w:r>
    </w:p>
    <w:p w14:paraId="08B32638" w14:textId="77777777" w:rsidR="002C59AD" w:rsidRDefault="00E87018" w:rsidP="00E87018">
      <w:pPr>
        <w:rPr>
          <w:rFonts w:ascii="Segoe UI" w:hAnsi="Segoe UI" w:cs="Segoe UI"/>
          <w:bCs/>
          <w:iCs/>
        </w:rPr>
      </w:pPr>
      <w:r>
        <w:rPr>
          <w:rFonts w:ascii="Segoe UI" w:hAnsi="Segoe UI" w:cs="Segoe UI"/>
          <w:bCs/>
          <w:iCs/>
        </w:rPr>
        <w:t>There has been various efforts including M</w:t>
      </w:r>
      <w:r w:rsidR="00914B91">
        <w:rPr>
          <w:rFonts w:ascii="Segoe UI" w:hAnsi="Segoe UI" w:cs="Segoe UI"/>
          <w:bCs/>
          <w:iCs/>
        </w:rPr>
        <w:t xml:space="preserve">inistry of Health </w:t>
      </w:r>
      <w:r>
        <w:rPr>
          <w:rFonts w:ascii="Segoe UI" w:hAnsi="Segoe UI" w:cs="Segoe UI"/>
          <w:bCs/>
          <w:iCs/>
        </w:rPr>
        <w:t>strategies and guidelines to improv</w:t>
      </w:r>
      <w:r w:rsidR="002A0F74">
        <w:rPr>
          <w:rFonts w:ascii="Segoe UI" w:hAnsi="Segoe UI" w:cs="Segoe UI"/>
          <w:bCs/>
          <w:iCs/>
        </w:rPr>
        <w:t>e Pacific health over the years. H</w:t>
      </w:r>
      <w:r>
        <w:rPr>
          <w:rFonts w:ascii="Segoe UI" w:hAnsi="Segoe UI" w:cs="Segoe UI"/>
          <w:bCs/>
          <w:iCs/>
        </w:rPr>
        <w:t xml:space="preserve">owever, the significant under-investment in Pacific health has hindered their impact.  Investment in the Pacific health workforce to mirror the proportion of Pacific peoples (8%) is needed. Of the total health workforce, only 1% of doctors and 2-3% of nurses and fewer in other allied health professions are Pacific. The Bula </w:t>
      </w:r>
      <w:proofErr w:type="spellStart"/>
      <w:r>
        <w:rPr>
          <w:rFonts w:ascii="Segoe UI" w:hAnsi="Segoe UI" w:cs="Segoe UI"/>
          <w:bCs/>
          <w:iCs/>
        </w:rPr>
        <w:t>Sautu</w:t>
      </w:r>
      <w:proofErr w:type="spellEnd"/>
      <w:r>
        <w:rPr>
          <w:rFonts w:ascii="Segoe UI" w:hAnsi="Segoe UI" w:cs="Segoe UI"/>
          <w:bCs/>
          <w:iCs/>
        </w:rPr>
        <w:t xml:space="preserve"> report, outlines the significant under-representation of Pacific peoples in the DHB health professional workforce in every workforce category including “allied and scientific, midwifery and nursing, resident and senior medical officers”. Despite the various efforts by successive governments, there has not been a significant shift in the equity concerns and the health and wellbeing of Pacific peoples in N</w:t>
      </w:r>
      <w:r w:rsidR="00E072AE">
        <w:rPr>
          <w:rFonts w:ascii="Segoe UI" w:hAnsi="Segoe UI" w:cs="Segoe UI"/>
          <w:bCs/>
          <w:iCs/>
        </w:rPr>
        <w:t xml:space="preserve">ew </w:t>
      </w:r>
      <w:r>
        <w:rPr>
          <w:rFonts w:ascii="Segoe UI" w:hAnsi="Segoe UI" w:cs="Segoe UI"/>
          <w:bCs/>
          <w:iCs/>
        </w:rPr>
        <w:t>Z</w:t>
      </w:r>
      <w:r w:rsidR="00E072AE">
        <w:rPr>
          <w:rFonts w:ascii="Segoe UI" w:hAnsi="Segoe UI" w:cs="Segoe UI"/>
          <w:bCs/>
          <w:iCs/>
        </w:rPr>
        <w:t>ealand</w:t>
      </w:r>
      <w:r>
        <w:rPr>
          <w:rFonts w:ascii="Segoe UI" w:hAnsi="Segoe UI" w:cs="Segoe UI"/>
          <w:bCs/>
          <w:iCs/>
        </w:rPr>
        <w:t xml:space="preserve">. We applaud the </w:t>
      </w:r>
      <w:proofErr w:type="spellStart"/>
      <w:r>
        <w:rPr>
          <w:rFonts w:ascii="Segoe UI" w:hAnsi="Segoe UI" w:cs="Segoe UI"/>
          <w:bCs/>
          <w:iCs/>
        </w:rPr>
        <w:t>Pae</w:t>
      </w:r>
      <w:proofErr w:type="spellEnd"/>
      <w:r>
        <w:rPr>
          <w:rFonts w:ascii="Segoe UI" w:hAnsi="Segoe UI" w:cs="Segoe UI"/>
          <w:bCs/>
          <w:iCs/>
        </w:rPr>
        <w:t xml:space="preserve"> Ora (Healthy Futures) Bill currently before Parliament, that includes a Pacific Health Strategy. It provides a framework for guiding the health system in its efforts to improve Pacific health outcomes. It has a specific obligation to assess current health status, performance of the health system, trends and setting of priority for services and health system improvement. One of the key priorities for Pacific health is to strengthen and build the Pacific health workforce. </w:t>
      </w:r>
    </w:p>
    <w:p w14:paraId="388BBDF0" w14:textId="2890511B" w:rsidR="00E87018" w:rsidRDefault="002A0F74" w:rsidP="00E87018">
      <w:pPr>
        <w:rPr>
          <w:rFonts w:ascii="Segoe UI" w:hAnsi="Segoe UI" w:cs="Segoe UI"/>
          <w:bCs/>
          <w:iCs/>
        </w:rPr>
      </w:pPr>
      <w:r>
        <w:rPr>
          <w:rFonts w:ascii="Segoe UI" w:hAnsi="Segoe UI" w:cs="Segoe UI"/>
          <w:bCs/>
          <w:iCs/>
        </w:rPr>
        <w:t>The Pacific health workforce has been on the margins of workforce development for too long. There is a wellspring</w:t>
      </w:r>
      <w:r w:rsidR="002C59AD">
        <w:rPr>
          <w:rFonts w:ascii="Segoe UI" w:hAnsi="Segoe UI" w:cs="Segoe UI"/>
          <w:bCs/>
          <w:iCs/>
        </w:rPr>
        <w:t xml:space="preserve"> of concern among </w:t>
      </w:r>
      <w:r>
        <w:rPr>
          <w:rFonts w:ascii="Segoe UI" w:hAnsi="Segoe UI" w:cs="Segoe UI"/>
          <w:bCs/>
          <w:iCs/>
        </w:rPr>
        <w:t>Pacific health professional</w:t>
      </w:r>
      <w:r w:rsidR="002C59AD">
        <w:rPr>
          <w:rFonts w:ascii="Segoe UI" w:hAnsi="Segoe UI" w:cs="Segoe UI"/>
          <w:bCs/>
          <w:iCs/>
        </w:rPr>
        <w:t>s</w:t>
      </w:r>
      <w:r>
        <w:rPr>
          <w:rFonts w:ascii="Segoe UI" w:hAnsi="Segoe UI" w:cs="Segoe UI"/>
          <w:bCs/>
          <w:iCs/>
        </w:rPr>
        <w:t xml:space="preserve">, </w:t>
      </w:r>
      <w:r w:rsidR="002C59AD">
        <w:rPr>
          <w:rFonts w:ascii="Segoe UI" w:hAnsi="Segoe UI" w:cs="Segoe UI"/>
          <w:bCs/>
          <w:iCs/>
        </w:rPr>
        <w:t xml:space="preserve">academic researchers, </w:t>
      </w:r>
      <w:r>
        <w:rPr>
          <w:rFonts w:ascii="Segoe UI" w:hAnsi="Segoe UI" w:cs="Segoe UI"/>
          <w:bCs/>
          <w:iCs/>
        </w:rPr>
        <w:t>Pacific health providers and Pacific comm</w:t>
      </w:r>
      <w:r w:rsidR="002C59AD">
        <w:rPr>
          <w:rFonts w:ascii="Segoe UI" w:hAnsi="Segoe UI" w:cs="Segoe UI"/>
          <w:bCs/>
          <w:iCs/>
        </w:rPr>
        <w:t>unities about increasing health inequities.</w:t>
      </w:r>
    </w:p>
    <w:tbl>
      <w:tblPr>
        <w:tblStyle w:val="TableGrid"/>
        <w:tblW w:w="0" w:type="auto"/>
        <w:tblLook w:val="04A0" w:firstRow="1" w:lastRow="0" w:firstColumn="1" w:lastColumn="0" w:noHBand="0" w:noVBand="1"/>
      </w:tblPr>
      <w:tblGrid>
        <w:gridCol w:w="4149"/>
      </w:tblGrid>
      <w:tr w:rsidR="00765D1C" w:rsidRPr="00765D1C" w14:paraId="155123A8" w14:textId="77777777" w:rsidTr="00765D1C">
        <w:tc>
          <w:tcPr>
            <w:tcW w:w="4149" w:type="dxa"/>
            <w:tcBorders>
              <w:left w:val="nil"/>
              <w:right w:val="nil"/>
            </w:tcBorders>
          </w:tcPr>
          <w:p w14:paraId="24E58CA4" w14:textId="77777777" w:rsidR="00765D1C" w:rsidRPr="00765D1C" w:rsidRDefault="00765D1C" w:rsidP="00765D1C">
            <w:pPr>
              <w:spacing w:before="120" w:after="120"/>
              <w:rPr>
                <w:rFonts w:ascii="Segoe UI" w:hAnsi="Segoe UI" w:cs="Segoe UI"/>
                <w:b/>
                <w:bCs/>
                <w:i/>
                <w:iCs/>
              </w:rPr>
            </w:pPr>
            <w:r w:rsidRPr="00765D1C">
              <w:rPr>
                <w:rFonts w:ascii="Segoe UI" w:hAnsi="Segoe UI" w:cs="Segoe UI"/>
                <w:b/>
                <w:i/>
              </w:rPr>
              <w:t>HWAB recommends that the Pacific Health Strategy referred to in new legislation is prioritised for resourcing in 2022/3 and a target date set for completion.</w:t>
            </w:r>
          </w:p>
        </w:tc>
      </w:tr>
    </w:tbl>
    <w:p w14:paraId="6B523B86" w14:textId="77777777" w:rsidR="002D47DF" w:rsidRPr="00A61B17" w:rsidRDefault="002D47DF" w:rsidP="003B2845">
      <w:pPr>
        <w:rPr>
          <w:rFonts w:ascii="Segoe UI" w:hAnsi="Segoe UI" w:cs="Segoe UI"/>
          <w:b/>
          <w:bCs/>
        </w:rPr>
      </w:pPr>
    </w:p>
    <w:p w14:paraId="0C982BDF" w14:textId="06399D3F" w:rsidR="007B702C" w:rsidRPr="00D46424" w:rsidRDefault="007B702C" w:rsidP="00497A31">
      <w:pPr>
        <w:pStyle w:val="Heading3"/>
      </w:pPr>
      <w:r w:rsidRPr="00D46424">
        <w:t>Rural health wor</w:t>
      </w:r>
      <w:r w:rsidR="00153B1C" w:rsidRPr="00D46424">
        <w:t>k</w:t>
      </w:r>
      <w:r w:rsidRPr="00D46424">
        <w:t>force</w:t>
      </w:r>
    </w:p>
    <w:p w14:paraId="697A13D0" w14:textId="77777777" w:rsidR="00D56D4B" w:rsidRDefault="00BE7082" w:rsidP="003B2845">
      <w:pPr>
        <w:rPr>
          <w:rFonts w:ascii="Segoe UI" w:hAnsi="Segoe UI" w:cs="Segoe UI"/>
          <w:color w:val="000000" w:themeColor="text1"/>
        </w:rPr>
      </w:pPr>
      <w:r>
        <w:rPr>
          <w:rFonts w:ascii="Segoe UI" w:hAnsi="Segoe UI" w:cs="Segoe UI"/>
          <w:color w:val="000000" w:themeColor="text1"/>
        </w:rPr>
        <w:t>While COVID-19 has stress-tested the entire health system, rural New Zealand was singularly exposed.</w:t>
      </w:r>
      <w:r w:rsidR="00D56D4B">
        <w:rPr>
          <w:rFonts w:ascii="Segoe UI" w:hAnsi="Segoe UI" w:cs="Segoe UI"/>
          <w:color w:val="000000" w:themeColor="text1"/>
        </w:rPr>
        <w:t xml:space="preserve"> The fist COVID-19 related death occurred in a rural hospital and vaccination rates have been slower in remote, rural communities.</w:t>
      </w:r>
      <w:r>
        <w:rPr>
          <w:rFonts w:ascii="Segoe UI" w:hAnsi="Segoe UI" w:cs="Segoe UI"/>
          <w:color w:val="000000" w:themeColor="text1"/>
        </w:rPr>
        <w:t xml:space="preserve"> </w:t>
      </w:r>
    </w:p>
    <w:p w14:paraId="146BAF1E" w14:textId="77777777" w:rsidR="00F608D0" w:rsidRDefault="00BE7082" w:rsidP="003B2845">
      <w:pPr>
        <w:rPr>
          <w:rFonts w:ascii="Segoe UI" w:hAnsi="Segoe UI" w:cs="Segoe UI"/>
          <w:color w:val="000000" w:themeColor="text1"/>
        </w:rPr>
      </w:pPr>
      <w:r>
        <w:rPr>
          <w:rFonts w:ascii="Segoe UI" w:hAnsi="Segoe UI" w:cs="Segoe UI"/>
          <w:color w:val="000000" w:themeColor="text1"/>
        </w:rPr>
        <w:t>The response to the pandemic highlighted the chronic rural health care shortages in rural towns which are generally characterised by an average lower socio-economic status, higher proportion of Māori, older age structures and higher levels of dependency.</w:t>
      </w:r>
      <w:r w:rsidR="00D56D4B">
        <w:rPr>
          <w:rFonts w:ascii="Segoe UI" w:hAnsi="Segoe UI" w:cs="Segoe UI"/>
          <w:color w:val="000000" w:themeColor="text1"/>
        </w:rPr>
        <w:t xml:space="preserve"> </w:t>
      </w:r>
    </w:p>
    <w:p w14:paraId="69062CF2" w14:textId="376DA11F" w:rsidR="007B702C" w:rsidRDefault="00F608D0" w:rsidP="003B2845">
      <w:pPr>
        <w:rPr>
          <w:rFonts w:ascii="Segoe UI" w:hAnsi="Segoe UI" w:cs="Segoe UI"/>
          <w:color w:val="000000" w:themeColor="text1"/>
        </w:rPr>
      </w:pPr>
      <w:r>
        <w:rPr>
          <w:rFonts w:ascii="Segoe UI" w:hAnsi="Segoe UI" w:cs="Segoe UI"/>
          <w:color w:val="000000" w:themeColor="text1"/>
        </w:rPr>
        <w:t xml:space="preserve">Research conducted during COVID-19 responsiveness highlighted the planning challenges rural hospitals faced in operating at the margins of the healthcare system. </w:t>
      </w:r>
      <w:r w:rsidR="00D56D4B">
        <w:rPr>
          <w:rFonts w:ascii="Segoe UI" w:hAnsi="Segoe UI" w:cs="Segoe UI"/>
          <w:color w:val="000000" w:themeColor="text1"/>
        </w:rPr>
        <w:t>The lack of specialist intensivist and anaesthetist staff</w:t>
      </w:r>
      <w:r>
        <w:rPr>
          <w:rFonts w:ascii="Segoe UI" w:hAnsi="Segoe UI" w:cs="Segoe UI"/>
          <w:color w:val="000000" w:themeColor="text1"/>
        </w:rPr>
        <w:t xml:space="preserve"> and the transfer of COVID-</w:t>
      </w:r>
      <w:r w:rsidR="00D56D4B">
        <w:rPr>
          <w:rFonts w:ascii="Segoe UI" w:hAnsi="Segoe UI" w:cs="Segoe UI"/>
          <w:color w:val="000000" w:themeColor="text1"/>
        </w:rPr>
        <w:t xml:space="preserve">19 patients added to feelings of stress and isolation among </w:t>
      </w:r>
      <w:r>
        <w:rPr>
          <w:rFonts w:ascii="Segoe UI" w:hAnsi="Segoe UI" w:cs="Segoe UI"/>
          <w:color w:val="000000" w:themeColor="text1"/>
        </w:rPr>
        <w:t>rural healthcare workers.</w:t>
      </w:r>
      <w:r>
        <w:rPr>
          <w:rStyle w:val="EndnoteReference"/>
          <w:rFonts w:ascii="Segoe UI" w:hAnsi="Segoe UI" w:cs="Segoe UI"/>
          <w:color w:val="000000" w:themeColor="text1"/>
        </w:rPr>
        <w:endnoteReference w:id="11"/>
      </w:r>
    </w:p>
    <w:p w14:paraId="1380F4F6" w14:textId="01909BA2" w:rsidR="00BE7082" w:rsidRDefault="00BE7082" w:rsidP="003B2845">
      <w:pPr>
        <w:rPr>
          <w:rFonts w:ascii="Segoe UI" w:hAnsi="Segoe UI" w:cs="Segoe UI"/>
          <w:color w:val="000000" w:themeColor="text1"/>
        </w:rPr>
      </w:pPr>
      <w:r>
        <w:rPr>
          <w:rFonts w:ascii="Segoe UI" w:hAnsi="Segoe UI" w:cs="Segoe UI"/>
          <w:color w:val="000000" w:themeColor="text1"/>
        </w:rPr>
        <w:t xml:space="preserve">The Government’s 2021 resident visa allowing over 5000 migrant health workers </w:t>
      </w:r>
      <w:r w:rsidR="00EC26AC">
        <w:rPr>
          <w:rFonts w:ascii="Segoe UI" w:hAnsi="Segoe UI" w:cs="Segoe UI"/>
          <w:color w:val="000000" w:themeColor="text1"/>
        </w:rPr>
        <w:t>to stay in the country</w:t>
      </w:r>
      <w:r>
        <w:rPr>
          <w:rFonts w:ascii="Segoe UI" w:hAnsi="Segoe UI" w:cs="Segoe UI"/>
          <w:color w:val="000000" w:themeColor="text1"/>
        </w:rPr>
        <w:t xml:space="preserve"> was welcomed as a new pathway for resident locum doctors</w:t>
      </w:r>
      <w:r w:rsidR="00EC26AC">
        <w:rPr>
          <w:rFonts w:ascii="Segoe UI" w:hAnsi="Segoe UI" w:cs="Segoe UI"/>
          <w:color w:val="000000" w:themeColor="text1"/>
        </w:rPr>
        <w:t>,</w:t>
      </w:r>
      <w:r>
        <w:rPr>
          <w:rFonts w:ascii="Segoe UI" w:hAnsi="Segoe UI" w:cs="Segoe UI"/>
          <w:color w:val="000000" w:themeColor="text1"/>
        </w:rPr>
        <w:t xml:space="preserve"> in part</w:t>
      </w:r>
      <w:r w:rsidR="00EC26AC">
        <w:rPr>
          <w:rFonts w:ascii="Segoe UI" w:hAnsi="Segoe UI" w:cs="Segoe UI"/>
          <w:color w:val="000000" w:themeColor="text1"/>
        </w:rPr>
        <w:t xml:space="preserve">icular. </w:t>
      </w:r>
      <w:r>
        <w:rPr>
          <w:rFonts w:ascii="Segoe UI" w:hAnsi="Segoe UI" w:cs="Segoe UI"/>
          <w:color w:val="000000" w:themeColor="text1"/>
        </w:rPr>
        <w:t xml:space="preserve"> But rural health chiefs warned that it did not solve the vast understaffing of rural health workers and that ideally New Zealand </w:t>
      </w:r>
      <w:r w:rsidR="00EC26AC">
        <w:rPr>
          <w:rFonts w:ascii="Segoe UI" w:hAnsi="Segoe UI" w:cs="Segoe UI"/>
          <w:color w:val="000000" w:themeColor="text1"/>
        </w:rPr>
        <w:t>should be training more local do</w:t>
      </w:r>
      <w:r>
        <w:rPr>
          <w:rFonts w:ascii="Segoe UI" w:hAnsi="Segoe UI" w:cs="Segoe UI"/>
          <w:color w:val="000000" w:themeColor="text1"/>
        </w:rPr>
        <w:t>ctors and nurses</w:t>
      </w:r>
      <w:r w:rsidR="00EC26AC">
        <w:rPr>
          <w:rFonts w:ascii="Segoe UI" w:hAnsi="Segoe UI" w:cs="Segoe UI"/>
          <w:color w:val="000000" w:themeColor="text1"/>
        </w:rPr>
        <w:t>.</w:t>
      </w:r>
      <w:r w:rsidR="00EC26AC">
        <w:rPr>
          <w:rStyle w:val="EndnoteReference"/>
          <w:rFonts w:ascii="Segoe UI" w:hAnsi="Segoe UI" w:cs="Segoe UI"/>
          <w:color w:val="000000" w:themeColor="text1"/>
        </w:rPr>
        <w:endnoteReference w:id="12"/>
      </w:r>
      <w:r w:rsidR="00EC26AC">
        <w:rPr>
          <w:rFonts w:ascii="Segoe UI" w:hAnsi="Segoe UI" w:cs="Segoe UI"/>
          <w:color w:val="000000" w:themeColor="text1"/>
        </w:rPr>
        <w:t xml:space="preserve"> The funding and expansion of rural locum services remains critical to address rural health inequities.</w:t>
      </w:r>
    </w:p>
    <w:p w14:paraId="23AF498E" w14:textId="4C009288" w:rsidR="00EC26AC" w:rsidRDefault="00D56D4B" w:rsidP="003B2845">
      <w:pPr>
        <w:rPr>
          <w:rFonts w:ascii="Segoe UI" w:hAnsi="Segoe UI" w:cs="Segoe UI"/>
          <w:color w:val="000000" w:themeColor="text1"/>
        </w:rPr>
      </w:pPr>
      <w:r>
        <w:rPr>
          <w:rFonts w:ascii="Segoe UI" w:hAnsi="Segoe UI" w:cs="Segoe UI"/>
          <w:color w:val="000000" w:themeColor="text1"/>
        </w:rPr>
        <w:lastRenderedPageBreak/>
        <w:t>The 24 hospitals serving approximately 10 per cent of the population are uniquely positioned to improve health equity for rural communities, in particular M</w:t>
      </w:r>
      <w:r w:rsidR="00F9655A">
        <w:rPr>
          <w:rFonts w:ascii="Segoe UI" w:hAnsi="Segoe UI" w:cs="Segoe UI"/>
          <w:color w:val="000000" w:themeColor="text1"/>
        </w:rPr>
        <w:t>ā</w:t>
      </w:r>
      <w:r>
        <w:rPr>
          <w:rFonts w:ascii="Segoe UI" w:hAnsi="Segoe UI" w:cs="Segoe UI"/>
          <w:color w:val="000000" w:themeColor="text1"/>
        </w:rPr>
        <w:t>ori and Pacific peoples.</w:t>
      </w:r>
      <w:r w:rsidR="0058433B">
        <w:rPr>
          <w:rFonts w:ascii="Segoe UI" w:hAnsi="Segoe UI" w:cs="Segoe UI"/>
          <w:color w:val="000000" w:themeColor="text1"/>
        </w:rPr>
        <w:t xml:space="preserve"> But there is a need for the rural health perspective </w:t>
      </w:r>
      <w:r w:rsidR="00FC2429">
        <w:rPr>
          <w:rFonts w:ascii="Segoe UI" w:hAnsi="Segoe UI" w:cs="Segoe UI"/>
          <w:color w:val="000000" w:themeColor="text1"/>
        </w:rPr>
        <w:t>to be listened to and</w:t>
      </w:r>
      <w:r w:rsidR="0058433B">
        <w:rPr>
          <w:rFonts w:ascii="Segoe UI" w:hAnsi="Segoe UI" w:cs="Segoe UI"/>
          <w:color w:val="000000" w:themeColor="text1"/>
        </w:rPr>
        <w:t xml:space="preserve"> integral to</w:t>
      </w:r>
      <w:r w:rsidR="00FC2429">
        <w:rPr>
          <w:rFonts w:ascii="Segoe UI" w:hAnsi="Segoe UI" w:cs="Segoe UI"/>
          <w:color w:val="000000" w:themeColor="text1"/>
        </w:rPr>
        <w:t xml:space="preserve"> regional service delivery whether that voice is requesting that telehealth be integrated into rural health care pathways or asking for rural prototypes to be included in any new thinking about localities. Rural consumer voices, for example, are vitally required on health consumer councils at all levels.</w:t>
      </w:r>
    </w:p>
    <w:p w14:paraId="33EDB67C" w14:textId="5CDD9C50" w:rsidR="00D56D4B" w:rsidRPr="00BE7082" w:rsidRDefault="00D56D4B" w:rsidP="003B2845">
      <w:pPr>
        <w:rPr>
          <w:rFonts w:ascii="Segoe UI" w:hAnsi="Segoe UI" w:cs="Segoe UI"/>
          <w:color w:val="000000" w:themeColor="text1"/>
        </w:rPr>
      </w:pPr>
      <w:r>
        <w:rPr>
          <w:rFonts w:ascii="Segoe UI" w:hAnsi="Segoe UI" w:cs="Segoe UI"/>
          <w:color w:val="000000" w:themeColor="text1"/>
        </w:rPr>
        <w:t xml:space="preserve">The development of a more strategic workforce development plan </w:t>
      </w:r>
      <w:r w:rsidR="00FC2429">
        <w:rPr>
          <w:rFonts w:ascii="Segoe UI" w:hAnsi="Segoe UI" w:cs="Segoe UI"/>
          <w:color w:val="000000" w:themeColor="text1"/>
        </w:rPr>
        <w:t>for the rural sector that focuses on the development of the rural health workforce</w:t>
      </w:r>
      <w:r>
        <w:rPr>
          <w:rFonts w:ascii="Segoe UI" w:hAnsi="Segoe UI" w:cs="Segoe UI"/>
          <w:color w:val="000000" w:themeColor="text1"/>
        </w:rPr>
        <w:t xml:space="preserve">, is a once in a generation opportunity for </w:t>
      </w:r>
      <w:r w:rsidR="0042681F">
        <w:rPr>
          <w:rFonts w:ascii="Segoe UI" w:hAnsi="Segoe UI" w:cs="Segoe UI"/>
          <w:color w:val="000000" w:themeColor="text1"/>
        </w:rPr>
        <w:t xml:space="preserve">Health </w:t>
      </w:r>
      <w:r>
        <w:rPr>
          <w:rFonts w:ascii="Segoe UI" w:hAnsi="Segoe UI" w:cs="Segoe UI"/>
          <w:color w:val="000000" w:themeColor="text1"/>
        </w:rPr>
        <w:t>New Zealand and the M</w:t>
      </w:r>
      <w:r w:rsidR="00FC2429">
        <w:rPr>
          <w:rFonts w:ascii="Segoe UI" w:hAnsi="Segoe UI" w:cs="Segoe UI"/>
          <w:color w:val="000000" w:themeColor="text1"/>
        </w:rPr>
        <w:t>ā</w:t>
      </w:r>
      <w:r>
        <w:rPr>
          <w:rFonts w:ascii="Segoe UI" w:hAnsi="Segoe UI" w:cs="Segoe UI"/>
          <w:color w:val="000000" w:themeColor="text1"/>
        </w:rPr>
        <w:t xml:space="preserve">ori Health </w:t>
      </w:r>
      <w:r w:rsidR="00FC2429">
        <w:rPr>
          <w:rFonts w:ascii="Segoe UI" w:hAnsi="Segoe UI" w:cs="Segoe UI"/>
          <w:color w:val="000000" w:themeColor="text1"/>
        </w:rPr>
        <w:t>Authority.</w:t>
      </w:r>
      <w:r>
        <w:rPr>
          <w:rFonts w:ascii="Segoe UI" w:hAnsi="Segoe UI" w:cs="Segoe UI"/>
          <w:color w:val="000000" w:themeColor="text1"/>
        </w:rPr>
        <w:t xml:space="preserve"> </w:t>
      </w:r>
    </w:p>
    <w:p w14:paraId="47D2B0D8" w14:textId="4DEB923A" w:rsidR="00816984" w:rsidRDefault="00FC2429" w:rsidP="003B2845">
      <w:pPr>
        <w:rPr>
          <w:rFonts w:ascii="Segoe UI" w:hAnsi="Segoe UI" w:cs="Segoe UI"/>
        </w:rPr>
      </w:pPr>
      <w:r>
        <w:rPr>
          <w:rFonts w:ascii="Segoe UI" w:hAnsi="Segoe UI" w:cs="Segoe UI"/>
        </w:rPr>
        <w:t>Without it</w:t>
      </w:r>
      <w:r w:rsidR="006E7481">
        <w:rPr>
          <w:rFonts w:ascii="Segoe UI" w:hAnsi="Segoe UI" w:cs="Segoe UI"/>
        </w:rPr>
        <w:t>,</w:t>
      </w:r>
      <w:r>
        <w:rPr>
          <w:rFonts w:ascii="Segoe UI" w:hAnsi="Segoe UI" w:cs="Segoe UI"/>
        </w:rPr>
        <w:t xml:space="preserve"> the endemic health workforce shortages in rural towns and remote areas will continue to fuel unacceptable health inequities (outcomes and access) for M</w:t>
      </w:r>
      <w:r w:rsidR="007E00CF">
        <w:rPr>
          <w:rFonts w:ascii="Segoe UI" w:hAnsi="Segoe UI" w:cs="Segoe UI"/>
        </w:rPr>
        <w:t>ā</w:t>
      </w:r>
      <w:r>
        <w:rPr>
          <w:rFonts w:ascii="Segoe UI" w:hAnsi="Segoe UI" w:cs="Segoe UI"/>
        </w:rPr>
        <w:t xml:space="preserve">ori, Pacific and those living rurally. </w:t>
      </w:r>
      <w:r w:rsidR="007E00CF">
        <w:rPr>
          <w:rFonts w:ascii="Segoe UI" w:hAnsi="Segoe UI" w:cs="Segoe UI"/>
        </w:rPr>
        <w:t>This is a much starker, but less visible, expression of post code lottery than DHB</w:t>
      </w:r>
      <w:r w:rsidR="00E72C96">
        <w:rPr>
          <w:rFonts w:ascii="Segoe UI" w:hAnsi="Segoe UI" w:cs="Segoe UI"/>
        </w:rPr>
        <w:t>-</w:t>
      </w:r>
      <w:r w:rsidR="007E00CF">
        <w:rPr>
          <w:rFonts w:ascii="Segoe UI" w:hAnsi="Segoe UI" w:cs="Segoe UI"/>
        </w:rPr>
        <w:t>by</w:t>
      </w:r>
      <w:r w:rsidR="00E72C96">
        <w:rPr>
          <w:rFonts w:ascii="Segoe UI" w:hAnsi="Segoe UI" w:cs="Segoe UI"/>
        </w:rPr>
        <w:t>-</w:t>
      </w:r>
      <w:r w:rsidR="007E00CF">
        <w:rPr>
          <w:rFonts w:ascii="Segoe UI" w:hAnsi="Segoe UI" w:cs="Segoe UI"/>
        </w:rPr>
        <w:t>DHB comparisons for base hospital services may reveal.</w:t>
      </w:r>
    </w:p>
    <w:p w14:paraId="61559BBA" w14:textId="04DDF4D7" w:rsidR="002A0F74" w:rsidRDefault="002A0F74" w:rsidP="003B2845">
      <w:pPr>
        <w:rPr>
          <w:rFonts w:ascii="Segoe UI" w:hAnsi="Segoe UI" w:cs="Segoe UI"/>
        </w:rPr>
      </w:pPr>
      <w:r>
        <w:rPr>
          <w:rFonts w:ascii="Segoe UI" w:hAnsi="Segoe UI" w:cs="Segoe UI"/>
        </w:rPr>
        <w:t>New models of care in primary and community settings need development at a local level to meet population needs and to achieve equity. Rural New Zealand could also lead digital platform development which could transform access for many in remote areas.</w:t>
      </w:r>
    </w:p>
    <w:p w14:paraId="6D4C665C" w14:textId="77777777" w:rsidR="008C42CD" w:rsidRDefault="008C42CD" w:rsidP="003B2845">
      <w:pPr>
        <w:rPr>
          <w:rFonts w:ascii="Segoe UI" w:hAnsi="Segoe UI" w:cs="Segoe UI"/>
          <w:b/>
          <w:bCs/>
          <w:i/>
          <w:iCs/>
        </w:rPr>
      </w:pPr>
    </w:p>
    <w:p w14:paraId="663D7512" w14:textId="087AE268" w:rsidR="00DB5716" w:rsidRPr="00816984" w:rsidRDefault="00A56F12" w:rsidP="00497A31">
      <w:pPr>
        <w:pStyle w:val="Heading3"/>
      </w:pPr>
      <w:r w:rsidRPr="00816984">
        <w:t>Aged care sector</w:t>
      </w:r>
    </w:p>
    <w:p w14:paraId="0450AA19" w14:textId="1F3E5677" w:rsidR="0027158F" w:rsidRPr="00D802FC" w:rsidRDefault="00CF4C0C" w:rsidP="003B2845">
      <w:pPr>
        <w:rPr>
          <w:rFonts w:ascii="Segoe UI" w:hAnsi="Segoe UI" w:cs="Segoe UI"/>
        </w:rPr>
      </w:pPr>
      <w:r w:rsidRPr="00D802FC">
        <w:rPr>
          <w:rFonts w:ascii="Segoe UI" w:hAnsi="Segoe UI" w:cs="Segoe UI"/>
        </w:rPr>
        <w:t>The global pandemic has exposed the on-going fragility of the aged care se</w:t>
      </w:r>
      <w:r w:rsidR="00AB1534" w:rsidRPr="00D802FC">
        <w:rPr>
          <w:rFonts w:ascii="Segoe UI" w:hAnsi="Segoe UI" w:cs="Segoe UI"/>
        </w:rPr>
        <w:t>ctor workforce, especially</w:t>
      </w:r>
      <w:r w:rsidRPr="00D802FC">
        <w:rPr>
          <w:rFonts w:ascii="Segoe UI" w:hAnsi="Segoe UI" w:cs="Segoe UI"/>
        </w:rPr>
        <w:t xml:space="preserve"> healthcare assistants </w:t>
      </w:r>
      <w:r w:rsidRPr="00D802FC">
        <w:rPr>
          <w:rFonts w:ascii="Segoe UI" w:hAnsi="Segoe UI" w:cs="Segoe UI"/>
        </w:rPr>
        <w:t xml:space="preserve">and </w:t>
      </w:r>
      <w:r w:rsidR="00792544">
        <w:rPr>
          <w:rFonts w:ascii="Segoe UI" w:hAnsi="Segoe UI" w:cs="Segoe UI"/>
        </w:rPr>
        <w:t>r</w:t>
      </w:r>
      <w:r w:rsidR="00AB1534" w:rsidRPr="00D802FC">
        <w:rPr>
          <w:rFonts w:ascii="Segoe UI" w:hAnsi="Segoe UI" w:cs="Segoe UI"/>
        </w:rPr>
        <w:t xml:space="preserve">egistered </w:t>
      </w:r>
      <w:r w:rsidR="00792544">
        <w:rPr>
          <w:rFonts w:ascii="Segoe UI" w:hAnsi="Segoe UI" w:cs="Segoe UI"/>
        </w:rPr>
        <w:t>n</w:t>
      </w:r>
      <w:r w:rsidR="00AB1534" w:rsidRPr="00D802FC">
        <w:rPr>
          <w:rFonts w:ascii="Segoe UI" w:hAnsi="Segoe UI" w:cs="Segoe UI"/>
        </w:rPr>
        <w:t>urse</w:t>
      </w:r>
      <w:r w:rsidRPr="00D802FC">
        <w:rPr>
          <w:rFonts w:ascii="Segoe UI" w:hAnsi="Segoe UI" w:cs="Segoe UI"/>
        </w:rPr>
        <w:t xml:space="preserve">s, working in </w:t>
      </w:r>
      <w:r w:rsidR="00AB1534" w:rsidRPr="00D802FC">
        <w:rPr>
          <w:rFonts w:ascii="Segoe UI" w:hAnsi="Segoe UI" w:cs="Segoe UI"/>
        </w:rPr>
        <w:t>650 aged residential care facilities in New Zealand.</w:t>
      </w:r>
      <w:r w:rsidRPr="00D802FC">
        <w:rPr>
          <w:rFonts w:ascii="Segoe UI" w:hAnsi="Segoe UI" w:cs="Segoe UI"/>
        </w:rPr>
        <w:t xml:space="preserve"> Already a stressed sector, both workforce capacity and capability concerns have characterised every COVID-19 outbreak. This has involved health care assistant </w:t>
      </w:r>
      <w:r w:rsidR="00AB1534" w:rsidRPr="00D802FC">
        <w:rPr>
          <w:rFonts w:ascii="Segoe UI" w:hAnsi="Segoe UI" w:cs="Segoe UI"/>
        </w:rPr>
        <w:t xml:space="preserve">and nursing staff </w:t>
      </w:r>
      <w:r w:rsidRPr="00D802FC">
        <w:rPr>
          <w:rFonts w:ascii="Segoe UI" w:hAnsi="Segoe UI" w:cs="Segoe UI"/>
        </w:rPr>
        <w:t xml:space="preserve">stand downs because staff-patient or patient-staff </w:t>
      </w:r>
      <w:r w:rsidR="00B7280F" w:rsidRPr="00D802FC">
        <w:rPr>
          <w:rFonts w:ascii="Segoe UI" w:hAnsi="Segoe UI" w:cs="Segoe UI"/>
        </w:rPr>
        <w:t xml:space="preserve">transmission of the virus, DHB </w:t>
      </w:r>
      <w:r w:rsidRPr="00D802FC">
        <w:rPr>
          <w:rFonts w:ascii="Segoe UI" w:hAnsi="Segoe UI" w:cs="Segoe UI"/>
        </w:rPr>
        <w:t xml:space="preserve">nursing </w:t>
      </w:r>
      <w:r w:rsidR="00E7624A" w:rsidRPr="00D802FC">
        <w:rPr>
          <w:rFonts w:ascii="Segoe UI" w:hAnsi="Segoe UI" w:cs="Segoe UI"/>
        </w:rPr>
        <w:t xml:space="preserve">staff being </w:t>
      </w:r>
      <w:r w:rsidRPr="00D802FC">
        <w:rPr>
          <w:rFonts w:ascii="Segoe UI" w:hAnsi="Segoe UI" w:cs="Segoe UI"/>
        </w:rPr>
        <w:t>redeployed into private aged care settings to provide capacity, and elderly, vulnerable patients being decante</w:t>
      </w:r>
      <w:r w:rsidR="00095AE2" w:rsidRPr="00D802FC">
        <w:rPr>
          <w:rFonts w:ascii="Segoe UI" w:hAnsi="Segoe UI" w:cs="Segoe UI"/>
        </w:rPr>
        <w:t>d into hospit</w:t>
      </w:r>
      <w:r w:rsidR="00626A76">
        <w:rPr>
          <w:rFonts w:ascii="Segoe UI" w:hAnsi="Segoe UI" w:cs="Segoe UI"/>
        </w:rPr>
        <w:t xml:space="preserve">al wards </w:t>
      </w:r>
      <w:r w:rsidR="00095AE2" w:rsidRPr="00D802FC">
        <w:rPr>
          <w:rFonts w:ascii="Segoe UI" w:hAnsi="Segoe UI" w:cs="Segoe UI"/>
        </w:rPr>
        <w:t>to</w:t>
      </w:r>
      <w:r w:rsidRPr="00D802FC">
        <w:rPr>
          <w:rFonts w:ascii="Segoe UI" w:hAnsi="Segoe UI" w:cs="Segoe UI"/>
        </w:rPr>
        <w:t xml:space="preserve"> reduce mortality</w:t>
      </w:r>
      <w:r w:rsidR="00E7624A" w:rsidRPr="00D802FC">
        <w:rPr>
          <w:rFonts w:ascii="Segoe UI" w:hAnsi="Segoe UI" w:cs="Segoe UI"/>
        </w:rPr>
        <w:t xml:space="preserve"> and the spread of the virus</w:t>
      </w:r>
      <w:r w:rsidRPr="00D802FC">
        <w:rPr>
          <w:rFonts w:ascii="Segoe UI" w:hAnsi="Segoe UI" w:cs="Segoe UI"/>
        </w:rPr>
        <w:t>.</w:t>
      </w:r>
      <w:r w:rsidR="00E7624A" w:rsidRPr="00D802FC">
        <w:rPr>
          <w:rFonts w:ascii="Segoe UI" w:hAnsi="Segoe UI" w:cs="Segoe UI"/>
        </w:rPr>
        <w:t xml:space="preserve"> All of these scenarios have exposed workforce pressures. </w:t>
      </w:r>
      <w:r w:rsidR="00E03D7D" w:rsidRPr="00D802FC">
        <w:rPr>
          <w:rFonts w:ascii="Segoe UI" w:hAnsi="Segoe UI" w:cs="Segoe UI"/>
        </w:rPr>
        <w:t>Simply there are n</w:t>
      </w:r>
      <w:r w:rsidR="00E7624A" w:rsidRPr="00D802FC">
        <w:rPr>
          <w:rFonts w:ascii="Segoe UI" w:hAnsi="Segoe UI" w:cs="Segoe UI"/>
        </w:rPr>
        <w:t>ot enough aged</w:t>
      </w:r>
      <w:r w:rsidR="00AB1534" w:rsidRPr="00D802FC">
        <w:rPr>
          <w:rFonts w:ascii="Segoe UI" w:hAnsi="Segoe UI" w:cs="Segoe UI"/>
        </w:rPr>
        <w:t xml:space="preserve"> care staff and not enough aged care staff with the right skills and training. </w:t>
      </w:r>
    </w:p>
    <w:p w14:paraId="1FEAFC48" w14:textId="02703D97" w:rsidR="00EA639C" w:rsidRPr="00D802FC" w:rsidRDefault="00AB1534" w:rsidP="003B2845">
      <w:pPr>
        <w:rPr>
          <w:rFonts w:ascii="Segoe UI" w:hAnsi="Segoe UI" w:cs="Segoe UI"/>
        </w:rPr>
      </w:pPr>
      <w:r w:rsidRPr="00D802FC">
        <w:rPr>
          <w:rFonts w:ascii="Segoe UI" w:hAnsi="Segoe UI" w:cs="Segoe UI"/>
        </w:rPr>
        <w:t>During the pandemic the CEO of the New Zealand Aged Care Association</w:t>
      </w:r>
      <w:r w:rsidR="0042681F">
        <w:rPr>
          <w:rFonts w:ascii="Segoe UI" w:hAnsi="Segoe UI" w:cs="Segoe UI"/>
        </w:rPr>
        <w:t xml:space="preserve"> (NZACA)</w:t>
      </w:r>
      <w:r w:rsidRPr="00D802FC">
        <w:rPr>
          <w:rFonts w:ascii="Segoe UI" w:hAnsi="Segoe UI" w:cs="Segoe UI"/>
        </w:rPr>
        <w:t xml:space="preserve">, Simon Wallace, estimated a shortage of 900 </w:t>
      </w:r>
      <w:r w:rsidR="003C7B90">
        <w:rPr>
          <w:rFonts w:ascii="Segoe UI" w:hAnsi="Segoe UI" w:cs="Segoe UI"/>
        </w:rPr>
        <w:t>r</w:t>
      </w:r>
      <w:r w:rsidRPr="00D802FC">
        <w:rPr>
          <w:rFonts w:ascii="Segoe UI" w:hAnsi="Segoe UI" w:cs="Segoe UI"/>
        </w:rPr>
        <w:t xml:space="preserve">egistered </w:t>
      </w:r>
      <w:r w:rsidR="003C7B90">
        <w:rPr>
          <w:rFonts w:ascii="Segoe UI" w:hAnsi="Segoe UI" w:cs="Segoe UI"/>
        </w:rPr>
        <w:t>n</w:t>
      </w:r>
      <w:r w:rsidRPr="00D802FC">
        <w:rPr>
          <w:rFonts w:ascii="Segoe UI" w:hAnsi="Segoe UI" w:cs="Segoe UI"/>
        </w:rPr>
        <w:t xml:space="preserve">urses out of a workforce of 5000, nearly 20 per cent of the workforce. Registered </w:t>
      </w:r>
      <w:r w:rsidR="003C7B90">
        <w:rPr>
          <w:rFonts w:ascii="Segoe UI" w:hAnsi="Segoe UI" w:cs="Segoe UI"/>
        </w:rPr>
        <w:t>n</w:t>
      </w:r>
      <w:r w:rsidRPr="00D802FC">
        <w:rPr>
          <w:rFonts w:ascii="Segoe UI" w:hAnsi="Segoe UI" w:cs="Segoe UI"/>
        </w:rPr>
        <w:t xml:space="preserve">urses were leaving to go to DHBs for </w:t>
      </w:r>
      <w:r w:rsidR="0027158F" w:rsidRPr="00D802FC">
        <w:rPr>
          <w:rFonts w:ascii="Segoe UI" w:hAnsi="Segoe UI" w:cs="Segoe UI"/>
        </w:rPr>
        <w:t>an ave</w:t>
      </w:r>
      <w:r w:rsidR="00E02600" w:rsidRPr="00D802FC">
        <w:rPr>
          <w:rFonts w:ascii="Segoe UI" w:hAnsi="Segoe UI" w:cs="Segoe UI"/>
        </w:rPr>
        <w:t>rage $10,000 increase annually,</w:t>
      </w:r>
      <w:r w:rsidRPr="00D802FC">
        <w:rPr>
          <w:rFonts w:ascii="Segoe UI" w:hAnsi="Segoe UI" w:cs="Segoe UI"/>
        </w:rPr>
        <w:t xml:space="preserve"> or to become COVID-19 vaccinators. The aged residential care sector is reliant on migrant nurses and health care assistants and the gap was estimated at 350 migrant nurses waiting for MIQ spots.</w:t>
      </w:r>
      <w:r w:rsidR="0027158F" w:rsidRPr="00D802FC">
        <w:rPr>
          <w:rStyle w:val="EndnoteReference"/>
          <w:rFonts w:ascii="Segoe UI" w:hAnsi="Segoe UI" w:cs="Segoe UI"/>
        </w:rPr>
        <w:endnoteReference w:id="13"/>
      </w:r>
    </w:p>
    <w:p w14:paraId="1D831697" w14:textId="26F7838D" w:rsidR="00153B1C" w:rsidRPr="00D802FC" w:rsidRDefault="0027158F" w:rsidP="003B2845">
      <w:pPr>
        <w:rPr>
          <w:rFonts w:ascii="Segoe UI" w:hAnsi="Segoe UI" w:cs="Segoe UI"/>
        </w:rPr>
      </w:pPr>
      <w:r w:rsidRPr="00D802FC">
        <w:rPr>
          <w:rFonts w:ascii="Segoe UI" w:hAnsi="Segoe UI" w:cs="Segoe UI"/>
        </w:rPr>
        <w:t>HWAB is not involved in health sector employment relations, but pay parity and pay equity significantly impact on health workforce retention. Health N</w:t>
      </w:r>
      <w:r w:rsidR="00396D83">
        <w:rPr>
          <w:rFonts w:ascii="Segoe UI" w:hAnsi="Segoe UI" w:cs="Segoe UI"/>
        </w:rPr>
        <w:t xml:space="preserve">ew </w:t>
      </w:r>
      <w:r w:rsidRPr="00D802FC">
        <w:rPr>
          <w:rFonts w:ascii="Segoe UI" w:hAnsi="Segoe UI" w:cs="Segoe UI"/>
        </w:rPr>
        <w:t>Z</w:t>
      </w:r>
      <w:r w:rsidR="00396D83">
        <w:rPr>
          <w:rFonts w:ascii="Segoe UI" w:hAnsi="Segoe UI" w:cs="Segoe UI"/>
        </w:rPr>
        <w:t>ealand</w:t>
      </w:r>
      <w:r w:rsidRPr="00D802FC">
        <w:rPr>
          <w:rFonts w:ascii="Segoe UI" w:hAnsi="Segoe UI" w:cs="Segoe UI"/>
        </w:rPr>
        <w:t xml:space="preserve"> as a single employer has an opportunity to review funding formulas, in particular per bed per day regimes, to ensure that financial outcomes for staff in critical areas of the health sector are not perverse. Pay parity is a basic human right, even before pay equity considerations come into play.</w:t>
      </w:r>
      <w:r w:rsidR="00E02600" w:rsidRPr="00D802FC">
        <w:rPr>
          <w:rFonts w:ascii="Segoe UI" w:hAnsi="Segoe UI" w:cs="Segoe UI"/>
        </w:rPr>
        <w:t xml:space="preserve"> </w:t>
      </w:r>
    </w:p>
    <w:p w14:paraId="12FE0FAE" w14:textId="512C8F63" w:rsidR="00E02600" w:rsidRPr="00D802FC" w:rsidRDefault="00E02600" w:rsidP="003B2845">
      <w:pPr>
        <w:rPr>
          <w:rFonts w:ascii="Segoe UI" w:hAnsi="Segoe UI" w:cs="Segoe UI"/>
        </w:rPr>
      </w:pPr>
      <w:r w:rsidRPr="00D802FC">
        <w:rPr>
          <w:rFonts w:ascii="Segoe UI" w:hAnsi="Segoe UI" w:cs="Segoe UI"/>
        </w:rPr>
        <w:lastRenderedPageBreak/>
        <w:t xml:space="preserve">Academics, researchers, industry and union representatives have been united for the past decade at least, in their calls for pay parity with DHB staff to be addressed urgently, both for </w:t>
      </w:r>
      <w:r w:rsidR="00B24B2C">
        <w:rPr>
          <w:rFonts w:ascii="Segoe UI" w:hAnsi="Segoe UI" w:cs="Segoe UI"/>
        </w:rPr>
        <w:t>r</w:t>
      </w:r>
      <w:r w:rsidRPr="00D802FC">
        <w:rPr>
          <w:rFonts w:ascii="Segoe UI" w:hAnsi="Segoe UI" w:cs="Segoe UI"/>
        </w:rPr>
        <w:t xml:space="preserve">egistered </w:t>
      </w:r>
      <w:r w:rsidR="00B24B2C">
        <w:rPr>
          <w:rFonts w:ascii="Segoe UI" w:hAnsi="Segoe UI" w:cs="Segoe UI"/>
        </w:rPr>
        <w:t>n</w:t>
      </w:r>
      <w:r w:rsidRPr="00D802FC">
        <w:rPr>
          <w:rFonts w:ascii="Segoe UI" w:hAnsi="Segoe UI" w:cs="Segoe UI"/>
        </w:rPr>
        <w:t xml:space="preserve">urses and for health </w:t>
      </w:r>
      <w:r w:rsidR="00095AE2" w:rsidRPr="00D802FC">
        <w:rPr>
          <w:rFonts w:ascii="Segoe UI" w:hAnsi="Segoe UI" w:cs="Segoe UI"/>
        </w:rPr>
        <w:t>care assistants. The</w:t>
      </w:r>
      <w:r w:rsidR="00B7280F" w:rsidRPr="00D802FC">
        <w:rPr>
          <w:rFonts w:ascii="Segoe UI" w:hAnsi="Segoe UI" w:cs="Segoe UI"/>
        </w:rPr>
        <w:t xml:space="preserve"> state has an obligation </w:t>
      </w:r>
      <w:r w:rsidR="00095AE2" w:rsidRPr="00D802FC">
        <w:rPr>
          <w:rFonts w:ascii="Segoe UI" w:hAnsi="Segoe UI" w:cs="Segoe UI"/>
        </w:rPr>
        <w:t>to fix funding formulae that accommodate</w:t>
      </w:r>
      <w:r w:rsidR="00B7280F" w:rsidRPr="00D802FC">
        <w:rPr>
          <w:rFonts w:ascii="Segoe UI" w:hAnsi="Segoe UI" w:cs="Segoe UI"/>
        </w:rPr>
        <w:t xml:space="preserve"> pay</w:t>
      </w:r>
      <w:r w:rsidR="000C5476" w:rsidRPr="00D802FC">
        <w:rPr>
          <w:rFonts w:ascii="Segoe UI" w:hAnsi="Segoe UI" w:cs="Segoe UI"/>
        </w:rPr>
        <w:t xml:space="preserve"> parity</w:t>
      </w:r>
      <w:r w:rsidR="00DA576D" w:rsidRPr="00D802FC">
        <w:rPr>
          <w:rFonts w:ascii="Segoe UI" w:hAnsi="Segoe UI" w:cs="Segoe UI"/>
        </w:rPr>
        <w:t>. However,</w:t>
      </w:r>
      <w:r w:rsidR="000C5476" w:rsidRPr="00D802FC">
        <w:rPr>
          <w:rFonts w:ascii="Segoe UI" w:hAnsi="Segoe UI" w:cs="Segoe UI"/>
        </w:rPr>
        <w:t xml:space="preserve"> large, private companies</w:t>
      </w:r>
      <w:r w:rsidR="00E03D7D" w:rsidRPr="00D802FC">
        <w:rPr>
          <w:rFonts w:ascii="Segoe UI" w:hAnsi="Segoe UI" w:cs="Segoe UI"/>
        </w:rPr>
        <w:t xml:space="preserve"> who</w:t>
      </w:r>
      <w:r w:rsidRPr="00D802FC">
        <w:rPr>
          <w:rFonts w:ascii="Segoe UI" w:hAnsi="Segoe UI" w:cs="Segoe UI"/>
        </w:rPr>
        <w:t xml:space="preserve"> </w:t>
      </w:r>
      <w:r w:rsidR="00E03D7D" w:rsidRPr="00D802FC">
        <w:rPr>
          <w:rFonts w:ascii="Segoe UI" w:hAnsi="Segoe UI" w:cs="Segoe UI"/>
        </w:rPr>
        <w:t xml:space="preserve">operate with corporatized </w:t>
      </w:r>
      <w:r w:rsidRPr="00D802FC">
        <w:rPr>
          <w:rFonts w:ascii="Segoe UI" w:hAnsi="Segoe UI" w:cs="Segoe UI"/>
        </w:rPr>
        <w:t xml:space="preserve">aged residential </w:t>
      </w:r>
      <w:r w:rsidR="00E03D7D" w:rsidRPr="00D802FC">
        <w:rPr>
          <w:rFonts w:ascii="Segoe UI" w:hAnsi="Segoe UI" w:cs="Segoe UI"/>
        </w:rPr>
        <w:t xml:space="preserve">care </w:t>
      </w:r>
      <w:r w:rsidR="00153B1C" w:rsidRPr="00D802FC">
        <w:rPr>
          <w:rFonts w:ascii="Segoe UI" w:hAnsi="Segoe UI" w:cs="Segoe UI"/>
        </w:rPr>
        <w:t xml:space="preserve">and property </w:t>
      </w:r>
      <w:r w:rsidR="00E03D7D" w:rsidRPr="00D802FC">
        <w:rPr>
          <w:rFonts w:ascii="Segoe UI" w:hAnsi="Segoe UI" w:cs="Segoe UI"/>
        </w:rPr>
        <w:t>models</w:t>
      </w:r>
      <w:r w:rsidR="000C5476" w:rsidRPr="00D802FC">
        <w:rPr>
          <w:rFonts w:ascii="Segoe UI" w:hAnsi="Segoe UI" w:cs="Segoe UI"/>
        </w:rPr>
        <w:t xml:space="preserve"> (30 per cent of </w:t>
      </w:r>
      <w:r w:rsidR="00095AE2" w:rsidRPr="00D802FC">
        <w:rPr>
          <w:rFonts w:ascii="Segoe UI" w:hAnsi="Segoe UI" w:cs="Segoe UI"/>
        </w:rPr>
        <w:t xml:space="preserve">NZACA’s membership) also have an obligation to shareholders and </w:t>
      </w:r>
      <w:r w:rsidR="00DA576D" w:rsidRPr="00D802FC">
        <w:rPr>
          <w:rFonts w:ascii="Segoe UI" w:hAnsi="Segoe UI" w:cs="Segoe UI"/>
        </w:rPr>
        <w:t xml:space="preserve">the public </w:t>
      </w:r>
      <w:r w:rsidR="00095AE2" w:rsidRPr="00D802FC">
        <w:rPr>
          <w:rFonts w:ascii="Segoe UI" w:hAnsi="Segoe UI" w:cs="Segoe UI"/>
        </w:rPr>
        <w:t>to ensure they attract and retain quali</w:t>
      </w:r>
      <w:r w:rsidR="00DA576D" w:rsidRPr="00D802FC">
        <w:rPr>
          <w:rFonts w:ascii="Segoe UI" w:hAnsi="Segoe UI" w:cs="Segoe UI"/>
        </w:rPr>
        <w:t>fied staff who are paid competitively</w:t>
      </w:r>
      <w:r w:rsidR="00095AE2" w:rsidRPr="00D802FC">
        <w:rPr>
          <w:rFonts w:ascii="Segoe UI" w:hAnsi="Segoe UI" w:cs="Segoe UI"/>
        </w:rPr>
        <w:t>, regardless of state subsidies.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149"/>
      </w:tblGrid>
      <w:tr w:rsidR="00D11D89" w:rsidRPr="00D11D89" w14:paraId="215765D0" w14:textId="77777777" w:rsidTr="00D11D89">
        <w:trPr>
          <w:trHeight w:val="3814"/>
        </w:trPr>
        <w:tc>
          <w:tcPr>
            <w:tcW w:w="4149" w:type="dxa"/>
          </w:tcPr>
          <w:p w14:paraId="621D83D5" w14:textId="2E36CF65" w:rsidR="00D11D89" w:rsidRPr="002A0F74" w:rsidRDefault="00D11D89" w:rsidP="0065096A">
            <w:pPr>
              <w:spacing w:before="120" w:after="120"/>
              <w:rPr>
                <w:rFonts w:ascii="Segoe UI" w:hAnsi="Segoe UI" w:cs="Segoe UI"/>
                <w:b/>
                <w:i/>
              </w:rPr>
            </w:pPr>
            <w:r w:rsidRPr="002A0F74">
              <w:rPr>
                <w:rFonts w:ascii="Segoe UI" w:hAnsi="Segoe UI" w:cs="Segoe UI"/>
                <w:b/>
                <w:i/>
              </w:rPr>
              <w:t>HWAB recommends that pay parity differentials in the aged residential care sector be addressed as a priority employment relations consideration by Health New Zealand.</w:t>
            </w:r>
            <w:r w:rsidR="0065096A" w:rsidRPr="002A0F74">
              <w:rPr>
                <w:rFonts w:ascii="Segoe UI" w:hAnsi="Segoe UI" w:cs="Segoe UI"/>
                <w:b/>
                <w:i/>
              </w:rPr>
              <w:t xml:space="preserve"> </w:t>
            </w:r>
            <w:r w:rsidRPr="002A0F74">
              <w:rPr>
                <w:rFonts w:ascii="Segoe UI" w:hAnsi="Segoe UI" w:cs="Segoe UI"/>
                <w:b/>
                <w:i/>
              </w:rPr>
              <w:t>Additionally,</w:t>
            </w:r>
            <w:r w:rsidRPr="002A0F74">
              <w:rPr>
                <w:rFonts w:ascii="Segoe UI" w:hAnsi="Segoe UI" w:cs="Segoe UI"/>
                <w:i/>
              </w:rPr>
              <w:t xml:space="preserve"> </w:t>
            </w:r>
            <w:r w:rsidRPr="002A0F74">
              <w:rPr>
                <w:rFonts w:ascii="Segoe UI" w:hAnsi="Segoe UI" w:cs="Segoe UI"/>
                <w:b/>
                <w:i/>
              </w:rPr>
              <w:t>HWAB supports Ministry advice that the aged care sector, uniquely reliant on migrant labour, be exempted from any immigration restrictions that accompany immigration policy change and prioritised for MIQ accommodation</w:t>
            </w:r>
            <w:r w:rsidR="008B0209">
              <w:rPr>
                <w:rFonts w:ascii="Segoe UI" w:hAnsi="Segoe UI" w:cs="Segoe UI"/>
                <w:b/>
                <w:i/>
              </w:rPr>
              <w:t>.</w:t>
            </w:r>
          </w:p>
        </w:tc>
      </w:tr>
    </w:tbl>
    <w:p w14:paraId="0DCB04DD" w14:textId="77777777" w:rsidR="001D39B4" w:rsidRDefault="001D39B4" w:rsidP="003B2845">
      <w:pPr>
        <w:rPr>
          <w:rFonts w:ascii="Segoe UI" w:hAnsi="Segoe UI" w:cs="Segoe UI"/>
          <w:b/>
        </w:rPr>
      </w:pPr>
    </w:p>
    <w:p w14:paraId="14A94828" w14:textId="47CFE683" w:rsidR="00F93638" w:rsidRDefault="00F93638" w:rsidP="003B2845">
      <w:pPr>
        <w:rPr>
          <w:rFonts w:ascii="Segoe UI" w:hAnsi="Segoe UI" w:cs="Segoe UI"/>
          <w:b/>
        </w:rPr>
        <w:sectPr w:rsidR="00F93638" w:rsidSect="005C54A2">
          <w:type w:val="continuous"/>
          <w:pgSz w:w="11906" w:h="16838" w:code="9"/>
          <w:pgMar w:top="1440" w:right="1440" w:bottom="1440" w:left="1440" w:header="709" w:footer="709" w:gutter="0"/>
          <w:cols w:num="2" w:space="708"/>
          <w:titlePg/>
          <w:docGrid w:linePitch="360"/>
        </w:sectPr>
      </w:pPr>
    </w:p>
    <w:p w14:paraId="76FD9CFD" w14:textId="787FEEE8" w:rsidR="00765D1C" w:rsidRPr="004137DD" w:rsidRDefault="00765D1C" w:rsidP="003B2845">
      <w:pPr>
        <w:rPr>
          <w:rFonts w:ascii="Segoe UI" w:hAnsi="Segoe UI" w:cs="Segoe UI"/>
          <w:lang w:val="en-US"/>
        </w:rPr>
      </w:pPr>
    </w:p>
    <w:p w14:paraId="5EFD3E61" w14:textId="344EF212" w:rsidR="00F93638" w:rsidRDefault="00F93638" w:rsidP="003B2845">
      <w:pPr>
        <w:rPr>
          <w:rFonts w:ascii="Segoe UI" w:hAnsi="Segoe UI" w:cs="Segoe UI"/>
        </w:rPr>
      </w:pPr>
    </w:p>
    <w:p w14:paraId="3C9F3A07" w14:textId="0498DA5C" w:rsidR="0027158F" w:rsidRPr="00AB7D7C" w:rsidRDefault="002C59AD" w:rsidP="003B2845">
      <w:pPr>
        <w:rPr>
          <w:rFonts w:ascii="Segoe UI" w:hAnsi="Segoe UI" w:cs="Segoe UI"/>
        </w:rPr>
      </w:pPr>
      <w:r w:rsidRPr="00AB7D7C">
        <w:rPr>
          <w:rFonts w:ascii="Segoe UI" w:hAnsi="Segoe UI" w:cs="Segoe UI"/>
        </w:rPr>
        <w:t>In conclusion HWAB thanks the Minister for the opportunity to provide this Annua</w:t>
      </w:r>
      <w:r w:rsidR="00B872F4">
        <w:rPr>
          <w:rFonts w:ascii="Segoe UI" w:hAnsi="Segoe UI" w:cs="Segoe UI"/>
        </w:rPr>
        <w:t>l Report and advises</w:t>
      </w:r>
      <w:r w:rsidRPr="00AB7D7C">
        <w:rPr>
          <w:rFonts w:ascii="Segoe UI" w:hAnsi="Segoe UI" w:cs="Segoe UI"/>
        </w:rPr>
        <w:t xml:space="preserve"> that it has been prepared with stakeholder involvement from various directorates in the Ministry.</w:t>
      </w:r>
      <w:r w:rsidR="00AB7D7C" w:rsidRPr="00AB7D7C">
        <w:rPr>
          <w:rFonts w:ascii="Segoe UI" w:hAnsi="Segoe UI" w:cs="Segoe UI"/>
        </w:rPr>
        <w:t xml:space="preserve"> HWAB welcomes the new Ministry of Disability and welcomes future opportunities for collaboration on the urgent health workforce development needed to increase, legitimise and develop the disability workforce w</w:t>
      </w:r>
      <w:r w:rsidR="00B872F4">
        <w:rPr>
          <w:rFonts w:ascii="Segoe UI" w:hAnsi="Segoe UI" w:cs="Segoe UI"/>
        </w:rPr>
        <w:t>ho care for the most vulnerable of New Zealanders.</w:t>
      </w:r>
    </w:p>
    <w:p w14:paraId="14DD06B6" w14:textId="69B7C0F4" w:rsidR="001116F9" w:rsidRPr="00D802FC" w:rsidRDefault="001116F9" w:rsidP="003B2845">
      <w:pPr>
        <w:rPr>
          <w:rFonts w:ascii="Segoe UI" w:hAnsi="Segoe UI" w:cs="Segoe UI"/>
        </w:rPr>
      </w:pPr>
    </w:p>
    <w:p w14:paraId="7E574290" w14:textId="750F078F" w:rsidR="00765D1C" w:rsidRDefault="00765D1C">
      <w:pPr>
        <w:rPr>
          <w:rFonts w:ascii="Segoe UI" w:hAnsi="Segoe UI" w:cs="Segoe UI"/>
        </w:rPr>
      </w:pPr>
      <w:r>
        <w:rPr>
          <w:rFonts w:ascii="Segoe UI" w:hAnsi="Segoe UI" w:cs="Segoe UI"/>
        </w:rPr>
        <w:br w:type="page"/>
      </w:r>
    </w:p>
    <w:sectPr w:rsidR="00765D1C" w:rsidSect="00D431F9">
      <w:type w:val="continuous"/>
      <w:pgSz w:w="11906" w:h="16838" w:code="9"/>
      <w:pgMar w:top="1440" w:right="1440" w:bottom="1440" w:left="1440"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15B5C" w14:textId="77777777" w:rsidR="008D0755" w:rsidRDefault="008D0755" w:rsidP="00DE34DC">
      <w:pPr>
        <w:spacing w:after="0" w:line="240" w:lineRule="auto"/>
      </w:pPr>
      <w:r>
        <w:separator/>
      </w:r>
    </w:p>
  </w:endnote>
  <w:endnote w:type="continuationSeparator" w:id="0">
    <w:p w14:paraId="39EE4AFC" w14:textId="77777777" w:rsidR="008D0755" w:rsidRDefault="008D0755" w:rsidP="00DE34DC">
      <w:pPr>
        <w:spacing w:after="0" w:line="240" w:lineRule="auto"/>
      </w:pPr>
      <w:r>
        <w:continuationSeparator/>
      </w:r>
    </w:p>
  </w:endnote>
  <w:endnote w:id="1">
    <w:p w14:paraId="1C4AEFED" w14:textId="2610B0DD" w:rsidR="008D153F" w:rsidRPr="002E2596" w:rsidRDefault="008D153F">
      <w:pPr>
        <w:pStyle w:val="EndnoteText"/>
        <w:rPr>
          <w:sz w:val="19"/>
          <w:szCs w:val="19"/>
        </w:rPr>
      </w:pPr>
      <w:r>
        <w:rPr>
          <w:rStyle w:val="EndnoteReference"/>
        </w:rPr>
        <w:endnoteRef/>
      </w:r>
      <w:r w:rsidRPr="002E2596">
        <w:rPr>
          <w:sz w:val="19"/>
          <w:szCs w:val="19"/>
        </w:rPr>
        <w:t xml:space="preserve"> Morrah, M. (13/08/2021) Newshub. “COVID-19 could be here for 5 to 10 years’: Sir Brian Roche says NZ needs may need long-term Coronavirus response unit. Accessed 17/01/2022.</w:t>
      </w:r>
    </w:p>
  </w:endnote>
  <w:endnote w:id="2">
    <w:p w14:paraId="1D6862C9" w14:textId="58329BA9" w:rsidR="00DE34DC" w:rsidRPr="002E2596" w:rsidRDefault="00DE34DC">
      <w:pPr>
        <w:pStyle w:val="EndnoteText"/>
        <w:rPr>
          <w:sz w:val="19"/>
          <w:szCs w:val="19"/>
        </w:rPr>
      </w:pPr>
      <w:r w:rsidRPr="002E2596">
        <w:rPr>
          <w:rStyle w:val="EndnoteReference"/>
          <w:sz w:val="19"/>
          <w:szCs w:val="19"/>
        </w:rPr>
        <w:endnoteRef/>
      </w:r>
      <w:r w:rsidRPr="002E2596">
        <w:rPr>
          <w:sz w:val="19"/>
          <w:szCs w:val="19"/>
        </w:rPr>
        <w:t xml:space="preserve"> Buchan, J., Williams,</w:t>
      </w:r>
      <w:r w:rsidR="008D153F" w:rsidRPr="002E2596">
        <w:rPr>
          <w:sz w:val="19"/>
          <w:szCs w:val="19"/>
        </w:rPr>
        <w:t xml:space="preserve"> </w:t>
      </w:r>
      <w:r w:rsidRPr="002E2596">
        <w:rPr>
          <w:sz w:val="19"/>
          <w:szCs w:val="19"/>
        </w:rPr>
        <w:t xml:space="preserve">G.A. and </w:t>
      </w:r>
      <w:r w:rsidRPr="002E2596">
        <w:rPr>
          <w:sz w:val="19"/>
          <w:szCs w:val="19"/>
        </w:rPr>
        <w:t>Zapata,T (2021) Governing health workforce responses during COVID-19. Eurohealth Vol 27, No 1.</w:t>
      </w:r>
    </w:p>
  </w:endnote>
  <w:endnote w:id="3">
    <w:p w14:paraId="320E8B2F" w14:textId="77777777" w:rsidR="00895433" w:rsidRPr="002E2596" w:rsidRDefault="00895433" w:rsidP="00895433">
      <w:pPr>
        <w:pStyle w:val="EndnoteText"/>
        <w:rPr>
          <w:sz w:val="19"/>
          <w:szCs w:val="19"/>
        </w:rPr>
      </w:pPr>
      <w:r w:rsidRPr="002E2596">
        <w:rPr>
          <w:rStyle w:val="EndnoteReference"/>
          <w:sz w:val="19"/>
          <w:szCs w:val="19"/>
        </w:rPr>
        <w:endnoteRef/>
      </w:r>
      <w:r w:rsidRPr="002E2596">
        <w:rPr>
          <w:sz w:val="19"/>
          <w:szCs w:val="19"/>
        </w:rPr>
        <w:t xml:space="preserve"> Ibid.</w:t>
      </w:r>
    </w:p>
  </w:endnote>
  <w:endnote w:id="4">
    <w:p w14:paraId="0B42D57F" w14:textId="77777777" w:rsidR="00546861" w:rsidRPr="002E2596" w:rsidRDefault="00546861" w:rsidP="00546861">
      <w:pPr>
        <w:pStyle w:val="EndnoteText"/>
        <w:rPr>
          <w:sz w:val="19"/>
          <w:szCs w:val="19"/>
        </w:rPr>
      </w:pPr>
      <w:r w:rsidRPr="002E2596">
        <w:rPr>
          <w:rStyle w:val="EndnoteReference"/>
          <w:sz w:val="19"/>
          <w:szCs w:val="19"/>
        </w:rPr>
        <w:endnoteRef/>
      </w:r>
      <w:r w:rsidRPr="002E2596">
        <w:rPr>
          <w:sz w:val="19"/>
          <w:szCs w:val="19"/>
        </w:rPr>
        <w:t xml:space="preserve"> Health Workforce Advisory Board minutes received 24 September,2021.</w:t>
      </w:r>
    </w:p>
  </w:endnote>
  <w:endnote w:id="5">
    <w:p w14:paraId="390447B8" w14:textId="6FB2C1A1" w:rsidR="00924A6A" w:rsidRPr="002E2596" w:rsidRDefault="00924A6A">
      <w:pPr>
        <w:pStyle w:val="EndnoteText"/>
        <w:rPr>
          <w:sz w:val="19"/>
          <w:szCs w:val="19"/>
        </w:rPr>
      </w:pPr>
      <w:r w:rsidRPr="002E2596">
        <w:rPr>
          <w:rStyle w:val="EndnoteReference"/>
          <w:sz w:val="19"/>
          <w:szCs w:val="19"/>
        </w:rPr>
        <w:endnoteRef/>
      </w:r>
      <w:r w:rsidRPr="002E2596">
        <w:rPr>
          <w:sz w:val="19"/>
          <w:szCs w:val="19"/>
        </w:rPr>
        <w:t xml:space="preserve"> Letter to </w:t>
      </w:r>
      <w:r w:rsidRPr="002E2596">
        <w:rPr>
          <w:sz w:val="19"/>
          <w:szCs w:val="19"/>
        </w:rPr>
        <w:t>Waitemat</w:t>
      </w:r>
      <w:r w:rsidR="00407863" w:rsidRPr="002E2596">
        <w:rPr>
          <w:rFonts w:cstheme="minorHAnsi"/>
          <w:sz w:val="19"/>
          <w:szCs w:val="19"/>
        </w:rPr>
        <w:t>ā</w:t>
      </w:r>
      <w:r w:rsidR="00407863" w:rsidRPr="002E2596">
        <w:rPr>
          <w:sz w:val="19"/>
          <w:szCs w:val="19"/>
        </w:rPr>
        <w:t xml:space="preserve"> </w:t>
      </w:r>
      <w:r w:rsidRPr="002E2596">
        <w:rPr>
          <w:sz w:val="19"/>
          <w:szCs w:val="19"/>
        </w:rPr>
        <w:t>DHB Board Chair, November 2021.</w:t>
      </w:r>
    </w:p>
  </w:endnote>
  <w:endnote w:id="6">
    <w:p w14:paraId="4A6A67BC" w14:textId="746C808F" w:rsidR="00B912FD" w:rsidRPr="002E2596" w:rsidRDefault="00B912FD">
      <w:pPr>
        <w:pStyle w:val="EndnoteText"/>
        <w:rPr>
          <w:sz w:val="19"/>
          <w:szCs w:val="19"/>
        </w:rPr>
      </w:pPr>
      <w:r w:rsidRPr="002E2596">
        <w:rPr>
          <w:rStyle w:val="EndnoteReference"/>
          <w:sz w:val="19"/>
          <w:szCs w:val="19"/>
        </w:rPr>
        <w:endnoteRef/>
      </w:r>
      <w:r w:rsidR="008D153F" w:rsidRPr="002E2596">
        <w:rPr>
          <w:sz w:val="19"/>
          <w:szCs w:val="19"/>
        </w:rPr>
        <w:t xml:space="preserve"> Ibid at 2</w:t>
      </w:r>
      <w:r w:rsidRPr="002E2596">
        <w:rPr>
          <w:sz w:val="19"/>
          <w:szCs w:val="19"/>
        </w:rPr>
        <w:t>.</w:t>
      </w:r>
    </w:p>
  </w:endnote>
  <w:endnote w:id="7">
    <w:p w14:paraId="7AA9F8DA" w14:textId="46A48699" w:rsidR="00057C78" w:rsidRPr="002E2596" w:rsidRDefault="00057C78">
      <w:pPr>
        <w:pStyle w:val="EndnoteText"/>
        <w:rPr>
          <w:sz w:val="19"/>
          <w:szCs w:val="19"/>
        </w:rPr>
      </w:pPr>
      <w:r w:rsidRPr="002E2596">
        <w:rPr>
          <w:rStyle w:val="EndnoteReference"/>
          <w:sz w:val="19"/>
          <w:szCs w:val="19"/>
        </w:rPr>
        <w:endnoteRef/>
      </w:r>
      <w:r w:rsidRPr="002E2596">
        <w:rPr>
          <w:sz w:val="19"/>
          <w:szCs w:val="19"/>
        </w:rPr>
        <w:t xml:space="preserve"> The eight are: Confirmed COVID-19; Staff member symptomatic: household member symptomatic; underlying health condition; caring responsibilities; test and protection isolation; quarantine; long COVID-19.</w:t>
      </w:r>
    </w:p>
  </w:endnote>
  <w:endnote w:id="8">
    <w:p w14:paraId="744020AD" w14:textId="77777777" w:rsidR="006D7FAF" w:rsidRPr="002E2596" w:rsidRDefault="006D7FAF">
      <w:pPr>
        <w:pStyle w:val="EndnoteText"/>
        <w:rPr>
          <w:sz w:val="19"/>
          <w:szCs w:val="19"/>
        </w:rPr>
      </w:pPr>
      <w:r w:rsidRPr="002E2596">
        <w:rPr>
          <w:rStyle w:val="EndnoteReference"/>
          <w:sz w:val="19"/>
          <w:szCs w:val="19"/>
        </w:rPr>
        <w:endnoteRef/>
      </w:r>
      <w:r w:rsidRPr="002E2596">
        <w:rPr>
          <w:sz w:val="19"/>
          <w:szCs w:val="19"/>
        </w:rPr>
        <w:t xml:space="preserve"> Robertson, P. (2021) “Three essential steps to solving the elective surgery crisis.” The Spinoff.</w:t>
      </w:r>
    </w:p>
  </w:endnote>
  <w:endnote w:id="9">
    <w:p w14:paraId="74187615" w14:textId="77777777" w:rsidR="00BF0D90" w:rsidRPr="002E2596" w:rsidRDefault="00BF0D90" w:rsidP="00BF0D90">
      <w:pPr>
        <w:rPr>
          <w:sz w:val="19"/>
          <w:szCs w:val="19"/>
        </w:rPr>
      </w:pPr>
      <w:r w:rsidRPr="002E2596">
        <w:rPr>
          <w:rStyle w:val="EndnoteReference"/>
          <w:sz w:val="19"/>
          <w:szCs w:val="19"/>
        </w:rPr>
        <w:endnoteRef/>
      </w:r>
      <w:r w:rsidRPr="002E2596">
        <w:rPr>
          <w:sz w:val="19"/>
          <w:szCs w:val="19"/>
        </w:rPr>
        <w:t xml:space="preserve"> Implementation of the Budget 19 Workforce development package, to grow the workforce and to increase skills and knowledge of the workforce, has made progress and has supported a number of activities including:</w:t>
      </w:r>
    </w:p>
    <w:p w14:paraId="157ED844" w14:textId="77777777" w:rsidR="00BF0D90" w:rsidRPr="002E2596" w:rsidRDefault="00BF0D90" w:rsidP="00BF0D90">
      <w:pPr>
        <w:pStyle w:val="ListParagraph"/>
        <w:numPr>
          <w:ilvl w:val="0"/>
          <w:numId w:val="4"/>
        </w:numPr>
        <w:rPr>
          <w:sz w:val="19"/>
          <w:szCs w:val="19"/>
        </w:rPr>
      </w:pPr>
      <w:r w:rsidRPr="002E2596">
        <w:rPr>
          <w:sz w:val="19"/>
          <w:szCs w:val="19"/>
        </w:rPr>
        <w:t>more than 100 additional New Entry to Specialist Practice (NESP) places in 2021 for nurses, social workers and occupational therapists to practice in mental health and addiction</w:t>
      </w:r>
    </w:p>
    <w:p w14:paraId="3E3B737B" w14:textId="77777777" w:rsidR="00BF0D90" w:rsidRPr="002E2596" w:rsidRDefault="00BF0D90" w:rsidP="00BF0D90">
      <w:pPr>
        <w:pStyle w:val="ListParagraph"/>
        <w:numPr>
          <w:ilvl w:val="0"/>
          <w:numId w:val="4"/>
        </w:numPr>
        <w:rPr>
          <w:sz w:val="19"/>
          <w:szCs w:val="19"/>
        </w:rPr>
      </w:pPr>
      <w:r w:rsidRPr="002E2596">
        <w:rPr>
          <w:sz w:val="19"/>
          <w:szCs w:val="19"/>
        </w:rPr>
        <w:t xml:space="preserve">more than 100 more places for mental health practitioners to upskill with post-graduate training in Cognitive Behavioural Therapy, infant, child and youth, co-existing mental health and substance use and specialty forensic training </w:t>
      </w:r>
    </w:p>
    <w:p w14:paraId="09CA1A2B" w14:textId="77777777" w:rsidR="00BF0D90" w:rsidRPr="002E2596" w:rsidRDefault="00BF0D90" w:rsidP="00BF0D90">
      <w:pPr>
        <w:pStyle w:val="ListParagraph"/>
        <w:numPr>
          <w:ilvl w:val="0"/>
          <w:numId w:val="4"/>
        </w:numPr>
        <w:rPr>
          <w:sz w:val="19"/>
          <w:szCs w:val="19"/>
        </w:rPr>
      </w:pPr>
      <w:r w:rsidRPr="002E2596">
        <w:rPr>
          <w:sz w:val="19"/>
          <w:szCs w:val="19"/>
        </w:rPr>
        <w:t xml:space="preserve">200 new places in 2021 for primary care nurses to achieve credentialing in mental health and addiction </w:t>
      </w:r>
    </w:p>
    <w:p w14:paraId="295A86FD" w14:textId="77777777" w:rsidR="00BF0D90" w:rsidRPr="002E2596" w:rsidRDefault="00BF0D90" w:rsidP="00BF0D90">
      <w:pPr>
        <w:pStyle w:val="ListParagraph"/>
        <w:numPr>
          <w:ilvl w:val="0"/>
          <w:numId w:val="4"/>
        </w:numPr>
        <w:rPr>
          <w:sz w:val="19"/>
          <w:szCs w:val="19"/>
        </w:rPr>
      </w:pPr>
      <w:r w:rsidRPr="002E2596">
        <w:rPr>
          <w:sz w:val="19"/>
          <w:szCs w:val="19"/>
        </w:rPr>
        <w:t>the development of new Health Improvement Practitioner and Health Coach roles as part of the national rollout of new primary mental health and addiction services</w:t>
      </w:r>
    </w:p>
    <w:p w14:paraId="10F96790" w14:textId="3585AFA8" w:rsidR="00BF0D90" w:rsidRPr="002E2596" w:rsidRDefault="00BF0D90" w:rsidP="00BF0D90">
      <w:pPr>
        <w:pStyle w:val="ListParagraph"/>
        <w:numPr>
          <w:ilvl w:val="0"/>
          <w:numId w:val="4"/>
        </w:numPr>
        <w:rPr>
          <w:sz w:val="19"/>
          <w:szCs w:val="19"/>
        </w:rPr>
      </w:pPr>
      <w:r w:rsidRPr="002E2596">
        <w:rPr>
          <w:sz w:val="19"/>
          <w:szCs w:val="19"/>
        </w:rPr>
        <w:t>over 600 new Primary/Community FTE in place in the new Access and Choice, M</w:t>
      </w:r>
      <w:r w:rsidRPr="002E2596">
        <w:rPr>
          <w:sz w:val="19"/>
          <w:szCs w:val="19"/>
          <w:lang w:val="mi-NZ"/>
        </w:rPr>
        <w:t>āori, Pacific and Youth services</w:t>
      </w:r>
    </w:p>
    <w:p w14:paraId="4B06B603" w14:textId="62D2D6CC" w:rsidR="00BF0D90" w:rsidRPr="002E2596" w:rsidRDefault="00BF0D90" w:rsidP="00BF0D90">
      <w:pPr>
        <w:pStyle w:val="ListParagraph"/>
        <w:numPr>
          <w:ilvl w:val="0"/>
          <w:numId w:val="4"/>
        </w:numPr>
        <w:rPr>
          <w:sz w:val="19"/>
          <w:szCs w:val="19"/>
        </w:rPr>
      </w:pPr>
      <w:r w:rsidRPr="002E2596">
        <w:rPr>
          <w:sz w:val="19"/>
          <w:szCs w:val="19"/>
        </w:rPr>
        <w:t>the roll-out of a new national Nurse Practitioner Training Programme, which aims to lift the ability of all Nurse Practitioners to respond to mental health and addiction needs and to increase the currently low numbers of Nurse Practitioners specialising in mental health and addiction over time</w:t>
      </w:r>
      <w:r w:rsidR="00BB720E">
        <w:rPr>
          <w:sz w:val="19"/>
          <w:szCs w:val="19"/>
        </w:rPr>
        <w:t>; t</w:t>
      </w:r>
      <w:r w:rsidRPr="002E2596">
        <w:rPr>
          <w:sz w:val="19"/>
          <w:szCs w:val="19"/>
        </w:rPr>
        <w:t xml:space="preserve">he programme also has a focus on increasing the number of Māori and Pacific Nurse Practitioners </w:t>
      </w:r>
    </w:p>
    <w:p w14:paraId="5B815B7E" w14:textId="77777777" w:rsidR="00BF0D90" w:rsidRPr="002E2596" w:rsidRDefault="00BF0D90" w:rsidP="00BF0D90">
      <w:pPr>
        <w:pStyle w:val="ListParagraph"/>
        <w:numPr>
          <w:ilvl w:val="0"/>
          <w:numId w:val="4"/>
        </w:numPr>
        <w:rPr>
          <w:sz w:val="19"/>
          <w:szCs w:val="19"/>
        </w:rPr>
      </w:pPr>
      <w:r w:rsidRPr="002E2596">
        <w:rPr>
          <w:sz w:val="19"/>
          <w:szCs w:val="19"/>
        </w:rPr>
        <w:t>new bursaries for Māori students (46 in 2021 and an additional 24 in 2022) and scholarships for Pacific students (30 in 2021 and another 35 in 2022) pursuing a career in mental health and addiction</w:t>
      </w:r>
    </w:p>
    <w:p w14:paraId="0C9FD8C7" w14:textId="77777777" w:rsidR="00BF0D90" w:rsidRPr="002E2596" w:rsidRDefault="00BF0D90" w:rsidP="00BF0D90">
      <w:pPr>
        <w:pStyle w:val="ListParagraph"/>
        <w:numPr>
          <w:ilvl w:val="0"/>
          <w:numId w:val="4"/>
        </w:numPr>
        <w:rPr>
          <w:sz w:val="19"/>
          <w:szCs w:val="19"/>
        </w:rPr>
      </w:pPr>
      <w:r w:rsidRPr="002E2596">
        <w:rPr>
          <w:sz w:val="19"/>
          <w:szCs w:val="19"/>
        </w:rPr>
        <w:t>approximately 800 new places per annum for Māori and Pacific cultural competence training, as well as an increase in mental health and addiction literacy training for cross-sector workforces and communities.</w:t>
      </w:r>
    </w:p>
    <w:p w14:paraId="6B4C0243" w14:textId="077933DC" w:rsidR="00BF0D90" w:rsidRPr="002E2596" w:rsidRDefault="00BF0D90" w:rsidP="00BF0D90">
      <w:pPr>
        <w:pStyle w:val="ListParagraph"/>
        <w:numPr>
          <w:ilvl w:val="0"/>
          <w:numId w:val="4"/>
        </w:numPr>
        <w:rPr>
          <w:sz w:val="19"/>
          <w:szCs w:val="19"/>
        </w:rPr>
      </w:pPr>
      <w:r w:rsidRPr="002E2596">
        <w:rPr>
          <w:sz w:val="19"/>
          <w:szCs w:val="19"/>
        </w:rPr>
        <w:t>An initiative with RANZCP to encourage junior doctors and medical students to consider training in Psychiatry</w:t>
      </w:r>
      <w:r w:rsidR="00BB720E">
        <w:rPr>
          <w:sz w:val="19"/>
          <w:szCs w:val="19"/>
        </w:rPr>
        <w:t>; t</w:t>
      </w:r>
      <w:r w:rsidRPr="002E2596">
        <w:rPr>
          <w:sz w:val="19"/>
          <w:szCs w:val="19"/>
        </w:rPr>
        <w:t>his has a strong focus on attracting, and supporting, Māori and Pacific doctors into the specialty</w:t>
      </w:r>
    </w:p>
    <w:p w14:paraId="49D80D73" w14:textId="26AED2B2" w:rsidR="00BF0D90" w:rsidRPr="002E2596" w:rsidRDefault="00BF0D90" w:rsidP="00DA576D">
      <w:pPr>
        <w:pStyle w:val="ListParagraph"/>
        <w:numPr>
          <w:ilvl w:val="0"/>
          <w:numId w:val="4"/>
        </w:numPr>
        <w:rPr>
          <w:sz w:val="19"/>
          <w:szCs w:val="19"/>
        </w:rPr>
      </w:pPr>
      <w:r w:rsidRPr="002E2596">
        <w:rPr>
          <w:sz w:val="19"/>
          <w:szCs w:val="19"/>
        </w:rPr>
        <w:t>Completing a procurement process for free-to-train talking therapy and brief intervention skills available for the broad mental health and addiction workforce</w:t>
      </w:r>
      <w:r w:rsidR="00BB720E">
        <w:rPr>
          <w:sz w:val="19"/>
          <w:szCs w:val="19"/>
        </w:rPr>
        <w:t>; t</w:t>
      </w:r>
      <w:r w:rsidRPr="002E2596">
        <w:rPr>
          <w:sz w:val="19"/>
          <w:szCs w:val="19"/>
        </w:rPr>
        <w:t xml:space="preserve">hese will cover both tertiary level and introductory level programmes. </w:t>
      </w:r>
    </w:p>
    <w:p w14:paraId="15E8ABED" w14:textId="0C9D96E2" w:rsidR="00BF0D90" w:rsidRPr="002E2596" w:rsidRDefault="00BF0D90" w:rsidP="002E2596">
      <w:pPr>
        <w:rPr>
          <w:sz w:val="19"/>
          <w:szCs w:val="19"/>
        </w:rPr>
      </w:pPr>
      <w:r w:rsidRPr="002E2596">
        <w:rPr>
          <w:sz w:val="19"/>
          <w:szCs w:val="19"/>
        </w:rPr>
        <w:t>The Ministry has also increased the number of funded clinical psychology internships from 8 in 2017 and 12 in 2018 to 20 in 2020 and 2021. In 2022 we have not only increased the number up to 28 but increased the funding level per internship to encourage the optimum number of interns train in publicly funded mental health and addiction services. In March 2022 a campaign will be launched to attract nurses to train and work in Mental Health.  This campaign seeks to influence both new nurses and former nurses into careers into in roles in Mental Health.</w:t>
      </w:r>
    </w:p>
  </w:endnote>
  <w:endnote w:id="10">
    <w:p w14:paraId="39515C04" w14:textId="3D5A7C62" w:rsidR="00407863" w:rsidRPr="002E2596" w:rsidRDefault="00407863">
      <w:pPr>
        <w:pStyle w:val="EndnoteText"/>
        <w:rPr>
          <w:sz w:val="19"/>
          <w:szCs w:val="19"/>
        </w:rPr>
      </w:pPr>
      <w:r w:rsidRPr="002E2596">
        <w:rPr>
          <w:rStyle w:val="EndnoteReference"/>
          <w:sz w:val="19"/>
          <w:szCs w:val="19"/>
        </w:rPr>
        <w:endnoteRef/>
      </w:r>
      <w:r w:rsidRPr="002E2596">
        <w:rPr>
          <w:sz w:val="19"/>
          <w:szCs w:val="19"/>
        </w:rPr>
        <w:t xml:space="preserve"> Clun, R. (October,21,2021). “Australia must import mental health workers to double workforce to fix crisis.” The Sydney Morning Herald. Accessed 17/1/2022.</w:t>
      </w:r>
    </w:p>
  </w:endnote>
  <w:endnote w:id="11">
    <w:p w14:paraId="6BC22DF2" w14:textId="420C36D8" w:rsidR="00F608D0" w:rsidRPr="002E2596" w:rsidRDefault="00F608D0">
      <w:pPr>
        <w:pStyle w:val="EndnoteText"/>
        <w:rPr>
          <w:sz w:val="19"/>
          <w:szCs w:val="19"/>
        </w:rPr>
      </w:pPr>
      <w:r w:rsidRPr="002E2596">
        <w:rPr>
          <w:rStyle w:val="EndnoteReference"/>
          <w:sz w:val="19"/>
          <w:szCs w:val="19"/>
        </w:rPr>
        <w:endnoteRef/>
      </w:r>
      <w:r w:rsidRPr="002E2596">
        <w:rPr>
          <w:sz w:val="19"/>
          <w:szCs w:val="19"/>
        </w:rPr>
        <w:t xml:space="preserve"> </w:t>
      </w:r>
      <w:r w:rsidRPr="002E2596">
        <w:rPr>
          <w:sz w:val="19"/>
          <w:szCs w:val="19"/>
        </w:rPr>
        <w:t xml:space="preserve">Nixon,G, Blattner,K, Withington,S, Miller,R, Stokes,T (2021) “Exploring the response to the COVID-19 pandemic at the rural hospital-base hospital interface: Experiences of NZ rural hospital doctors”. </w:t>
      </w:r>
      <w:r w:rsidRPr="002E2596">
        <w:rPr>
          <w:i/>
          <w:sz w:val="19"/>
          <w:szCs w:val="19"/>
        </w:rPr>
        <w:t>New Zealand</w:t>
      </w:r>
      <w:r w:rsidRPr="002E2596">
        <w:rPr>
          <w:sz w:val="19"/>
          <w:szCs w:val="19"/>
        </w:rPr>
        <w:t xml:space="preserve"> </w:t>
      </w:r>
      <w:r w:rsidRPr="002E2596">
        <w:rPr>
          <w:i/>
          <w:sz w:val="19"/>
          <w:szCs w:val="19"/>
        </w:rPr>
        <w:t>Medical Journal</w:t>
      </w:r>
      <w:r w:rsidRPr="002E2596">
        <w:rPr>
          <w:sz w:val="19"/>
          <w:szCs w:val="19"/>
        </w:rPr>
        <w:t>. Vol 137, no 1545. 12 November. Open Access, accessed on 1/2/2022.</w:t>
      </w:r>
    </w:p>
  </w:endnote>
  <w:endnote w:id="12">
    <w:p w14:paraId="6D508ED9" w14:textId="513059FE" w:rsidR="00EC26AC" w:rsidRPr="002E2596" w:rsidRDefault="00EC26AC">
      <w:pPr>
        <w:pStyle w:val="EndnoteText"/>
        <w:rPr>
          <w:sz w:val="19"/>
          <w:szCs w:val="19"/>
        </w:rPr>
      </w:pPr>
      <w:r w:rsidRPr="002E2596">
        <w:rPr>
          <w:rStyle w:val="EndnoteReference"/>
          <w:sz w:val="19"/>
          <w:szCs w:val="19"/>
        </w:rPr>
        <w:endnoteRef/>
      </w:r>
      <w:r w:rsidRPr="002E2596">
        <w:rPr>
          <w:sz w:val="19"/>
          <w:szCs w:val="19"/>
        </w:rPr>
        <w:t xml:space="preserve"> NZ Doctor  “New residence pathway a step forward but not a final solution for rural health workforce”. Media release from New Zealand Rural General Practitioner’s Network. Accessed on 1/2/2022.</w:t>
      </w:r>
    </w:p>
  </w:endnote>
  <w:endnote w:id="13">
    <w:p w14:paraId="28469EF8" w14:textId="7C33B541" w:rsidR="0027158F" w:rsidRPr="002E2596" w:rsidRDefault="0027158F">
      <w:pPr>
        <w:pStyle w:val="EndnoteText"/>
        <w:rPr>
          <w:sz w:val="19"/>
          <w:szCs w:val="19"/>
        </w:rPr>
      </w:pPr>
      <w:r w:rsidRPr="002E2596">
        <w:rPr>
          <w:rStyle w:val="EndnoteReference"/>
          <w:sz w:val="19"/>
          <w:szCs w:val="19"/>
        </w:rPr>
        <w:endnoteRef/>
      </w:r>
      <w:r w:rsidRPr="002E2596">
        <w:rPr>
          <w:sz w:val="19"/>
          <w:szCs w:val="19"/>
        </w:rPr>
        <w:t xml:space="preserve"> Wallace,</w:t>
      </w:r>
      <w:r w:rsidR="00407863" w:rsidRPr="002E2596">
        <w:rPr>
          <w:sz w:val="19"/>
          <w:szCs w:val="19"/>
        </w:rPr>
        <w:t xml:space="preserve"> </w:t>
      </w:r>
      <w:r w:rsidRPr="002E2596">
        <w:rPr>
          <w:sz w:val="19"/>
          <w:szCs w:val="19"/>
        </w:rPr>
        <w:t xml:space="preserve">S. (16 </w:t>
      </w:r>
      <w:r w:rsidRPr="002E2596">
        <w:rPr>
          <w:sz w:val="19"/>
          <w:szCs w:val="19"/>
        </w:rPr>
        <w:t>July, 2021). “Crisis in Aged Residential Care exacerbated by funding outcome-90 nurses short”. NZACA Media release.</w:t>
      </w:r>
      <w:r w:rsidR="00F608D0" w:rsidRPr="002E2596">
        <w:rPr>
          <w:sz w:val="19"/>
          <w:szCs w:val="19"/>
        </w:rPr>
        <w:t xml:space="preserve"> Accessed 17/1/2022</w:t>
      </w:r>
      <w:r w:rsidR="002E2596">
        <w:rPr>
          <w:sz w:val="19"/>
          <w:szCs w:val="19"/>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6730231"/>
      <w:docPartObj>
        <w:docPartGallery w:val="Page Numbers (Bottom of Page)"/>
        <w:docPartUnique/>
      </w:docPartObj>
    </w:sdtPr>
    <w:sdtEndPr>
      <w:rPr>
        <w:noProof/>
      </w:rPr>
    </w:sdtEndPr>
    <w:sdtContent>
      <w:p w14:paraId="1D280B8C" w14:textId="0261602F" w:rsidR="004853B9" w:rsidRDefault="004853B9">
        <w:pPr>
          <w:pStyle w:val="Footer"/>
          <w:jc w:val="center"/>
        </w:pPr>
        <w:r>
          <w:fldChar w:fldCharType="begin"/>
        </w:r>
        <w:r>
          <w:instrText xml:space="preserve"> PAGE   \* MERGEFORMAT </w:instrText>
        </w:r>
        <w:r>
          <w:fldChar w:fldCharType="separate"/>
        </w:r>
        <w:r w:rsidR="007A0F2F">
          <w:rPr>
            <w:noProof/>
          </w:rPr>
          <w:t>9</w:t>
        </w:r>
        <w:r>
          <w:rPr>
            <w:noProof/>
          </w:rPr>
          <w:fldChar w:fldCharType="end"/>
        </w:r>
      </w:p>
    </w:sdtContent>
  </w:sdt>
  <w:p w14:paraId="6573B6C1" w14:textId="77777777" w:rsidR="004853B9" w:rsidRDefault="00485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6062352"/>
      <w:docPartObj>
        <w:docPartGallery w:val="Page Numbers (Bottom of Page)"/>
        <w:docPartUnique/>
      </w:docPartObj>
    </w:sdtPr>
    <w:sdtEndPr>
      <w:rPr>
        <w:noProof/>
      </w:rPr>
    </w:sdtEndPr>
    <w:sdtContent>
      <w:p w14:paraId="48B08C66" w14:textId="274D3051" w:rsidR="00C745CE" w:rsidRDefault="00C745CE">
        <w:pPr>
          <w:pStyle w:val="Footer"/>
          <w:jc w:val="center"/>
        </w:pPr>
        <w:r>
          <w:fldChar w:fldCharType="begin"/>
        </w:r>
        <w:r>
          <w:instrText xml:space="preserve"> PAGE   \* MERGEFORMAT </w:instrText>
        </w:r>
        <w:r>
          <w:fldChar w:fldCharType="separate"/>
        </w:r>
        <w:r w:rsidR="007A0F2F">
          <w:rPr>
            <w:noProof/>
          </w:rPr>
          <w:t>4</w:t>
        </w:r>
        <w:r>
          <w:rPr>
            <w:noProof/>
          </w:rPr>
          <w:fldChar w:fldCharType="end"/>
        </w:r>
      </w:p>
    </w:sdtContent>
  </w:sdt>
  <w:p w14:paraId="391CD600" w14:textId="77777777" w:rsidR="00C745CE" w:rsidRDefault="00C74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F90F5" w14:textId="77777777" w:rsidR="008D0755" w:rsidRDefault="008D0755" w:rsidP="00DE34DC">
      <w:pPr>
        <w:spacing w:after="0" w:line="240" w:lineRule="auto"/>
      </w:pPr>
      <w:r>
        <w:separator/>
      </w:r>
    </w:p>
  </w:footnote>
  <w:footnote w:type="continuationSeparator" w:id="0">
    <w:p w14:paraId="530D0CBA" w14:textId="77777777" w:rsidR="008D0755" w:rsidRDefault="008D0755" w:rsidP="00DE3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1015"/>
    <w:multiLevelType w:val="hybridMultilevel"/>
    <w:tmpl w:val="047E99B4"/>
    <w:lvl w:ilvl="0" w:tplc="9B2C7884">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3706FAC"/>
    <w:multiLevelType w:val="hybridMultilevel"/>
    <w:tmpl w:val="C7B4D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DE855FA"/>
    <w:multiLevelType w:val="hybridMultilevel"/>
    <w:tmpl w:val="2412238E"/>
    <w:lvl w:ilvl="0" w:tplc="14090001">
      <w:start w:val="1"/>
      <w:numFmt w:val="bullet"/>
      <w:lvlText w:val=""/>
      <w:lvlJc w:val="left"/>
      <w:pPr>
        <w:ind w:left="360" w:hanging="360"/>
      </w:pPr>
      <w:rPr>
        <w:rFonts w:ascii="Symbol" w:hAnsi="Symbol" w:hint="default"/>
      </w:rPr>
    </w:lvl>
    <w:lvl w:ilvl="1" w:tplc="5DB09D3A">
      <w:numFmt w:val="bullet"/>
      <w:lvlText w:val="•"/>
      <w:lvlJc w:val="left"/>
      <w:pPr>
        <w:ind w:left="1440" w:hanging="720"/>
      </w:pPr>
      <w:rPr>
        <w:rFonts w:ascii="Segoe UI" w:eastAsiaTheme="minorHAnsi" w:hAnsi="Segoe UI" w:cs="Segoe UI"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5A7C139D"/>
    <w:multiLevelType w:val="hybridMultilevel"/>
    <w:tmpl w:val="2CD0AD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DD9165B"/>
    <w:multiLevelType w:val="hybridMultilevel"/>
    <w:tmpl w:val="668450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75877BF0"/>
    <w:multiLevelType w:val="hybridMultilevel"/>
    <w:tmpl w:val="DDEAEB8E"/>
    <w:lvl w:ilvl="0" w:tplc="9B2C7884">
      <w:start w:val="1"/>
      <w:numFmt w:val="lowerLetter"/>
      <w:lvlText w:val="(%1)"/>
      <w:lvlJc w:val="left"/>
      <w:pPr>
        <w:ind w:left="360" w:hanging="360"/>
      </w:pPr>
      <w:rPr>
        <w:rFonts w:hint="default"/>
      </w:rPr>
    </w:lvl>
    <w:lvl w:ilvl="1" w:tplc="5DB09D3A">
      <w:numFmt w:val="bullet"/>
      <w:lvlText w:val="•"/>
      <w:lvlJc w:val="left"/>
      <w:pPr>
        <w:ind w:left="1440" w:hanging="720"/>
      </w:pPr>
      <w:rPr>
        <w:rFonts w:ascii="Segoe UI" w:eastAsiaTheme="minorHAnsi" w:hAnsi="Segoe UI" w:cs="Segoe UI"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4"/>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DE"/>
    <w:rsid w:val="00002A8A"/>
    <w:rsid w:val="000043CD"/>
    <w:rsid w:val="00005E99"/>
    <w:rsid w:val="00007195"/>
    <w:rsid w:val="0002016E"/>
    <w:rsid w:val="000201F8"/>
    <w:rsid w:val="00027546"/>
    <w:rsid w:val="000340B4"/>
    <w:rsid w:val="00034636"/>
    <w:rsid w:val="00041B5B"/>
    <w:rsid w:val="00057C78"/>
    <w:rsid w:val="000707C9"/>
    <w:rsid w:val="00094407"/>
    <w:rsid w:val="00094722"/>
    <w:rsid w:val="00094C9F"/>
    <w:rsid w:val="00095007"/>
    <w:rsid w:val="0009567D"/>
    <w:rsid w:val="000956DC"/>
    <w:rsid w:val="00095AE2"/>
    <w:rsid w:val="000A1DB9"/>
    <w:rsid w:val="000B0AF9"/>
    <w:rsid w:val="000B1F1B"/>
    <w:rsid w:val="000B7958"/>
    <w:rsid w:val="000C470F"/>
    <w:rsid w:val="000C5476"/>
    <w:rsid w:val="000C62CA"/>
    <w:rsid w:val="000D3AE9"/>
    <w:rsid w:val="000D44D7"/>
    <w:rsid w:val="000D5239"/>
    <w:rsid w:val="000E703D"/>
    <w:rsid w:val="000E75DB"/>
    <w:rsid w:val="000F447B"/>
    <w:rsid w:val="0010104B"/>
    <w:rsid w:val="001043EF"/>
    <w:rsid w:val="001108D9"/>
    <w:rsid w:val="001116F9"/>
    <w:rsid w:val="0011309A"/>
    <w:rsid w:val="00127439"/>
    <w:rsid w:val="00130D67"/>
    <w:rsid w:val="0014306D"/>
    <w:rsid w:val="001460C9"/>
    <w:rsid w:val="001479DB"/>
    <w:rsid w:val="00153B1C"/>
    <w:rsid w:val="00165372"/>
    <w:rsid w:val="001728B9"/>
    <w:rsid w:val="00173BCF"/>
    <w:rsid w:val="00175843"/>
    <w:rsid w:val="001771F0"/>
    <w:rsid w:val="00177D51"/>
    <w:rsid w:val="00182FCF"/>
    <w:rsid w:val="00187139"/>
    <w:rsid w:val="00190E9A"/>
    <w:rsid w:val="00195F95"/>
    <w:rsid w:val="001961CB"/>
    <w:rsid w:val="001A5EF8"/>
    <w:rsid w:val="001B1989"/>
    <w:rsid w:val="001B5250"/>
    <w:rsid w:val="001C635A"/>
    <w:rsid w:val="001D39B4"/>
    <w:rsid w:val="001F4D43"/>
    <w:rsid w:val="00200CD2"/>
    <w:rsid w:val="0020781E"/>
    <w:rsid w:val="00226A9C"/>
    <w:rsid w:val="00235C5B"/>
    <w:rsid w:val="00245586"/>
    <w:rsid w:val="00247BED"/>
    <w:rsid w:val="00251FEC"/>
    <w:rsid w:val="002600D0"/>
    <w:rsid w:val="0026249D"/>
    <w:rsid w:val="0027158F"/>
    <w:rsid w:val="002748B8"/>
    <w:rsid w:val="002801BF"/>
    <w:rsid w:val="002917AE"/>
    <w:rsid w:val="0029185C"/>
    <w:rsid w:val="00293035"/>
    <w:rsid w:val="00297A19"/>
    <w:rsid w:val="002A0F74"/>
    <w:rsid w:val="002A41C6"/>
    <w:rsid w:val="002A6E63"/>
    <w:rsid w:val="002C2F9B"/>
    <w:rsid w:val="002C59AD"/>
    <w:rsid w:val="002D2A3D"/>
    <w:rsid w:val="002D47DF"/>
    <w:rsid w:val="002E2596"/>
    <w:rsid w:val="002F0A62"/>
    <w:rsid w:val="002F2E04"/>
    <w:rsid w:val="002F3223"/>
    <w:rsid w:val="003038E5"/>
    <w:rsid w:val="00313DE6"/>
    <w:rsid w:val="0031647D"/>
    <w:rsid w:val="00317044"/>
    <w:rsid w:val="00321BA3"/>
    <w:rsid w:val="00326DDC"/>
    <w:rsid w:val="00345B38"/>
    <w:rsid w:val="00352EFD"/>
    <w:rsid w:val="0035719C"/>
    <w:rsid w:val="00357ABC"/>
    <w:rsid w:val="003712B0"/>
    <w:rsid w:val="00374A5E"/>
    <w:rsid w:val="00384732"/>
    <w:rsid w:val="00393E3F"/>
    <w:rsid w:val="003950F8"/>
    <w:rsid w:val="00396D83"/>
    <w:rsid w:val="003B2845"/>
    <w:rsid w:val="003B43CE"/>
    <w:rsid w:val="003C3A7F"/>
    <w:rsid w:val="003C7B90"/>
    <w:rsid w:val="003D0DA2"/>
    <w:rsid w:val="003D49C9"/>
    <w:rsid w:val="003D6ACF"/>
    <w:rsid w:val="003F3ACD"/>
    <w:rsid w:val="00407863"/>
    <w:rsid w:val="004137DD"/>
    <w:rsid w:val="00415E59"/>
    <w:rsid w:val="004160C9"/>
    <w:rsid w:val="00417CCA"/>
    <w:rsid w:val="004204EE"/>
    <w:rsid w:val="0042681F"/>
    <w:rsid w:val="004432E8"/>
    <w:rsid w:val="00445BDD"/>
    <w:rsid w:val="00451256"/>
    <w:rsid w:val="00455AEC"/>
    <w:rsid w:val="00476479"/>
    <w:rsid w:val="004853B9"/>
    <w:rsid w:val="004931D4"/>
    <w:rsid w:val="00494719"/>
    <w:rsid w:val="00497A31"/>
    <w:rsid w:val="004A2564"/>
    <w:rsid w:val="004B3031"/>
    <w:rsid w:val="004B3B60"/>
    <w:rsid w:val="004B3FA3"/>
    <w:rsid w:val="004C298E"/>
    <w:rsid w:val="004D4A51"/>
    <w:rsid w:val="004D5993"/>
    <w:rsid w:val="004E64D0"/>
    <w:rsid w:val="004F05C5"/>
    <w:rsid w:val="004F1789"/>
    <w:rsid w:val="005034A7"/>
    <w:rsid w:val="005220E0"/>
    <w:rsid w:val="00524A0C"/>
    <w:rsid w:val="00536AF2"/>
    <w:rsid w:val="00546861"/>
    <w:rsid w:val="0055007E"/>
    <w:rsid w:val="0055432E"/>
    <w:rsid w:val="00554427"/>
    <w:rsid w:val="005548BA"/>
    <w:rsid w:val="00555F4C"/>
    <w:rsid w:val="005563D3"/>
    <w:rsid w:val="00556468"/>
    <w:rsid w:val="00563B03"/>
    <w:rsid w:val="00582A58"/>
    <w:rsid w:val="0058433B"/>
    <w:rsid w:val="005A4F1D"/>
    <w:rsid w:val="005C54A2"/>
    <w:rsid w:val="005D4513"/>
    <w:rsid w:val="005D7DAF"/>
    <w:rsid w:val="005E03E5"/>
    <w:rsid w:val="005E1BBD"/>
    <w:rsid w:val="00600CCF"/>
    <w:rsid w:val="00602F9E"/>
    <w:rsid w:val="006059B9"/>
    <w:rsid w:val="0060731C"/>
    <w:rsid w:val="00624340"/>
    <w:rsid w:val="006245A4"/>
    <w:rsid w:val="00626A76"/>
    <w:rsid w:val="00627EFC"/>
    <w:rsid w:val="00630F8A"/>
    <w:rsid w:val="00632FDD"/>
    <w:rsid w:val="00637591"/>
    <w:rsid w:val="00647FE1"/>
    <w:rsid w:val="0065096A"/>
    <w:rsid w:val="0066514A"/>
    <w:rsid w:val="00666DA7"/>
    <w:rsid w:val="00666E6F"/>
    <w:rsid w:val="006711E4"/>
    <w:rsid w:val="006A282F"/>
    <w:rsid w:val="006C6E2C"/>
    <w:rsid w:val="006D573A"/>
    <w:rsid w:val="006D7FAF"/>
    <w:rsid w:val="006E7481"/>
    <w:rsid w:val="006F1B29"/>
    <w:rsid w:val="006F25AD"/>
    <w:rsid w:val="00700AFD"/>
    <w:rsid w:val="00715EA3"/>
    <w:rsid w:val="00716C38"/>
    <w:rsid w:val="0072668D"/>
    <w:rsid w:val="007278F5"/>
    <w:rsid w:val="00736368"/>
    <w:rsid w:val="00737106"/>
    <w:rsid w:val="00765D1C"/>
    <w:rsid w:val="007769AD"/>
    <w:rsid w:val="00783DCB"/>
    <w:rsid w:val="00783EE5"/>
    <w:rsid w:val="00792544"/>
    <w:rsid w:val="00797569"/>
    <w:rsid w:val="007A0F2F"/>
    <w:rsid w:val="007A22E1"/>
    <w:rsid w:val="007A2833"/>
    <w:rsid w:val="007A3DF8"/>
    <w:rsid w:val="007A6B9D"/>
    <w:rsid w:val="007B702C"/>
    <w:rsid w:val="007C1A54"/>
    <w:rsid w:val="007C5DC4"/>
    <w:rsid w:val="007E00CF"/>
    <w:rsid w:val="007F1815"/>
    <w:rsid w:val="007F7B33"/>
    <w:rsid w:val="008014B5"/>
    <w:rsid w:val="00810DAD"/>
    <w:rsid w:val="00816984"/>
    <w:rsid w:val="0082696E"/>
    <w:rsid w:val="00840975"/>
    <w:rsid w:val="00844AF2"/>
    <w:rsid w:val="00850C05"/>
    <w:rsid w:val="0085436A"/>
    <w:rsid w:val="00861DD7"/>
    <w:rsid w:val="00876EB8"/>
    <w:rsid w:val="00880448"/>
    <w:rsid w:val="0089123D"/>
    <w:rsid w:val="00895433"/>
    <w:rsid w:val="008A3D9F"/>
    <w:rsid w:val="008A53F2"/>
    <w:rsid w:val="008A5EE9"/>
    <w:rsid w:val="008B0209"/>
    <w:rsid w:val="008B4263"/>
    <w:rsid w:val="008C42CD"/>
    <w:rsid w:val="008C62EA"/>
    <w:rsid w:val="008D0755"/>
    <w:rsid w:val="008D153F"/>
    <w:rsid w:val="008D3261"/>
    <w:rsid w:val="008F2820"/>
    <w:rsid w:val="008F2937"/>
    <w:rsid w:val="008F6EFA"/>
    <w:rsid w:val="00901D37"/>
    <w:rsid w:val="00907EF1"/>
    <w:rsid w:val="00912BCE"/>
    <w:rsid w:val="00914B91"/>
    <w:rsid w:val="009205A5"/>
    <w:rsid w:val="009243C0"/>
    <w:rsid w:val="00924A6A"/>
    <w:rsid w:val="00927B5B"/>
    <w:rsid w:val="009346FD"/>
    <w:rsid w:val="0094055B"/>
    <w:rsid w:val="00950999"/>
    <w:rsid w:val="009511B1"/>
    <w:rsid w:val="0095323C"/>
    <w:rsid w:val="00960222"/>
    <w:rsid w:val="00972F1A"/>
    <w:rsid w:val="009738B4"/>
    <w:rsid w:val="00983B92"/>
    <w:rsid w:val="00985D59"/>
    <w:rsid w:val="009868B4"/>
    <w:rsid w:val="009A2CDF"/>
    <w:rsid w:val="009B748F"/>
    <w:rsid w:val="009D69A8"/>
    <w:rsid w:val="009F0113"/>
    <w:rsid w:val="009F7774"/>
    <w:rsid w:val="00A02D93"/>
    <w:rsid w:val="00A20D1D"/>
    <w:rsid w:val="00A21EDD"/>
    <w:rsid w:val="00A25D50"/>
    <w:rsid w:val="00A26E5E"/>
    <w:rsid w:val="00A307A4"/>
    <w:rsid w:val="00A31294"/>
    <w:rsid w:val="00A429DE"/>
    <w:rsid w:val="00A52226"/>
    <w:rsid w:val="00A5343A"/>
    <w:rsid w:val="00A5365F"/>
    <w:rsid w:val="00A540DC"/>
    <w:rsid w:val="00A55CB1"/>
    <w:rsid w:val="00A56628"/>
    <w:rsid w:val="00A56F12"/>
    <w:rsid w:val="00A61B17"/>
    <w:rsid w:val="00A62F75"/>
    <w:rsid w:val="00A65B82"/>
    <w:rsid w:val="00A6604C"/>
    <w:rsid w:val="00A679A7"/>
    <w:rsid w:val="00A77F00"/>
    <w:rsid w:val="00A861FD"/>
    <w:rsid w:val="00AA1387"/>
    <w:rsid w:val="00AB1534"/>
    <w:rsid w:val="00AB7D7C"/>
    <w:rsid w:val="00AC02B2"/>
    <w:rsid w:val="00AC481D"/>
    <w:rsid w:val="00AC71E1"/>
    <w:rsid w:val="00AD27A2"/>
    <w:rsid w:val="00AD4171"/>
    <w:rsid w:val="00AD45C9"/>
    <w:rsid w:val="00AD5934"/>
    <w:rsid w:val="00AE109E"/>
    <w:rsid w:val="00AF4BF7"/>
    <w:rsid w:val="00B01E1B"/>
    <w:rsid w:val="00B14BF5"/>
    <w:rsid w:val="00B23B18"/>
    <w:rsid w:val="00B24B2C"/>
    <w:rsid w:val="00B35D21"/>
    <w:rsid w:val="00B420C7"/>
    <w:rsid w:val="00B44C59"/>
    <w:rsid w:val="00B47002"/>
    <w:rsid w:val="00B50010"/>
    <w:rsid w:val="00B539C0"/>
    <w:rsid w:val="00B64B0F"/>
    <w:rsid w:val="00B64CA9"/>
    <w:rsid w:val="00B7280F"/>
    <w:rsid w:val="00B770FF"/>
    <w:rsid w:val="00B872F4"/>
    <w:rsid w:val="00B912FD"/>
    <w:rsid w:val="00B96354"/>
    <w:rsid w:val="00BA0421"/>
    <w:rsid w:val="00BB633A"/>
    <w:rsid w:val="00BB720E"/>
    <w:rsid w:val="00BC6197"/>
    <w:rsid w:val="00BC631F"/>
    <w:rsid w:val="00BC77E9"/>
    <w:rsid w:val="00BD27D5"/>
    <w:rsid w:val="00BD4F63"/>
    <w:rsid w:val="00BD5DDE"/>
    <w:rsid w:val="00BE59B4"/>
    <w:rsid w:val="00BE7082"/>
    <w:rsid w:val="00BE7A46"/>
    <w:rsid w:val="00BF0755"/>
    <w:rsid w:val="00BF0D90"/>
    <w:rsid w:val="00C05582"/>
    <w:rsid w:val="00C11DCE"/>
    <w:rsid w:val="00C3202B"/>
    <w:rsid w:val="00C32F2D"/>
    <w:rsid w:val="00C33DF7"/>
    <w:rsid w:val="00C3768D"/>
    <w:rsid w:val="00C439CC"/>
    <w:rsid w:val="00C4428B"/>
    <w:rsid w:val="00C6163A"/>
    <w:rsid w:val="00C745CE"/>
    <w:rsid w:val="00C81625"/>
    <w:rsid w:val="00C84126"/>
    <w:rsid w:val="00C84764"/>
    <w:rsid w:val="00CA0533"/>
    <w:rsid w:val="00CA612E"/>
    <w:rsid w:val="00CB5DFC"/>
    <w:rsid w:val="00CD02AA"/>
    <w:rsid w:val="00CE2CEB"/>
    <w:rsid w:val="00CF4C0C"/>
    <w:rsid w:val="00D07AC1"/>
    <w:rsid w:val="00D11D89"/>
    <w:rsid w:val="00D164C4"/>
    <w:rsid w:val="00D16CEA"/>
    <w:rsid w:val="00D262E7"/>
    <w:rsid w:val="00D311FB"/>
    <w:rsid w:val="00D353C7"/>
    <w:rsid w:val="00D431F9"/>
    <w:rsid w:val="00D44EE0"/>
    <w:rsid w:val="00D46424"/>
    <w:rsid w:val="00D536F8"/>
    <w:rsid w:val="00D56D4B"/>
    <w:rsid w:val="00D63B7C"/>
    <w:rsid w:val="00D66338"/>
    <w:rsid w:val="00D802FC"/>
    <w:rsid w:val="00D86608"/>
    <w:rsid w:val="00D87FB4"/>
    <w:rsid w:val="00DA309E"/>
    <w:rsid w:val="00DA576D"/>
    <w:rsid w:val="00DA6263"/>
    <w:rsid w:val="00DB5716"/>
    <w:rsid w:val="00DD6A9B"/>
    <w:rsid w:val="00DE34DC"/>
    <w:rsid w:val="00DE7D32"/>
    <w:rsid w:val="00E02600"/>
    <w:rsid w:val="00E03D7D"/>
    <w:rsid w:val="00E072AE"/>
    <w:rsid w:val="00E0788E"/>
    <w:rsid w:val="00E112C4"/>
    <w:rsid w:val="00E16253"/>
    <w:rsid w:val="00E3167A"/>
    <w:rsid w:val="00E32BDD"/>
    <w:rsid w:val="00E35F0F"/>
    <w:rsid w:val="00E410BD"/>
    <w:rsid w:val="00E423E0"/>
    <w:rsid w:val="00E51A0C"/>
    <w:rsid w:val="00E53501"/>
    <w:rsid w:val="00E57FC4"/>
    <w:rsid w:val="00E6350B"/>
    <w:rsid w:val="00E6576B"/>
    <w:rsid w:val="00E72C96"/>
    <w:rsid w:val="00E7624A"/>
    <w:rsid w:val="00E76E3F"/>
    <w:rsid w:val="00E83B3F"/>
    <w:rsid w:val="00E86FF2"/>
    <w:rsid w:val="00E87018"/>
    <w:rsid w:val="00E96A49"/>
    <w:rsid w:val="00EA639C"/>
    <w:rsid w:val="00EC26AC"/>
    <w:rsid w:val="00EC360E"/>
    <w:rsid w:val="00EC6302"/>
    <w:rsid w:val="00EC79D6"/>
    <w:rsid w:val="00ED1903"/>
    <w:rsid w:val="00ED2D2F"/>
    <w:rsid w:val="00EE03D5"/>
    <w:rsid w:val="00EE211A"/>
    <w:rsid w:val="00EF2984"/>
    <w:rsid w:val="00F34A6B"/>
    <w:rsid w:val="00F35D34"/>
    <w:rsid w:val="00F52334"/>
    <w:rsid w:val="00F532C9"/>
    <w:rsid w:val="00F56BEE"/>
    <w:rsid w:val="00F608D0"/>
    <w:rsid w:val="00F91210"/>
    <w:rsid w:val="00F9149C"/>
    <w:rsid w:val="00F93638"/>
    <w:rsid w:val="00F957CC"/>
    <w:rsid w:val="00F9655A"/>
    <w:rsid w:val="00F971A8"/>
    <w:rsid w:val="00FA03B2"/>
    <w:rsid w:val="00FA41F3"/>
    <w:rsid w:val="00FA5D0F"/>
    <w:rsid w:val="00FB0CFC"/>
    <w:rsid w:val="00FB3FEB"/>
    <w:rsid w:val="00FB6151"/>
    <w:rsid w:val="00FC2429"/>
    <w:rsid w:val="00FC3019"/>
    <w:rsid w:val="00FD3F6B"/>
    <w:rsid w:val="00FD55F7"/>
    <w:rsid w:val="00FE5939"/>
    <w:rsid w:val="00FE5F33"/>
    <w:rsid w:val="00FF699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808B"/>
  <w15:chartTrackingRefBased/>
  <w15:docId w15:val="{DB3DC429-0F54-4ED3-820A-11B4DCF7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44D7"/>
    <w:pPr>
      <w:spacing w:after="0" w:line="240" w:lineRule="auto"/>
      <w:outlineLvl w:val="0"/>
    </w:pPr>
    <w:rPr>
      <w:rFonts w:ascii="Segoe UI" w:hAnsi="Segoe UI" w:cs="Segoe UI"/>
      <w:sz w:val="72"/>
      <w:szCs w:val="72"/>
    </w:rPr>
  </w:style>
  <w:style w:type="paragraph" w:styleId="Heading2">
    <w:name w:val="heading 2"/>
    <w:basedOn w:val="Normal"/>
    <w:next w:val="Normal"/>
    <w:link w:val="Heading2Char"/>
    <w:uiPriority w:val="9"/>
    <w:unhideWhenUsed/>
    <w:qFormat/>
    <w:rsid w:val="00EC360E"/>
    <w:pPr>
      <w:outlineLvl w:val="1"/>
    </w:pPr>
    <w:rPr>
      <w:rFonts w:ascii="Segoe UI" w:hAnsi="Segoe UI" w:cs="Segoe UI"/>
      <w:b/>
      <w:bCs/>
      <w:i/>
      <w:iCs/>
      <w:sz w:val="28"/>
      <w:szCs w:val="28"/>
    </w:rPr>
  </w:style>
  <w:style w:type="paragraph" w:styleId="Heading3">
    <w:name w:val="heading 3"/>
    <w:basedOn w:val="Normal"/>
    <w:next w:val="Normal"/>
    <w:link w:val="Heading3Char"/>
    <w:uiPriority w:val="9"/>
    <w:unhideWhenUsed/>
    <w:qFormat/>
    <w:rsid w:val="00EC360E"/>
    <w:pPr>
      <w:outlineLvl w:val="2"/>
    </w:pPr>
    <w:rPr>
      <w:rFonts w:ascii="Segoe UI" w:hAnsi="Segoe UI" w:cs="Segoe U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6E"/>
    <w:pPr>
      <w:ind w:left="720"/>
      <w:contextualSpacing/>
    </w:pPr>
  </w:style>
  <w:style w:type="paragraph" w:styleId="EndnoteText">
    <w:name w:val="endnote text"/>
    <w:basedOn w:val="Normal"/>
    <w:link w:val="EndnoteTextChar"/>
    <w:uiPriority w:val="99"/>
    <w:semiHidden/>
    <w:unhideWhenUsed/>
    <w:rsid w:val="00DE34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34DC"/>
    <w:rPr>
      <w:sz w:val="20"/>
      <w:szCs w:val="20"/>
    </w:rPr>
  </w:style>
  <w:style w:type="character" w:styleId="EndnoteReference">
    <w:name w:val="endnote reference"/>
    <w:basedOn w:val="DefaultParagraphFont"/>
    <w:uiPriority w:val="99"/>
    <w:semiHidden/>
    <w:unhideWhenUsed/>
    <w:rsid w:val="00DE34DC"/>
    <w:rPr>
      <w:vertAlign w:val="superscript"/>
    </w:rPr>
  </w:style>
  <w:style w:type="character" w:styleId="CommentReference">
    <w:name w:val="annotation reference"/>
    <w:basedOn w:val="DefaultParagraphFont"/>
    <w:uiPriority w:val="99"/>
    <w:semiHidden/>
    <w:unhideWhenUsed/>
    <w:rsid w:val="00173BCF"/>
    <w:rPr>
      <w:sz w:val="16"/>
      <w:szCs w:val="16"/>
    </w:rPr>
  </w:style>
  <w:style w:type="paragraph" w:styleId="CommentText">
    <w:name w:val="annotation text"/>
    <w:basedOn w:val="Normal"/>
    <w:link w:val="CommentTextChar"/>
    <w:uiPriority w:val="99"/>
    <w:semiHidden/>
    <w:unhideWhenUsed/>
    <w:rsid w:val="00173BCF"/>
    <w:pPr>
      <w:spacing w:line="240" w:lineRule="auto"/>
    </w:pPr>
    <w:rPr>
      <w:sz w:val="20"/>
      <w:szCs w:val="20"/>
    </w:rPr>
  </w:style>
  <w:style w:type="character" w:customStyle="1" w:styleId="CommentTextChar">
    <w:name w:val="Comment Text Char"/>
    <w:basedOn w:val="DefaultParagraphFont"/>
    <w:link w:val="CommentText"/>
    <w:uiPriority w:val="99"/>
    <w:semiHidden/>
    <w:rsid w:val="00173BCF"/>
    <w:rPr>
      <w:sz w:val="20"/>
      <w:szCs w:val="20"/>
    </w:rPr>
  </w:style>
  <w:style w:type="paragraph" w:styleId="CommentSubject">
    <w:name w:val="annotation subject"/>
    <w:basedOn w:val="CommentText"/>
    <w:next w:val="CommentText"/>
    <w:link w:val="CommentSubjectChar"/>
    <w:uiPriority w:val="99"/>
    <w:semiHidden/>
    <w:unhideWhenUsed/>
    <w:rsid w:val="00173BCF"/>
    <w:rPr>
      <w:b/>
      <w:bCs/>
    </w:rPr>
  </w:style>
  <w:style w:type="character" w:customStyle="1" w:styleId="CommentSubjectChar">
    <w:name w:val="Comment Subject Char"/>
    <w:basedOn w:val="CommentTextChar"/>
    <w:link w:val="CommentSubject"/>
    <w:uiPriority w:val="99"/>
    <w:semiHidden/>
    <w:rsid w:val="00173BCF"/>
    <w:rPr>
      <w:b/>
      <w:bCs/>
      <w:sz w:val="20"/>
      <w:szCs w:val="20"/>
    </w:rPr>
  </w:style>
  <w:style w:type="paragraph" w:styleId="BalloonText">
    <w:name w:val="Balloon Text"/>
    <w:basedOn w:val="Normal"/>
    <w:link w:val="BalloonTextChar"/>
    <w:uiPriority w:val="99"/>
    <w:semiHidden/>
    <w:unhideWhenUsed/>
    <w:rsid w:val="00173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BCF"/>
    <w:rPr>
      <w:rFonts w:ascii="Segoe UI" w:hAnsi="Segoe UI" w:cs="Segoe UI"/>
      <w:sz w:val="18"/>
      <w:szCs w:val="18"/>
    </w:rPr>
  </w:style>
  <w:style w:type="paragraph" w:styleId="Header">
    <w:name w:val="header"/>
    <w:basedOn w:val="Normal"/>
    <w:link w:val="HeaderChar"/>
    <w:uiPriority w:val="99"/>
    <w:unhideWhenUsed/>
    <w:rsid w:val="00485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3B9"/>
  </w:style>
  <w:style w:type="paragraph" w:styleId="Footer">
    <w:name w:val="footer"/>
    <w:basedOn w:val="Normal"/>
    <w:link w:val="FooterChar"/>
    <w:uiPriority w:val="99"/>
    <w:unhideWhenUsed/>
    <w:rsid w:val="00485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3B9"/>
  </w:style>
  <w:style w:type="paragraph" w:styleId="NoSpacing">
    <w:name w:val="No Spacing"/>
    <w:basedOn w:val="BodyText"/>
    <w:qFormat/>
    <w:rsid w:val="00A65B82"/>
    <w:pPr>
      <w:suppressAutoHyphens/>
      <w:autoSpaceDE w:val="0"/>
      <w:autoSpaceDN w:val="0"/>
      <w:adjustRightInd w:val="0"/>
      <w:spacing w:after="0" w:line="240" w:lineRule="auto"/>
    </w:pPr>
    <w:rPr>
      <w:rFonts w:ascii="Segoe UI" w:eastAsia="Times New Roman" w:hAnsi="Segoe UI" w:cs="Arial"/>
      <w:sz w:val="20"/>
      <w:szCs w:val="20"/>
      <w:lang w:eastAsia="en-NZ"/>
    </w:rPr>
  </w:style>
  <w:style w:type="paragraph" w:styleId="BodyText">
    <w:name w:val="Body Text"/>
    <w:basedOn w:val="Normal"/>
    <w:link w:val="BodyTextChar"/>
    <w:uiPriority w:val="99"/>
    <w:semiHidden/>
    <w:unhideWhenUsed/>
    <w:rsid w:val="00A65B82"/>
    <w:pPr>
      <w:spacing w:after="120"/>
    </w:pPr>
  </w:style>
  <w:style w:type="character" w:customStyle="1" w:styleId="BodyTextChar">
    <w:name w:val="Body Text Char"/>
    <w:basedOn w:val="DefaultParagraphFont"/>
    <w:link w:val="BodyText"/>
    <w:uiPriority w:val="99"/>
    <w:semiHidden/>
    <w:rsid w:val="00A65B82"/>
  </w:style>
  <w:style w:type="character" w:customStyle="1" w:styleId="Heading1Char">
    <w:name w:val="Heading 1 Char"/>
    <w:basedOn w:val="DefaultParagraphFont"/>
    <w:link w:val="Heading1"/>
    <w:uiPriority w:val="9"/>
    <w:rsid w:val="000D44D7"/>
    <w:rPr>
      <w:rFonts w:ascii="Segoe UI" w:hAnsi="Segoe UI" w:cs="Segoe UI"/>
      <w:sz w:val="72"/>
      <w:szCs w:val="72"/>
    </w:rPr>
  </w:style>
  <w:style w:type="table" w:styleId="TableGrid">
    <w:name w:val="Table Grid"/>
    <w:basedOn w:val="TableNormal"/>
    <w:uiPriority w:val="39"/>
    <w:rsid w:val="00182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567D"/>
    <w:pPr>
      <w:spacing w:after="0" w:line="240" w:lineRule="auto"/>
    </w:pPr>
  </w:style>
  <w:style w:type="character" w:customStyle="1" w:styleId="Heading2Char">
    <w:name w:val="Heading 2 Char"/>
    <w:basedOn w:val="DefaultParagraphFont"/>
    <w:link w:val="Heading2"/>
    <w:uiPriority w:val="9"/>
    <w:rsid w:val="00EC360E"/>
    <w:rPr>
      <w:rFonts w:ascii="Segoe UI" w:hAnsi="Segoe UI" w:cs="Segoe UI"/>
      <w:b/>
      <w:bCs/>
      <w:i/>
      <w:iCs/>
      <w:sz w:val="28"/>
      <w:szCs w:val="28"/>
    </w:rPr>
  </w:style>
  <w:style w:type="character" w:customStyle="1" w:styleId="Heading3Char">
    <w:name w:val="Heading 3 Char"/>
    <w:basedOn w:val="DefaultParagraphFont"/>
    <w:link w:val="Heading3"/>
    <w:uiPriority w:val="9"/>
    <w:rsid w:val="00EC360E"/>
    <w:rPr>
      <w:rFonts w:ascii="Segoe UI" w:hAnsi="Segoe UI" w:cs="Segoe UI"/>
      <w:b/>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884200">
      <w:bodyDiv w:val="1"/>
      <w:marLeft w:val="0"/>
      <w:marRight w:val="0"/>
      <w:marTop w:val="0"/>
      <w:marBottom w:val="0"/>
      <w:divBdr>
        <w:top w:val="none" w:sz="0" w:space="0" w:color="auto"/>
        <w:left w:val="none" w:sz="0" w:space="0" w:color="auto"/>
        <w:bottom w:val="none" w:sz="0" w:space="0" w:color="auto"/>
        <w:right w:val="none" w:sz="0" w:space="0" w:color="auto"/>
      </w:divBdr>
    </w:div>
    <w:div w:id="1031034927">
      <w:bodyDiv w:val="1"/>
      <w:marLeft w:val="0"/>
      <w:marRight w:val="0"/>
      <w:marTop w:val="0"/>
      <w:marBottom w:val="0"/>
      <w:divBdr>
        <w:top w:val="none" w:sz="0" w:space="0" w:color="auto"/>
        <w:left w:val="none" w:sz="0" w:space="0" w:color="auto"/>
        <w:bottom w:val="none" w:sz="0" w:space="0" w:color="auto"/>
        <w:right w:val="none" w:sz="0" w:space="0" w:color="auto"/>
      </w:divBdr>
    </w:div>
    <w:div w:id="1306661720">
      <w:bodyDiv w:val="1"/>
      <w:marLeft w:val="0"/>
      <w:marRight w:val="0"/>
      <w:marTop w:val="0"/>
      <w:marBottom w:val="0"/>
      <w:divBdr>
        <w:top w:val="none" w:sz="0" w:space="0" w:color="auto"/>
        <w:left w:val="none" w:sz="0" w:space="0" w:color="auto"/>
        <w:bottom w:val="none" w:sz="0" w:space="0" w:color="auto"/>
        <w:right w:val="none" w:sz="0" w:space="0" w:color="auto"/>
      </w:divBdr>
    </w:div>
    <w:div w:id="1401446253">
      <w:bodyDiv w:val="1"/>
      <w:marLeft w:val="0"/>
      <w:marRight w:val="0"/>
      <w:marTop w:val="0"/>
      <w:marBottom w:val="0"/>
      <w:divBdr>
        <w:top w:val="none" w:sz="0" w:space="0" w:color="auto"/>
        <w:left w:val="none" w:sz="0" w:space="0" w:color="auto"/>
        <w:bottom w:val="none" w:sz="0" w:space="0" w:color="auto"/>
        <w:right w:val="none" w:sz="0" w:space="0" w:color="auto"/>
      </w:divBdr>
    </w:div>
    <w:div w:id="1419709734">
      <w:bodyDiv w:val="1"/>
      <w:marLeft w:val="0"/>
      <w:marRight w:val="0"/>
      <w:marTop w:val="0"/>
      <w:marBottom w:val="0"/>
      <w:divBdr>
        <w:top w:val="none" w:sz="0" w:space="0" w:color="auto"/>
        <w:left w:val="none" w:sz="0" w:space="0" w:color="auto"/>
        <w:bottom w:val="none" w:sz="0" w:space="0" w:color="auto"/>
        <w:right w:val="none" w:sz="0" w:space="0" w:color="auto"/>
      </w:divBdr>
    </w:div>
    <w:div w:id="146322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67998-B813-488E-82E2-FD6031CC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7064</Words>
  <Characters>40271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47241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to the Minister of Health January 2022</dc:title>
  <dc:subject/>
  <dc:creator>Health Workforce Advisory Board</dc:creator>
  <cp:keywords/>
  <dc:description/>
  <cp:lastModifiedBy>Ministry of Health</cp:lastModifiedBy>
  <cp:revision>9</cp:revision>
  <cp:lastPrinted>2022-03-01T20:08:00Z</cp:lastPrinted>
  <dcterms:created xsi:type="dcterms:W3CDTF">2022-02-08T00:55:00Z</dcterms:created>
  <dcterms:modified xsi:type="dcterms:W3CDTF">2022-03-01T20:08:00Z</dcterms:modified>
</cp:coreProperties>
</file>