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645A5E" w14:textId="77777777" w:rsidR="00C86248" w:rsidRDefault="0051531A" w:rsidP="00926083">
      <w:pPr>
        <w:pStyle w:val="Title"/>
      </w:pPr>
      <w:r>
        <w:t>Review of Radiation Safety Regulations 2016</w:t>
      </w:r>
    </w:p>
    <w:p w14:paraId="0BEB764F" w14:textId="77777777" w:rsidR="00D27922" w:rsidRDefault="0051531A" w:rsidP="00D27922">
      <w:pPr>
        <w:pStyle w:val="Subhead"/>
      </w:pPr>
      <w:r>
        <w:t>A consultation document</w:t>
      </w:r>
    </w:p>
    <w:p w14:paraId="632663FA" w14:textId="3446E0BB" w:rsidR="00D27922" w:rsidRPr="00D27922" w:rsidRDefault="0051531A" w:rsidP="00D27922">
      <w:pPr>
        <w:pStyle w:val="Year"/>
      </w:pPr>
      <w:r w:rsidRPr="00EB3714">
        <w:t>202</w:t>
      </w:r>
      <w:r w:rsidR="00BB5995" w:rsidRPr="00EB3714">
        <w:t>2</w:t>
      </w:r>
    </w:p>
    <w:p w14:paraId="52D65F43" w14:textId="77777777" w:rsidR="00C05132" w:rsidRDefault="00C05132" w:rsidP="00A06BE4"/>
    <w:p w14:paraId="05116755" w14:textId="77777777" w:rsidR="00142954" w:rsidRPr="00142954" w:rsidRDefault="00142954" w:rsidP="00142954">
      <w:pPr>
        <w:sectPr w:rsidR="00142954" w:rsidRPr="00142954" w:rsidSect="00925892">
          <w:headerReference w:type="default" r:id="rId8"/>
          <w:footerReference w:type="default" r:id="rId9"/>
          <w:pgSz w:w="11907" w:h="16834" w:code="9"/>
          <w:pgMar w:top="5670" w:right="1134" w:bottom="1134" w:left="1134" w:header="567" w:footer="851" w:gutter="0"/>
          <w:pgNumType w:start="1"/>
          <w:cols w:space="720"/>
        </w:sectPr>
      </w:pPr>
    </w:p>
    <w:p w14:paraId="07B5E121" w14:textId="388681E2" w:rsidR="00A80363" w:rsidRPr="00C05132" w:rsidRDefault="00A80363" w:rsidP="00A63DFF">
      <w:pPr>
        <w:pStyle w:val="Imprint"/>
        <w:spacing w:before="1200"/>
        <w:rPr>
          <w:rFonts w:cs="Segoe UI"/>
        </w:rPr>
      </w:pPr>
      <w:r w:rsidRPr="00C05132">
        <w:rPr>
          <w:rFonts w:cs="Segoe UI"/>
        </w:rPr>
        <w:lastRenderedPageBreak/>
        <w:t xml:space="preserve">Citation: </w:t>
      </w:r>
      <w:r w:rsidR="00442C1C" w:rsidRPr="00C05132">
        <w:rPr>
          <w:rFonts w:cs="Segoe UI"/>
        </w:rPr>
        <w:t xml:space="preserve">Ministry of Health. </w:t>
      </w:r>
      <w:r w:rsidR="0051531A">
        <w:rPr>
          <w:rFonts w:cs="Segoe UI"/>
        </w:rPr>
        <w:t>202</w:t>
      </w:r>
      <w:r w:rsidR="00F42F94">
        <w:rPr>
          <w:rFonts w:cs="Segoe UI"/>
        </w:rPr>
        <w:t>2</w:t>
      </w:r>
      <w:r w:rsidR="00442C1C" w:rsidRPr="00C05132">
        <w:rPr>
          <w:rFonts w:cs="Segoe UI"/>
        </w:rPr>
        <w:t xml:space="preserve">. </w:t>
      </w:r>
      <w:r w:rsidR="0051531A">
        <w:rPr>
          <w:rFonts w:cs="Segoe UI"/>
          <w:i/>
        </w:rPr>
        <w:t>Review of Radiation Safety Regulations 2016</w:t>
      </w:r>
      <w:r w:rsidR="00D27922">
        <w:rPr>
          <w:rFonts w:cs="Segoe UI"/>
          <w:i/>
        </w:rPr>
        <w:t xml:space="preserve">: </w:t>
      </w:r>
      <w:r w:rsidR="0051531A">
        <w:rPr>
          <w:rFonts w:cs="Segoe UI"/>
          <w:i/>
        </w:rPr>
        <w:t>A consultation document</w:t>
      </w:r>
      <w:r w:rsidR="00442C1C" w:rsidRPr="00C05132">
        <w:rPr>
          <w:rFonts w:cs="Segoe UI"/>
        </w:rPr>
        <w:t>. Wellington: Ministry of Health.</w:t>
      </w:r>
    </w:p>
    <w:p w14:paraId="678A59C5" w14:textId="1DAE0A36" w:rsidR="00C86248" w:rsidRDefault="00C86248">
      <w:pPr>
        <w:pStyle w:val="Imprint"/>
      </w:pPr>
      <w:r>
        <w:t xml:space="preserve">Published in </w:t>
      </w:r>
      <w:r w:rsidR="00704088">
        <w:t>March</w:t>
      </w:r>
      <w:r w:rsidR="00F42F94">
        <w:t xml:space="preserve"> 2022</w:t>
      </w:r>
      <w:r w:rsidR="00A63DFF">
        <w:t xml:space="preserve"> </w:t>
      </w:r>
      <w:r>
        <w:t>by the</w:t>
      </w:r>
      <w:r w:rsidR="00442C1C">
        <w:t xml:space="preserve"> </w:t>
      </w:r>
      <w:r>
        <w:t>Ministry of Health</w:t>
      </w:r>
      <w:r>
        <w:br/>
        <w:t>PO Box 5013, Wellington</w:t>
      </w:r>
      <w:r w:rsidR="00A80363">
        <w:t xml:space="preserve"> 614</w:t>
      </w:r>
      <w:r w:rsidR="006041F0">
        <w:t>0</w:t>
      </w:r>
      <w:r>
        <w:t xml:space="preserve">, </w:t>
      </w:r>
      <w:r w:rsidR="00571223">
        <w:t>New Zealand</w:t>
      </w:r>
    </w:p>
    <w:p w14:paraId="41A2CFE8" w14:textId="2D53767C" w:rsidR="00082CD6" w:rsidRPr="009C0F2D" w:rsidRDefault="00D863D0" w:rsidP="00082CD6">
      <w:pPr>
        <w:pStyle w:val="Imprint"/>
      </w:pPr>
      <w:r>
        <w:t>ISBN</w:t>
      </w:r>
      <w:r w:rsidR="00442C1C">
        <w:t xml:space="preserve"> </w:t>
      </w:r>
      <w:r w:rsidR="00AA496A" w:rsidRPr="00AA496A">
        <w:t>978-1-99-100799-5</w:t>
      </w:r>
      <w:r w:rsidR="002B7BEC">
        <w:t xml:space="preserve"> </w:t>
      </w:r>
      <w:r>
        <w:t>(</w:t>
      </w:r>
      <w:r w:rsidR="00442C1C">
        <w:t>online</w:t>
      </w:r>
      <w:r>
        <w:t>)</w:t>
      </w:r>
      <w:r w:rsidR="00082CD6">
        <w:br/>
      </w:r>
      <w:r w:rsidR="00082CD6" w:rsidRPr="009C0F2D">
        <w:t xml:space="preserve">HP </w:t>
      </w:r>
      <w:r w:rsidR="00BF1E1D">
        <w:t>8000</w:t>
      </w:r>
    </w:p>
    <w:p w14:paraId="1E0EBBFE" w14:textId="77777777" w:rsidR="00C86248" w:rsidRDefault="008C64C4" w:rsidP="00D27922">
      <w:pPr>
        <w:spacing w:before="360"/>
      </w:pPr>
      <w:r>
        <w:rPr>
          <w:noProof/>
          <w:lang w:eastAsia="en-NZ"/>
        </w:rPr>
        <w:drawing>
          <wp:inline distT="0" distB="0" distL="0" distR="0" wp14:anchorId="17520E14" wp14:editId="01291FFD">
            <wp:extent cx="1413163" cy="576330"/>
            <wp:effectExtent l="0" t="0" r="0" b="0"/>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Health logo"/>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1413017" cy="576270"/>
                    </a:xfrm>
                    <a:prstGeom prst="rect">
                      <a:avLst/>
                    </a:prstGeom>
                    <a:noFill/>
                    <a:ln>
                      <a:noFill/>
                    </a:ln>
                  </pic:spPr>
                </pic:pic>
              </a:graphicData>
            </a:graphic>
          </wp:inline>
        </w:drawing>
      </w:r>
    </w:p>
    <w:p w14:paraId="364EC868" w14:textId="77777777" w:rsidR="00A63DFF" w:rsidRDefault="00A63DFF" w:rsidP="00A63DFF">
      <w:pPr>
        <w:pStyle w:val="Imprint"/>
        <w:spacing w:before="240" w:after="480"/>
      </w:pPr>
      <w:r>
        <w:t xml:space="preserve">This document is available at </w:t>
      </w:r>
      <w:hyperlink r:id="rId11" w:history="1">
        <w:r w:rsidR="00476B21" w:rsidRPr="0013096C">
          <w:rPr>
            <w:rStyle w:val="Hyperlink"/>
          </w:rPr>
          <w:t>health.govt.nz</w:t>
        </w:r>
      </w:hyperlink>
    </w:p>
    <w:tbl>
      <w:tblPr>
        <w:tblW w:w="0" w:type="auto"/>
        <w:tblLayout w:type="fixed"/>
        <w:tblLook w:val="04A0" w:firstRow="1" w:lastRow="0" w:firstColumn="1" w:lastColumn="0" w:noHBand="0" w:noVBand="1"/>
      </w:tblPr>
      <w:tblGrid>
        <w:gridCol w:w="1526"/>
        <w:gridCol w:w="6061"/>
      </w:tblGrid>
      <w:tr w:rsidR="00A63DFF" w:rsidRPr="00A63DFF" w14:paraId="6EC343F2" w14:textId="77777777" w:rsidTr="00A63DFF">
        <w:trPr>
          <w:cantSplit/>
        </w:trPr>
        <w:tc>
          <w:tcPr>
            <w:tcW w:w="1526" w:type="dxa"/>
          </w:tcPr>
          <w:p w14:paraId="076AFC0D" w14:textId="77777777" w:rsidR="00A63DFF" w:rsidRPr="00A63DFF" w:rsidRDefault="00A63DFF" w:rsidP="00F103BE">
            <w:pPr>
              <w:spacing w:before="240"/>
              <w:rPr>
                <w:rFonts w:cs="Segoe UI"/>
                <w:sz w:val="15"/>
                <w:szCs w:val="15"/>
              </w:rPr>
            </w:pPr>
            <w:r w:rsidRPr="00A63DFF">
              <w:rPr>
                <w:rFonts w:cs="Segoe UI"/>
                <w:b/>
                <w:noProof/>
                <w:sz w:val="15"/>
                <w:szCs w:val="15"/>
                <w:lang w:eastAsia="en-NZ"/>
              </w:rPr>
              <w:drawing>
                <wp:inline distT="0" distB="0" distL="0" distR="0" wp14:anchorId="18F7FF1D" wp14:editId="7D02BA8C">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2E543007" w14:textId="77777777"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ie, copy and redistribute the material in any medium or format; adapt ie, remix, transform and build upon the material. </w:t>
            </w:r>
            <w:r w:rsidRPr="00A63DFF">
              <w:rPr>
                <w:rFonts w:cs="Segoe UI"/>
                <w:bCs/>
                <w:sz w:val="15"/>
                <w:szCs w:val="15"/>
              </w:rPr>
              <w:t>You must give appropriate credit, provide a link to the licence and indicate if changes were made.</w:t>
            </w:r>
          </w:p>
        </w:tc>
      </w:tr>
    </w:tbl>
    <w:p w14:paraId="54129F16" w14:textId="77777777" w:rsidR="007E74F1" w:rsidRPr="001F45A7" w:rsidRDefault="007E74F1" w:rsidP="006E2886">
      <w:pPr>
        <w:pStyle w:val="Imprint"/>
      </w:pPr>
    </w:p>
    <w:p w14:paraId="696DF8B7" w14:textId="77777777" w:rsidR="00C86248" w:rsidRDefault="00C86248">
      <w:pPr>
        <w:jc w:val="center"/>
        <w:sectPr w:rsidR="00C86248" w:rsidSect="00925892">
          <w:footerReference w:type="even" r:id="rId13"/>
          <w:footerReference w:type="default" r:id="rId14"/>
          <w:pgSz w:w="11907" w:h="16834" w:code="9"/>
          <w:pgMar w:top="1701" w:right="2268" w:bottom="1134" w:left="2268" w:header="0" w:footer="0" w:gutter="0"/>
          <w:cols w:space="720"/>
          <w:vAlign w:val="bottom"/>
        </w:sectPr>
      </w:pPr>
    </w:p>
    <w:p w14:paraId="3AEB69A2" w14:textId="77777777" w:rsidR="00C86248" w:rsidRDefault="00C86248" w:rsidP="00025A6F">
      <w:pPr>
        <w:pStyle w:val="IntroHead"/>
      </w:pPr>
      <w:bookmarkStart w:id="0" w:name="_Toc405792991"/>
      <w:bookmarkStart w:id="1" w:name="_Toc405793224"/>
      <w:r>
        <w:lastRenderedPageBreak/>
        <w:t>Contents</w:t>
      </w:r>
      <w:bookmarkEnd w:id="0"/>
      <w:bookmarkEnd w:id="1"/>
    </w:p>
    <w:p w14:paraId="25903C87" w14:textId="30BAE41B" w:rsidR="00FC194C" w:rsidRDefault="00FC194C">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\o "1-2" \h \z </w:instrText>
      </w:r>
      <w:r>
        <w:rPr>
          <w:b/>
        </w:rPr>
        <w:fldChar w:fldCharType="separate"/>
      </w:r>
      <w:hyperlink w:anchor="_Toc89696178" w:history="1">
        <w:r w:rsidRPr="00281E82">
          <w:rPr>
            <w:rStyle w:val="Hyperlink"/>
            <w:noProof/>
          </w:rPr>
          <w:t>Introduction</w:t>
        </w:r>
        <w:r>
          <w:rPr>
            <w:noProof/>
            <w:webHidden/>
          </w:rPr>
          <w:tab/>
        </w:r>
        <w:r>
          <w:rPr>
            <w:noProof/>
            <w:webHidden/>
          </w:rPr>
          <w:fldChar w:fldCharType="begin"/>
        </w:r>
        <w:r>
          <w:rPr>
            <w:noProof/>
            <w:webHidden/>
          </w:rPr>
          <w:instrText xml:space="preserve"> PAGEREF _Toc89696178 \h </w:instrText>
        </w:r>
        <w:r>
          <w:rPr>
            <w:noProof/>
            <w:webHidden/>
          </w:rPr>
        </w:r>
        <w:r>
          <w:rPr>
            <w:noProof/>
            <w:webHidden/>
          </w:rPr>
          <w:fldChar w:fldCharType="separate"/>
        </w:r>
        <w:r w:rsidR="003A5600">
          <w:rPr>
            <w:noProof/>
            <w:webHidden/>
          </w:rPr>
          <w:t>1</w:t>
        </w:r>
        <w:r>
          <w:rPr>
            <w:noProof/>
            <w:webHidden/>
          </w:rPr>
          <w:fldChar w:fldCharType="end"/>
        </w:r>
      </w:hyperlink>
    </w:p>
    <w:p w14:paraId="296ECBAE" w14:textId="39A97435" w:rsidR="00FC194C" w:rsidRDefault="00384F9F">
      <w:pPr>
        <w:pStyle w:val="TOC2"/>
        <w:rPr>
          <w:rFonts w:asciiTheme="minorHAnsi" w:eastAsiaTheme="minorEastAsia" w:hAnsiTheme="minorHAnsi" w:cstheme="minorBidi"/>
          <w:noProof/>
          <w:sz w:val="22"/>
          <w:szCs w:val="22"/>
          <w:lang w:eastAsia="en-NZ"/>
        </w:rPr>
      </w:pPr>
      <w:hyperlink w:anchor="_Toc89696179" w:history="1">
        <w:r w:rsidR="00FC194C" w:rsidRPr="00281E82">
          <w:rPr>
            <w:rStyle w:val="Hyperlink"/>
            <w:noProof/>
          </w:rPr>
          <w:t>We want your input</w:t>
        </w:r>
        <w:r w:rsidR="00FC194C">
          <w:rPr>
            <w:noProof/>
            <w:webHidden/>
          </w:rPr>
          <w:tab/>
        </w:r>
        <w:r w:rsidR="00FC194C">
          <w:rPr>
            <w:noProof/>
            <w:webHidden/>
          </w:rPr>
          <w:fldChar w:fldCharType="begin"/>
        </w:r>
        <w:r w:rsidR="00FC194C">
          <w:rPr>
            <w:noProof/>
            <w:webHidden/>
          </w:rPr>
          <w:instrText xml:space="preserve"> PAGEREF _Toc89696179 \h </w:instrText>
        </w:r>
        <w:r w:rsidR="00FC194C">
          <w:rPr>
            <w:noProof/>
            <w:webHidden/>
          </w:rPr>
        </w:r>
        <w:r w:rsidR="00FC194C">
          <w:rPr>
            <w:noProof/>
            <w:webHidden/>
          </w:rPr>
          <w:fldChar w:fldCharType="separate"/>
        </w:r>
        <w:r w:rsidR="003A5600">
          <w:rPr>
            <w:noProof/>
            <w:webHidden/>
          </w:rPr>
          <w:t>1</w:t>
        </w:r>
        <w:r w:rsidR="00FC194C">
          <w:rPr>
            <w:noProof/>
            <w:webHidden/>
          </w:rPr>
          <w:fldChar w:fldCharType="end"/>
        </w:r>
      </w:hyperlink>
    </w:p>
    <w:p w14:paraId="1A889460" w14:textId="7619AA3F" w:rsidR="00FC194C" w:rsidRDefault="00384F9F">
      <w:pPr>
        <w:pStyle w:val="TOC2"/>
        <w:rPr>
          <w:rFonts w:asciiTheme="minorHAnsi" w:eastAsiaTheme="minorEastAsia" w:hAnsiTheme="minorHAnsi" w:cstheme="minorBidi"/>
          <w:noProof/>
          <w:sz w:val="22"/>
          <w:szCs w:val="22"/>
          <w:lang w:eastAsia="en-NZ"/>
        </w:rPr>
      </w:pPr>
      <w:hyperlink w:anchor="_Toc89696180" w:history="1">
        <w:r w:rsidR="00FC194C" w:rsidRPr="00281E82">
          <w:rPr>
            <w:rStyle w:val="Hyperlink"/>
            <w:noProof/>
          </w:rPr>
          <w:t>Radiation Safety Regulations 2016</w:t>
        </w:r>
        <w:r w:rsidR="00FC194C">
          <w:rPr>
            <w:noProof/>
            <w:webHidden/>
          </w:rPr>
          <w:tab/>
        </w:r>
        <w:r w:rsidR="00FC194C">
          <w:rPr>
            <w:noProof/>
            <w:webHidden/>
          </w:rPr>
          <w:fldChar w:fldCharType="begin"/>
        </w:r>
        <w:r w:rsidR="00FC194C">
          <w:rPr>
            <w:noProof/>
            <w:webHidden/>
          </w:rPr>
          <w:instrText xml:space="preserve"> PAGEREF _Toc89696180 \h </w:instrText>
        </w:r>
        <w:r w:rsidR="00FC194C">
          <w:rPr>
            <w:noProof/>
            <w:webHidden/>
          </w:rPr>
        </w:r>
        <w:r w:rsidR="00FC194C">
          <w:rPr>
            <w:noProof/>
            <w:webHidden/>
          </w:rPr>
          <w:fldChar w:fldCharType="separate"/>
        </w:r>
        <w:r w:rsidR="003A5600">
          <w:rPr>
            <w:noProof/>
            <w:webHidden/>
          </w:rPr>
          <w:t>1</w:t>
        </w:r>
        <w:r w:rsidR="00FC194C">
          <w:rPr>
            <w:noProof/>
            <w:webHidden/>
          </w:rPr>
          <w:fldChar w:fldCharType="end"/>
        </w:r>
      </w:hyperlink>
    </w:p>
    <w:p w14:paraId="04B0E944" w14:textId="4A2A0527" w:rsidR="00FC194C" w:rsidRDefault="00384F9F">
      <w:pPr>
        <w:pStyle w:val="TOC2"/>
        <w:rPr>
          <w:rFonts w:asciiTheme="minorHAnsi" w:eastAsiaTheme="minorEastAsia" w:hAnsiTheme="minorHAnsi" w:cstheme="minorBidi"/>
          <w:noProof/>
          <w:sz w:val="22"/>
          <w:szCs w:val="22"/>
          <w:lang w:eastAsia="en-NZ"/>
        </w:rPr>
      </w:pPr>
      <w:hyperlink w:anchor="_Toc89696181" w:history="1">
        <w:r w:rsidR="00FC194C" w:rsidRPr="00281E82">
          <w:rPr>
            <w:rStyle w:val="Hyperlink"/>
            <w:noProof/>
          </w:rPr>
          <w:t>Fees and Regulations review 2021</w:t>
        </w:r>
        <w:r w:rsidR="00FC194C">
          <w:rPr>
            <w:noProof/>
            <w:webHidden/>
          </w:rPr>
          <w:tab/>
        </w:r>
        <w:r w:rsidR="00FC194C">
          <w:rPr>
            <w:noProof/>
            <w:webHidden/>
          </w:rPr>
          <w:fldChar w:fldCharType="begin"/>
        </w:r>
        <w:r w:rsidR="00FC194C">
          <w:rPr>
            <w:noProof/>
            <w:webHidden/>
          </w:rPr>
          <w:instrText xml:space="preserve"> PAGEREF _Toc89696181 \h </w:instrText>
        </w:r>
        <w:r w:rsidR="00FC194C">
          <w:rPr>
            <w:noProof/>
            <w:webHidden/>
          </w:rPr>
        </w:r>
        <w:r w:rsidR="00FC194C">
          <w:rPr>
            <w:noProof/>
            <w:webHidden/>
          </w:rPr>
          <w:fldChar w:fldCharType="separate"/>
        </w:r>
        <w:r w:rsidR="003A5600">
          <w:rPr>
            <w:noProof/>
            <w:webHidden/>
          </w:rPr>
          <w:t>2</w:t>
        </w:r>
        <w:r w:rsidR="00FC194C">
          <w:rPr>
            <w:noProof/>
            <w:webHidden/>
          </w:rPr>
          <w:fldChar w:fldCharType="end"/>
        </w:r>
      </w:hyperlink>
    </w:p>
    <w:p w14:paraId="11F186A2" w14:textId="34430645" w:rsidR="00FC194C" w:rsidRDefault="00384F9F">
      <w:pPr>
        <w:pStyle w:val="TOC2"/>
        <w:rPr>
          <w:rFonts w:asciiTheme="minorHAnsi" w:eastAsiaTheme="minorEastAsia" w:hAnsiTheme="minorHAnsi" w:cstheme="minorBidi"/>
          <w:noProof/>
          <w:sz w:val="22"/>
          <w:szCs w:val="22"/>
          <w:lang w:eastAsia="en-NZ"/>
        </w:rPr>
      </w:pPr>
      <w:hyperlink w:anchor="_Toc89696182" w:history="1">
        <w:r w:rsidR="00FC194C" w:rsidRPr="00281E82">
          <w:rPr>
            <w:rStyle w:val="Hyperlink"/>
            <w:noProof/>
          </w:rPr>
          <w:t>About this document</w:t>
        </w:r>
        <w:r w:rsidR="00FC194C">
          <w:rPr>
            <w:noProof/>
            <w:webHidden/>
          </w:rPr>
          <w:tab/>
        </w:r>
        <w:r w:rsidR="00FC194C">
          <w:rPr>
            <w:noProof/>
            <w:webHidden/>
          </w:rPr>
          <w:fldChar w:fldCharType="begin"/>
        </w:r>
        <w:r w:rsidR="00FC194C">
          <w:rPr>
            <w:noProof/>
            <w:webHidden/>
          </w:rPr>
          <w:instrText xml:space="preserve"> PAGEREF _Toc89696182 \h </w:instrText>
        </w:r>
        <w:r w:rsidR="00FC194C">
          <w:rPr>
            <w:noProof/>
            <w:webHidden/>
          </w:rPr>
        </w:r>
        <w:r w:rsidR="00FC194C">
          <w:rPr>
            <w:noProof/>
            <w:webHidden/>
          </w:rPr>
          <w:fldChar w:fldCharType="separate"/>
        </w:r>
        <w:r w:rsidR="003A5600">
          <w:rPr>
            <w:noProof/>
            <w:webHidden/>
          </w:rPr>
          <w:t>2</w:t>
        </w:r>
        <w:r w:rsidR="00FC194C">
          <w:rPr>
            <w:noProof/>
            <w:webHidden/>
          </w:rPr>
          <w:fldChar w:fldCharType="end"/>
        </w:r>
      </w:hyperlink>
    </w:p>
    <w:p w14:paraId="79C6BFC7" w14:textId="5E74025D" w:rsidR="00FC194C" w:rsidRDefault="00384F9F">
      <w:pPr>
        <w:pStyle w:val="TOC2"/>
        <w:rPr>
          <w:rFonts w:asciiTheme="minorHAnsi" w:eastAsiaTheme="minorEastAsia" w:hAnsiTheme="minorHAnsi" w:cstheme="minorBidi"/>
          <w:noProof/>
          <w:sz w:val="22"/>
          <w:szCs w:val="22"/>
          <w:lang w:eastAsia="en-NZ"/>
        </w:rPr>
      </w:pPr>
      <w:hyperlink w:anchor="_Toc89696183" w:history="1">
        <w:r w:rsidR="00FC194C" w:rsidRPr="00281E82">
          <w:rPr>
            <w:rStyle w:val="Hyperlink"/>
            <w:noProof/>
          </w:rPr>
          <w:t>Definitions</w:t>
        </w:r>
        <w:r w:rsidR="00FC194C">
          <w:rPr>
            <w:noProof/>
            <w:webHidden/>
          </w:rPr>
          <w:tab/>
        </w:r>
        <w:r w:rsidR="00FC194C">
          <w:rPr>
            <w:noProof/>
            <w:webHidden/>
          </w:rPr>
          <w:fldChar w:fldCharType="begin"/>
        </w:r>
        <w:r w:rsidR="00FC194C">
          <w:rPr>
            <w:noProof/>
            <w:webHidden/>
          </w:rPr>
          <w:instrText xml:space="preserve"> PAGEREF _Toc89696183 \h </w:instrText>
        </w:r>
        <w:r w:rsidR="00FC194C">
          <w:rPr>
            <w:noProof/>
            <w:webHidden/>
          </w:rPr>
        </w:r>
        <w:r w:rsidR="00FC194C">
          <w:rPr>
            <w:noProof/>
            <w:webHidden/>
          </w:rPr>
          <w:fldChar w:fldCharType="separate"/>
        </w:r>
        <w:r w:rsidR="003A5600">
          <w:rPr>
            <w:noProof/>
            <w:webHidden/>
          </w:rPr>
          <w:t>4</w:t>
        </w:r>
        <w:r w:rsidR="00FC194C">
          <w:rPr>
            <w:noProof/>
            <w:webHidden/>
          </w:rPr>
          <w:fldChar w:fldCharType="end"/>
        </w:r>
      </w:hyperlink>
    </w:p>
    <w:p w14:paraId="58B827B5" w14:textId="39A749E9" w:rsidR="00FC194C" w:rsidRDefault="00384F9F">
      <w:pPr>
        <w:pStyle w:val="TOC1"/>
        <w:rPr>
          <w:rFonts w:asciiTheme="minorHAnsi" w:eastAsiaTheme="minorEastAsia" w:hAnsiTheme="minorHAnsi" w:cstheme="minorBidi"/>
          <w:noProof/>
          <w:sz w:val="22"/>
          <w:szCs w:val="22"/>
          <w:lang w:eastAsia="en-NZ"/>
        </w:rPr>
      </w:pPr>
      <w:hyperlink w:anchor="_Toc89696184" w:history="1">
        <w:r w:rsidR="00FC194C" w:rsidRPr="00281E82">
          <w:rPr>
            <w:rStyle w:val="Hyperlink"/>
            <w:noProof/>
          </w:rPr>
          <w:t>1</w:t>
        </w:r>
        <w:r w:rsidR="00FC194C">
          <w:rPr>
            <w:rFonts w:asciiTheme="minorHAnsi" w:eastAsiaTheme="minorEastAsia" w:hAnsiTheme="minorHAnsi" w:cstheme="minorBidi"/>
            <w:noProof/>
            <w:sz w:val="22"/>
            <w:szCs w:val="22"/>
            <w:lang w:eastAsia="en-NZ"/>
          </w:rPr>
          <w:tab/>
        </w:r>
        <w:r w:rsidR="00FC194C" w:rsidRPr="00281E82">
          <w:rPr>
            <w:rStyle w:val="Hyperlink"/>
            <w:noProof/>
          </w:rPr>
          <w:t>Fees review and findings</w:t>
        </w:r>
        <w:r w:rsidR="00FC194C">
          <w:rPr>
            <w:noProof/>
            <w:webHidden/>
          </w:rPr>
          <w:tab/>
        </w:r>
        <w:r w:rsidR="00FC194C">
          <w:rPr>
            <w:noProof/>
            <w:webHidden/>
          </w:rPr>
          <w:fldChar w:fldCharType="begin"/>
        </w:r>
        <w:r w:rsidR="00FC194C">
          <w:rPr>
            <w:noProof/>
            <w:webHidden/>
          </w:rPr>
          <w:instrText xml:space="preserve"> PAGEREF _Toc89696184 \h </w:instrText>
        </w:r>
        <w:r w:rsidR="00FC194C">
          <w:rPr>
            <w:noProof/>
            <w:webHidden/>
          </w:rPr>
        </w:r>
        <w:r w:rsidR="00FC194C">
          <w:rPr>
            <w:noProof/>
            <w:webHidden/>
          </w:rPr>
          <w:fldChar w:fldCharType="separate"/>
        </w:r>
        <w:r w:rsidR="003A5600">
          <w:rPr>
            <w:noProof/>
            <w:webHidden/>
          </w:rPr>
          <w:t>6</w:t>
        </w:r>
        <w:r w:rsidR="00FC194C">
          <w:rPr>
            <w:noProof/>
            <w:webHidden/>
          </w:rPr>
          <w:fldChar w:fldCharType="end"/>
        </w:r>
      </w:hyperlink>
    </w:p>
    <w:p w14:paraId="2BD832AE" w14:textId="4E369293" w:rsidR="00FC194C" w:rsidRDefault="00384F9F">
      <w:pPr>
        <w:pStyle w:val="TOC2"/>
        <w:tabs>
          <w:tab w:val="left" w:pos="1134"/>
        </w:tabs>
        <w:rPr>
          <w:rFonts w:asciiTheme="minorHAnsi" w:eastAsiaTheme="minorEastAsia" w:hAnsiTheme="minorHAnsi" w:cstheme="minorBidi"/>
          <w:noProof/>
          <w:sz w:val="22"/>
          <w:szCs w:val="22"/>
          <w:lang w:eastAsia="en-NZ"/>
        </w:rPr>
      </w:pPr>
      <w:hyperlink w:anchor="_Toc89696185" w:history="1">
        <w:r w:rsidR="00FC194C" w:rsidRPr="00281E82">
          <w:rPr>
            <w:rStyle w:val="Hyperlink"/>
            <w:noProof/>
          </w:rPr>
          <w:t>1.1</w:t>
        </w:r>
        <w:r w:rsidR="00FC194C">
          <w:rPr>
            <w:rFonts w:asciiTheme="minorHAnsi" w:eastAsiaTheme="minorEastAsia" w:hAnsiTheme="minorHAnsi" w:cstheme="minorBidi"/>
            <w:noProof/>
            <w:sz w:val="22"/>
            <w:szCs w:val="22"/>
            <w:lang w:eastAsia="en-NZ"/>
          </w:rPr>
          <w:tab/>
        </w:r>
        <w:r w:rsidR="00FC194C" w:rsidRPr="00281E82">
          <w:rPr>
            <w:rStyle w:val="Hyperlink"/>
            <w:noProof/>
          </w:rPr>
          <w:t>Fees model, assumptions and methodology</w:t>
        </w:r>
        <w:r w:rsidR="00FC194C">
          <w:rPr>
            <w:noProof/>
            <w:webHidden/>
          </w:rPr>
          <w:tab/>
        </w:r>
        <w:r w:rsidR="00FC194C">
          <w:rPr>
            <w:noProof/>
            <w:webHidden/>
          </w:rPr>
          <w:fldChar w:fldCharType="begin"/>
        </w:r>
        <w:r w:rsidR="00FC194C">
          <w:rPr>
            <w:noProof/>
            <w:webHidden/>
          </w:rPr>
          <w:instrText xml:space="preserve"> PAGEREF _Toc89696185 \h </w:instrText>
        </w:r>
        <w:r w:rsidR="00FC194C">
          <w:rPr>
            <w:noProof/>
            <w:webHidden/>
          </w:rPr>
        </w:r>
        <w:r w:rsidR="00FC194C">
          <w:rPr>
            <w:noProof/>
            <w:webHidden/>
          </w:rPr>
          <w:fldChar w:fldCharType="separate"/>
        </w:r>
        <w:r w:rsidR="003A5600">
          <w:rPr>
            <w:noProof/>
            <w:webHidden/>
          </w:rPr>
          <w:t>6</w:t>
        </w:r>
        <w:r w:rsidR="00FC194C">
          <w:rPr>
            <w:noProof/>
            <w:webHidden/>
          </w:rPr>
          <w:fldChar w:fldCharType="end"/>
        </w:r>
      </w:hyperlink>
    </w:p>
    <w:p w14:paraId="201D1494" w14:textId="42F5F047" w:rsidR="00FC194C" w:rsidRDefault="00384F9F">
      <w:pPr>
        <w:pStyle w:val="TOC2"/>
        <w:tabs>
          <w:tab w:val="left" w:pos="1134"/>
        </w:tabs>
        <w:rPr>
          <w:rFonts w:asciiTheme="minorHAnsi" w:eastAsiaTheme="minorEastAsia" w:hAnsiTheme="minorHAnsi" w:cstheme="minorBidi"/>
          <w:noProof/>
          <w:sz w:val="22"/>
          <w:szCs w:val="22"/>
          <w:lang w:eastAsia="en-NZ"/>
        </w:rPr>
      </w:pPr>
      <w:hyperlink w:anchor="_Toc89696186" w:history="1">
        <w:r w:rsidR="00FC194C" w:rsidRPr="00281E82">
          <w:rPr>
            <w:rStyle w:val="Hyperlink"/>
            <w:noProof/>
          </w:rPr>
          <w:t>1.2</w:t>
        </w:r>
        <w:r w:rsidR="00FC194C">
          <w:rPr>
            <w:rFonts w:asciiTheme="minorHAnsi" w:eastAsiaTheme="minorEastAsia" w:hAnsiTheme="minorHAnsi" w:cstheme="minorBidi"/>
            <w:noProof/>
            <w:sz w:val="22"/>
            <w:szCs w:val="22"/>
            <w:lang w:eastAsia="en-NZ"/>
          </w:rPr>
          <w:tab/>
        </w:r>
        <w:r w:rsidR="00FC194C" w:rsidRPr="00281E82">
          <w:rPr>
            <w:rStyle w:val="Hyperlink"/>
            <w:noProof/>
          </w:rPr>
          <w:t>Costs of regulating</w:t>
        </w:r>
        <w:r w:rsidR="00FC194C">
          <w:rPr>
            <w:noProof/>
            <w:webHidden/>
          </w:rPr>
          <w:tab/>
        </w:r>
        <w:r w:rsidR="00FC194C">
          <w:rPr>
            <w:noProof/>
            <w:webHidden/>
          </w:rPr>
          <w:fldChar w:fldCharType="begin"/>
        </w:r>
        <w:r w:rsidR="00FC194C">
          <w:rPr>
            <w:noProof/>
            <w:webHidden/>
          </w:rPr>
          <w:instrText xml:space="preserve"> PAGEREF _Toc89696186 \h </w:instrText>
        </w:r>
        <w:r w:rsidR="00FC194C">
          <w:rPr>
            <w:noProof/>
            <w:webHidden/>
          </w:rPr>
        </w:r>
        <w:r w:rsidR="00FC194C">
          <w:rPr>
            <w:noProof/>
            <w:webHidden/>
          </w:rPr>
          <w:fldChar w:fldCharType="separate"/>
        </w:r>
        <w:r w:rsidR="003A5600">
          <w:rPr>
            <w:noProof/>
            <w:webHidden/>
          </w:rPr>
          <w:t>6</w:t>
        </w:r>
        <w:r w:rsidR="00FC194C">
          <w:rPr>
            <w:noProof/>
            <w:webHidden/>
          </w:rPr>
          <w:fldChar w:fldCharType="end"/>
        </w:r>
      </w:hyperlink>
    </w:p>
    <w:p w14:paraId="16AB43AA" w14:textId="21A232C3" w:rsidR="00FC194C" w:rsidRDefault="00384F9F">
      <w:pPr>
        <w:pStyle w:val="TOC2"/>
        <w:tabs>
          <w:tab w:val="left" w:pos="1134"/>
        </w:tabs>
        <w:rPr>
          <w:rFonts w:asciiTheme="minorHAnsi" w:eastAsiaTheme="minorEastAsia" w:hAnsiTheme="minorHAnsi" w:cstheme="minorBidi"/>
          <w:noProof/>
          <w:sz w:val="22"/>
          <w:szCs w:val="22"/>
          <w:lang w:eastAsia="en-NZ"/>
        </w:rPr>
      </w:pPr>
      <w:hyperlink w:anchor="_Toc89696187" w:history="1">
        <w:r w:rsidR="00FC194C" w:rsidRPr="00281E82">
          <w:rPr>
            <w:rStyle w:val="Hyperlink"/>
            <w:noProof/>
          </w:rPr>
          <w:t>1.3</w:t>
        </w:r>
        <w:r w:rsidR="00FC194C">
          <w:rPr>
            <w:rFonts w:asciiTheme="minorHAnsi" w:eastAsiaTheme="minorEastAsia" w:hAnsiTheme="minorHAnsi" w:cstheme="minorBidi"/>
            <w:noProof/>
            <w:sz w:val="22"/>
            <w:szCs w:val="22"/>
            <w:lang w:eastAsia="en-NZ"/>
          </w:rPr>
          <w:tab/>
        </w:r>
        <w:r w:rsidR="00FC194C" w:rsidRPr="00281E82">
          <w:rPr>
            <w:rStyle w:val="Hyperlink"/>
            <w:noProof/>
          </w:rPr>
          <w:t>Fees take since 2017</w:t>
        </w:r>
        <w:r w:rsidR="00FC194C">
          <w:rPr>
            <w:noProof/>
            <w:webHidden/>
          </w:rPr>
          <w:tab/>
        </w:r>
        <w:r w:rsidR="00FC194C">
          <w:rPr>
            <w:noProof/>
            <w:webHidden/>
          </w:rPr>
          <w:fldChar w:fldCharType="begin"/>
        </w:r>
        <w:r w:rsidR="00FC194C">
          <w:rPr>
            <w:noProof/>
            <w:webHidden/>
          </w:rPr>
          <w:instrText xml:space="preserve"> PAGEREF _Toc89696187 \h </w:instrText>
        </w:r>
        <w:r w:rsidR="00FC194C">
          <w:rPr>
            <w:noProof/>
            <w:webHidden/>
          </w:rPr>
        </w:r>
        <w:r w:rsidR="00FC194C">
          <w:rPr>
            <w:noProof/>
            <w:webHidden/>
          </w:rPr>
          <w:fldChar w:fldCharType="separate"/>
        </w:r>
        <w:r w:rsidR="003A5600">
          <w:rPr>
            <w:noProof/>
            <w:webHidden/>
          </w:rPr>
          <w:t>7</w:t>
        </w:r>
        <w:r w:rsidR="00FC194C">
          <w:rPr>
            <w:noProof/>
            <w:webHidden/>
          </w:rPr>
          <w:fldChar w:fldCharType="end"/>
        </w:r>
      </w:hyperlink>
    </w:p>
    <w:p w14:paraId="434F98B0" w14:textId="2B0E8B87" w:rsidR="00FC194C" w:rsidRDefault="00384F9F">
      <w:pPr>
        <w:pStyle w:val="TOC2"/>
        <w:tabs>
          <w:tab w:val="left" w:pos="1134"/>
        </w:tabs>
        <w:rPr>
          <w:rFonts w:asciiTheme="minorHAnsi" w:eastAsiaTheme="minorEastAsia" w:hAnsiTheme="minorHAnsi" w:cstheme="minorBidi"/>
          <w:noProof/>
          <w:sz w:val="22"/>
          <w:szCs w:val="22"/>
          <w:lang w:eastAsia="en-NZ"/>
        </w:rPr>
      </w:pPr>
      <w:hyperlink w:anchor="_Toc89696188" w:history="1">
        <w:r w:rsidR="00FC194C" w:rsidRPr="00281E82">
          <w:rPr>
            <w:rStyle w:val="Hyperlink"/>
            <w:noProof/>
          </w:rPr>
          <w:t>1.4</w:t>
        </w:r>
        <w:r w:rsidR="00FC194C">
          <w:rPr>
            <w:rFonts w:asciiTheme="minorHAnsi" w:eastAsiaTheme="minorEastAsia" w:hAnsiTheme="minorHAnsi" w:cstheme="minorBidi"/>
            <w:noProof/>
            <w:sz w:val="22"/>
            <w:szCs w:val="22"/>
            <w:lang w:eastAsia="en-NZ"/>
          </w:rPr>
          <w:tab/>
        </w:r>
        <w:r w:rsidR="00FC194C" w:rsidRPr="00281E82">
          <w:rPr>
            <w:rStyle w:val="Hyperlink"/>
            <w:noProof/>
          </w:rPr>
          <w:t>Memorandum account</w:t>
        </w:r>
        <w:r w:rsidR="00FC194C">
          <w:rPr>
            <w:noProof/>
            <w:webHidden/>
          </w:rPr>
          <w:tab/>
        </w:r>
        <w:r w:rsidR="00FC194C">
          <w:rPr>
            <w:noProof/>
            <w:webHidden/>
          </w:rPr>
          <w:fldChar w:fldCharType="begin"/>
        </w:r>
        <w:r w:rsidR="00FC194C">
          <w:rPr>
            <w:noProof/>
            <w:webHidden/>
          </w:rPr>
          <w:instrText xml:space="preserve"> PAGEREF _Toc89696188 \h </w:instrText>
        </w:r>
        <w:r w:rsidR="00FC194C">
          <w:rPr>
            <w:noProof/>
            <w:webHidden/>
          </w:rPr>
        </w:r>
        <w:r w:rsidR="00FC194C">
          <w:rPr>
            <w:noProof/>
            <w:webHidden/>
          </w:rPr>
          <w:fldChar w:fldCharType="separate"/>
        </w:r>
        <w:r w:rsidR="003A5600">
          <w:rPr>
            <w:noProof/>
            <w:webHidden/>
          </w:rPr>
          <w:t>8</w:t>
        </w:r>
        <w:r w:rsidR="00FC194C">
          <w:rPr>
            <w:noProof/>
            <w:webHidden/>
          </w:rPr>
          <w:fldChar w:fldCharType="end"/>
        </w:r>
      </w:hyperlink>
    </w:p>
    <w:p w14:paraId="5FA18029" w14:textId="1A21D13B" w:rsidR="00FC194C" w:rsidRDefault="00384F9F">
      <w:pPr>
        <w:pStyle w:val="TOC2"/>
        <w:tabs>
          <w:tab w:val="left" w:pos="1134"/>
        </w:tabs>
        <w:rPr>
          <w:rFonts w:asciiTheme="minorHAnsi" w:eastAsiaTheme="minorEastAsia" w:hAnsiTheme="minorHAnsi" w:cstheme="minorBidi"/>
          <w:noProof/>
          <w:sz w:val="22"/>
          <w:szCs w:val="22"/>
          <w:lang w:eastAsia="en-NZ"/>
        </w:rPr>
      </w:pPr>
      <w:hyperlink w:anchor="_Toc89696189" w:history="1">
        <w:r w:rsidR="00FC194C" w:rsidRPr="00281E82">
          <w:rPr>
            <w:rStyle w:val="Hyperlink"/>
            <w:noProof/>
          </w:rPr>
          <w:t>1.5</w:t>
        </w:r>
        <w:r w:rsidR="00FC194C">
          <w:rPr>
            <w:rFonts w:asciiTheme="minorHAnsi" w:eastAsiaTheme="minorEastAsia" w:hAnsiTheme="minorHAnsi" w:cstheme="minorBidi"/>
            <w:noProof/>
            <w:sz w:val="22"/>
            <w:szCs w:val="22"/>
            <w:lang w:eastAsia="en-NZ"/>
          </w:rPr>
          <w:tab/>
        </w:r>
        <w:r w:rsidR="00FC194C" w:rsidRPr="00281E82">
          <w:rPr>
            <w:rStyle w:val="Hyperlink"/>
            <w:noProof/>
          </w:rPr>
          <w:t>Recoverable costs</w:t>
        </w:r>
        <w:r w:rsidR="00FC194C">
          <w:rPr>
            <w:noProof/>
            <w:webHidden/>
          </w:rPr>
          <w:tab/>
        </w:r>
        <w:r w:rsidR="00FC194C">
          <w:rPr>
            <w:noProof/>
            <w:webHidden/>
          </w:rPr>
          <w:fldChar w:fldCharType="begin"/>
        </w:r>
        <w:r w:rsidR="00FC194C">
          <w:rPr>
            <w:noProof/>
            <w:webHidden/>
          </w:rPr>
          <w:instrText xml:space="preserve"> PAGEREF _Toc89696189 \h </w:instrText>
        </w:r>
        <w:r w:rsidR="00FC194C">
          <w:rPr>
            <w:noProof/>
            <w:webHidden/>
          </w:rPr>
        </w:r>
        <w:r w:rsidR="00FC194C">
          <w:rPr>
            <w:noProof/>
            <w:webHidden/>
          </w:rPr>
          <w:fldChar w:fldCharType="separate"/>
        </w:r>
        <w:r w:rsidR="003A5600">
          <w:rPr>
            <w:noProof/>
            <w:webHidden/>
          </w:rPr>
          <w:t>10</w:t>
        </w:r>
        <w:r w:rsidR="00FC194C">
          <w:rPr>
            <w:noProof/>
            <w:webHidden/>
          </w:rPr>
          <w:fldChar w:fldCharType="end"/>
        </w:r>
      </w:hyperlink>
    </w:p>
    <w:p w14:paraId="51BE9822" w14:textId="1278135E" w:rsidR="00FC194C" w:rsidRDefault="00384F9F">
      <w:pPr>
        <w:pStyle w:val="TOC2"/>
        <w:tabs>
          <w:tab w:val="left" w:pos="1134"/>
        </w:tabs>
        <w:rPr>
          <w:rFonts w:asciiTheme="minorHAnsi" w:eastAsiaTheme="minorEastAsia" w:hAnsiTheme="minorHAnsi" w:cstheme="minorBidi"/>
          <w:noProof/>
          <w:sz w:val="22"/>
          <w:szCs w:val="22"/>
          <w:lang w:eastAsia="en-NZ"/>
        </w:rPr>
      </w:pPr>
      <w:hyperlink w:anchor="_Toc89696190" w:history="1">
        <w:r w:rsidR="00FC194C" w:rsidRPr="00281E82">
          <w:rPr>
            <w:rStyle w:val="Hyperlink"/>
            <w:noProof/>
          </w:rPr>
          <w:t>1.6</w:t>
        </w:r>
        <w:r w:rsidR="00FC194C">
          <w:rPr>
            <w:rFonts w:asciiTheme="minorHAnsi" w:eastAsiaTheme="minorEastAsia" w:hAnsiTheme="minorHAnsi" w:cstheme="minorBidi"/>
            <w:noProof/>
            <w:sz w:val="22"/>
            <w:szCs w:val="22"/>
            <w:lang w:eastAsia="en-NZ"/>
          </w:rPr>
          <w:tab/>
        </w:r>
        <w:r w:rsidR="00FC194C" w:rsidRPr="00281E82">
          <w:rPr>
            <w:rStyle w:val="Hyperlink"/>
            <w:noProof/>
          </w:rPr>
          <w:t>Cost recovery model</w:t>
        </w:r>
        <w:r w:rsidR="00FC194C">
          <w:rPr>
            <w:noProof/>
            <w:webHidden/>
          </w:rPr>
          <w:tab/>
        </w:r>
        <w:r w:rsidR="00FC194C">
          <w:rPr>
            <w:noProof/>
            <w:webHidden/>
          </w:rPr>
          <w:fldChar w:fldCharType="begin"/>
        </w:r>
        <w:r w:rsidR="00FC194C">
          <w:rPr>
            <w:noProof/>
            <w:webHidden/>
          </w:rPr>
          <w:instrText xml:space="preserve"> PAGEREF _Toc89696190 \h </w:instrText>
        </w:r>
        <w:r w:rsidR="00FC194C">
          <w:rPr>
            <w:noProof/>
            <w:webHidden/>
          </w:rPr>
        </w:r>
        <w:r w:rsidR="00FC194C">
          <w:rPr>
            <w:noProof/>
            <w:webHidden/>
          </w:rPr>
          <w:fldChar w:fldCharType="separate"/>
        </w:r>
        <w:r w:rsidR="003A5600">
          <w:rPr>
            <w:noProof/>
            <w:webHidden/>
          </w:rPr>
          <w:t>11</w:t>
        </w:r>
        <w:r w:rsidR="00FC194C">
          <w:rPr>
            <w:noProof/>
            <w:webHidden/>
          </w:rPr>
          <w:fldChar w:fldCharType="end"/>
        </w:r>
      </w:hyperlink>
    </w:p>
    <w:p w14:paraId="17DF3821" w14:textId="41BBB385" w:rsidR="00FC194C" w:rsidRDefault="00384F9F">
      <w:pPr>
        <w:pStyle w:val="TOC2"/>
        <w:tabs>
          <w:tab w:val="left" w:pos="1134"/>
        </w:tabs>
        <w:rPr>
          <w:rFonts w:asciiTheme="minorHAnsi" w:eastAsiaTheme="minorEastAsia" w:hAnsiTheme="minorHAnsi" w:cstheme="minorBidi"/>
          <w:noProof/>
          <w:sz w:val="22"/>
          <w:szCs w:val="22"/>
          <w:lang w:eastAsia="en-NZ"/>
        </w:rPr>
      </w:pPr>
      <w:hyperlink w:anchor="_Toc89696191" w:history="1">
        <w:r w:rsidR="00FC194C" w:rsidRPr="00281E82">
          <w:rPr>
            <w:rStyle w:val="Hyperlink"/>
            <w:noProof/>
          </w:rPr>
          <w:t>1.7</w:t>
        </w:r>
        <w:r w:rsidR="00FC194C">
          <w:rPr>
            <w:rFonts w:asciiTheme="minorHAnsi" w:eastAsiaTheme="minorEastAsia" w:hAnsiTheme="minorHAnsi" w:cstheme="minorBidi"/>
            <w:noProof/>
            <w:sz w:val="22"/>
            <w:szCs w:val="22"/>
            <w:lang w:eastAsia="en-NZ"/>
          </w:rPr>
          <w:tab/>
        </w:r>
        <w:r w:rsidR="00FC194C" w:rsidRPr="00281E82">
          <w:rPr>
            <w:rStyle w:val="Hyperlink"/>
            <w:noProof/>
          </w:rPr>
          <w:t>Distribution of fees</w:t>
        </w:r>
        <w:r w:rsidR="00FC194C">
          <w:rPr>
            <w:noProof/>
            <w:webHidden/>
          </w:rPr>
          <w:tab/>
        </w:r>
        <w:r w:rsidR="00FC194C">
          <w:rPr>
            <w:noProof/>
            <w:webHidden/>
          </w:rPr>
          <w:fldChar w:fldCharType="begin"/>
        </w:r>
        <w:r w:rsidR="00FC194C">
          <w:rPr>
            <w:noProof/>
            <w:webHidden/>
          </w:rPr>
          <w:instrText xml:space="preserve"> PAGEREF _Toc89696191 \h </w:instrText>
        </w:r>
        <w:r w:rsidR="00FC194C">
          <w:rPr>
            <w:noProof/>
            <w:webHidden/>
          </w:rPr>
        </w:r>
        <w:r w:rsidR="00FC194C">
          <w:rPr>
            <w:noProof/>
            <w:webHidden/>
          </w:rPr>
          <w:fldChar w:fldCharType="separate"/>
        </w:r>
        <w:r w:rsidR="003A5600">
          <w:rPr>
            <w:noProof/>
            <w:webHidden/>
          </w:rPr>
          <w:t>12</w:t>
        </w:r>
        <w:r w:rsidR="00FC194C">
          <w:rPr>
            <w:noProof/>
            <w:webHidden/>
          </w:rPr>
          <w:fldChar w:fldCharType="end"/>
        </w:r>
      </w:hyperlink>
    </w:p>
    <w:p w14:paraId="6979136A" w14:textId="10D8BBB5" w:rsidR="00FC194C" w:rsidRDefault="00384F9F">
      <w:pPr>
        <w:pStyle w:val="TOC1"/>
        <w:rPr>
          <w:rFonts w:asciiTheme="minorHAnsi" w:eastAsiaTheme="minorEastAsia" w:hAnsiTheme="minorHAnsi" w:cstheme="minorBidi"/>
          <w:noProof/>
          <w:sz w:val="22"/>
          <w:szCs w:val="22"/>
          <w:lang w:eastAsia="en-NZ"/>
        </w:rPr>
      </w:pPr>
      <w:hyperlink w:anchor="_Toc89696192" w:history="1">
        <w:r w:rsidR="00FC194C" w:rsidRPr="00281E82">
          <w:rPr>
            <w:rStyle w:val="Hyperlink"/>
            <w:noProof/>
          </w:rPr>
          <w:t>2</w:t>
        </w:r>
        <w:r w:rsidR="00FC194C">
          <w:rPr>
            <w:rFonts w:asciiTheme="minorHAnsi" w:eastAsiaTheme="minorEastAsia" w:hAnsiTheme="minorHAnsi" w:cstheme="minorBidi"/>
            <w:noProof/>
            <w:sz w:val="22"/>
            <w:szCs w:val="22"/>
            <w:lang w:eastAsia="en-NZ"/>
          </w:rPr>
          <w:tab/>
        </w:r>
        <w:r w:rsidR="00FC194C" w:rsidRPr="00281E82">
          <w:rPr>
            <w:rStyle w:val="Hyperlink"/>
            <w:noProof/>
          </w:rPr>
          <w:t>Proposed changes to fees structure</w:t>
        </w:r>
        <w:r w:rsidR="00FC194C">
          <w:rPr>
            <w:noProof/>
            <w:webHidden/>
          </w:rPr>
          <w:tab/>
        </w:r>
        <w:r w:rsidR="00FC194C">
          <w:rPr>
            <w:noProof/>
            <w:webHidden/>
          </w:rPr>
          <w:fldChar w:fldCharType="begin"/>
        </w:r>
        <w:r w:rsidR="00FC194C">
          <w:rPr>
            <w:noProof/>
            <w:webHidden/>
          </w:rPr>
          <w:instrText xml:space="preserve"> PAGEREF _Toc89696192 \h </w:instrText>
        </w:r>
        <w:r w:rsidR="00FC194C">
          <w:rPr>
            <w:noProof/>
            <w:webHidden/>
          </w:rPr>
        </w:r>
        <w:r w:rsidR="00FC194C">
          <w:rPr>
            <w:noProof/>
            <w:webHidden/>
          </w:rPr>
          <w:fldChar w:fldCharType="separate"/>
        </w:r>
        <w:r w:rsidR="003A5600">
          <w:rPr>
            <w:noProof/>
            <w:webHidden/>
          </w:rPr>
          <w:t>14</w:t>
        </w:r>
        <w:r w:rsidR="00FC194C">
          <w:rPr>
            <w:noProof/>
            <w:webHidden/>
          </w:rPr>
          <w:fldChar w:fldCharType="end"/>
        </w:r>
      </w:hyperlink>
    </w:p>
    <w:p w14:paraId="64EACA02" w14:textId="21B4B325" w:rsidR="00FC194C" w:rsidRDefault="00384F9F">
      <w:pPr>
        <w:pStyle w:val="TOC2"/>
        <w:tabs>
          <w:tab w:val="left" w:pos="1134"/>
        </w:tabs>
        <w:rPr>
          <w:rFonts w:asciiTheme="minorHAnsi" w:eastAsiaTheme="minorEastAsia" w:hAnsiTheme="minorHAnsi" w:cstheme="minorBidi"/>
          <w:noProof/>
          <w:sz w:val="22"/>
          <w:szCs w:val="22"/>
          <w:lang w:eastAsia="en-NZ"/>
        </w:rPr>
      </w:pPr>
      <w:hyperlink w:anchor="_Toc89696193" w:history="1">
        <w:r w:rsidR="00FC194C" w:rsidRPr="00281E82">
          <w:rPr>
            <w:rStyle w:val="Hyperlink"/>
            <w:noProof/>
          </w:rPr>
          <w:t>2.1</w:t>
        </w:r>
        <w:r w:rsidR="00FC194C">
          <w:rPr>
            <w:rFonts w:asciiTheme="minorHAnsi" w:eastAsiaTheme="minorEastAsia" w:hAnsiTheme="minorHAnsi" w:cstheme="minorBidi"/>
            <w:noProof/>
            <w:sz w:val="22"/>
            <w:szCs w:val="22"/>
            <w:lang w:eastAsia="en-NZ"/>
          </w:rPr>
          <w:tab/>
        </w:r>
        <w:r w:rsidR="00FC194C" w:rsidRPr="00281E82">
          <w:rPr>
            <w:rStyle w:val="Hyperlink"/>
            <w:noProof/>
          </w:rPr>
          <w:t>Different fees for licence renewals</w:t>
        </w:r>
        <w:r w:rsidR="00FC194C">
          <w:rPr>
            <w:noProof/>
            <w:webHidden/>
          </w:rPr>
          <w:tab/>
        </w:r>
        <w:r w:rsidR="00FC194C">
          <w:rPr>
            <w:noProof/>
            <w:webHidden/>
          </w:rPr>
          <w:fldChar w:fldCharType="begin"/>
        </w:r>
        <w:r w:rsidR="00FC194C">
          <w:rPr>
            <w:noProof/>
            <w:webHidden/>
          </w:rPr>
          <w:instrText xml:space="preserve"> PAGEREF _Toc89696193 \h </w:instrText>
        </w:r>
        <w:r w:rsidR="00FC194C">
          <w:rPr>
            <w:noProof/>
            <w:webHidden/>
          </w:rPr>
        </w:r>
        <w:r w:rsidR="00FC194C">
          <w:rPr>
            <w:noProof/>
            <w:webHidden/>
          </w:rPr>
          <w:fldChar w:fldCharType="separate"/>
        </w:r>
        <w:r w:rsidR="003A5600">
          <w:rPr>
            <w:noProof/>
            <w:webHidden/>
          </w:rPr>
          <w:t>14</w:t>
        </w:r>
        <w:r w:rsidR="00FC194C">
          <w:rPr>
            <w:noProof/>
            <w:webHidden/>
          </w:rPr>
          <w:fldChar w:fldCharType="end"/>
        </w:r>
      </w:hyperlink>
    </w:p>
    <w:p w14:paraId="1E549C46" w14:textId="13D2459D" w:rsidR="00FC194C" w:rsidRDefault="00384F9F">
      <w:pPr>
        <w:pStyle w:val="TOC2"/>
        <w:tabs>
          <w:tab w:val="left" w:pos="1134"/>
        </w:tabs>
        <w:rPr>
          <w:rFonts w:asciiTheme="minorHAnsi" w:eastAsiaTheme="minorEastAsia" w:hAnsiTheme="minorHAnsi" w:cstheme="minorBidi"/>
          <w:noProof/>
          <w:sz w:val="22"/>
          <w:szCs w:val="22"/>
          <w:lang w:eastAsia="en-NZ"/>
        </w:rPr>
      </w:pPr>
      <w:hyperlink w:anchor="_Toc89696194" w:history="1">
        <w:r w:rsidR="00FC194C" w:rsidRPr="00281E82">
          <w:rPr>
            <w:rStyle w:val="Hyperlink"/>
            <w:noProof/>
          </w:rPr>
          <w:t>2.2</w:t>
        </w:r>
        <w:r w:rsidR="00FC194C">
          <w:rPr>
            <w:rFonts w:asciiTheme="minorHAnsi" w:eastAsiaTheme="minorEastAsia" w:hAnsiTheme="minorHAnsi" w:cstheme="minorBidi"/>
            <w:noProof/>
            <w:sz w:val="22"/>
            <w:szCs w:val="22"/>
            <w:lang w:eastAsia="en-NZ"/>
          </w:rPr>
          <w:tab/>
        </w:r>
        <w:r w:rsidR="00FC194C" w:rsidRPr="00281E82">
          <w:rPr>
            <w:rStyle w:val="Hyperlink"/>
            <w:noProof/>
          </w:rPr>
          <w:t>Refunds</w:t>
        </w:r>
        <w:r w:rsidR="00FC194C">
          <w:rPr>
            <w:noProof/>
            <w:webHidden/>
          </w:rPr>
          <w:tab/>
        </w:r>
        <w:r w:rsidR="00FC194C">
          <w:rPr>
            <w:noProof/>
            <w:webHidden/>
          </w:rPr>
          <w:fldChar w:fldCharType="begin"/>
        </w:r>
        <w:r w:rsidR="00FC194C">
          <w:rPr>
            <w:noProof/>
            <w:webHidden/>
          </w:rPr>
          <w:instrText xml:space="preserve"> PAGEREF _Toc89696194 \h </w:instrText>
        </w:r>
        <w:r w:rsidR="00FC194C">
          <w:rPr>
            <w:noProof/>
            <w:webHidden/>
          </w:rPr>
        </w:r>
        <w:r w:rsidR="00FC194C">
          <w:rPr>
            <w:noProof/>
            <w:webHidden/>
          </w:rPr>
          <w:fldChar w:fldCharType="separate"/>
        </w:r>
        <w:r w:rsidR="003A5600">
          <w:rPr>
            <w:noProof/>
            <w:webHidden/>
          </w:rPr>
          <w:t>15</w:t>
        </w:r>
        <w:r w:rsidR="00FC194C">
          <w:rPr>
            <w:noProof/>
            <w:webHidden/>
          </w:rPr>
          <w:fldChar w:fldCharType="end"/>
        </w:r>
      </w:hyperlink>
    </w:p>
    <w:p w14:paraId="2EFBF256" w14:textId="2005B13B" w:rsidR="00FC194C" w:rsidRDefault="00384F9F">
      <w:pPr>
        <w:pStyle w:val="TOC2"/>
        <w:tabs>
          <w:tab w:val="left" w:pos="1134"/>
        </w:tabs>
        <w:rPr>
          <w:rFonts w:asciiTheme="minorHAnsi" w:eastAsiaTheme="minorEastAsia" w:hAnsiTheme="minorHAnsi" w:cstheme="minorBidi"/>
          <w:noProof/>
          <w:sz w:val="22"/>
          <w:szCs w:val="22"/>
          <w:lang w:eastAsia="en-NZ"/>
        </w:rPr>
      </w:pPr>
      <w:hyperlink w:anchor="_Toc89696195" w:history="1">
        <w:r w:rsidR="00FC194C" w:rsidRPr="00281E82">
          <w:rPr>
            <w:rStyle w:val="Hyperlink"/>
            <w:noProof/>
          </w:rPr>
          <w:t>2.3</w:t>
        </w:r>
        <w:r w:rsidR="00FC194C">
          <w:rPr>
            <w:rFonts w:asciiTheme="minorHAnsi" w:eastAsiaTheme="minorEastAsia" w:hAnsiTheme="minorHAnsi" w:cstheme="minorBidi"/>
            <w:noProof/>
            <w:sz w:val="22"/>
            <w:szCs w:val="22"/>
            <w:lang w:eastAsia="en-NZ"/>
          </w:rPr>
          <w:tab/>
        </w:r>
        <w:r w:rsidR="00FC194C" w:rsidRPr="00281E82">
          <w:rPr>
            <w:rStyle w:val="Hyperlink"/>
            <w:noProof/>
          </w:rPr>
          <w:t>Determining the source licence fee payable (compliance monitoring categories)</w:t>
        </w:r>
        <w:r w:rsidR="00FC194C">
          <w:rPr>
            <w:noProof/>
            <w:webHidden/>
          </w:rPr>
          <w:tab/>
        </w:r>
        <w:r w:rsidR="00FC194C">
          <w:rPr>
            <w:noProof/>
            <w:webHidden/>
          </w:rPr>
          <w:fldChar w:fldCharType="begin"/>
        </w:r>
        <w:r w:rsidR="00FC194C">
          <w:rPr>
            <w:noProof/>
            <w:webHidden/>
          </w:rPr>
          <w:instrText xml:space="preserve"> PAGEREF _Toc89696195 \h </w:instrText>
        </w:r>
        <w:r w:rsidR="00FC194C">
          <w:rPr>
            <w:noProof/>
            <w:webHidden/>
          </w:rPr>
        </w:r>
        <w:r w:rsidR="00FC194C">
          <w:rPr>
            <w:noProof/>
            <w:webHidden/>
          </w:rPr>
          <w:fldChar w:fldCharType="separate"/>
        </w:r>
        <w:r w:rsidR="003A5600">
          <w:rPr>
            <w:noProof/>
            <w:webHidden/>
          </w:rPr>
          <w:t>19</w:t>
        </w:r>
        <w:r w:rsidR="00FC194C">
          <w:rPr>
            <w:noProof/>
            <w:webHidden/>
          </w:rPr>
          <w:fldChar w:fldCharType="end"/>
        </w:r>
      </w:hyperlink>
    </w:p>
    <w:p w14:paraId="128C9CF8" w14:textId="0C618EC9" w:rsidR="00FC194C" w:rsidRDefault="00384F9F">
      <w:pPr>
        <w:pStyle w:val="TOC2"/>
        <w:tabs>
          <w:tab w:val="left" w:pos="1134"/>
        </w:tabs>
        <w:rPr>
          <w:rFonts w:asciiTheme="minorHAnsi" w:eastAsiaTheme="minorEastAsia" w:hAnsiTheme="minorHAnsi" w:cstheme="minorBidi"/>
          <w:noProof/>
          <w:sz w:val="22"/>
          <w:szCs w:val="22"/>
          <w:lang w:eastAsia="en-NZ"/>
        </w:rPr>
      </w:pPr>
      <w:hyperlink w:anchor="_Toc89696196" w:history="1">
        <w:r w:rsidR="00FC194C" w:rsidRPr="00281E82">
          <w:rPr>
            <w:rStyle w:val="Hyperlink"/>
            <w:noProof/>
          </w:rPr>
          <w:t>2.4</w:t>
        </w:r>
        <w:r w:rsidR="00FC194C">
          <w:rPr>
            <w:rFonts w:asciiTheme="minorHAnsi" w:eastAsiaTheme="minorEastAsia" w:hAnsiTheme="minorHAnsi" w:cstheme="minorBidi"/>
            <w:noProof/>
            <w:sz w:val="22"/>
            <w:szCs w:val="22"/>
            <w:lang w:eastAsia="en-NZ"/>
          </w:rPr>
          <w:tab/>
        </w:r>
        <w:r w:rsidR="00FC194C" w:rsidRPr="00281E82">
          <w:rPr>
            <w:rStyle w:val="Hyperlink"/>
            <w:noProof/>
          </w:rPr>
          <w:t>Determining the source licence fee payable (inspection periods)</w:t>
        </w:r>
        <w:r w:rsidR="00FC194C">
          <w:rPr>
            <w:noProof/>
            <w:webHidden/>
          </w:rPr>
          <w:tab/>
        </w:r>
        <w:r w:rsidR="00FC194C">
          <w:rPr>
            <w:noProof/>
            <w:webHidden/>
          </w:rPr>
          <w:fldChar w:fldCharType="begin"/>
        </w:r>
        <w:r w:rsidR="00FC194C">
          <w:rPr>
            <w:noProof/>
            <w:webHidden/>
          </w:rPr>
          <w:instrText xml:space="preserve"> PAGEREF _Toc89696196 \h </w:instrText>
        </w:r>
        <w:r w:rsidR="00FC194C">
          <w:rPr>
            <w:noProof/>
            <w:webHidden/>
          </w:rPr>
        </w:r>
        <w:r w:rsidR="00FC194C">
          <w:rPr>
            <w:noProof/>
            <w:webHidden/>
          </w:rPr>
          <w:fldChar w:fldCharType="separate"/>
        </w:r>
        <w:r w:rsidR="003A5600">
          <w:rPr>
            <w:noProof/>
            <w:webHidden/>
          </w:rPr>
          <w:t>23</w:t>
        </w:r>
        <w:r w:rsidR="00FC194C">
          <w:rPr>
            <w:noProof/>
            <w:webHidden/>
          </w:rPr>
          <w:fldChar w:fldCharType="end"/>
        </w:r>
      </w:hyperlink>
    </w:p>
    <w:p w14:paraId="376E93C3" w14:textId="04B3288A" w:rsidR="00FC194C" w:rsidRDefault="00384F9F">
      <w:pPr>
        <w:pStyle w:val="TOC1"/>
        <w:rPr>
          <w:rFonts w:asciiTheme="minorHAnsi" w:eastAsiaTheme="minorEastAsia" w:hAnsiTheme="minorHAnsi" w:cstheme="minorBidi"/>
          <w:noProof/>
          <w:sz w:val="22"/>
          <w:szCs w:val="22"/>
          <w:lang w:eastAsia="en-NZ"/>
        </w:rPr>
      </w:pPr>
      <w:hyperlink w:anchor="_Toc89696197" w:history="1">
        <w:r w:rsidR="00FC194C" w:rsidRPr="00281E82">
          <w:rPr>
            <w:rStyle w:val="Hyperlink"/>
            <w:noProof/>
          </w:rPr>
          <w:t>3</w:t>
        </w:r>
        <w:r w:rsidR="00FC194C">
          <w:rPr>
            <w:rFonts w:asciiTheme="minorHAnsi" w:eastAsiaTheme="minorEastAsia" w:hAnsiTheme="minorHAnsi" w:cstheme="minorBidi"/>
            <w:noProof/>
            <w:sz w:val="22"/>
            <w:szCs w:val="22"/>
            <w:lang w:eastAsia="en-NZ"/>
          </w:rPr>
          <w:tab/>
        </w:r>
        <w:r w:rsidR="00FC194C" w:rsidRPr="00281E82">
          <w:rPr>
            <w:rStyle w:val="Hyperlink"/>
            <w:noProof/>
          </w:rPr>
          <w:t>Proposed new fees</w:t>
        </w:r>
        <w:r w:rsidR="00FC194C">
          <w:rPr>
            <w:noProof/>
            <w:webHidden/>
          </w:rPr>
          <w:tab/>
        </w:r>
        <w:r w:rsidR="00FC194C">
          <w:rPr>
            <w:noProof/>
            <w:webHidden/>
          </w:rPr>
          <w:fldChar w:fldCharType="begin"/>
        </w:r>
        <w:r w:rsidR="00FC194C">
          <w:rPr>
            <w:noProof/>
            <w:webHidden/>
          </w:rPr>
          <w:instrText xml:space="preserve"> PAGEREF _Toc89696197 \h </w:instrText>
        </w:r>
        <w:r w:rsidR="00FC194C">
          <w:rPr>
            <w:noProof/>
            <w:webHidden/>
          </w:rPr>
        </w:r>
        <w:r w:rsidR="00FC194C">
          <w:rPr>
            <w:noProof/>
            <w:webHidden/>
          </w:rPr>
          <w:fldChar w:fldCharType="separate"/>
        </w:r>
        <w:r w:rsidR="003A5600">
          <w:rPr>
            <w:noProof/>
            <w:webHidden/>
          </w:rPr>
          <w:t>26</w:t>
        </w:r>
        <w:r w:rsidR="00FC194C">
          <w:rPr>
            <w:noProof/>
            <w:webHidden/>
          </w:rPr>
          <w:fldChar w:fldCharType="end"/>
        </w:r>
      </w:hyperlink>
    </w:p>
    <w:p w14:paraId="28276620" w14:textId="356A338A" w:rsidR="00FC194C" w:rsidRDefault="00384F9F">
      <w:pPr>
        <w:pStyle w:val="TOC2"/>
        <w:tabs>
          <w:tab w:val="left" w:pos="1134"/>
        </w:tabs>
        <w:rPr>
          <w:rFonts w:asciiTheme="minorHAnsi" w:eastAsiaTheme="minorEastAsia" w:hAnsiTheme="minorHAnsi" w:cstheme="minorBidi"/>
          <w:noProof/>
          <w:sz w:val="22"/>
          <w:szCs w:val="22"/>
          <w:lang w:eastAsia="en-NZ"/>
        </w:rPr>
      </w:pPr>
      <w:hyperlink w:anchor="_Toc89696198" w:history="1">
        <w:r w:rsidR="00FC194C" w:rsidRPr="00281E82">
          <w:rPr>
            <w:rStyle w:val="Hyperlink"/>
            <w:noProof/>
          </w:rPr>
          <w:t>3.1</w:t>
        </w:r>
        <w:r w:rsidR="00FC194C">
          <w:rPr>
            <w:rFonts w:asciiTheme="minorHAnsi" w:eastAsiaTheme="minorEastAsia" w:hAnsiTheme="minorHAnsi" w:cstheme="minorBidi"/>
            <w:noProof/>
            <w:sz w:val="22"/>
            <w:szCs w:val="22"/>
            <w:lang w:eastAsia="en-NZ"/>
          </w:rPr>
          <w:tab/>
        </w:r>
        <w:r w:rsidR="00FC194C" w:rsidRPr="00281E82">
          <w:rPr>
            <w:rStyle w:val="Hyperlink"/>
            <w:noProof/>
          </w:rPr>
          <w:t>Proposed new source licence fees</w:t>
        </w:r>
        <w:r w:rsidR="00FC194C">
          <w:rPr>
            <w:noProof/>
            <w:webHidden/>
          </w:rPr>
          <w:tab/>
        </w:r>
        <w:r w:rsidR="00FC194C">
          <w:rPr>
            <w:noProof/>
            <w:webHidden/>
          </w:rPr>
          <w:fldChar w:fldCharType="begin"/>
        </w:r>
        <w:r w:rsidR="00FC194C">
          <w:rPr>
            <w:noProof/>
            <w:webHidden/>
          </w:rPr>
          <w:instrText xml:space="preserve"> PAGEREF _Toc89696198 \h </w:instrText>
        </w:r>
        <w:r w:rsidR="00FC194C">
          <w:rPr>
            <w:noProof/>
            <w:webHidden/>
          </w:rPr>
        </w:r>
        <w:r w:rsidR="00FC194C">
          <w:rPr>
            <w:noProof/>
            <w:webHidden/>
          </w:rPr>
          <w:fldChar w:fldCharType="separate"/>
        </w:r>
        <w:r w:rsidR="003A5600">
          <w:rPr>
            <w:noProof/>
            <w:webHidden/>
          </w:rPr>
          <w:t>26</w:t>
        </w:r>
        <w:r w:rsidR="00FC194C">
          <w:rPr>
            <w:noProof/>
            <w:webHidden/>
          </w:rPr>
          <w:fldChar w:fldCharType="end"/>
        </w:r>
      </w:hyperlink>
    </w:p>
    <w:p w14:paraId="0A859BA4" w14:textId="52095F71" w:rsidR="00FC194C" w:rsidRDefault="00384F9F">
      <w:pPr>
        <w:pStyle w:val="TOC2"/>
        <w:tabs>
          <w:tab w:val="left" w:pos="1134"/>
        </w:tabs>
        <w:rPr>
          <w:rFonts w:asciiTheme="minorHAnsi" w:eastAsiaTheme="minorEastAsia" w:hAnsiTheme="minorHAnsi" w:cstheme="minorBidi"/>
          <w:noProof/>
          <w:sz w:val="22"/>
          <w:szCs w:val="22"/>
          <w:lang w:eastAsia="en-NZ"/>
        </w:rPr>
      </w:pPr>
      <w:hyperlink w:anchor="_Toc89696199" w:history="1">
        <w:r w:rsidR="00FC194C" w:rsidRPr="00281E82">
          <w:rPr>
            <w:rStyle w:val="Hyperlink"/>
            <w:noProof/>
          </w:rPr>
          <w:t>3.2</w:t>
        </w:r>
        <w:r w:rsidR="00FC194C">
          <w:rPr>
            <w:rFonts w:asciiTheme="minorHAnsi" w:eastAsiaTheme="minorEastAsia" w:hAnsiTheme="minorHAnsi" w:cstheme="minorBidi"/>
            <w:noProof/>
            <w:sz w:val="22"/>
            <w:szCs w:val="22"/>
            <w:lang w:eastAsia="en-NZ"/>
          </w:rPr>
          <w:tab/>
        </w:r>
        <w:r w:rsidR="00FC194C" w:rsidRPr="00281E82">
          <w:rPr>
            <w:rStyle w:val="Hyperlink"/>
            <w:noProof/>
          </w:rPr>
          <w:t>Proposed new use licence fees</w:t>
        </w:r>
        <w:r w:rsidR="00FC194C">
          <w:rPr>
            <w:noProof/>
            <w:webHidden/>
          </w:rPr>
          <w:tab/>
        </w:r>
        <w:r w:rsidR="00FC194C">
          <w:rPr>
            <w:noProof/>
            <w:webHidden/>
          </w:rPr>
          <w:fldChar w:fldCharType="begin"/>
        </w:r>
        <w:r w:rsidR="00FC194C">
          <w:rPr>
            <w:noProof/>
            <w:webHidden/>
          </w:rPr>
          <w:instrText xml:space="preserve"> PAGEREF _Toc89696199 \h </w:instrText>
        </w:r>
        <w:r w:rsidR="00FC194C">
          <w:rPr>
            <w:noProof/>
            <w:webHidden/>
          </w:rPr>
        </w:r>
        <w:r w:rsidR="00FC194C">
          <w:rPr>
            <w:noProof/>
            <w:webHidden/>
          </w:rPr>
          <w:fldChar w:fldCharType="separate"/>
        </w:r>
        <w:r w:rsidR="003A5600">
          <w:rPr>
            <w:noProof/>
            <w:webHidden/>
          </w:rPr>
          <w:t>29</w:t>
        </w:r>
        <w:r w:rsidR="00FC194C">
          <w:rPr>
            <w:noProof/>
            <w:webHidden/>
          </w:rPr>
          <w:fldChar w:fldCharType="end"/>
        </w:r>
      </w:hyperlink>
    </w:p>
    <w:p w14:paraId="42B09707" w14:textId="19E3D0D3" w:rsidR="00FC194C" w:rsidRDefault="00384F9F">
      <w:pPr>
        <w:pStyle w:val="TOC2"/>
        <w:tabs>
          <w:tab w:val="left" w:pos="1134"/>
        </w:tabs>
        <w:rPr>
          <w:rFonts w:asciiTheme="minorHAnsi" w:eastAsiaTheme="minorEastAsia" w:hAnsiTheme="minorHAnsi" w:cstheme="minorBidi"/>
          <w:noProof/>
          <w:sz w:val="22"/>
          <w:szCs w:val="22"/>
          <w:lang w:eastAsia="en-NZ"/>
        </w:rPr>
      </w:pPr>
      <w:hyperlink w:anchor="_Toc89696200" w:history="1">
        <w:r w:rsidR="00FC194C" w:rsidRPr="00281E82">
          <w:rPr>
            <w:rStyle w:val="Hyperlink"/>
            <w:noProof/>
          </w:rPr>
          <w:t>3.3</w:t>
        </w:r>
        <w:r w:rsidR="00FC194C">
          <w:rPr>
            <w:rFonts w:asciiTheme="minorHAnsi" w:eastAsiaTheme="minorEastAsia" w:hAnsiTheme="minorHAnsi" w:cstheme="minorBidi"/>
            <w:noProof/>
            <w:sz w:val="22"/>
            <w:szCs w:val="22"/>
            <w:lang w:eastAsia="en-NZ"/>
          </w:rPr>
          <w:tab/>
        </w:r>
        <w:r w:rsidR="00FC194C" w:rsidRPr="00281E82">
          <w:rPr>
            <w:rStyle w:val="Hyperlink"/>
            <w:noProof/>
          </w:rPr>
          <w:t>Proposed new consent fees</w:t>
        </w:r>
        <w:r w:rsidR="00FC194C">
          <w:rPr>
            <w:noProof/>
            <w:webHidden/>
          </w:rPr>
          <w:tab/>
        </w:r>
        <w:r w:rsidR="00FC194C">
          <w:rPr>
            <w:noProof/>
            <w:webHidden/>
          </w:rPr>
          <w:fldChar w:fldCharType="begin"/>
        </w:r>
        <w:r w:rsidR="00FC194C">
          <w:rPr>
            <w:noProof/>
            <w:webHidden/>
          </w:rPr>
          <w:instrText xml:space="preserve"> PAGEREF _Toc89696200 \h </w:instrText>
        </w:r>
        <w:r w:rsidR="00FC194C">
          <w:rPr>
            <w:noProof/>
            <w:webHidden/>
          </w:rPr>
        </w:r>
        <w:r w:rsidR="00FC194C">
          <w:rPr>
            <w:noProof/>
            <w:webHidden/>
          </w:rPr>
          <w:fldChar w:fldCharType="separate"/>
        </w:r>
        <w:r w:rsidR="003A5600">
          <w:rPr>
            <w:noProof/>
            <w:webHidden/>
          </w:rPr>
          <w:t>30</w:t>
        </w:r>
        <w:r w:rsidR="00FC194C">
          <w:rPr>
            <w:noProof/>
            <w:webHidden/>
          </w:rPr>
          <w:fldChar w:fldCharType="end"/>
        </w:r>
      </w:hyperlink>
    </w:p>
    <w:p w14:paraId="0B9EC714" w14:textId="45DF39F7" w:rsidR="00FC194C" w:rsidRDefault="00384F9F">
      <w:pPr>
        <w:pStyle w:val="TOC1"/>
        <w:rPr>
          <w:rFonts w:asciiTheme="minorHAnsi" w:eastAsiaTheme="minorEastAsia" w:hAnsiTheme="minorHAnsi" w:cstheme="minorBidi"/>
          <w:noProof/>
          <w:sz w:val="22"/>
          <w:szCs w:val="22"/>
          <w:lang w:eastAsia="en-NZ"/>
        </w:rPr>
      </w:pPr>
      <w:hyperlink w:anchor="_Toc89696201" w:history="1">
        <w:r w:rsidR="00FC194C" w:rsidRPr="00281E82">
          <w:rPr>
            <w:rStyle w:val="Hyperlink"/>
            <w:noProof/>
          </w:rPr>
          <w:t>4</w:t>
        </w:r>
        <w:r w:rsidR="00FC194C">
          <w:rPr>
            <w:rFonts w:asciiTheme="minorHAnsi" w:eastAsiaTheme="minorEastAsia" w:hAnsiTheme="minorHAnsi" w:cstheme="minorBidi"/>
            <w:noProof/>
            <w:sz w:val="22"/>
            <w:szCs w:val="22"/>
            <w:lang w:eastAsia="en-NZ"/>
          </w:rPr>
          <w:tab/>
        </w:r>
        <w:r w:rsidR="00FC194C" w:rsidRPr="00281E82">
          <w:rPr>
            <w:rStyle w:val="Hyperlink"/>
            <w:noProof/>
          </w:rPr>
          <w:t>Amendments to existing exemptions, prohibitions and restrictions</w:t>
        </w:r>
        <w:r w:rsidR="00FC194C">
          <w:rPr>
            <w:noProof/>
            <w:webHidden/>
          </w:rPr>
          <w:tab/>
        </w:r>
        <w:r w:rsidR="00FC194C">
          <w:rPr>
            <w:noProof/>
            <w:webHidden/>
          </w:rPr>
          <w:fldChar w:fldCharType="begin"/>
        </w:r>
        <w:r w:rsidR="00FC194C">
          <w:rPr>
            <w:noProof/>
            <w:webHidden/>
          </w:rPr>
          <w:instrText xml:space="preserve"> PAGEREF _Toc89696201 \h </w:instrText>
        </w:r>
        <w:r w:rsidR="00FC194C">
          <w:rPr>
            <w:noProof/>
            <w:webHidden/>
          </w:rPr>
        </w:r>
        <w:r w:rsidR="00FC194C">
          <w:rPr>
            <w:noProof/>
            <w:webHidden/>
          </w:rPr>
          <w:fldChar w:fldCharType="separate"/>
        </w:r>
        <w:r w:rsidR="003A5600">
          <w:rPr>
            <w:noProof/>
            <w:webHidden/>
          </w:rPr>
          <w:t>32</w:t>
        </w:r>
        <w:r w:rsidR="00FC194C">
          <w:rPr>
            <w:noProof/>
            <w:webHidden/>
          </w:rPr>
          <w:fldChar w:fldCharType="end"/>
        </w:r>
      </w:hyperlink>
    </w:p>
    <w:p w14:paraId="65481471" w14:textId="155AE636" w:rsidR="00FC194C" w:rsidRDefault="00384F9F">
      <w:pPr>
        <w:pStyle w:val="TOC2"/>
        <w:tabs>
          <w:tab w:val="left" w:pos="1134"/>
        </w:tabs>
        <w:rPr>
          <w:rFonts w:asciiTheme="minorHAnsi" w:eastAsiaTheme="minorEastAsia" w:hAnsiTheme="minorHAnsi" w:cstheme="minorBidi"/>
          <w:noProof/>
          <w:sz w:val="22"/>
          <w:szCs w:val="22"/>
          <w:lang w:eastAsia="en-NZ"/>
        </w:rPr>
      </w:pPr>
      <w:hyperlink w:anchor="_Toc89696202" w:history="1">
        <w:r w:rsidR="00FC194C" w:rsidRPr="00281E82">
          <w:rPr>
            <w:rStyle w:val="Hyperlink"/>
            <w:noProof/>
          </w:rPr>
          <w:t>4.1</w:t>
        </w:r>
        <w:r w:rsidR="00FC194C">
          <w:rPr>
            <w:rFonts w:asciiTheme="minorHAnsi" w:eastAsiaTheme="minorEastAsia" w:hAnsiTheme="minorHAnsi" w:cstheme="minorBidi"/>
            <w:noProof/>
            <w:sz w:val="22"/>
            <w:szCs w:val="22"/>
            <w:lang w:eastAsia="en-NZ"/>
          </w:rPr>
          <w:tab/>
        </w:r>
        <w:r w:rsidR="00FC194C" w:rsidRPr="00281E82">
          <w:rPr>
            <w:rStyle w:val="Hyperlink"/>
            <w:noProof/>
          </w:rPr>
          <w:t>Exemption for dealing with irradiating apparatuses used for X-ray fluorescence and X-ray diffraction likely to result in very low effective doses</w:t>
        </w:r>
        <w:r w:rsidR="00FC194C">
          <w:rPr>
            <w:noProof/>
            <w:webHidden/>
          </w:rPr>
          <w:tab/>
        </w:r>
        <w:r w:rsidR="00FC194C">
          <w:rPr>
            <w:noProof/>
            <w:webHidden/>
          </w:rPr>
          <w:fldChar w:fldCharType="begin"/>
        </w:r>
        <w:r w:rsidR="00FC194C">
          <w:rPr>
            <w:noProof/>
            <w:webHidden/>
          </w:rPr>
          <w:instrText xml:space="preserve"> PAGEREF _Toc89696202 \h </w:instrText>
        </w:r>
        <w:r w:rsidR="00FC194C">
          <w:rPr>
            <w:noProof/>
            <w:webHidden/>
          </w:rPr>
        </w:r>
        <w:r w:rsidR="00FC194C">
          <w:rPr>
            <w:noProof/>
            <w:webHidden/>
          </w:rPr>
          <w:fldChar w:fldCharType="separate"/>
        </w:r>
        <w:r w:rsidR="003A5600">
          <w:rPr>
            <w:noProof/>
            <w:webHidden/>
          </w:rPr>
          <w:t>32</w:t>
        </w:r>
        <w:r w:rsidR="00FC194C">
          <w:rPr>
            <w:noProof/>
            <w:webHidden/>
          </w:rPr>
          <w:fldChar w:fldCharType="end"/>
        </w:r>
      </w:hyperlink>
    </w:p>
    <w:p w14:paraId="19452C83" w14:textId="03A1ABBD" w:rsidR="00FC194C" w:rsidRDefault="00384F9F">
      <w:pPr>
        <w:pStyle w:val="TOC2"/>
        <w:tabs>
          <w:tab w:val="left" w:pos="1134"/>
        </w:tabs>
        <w:rPr>
          <w:rFonts w:asciiTheme="minorHAnsi" w:eastAsiaTheme="minorEastAsia" w:hAnsiTheme="minorHAnsi" w:cstheme="minorBidi"/>
          <w:noProof/>
          <w:sz w:val="22"/>
          <w:szCs w:val="22"/>
          <w:lang w:eastAsia="en-NZ"/>
        </w:rPr>
      </w:pPr>
      <w:hyperlink w:anchor="_Toc89696203" w:history="1">
        <w:r w:rsidR="00FC194C" w:rsidRPr="00281E82">
          <w:rPr>
            <w:rStyle w:val="Hyperlink"/>
            <w:noProof/>
          </w:rPr>
          <w:t>4.2</w:t>
        </w:r>
        <w:r w:rsidR="00FC194C">
          <w:rPr>
            <w:rFonts w:asciiTheme="minorHAnsi" w:eastAsiaTheme="minorEastAsia" w:hAnsiTheme="minorHAnsi" w:cstheme="minorBidi"/>
            <w:noProof/>
            <w:sz w:val="22"/>
            <w:szCs w:val="22"/>
            <w:lang w:eastAsia="en-NZ"/>
          </w:rPr>
          <w:tab/>
        </w:r>
        <w:r w:rsidR="00FC194C" w:rsidRPr="00281E82">
          <w:rPr>
            <w:rStyle w:val="Hyperlink"/>
            <w:noProof/>
          </w:rPr>
          <w:t>Proposed changes to veterinarian exemption and Medical Imaging Technologists exemption under schedule 3</w:t>
        </w:r>
        <w:r w:rsidR="00FC194C">
          <w:rPr>
            <w:noProof/>
            <w:webHidden/>
          </w:rPr>
          <w:tab/>
        </w:r>
        <w:r w:rsidR="00FC194C">
          <w:rPr>
            <w:noProof/>
            <w:webHidden/>
          </w:rPr>
          <w:fldChar w:fldCharType="begin"/>
        </w:r>
        <w:r w:rsidR="00FC194C">
          <w:rPr>
            <w:noProof/>
            <w:webHidden/>
          </w:rPr>
          <w:instrText xml:space="preserve"> PAGEREF _Toc89696203 \h </w:instrText>
        </w:r>
        <w:r w:rsidR="00FC194C">
          <w:rPr>
            <w:noProof/>
            <w:webHidden/>
          </w:rPr>
        </w:r>
        <w:r w:rsidR="00FC194C">
          <w:rPr>
            <w:noProof/>
            <w:webHidden/>
          </w:rPr>
          <w:fldChar w:fldCharType="separate"/>
        </w:r>
        <w:r w:rsidR="003A5600">
          <w:rPr>
            <w:noProof/>
            <w:webHidden/>
          </w:rPr>
          <w:t>34</w:t>
        </w:r>
        <w:r w:rsidR="00FC194C">
          <w:rPr>
            <w:noProof/>
            <w:webHidden/>
          </w:rPr>
          <w:fldChar w:fldCharType="end"/>
        </w:r>
      </w:hyperlink>
    </w:p>
    <w:p w14:paraId="0DC961EE" w14:textId="581757E3" w:rsidR="00FC194C" w:rsidRDefault="00384F9F">
      <w:pPr>
        <w:pStyle w:val="TOC1"/>
        <w:rPr>
          <w:rFonts w:asciiTheme="minorHAnsi" w:eastAsiaTheme="minorEastAsia" w:hAnsiTheme="minorHAnsi" w:cstheme="minorBidi"/>
          <w:noProof/>
          <w:sz w:val="22"/>
          <w:szCs w:val="22"/>
          <w:lang w:eastAsia="en-NZ"/>
        </w:rPr>
      </w:pPr>
      <w:hyperlink w:anchor="_Toc89696204" w:history="1">
        <w:r w:rsidR="00FC194C" w:rsidRPr="00281E82">
          <w:rPr>
            <w:rStyle w:val="Hyperlink"/>
            <w:noProof/>
          </w:rPr>
          <w:t>5</w:t>
        </w:r>
        <w:r w:rsidR="00FC194C">
          <w:rPr>
            <w:rFonts w:asciiTheme="minorHAnsi" w:eastAsiaTheme="minorEastAsia" w:hAnsiTheme="minorHAnsi" w:cstheme="minorBidi"/>
            <w:noProof/>
            <w:sz w:val="22"/>
            <w:szCs w:val="22"/>
            <w:lang w:eastAsia="en-NZ"/>
          </w:rPr>
          <w:tab/>
        </w:r>
        <w:r w:rsidR="00FC194C" w:rsidRPr="00281E82">
          <w:rPr>
            <w:rStyle w:val="Hyperlink"/>
            <w:noProof/>
          </w:rPr>
          <w:t>Other matters that can be dealt with under the Regulations</w:t>
        </w:r>
        <w:r w:rsidR="00FC194C">
          <w:rPr>
            <w:noProof/>
            <w:webHidden/>
          </w:rPr>
          <w:tab/>
        </w:r>
        <w:r w:rsidR="00FC194C">
          <w:rPr>
            <w:noProof/>
            <w:webHidden/>
          </w:rPr>
          <w:fldChar w:fldCharType="begin"/>
        </w:r>
        <w:r w:rsidR="00FC194C">
          <w:rPr>
            <w:noProof/>
            <w:webHidden/>
          </w:rPr>
          <w:instrText xml:space="preserve"> PAGEREF _Toc89696204 \h </w:instrText>
        </w:r>
        <w:r w:rsidR="00FC194C">
          <w:rPr>
            <w:noProof/>
            <w:webHidden/>
          </w:rPr>
        </w:r>
        <w:r w:rsidR="00FC194C">
          <w:rPr>
            <w:noProof/>
            <w:webHidden/>
          </w:rPr>
          <w:fldChar w:fldCharType="separate"/>
        </w:r>
        <w:r w:rsidR="003A5600">
          <w:rPr>
            <w:noProof/>
            <w:webHidden/>
          </w:rPr>
          <w:t>36</w:t>
        </w:r>
        <w:r w:rsidR="00FC194C">
          <w:rPr>
            <w:noProof/>
            <w:webHidden/>
          </w:rPr>
          <w:fldChar w:fldCharType="end"/>
        </w:r>
      </w:hyperlink>
    </w:p>
    <w:p w14:paraId="01BE8DC1" w14:textId="4289CA01" w:rsidR="00FC194C" w:rsidRDefault="00384F9F">
      <w:pPr>
        <w:pStyle w:val="TOC1"/>
        <w:rPr>
          <w:rFonts w:asciiTheme="minorHAnsi" w:eastAsiaTheme="minorEastAsia" w:hAnsiTheme="minorHAnsi" w:cstheme="minorBidi"/>
          <w:noProof/>
          <w:sz w:val="22"/>
          <w:szCs w:val="22"/>
          <w:lang w:eastAsia="en-NZ"/>
        </w:rPr>
      </w:pPr>
      <w:hyperlink w:anchor="_Toc89696205" w:history="1">
        <w:r w:rsidR="00FC194C" w:rsidRPr="00281E82">
          <w:rPr>
            <w:rStyle w:val="Hyperlink"/>
            <w:noProof/>
          </w:rPr>
          <w:t>Appendices</w:t>
        </w:r>
        <w:r w:rsidR="00FC194C">
          <w:rPr>
            <w:noProof/>
            <w:webHidden/>
          </w:rPr>
          <w:tab/>
        </w:r>
        <w:r w:rsidR="00FC194C">
          <w:rPr>
            <w:noProof/>
            <w:webHidden/>
          </w:rPr>
          <w:fldChar w:fldCharType="begin"/>
        </w:r>
        <w:r w:rsidR="00FC194C">
          <w:rPr>
            <w:noProof/>
            <w:webHidden/>
          </w:rPr>
          <w:instrText xml:space="preserve"> PAGEREF _Toc89696205 \h </w:instrText>
        </w:r>
        <w:r w:rsidR="00FC194C">
          <w:rPr>
            <w:noProof/>
            <w:webHidden/>
          </w:rPr>
        </w:r>
        <w:r w:rsidR="00FC194C">
          <w:rPr>
            <w:noProof/>
            <w:webHidden/>
          </w:rPr>
          <w:fldChar w:fldCharType="separate"/>
        </w:r>
        <w:r w:rsidR="003A5600">
          <w:rPr>
            <w:noProof/>
            <w:webHidden/>
          </w:rPr>
          <w:t>37</w:t>
        </w:r>
        <w:r w:rsidR="00FC194C">
          <w:rPr>
            <w:noProof/>
            <w:webHidden/>
          </w:rPr>
          <w:fldChar w:fldCharType="end"/>
        </w:r>
      </w:hyperlink>
    </w:p>
    <w:p w14:paraId="0650D1A0" w14:textId="08DA90B1" w:rsidR="00FC194C" w:rsidRDefault="00384F9F">
      <w:pPr>
        <w:pStyle w:val="TOC2"/>
        <w:rPr>
          <w:rFonts w:asciiTheme="minorHAnsi" w:eastAsiaTheme="minorEastAsia" w:hAnsiTheme="minorHAnsi" w:cstheme="minorBidi"/>
          <w:noProof/>
          <w:sz w:val="22"/>
          <w:szCs w:val="22"/>
          <w:lang w:eastAsia="en-NZ"/>
        </w:rPr>
      </w:pPr>
      <w:hyperlink w:anchor="_Toc89696206" w:history="1">
        <w:r w:rsidR="00FC194C" w:rsidRPr="00281E82">
          <w:rPr>
            <w:rStyle w:val="Hyperlink"/>
            <w:noProof/>
          </w:rPr>
          <w:t xml:space="preserve">Appendix 1: </w:t>
        </w:r>
        <w:r w:rsidR="00FC194C" w:rsidRPr="00281E82">
          <w:rPr>
            <w:rStyle w:val="Hyperlink"/>
            <w:noProof/>
            <w:lang w:eastAsia="en-NZ"/>
          </w:rPr>
          <w:t>Proposed new annual radiation safety fees compared with current fees</w:t>
        </w:r>
        <w:r w:rsidR="00FC194C">
          <w:rPr>
            <w:noProof/>
            <w:webHidden/>
          </w:rPr>
          <w:tab/>
        </w:r>
        <w:r w:rsidR="00FC194C">
          <w:rPr>
            <w:noProof/>
            <w:webHidden/>
          </w:rPr>
          <w:fldChar w:fldCharType="begin"/>
        </w:r>
        <w:r w:rsidR="00FC194C">
          <w:rPr>
            <w:noProof/>
            <w:webHidden/>
          </w:rPr>
          <w:instrText xml:space="preserve"> PAGEREF _Toc89696206 \h </w:instrText>
        </w:r>
        <w:r w:rsidR="00FC194C">
          <w:rPr>
            <w:noProof/>
            <w:webHidden/>
          </w:rPr>
        </w:r>
        <w:r w:rsidR="00FC194C">
          <w:rPr>
            <w:noProof/>
            <w:webHidden/>
          </w:rPr>
          <w:fldChar w:fldCharType="separate"/>
        </w:r>
        <w:r w:rsidR="003A5600">
          <w:rPr>
            <w:noProof/>
            <w:webHidden/>
          </w:rPr>
          <w:t>37</w:t>
        </w:r>
        <w:r w:rsidR="00FC194C">
          <w:rPr>
            <w:noProof/>
            <w:webHidden/>
          </w:rPr>
          <w:fldChar w:fldCharType="end"/>
        </w:r>
      </w:hyperlink>
    </w:p>
    <w:p w14:paraId="6586968E" w14:textId="08FF7DA9" w:rsidR="00FC194C" w:rsidRDefault="00384F9F">
      <w:pPr>
        <w:pStyle w:val="TOC2"/>
        <w:rPr>
          <w:rFonts w:asciiTheme="minorHAnsi" w:eastAsiaTheme="minorEastAsia" w:hAnsiTheme="minorHAnsi" w:cstheme="minorBidi"/>
          <w:noProof/>
          <w:sz w:val="22"/>
          <w:szCs w:val="22"/>
          <w:lang w:eastAsia="en-NZ"/>
        </w:rPr>
      </w:pPr>
      <w:hyperlink w:anchor="_Toc89696207" w:history="1">
        <w:r w:rsidR="00FC194C" w:rsidRPr="00281E82">
          <w:rPr>
            <w:rStyle w:val="Hyperlink"/>
            <w:noProof/>
          </w:rPr>
          <w:t>Appendix 2: Radiation licencing fees comparison, New Zealand–Australia</w:t>
        </w:r>
        <w:r w:rsidR="00FC194C">
          <w:rPr>
            <w:noProof/>
            <w:webHidden/>
          </w:rPr>
          <w:tab/>
        </w:r>
        <w:r w:rsidR="00FC194C">
          <w:rPr>
            <w:noProof/>
            <w:webHidden/>
          </w:rPr>
          <w:fldChar w:fldCharType="begin"/>
        </w:r>
        <w:r w:rsidR="00FC194C">
          <w:rPr>
            <w:noProof/>
            <w:webHidden/>
          </w:rPr>
          <w:instrText xml:space="preserve"> PAGEREF _Toc89696207 \h </w:instrText>
        </w:r>
        <w:r w:rsidR="00FC194C">
          <w:rPr>
            <w:noProof/>
            <w:webHidden/>
          </w:rPr>
        </w:r>
        <w:r w:rsidR="00FC194C">
          <w:rPr>
            <w:noProof/>
            <w:webHidden/>
          </w:rPr>
          <w:fldChar w:fldCharType="separate"/>
        </w:r>
        <w:r w:rsidR="003A5600">
          <w:rPr>
            <w:noProof/>
            <w:webHidden/>
          </w:rPr>
          <w:t>39</w:t>
        </w:r>
        <w:r w:rsidR="00FC194C">
          <w:rPr>
            <w:noProof/>
            <w:webHidden/>
          </w:rPr>
          <w:fldChar w:fldCharType="end"/>
        </w:r>
      </w:hyperlink>
    </w:p>
    <w:p w14:paraId="1A43399E" w14:textId="774AB597" w:rsidR="00C86248" w:rsidRDefault="00FC194C">
      <w:r>
        <w:rPr>
          <w:rFonts w:ascii="Segoe UI Semibold" w:hAnsi="Segoe UI Semibold"/>
          <w:b/>
          <w:sz w:val="24"/>
        </w:rPr>
        <w:fldChar w:fldCharType="end"/>
      </w:r>
    </w:p>
    <w:p w14:paraId="200614D4" w14:textId="77777777" w:rsidR="002B76A7" w:rsidRDefault="002B76A7" w:rsidP="002B76A7">
      <w:pPr>
        <w:pStyle w:val="TOC1"/>
        <w:keepNext/>
      </w:pPr>
      <w:r>
        <w:t>List of Tables</w:t>
      </w:r>
    </w:p>
    <w:p w14:paraId="57B76A9C" w14:textId="0955F6C8" w:rsidR="00AF4ACD" w:rsidRDefault="002B76A7">
      <w:pPr>
        <w:pStyle w:val="TOC3"/>
        <w:rPr>
          <w:rFonts w:asciiTheme="minorHAnsi" w:eastAsiaTheme="minorEastAsia" w:hAnsiTheme="minorHAnsi" w:cstheme="minorBidi"/>
          <w:noProof/>
          <w:sz w:val="22"/>
          <w:szCs w:val="22"/>
          <w:lang w:eastAsia="en-NZ"/>
        </w:rPr>
      </w:pPr>
      <w:r>
        <w:rPr>
          <w:sz w:val="20"/>
        </w:rPr>
        <w:fldChar w:fldCharType="begin"/>
      </w:r>
      <w:r>
        <w:instrText xml:space="preserve"> TOC \t "Table,3" </w:instrText>
      </w:r>
      <w:r>
        <w:rPr>
          <w:sz w:val="20"/>
        </w:rPr>
        <w:fldChar w:fldCharType="separate"/>
      </w:r>
      <w:r w:rsidR="00AF4ACD">
        <w:rPr>
          <w:noProof/>
        </w:rPr>
        <w:t>Table 1:</w:t>
      </w:r>
      <w:r w:rsidR="00AF4ACD">
        <w:rPr>
          <w:noProof/>
        </w:rPr>
        <w:tab/>
        <w:t>Definitions of technical and scientific terms used in this consultation document</w:t>
      </w:r>
      <w:r w:rsidR="00AF4ACD">
        <w:rPr>
          <w:noProof/>
        </w:rPr>
        <w:tab/>
      </w:r>
      <w:r w:rsidR="00AF4ACD">
        <w:rPr>
          <w:noProof/>
        </w:rPr>
        <w:fldChar w:fldCharType="begin"/>
      </w:r>
      <w:r w:rsidR="00AF4ACD">
        <w:rPr>
          <w:noProof/>
        </w:rPr>
        <w:instrText xml:space="preserve"> PAGEREF _Toc88644149 \h </w:instrText>
      </w:r>
      <w:r w:rsidR="00AF4ACD">
        <w:rPr>
          <w:noProof/>
        </w:rPr>
      </w:r>
      <w:r w:rsidR="00AF4ACD">
        <w:rPr>
          <w:noProof/>
        </w:rPr>
        <w:fldChar w:fldCharType="separate"/>
      </w:r>
      <w:r w:rsidR="003A5600">
        <w:rPr>
          <w:noProof/>
        </w:rPr>
        <w:t>5</w:t>
      </w:r>
      <w:r w:rsidR="00AF4ACD">
        <w:rPr>
          <w:noProof/>
        </w:rPr>
        <w:fldChar w:fldCharType="end"/>
      </w:r>
    </w:p>
    <w:p w14:paraId="3281BD69" w14:textId="25503F5A" w:rsidR="00AF4ACD" w:rsidRDefault="00AF4ACD">
      <w:pPr>
        <w:pStyle w:val="TOC3"/>
        <w:rPr>
          <w:rFonts w:asciiTheme="minorHAnsi" w:eastAsiaTheme="minorEastAsia" w:hAnsiTheme="minorHAnsi" w:cstheme="minorBidi"/>
          <w:noProof/>
          <w:sz w:val="22"/>
          <w:szCs w:val="22"/>
          <w:lang w:eastAsia="en-NZ"/>
        </w:rPr>
      </w:pPr>
      <w:r>
        <w:rPr>
          <w:noProof/>
        </w:rPr>
        <w:t>Table 2:</w:t>
      </w:r>
      <w:r>
        <w:rPr>
          <w:noProof/>
        </w:rPr>
        <w:tab/>
        <w:t>Annual costs of regulating radiation safety: 2017 compared with projected costs from 2022</w:t>
      </w:r>
      <w:r>
        <w:rPr>
          <w:noProof/>
        </w:rPr>
        <w:tab/>
      </w:r>
      <w:r>
        <w:rPr>
          <w:noProof/>
        </w:rPr>
        <w:fldChar w:fldCharType="begin"/>
      </w:r>
      <w:r>
        <w:rPr>
          <w:noProof/>
        </w:rPr>
        <w:instrText xml:space="preserve"> PAGEREF _Toc88644150 \h </w:instrText>
      </w:r>
      <w:r>
        <w:rPr>
          <w:noProof/>
        </w:rPr>
      </w:r>
      <w:r>
        <w:rPr>
          <w:noProof/>
        </w:rPr>
        <w:fldChar w:fldCharType="separate"/>
      </w:r>
      <w:r w:rsidR="003A5600">
        <w:rPr>
          <w:noProof/>
        </w:rPr>
        <w:t>7</w:t>
      </w:r>
      <w:r>
        <w:rPr>
          <w:noProof/>
        </w:rPr>
        <w:fldChar w:fldCharType="end"/>
      </w:r>
    </w:p>
    <w:p w14:paraId="364C3DB6" w14:textId="64E1B222" w:rsidR="00AF4ACD" w:rsidRDefault="00AF4ACD">
      <w:pPr>
        <w:pStyle w:val="TOC3"/>
        <w:rPr>
          <w:rFonts w:asciiTheme="minorHAnsi" w:eastAsiaTheme="minorEastAsia" w:hAnsiTheme="minorHAnsi" w:cstheme="minorBidi"/>
          <w:noProof/>
          <w:sz w:val="22"/>
          <w:szCs w:val="22"/>
          <w:lang w:eastAsia="en-NZ"/>
        </w:rPr>
      </w:pPr>
      <w:r>
        <w:rPr>
          <w:noProof/>
        </w:rPr>
        <w:t>Table 3:</w:t>
      </w:r>
      <w:r>
        <w:rPr>
          <w:noProof/>
        </w:rPr>
        <w:tab/>
        <w:t>Comparison of actual authorisations granted with projected authorisations</w:t>
      </w:r>
      <w:r>
        <w:rPr>
          <w:noProof/>
        </w:rPr>
        <w:tab/>
      </w:r>
      <w:r>
        <w:rPr>
          <w:noProof/>
        </w:rPr>
        <w:fldChar w:fldCharType="begin"/>
      </w:r>
      <w:r>
        <w:rPr>
          <w:noProof/>
        </w:rPr>
        <w:instrText xml:space="preserve"> PAGEREF _Toc88644151 \h </w:instrText>
      </w:r>
      <w:r>
        <w:rPr>
          <w:noProof/>
        </w:rPr>
      </w:r>
      <w:r>
        <w:rPr>
          <w:noProof/>
        </w:rPr>
        <w:fldChar w:fldCharType="separate"/>
      </w:r>
      <w:r w:rsidR="003A5600">
        <w:rPr>
          <w:noProof/>
        </w:rPr>
        <w:t>7</w:t>
      </w:r>
      <w:r>
        <w:rPr>
          <w:noProof/>
        </w:rPr>
        <w:fldChar w:fldCharType="end"/>
      </w:r>
    </w:p>
    <w:p w14:paraId="25E83D6B" w14:textId="41CCEB50" w:rsidR="00AF4ACD" w:rsidRDefault="00AF4ACD">
      <w:pPr>
        <w:pStyle w:val="TOC3"/>
        <w:rPr>
          <w:rFonts w:asciiTheme="minorHAnsi" w:eastAsiaTheme="minorEastAsia" w:hAnsiTheme="minorHAnsi" w:cstheme="minorBidi"/>
          <w:noProof/>
          <w:sz w:val="22"/>
          <w:szCs w:val="22"/>
          <w:lang w:eastAsia="en-NZ"/>
        </w:rPr>
      </w:pPr>
      <w:r>
        <w:rPr>
          <w:noProof/>
        </w:rPr>
        <w:t>Table 4:</w:t>
      </w:r>
      <w:r>
        <w:rPr>
          <w:noProof/>
        </w:rPr>
        <w:tab/>
        <w:t>Revenue and expenses for regulating radiation safety</w:t>
      </w:r>
      <w:r>
        <w:rPr>
          <w:noProof/>
        </w:rPr>
        <w:tab/>
      </w:r>
      <w:r>
        <w:rPr>
          <w:noProof/>
        </w:rPr>
        <w:fldChar w:fldCharType="begin"/>
      </w:r>
      <w:r>
        <w:rPr>
          <w:noProof/>
        </w:rPr>
        <w:instrText xml:space="preserve"> PAGEREF _Toc88644152 \h </w:instrText>
      </w:r>
      <w:r>
        <w:rPr>
          <w:noProof/>
        </w:rPr>
      </w:r>
      <w:r>
        <w:rPr>
          <w:noProof/>
        </w:rPr>
        <w:fldChar w:fldCharType="separate"/>
      </w:r>
      <w:r w:rsidR="003A5600">
        <w:rPr>
          <w:noProof/>
        </w:rPr>
        <w:t>7</w:t>
      </w:r>
      <w:r>
        <w:rPr>
          <w:noProof/>
        </w:rPr>
        <w:fldChar w:fldCharType="end"/>
      </w:r>
    </w:p>
    <w:p w14:paraId="59890497" w14:textId="6B2EB2A8" w:rsidR="00AF4ACD" w:rsidRDefault="00AF4ACD">
      <w:pPr>
        <w:pStyle w:val="TOC3"/>
        <w:rPr>
          <w:rFonts w:asciiTheme="minorHAnsi" w:eastAsiaTheme="minorEastAsia" w:hAnsiTheme="minorHAnsi" w:cstheme="minorBidi"/>
          <w:noProof/>
          <w:sz w:val="22"/>
          <w:szCs w:val="22"/>
          <w:lang w:eastAsia="en-NZ"/>
        </w:rPr>
      </w:pPr>
      <w:r>
        <w:rPr>
          <w:noProof/>
        </w:rPr>
        <w:t>Table 5:</w:t>
      </w:r>
      <w:r>
        <w:rPr>
          <w:noProof/>
        </w:rPr>
        <w:tab/>
        <w:t>Memorandum account balance 2017 and projected balance for 2022</w:t>
      </w:r>
      <w:r>
        <w:rPr>
          <w:noProof/>
        </w:rPr>
        <w:tab/>
      </w:r>
      <w:r>
        <w:rPr>
          <w:noProof/>
        </w:rPr>
        <w:fldChar w:fldCharType="begin"/>
      </w:r>
      <w:r>
        <w:rPr>
          <w:noProof/>
        </w:rPr>
        <w:instrText xml:space="preserve"> PAGEREF _Toc88644153 \h </w:instrText>
      </w:r>
      <w:r>
        <w:rPr>
          <w:noProof/>
        </w:rPr>
      </w:r>
      <w:r>
        <w:rPr>
          <w:noProof/>
        </w:rPr>
        <w:fldChar w:fldCharType="separate"/>
      </w:r>
      <w:r w:rsidR="003A5600">
        <w:rPr>
          <w:noProof/>
        </w:rPr>
        <w:t>8</w:t>
      </w:r>
      <w:r>
        <w:rPr>
          <w:noProof/>
        </w:rPr>
        <w:fldChar w:fldCharType="end"/>
      </w:r>
    </w:p>
    <w:p w14:paraId="78820312" w14:textId="100C7DB0" w:rsidR="00AF4ACD" w:rsidRDefault="00AF4ACD">
      <w:pPr>
        <w:pStyle w:val="TOC3"/>
        <w:rPr>
          <w:rFonts w:asciiTheme="minorHAnsi" w:eastAsiaTheme="minorEastAsia" w:hAnsiTheme="minorHAnsi" w:cstheme="minorBidi"/>
          <w:noProof/>
          <w:sz w:val="22"/>
          <w:szCs w:val="22"/>
          <w:lang w:eastAsia="en-NZ"/>
        </w:rPr>
      </w:pPr>
      <w:r>
        <w:rPr>
          <w:noProof/>
        </w:rPr>
        <w:t>Table 6:</w:t>
      </w:r>
      <w:r>
        <w:rPr>
          <w:noProof/>
        </w:rPr>
        <w:tab/>
        <w:t>Projected annual recoverable costs under the Radiation Safety Act 2016</w:t>
      </w:r>
      <w:r>
        <w:rPr>
          <w:noProof/>
        </w:rPr>
        <w:tab/>
      </w:r>
      <w:r>
        <w:rPr>
          <w:noProof/>
        </w:rPr>
        <w:fldChar w:fldCharType="begin"/>
      </w:r>
      <w:r>
        <w:rPr>
          <w:noProof/>
        </w:rPr>
        <w:instrText xml:space="preserve"> PAGEREF _Toc88644154 \h </w:instrText>
      </w:r>
      <w:r>
        <w:rPr>
          <w:noProof/>
        </w:rPr>
      </w:r>
      <w:r>
        <w:rPr>
          <w:noProof/>
        </w:rPr>
        <w:fldChar w:fldCharType="separate"/>
      </w:r>
      <w:r w:rsidR="003A5600">
        <w:rPr>
          <w:noProof/>
        </w:rPr>
        <w:t>10</w:t>
      </w:r>
      <w:r>
        <w:rPr>
          <w:noProof/>
        </w:rPr>
        <w:fldChar w:fldCharType="end"/>
      </w:r>
    </w:p>
    <w:p w14:paraId="2EBCD129" w14:textId="5A9F3B86" w:rsidR="00AF4ACD" w:rsidRDefault="00AF4ACD">
      <w:pPr>
        <w:pStyle w:val="TOC3"/>
        <w:rPr>
          <w:rFonts w:asciiTheme="minorHAnsi" w:eastAsiaTheme="minorEastAsia" w:hAnsiTheme="minorHAnsi" w:cstheme="minorBidi"/>
          <w:noProof/>
          <w:sz w:val="22"/>
          <w:szCs w:val="22"/>
          <w:lang w:eastAsia="en-NZ"/>
        </w:rPr>
      </w:pPr>
      <w:r>
        <w:rPr>
          <w:noProof/>
        </w:rPr>
        <w:t>Table 7:</w:t>
      </w:r>
      <w:r>
        <w:rPr>
          <w:noProof/>
        </w:rPr>
        <w:tab/>
        <w:t>Proposed annual distribution of fees</w:t>
      </w:r>
      <w:r>
        <w:rPr>
          <w:noProof/>
        </w:rPr>
        <w:tab/>
      </w:r>
      <w:r>
        <w:rPr>
          <w:noProof/>
        </w:rPr>
        <w:fldChar w:fldCharType="begin"/>
      </w:r>
      <w:r>
        <w:rPr>
          <w:noProof/>
        </w:rPr>
        <w:instrText xml:space="preserve"> PAGEREF _Toc88644155 \h </w:instrText>
      </w:r>
      <w:r>
        <w:rPr>
          <w:noProof/>
        </w:rPr>
      </w:r>
      <w:r>
        <w:rPr>
          <w:noProof/>
        </w:rPr>
        <w:fldChar w:fldCharType="separate"/>
      </w:r>
      <w:r w:rsidR="003A5600">
        <w:rPr>
          <w:noProof/>
        </w:rPr>
        <w:t>12</w:t>
      </w:r>
      <w:r>
        <w:rPr>
          <w:noProof/>
        </w:rPr>
        <w:fldChar w:fldCharType="end"/>
      </w:r>
    </w:p>
    <w:p w14:paraId="1CB0E30B" w14:textId="14B1C0F9" w:rsidR="00AF4ACD" w:rsidRDefault="00AF4ACD">
      <w:pPr>
        <w:pStyle w:val="TOC3"/>
        <w:rPr>
          <w:rFonts w:asciiTheme="minorHAnsi" w:eastAsiaTheme="minorEastAsia" w:hAnsiTheme="minorHAnsi" w:cstheme="minorBidi"/>
          <w:noProof/>
          <w:sz w:val="22"/>
          <w:szCs w:val="22"/>
          <w:lang w:eastAsia="en-NZ"/>
        </w:rPr>
      </w:pPr>
      <w:r>
        <w:rPr>
          <w:noProof/>
        </w:rPr>
        <w:t>Table 8:</w:t>
      </w:r>
      <w:r>
        <w:rPr>
          <w:noProof/>
        </w:rPr>
        <w:tab/>
        <w:t>Current percentage distribution of fees compared with proposed percentage distribution</w:t>
      </w:r>
      <w:r>
        <w:rPr>
          <w:noProof/>
        </w:rPr>
        <w:tab/>
      </w:r>
      <w:r>
        <w:rPr>
          <w:noProof/>
        </w:rPr>
        <w:fldChar w:fldCharType="begin"/>
      </w:r>
      <w:r>
        <w:rPr>
          <w:noProof/>
        </w:rPr>
        <w:instrText xml:space="preserve"> PAGEREF _Toc88644156 \h </w:instrText>
      </w:r>
      <w:r>
        <w:rPr>
          <w:noProof/>
        </w:rPr>
      </w:r>
      <w:r>
        <w:rPr>
          <w:noProof/>
        </w:rPr>
        <w:fldChar w:fldCharType="separate"/>
      </w:r>
      <w:r w:rsidR="003A5600">
        <w:rPr>
          <w:noProof/>
        </w:rPr>
        <w:t>13</w:t>
      </w:r>
      <w:r>
        <w:rPr>
          <w:noProof/>
        </w:rPr>
        <w:fldChar w:fldCharType="end"/>
      </w:r>
    </w:p>
    <w:p w14:paraId="4902EBF8" w14:textId="250063C5" w:rsidR="00AF4ACD" w:rsidRDefault="00AF4ACD">
      <w:pPr>
        <w:pStyle w:val="TOC3"/>
        <w:rPr>
          <w:rFonts w:asciiTheme="minorHAnsi" w:eastAsiaTheme="minorEastAsia" w:hAnsiTheme="minorHAnsi" w:cstheme="minorBidi"/>
          <w:noProof/>
          <w:sz w:val="22"/>
          <w:szCs w:val="22"/>
          <w:lang w:eastAsia="en-NZ"/>
        </w:rPr>
      </w:pPr>
      <w:r>
        <w:rPr>
          <w:noProof/>
        </w:rPr>
        <w:t>Table 9:</w:t>
      </w:r>
      <w:r>
        <w:rPr>
          <w:noProof/>
        </w:rPr>
        <w:tab/>
        <w:t>Assessed differentials in effort required to administer applications</w:t>
      </w:r>
      <w:r>
        <w:rPr>
          <w:noProof/>
        </w:rPr>
        <w:tab/>
      </w:r>
      <w:r>
        <w:rPr>
          <w:noProof/>
        </w:rPr>
        <w:fldChar w:fldCharType="begin"/>
      </w:r>
      <w:r>
        <w:rPr>
          <w:noProof/>
        </w:rPr>
        <w:instrText xml:space="preserve"> PAGEREF _Toc88644157 \h </w:instrText>
      </w:r>
      <w:r>
        <w:rPr>
          <w:noProof/>
        </w:rPr>
      </w:r>
      <w:r>
        <w:rPr>
          <w:noProof/>
        </w:rPr>
        <w:fldChar w:fldCharType="separate"/>
      </w:r>
      <w:r w:rsidR="003A5600">
        <w:rPr>
          <w:noProof/>
        </w:rPr>
        <w:t>14</w:t>
      </w:r>
      <w:r>
        <w:rPr>
          <w:noProof/>
        </w:rPr>
        <w:fldChar w:fldCharType="end"/>
      </w:r>
    </w:p>
    <w:p w14:paraId="1023742B" w14:textId="76A98055" w:rsidR="00AF4ACD" w:rsidRDefault="00AF4ACD">
      <w:pPr>
        <w:pStyle w:val="TOC3"/>
        <w:rPr>
          <w:rFonts w:asciiTheme="minorHAnsi" w:eastAsiaTheme="minorEastAsia" w:hAnsiTheme="minorHAnsi" w:cstheme="minorBidi"/>
          <w:noProof/>
          <w:sz w:val="22"/>
          <w:szCs w:val="22"/>
          <w:lang w:eastAsia="en-NZ"/>
        </w:rPr>
      </w:pPr>
      <w:r>
        <w:rPr>
          <w:noProof/>
        </w:rPr>
        <w:t>Table 10:</w:t>
      </w:r>
      <w:r>
        <w:rPr>
          <w:noProof/>
        </w:rPr>
        <w:tab/>
        <w:t>Examples of inequity in proposed preferred options for retaining fee portions for declined applications under regulation 19(4)</w:t>
      </w:r>
      <w:r>
        <w:rPr>
          <w:noProof/>
        </w:rPr>
        <w:tab/>
      </w:r>
      <w:r>
        <w:rPr>
          <w:noProof/>
        </w:rPr>
        <w:fldChar w:fldCharType="begin"/>
      </w:r>
      <w:r>
        <w:rPr>
          <w:noProof/>
        </w:rPr>
        <w:instrText xml:space="preserve"> PAGEREF _Toc88644158 \h </w:instrText>
      </w:r>
      <w:r>
        <w:rPr>
          <w:noProof/>
        </w:rPr>
      </w:r>
      <w:r>
        <w:rPr>
          <w:noProof/>
        </w:rPr>
        <w:fldChar w:fldCharType="separate"/>
      </w:r>
      <w:r w:rsidR="003A5600">
        <w:rPr>
          <w:noProof/>
        </w:rPr>
        <w:t>18</w:t>
      </w:r>
      <w:r>
        <w:rPr>
          <w:noProof/>
        </w:rPr>
        <w:fldChar w:fldCharType="end"/>
      </w:r>
    </w:p>
    <w:p w14:paraId="3B2C5EC0" w14:textId="13E7C223" w:rsidR="00AF4ACD" w:rsidRDefault="00AF4ACD">
      <w:pPr>
        <w:pStyle w:val="TOC3"/>
        <w:rPr>
          <w:rFonts w:asciiTheme="minorHAnsi" w:eastAsiaTheme="minorEastAsia" w:hAnsiTheme="minorHAnsi" w:cstheme="minorBidi"/>
          <w:noProof/>
          <w:sz w:val="22"/>
          <w:szCs w:val="22"/>
          <w:lang w:eastAsia="en-NZ"/>
        </w:rPr>
      </w:pPr>
      <w:r>
        <w:rPr>
          <w:noProof/>
        </w:rPr>
        <w:t>Table 11:</w:t>
      </w:r>
      <w:r>
        <w:rPr>
          <w:noProof/>
        </w:rPr>
        <w:tab/>
        <w:t>Proposed amendments to compliance monitoring categories set out in schedule 2 of the Radiation Safety Regulations 2016</w:t>
      </w:r>
      <w:r>
        <w:rPr>
          <w:noProof/>
        </w:rPr>
        <w:tab/>
      </w:r>
      <w:r>
        <w:rPr>
          <w:noProof/>
        </w:rPr>
        <w:fldChar w:fldCharType="begin"/>
      </w:r>
      <w:r>
        <w:rPr>
          <w:noProof/>
        </w:rPr>
        <w:instrText xml:space="preserve"> PAGEREF _Toc88644159 \h </w:instrText>
      </w:r>
      <w:r>
        <w:rPr>
          <w:noProof/>
        </w:rPr>
      </w:r>
      <w:r>
        <w:rPr>
          <w:noProof/>
        </w:rPr>
        <w:fldChar w:fldCharType="separate"/>
      </w:r>
      <w:r w:rsidR="003A5600">
        <w:rPr>
          <w:noProof/>
        </w:rPr>
        <w:t>21</w:t>
      </w:r>
      <w:r>
        <w:rPr>
          <w:noProof/>
        </w:rPr>
        <w:fldChar w:fldCharType="end"/>
      </w:r>
    </w:p>
    <w:p w14:paraId="303BD061" w14:textId="12439629" w:rsidR="00AF4ACD" w:rsidRDefault="00AF4ACD">
      <w:pPr>
        <w:pStyle w:val="TOC3"/>
        <w:rPr>
          <w:rFonts w:asciiTheme="minorHAnsi" w:eastAsiaTheme="minorEastAsia" w:hAnsiTheme="minorHAnsi" w:cstheme="minorBidi"/>
          <w:noProof/>
          <w:sz w:val="22"/>
          <w:szCs w:val="22"/>
          <w:lang w:eastAsia="en-NZ"/>
        </w:rPr>
      </w:pPr>
      <w:r>
        <w:rPr>
          <w:noProof/>
        </w:rPr>
        <w:t>Table 12:</w:t>
      </w:r>
      <w:r>
        <w:rPr>
          <w:noProof/>
        </w:rPr>
        <w:tab/>
        <w:t>Proposed source licence fees (exclusive of GST) for new and variation applications</w:t>
      </w:r>
      <w:r>
        <w:rPr>
          <w:noProof/>
        </w:rPr>
        <w:tab/>
      </w:r>
      <w:r>
        <w:rPr>
          <w:noProof/>
        </w:rPr>
        <w:fldChar w:fldCharType="begin"/>
      </w:r>
      <w:r>
        <w:rPr>
          <w:noProof/>
        </w:rPr>
        <w:instrText xml:space="preserve"> PAGEREF _Toc88644160 \h </w:instrText>
      </w:r>
      <w:r>
        <w:rPr>
          <w:noProof/>
        </w:rPr>
      </w:r>
      <w:r>
        <w:rPr>
          <w:noProof/>
        </w:rPr>
        <w:fldChar w:fldCharType="separate"/>
      </w:r>
      <w:r w:rsidR="003A5600">
        <w:rPr>
          <w:noProof/>
        </w:rPr>
        <w:t>26</w:t>
      </w:r>
      <w:r>
        <w:rPr>
          <w:noProof/>
        </w:rPr>
        <w:fldChar w:fldCharType="end"/>
      </w:r>
    </w:p>
    <w:p w14:paraId="01B5F0E9" w14:textId="62EF3666" w:rsidR="00AF4ACD" w:rsidRDefault="00AF4ACD">
      <w:pPr>
        <w:pStyle w:val="TOC3"/>
        <w:rPr>
          <w:rFonts w:asciiTheme="minorHAnsi" w:eastAsiaTheme="minorEastAsia" w:hAnsiTheme="minorHAnsi" w:cstheme="minorBidi"/>
          <w:noProof/>
          <w:sz w:val="22"/>
          <w:szCs w:val="22"/>
          <w:lang w:eastAsia="en-NZ"/>
        </w:rPr>
      </w:pPr>
      <w:r>
        <w:rPr>
          <w:noProof/>
        </w:rPr>
        <w:t>Table 13:</w:t>
      </w:r>
      <w:r>
        <w:rPr>
          <w:noProof/>
        </w:rPr>
        <w:tab/>
        <w:t>Proposed source licence fees (exclusive of GST) for source renewal applications (with no variations)</w:t>
      </w:r>
      <w:r>
        <w:rPr>
          <w:noProof/>
        </w:rPr>
        <w:tab/>
      </w:r>
      <w:r>
        <w:rPr>
          <w:noProof/>
        </w:rPr>
        <w:fldChar w:fldCharType="begin"/>
      </w:r>
      <w:r>
        <w:rPr>
          <w:noProof/>
        </w:rPr>
        <w:instrText xml:space="preserve"> PAGEREF _Toc88644161 \h </w:instrText>
      </w:r>
      <w:r>
        <w:rPr>
          <w:noProof/>
        </w:rPr>
      </w:r>
      <w:r>
        <w:rPr>
          <w:noProof/>
        </w:rPr>
        <w:fldChar w:fldCharType="separate"/>
      </w:r>
      <w:r w:rsidR="003A5600">
        <w:rPr>
          <w:noProof/>
        </w:rPr>
        <w:t>27</w:t>
      </w:r>
      <w:r>
        <w:rPr>
          <w:noProof/>
        </w:rPr>
        <w:fldChar w:fldCharType="end"/>
      </w:r>
    </w:p>
    <w:p w14:paraId="3BE7BBB0" w14:textId="36DD6370" w:rsidR="00AF4ACD" w:rsidRDefault="00AF4ACD">
      <w:pPr>
        <w:pStyle w:val="TOC3"/>
        <w:rPr>
          <w:rFonts w:asciiTheme="minorHAnsi" w:eastAsiaTheme="minorEastAsia" w:hAnsiTheme="minorHAnsi" w:cstheme="minorBidi"/>
          <w:noProof/>
          <w:sz w:val="22"/>
          <w:szCs w:val="22"/>
          <w:lang w:eastAsia="en-NZ"/>
        </w:rPr>
      </w:pPr>
      <w:r>
        <w:rPr>
          <w:noProof/>
        </w:rPr>
        <w:t>Table 14:</w:t>
      </w:r>
      <w:r>
        <w:rPr>
          <w:noProof/>
        </w:rPr>
        <w:tab/>
        <w:t>Proposed source licence fee components new and variation applications</w:t>
      </w:r>
      <w:r>
        <w:rPr>
          <w:noProof/>
        </w:rPr>
        <w:tab/>
      </w:r>
      <w:r>
        <w:rPr>
          <w:noProof/>
        </w:rPr>
        <w:fldChar w:fldCharType="begin"/>
      </w:r>
      <w:r>
        <w:rPr>
          <w:noProof/>
        </w:rPr>
        <w:instrText xml:space="preserve"> PAGEREF _Toc88644162 \h </w:instrText>
      </w:r>
      <w:r>
        <w:rPr>
          <w:noProof/>
        </w:rPr>
      </w:r>
      <w:r>
        <w:rPr>
          <w:noProof/>
        </w:rPr>
        <w:fldChar w:fldCharType="separate"/>
      </w:r>
      <w:r w:rsidR="003A5600">
        <w:rPr>
          <w:noProof/>
        </w:rPr>
        <w:t>27</w:t>
      </w:r>
      <w:r>
        <w:rPr>
          <w:noProof/>
        </w:rPr>
        <w:fldChar w:fldCharType="end"/>
      </w:r>
    </w:p>
    <w:p w14:paraId="44182CC0" w14:textId="3D310958" w:rsidR="00AF4ACD" w:rsidRDefault="00AF4ACD">
      <w:pPr>
        <w:pStyle w:val="TOC3"/>
        <w:rPr>
          <w:rFonts w:asciiTheme="minorHAnsi" w:eastAsiaTheme="minorEastAsia" w:hAnsiTheme="minorHAnsi" w:cstheme="minorBidi"/>
          <w:noProof/>
          <w:sz w:val="22"/>
          <w:szCs w:val="22"/>
          <w:lang w:eastAsia="en-NZ"/>
        </w:rPr>
      </w:pPr>
      <w:r>
        <w:rPr>
          <w:noProof/>
        </w:rPr>
        <w:t>Table 15:</w:t>
      </w:r>
      <w:r>
        <w:rPr>
          <w:noProof/>
        </w:rPr>
        <w:tab/>
        <w:t>Proposed source licence fee components renewal applications</w:t>
      </w:r>
      <w:r>
        <w:rPr>
          <w:noProof/>
        </w:rPr>
        <w:tab/>
      </w:r>
      <w:r>
        <w:rPr>
          <w:noProof/>
        </w:rPr>
        <w:fldChar w:fldCharType="begin"/>
      </w:r>
      <w:r>
        <w:rPr>
          <w:noProof/>
        </w:rPr>
        <w:instrText xml:space="preserve"> PAGEREF _Toc88644163 \h </w:instrText>
      </w:r>
      <w:r>
        <w:rPr>
          <w:noProof/>
        </w:rPr>
      </w:r>
      <w:r>
        <w:rPr>
          <w:noProof/>
        </w:rPr>
        <w:fldChar w:fldCharType="separate"/>
      </w:r>
      <w:r w:rsidR="003A5600">
        <w:rPr>
          <w:noProof/>
        </w:rPr>
        <w:t>28</w:t>
      </w:r>
      <w:r>
        <w:rPr>
          <w:noProof/>
        </w:rPr>
        <w:fldChar w:fldCharType="end"/>
      </w:r>
    </w:p>
    <w:p w14:paraId="6E799C1C" w14:textId="48FC3746" w:rsidR="00AF4ACD" w:rsidRDefault="00AF4ACD">
      <w:pPr>
        <w:pStyle w:val="TOC3"/>
        <w:rPr>
          <w:rFonts w:asciiTheme="minorHAnsi" w:eastAsiaTheme="minorEastAsia" w:hAnsiTheme="minorHAnsi" w:cstheme="minorBidi"/>
          <w:noProof/>
          <w:sz w:val="22"/>
          <w:szCs w:val="22"/>
          <w:lang w:eastAsia="en-NZ"/>
        </w:rPr>
      </w:pPr>
      <w:r>
        <w:rPr>
          <w:noProof/>
        </w:rPr>
        <w:t>Table 16:</w:t>
      </w:r>
      <w:r>
        <w:rPr>
          <w:noProof/>
        </w:rPr>
        <w:tab/>
        <w:t>Reassessment of effort devoted to assessing applications for use licences</w:t>
      </w:r>
      <w:r>
        <w:rPr>
          <w:noProof/>
        </w:rPr>
        <w:tab/>
      </w:r>
      <w:r>
        <w:rPr>
          <w:noProof/>
        </w:rPr>
        <w:fldChar w:fldCharType="begin"/>
      </w:r>
      <w:r>
        <w:rPr>
          <w:noProof/>
        </w:rPr>
        <w:instrText xml:space="preserve"> PAGEREF _Toc88644164 \h </w:instrText>
      </w:r>
      <w:r>
        <w:rPr>
          <w:noProof/>
        </w:rPr>
      </w:r>
      <w:r>
        <w:rPr>
          <w:noProof/>
        </w:rPr>
        <w:fldChar w:fldCharType="separate"/>
      </w:r>
      <w:r w:rsidR="003A5600">
        <w:rPr>
          <w:noProof/>
        </w:rPr>
        <w:t>29</w:t>
      </w:r>
      <w:r>
        <w:rPr>
          <w:noProof/>
        </w:rPr>
        <w:fldChar w:fldCharType="end"/>
      </w:r>
    </w:p>
    <w:p w14:paraId="4A66E09F" w14:textId="7565CF81" w:rsidR="00AF4ACD" w:rsidRDefault="00AF4ACD">
      <w:pPr>
        <w:pStyle w:val="TOC3"/>
        <w:rPr>
          <w:rFonts w:asciiTheme="minorHAnsi" w:eastAsiaTheme="minorEastAsia" w:hAnsiTheme="minorHAnsi" w:cstheme="minorBidi"/>
          <w:noProof/>
          <w:sz w:val="22"/>
          <w:szCs w:val="22"/>
          <w:lang w:eastAsia="en-NZ"/>
        </w:rPr>
      </w:pPr>
      <w:r>
        <w:rPr>
          <w:noProof/>
        </w:rPr>
        <w:t>Table 17:</w:t>
      </w:r>
      <w:r>
        <w:rPr>
          <w:noProof/>
        </w:rPr>
        <w:tab/>
        <w:t>Proposed new consent fees by existing consent type</w:t>
      </w:r>
      <w:r>
        <w:rPr>
          <w:noProof/>
        </w:rPr>
        <w:tab/>
      </w:r>
      <w:r>
        <w:rPr>
          <w:noProof/>
        </w:rPr>
        <w:fldChar w:fldCharType="begin"/>
      </w:r>
      <w:r>
        <w:rPr>
          <w:noProof/>
        </w:rPr>
        <w:instrText xml:space="preserve"> PAGEREF _Toc88644165 \h </w:instrText>
      </w:r>
      <w:r>
        <w:rPr>
          <w:noProof/>
        </w:rPr>
      </w:r>
      <w:r>
        <w:rPr>
          <w:noProof/>
        </w:rPr>
        <w:fldChar w:fldCharType="separate"/>
      </w:r>
      <w:r w:rsidR="003A5600">
        <w:rPr>
          <w:noProof/>
        </w:rPr>
        <w:t>31</w:t>
      </w:r>
      <w:r>
        <w:rPr>
          <w:noProof/>
        </w:rPr>
        <w:fldChar w:fldCharType="end"/>
      </w:r>
    </w:p>
    <w:p w14:paraId="67C416BD" w14:textId="062C942C" w:rsidR="00AF4ACD" w:rsidRDefault="00AF4ACD">
      <w:pPr>
        <w:pStyle w:val="TOC3"/>
        <w:rPr>
          <w:rFonts w:asciiTheme="minorHAnsi" w:eastAsiaTheme="minorEastAsia" w:hAnsiTheme="minorHAnsi" w:cstheme="minorBidi"/>
          <w:noProof/>
          <w:sz w:val="22"/>
          <w:szCs w:val="22"/>
          <w:lang w:eastAsia="en-NZ"/>
        </w:rPr>
      </w:pPr>
      <w:r>
        <w:rPr>
          <w:noProof/>
        </w:rPr>
        <w:t>Table 18:</w:t>
      </w:r>
      <w:r>
        <w:rPr>
          <w:noProof/>
        </w:rPr>
        <w:tab/>
        <w:t>Proposed new annual fees compared with current fees (discount until 7 March 2023 applied) and full current fees (discount removed from 7 March 2023)</w:t>
      </w:r>
      <w:r>
        <w:rPr>
          <w:noProof/>
        </w:rPr>
        <w:tab/>
      </w:r>
      <w:r>
        <w:rPr>
          <w:noProof/>
        </w:rPr>
        <w:fldChar w:fldCharType="begin"/>
      </w:r>
      <w:r>
        <w:rPr>
          <w:noProof/>
        </w:rPr>
        <w:instrText xml:space="preserve"> PAGEREF _Toc88644166 \h </w:instrText>
      </w:r>
      <w:r>
        <w:rPr>
          <w:noProof/>
        </w:rPr>
      </w:r>
      <w:r>
        <w:rPr>
          <w:noProof/>
        </w:rPr>
        <w:fldChar w:fldCharType="separate"/>
      </w:r>
      <w:r w:rsidR="003A5600">
        <w:rPr>
          <w:noProof/>
        </w:rPr>
        <w:t>37</w:t>
      </w:r>
      <w:r>
        <w:rPr>
          <w:noProof/>
        </w:rPr>
        <w:fldChar w:fldCharType="end"/>
      </w:r>
    </w:p>
    <w:p w14:paraId="68A94ED6" w14:textId="7ACF2753" w:rsidR="00AF4ACD" w:rsidRDefault="00AF4ACD">
      <w:pPr>
        <w:pStyle w:val="TOC3"/>
        <w:rPr>
          <w:rFonts w:asciiTheme="minorHAnsi" w:eastAsiaTheme="minorEastAsia" w:hAnsiTheme="minorHAnsi" w:cstheme="minorBidi"/>
          <w:noProof/>
          <w:sz w:val="22"/>
          <w:szCs w:val="22"/>
          <w:lang w:eastAsia="en-NZ"/>
        </w:rPr>
      </w:pPr>
      <w:r>
        <w:rPr>
          <w:noProof/>
        </w:rPr>
        <w:t>Table 19:</w:t>
      </w:r>
      <w:r>
        <w:rPr>
          <w:noProof/>
        </w:rPr>
        <w:tab/>
        <w:t>Radiation licencing fees comparison, New Zealand/Australia</w:t>
      </w:r>
      <w:r w:rsidRPr="00D54011">
        <w:rPr>
          <w:noProof/>
          <w:vertAlign w:val="superscript"/>
        </w:rPr>
        <w:t>1</w:t>
      </w:r>
      <w:r>
        <w:rPr>
          <w:noProof/>
        </w:rPr>
        <w:tab/>
      </w:r>
      <w:r>
        <w:rPr>
          <w:noProof/>
        </w:rPr>
        <w:fldChar w:fldCharType="begin"/>
      </w:r>
      <w:r>
        <w:rPr>
          <w:noProof/>
        </w:rPr>
        <w:instrText xml:space="preserve"> PAGEREF _Toc88644167 \h </w:instrText>
      </w:r>
      <w:r>
        <w:rPr>
          <w:noProof/>
        </w:rPr>
      </w:r>
      <w:r>
        <w:rPr>
          <w:noProof/>
        </w:rPr>
        <w:fldChar w:fldCharType="separate"/>
      </w:r>
      <w:r w:rsidR="003A5600">
        <w:rPr>
          <w:noProof/>
        </w:rPr>
        <w:t>39</w:t>
      </w:r>
      <w:r>
        <w:rPr>
          <w:noProof/>
        </w:rPr>
        <w:fldChar w:fldCharType="end"/>
      </w:r>
    </w:p>
    <w:p w14:paraId="1BF73F0A" w14:textId="77777777" w:rsidR="00FB0A5B" w:rsidRDefault="002B76A7" w:rsidP="003A5FEA">
      <w:r>
        <w:fldChar w:fldCharType="end"/>
      </w:r>
    </w:p>
    <w:p w14:paraId="773A2F95" w14:textId="77777777" w:rsidR="001D3E4E" w:rsidRDefault="001D3E4E" w:rsidP="003A5FEA">
      <w:pPr>
        <w:sectPr w:rsidR="001D3E4E" w:rsidSect="00925892">
          <w:headerReference w:type="even" r:id="rId15"/>
          <w:headerReference w:type="default" r:id="rId16"/>
          <w:footerReference w:type="even" r:id="rId17"/>
          <w:footerReference w:type="default" r:id="rId18"/>
          <w:pgSz w:w="11907" w:h="16840" w:code="9"/>
          <w:pgMar w:top="1418" w:right="1701" w:bottom="1134" w:left="1843" w:header="284" w:footer="425" w:gutter="284"/>
          <w:pgNumType w:fmt="lowerRoman"/>
          <w:cols w:space="720"/>
        </w:sectPr>
      </w:pPr>
    </w:p>
    <w:p w14:paraId="0E4055E0" w14:textId="77777777" w:rsidR="008C2973" w:rsidRDefault="002B7BEC" w:rsidP="009C1654">
      <w:pPr>
        <w:pStyle w:val="Heading1-notnumbered"/>
      </w:pPr>
      <w:bookmarkStart w:id="2" w:name="Introduction"/>
      <w:bookmarkStart w:id="3" w:name="_Toc89696178"/>
      <w:bookmarkEnd w:id="2"/>
      <w:r>
        <w:lastRenderedPageBreak/>
        <w:t>Introduction</w:t>
      </w:r>
      <w:bookmarkEnd w:id="3"/>
    </w:p>
    <w:p w14:paraId="552B37D5" w14:textId="77777777" w:rsidR="00232F0B" w:rsidRPr="00A40FD5" w:rsidRDefault="00232F0B" w:rsidP="009C1654">
      <w:pPr>
        <w:pStyle w:val="Heading2-notnumbered"/>
      </w:pPr>
      <w:bookmarkStart w:id="4" w:name="We_want_your_input"/>
      <w:bookmarkStart w:id="5" w:name="_Toc83133453"/>
      <w:bookmarkStart w:id="6" w:name="_Toc89696179"/>
      <w:bookmarkStart w:id="7" w:name="_Toc449001260"/>
      <w:bookmarkStart w:id="8" w:name="_Toc450059020"/>
      <w:bookmarkStart w:id="9" w:name="_Toc75349231"/>
      <w:bookmarkEnd w:id="4"/>
      <w:r>
        <w:t>We want your input</w:t>
      </w:r>
      <w:bookmarkEnd w:id="5"/>
      <w:bookmarkEnd w:id="6"/>
    </w:p>
    <w:p w14:paraId="7609CED3" w14:textId="085F5CED" w:rsidR="00232F0B" w:rsidRPr="00A40FD5" w:rsidRDefault="00232F0B" w:rsidP="00197BC7">
      <w:r w:rsidRPr="004E15B4">
        <w:t xml:space="preserve">The Ministry </w:t>
      </w:r>
      <w:r>
        <w:t xml:space="preserve">of Health (the Ministry) </w:t>
      </w:r>
      <w:r w:rsidRPr="004E15B4">
        <w:t xml:space="preserve">is seeking public submissions on the </w:t>
      </w:r>
      <w:r>
        <w:t>review</w:t>
      </w:r>
      <w:r w:rsidRPr="004E15B4">
        <w:t xml:space="preserve"> </w:t>
      </w:r>
      <w:r>
        <w:t>of the Radiation Safety Regulations 2016</w:t>
      </w:r>
      <w:r w:rsidRPr="00197BC7">
        <w:rPr>
          <w:rStyle w:val="FootnoteReference"/>
        </w:rPr>
        <w:footnoteReference w:id="1"/>
      </w:r>
      <w:r>
        <w:t xml:space="preserve"> (the Regulations) </w:t>
      </w:r>
      <w:r w:rsidRPr="004E15B4">
        <w:t xml:space="preserve">by </w:t>
      </w:r>
      <w:r w:rsidR="00E9163C" w:rsidRPr="001F14E9">
        <w:t xml:space="preserve">12 </w:t>
      </w:r>
      <w:r w:rsidR="009606AB" w:rsidRPr="001F14E9">
        <w:t xml:space="preserve">pm </w:t>
      </w:r>
      <w:r w:rsidR="00E9163C" w:rsidRPr="001F14E9">
        <w:t xml:space="preserve">Friday </w:t>
      </w:r>
      <w:r w:rsidR="00027D5A" w:rsidRPr="001F14E9">
        <w:t>2</w:t>
      </w:r>
      <w:r w:rsidR="00E9163C" w:rsidRPr="001F14E9">
        <w:t>9</w:t>
      </w:r>
      <w:r w:rsidR="00027D5A" w:rsidRPr="001F14E9">
        <w:t xml:space="preserve"> April</w:t>
      </w:r>
      <w:r w:rsidRPr="001F14E9">
        <w:t xml:space="preserve"> </w:t>
      </w:r>
      <w:r w:rsidR="004F5792" w:rsidRPr="001F14E9">
        <w:t>2022</w:t>
      </w:r>
      <w:r w:rsidRPr="00916487">
        <w:t xml:space="preserve">. Submissions must </w:t>
      </w:r>
      <w:r>
        <w:t xml:space="preserve">relate to </w:t>
      </w:r>
      <w:r w:rsidRPr="00916487">
        <w:t xml:space="preserve">the </w:t>
      </w:r>
      <w:r>
        <w:t>Regulations as outlined in</w:t>
      </w:r>
      <w:r w:rsidRPr="00916487">
        <w:t xml:space="preserve"> sections 91 to 93 of </w:t>
      </w:r>
      <w:r>
        <w:t>the Radiation Safety Act 2016</w:t>
      </w:r>
      <w:r w:rsidRPr="00197BC7">
        <w:rPr>
          <w:rStyle w:val="FootnoteReference"/>
        </w:rPr>
        <w:footnoteReference w:id="2"/>
      </w:r>
      <w:r w:rsidRPr="00332929">
        <w:t xml:space="preserve"> </w:t>
      </w:r>
      <w:r>
        <w:t>(the Act)</w:t>
      </w:r>
      <w:r w:rsidRPr="00A40FD5">
        <w:t xml:space="preserve"> in order to be considered within the scope of this consultation. </w:t>
      </w:r>
      <w:r>
        <w:t>We will consider a</w:t>
      </w:r>
      <w:r w:rsidRPr="00A40FD5">
        <w:t xml:space="preserve">ll submissions that are in scope and </w:t>
      </w:r>
      <w:r>
        <w:t xml:space="preserve">that we </w:t>
      </w:r>
      <w:r w:rsidRPr="00A40FD5">
        <w:t>receive before the submission deadline.</w:t>
      </w:r>
    </w:p>
    <w:p w14:paraId="71507CCB" w14:textId="77777777" w:rsidR="00232F0B" w:rsidRPr="009372DF" w:rsidRDefault="00232F0B" w:rsidP="00197BC7"/>
    <w:p w14:paraId="37D07999" w14:textId="77777777" w:rsidR="00232F0B" w:rsidRDefault="00232F0B" w:rsidP="00197BC7">
      <w:bookmarkStart w:id="10" w:name="_Toc83133454"/>
      <w:r>
        <w:t xml:space="preserve">You can find </w:t>
      </w:r>
      <w:r w:rsidRPr="00A40FD5">
        <w:t xml:space="preserve">guidelines for making a submission in the submission form published </w:t>
      </w:r>
      <w:r>
        <w:t>alongside</w:t>
      </w:r>
      <w:r w:rsidRPr="00A40FD5">
        <w:t xml:space="preserve"> this consultation document. The submission form also </w:t>
      </w:r>
      <w:r>
        <w:t>repeats</w:t>
      </w:r>
      <w:r w:rsidRPr="00A40FD5">
        <w:t xml:space="preserve"> the consultation questions found throughout </w:t>
      </w:r>
      <w:r>
        <w:t>this</w:t>
      </w:r>
      <w:r w:rsidRPr="00A40FD5">
        <w:t xml:space="preserve"> consultation document</w:t>
      </w:r>
      <w:r>
        <w:t xml:space="preserve"> to </w:t>
      </w:r>
      <w:r w:rsidRPr="00A40FD5">
        <w:t>help submitters complete the submission process. Submitters do not have to use the submission form</w:t>
      </w:r>
      <w:r>
        <w:t xml:space="preserve"> to make a submission, or if they do use it, they can choose to answer only those questions they wish to answer.</w:t>
      </w:r>
    </w:p>
    <w:p w14:paraId="53D5B42E" w14:textId="77777777" w:rsidR="00197BC7" w:rsidRPr="00C92F83" w:rsidRDefault="00197BC7" w:rsidP="00197BC7"/>
    <w:p w14:paraId="486E1B22" w14:textId="77777777" w:rsidR="00232F0B" w:rsidRPr="00A40FD5" w:rsidRDefault="00232F0B" w:rsidP="009C1654">
      <w:pPr>
        <w:pStyle w:val="Heading2-notnumbered"/>
      </w:pPr>
      <w:bookmarkStart w:id="11" w:name="_Toc89696180"/>
      <w:r w:rsidRPr="00A40FD5">
        <w:t>Radiation Safety Regulations 2016</w:t>
      </w:r>
      <w:bookmarkEnd w:id="7"/>
      <w:bookmarkEnd w:id="8"/>
      <w:bookmarkEnd w:id="9"/>
      <w:bookmarkEnd w:id="10"/>
      <w:bookmarkEnd w:id="11"/>
    </w:p>
    <w:p w14:paraId="4313B9B3" w14:textId="77777777" w:rsidR="0087667B" w:rsidRDefault="00232F0B" w:rsidP="00197BC7">
      <w:r w:rsidRPr="00627F52">
        <w:t xml:space="preserve">The </w:t>
      </w:r>
      <w:bookmarkStart w:id="12" w:name="_Toc83133455"/>
      <w:r w:rsidRPr="00627F52">
        <w:t xml:space="preserve">Regulations came into force on 7 March 2017. </w:t>
      </w:r>
      <w:r>
        <w:t xml:space="preserve">They are made in accordance with </w:t>
      </w:r>
      <w:r w:rsidRPr="00332929">
        <w:t xml:space="preserve">sections 91 to 93 of </w:t>
      </w:r>
      <w:r>
        <w:t>the Act.</w:t>
      </w:r>
    </w:p>
    <w:p w14:paraId="66C7D367" w14:textId="77777777" w:rsidR="00232F0B" w:rsidRPr="00627F52" w:rsidRDefault="00232F0B" w:rsidP="00197BC7"/>
    <w:p w14:paraId="1B060C48" w14:textId="77777777" w:rsidR="00232F0B" w:rsidRPr="0087667B" w:rsidRDefault="00232F0B" w:rsidP="00197BC7">
      <w:r w:rsidRPr="0087667B">
        <w:t xml:space="preserve">The Regulations and the Act apply to organisations and people who </w:t>
      </w:r>
      <w:r w:rsidRPr="0087667B">
        <w:rPr>
          <w:b/>
          <w:bCs/>
        </w:rPr>
        <w:t>deal with</w:t>
      </w:r>
      <w:r w:rsidRPr="0087667B">
        <w:t xml:space="preserve"> ionising radiation only. </w:t>
      </w:r>
      <w:r w:rsidRPr="008B6029">
        <w:t>Ionising radiation sources are defined in the Act as being radioactive material</w:t>
      </w:r>
      <w:r>
        <w:t xml:space="preserve"> that</w:t>
      </w:r>
      <w:r w:rsidRPr="008B6029">
        <w:t xml:space="preserve"> </w:t>
      </w:r>
      <w:r>
        <w:t xml:space="preserve">can produce ion pairs in biological material </w:t>
      </w:r>
      <w:r w:rsidRPr="008B6029">
        <w:t xml:space="preserve">or </w:t>
      </w:r>
      <w:r>
        <w:t xml:space="preserve">irradiating </w:t>
      </w:r>
      <w:r w:rsidRPr="008B6029">
        <w:t>apparatuses (</w:t>
      </w:r>
      <w:r>
        <w:t>electrical equipment</w:t>
      </w:r>
      <w:r w:rsidRPr="008B6029">
        <w:t xml:space="preserve">) that can </w:t>
      </w:r>
      <w:r>
        <w:t>generate</w:t>
      </w:r>
      <w:r w:rsidRPr="008B6029">
        <w:t xml:space="preserve"> ionising radiation (such as X-ray machines). Therefore, </w:t>
      </w:r>
      <w:r>
        <w:t>this regulation review does</w:t>
      </w:r>
      <w:r w:rsidRPr="008B6029">
        <w:t xml:space="preserve"> not affect the regulation of non-ionising radiation, such as</w:t>
      </w:r>
      <w:r>
        <w:t xml:space="preserve"> </w:t>
      </w:r>
      <w:r w:rsidRPr="008B6029">
        <w:t>ultraviolet (UV)</w:t>
      </w:r>
      <w:r>
        <w:t xml:space="preserve"> </w:t>
      </w:r>
      <w:r w:rsidRPr="008B6029">
        <w:t>light, Wi</w:t>
      </w:r>
      <w:r>
        <w:t>-</w:t>
      </w:r>
      <w:r w:rsidRPr="008B6029">
        <w:t>Fi, cell</w:t>
      </w:r>
      <w:r>
        <w:t xml:space="preserve"> </w:t>
      </w:r>
      <w:r w:rsidRPr="008B6029">
        <w:t>phone communication systems, microwave technologies, radio waves and other types of electromagnetic fields.</w:t>
      </w:r>
    </w:p>
    <w:p w14:paraId="5211F548" w14:textId="77777777" w:rsidR="00232F0B" w:rsidRPr="0087667B" w:rsidRDefault="00232F0B" w:rsidP="00197BC7"/>
    <w:p w14:paraId="15FB9DCE" w14:textId="77777777" w:rsidR="0087667B" w:rsidRPr="0087667B" w:rsidRDefault="00232F0B" w:rsidP="00197BC7">
      <w:r w:rsidRPr="0087667B">
        <w:t>The Regulations set out the fees payable under the Act, the exemptions, prohibitions and restrictions that can be applied, as well as other administrative matters.</w:t>
      </w:r>
    </w:p>
    <w:p w14:paraId="70E1A8B9" w14:textId="77777777" w:rsidR="00232F0B" w:rsidRPr="0087667B" w:rsidRDefault="00232F0B" w:rsidP="00197BC7"/>
    <w:p w14:paraId="1C12A696" w14:textId="77777777" w:rsidR="0087667B" w:rsidRDefault="00232F0B" w:rsidP="00197BC7">
      <w:pPr>
        <w:keepLines/>
      </w:pPr>
      <w:r>
        <w:lastRenderedPageBreak/>
        <w:t xml:space="preserve">Relevant information on establishing the Regulations in 2016 is available from the original Ministry of Health consultation document </w:t>
      </w:r>
      <w:r>
        <w:rPr>
          <w:i/>
          <w:iCs/>
        </w:rPr>
        <w:t>Proposed Radiation Safety Regulations: A consultation document</w:t>
      </w:r>
      <w:r>
        <w:t>.</w:t>
      </w:r>
      <w:r w:rsidRPr="00197BC7">
        <w:rPr>
          <w:rStyle w:val="FootnoteReference"/>
        </w:rPr>
        <w:footnoteReference w:id="3"/>
      </w:r>
      <w:r>
        <w:t xml:space="preserve"> The 2016 Regulatory Impact Statement for the Regulations (2016 RIS) provides further information on the Regulations.</w:t>
      </w:r>
      <w:r w:rsidR="00197BC7">
        <w:rPr>
          <w:rStyle w:val="FootnoteReference"/>
        </w:rPr>
        <w:footnoteReference w:id="4"/>
      </w:r>
    </w:p>
    <w:p w14:paraId="128D9931" w14:textId="77777777" w:rsidR="00232F0B" w:rsidRDefault="00232F0B" w:rsidP="00197BC7"/>
    <w:p w14:paraId="5D3AB854" w14:textId="77777777" w:rsidR="00232F0B" w:rsidRDefault="00232F0B" w:rsidP="009C1654">
      <w:pPr>
        <w:pStyle w:val="Heading2-notnumbered"/>
      </w:pPr>
      <w:bookmarkStart w:id="13" w:name="_Toc89696181"/>
      <w:r>
        <w:t xml:space="preserve">Fees and </w:t>
      </w:r>
      <w:r w:rsidRPr="00A40FD5">
        <w:t xml:space="preserve">Regulations </w:t>
      </w:r>
      <w:r>
        <w:t>review 2021</w:t>
      </w:r>
      <w:bookmarkEnd w:id="12"/>
      <w:bookmarkEnd w:id="13"/>
    </w:p>
    <w:p w14:paraId="30BE4BF4" w14:textId="77777777" w:rsidR="0087667B" w:rsidRDefault="00232F0B" w:rsidP="00197BC7">
      <w:r>
        <w:t xml:space="preserve">The </w:t>
      </w:r>
      <w:bookmarkStart w:id="14" w:name="_Toc83133456"/>
      <w:r>
        <w:t>Regulations are being reviewed because t</w:t>
      </w:r>
      <w:r w:rsidRPr="00A40FD5">
        <w:t xml:space="preserve">he </w:t>
      </w:r>
      <w:r>
        <w:t xml:space="preserve">2016 </w:t>
      </w:r>
      <w:r w:rsidRPr="00A40FD5">
        <w:t xml:space="preserve">RIS </w:t>
      </w:r>
      <w:r>
        <w:t>identified</w:t>
      </w:r>
      <w:r w:rsidRPr="00A40FD5">
        <w:t xml:space="preserve"> </w:t>
      </w:r>
      <w:r>
        <w:t>a</w:t>
      </w:r>
      <w:r w:rsidRPr="00A40FD5">
        <w:t xml:space="preserve"> </w:t>
      </w:r>
      <w:r>
        <w:t>need for a</w:t>
      </w:r>
      <w:r w:rsidRPr="00A40FD5">
        <w:t xml:space="preserve"> review </w:t>
      </w:r>
      <w:r>
        <w:t>within</w:t>
      </w:r>
      <w:r w:rsidRPr="00A40FD5">
        <w:t xml:space="preserve"> six years</w:t>
      </w:r>
      <w:r>
        <w:t>. In particular, a review was required to</w:t>
      </w:r>
      <w:r w:rsidRPr="00A40FD5">
        <w:t xml:space="preserve"> consider the current 13</w:t>
      </w:r>
      <w:r>
        <w:t> </w:t>
      </w:r>
      <w:r w:rsidRPr="00A40FD5">
        <w:t>percent discount on source licence fees</w:t>
      </w:r>
      <w:r>
        <w:t>,</w:t>
      </w:r>
      <w:r w:rsidRPr="00A40FD5">
        <w:t xml:space="preserve"> which applies until March 2023 </w:t>
      </w:r>
      <w:r>
        <w:t>as a result of</w:t>
      </w:r>
      <w:r w:rsidRPr="00A40FD5">
        <w:t xml:space="preserve"> regulation 15(2)</w:t>
      </w:r>
      <w:r>
        <w:t xml:space="preserve"> of the Regulations</w:t>
      </w:r>
      <w:r w:rsidRPr="00A40FD5">
        <w:t xml:space="preserve">. The discount was </w:t>
      </w:r>
      <w:r>
        <w:t xml:space="preserve">originally </w:t>
      </w:r>
      <w:r w:rsidRPr="00A40FD5">
        <w:t xml:space="preserve">applied to correct the historical over collection of fees under the previous radiation protection </w:t>
      </w:r>
      <w:r>
        <w:t>legislation</w:t>
      </w:r>
      <w:r w:rsidRPr="00A40FD5">
        <w:t xml:space="preserve">. </w:t>
      </w:r>
      <w:r>
        <w:t>The</w:t>
      </w:r>
      <w:r w:rsidRPr="00A40FD5">
        <w:t xml:space="preserve"> </w:t>
      </w:r>
      <w:r>
        <w:t>r</w:t>
      </w:r>
      <w:r w:rsidRPr="00A40FD5">
        <w:t xml:space="preserve">eview also </w:t>
      </w:r>
      <w:r>
        <w:t>aims</w:t>
      </w:r>
      <w:r w:rsidRPr="00A40FD5">
        <w:t xml:space="preserve"> to test the assumptions made </w:t>
      </w:r>
      <w:r>
        <w:t>about the</w:t>
      </w:r>
      <w:r w:rsidRPr="00A40FD5">
        <w:t xml:space="preserve"> costs of the regulatory framework and the level of licence fees</w:t>
      </w:r>
      <w:r>
        <w:t xml:space="preserve"> when the 2016 RIS was prepared</w:t>
      </w:r>
      <w:r w:rsidRPr="00A40FD5">
        <w:t>.</w:t>
      </w:r>
    </w:p>
    <w:p w14:paraId="0F749687" w14:textId="77777777" w:rsidR="00232F0B" w:rsidRDefault="00232F0B" w:rsidP="00197BC7"/>
    <w:p w14:paraId="06BF6614" w14:textId="6220453D" w:rsidR="0087667B" w:rsidRDefault="00232F0B" w:rsidP="00197BC7">
      <w:r w:rsidRPr="00A40FD5">
        <w:t xml:space="preserve">In addition, </w:t>
      </w:r>
      <w:r>
        <w:t>the Office of the Auditor-General</w:t>
      </w:r>
      <w:r w:rsidR="0087667B">
        <w:t>’</w:t>
      </w:r>
      <w:r>
        <w:t xml:space="preserve">s Good Practice Guideline </w:t>
      </w:r>
      <w:r w:rsidRPr="00A40FD5">
        <w:rPr>
          <w:i/>
          <w:iCs/>
          <w:shd w:val="clear" w:color="auto" w:fill="FFFFFF"/>
        </w:rPr>
        <w:t>Charging Fees for Public Sector Goods and Services</w:t>
      </w:r>
      <w:r w:rsidRPr="00197BC7">
        <w:rPr>
          <w:rStyle w:val="FootnoteReference"/>
        </w:rPr>
        <w:footnoteReference w:id="5"/>
      </w:r>
      <w:r w:rsidRPr="00A40FD5">
        <w:rPr>
          <w:shd w:val="clear" w:color="auto" w:fill="FFFFFF"/>
        </w:rPr>
        <w:t xml:space="preserve"> </w:t>
      </w:r>
      <w:r>
        <w:rPr>
          <w:shd w:val="clear" w:color="auto" w:fill="FFFFFF"/>
        </w:rPr>
        <w:t>advises that</w:t>
      </w:r>
      <w:r w:rsidRPr="00A40FD5">
        <w:rPr>
          <w:shd w:val="clear" w:color="auto" w:fill="FFFFFF"/>
        </w:rPr>
        <w:t xml:space="preserve"> a review of fees set in the public sector </w:t>
      </w:r>
      <w:r>
        <w:rPr>
          <w:shd w:val="clear" w:color="auto" w:fill="FFFFFF"/>
        </w:rPr>
        <w:t xml:space="preserve">should be conducted </w:t>
      </w:r>
      <w:r w:rsidRPr="00A40FD5">
        <w:rPr>
          <w:shd w:val="clear" w:color="auto" w:fill="FFFFFF"/>
        </w:rPr>
        <w:t xml:space="preserve">every three years. </w:t>
      </w:r>
      <w:r w:rsidRPr="00A40FD5">
        <w:t xml:space="preserve">Further, </w:t>
      </w:r>
      <w:r>
        <w:t xml:space="preserve">in The Treasury publication </w:t>
      </w:r>
      <w:r w:rsidRPr="00A40FD5">
        <w:rPr>
          <w:i/>
          <w:iCs/>
        </w:rPr>
        <w:t>Guidelines for Setting Charges in the Public Sector</w:t>
      </w:r>
      <w:r>
        <w:rPr>
          <w:i/>
          <w:iCs/>
        </w:rPr>
        <w:t xml:space="preserve"> [2017]</w:t>
      </w:r>
      <w:r w:rsidR="00D472E5">
        <w:rPr>
          <w:iCs/>
        </w:rPr>
        <w:t>.</w:t>
      </w:r>
      <w:r w:rsidRPr="00197BC7">
        <w:rPr>
          <w:rStyle w:val="FootnoteReference"/>
        </w:rPr>
        <w:footnoteReference w:id="6"/>
      </w:r>
      <w:r w:rsidRPr="00F434BC">
        <w:t xml:space="preserve"> </w:t>
      </w:r>
      <w:r>
        <w:t>T</w:t>
      </w:r>
      <w:r w:rsidRPr="00F434BC">
        <w:t xml:space="preserve">he Treasury </w:t>
      </w:r>
      <w:r>
        <w:t>advises</w:t>
      </w:r>
      <w:r w:rsidRPr="00A40FD5">
        <w:t xml:space="preserve"> that </w:t>
      </w:r>
      <w:r w:rsidR="0087667B">
        <w:t>‘</w:t>
      </w:r>
      <w:r w:rsidRPr="00A40FD5">
        <w:t>cost</w:t>
      </w:r>
      <w:r>
        <w:t>-</w:t>
      </w:r>
      <w:r w:rsidRPr="00A40FD5">
        <w:t xml:space="preserve">recovery </w:t>
      </w:r>
      <w:r>
        <w:t>frameworks</w:t>
      </w:r>
      <w:r w:rsidRPr="00A40FD5">
        <w:t xml:space="preserve"> should be </w:t>
      </w:r>
      <w:r w:rsidR="0087667B">
        <w:t>‘</w:t>
      </w:r>
      <w:r w:rsidRPr="00A40FD5">
        <w:t>living</w:t>
      </w:r>
      <w:r w:rsidR="0087667B">
        <w:t>’</w:t>
      </w:r>
      <w:r w:rsidRPr="00A40FD5">
        <w:t xml:space="preserve"> regimes that are reviewed regularly to ensure that they are operating efficiently and that over-recovery or under-recovery is minimised</w:t>
      </w:r>
      <w:r w:rsidR="0087667B">
        <w:t>’</w:t>
      </w:r>
      <w:r w:rsidRPr="00A40FD5">
        <w:t xml:space="preserve">. The Treasury guidelines </w:t>
      </w:r>
      <w:r>
        <w:t xml:space="preserve">also </w:t>
      </w:r>
      <w:r w:rsidRPr="00A40FD5">
        <w:t>recommend that fees be reviewed every three to five years.</w:t>
      </w:r>
    </w:p>
    <w:p w14:paraId="77BBC71B" w14:textId="77777777" w:rsidR="00232F0B" w:rsidRPr="00B62D94" w:rsidRDefault="00232F0B" w:rsidP="00197BC7"/>
    <w:p w14:paraId="79D25FB3" w14:textId="77777777" w:rsidR="00232F0B" w:rsidRDefault="00232F0B" w:rsidP="009C1654">
      <w:pPr>
        <w:pStyle w:val="Heading2-notnumbered"/>
      </w:pPr>
      <w:bookmarkStart w:id="15" w:name="_Toc89696182"/>
      <w:r>
        <w:t>About this document</w:t>
      </w:r>
      <w:bookmarkEnd w:id="14"/>
      <w:bookmarkEnd w:id="15"/>
    </w:p>
    <w:p w14:paraId="16AE50D6" w14:textId="77777777" w:rsidR="0087667B" w:rsidRDefault="00232F0B" w:rsidP="00197BC7">
      <w:r>
        <w:t>In preparing this consultation document</w:t>
      </w:r>
      <w:r w:rsidRPr="00651A4E">
        <w:t xml:space="preserve">, </w:t>
      </w:r>
      <w:r>
        <w:t xml:space="preserve">the Ministry reviewed the objectives set out in section 19 of the 2016 Regulatory Impact Statement (RIS) and concluded that the objectives remain relevant in 2021. On this basis, the consultation document </w:t>
      </w:r>
      <w:r w:rsidRPr="00651A4E">
        <w:t xml:space="preserve">is designed to test whether the Regulations </w:t>
      </w:r>
      <w:r w:rsidRPr="00F434BC">
        <w:rPr>
          <w:i/>
          <w:iCs/>
        </w:rPr>
        <w:t>continue</w:t>
      </w:r>
      <w:r w:rsidRPr="00651A4E">
        <w:t xml:space="preserve"> to meet the objectives </w:t>
      </w:r>
      <w:r>
        <w:t xml:space="preserve">of </w:t>
      </w:r>
      <w:r w:rsidRPr="00651A4E">
        <w:t>the 2016 RIS</w:t>
      </w:r>
      <w:r>
        <w:t>.</w:t>
      </w:r>
    </w:p>
    <w:p w14:paraId="385FF07E" w14:textId="77777777" w:rsidR="00232F0B" w:rsidRDefault="00232F0B" w:rsidP="00197BC7"/>
    <w:p w14:paraId="5399E7F1" w14:textId="77777777" w:rsidR="0087667B" w:rsidRDefault="00232F0B" w:rsidP="00197BC7">
      <w:pPr>
        <w:keepNext/>
      </w:pPr>
      <w:r>
        <w:t xml:space="preserve">In summary, the 2016 RIS objectives are for </w:t>
      </w:r>
      <w:r w:rsidRPr="00651A4E">
        <w:t>the Regulations</w:t>
      </w:r>
      <w:r>
        <w:t xml:space="preserve"> to</w:t>
      </w:r>
      <w:r w:rsidRPr="00651A4E">
        <w:t>:</w:t>
      </w:r>
    </w:p>
    <w:p w14:paraId="5263DE0B" w14:textId="77777777" w:rsidR="00232F0B" w:rsidRPr="0087667B" w:rsidRDefault="00232F0B" w:rsidP="00197BC7">
      <w:pPr>
        <w:pStyle w:val="Bullet"/>
        <w:keepNext/>
      </w:pPr>
      <w:r w:rsidRPr="0087667B">
        <w:t>prescribe the operational necessities required to support the Act</w:t>
      </w:r>
    </w:p>
    <w:p w14:paraId="5C4A2F80" w14:textId="77777777" w:rsidR="0087667B" w:rsidRPr="0087667B" w:rsidRDefault="00232F0B" w:rsidP="00197BC7">
      <w:pPr>
        <w:pStyle w:val="Bullet"/>
      </w:pPr>
      <w:r w:rsidRPr="0087667B">
        <w:t>regulate the use of radiation sources in an appropriate way, by meeting the principles of:</w:t>
      </w:r>
    </w:p>
    <w:p w14:paraId="250D23BC" w14:textId="77777777" w:rsidR="00232F0B" w:rsidRPr="0087667B" w:rsidRDefault="00232F0B" w:rsidP="00197BC7">
      <w:pPr>
        <w:pStyle w:val="Dash"/>
      </w:pPr>
      <w:r w:rsidRPr="0087667B">
        <w:t>proportionality – applying a graded approach so that the full range of risks and varying uses of ionising radiation can be managed appropriately</w:t>
      </w:r>
    </w:p>
    <w:p w14:paraId="04209BCC" w14:textId="77777777" w:rsidR="00232F0B" w:rsidRPr="0087667B" w:rsidRDefault="00232F0B" w:rsidP="00197BC7">
      <w:pPr>
        <w:pStyle w:val="Dash"/>
      </w:pPr>
      <w:r w:rsidRPr="0087667B">
        <w:t>simplicity – creating a straightforward, usable framework that avoids the burden of unnecessary administrative or compliance requirements</w:t>
      </w:r>
    </w:p>
    <w:p w14:paraId="720592EF" w14:textId="77777777" w:rsidR="00232F0B" w:rsidRPr="0087667B" w:rsidRDefault="00232F0B" w:rsidP="00197BC7">
      <w:pPr>
        <w:pStyle w:val="Dash"/>
      </w:pPr>
      <w:r w:rsidRPr="0087667B">
        <w:t>certainty in cases where this is necessary – such as by including specifying requirements in appointment warrants and compliance orders</w:t>
      </w:r>
    </w:p>
    <w:p w14:paraId="5AE2D302" w14:textId="77777777" w:rsidR="00232F0B" w:rsidRPr="00B62D94" w:rsidRDefault="00232F0B" w:rsidP="00197BC7">
      <w:pPr>
        <w:pStyle w:val="Dash"/>
      </w:pPr>
      <w:r w:rsidRPr="0087667B">
        <w:t>full cost recovery arising from administering authorisations and verifying compliance</w:t>
      </w:r>
    </w:p>
    <w:p w14:paraId="4AC5DB0D" w14:textId="77777777" w:rsidR="00232F0B" w:rsidRPr="00B62D94" w:rsidRDefault="00232F0B" w:rsidP="00197BC7">
      <w:pPr>
        <w:pStyle w:val="Dash"/>
      </w:pPr>
      <w:r w:rsidRPr="0087667B">
        <w:t>ensuring fees recovered reflect the statutory principles of equity, efficiency, justifiability, transparency and ease of administration.</w:t>
      </w:r>
    </w:p>
    <w:p w14:paraId="23716E12" w14:textId="77777777" w:rsidR="00232F0B" w:rsidRPr="002051AB" w:rsidRDefault="00232F0B" w:rsidP="00197BC7"/>
    <w:p w14:paraId="5198750A" w14:textId="77777777" w:rsidR="0087667B" w:rsidRDefault="00232F0B" w:rsidP="00197BC7">
      <w:r w:rsidRPr="002051AB">
        <w:t xml:space="preserve">In testing whether the </w:t>
      </w:r>
      <w:r>
        <w:t>R</w:t>
      </w:r>
      <w:r w:rsidRPr="00A96E38">
        <w:t>egulations continue to support the Act</w:t>
      </w:r>
      <w:r>
        <w:t xml:space="preserve"> adequately</w:t>
      </w:r>
      <w:r w:rsidRPr="00A96E38">
        <w:t xml:space="preserve">, </w:t>
      </w:r>
      <w:r>
        <w:t>we can confirm</w:t>
      </w:r>
      <w:r w:rsidRPr="00A96E38">
        <w:t xml:space="preserve"> that the scope of the Regulations remains fit for purpose</w:t>
      </w:r>
      <w:r>
        <w:t>: n</w:t>
      </w:r>
      <w:r w:rsidRPr="00A96E38">
        <w:t>o regulatory gaps have been identified</w:t>
      </w:r>
      <w:r>
        <w:t>,</w:t>
      </w:r>
      <w:r w:rsidRPr="00A96E38">
        <w:t xml:space="preserve"> and no unnecessary or burdensome regulation has come to light. In this respect, n</w:t>
      </w:r>
      <w:r>
        <w:t>o</w:t>
      </w:r>
      <w:r w:rsidRPr="002051AB">
        <w:t xml:space="preserve"> additional regulations or repeals are proposed in this consultation document.</w:t>
      </w:r>
      <w:r>
        <w:t xml:space="preserve"> </w:t>
      </w:r>
      <w:r w:rsidRPr="002051AB">
        <w:t xml:space="preserve">Therefore, </w:t>
      </w:r>
      <w:r>
        <w:t xml:space="preserve">we do </w:t>
      </w:r>
      <w:r w:rsidRPr="002051AB">
        <w:t>no</w:t>
      </w:r>
      <w:r>
        <w:t>t intend to make any</w:t>
      </w:r>
      <w:r w:rsidRPr="002051AB">
        <w:t xml:space="preserve"> </w:t>
      </w:r>
      <w:r>
        <w:t>changes to</w:t>
      </w:r>
      <w:r w:rsidRPr="002051AB">
        <w:t xml:space="preserve"> </w:t>
      </w:r>
      <w:r>
        <w:t xml:space="preserve">existing </w:t>
      </w:r>
      <w:r w:rsidRPr="002051AB">
        <w:t>radiation safety policy.</w:t>
      </w:r>
    </w:p>
    <w:p w14:paraId="60CEEBEE" w14:textId="77777777" w:rsidR="00232F0B" w:rsidRPr="002051AB" w:rsidRDefault="00232F0B" w:rsidP="00197BC7"/>
    <w:p w14:paraId="7D3DE77E" w14:textId="032468B3" w:rsidR="0087667B" w:rsidRDefault="00232F0B" w:rsidP="00197BC7">
      <w:r w:rsidRPr="002051AB">
        <w:t xml:space="preserve">In testing </w:t>
      </w:r>
      <w:r>
        <w:t xml:space="preserve">whether the Regulations continue to reflect </w:t>
      </w:r>
      <w:r w:rsidRPr="002051AB">
        <w:t xml:space="preserve">the principle of proportionality, the consultation document outlines two areas where </w:t>
      </w:r>
      <w:r>
        <w:t>improvements could be made</w:t>
      </w:r>
      <w:r w:rsidRPr="002051AB">
        <w:t xml:space="preserve">. Firstly, small changes could be made </w:t>
      </w:r>
      <w:r>
        <w:t xml:space="preserve">to </w:t>
      </w:r>
      <w:r w:rsidRPr="002051AB">
        <w:t>better group</w:t>
      </w:r>
      <w:r>
        <w:t xml:space="preserve"> </w:t>
      </w:r>
      <w:r w:rsidRPr="002051AB">
        <w:t xml:space="preserve">radiation activities </w:t>
      </w:r>
      <w:r>
        <w:t>that present similar levels of risk into the same compliance monitoring category (and the same routine inspection period)</w:t>
      </w:r>
      <w:r w:rsidRPr="002051AB">
        <w:t xml:space="preserve">. </w:t>
      </w:r>
      <w:r>
        <w:t>This is discussed further in s</w:t>
      </w:r>
      <w:r w:rsidRPr="002051AB">
        <w:t xml:space="preserve">ection </w:t>
      </w:r>
      <w:r w:rsidR="00D472E5">
        <w:fldChar w:fldCharType="begin"/>
      </w:r>
      <w:r w:rsidR="00D472E5">
        <w:instrText xml:space="preserve"> REF _Ref88643927 \r \h </w:instrText>
      </w:r>
      <w:r w:rsidR="00D472E5">
        <w:fldChar w:fldCharType="separate"/>
      </w:r>
      <w:r w:rsidR="003A5600">
        <w:t>2.3</w:t>
      </w:r>
      <w:r w:rsidR="00D472E5">
        <w:fldChar w:fldCharType="end"/>
      </w:r>
      <w:r w:rsidRPr="002051AB">
        <w:t xml:space="preserve"> of th</w:t>
      </w:r>
      <w:r>
        <w:t>is</w:t>
      </w:r>
      <w:r w:rsidRPr="002051AB">
        <w:t xml:space="preserve"> consultation document.</w:t>
      </w:r>
      <w:r>
        <w:t xml:space="preserve"> </w:t>
      </w:r>
      <w:r w:rsidRPr="002051AB">
        <w:t>Secondly, safety risks could be managed better by requiring a category of currently exempted</w:t>
      </w:r>
      <w:r>
        <w:t>,</w:t>
      </w:r>
      <w:r w:rsidRPr="002051AB">
        <w:t xml:space="preserve"> very</w:t>
      </w:r>
      <w:r>
        <w:t>-</w:t>
      </w:r>
      <w:r w:rsidRPr="002051AB">
        <w:t>low</w:t>
      </w:r>
      <w:r>
        <w:t>-</w:t>
      </w:r>
      <w:r w:rsidRPr="002051AB">
        <w:t>risk irradiating apparatus</w:t>
      </w:r>
      <w:r>
        <w:t>es</w:t>
      </w:r>
      <w:r w:rsidRPr="002051AB">
        <w:t xml:space="preserve"> to be registered under the Act</w:t>
      </w:r>
      <w:r>
        <w:t xml:space="preserve">. This would also require </w:t>
      </w:r>
      <w:r w:rsidRPr="002051AB">
        <w:t xml:space="preserve">records to be kept and made available for inspection should this be required. </w:t>
      </w:r>
      <w:r>
        <w:t xml:space="preserve">Section </w:t>
      </w:r>
      <w:r w:rsidR="00D472E5">
        <w:fldChar w:fldCharType="begin"/>
      </w:r>
      <w:r w:rsidR="00D472E5">
        <w:instrText xml:space="preserve"> REF _Ref88643911 \r \h </w:instrText>
      </w:r>
      <w:r w:rsidR="00D472E5">
        <w:fldChar w:fldCharType="separate"/>
      </w:r>
      <w:r w:rsidR="003A5600">
        <w:t>4.1</w:t>
      </w:r>
      <w:r w:rsidR="00D472E5">
        <w:fldChar w:fldCharType="end"/>
      </w:r>
      <w:r>
        <w:t xml:space="preserve"> of this document discusses this further.</w:t>
      </w:r>
    </w:p>
    <w:p w14:paraId="4AE6CB67" w14:textId="77777777" w:rsidR="00232F0B" w:rsidRPr="002051AB" w:rsidRDefault="00232F0B" w:rsidP="00197BC7"/>
    <w:p w14:paraId="1316075C" w14:textId="624C008F" w:rsidR="0087667B" w:rsidRDefault="00232F0B" w:rsidP="00197BC7">
      <w:r>
        <w:t xml:space="preserve">Section </w:t>
      </w:r>
      <w:r w:rsidRPr="00BC5AAC">
        <w:t>2</w:t>
      </w:r>
      <w:r w:rsidR="002E64B7" w:rsidRPr="00BC5AAC">
        <w:t>.4</w:t>
      </w:r>
      <w:r>
        <w:t xml:space="preserve"> discusses</w:t>
      </w:r>
      <w:r w:rsidRPr="002051AB">
        <w:t xml:space="preserve"> </w:t>
      </w:r>
      <w:r>
        <w:t xml:space="preserve">whether the Regulations continue to reflect </w:t>
      </w:r>
      <w:r w:rsidRPr="002051AB">
        <w:t>the principles of simplicity and certainty</w:t>
      </w:r>
      <w:r>
        <w:t xml:space="preserve"> and</w:t>
      </w:r>
      <w:r w:rsidRPr="002051AB">
        <w:t xml:space="preserve"> </w:t>
      </w:r>
      <w:r>
        <w:t>outlines that</w:t>
      </w:r>
      <w:r w:rsidRPr="002051AB">
        <w:t xml:space="preserve"> the means for </w:t>
      </w:r>
      <w:r w:rsidRPr="00EF4FF1">
        <w:t>determin</w:t>
      </w:r>
      <w:r>
        <w:t>ing</w:t>
      </w:r>
      <w:r w:rsidRPr="002051AB">
        <w:t xml:space="preserve"> the fees pay</w:t>
      </w:r>
      <w:r>
        <w:t>ab</w:t>
      </w:r>
      <w:r w:rsidRPr="002051AB">
        <w:t>le fo</w:t>
      </w:r>
      <w:r>
        <w:t>r</w:t>
      </w:r>
      <w:r w:rsidRPr="002051AB">
        <w:t xml:space="preserve"> source licences </w:t>
      </w:r>
      <w:r>
        <w:t>could be amended to make the Regulations easier to use. However, no changes to the exiting approach to determining the source licence fee payable are being proposed.</w:t>
      </w:r>
    </w:p>
    <w:p w14:paraId="4F251F33" w14:textId="77777777" w:rsidR="00232F0B" w:rsidRPr="002051AB" w:rsidRDefault="00232F0B" w:rsidP="00197BC7"/>
    <w:p w14:paraId="5E2ACC01" w14:textId="480264EB" w:rsidR="0087667B" w:rsidRPr="0087667B" w:rsidRDefault="00232F0B" w:rsidP="00381210">
      <w:r>
        <w:t xml:space="preserve">Section </w:t>
      </w:r>
      <w:r w:rsidR="00AF4ACD">
        <w:fldChar w:fldCharType="begin"/>
      </w:r>
      <w:r w:rsidR="00AF4ACD">
        <w:instrText xml:space="preserve"> REF _Ref88643981 \r \h </w:instrText>
      </w:r>
      <w:r w:rsidR="00AF4ACD">
        <w:fldChar w:fldCharType="separate"/>
      </w:r>
      <w:r w:rsidR="003A5600">
        <w:t>1</w:t>
      </w:r>
      <w:r w:rsidR="00AF4ACD">
        <w:fldChar w:fldCharType="end"/>
      </w:r>
      <w:r>
        <w:t xml:space="preserve"> consider</w:t>
      </w:r>
      <w:r w:rsidR="000C6582">
        <w:t>s</w:t>
      </w:r>
      <w:r w:rsidRPr="00842E2E">
        <w:t xml:space="preserve"> </w:t>
      </w:r>
      <w:r>
        <w:t xml:space="preserve">whether </w:t>
      </w:r>
      <w:r w:rsidRPr="00842E2E">
        <w:t>the</w:t>
      </w:r>
      <w:r w:rsidRPr="00FA6092">
        <w:t xml:space="preserve"> </w:t>
      </w:r>
      <w:r>
        <w:t xml:space="preserve">Regulations continue to meet the objective of full </w:t>
      </w:r>
      <w:r w:rsidRPr="00FA6092">
        <w:t>cost recovery</w:t>
      </w:r>
      <w:r>
        <w:t xml:space="preserve"> and present the findings of the Ministry</w:t>
      </w:r>
      <w:r w:rsidR="0087667B">
        <w:t>’</w:t>
      </w:r>
      <w:r>
        <w:t xml:space="preserve">s fees review. The fees review has found </w:t>
      </w:r>
      <w:r w:rsidRPr="0081055A">
        <w:t>that the current fees significantly under-recover the current</w:t>
      </w:r>
      <w:r w:rsidRPr="00A40FD5">
        <w:t xml:space="preserve"> costs of </w:t>
      </w:r>
      <w:r>
        <w:t xml:space="preserve">regulating </w:t>
      </w:r>
      <w:r w:rsidRPr="00A40FD5">
        <w:t xml:space="preserve">radiation safety. </w:t>
      </w:r>
      <w:r>
        <w:t xml:space="preserve">These sections also provide information on setting new fees to achieve full cost recovery. Every attempt has been made to provide full information on costs and fee distributions to demonstrate </w:t>
      </w:r>
      <w:r w:rsidRPr="0087667B">
        <w:t>equity, efficiency, justifiability, transparency and ease of administration. The method used to calculate the proposed</w:t>
      </w:r>
      <w:r w:rsidR="00381210">
        <w:t xml:space="preserve"> </w:t>
      </w:r>
      <w:r w:rsidRPr="0087667B">
        <w:t>new fees has been reviewed by the accounting firm PricewaterhouseCoopers New Zealand (PwC). Submitters can view PwC</w:t>
      </w:r>
      <w:r w:rsidR="0087667B" w:rsidRPr="0087667B">
        <w:t>’</w:t>
      </w:r>
      <w:r w:rsidRPr="0087667B">
        <w:t>s report on the Ministry</w:t>
      </w:r>
      <w:r w:rsidR="0087667B" w:rsidRPr="0087667B">
        <w:t>’</w:t>
      </w:r>
      <w:r w:rsidRPr="0087667B">
        <w:t xml:space="preserve">s </w:t>
      </w:r>
      <w:r w:rsidRPr="00BC4D45">
        <w:t>website.</w:t>
      </w:r>
      <w:r w:rsidRPr="00BC4D45">
        <w:rPr>
          <w:rStyle w:val="FootnoteReference"/>
        </w:rPr>
        <w:footnoteReference w:id="7"/>
      </w:r>
      <w:r w:rsidRPr="00BC4D45">
        <w:t xml:space="preserve"> The</w:t>
      </w:r>
      <w:r w:rsidRPr="0087667B">
        <w:t xml:space="preserve"> proposed new fees, compared to the existing fees, are set out in </w:t>
      </w:r>
      <w:hyperlink w:anchor="Appendix_1" w:history="1">
        <w:r w:rsidR="00B55585" w:rsidRPr="00B55585">
          <w:rPr>
            <w:rStyle w:val="Hyperlink"/>
            <w:b w:val="0"/>
            <w:color w:val="auto"/>
          </w:rPr>
          <w:t>Appendix 1</w:t>
        </w:r>
      </w:hyperlink>
      <w:r w:rsidRPr="0087667B">
        <w:t>.</w:t>
      </w:r>
    </w:p>
    <w:p w14:paraId="2AE13275" w14:textId="77777777" w:rsidR="00232F0B" w:rsidRPr="00A40FD5" w:rsidRDefault="00232F0B" w:rsidP="00197BC7"/>
    <w:p w14:paraId="1C598228" w14:textId="0A26FEE0" w:rsidR="0087667B" w:rsidRDefault="00232F0B" w:rsidP="00197BC7">
      <w:r>
        <w:t xml:space="preserve">This consultation document presents only the matters identified in the review of the fees and the Regulations. </w:t>
      </w:r>
      <w:r w:rsidRPr="0087667B">
        <w:rPr>
          <w:color w:val="0D0D0D" w:themeColor="text1" w:themeTint="F2"/>
          <w:szCs w:val="24"/>
        </w:rPr>
        <w:t>It does not discuss all the matters that can possibly be dealt with in the Regulations</w:t>
      </w:r>
      <w:r>
        <w:t xml:space="preserve"> – that is, any matters </w:t>
      </w:r>
      <w:r w:rsidRPr="00A40FD5">
        <w:t xml:space="preserve">set out in sections 91 to 93 of the </w:t>
      </w:r>
      <w:r>
        <w:t>Act</w:t>
      </w:r>
      <w:r w:rsidRPr="00A40FD5">
        <w:t xml:space="preserve">. </w:t>
      </w:r>
      <w:r>
        <w:t xml:space="preserve">Section </w:t>
      </w:r>
      <w:r w:rsidR="00AF4ACD">
        <w:fldChar w:fldCharType="begin"/>
      </w:r>
      <w:r w:rsidR="00AF4ACD">
        <w:instrText xml:space="preserve"> REF _Ref88644002 \r \h </w:instrText>
      </w:r>
      <w:r w:rsidR="00AF4ACD">
        <w:fldChar w:fldCharType="separate"/>
      </w:r>
      <w:r w:rsidR="003A5600">
        <w:t>5</w:t>
      </w:r>
      <w:r w:rsidR="00AF4ACD">
        <w:fldChar w:fldCharType="end"/>
      </w:r>
      <w:r>
        <w:t xml:space="preserve"> deals with the scope of other matters that can be dealt with in the Regulations.</w:t>
      </w:r>
    </w:p>
    <w:p w14:paraId="30E2EF3B" w14:textId="77777777" w:rsidR="00232F0B" w:rsidRDefault="00232F0B" w:rsidP="00197BC7"/>
    <w:p w14:paraId="0D0074D7" w14:textId="77777777" w:rsidR="0087667B" w:rsidRDefault="00232F0B" w:rsidP="00197BC7">
      <w:r>
        <w:t xml:space="preserve">While </w:t>
      </w:r>
      <w:r w:rsidRPr="004E15B4">
        <w:t>th</w:t>
      </w:r>
      <w:r>
        <w:t>is</w:t>
      </w:r>
      <w:r w:rsidRPr="001A5324">
        <w:t xml:space="preserve"> </w:t>
      </w:r>
      <w:r>
        <w:t>consultation</w:t>
      </w:r>
      <w:r w:rsidRPr="001A5324">
        <w:t xml:space="preserve"> document sets out preferred options,</w:t>
      </w:r>
      <w:r>
        <w:t xml:space="preserve"> it also includes</w:t>
      </w:r>
      <w:r w:rsidRPr="001A5324">
        <w:t xml:space="preserve"> status quo</w:t>
      </w:r>
      <w:r>
        <w:t xml:space="preserve"> (no changes) and </w:t>
      </w:r>
      <w:r w:rsidRPr="001A5324">
        <w:t xml:space="preserve">alternative options </w:t>
      </w:r>
      <w:r>
        <w:t>where feasible</w:t>
      </w:r>
      <w:r w:rsidRPr="001A5324">
        <w:t xml:space="preserve">. This is a standard approach. The options are presented </w:t>
      </w:r>
      <w:r>
        <w:t>in this way</w:t>
      </w:r>
      <w:r w:rsidRPr="001A5324">
        <w:t xml:space="preserve"> to promote discussion: no decisions have been made </w:t>
      </w:r>
      <w:r>
        <w:t>at this stage of the process</w:t>
      </w:r>
      <w:r w:rsidRPr="001A5324">
        <w:t xml:space="preserve">. </w:t>
      </w:r>
      <w:r w:rsidRPr="00BB3D64">
        <w:t xml:space="preserve">Discussion points are presented based on topic areas and do not follow the order of provisions </w:t>
      </w:r>
      <w:r w:rsidRPr="00B27EF8">
        <w:t>in t</w:t>
      </w:r>
      <w:r w:rsidRPr="00BB3D64">
        <w:t xml:space="preserve">he Regulations or </w:t>
      </w:r>
      <w:r w:rsidRPr="00B27EF8">
        <w:t>in the Act.</w:t>
      </w:r>
    </w:p>
    <w:p w14:paraId="658F1DBE" w14:textId="77777777" w:rsidR="00232F0B" w:rsidRDefault="00232F0B" w:rsidP="00197BC7"/>
    <w:p w14:paraId="3E74E05C" w14:textId="77777777" w:rsidR="00232F0B" w:rsidRPr="0087667B" w:rsidRDefault="00232F0B" w:rsidP="00197BC7">
      <w:r w:rsidRPr="0041159D">
        <w:t xml:space="preserve">The Ministry </w:t>
      </w:r>
      <w:r>
        <w:t xml:space="preserve">is </w:t>
      </w:r>
      <w:r w:rsidRPr="0041159D">
        <w:t xml:space="preserve">satisfied </w:t>
      </w:r>
      <w:r>
        <w:t xml:space="preserve">that </w:t>
      </w:r>
      <w:r w:rsidRPr="0041159D">
        <w:t>th</w:t>
      </w:r>
      <w:r>
        <w:t>e fees and cost recovery information provided in this consultation document and PwC</w:t>
      </w:r>
      <w:r w:rsidR="0087667B">
        <w:t>’</w:t>
      </w:r>
      <w:r>
        <w:t xml:space="preserve">s report considers, as far as is reasonably practicable, the </w:t>
      </w:r>
      <w:r w:rsidRPr="0087667B">
        <w:t>principles of equity, efficiency, justifiability, transparency and ease of administration as required under section 92(3) of the Act and provides sufficient information as required by section 92(4) of the Act.</w:t>
      </w:r>
    </w:p>
    <w:p w14:paraId="24CFF733" w14:textId="77777777" w:rsidR="00232F0B" w:rsidRPr="0087667B" w:rsidRDefault="00232F0B" w:rsidP="00197BC7"/>
    <w:p w14:paraId="594B27D5" w14:textId="77777777" w:rsidR="0087667B" w:rsidRDefault="00232F0B" w:rsidP="00197BC7">
      <w:r w:rsidRPr="0087667B">
        <w:t xml:space="preserve">The Ministry is satisfied that </w:t>
      </w:r>
      <w:r>
        <w:t>a six-week public consultation on the matters raised in this consultation document followed by due consideration of all in-scope submissions received would constitute appropriate consultation and provide sufficient time for submitters to provide their response as required by section 92(4) of the Act.</w:t>
      </w:r>
    </w:p>
    <w:p w14:paraId="3343FB15" w14:textId="77777777" w:rsidR="00232F0B" w:rsidRPr="0041159D" w:rsidRDefault="00232F0B" w:rsidP="00197BC7"/>
    <w:p w14:paraId="52043343" w14:textId="77777777" w:rsidR="00232F0B" w:rsidRDefault="00232F0B" w:rsidP="00197BC7">
      <w:r w:rsidRPr="0041159D">
        <w:t xml:space="preserve">The </w:t>
      </w:r>
      <w:r>
        <w:t xml:space="preserve">Ministry </w:t>
      </w:r>
      <w:r w:rsidRPr="0041159D">
        <w:t>has reviewed</w:t>
      </w:r>
      <w:r>
        <w:t xml:space="preserve"> the consultation document </w:t>
      </w:r>
      <w:r w:rsidRPr="0041159D">
        <w:t>and confirm</w:t>
      </w:r>
      <w:r>
        <w:t>s</w:t>
      </w:r>
      <w:r w:rsidRPr="0041159D">
        <w:t xml:space="preserve"> that </w:t>
      </w:r>
      <w:r>
        <w:t>it</w:t>
      </w:r>
      <w:r w:rsidRPr="0041159D">
        <w:t xml:space="preserve"> can substitute for</w:t>
      </w:r>
      <w:r>
        <w:t xml:space="preserve"> </w:t>
      </w:r>
      <w:r w:rsidRPr="0041159D">
        <w:t xml:space="preserve">an interim </w:t>
      </w:r>
      <w:r>
        <w:t>RIS,</w:t>
      </w:r>
      <w:r w:rsidRPr="0041159D">
        <w:t xml:space="preserve"> </w:t>
      </w:r>
      <w:r>
        <w:t>can</w:t>
      </w:r>
      <w:r w:rsidRPr="0041159D">
        <w:t xml:space="preserve"> lead to effective</w:t>
      </w:r>
      <w:r>
        <w:t xml:space="preserve"> </w:t>
      </w:r>
      <w:r w:rsidRPr="0041159D">
        <w:t xml:space="preserve">consultation and </w:t>
      </w:r>
      <w:r>
        <w:t xml:space="preserve">can </w:t>
      </w:r>
      <w:r w:rsidRPr="0041159D">
        <w:t>support the eventual development of a quality</w:t>
      </w:r>
      <w:r>
        <w:t xml:space="preserve"> RIS</w:t>
      </w:r>
      <w:r w:rsidRPr="0041159D">
        <w:t>.</w:t>
      </w:r>
    </w:p>
    <w:p w14:paraId="062F7AFE" w14:textId="77777777" w:rsidR="00232F0B" w:rsidRDefault="00232F0B" w:rsidP="00197BC7"/>
    <w:p w14:paraId="668E1A18" w14:textId="77777777" w:rsidR="0087667B" w:rsidRDefault="00232F0B" w:rsidP="00197BC7">
      <w:r w:rsidRPr="001609A5">
        <w:t>All fees quoted in this consultation d</w:t>
      </w:r>
      <w:r w:rsidRPr="003D5CC8">
        <w:t>ocument are exclusive of goods and services tax (GST).</w:t>
      </w:r>
    </w:p>
    <w:p w14:paraId="748BF0EB" w14:textId="77777777" w:rsidR="00232F0B" w:rsidRDefault="00232F0B" w:rsidP="00197BC7"/>
    <w:p w14:paraId="37A65E48" w14:textId="77777777" w:rsidR="00232F0B" w:rsidRPr="00A40FD5" w:rsidRDefault="00232F0B" w:rsidP="009C1654">
      <w:pPr>
        <w:pStyle w:val="Heading2-notnumbered"/>
      </w:pPr>
      <w:bookmarkStart w:id="17" w:name="_Toc449001261"/>
      <w:bookmarkStart w:id="18" w:name="_Toc450059021"/>
      <w:bookmarkStart w:id="19" w:name="_Toc83133457"/>
      <w:bookmarkStart w:id="20" w:name="_Toc89696183"/>
      <w:r w:rsidRPr="00A40FD5">
        <w:t>Definitions</w:t>
      </w:r>
      <w:bookmarkEnd w:id="17"/>
      <w:bookmarkEnd w:id="18"/>
      <w:bookmarkEnd w:id="19"/>
      <w:bookmarkEnd w:id="20"/>
    </w:p>
    <w:p w14:paraId="047BD431" w14:textId="22D4BDBC" w:rsidR="00232F0B" w:rsidRDefault="00232F0B" w:rsidP="00217668">
      <w:pPr>
        <w:keepNext/>
      </w:pPr>
      <w:r w:rsidRPr="00A40FD5">
        <w:t>Th</w:t>
      </w:r>
      <w:r>
        <w:t>is</w:t>
      </w:r>
      <w:r w:rsidRPr="00A40FD5">
        <w:t xml:space="preserve"> consultation document uses technical and scientific terms derived from the Regulations and the Act. To make the document more useful, these terms </w:t>
      </w:r>
      <w:r>
        <w:t>have been highlighted in</w:t>
      </w:r>
      <w:r w:rsidRPr="00A40FD5">
        <w:t xml:space="preserve"> bold on </w:t>
      </w:r>
      <w:r>
        <w:t xml:space="preserve">their </w:t>
      </w:r>
      <w:r w:rsidRPr="00A40FD5">
        <w:t xml:space="preserve">first mention and are also defined in </w:t>
      </w:r>
      <w:r w:rsidR="00217668">
        <w:fldChar w:fldCharType="begin"/>
      </w:r>
      <w:r w:rsidR="00217668">
        <w:instrText xml:space="preserve"> REF _Ref87366970 \h </w:instrText>
      </w:r>
      <w:r w:rsidR="00217668">
        <w:fldChar w:fldCharType="separate"/>
      </w:r>
      <w:r w:rsidR="003A5600">
        <w:t>Table </w:t>
      </w:r>
      <w:r w:rsidR="003A5600">
        <w:rPr>
          <w:noProof/>
        </w:rPr>
        <w:t>1</w:t>
      </w:r>
      <w:r w:rsidR="00217668">
        <w:fldChar w:fldCharType="end"/>
      </w:r>
      <w:r>
        <w:t xml:space="preserve"> below</w:t>
      </w:r>
      <w:r w:rsidRPr="00A40FD5">
        <w:t>. The definitions in</w:t>
      </w:r>
      <w:r w:rsidR="00217668">
        <w:t xml:space="preserve"> </w:t>
      </w:r>
      <w:r w:rsidR="00217668">
        <w:fldChar w:fldCharType="begin"/>
      </w:r>
      <w:r w:rsidR="00217668">
        <w:instrText xml:space="preserve"> REF _Ref87366970 \h </w:instrText>
      </w:r>
      <w:r w:rsidR="00217668">
        <w:fldChar w:fldCharType="separate"/>
      </w:r>
      <w:r w:rsidR="003A5600">
        <w:t>Table </w:t>
      </w:r>
      <w:r w:rsidR="003A5600">
        <w:rPr>
          <w:noProof/>
        </w:rPr>
        <w:t>1</w:t>
      </w:r>
      <w:r w:rsidR="00217668">
        <w:fldChar w:fldCharType="end"/>
      </w:r>
      <w:r w:rsidRPr="00A40FD5">
        <w:t xml:space="preserve"> should be used only for the purposes of th</w:t>
      </w:r>
      <w:r>
        <w:t>is</w:t>
      </w:r>
      <w:r w:rsidRPr="00A40FD5">
        <w:t xml:space="preserve"> </w:t>
      </w:r>
      <w:r>
        <w:t xml:space="preserve">specific </w:t>
      </w:r>
      <w:r w:rsidRPr="00A40FD5">
        <w:t>consultation.</w:t>
      </w:r>
    </w:p>
    <w:p w14:paraId="1D87FBB9" w14:textId="77777777" w:rsidR="00217668" w:rsidRPr="00217668" w:rsidRDefault="00217668" w:rsidP="00217668">
      <w:pPr>
        <w:keepNext/>
        <w:rPr>
          <w:b/>
        </w:rPr>
      </w:pPr>
    </w:p>
    <w:p w14:paraId="04D0AA39" w14:textId="205EB82A" w:rsidR="00232F0B" w:rsidRPr="00A40FD5" w:rsidRDefault="00217668" w:rsidP="00217668">
      <w:pPr>
        <w:pStyle w:val="Table"/>
      </w:pPr>
      <w:bookmarkStart w:id="21" w:name="_Ref87366970"/>
      <w:bookmarkStart w:id="22" w:name="_Toc450059059"/>
      <w:bookmarkStart w:id="23" w:name="_Toc84916115"/>
      <w:bookmarkStart w:id="24" w:name="_Toc84916178"/>
      <w:bookmarkStart w:id="25" w:name="_Toc88644149"/>
      <w:r>
        <w:t>Table </w:t>
      </w:r>
      <w:r w:rsidR="00384F9F">
        <w:fldChar w:fldCharType="begin"/>
      </w:r>
      <w:r w:rsidR="00384F9F">
        <w:instrText xml:space="preserve"> SEQ Table \* ARABIC </w:instrText>
      </w:r>
      <w:r w:rsidR="00384F9F">
        <w:fldChar w:fldCharType="separate"/>
      </w:r>
      <w:r w:rsidR="003A5600">
        <w:rPr>
          <w:noProof/>
        </w:rPr>
        <w:t>1</w:t>
      </w:r>
      <w:r w:rsidR="00384F9F">
        <w:rPr>
          <w:noProof/>
        </w:rPr>
        <w:fldChar w:fldCharType="end"/>
      </w:r>
      <w:bookmarkEnd w:id="21"/>
      <w:r w:rsidR="00232F0B" w:rsidRPr="00A40FD5">
        <w:t>:</w:t>
      </w:r>
      <w:r>
        <w:t xml:space="preserve"> </w:t>
      </w:r>
      <w:bookmarkEnd w:id="22"/>
      <w:r w:rsidR="00232F0B" w:rsidRPr="00A40FD5">
        <w:t>Definitions of technical and scientific terms used in this consultation document</w:t>
      </w:r>
      <w:bookmarkEnd w:id="23"/>
      <w:bookmarkEnd w:id="24"/>
      <w:bookmarkEnd w:id="25"/>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1560"/>
        <w:gridCol w:w="5103"/>
        <w:gridCol w:w="1417"/>
      </w:tblGrid>
      <w:tr w:rsidR="00232F0B" w:rsidRPr="00217668" w14:paraId="388A0728" w14:textId="77777777" w:rsidTr="00217668">
        <w:trPr>
          <w:cantSplit/>
          <w:tblHeader/>
        </w:trPr>
        <w:tc>
          <w:tcPr>
            <w:tcW w:w="1560" w:type="dxa"/>
            <w:tcBorders>
              <w:top w:val="nil"/>
              <w:bottom w:val="nil"/>
            </w:tcBorders>
            <w:shd w:val="clear" w:color="auto" w:fill="D9D9D9" w:themeFill="background1" w:themeFillShade="D9"/>
            <w:noWrap/>
            <w:hideMark/>
          </w:tcPr>
          <w:p w14:paraId="541F0128" w14:textId="77777777" w:rsidR="00232F0B" w:rsidRPr="00217668" w:rsidRDefault="00232F0B" w:rsidP="00217668">
            <w:pPr>
              <w:pStyle w:val="TableText"/>
              <w:ind w:right="113"/>
              <w:rPr>
                <w:b/>
                <w:lang w:eastAsia="en-NZ"/>
              </w:rPr>
            </w:pPr>
            <w:r w:rsidRPr="00217668">
              <w:rPr>
                <w:b/>
                <w:lang w:eastAsia="en-NZ"/>
              </w:rPr>
              <w:t>Term</w:t>
            </w:r>
          </w:p>
        </w:tc>
        <w:tc>
          <w:tcPr>
            <w:tcW w:w="5103" w:type="dxa"/>
            <w:tcBorders>
              <w:top w:val="nil"/>
              <w:bottom w:val="nil"/>
            </w:tcBorders>
            <w:shd w:val="clear" w:color="auto" w:fill="D9D9D9" w:themeFill="background1" w:themeFillShade="D9"/>
            <w:noWrap/>
            <w:hideMark/>
          </w:tcPr>
          <w:p w14:paraId="447C3B11" w14:textId="77777777" w:rsidR="00232F0B" w:rsidRPr="00217668" w:rsidRDefault="00232F0B" w:rsidP="00217668">
            <w:pPr>
              <w:pStyle w:val="TableText"/>
              <w:rPr>
                <w:b/>
                <w:lang w:eastAsia="en-NZ"/>
              </w:rPr>
            </w:pPr>
            <w:r w:rsidRPr="00217668">
              <w:rPr>
                <w:b/>
                <w:lang w:eastAsia="en-NZ"/>
              </w:rPr>
              <w:t>Definition</w:t>
            </w:r>
          </w:p>
        </w:tc>
        <w:tc>
          <w:tcPr>
            <w:tcW w:w="1417" w:type="dxa"/>
            <w:tcBorders>
              <w:top w:val="nil"/>
              <w:bottom w:val="nil"/>
            </w:tcBorders>
            <w:shd w:val="clear" w:color="auto" w:fill="D9D9D9" w:themeFill="background1" w:themeFillShade="D9"/>
            <w:noWrap/>
            <w:hideMark/>
          </w:tcPr>
          <w:p w14:paraId="6CF2C55A" w14:textId="77777777" w:rsidR="00232F0B" w:rsidRPr="00217668" w:rsidRDefault="00232F0B" w:rsidP="00217668">
            <w:pPr>
              <w:pStyle w:val="TableText"/>
              <w:jc w:val="center"/>
              <w:rPr>
                <w:b/>
                <w:lang w:eastAsia="en-NZ"/>
              </w:rPr>
            </w:pPr>
            <w:r w:rsidRPr="00217668">
              <w:rPr>
                <w:b/>
                <w:lang w:eastAsia="en-NZ"/>
              </w:rPr>
              <w:t>Use in the Regulations and/or the Act</w:t>
            </w:r>
          </w:p>
        </w:tc>
      </w:tr>
      <w:tr w:rsidR="00232F0B" w:rsidRPr="00A40FD5" w14:paraId="4321CA77" w14:textId="77777777" w:rsidTr="00217668">
        <w:trPr>
          <w:cantSplit/>
        </w:trPr>
        <w:tc>
          <w:tcPr>
            <w:tcW w:w="1560" w:type="dxa"/>
            <w:tcBorders>
              <w:top w:val="nil"/>
            </w:tcBorders>
            <w:shd w:val="clear" w:color="auto" w:fill="auto"/>
            <w:noWrap/>
            <w:hideMark/>
          </w:tcPr>
          <w:p w14:paraId="22414DF1" w14:textId="77777777" w:rsidR="00232F0B" w:rsidRPr="00A40FD5" w:rsidRDefault="00232F0B" w:rsidP="00217668">
            <w:pPr>
              <w:pStyle w:val="TableText"/>
              <w:ind w:right="113"/>
              <w:rPr>
                <w:lang w:eastAsia="en-NZ"/>
              </w:rPr>
            </w:pPr>
            <w:r w:rsidRPr="00A40FD5">
              <w:rPr>
                <w:lang w:eastAsia="en-NZ"/>
              </w:rPr>
              <w:t>Authorisation</w:t>
            </w:r>
          </w:p>
        </w:tc>
        <w:tc>
          <w:tcPr>
            <w:tcW w:w="5103" w:type="dxa"/>
            <w:tcBorders>
              <w:top w:val="nil"/>
            </w:tcBorders>
            <w:shd w:val="clear" w:color="auto" w:fill="auto"/>
            <w:noWrap/>
            <w:hideMark/>
          </w:tcPr>
          <w:p w14:paraId="3E57EA2C" w14:textId="77777777" w:rsidR="00232F0B" w:rsidRPr="00A40FD5" w:rsidRDefault="00232F0B" w:rsidP="00217668">
            <w:pPr>
              <w:pStyle w:val="TableText"/>
              <w:rPr>
                <w:lang w:eastAsia="en-NZ"/>
              </w:rPr>
            </w:pPr>
            <w:r w:rsidRPr="00A40FD5">
              <w:rPr>
                <w:lang w:eastAsia="en-NZ"/>
              </w:rPr>
              <w:t>A source licence, use licence or consent</w:t>
            </w:r>
          </w:p>
        </w:tc>
        <w:tc>
          <w:tcPr>
            <w:tcW w:w="1417" w:type="dxa"/>
            <w:tcBorders>
              <w:top w:val="nil"/>
            </w:tcBorders>
            <w:shd w:val="clear" w:color="auto" w:fill="auto"/>
            <w:noWrap/>
            <w:hideMark/>
          </w:tcPr>
          <w:p w14:paraId="4DBF68BC" w14:textId="77777777" w:rsidR="00232F0B" w:rsidRPr="00A40FD5" w:rsidRDefault="00232F0B" w:rsidP="00217668">
            <w:pPr>
              <w:pStyle w:val="TableText"/>
              <w:jc w:val="center"/>
              <w:rPr>
                <w:lang w:eastAsia="en-NZ"/>
              </w:rPr>
            </w:pPr>
            <w:r w:rsidRPr="00A40FD5">
              <w:rPr>
                <w:lang w:eastAsia="en-NZ"/>
              </w:rPr>
              <w:t>s5(1)</w:t>
            </w:r>
          </w:p>
        </w:tc>
      </w:tr>
      <w:tr w:rsidR="00232F0B" w:rsidRPr="00A40FD5" w14:paraId="61F48C31" w14:textId="77777777" w:rsidTr="00217668">
        <w:trPr>
          <w:cantSplit/>
        </w:trPr>
        <w:tc>
          <w:tcPr>
            <w:tcW w:w="1560" w:type="dxa"/>
            <w:shd w:val="clear" w:color="auto" w:fill="auto"/>
            <w:noWrap/>
          </w:tcPr>
          <w:p w14:paraId="02610CBA" w14:textId="77777777" w:rsidR="00232F0B" w:rsidRPr="00A40FD5" w:rsidRDefault="00232F0B" w:rsidP="00217668">
            <w:pPr>
              <w:pStyle w:val="TableText"/>
              <w:ind w:right="113"/>
              <w:rPr>
                <w:lang w:eastAsia="en-NZ"/>
              </w:rPr>
            </w:pPr>
            <w:r w:rsidRPr="00A40FD5">
              <w:rPr>
                <w:lang w:eastAsia="en-NZ"/>
              </w:rPr>
              <w:t>Authorisation year</w:t>
            </w:r>
          </w:p>
        </w:tc>
        <w:tc>
          <w:tcPr>
            <w:tcW w:w="5103" w:type="dxa"/>
            <w:shd w:val="clear" w:color="auto" w:fill="auto"/>
            <w:noWrap/>
          </w:tcPr>
          <w:p w14:paraId="6031F8B6" w14:textId="77777777" w:rsidR="00232F0B" w:rsidRPr="00A40FD5" w:rsidRDefault="00232F0B" w:rsidP="00217668">
            <w:pPr>
              <w:pStyle w:val="TableText"/>
              <w:rPr>
                <w:lang w:eastAsia="en-NZ"/>
              </w:rPr>
            </w:pPr>
            <w:r w:rsidRPr="00A40FD5">
              <w:rPr>
                <w:lang w:eastAsia="en-NZ"/>
              </w:rPr>
              <w:t xml:space="preserve">In </w:t>
            </w:r>
            <w:r w:rsidRPr="00A40FD5">
              <w:rPr>
                <w:color w:val="000000"/>
                <w:szCs w:val="18"/>
                <w:shd w:val="clear" w:color="auto" w:fill="FFFFFF"/>
              </w:rPr>
              <w:t>relation to calculating the fees payable on an application for an authorisation or a renewal of an authorisation, each 12</w:t>
            </w:r>
            <w:r w:rsidR="00217668">
              <w:rPr>
                <w:color w:val="000000"/>
                <w:szCs w:val="18"/>
                <w:shd w:val="clear" w:color="auto" w:fill="FFFFFF"/>
              </w:rPr>
              <w:noBreakHyphen/>
            </w:r>
            <w:r w:rsidRPr="00A40FD5">
              <w:rPr>
                <w:color w:val="000000"/>
                <w:szCs w:val="18"/>
                <w:shd w:val="clear" w:color="auto" w:fill="FFFFFF"/>
              </w:rPr>
              <w:t>month period in the term of the authorisation that is requested by the applicant under</w:t>
            </w:r>
            <w:r w:rsidR="00217668">
              <w:rPr>
                <w:color w:val="000000"/>
                <w:szCs w:val="18"/>
                <w:shd w:val="clear" w:color="auto" w:fill="FFFFFF"/>
              </w:rPr>
              <w:t xml:space="preserve"> </w:t>
            </w:r>
            <w:hyperlink r:id="rId19" w:anchor="DLM7048704" w:history="1">
              <w:r w:rsidRPr="00A40FD5">
                <w:rPr>
                  <w:szCs w:val="18"/>
                  <w:bdr w:val="none" w:sz="0" w:space="0" w:color="auto" w:frame="1"/>
                </w:rPr>
                <w:t>regulation 6(2)(g)</w:t>
              </w:r>
            </w:hyperlink>
            <w:r w:rsidR="00217668">
              <w:rPr>
                <w:szCs w:val="18"/>
                <w:bdr w:val="none" w:sz="0" w:space="0" w:color="auto" w:frame="1"/>
              </w:rPr>
              <w:t xml:space="preserve"> </w:t>
            </w:r>
            <w:r w:rsidRPr="00A40FD5">
              <w:rPr>
                <w:color w:val="000000"/>
                <w:szCs w:val="18"/>
                <w:shd w:val="clear" w:color="auto" w:fill="FFFFFF"/>
              </w:rPr>
              <w:t>(</w:t>
            </w:r>
            <w:r w:rsidRPr="00217668">
              <w:rPr>
                <w:iCs/>
                <w:color w:val="000000"/>
                <w:szCs w:val="18"/>
                <w:bdr w:val="none" w:sz="0" w:space="0" w:color="auto" w:frame="1"/>
              </w:rPr>
              <w:t>see also</w:t>
            </w:r>
            <w:r w:rsidR="00217668">
              <w:rPr>
                <w:iCs/>
                <w:color w:val="000000"/>
                <w:szCs w:val="18"/>
                <w:bdr w:val="none" w:sz="0" w:space="0" w:color="auto" w:frame="1"/>
              </w:rPr>
              <w:t xml:space="preserve"> </w:t>
            </w:r>
            <w:r w:rsidRPr="00217668">
              <w:rPr>
                <w:color w:val="000000"/>
                <w:szCs w:val="18"/>
                <w:shd w:val="clear" w:color="auto" w:fill="FFFFFF"/>
              </w:rPr>
              <w:t>subclause (2))</w:t>
            </w:r>
          </w:p>
        </w:tc>
        <w:tc>
          <w:tcPr>
            <w:tcW w:w="1417" w:type="dxa"/>
            <w:shd w:val="clear" w:color="auto" w:fill="auto"/>
            <w:noWrap/>
          </w:tcPr>
          <w:p w14:paraId="781F4059" w14:textId="77777777" w:rsidR="00232F0B" w:rsidRPr="00A40FD5" w:rsidRDefault="00232F0B" w:rsidP="00217668">
            <w:pPr>
              <w:pStyle w:val="TableText"/>
              <w:jc w:val="center"/>
              <w:rPr>
                <w:lang w:eastAsia="en-NZ"/>
              </w:rPr>
            </w:pPr>
            <w:r w:rsidRPr="00A40FD5">
              <w:rPr>
                <w:lang w:eastAsia="en-NZ"/>
              </w:rPr>
              <w:t>r3(1)</w:t>
            </w:r>
          </w:p>
        </w:tc>
      </w:tr>
      <w:tr w:rsidR="00232F0B" w:rsidRPr="00A40FD5" w14:paraId="5FCC8AD3" w14:textId="77777777" w:rsidTr="00217668">
        <w:trPr>
          <w:cantSplit/>
        </w:trPr>
        <w:tc>
          <w:tcPr>
            <w:tcW w:w="1560" w:type="dxa"/>
            <w:shd w:val="clear" w:color="auto" w:fill="auto"/>
            <w:noWrap/>
          </w:tcPr>
          <w:p w14:paraId="7DB3295C" w14:textId="77777777" w:rsidR="00232F0B" w:rsidRPr="00A40FD5" w:rsidRDefault="00232F0B" w:rsidP="00217668">
            <w:pPr>
              <w:pStyle w:val="TableText"/>
              <w:ind w:right="113"/>
              <w:rPr>
                <w:lang w:eastAsia="en-NZ"/>
              </w:rPr>
            </w:pPr>
            <w:r w:rsidRPr="00A40FD5">
              <w:rPr>
                <w:lang w:eastAsia="en-NZ"/>
              </w:rPr>
              <w:t>Codes of practice</w:t>
            </w:r>
          </w:p>
        </w:tc>
        <w:tc>
          <w:tcPr>
            <w:tcW w:w="5103" w:type="dxa"/>
            <w:shd w:val="clear" w:color="auto" w:fill="auto"/>
            <w:noWrap/>
          </w:tcPr>
          <w:p w14:paraId="5D46AE66" w14:textId="77777777" w:rsidR="00232F0B" w:rsidRPr="00A40FD5" w:rsidRDefault="00232F0B" w:rsidP="00217668">
            <w:pPr>
              <w:pStyle w:val="TableText"/>
              <w:rPr>
                <w:lang w:eastAsia="en-NZ"/>
              </w:rPr>
            </w:pPr>
            <w:r w:rsidRPr="00A40FD5">
              <w:rPr>
                <w:lang w:eastAsia="en-NZ"/>
              </w:rPr>
              <w:t>These specify technical requirements that a person who deals with a radiation source must comply with in order to comply with the fundamental requirements</w:t>
            </w:r>
          </w:p>
        </w:tc>
        <w:tc>
          <w:tcPr>
            <w:tcW w:w="1417" w:type="dxa"/>
            <w:shd w:val="clear" w:color="auto" w:fill="auto"/>
            <w:noWrap/>
          </w:tcPr>
          <w:p w14:paraId="7B9D622E" w14:textId="77777777" w:rsidR="00232F0B" w:rsidRPr="00A40FD5" w:rsidRDefault="00232F0B" w:rsidP="00217668">
            <w:pPr>
              <w:pStyle w:val="TableText"/>
              <w:jc w:val="center"/>
              <w:rPr>
                <w:lang w:eastAsia="en-NZ"/>
              </w:rPr>
            </w:pPr>
            <w:r w:rsidRPr="00A40FD5">
              <w:rPr>
                <w:lang w:eastAsia="en-NZ"/>
              </w:rPr>
              <w:t>s86</w:t>
            </w:r>
          </w:p>
        </w:tc>
      </w:tr>
      <w:tr w:rsidR="00232F0B" w:rsidRPr="00A40FD5" w14:paraId="041675D1" w14:textId="77777777" w:rsidTr="00217668">
        <w:trPr>
          <w:cantSplit/>
        </w:trPr>
        <w:tc>
          <w:tcPr>
            <w:tcW w:w="1560" w:type="dxa"/>
            <w:shd w:val="clear" w:color="auto" w:fill="auto"/>
            <w:noWrap/>
          </w:tcPr>
          <w:p w14:paraId="44F6B444" w14:textId="77777777" w:rsidR="00232F0B" w:rsidRPr="00A40FD5" w:rsidRDefault="00232F0B" w:rsidP="00217668">
            <w:pPr>
              <w:pStyle w:val="TableText"/>
              <w:ind w:right="113"/>
              <w:rPr>
                <w:lang w:eastAsia="en-NZ"/>
              </w:rPr>
            </w:pPr>
            <w:r w:rsidRPr="00A40FD5">
              <w:rPr>
                <w:lang w:eastAsia="en-NZ"/>
              </w:rPr>
              <w:t>Compliance monitoring category</w:t>
            </w:r>
          </w:p>
        </w:tc>
        <w:tc>
          <w:tcPr>
            <w:tcW w:w="5103" w:type="dxa"/>
            <w:shd w:val="clear" w:color="auto" w:fill="auto"/>
          </w:tcPr>
          <w:p w14:paraId="476E78F5" w14:textId="77777777" w:rsidR="00232F0B" w:rsidRPr="00A40FD5" w:rsidRDefault="00232F0B" w:rsidP="00217668">
            <w:pPr>
              <w:pStyle w:val="TableText"/>
              <w:rPr>
                <w:szCs w:val="18"/>
                <w:lang w:eastAsia="en-NZ"/>
              </w:rPr>
            </w:pPr>
            <w:r w:rsidRPr="00A40FD5">
              <w:rPr>
                <w:szCs w:val="18"/>
                <w:lang w:eastAsia="en-NZ"/>
              </w:rPr>
              <w:t>In r</w:t>
            </w:r>
            <w:r w:rsidRPr="00A40FD5">
              <w:rPr>
                <w:color w:val="000000"/>
                <w:szCs w:val="18"/>
                <w:shd w:val="clear" w:color="auto" w:fill="FFFFFF"/>
              </w:rPr>
              <w:t>elation to a source licence or a renewal of a source licence, a category set out in column 1 of</w:t>
            </w:r>
            <w:r w:rsidR="00217668">
              <w:rPr>
                <w:color w:val="000000"/>
                <w:szCs w:val="18"/>
                <w:shd w:val="clear" w:color="auto" w:fill="FFFFFF"/>
              </w:rPr>
              <w:t xml:space="preserve"> </w:t>
            </w:r>
            <w:hyperlink r:id="rId20" w:anchor="DLM7048706" w:history="1">
              <w:r>
                <w:rPr>
                  <w:szCs w:val="18"/>
                  <w:bdr w:val="none" w:sz="0" w:space="0" w:color="auto" w:frame="1"/>
                </w:rPr>
                <w:t>s</w:t>
              </w:r>
              <w:r w:rsidRPr="00A40FD5">
                <w:rPr>
                  <w:szCs w:val="18"/>
                  <w:bdr w:val="none" w:sz="0" w:space="0" w:color="auto" w:frame="1"/>
                </w:rPr>
                <w:t>chedule 2</w:t>
              </w:r>
            </w:hyperlink>
            <w:r w:rsidRPr="00A40FD5">
              <w:rPr>
                <w:szCs w:val="18"/>
              </w:rPr>
              <w:t xml:space="preserve"> of the Regulations</w:t>
            </w:r>
          </w:p>
        </w:tc>
        <w:tc>
          <w:tcPr>
            <w:tcW w:w="1417" w:type="dxa"/>
            <w:shd w:val="clear" w:color="auto" w:fill="auto"/>
            <w:noWrap/>
          </w:tcPr>
          <w:p w14:paraId="74232A30" w14:textId="77777777" w:rsidR="00232F0B" w:rsidRPr="00A40FD5" w:rsidRDefault="00232F0B" w:rsidP="00217668">
            <w:pPr>
              <w:pStyle w:val="TableText"/>
              <w:jc w:val="center"/>
              <w:rPr>
                <w:lang w:eastAsia="en-NZ"/>
              </w:rPr>
            </w:pPr>
            <w:r w:rsidRPr="00A40FD5">
              <w:rPr>
                <w:lang w:eastAsia="en-NZ"/>
              </w:rPr>
              <w:t>r3(1)</w:t>
            </w:r>
          </w:p>
        </w:tc>
      </w:tr>
      <w:tr w:rsidR="00232F0B" w:rsidRPr="00A40FD5" w14:paraId="65EDD907" w14:textId="77777777" w:rsidTr="00217668">
        <w:trPr>
          <w:cantSplit/>
        </w:trPr>
        <w:tc>
          <w:tcPr>
            <w:tcW w:w="1560" w:type="dxa"/>
            <w:shd w:val="clear" w:color="auto" w:fill="auto"/>
            <w:noWrap/>
            <w:hideMark/>
          </w:tcPr>
          <w:p w14:paraId="6CB2887F" w14:textId="77777777" w:rsidR="00232F0B" w:rsidRPr="00A40FD5" w:rsidRDefault="00232F0B" w:rsidP="00217668">
            <w:pPr>
              <w:pStyle w:val="TableText"/>
              <w:ind w:right="113"/>
              <w:rPr>
                <w:lang w:eastAsia="en-NZ"/>
              </w:rPr>
            </w:pPr>
            <w:r w:rsidRPr="00A40FD5">
              <w:rPr>
                <w:lang w:eastAsia="en-NZ"/>
              </w:rPr>
              <w:t>Compliance verification</w:t>
            </w:r>
          </w:p>
        </w:tc>
        <w:tc>
          <w:tcPr>
            <w:tcW w:w="5103" w:type="dxa"/>
            <w:shd w:val="clear" w:color="auto" w:fill="auto"/>
            <w:hideMark/>
          </w:tcPr>
          <w:p w14:paraId="182B6B79" w14:textId="77777777" w:rsidR="00232F0B" w:rsidRPr="00A40FD5" w:rsidRDefault="00232F0B" w:rsidP="00217668">
            <w:pPr>
              <w:pStyle w:val="TableText"/>
              <w:rPr>
                <w:lang w:eastAsia="en-NZ"/>
              </w:rPr>
            </w:pPr>
            <w:r w:rsidRPr="00A40FD5">
              <w:rPr>
                <w:lang w:eastAsia="en-NZ"/>
              </w:rPr>
              <w:t>The process of monitoring compliance with the radiation safety requirements in the Act</w:t>
            </w:r>
          </w:p>
        </w:tc>
        <w:tc>
          <w:tcPr>
            <w:tcW w:w="1417" w:type="dxa"/>
            <w:shd w:val="clear" w:color="auto" w:fill="auto"/>
            <w:noWrap/>
            <w:hideMark/>
          </w:tcPr>
          <w:p w14:paraId="54C6B3D5" w14:textId="77777777" w:rsidR="00232F0B" w:rsidRPr="00A40FD5" w:rsidRDefault="00232F0B" w:rsidP="00217668">
            <w:pPr>
              <w:pStyle w:val="TableText"/>
              <w:jc w:val="center"/>
              <w:rPr>
                <w:lang w:eastAsia="en-NZ"/>
              </w:rPr>
            </w:pPr>
            <w:r w:rsidRPr="00A40FD5">
              <w:rPr>
                <w:lang w:eastAsia="en-NZ"/>
              </w:rPr>
              <w:t>s37</w:t>
            </w:r>
          </w:p>
        </w:tc>
      </w:tr>
      <w:tr w:rsidR="00232F0B" w:rsidRPr="00A40FD5" w14:paraId="55126C84" w14:textId="77777777" w:rsidTr="00217668">
        <w:trPr>
          <w:cantSplit/>
        </w:trPr>
        <w:tc>
          <w:tcPr>
            <w:tcW w:w="1560" w:type="dxa"/>
            <w:shd w:val="clear" w:color="auto" w:fill="auto"/>
            <w:noWrap/>
            <w:hideMark/>
          </w:tcPr>
          <w:p w14:paraId="70ABDBE6" w14:textId="77777777" w:rsidR="00232F0B" w:rsidRPr="00A40FD5" w:rsidRDefault="00232F0B" w:rsidP="00217668">
            <w:pPr>
              <w:pStyle w:val="TableText"/>
              <w:ind w:right="113"/>
              <w:rPr>
                <w:lang w:eastAsia="en-NZ"/>
              </w:rPr>
            </w:pPr>
            <w:r w:rsidRPr="00A40FD5">
              <w:rPr>
                <w:lang w:eastAsia="en-NZ"/>
              </w:rPr>
              <w:t>Consent</w:t>
            </w:r>
          </w:p>
        </w:tc>
        <w:tc>
          <w:tcPr>
            <w:tcW w:w="5103" w:type="dxa"/>
            <w:shd w:val="clear" w:color="auto" w:fill="auto"/>
            <w:noWrap/>
            <w:hideMark/>
          </w:tcPr>
          <w:p w14:paraId="0C1FF826" w14:textId="77777777" w:rsidR="00232F0B" w:rsidRPr="00A40FD5" w:rsidRDefault="00232F0B" w:rsidP="00217668">
            <w:pPr>
              <w:pStyle w:val="TableText"/>
              <w:rPr>
                <w:lang w:eastAsia="en-NZ"/>
              </w:rPr>
            </w:pPr>
            <w:r w:rsidRPr="00A40FD5">
              <w:rPr>
                <w:lang w:eastAsia="en-NZ"/>
              </w:rPr>
              <w:t>An authorisation to import or export radioactive material</w:t>
            </w:r>
          </w:p>
        </w:tc>
        <w:tc>
          <w:tcPr>
            <w:tcW w:w="1417" w:type="dxa"/>
            <w:shd w:val="clear" w:color="auto" w:fill="auto"/>
            <w:noWrap/>
            <w:hideMark/>
          </w:tcPr>
          <w:p w14:paraId="417F8B5E" w14:textId="77777777" w:rsidR="00232F0B" w:rsidRPr="00A40FD5" w:rsidRDefault="00232F0B" w:rsidP="00217668">
            <w:pPr>
              <w:pStyle w:val="TableText"/>
              <w:jc w:val="center"/>
              <w:rPr>
                <w:lang w:eastAsia="en-NZ"/>
              </w:rPr>
            </w:pPr>
            <w:r w:rsidRPr="00A40FD5">
              <w:rPr>
                <w:lang w:eastAsia="en-NZ"/>
              </w:rPr>
              <w:t>s5(1)</w:t>
            </w:r>
          </w:p>
        </w:tc>
      </w:tr>
      <w:tr w:rsidR="00232F0B" w:rsidRPr="00A40FD5" w14:paraId="3A6CF313" w14:textId="77777777" w:rsidTr="00217668">
        <w:trPr>
          <w:cantSplit/>
        </w:trPr>
        <w:tc>
          <w:tcPr>
            <w:tcW w:w="1560" w:type="dxa"/>
            <w:shd w:val="clear" w:color="auto" w:fill="auto"/>
            <w:noWrap/>
            <w:hideMark/>
          </w:tcPr>
          <w:p w14:paraId="3ED9D5DA" w14:textId="77777777" w:rsidR="00232F0B" w:rsidRPr="00A40FD5" w:rsidRDefault="00232F0B" w:rsidP="00217668">
            <w:pPr>
              <w:pStyle w:val="TableText"/>
              <w:ind w:right="113"/>
              <w:rPr>
                <w:lang w:eastAsia="en-NZ"/>
              </w:rPr>
            </w:pPr>
            <w:r w:rsidRPr="00A40FD5">
              <w:rPr>
                <w:lang w:eastAsia="en-NZ"/>
              </w:rPr>
              <w:t>Deal with</w:t>
            </w:r>
          </w:p>
        </w:tc>
        <w:tc>
          <w:tcPr>
            <w:tcW w:w="5103" w:type="dxa"/>
            <w:shd w:val="clear" w:color="auto" w:fill="auto"/>
            <w:hideMark/>
          </w:tcPr>
          <w:p w14:paraId="45EDD420" w14:textId="77777777" w:rsidR="00232F0B" w:rsidRPr="00A40FD5" w:rsidRDefault="00232F0B" w:rsidP="00217668">
            <w:pPr>
              <w:pStyle w:val="TableText"/>
              <w:rPr>
                <w:lang w:eastAsia="en-NZ"/>
              </w:rPr>
            </w:pPr>
            <w:r w:rsidRPr="00A40FD5">
              <w:rPr>
                <w:lang w:eastAsia="en-NZ"/>
              </w:rPr>
              <w:t>Manufacture, possess, control, manage, use, transport, store, export, import, sell, supply or dispose of a radiation source or carry out any other activity or practice involving the radiation source</w:t>
            </w:r>
          </w:p>
        </w:tc>
        <w:tc>
          <w:tcPr>
            <w:tcW w:w="1417" w:type="dxa"/>
            <w:shd w:val="clear" w:color="auto" w:fill="auto"/>
            <w:noWrap/>
            <w:hideMark/>
          </w:tcPr>
          <w:p w14:paraId="4FEFB7D9" w14:textId="77777777" w:rsidR="00232F0B" w:rsidRPr="00A40FD5" w:rsidRDefault="00232F0B" w:rsidP="00217668">
            <w:pPr>
              <w:pStyle w:val="TableText"/>
              <w:jc w:val="center"/>
              <w:rPr>
                <w:lang w:eastAsia="en-NZ"/>
              </w:rPr>
            </w:pPr>
            <w:r w:rsidRPr="00A40FD5">
              <w:rPr>
                <w:lang w:eastAsia="en-NZ"/>
              </w:rPr>
              <w:t>s5(1)</w:t>
            </w:r>
          </w:p>
        </w:tc>
      </w:tr>
      <w:tr w:rsidR="00232F0B" w:rsidRPr="00A40FD5" w14:paraId="114375AD" w14:textId="77777777" w:rsidTr="00217668">
        <w:trPr>
          <w:cantSplit/>
        </w:trPr>
        <w:tc>
          <w:tcPr>
            <w:tcW w:w="1560" w:type="dxa"/>
            <w:shd w:val="clear" w:color="auto" w:fill="auto"/>
            <w:noWrap/>
            <w:hideMark/>
          </w:tcPr>
          <w:p w14:paraId="00B5E152" w14:textId="77777777" w:rsidR="00232F0B" w:rsidRPr="00A40FD5" w:rsidRDefault="00232F0B" w:rsidP="00217668">
            <w:pPr>
              <w:pStyle w:val="TableText"/>
              <w:ind w:right="113"/>
              <w:rPr>
                <w:lang w:eastAsia="en-NZ"/>
              </w:rPr>
            </w:pPr>
            <w:r w:rsidRPr="00A40FD5">
              <w:rPr>
                <w:lang w:eastAsia="en-NZ"/>
              </w:rPr>
              <w:t>Director</w:t>
            </w:r>
          </w:p>
        </w:tc>
        <w:tc>
          <w:tcPr>
            <w:tcW w:w="5103" w:type="dxa"/>
            <w:shd w:val="clear" w:color="auto" w:fill="auto"/>
            <w:hideMark/>
          </w:tcPr>
          <w:p w14:paraId="5C91A9DB" w14:textId="77777777" w:rsidR="00232F0B" w:rsidRPr="00A40FD5" w:rsidRDefault="00232F0B" w:rsidP="00217668">
            <w:pPr>
              <w:pStyle w:val="TableText"/>
              <w:rPr>
                <w:lang w:eastAsia="en-NZ"/>
              </w:rPr>
            </w:pPr>
            <w:r w:rsidRPr="00A40FD5">
              <w:rPr>
                <w:lang w:eastAsia="en-NZ"/>
              </w:rPr>
              <w:t>The person appointed as the Director for Radiation Safety under section 76 of the Act.</w:t>
            </w:r>
          </w:p>
        </w:tc>
        <w:tc>
          <w:tcPr>
            <w:tcW w:w="1417" w:type="dxa"/>
            <w:shd w:val="clear" w:color="auto" w:fill="auto"/>
            <w:noWrap/>
            <w:hideMark/>
          </w:tcPr>
          <w:p w14:paraId="5B2E10B2" w14:textId="77777777" w:rsidR="00232F0B" w:rsidRPr="00A40FD5" w:rsidRDefault="00232F0B" w:rsidP="00217668">
            <w:pPr>
              <w:pStyle w:val="TableText"/>
              <w:jc w:val="center"/>
              <w:rPr>
                <w:lang w:eastAsia="en-NZ"/>
              </w:rPr>
            </w:pPr>
            <w:r w:rsidRPr="00A40FD5">
              <w:rPr>
                <w:lang w:eastAsia="en-NZ"/>
              </w:rPr>
              <w:t>s76</w:t>
            </w:r>
          </w:p>
        </w:tc>
      </w:tr>
      <w:tr w:rsidR="00232F0B" w:rsidRPr="00A40FD5" w14:paraId="3E19CE84" w14:textId="77777777" w:rsidTr="00217668">
        <w:trPr>
          <w:cantSplit/>
        </w:trPr>
        <w:tc>
          <w:tcPr>
            <w:tcW w:w="1560" w:type="dxa"/>
            <w:shd w:val="clear" w:color="auto" w:fill="auto"/>
            <w:noWrap/>
            <w:hideMark/>
          </w:tcPr>
          <w:p w14:paraId="64062EBC" w14:textId="77777777" w:rsidR="00232F0B" w:rsidRPr="00A40FD5" w:rsidRDefault="00232F0B" w:rsidP="00217668">
            <w:pPr>
              <w:pStyle w:val="TableText"/>
              <w:ind w:right="113"/>
              <w:rPr>
                <w:lang w:eastAsia="en-NZ"/>
              </w:rPr>
            </w:pPr>
            <w:r w:rsidRPr="00A40FD5">
              <w:rPr>
                <w:lang w:eastAsia="en-NZ"/>
              </w:rPr>
              <w:t>Effective dose</w:t>
            </w:r>
          </w:p>
        </w:tc>
        <w:tc>
          <w:tcPr>
            <w:tcW w:w="5103" w:type="dxa"/>
            <w:shd w:val="clear" w:color="auto" w:fill="auto"/>
            <w:hideMark/>
          </w:tcPr>
          <w:p w14:paraId="5C3BC7AC" w14:textId="77777777" w:rsidR="00232F0B" w:rsidRPr="00A40FD5" w:rsidRDefault="00232F0B" w:rsidP="00217668">
            <w:pPr>
              <w:pStyle w:val="TableText"/>
              <w:rPr>
                <w:lang w:eastAsia="en-NZ"/>
              </w:rPr>
            </w:pPr>
            <w:r w:rsidRPr="00A40FD5">
              <w:rPr>
                <w:lang w:eastAsia="en-NZ"/>
              </w:rPr>
              <w:t>The tissue-weighted sum of equivalent doses</w:t>
            </w:r>
            <w:r>
              <w:rPr>
                <w:lang w:eastAsia="en-NZ"/>
              </w:rPr>
              <w:t xml:space="preserve"> (the radiation-weighted dose in a tissue or organ of the body)</w:t>
            </w:r>
            <w:r w:rsidRPr="00A40FD5">
              <w:rPr>
                <w:lang w:eastAsia="en-NZ"/>
              </w:rPr>
              <w:t xml:space="preserve"> in all specified tissues and organs of the body</w:t>
            </w:r>
          </w:p>
        </w:tc>
        <w:tc>
          <w:tcPr>
            <w:tcW w:w="1417" w:type="dxa"/>
            <w:shd w:val="clear" w:color="auto" w:fill="auto"/>
            <w:noWrap/>
            <w:hideMark/>
          </w:tcPr>
          <w:p w14:paraId="7C680878" w14:textId="77777777" w:rsidR="00232F0B" w:rsidRPr="00A40FD5" w:rsidRDefault="00232F0B" w:rsidP="00217668">
            <w:pPr>
              <w:pStyle w:val="TableText"/>
              <w:jc w:val="center"/>
              <w:rPr>
                <w:lang w:eastAsia="en-NZ"/>
              </w:rPr>
            </w:pPr>
            <w:r w:rsidRPr="00A40FD5">
              <w:rPr>
                <w:lang w:eastAsia="en-NZ"/>
              </w:rPr>
              <w:t>s5(1)</w:t>
            </w:r>
          </w:p>
        </w:tc>
      </w:tr>
      <w:tr w:rsidR="00232F0B" w:rsidRPr="00A40FD5" w14:paraId="66817F64" w14:textId="77777777" w:rsidTr="00217668">
        <w:trPr>
          <w:cantSplit/>
        </w:trPr>
        <w:tc>
          <w:tcPr>
            <w:tcW w:w="1560" w:type="dxa"/>
            <w:shd w:val="clear" w:color="auto" w:fill="auto"/>
            <w:noWrap/>
          </w:tcPr>
          <w:p w14:paraId="7F147F95" w14:textId="77777777" w:rsidR="00232F0B" w:rsidRPr="00A40FD5" w:rsidRDefault="00232F0B" w:rsidP="00217668">
            <w:pPr>
              <w:pStyle w:val="TableText"/>
              <w:ind w:right="113"/>
              <w:rPr>
                <w:lang w:eastAsia="en-NZ"/>
              </w:rPr>
            </w:pPr>
            <w:r w:rsidRPr="00A40FD5">
              <w:rPr>
                <w:lang w:eastAsia="en-NZ"/>
              </w:rPr>
              <w:t>High-activity radioactive material</w:t>
            </w:r>
          </w:p>
        </w:tc>
        <w:tc>
          <w:tcPr>
            <w:tcW w:w="5103" w:type="dxa"/>
            <w:shd w:val="clear" w:color="auto" w:fill="auto"/>
          </w:tcPr>
          <w:p w14:paraId="506F6AF8" w14:textId="77777777" w:rsidR="00232F0B" w:rsidRPr="00A40FD5" w:rsidRDefault="00232F0B" w:rsidP="00217668">
            <w:pPr>
              <w:pStyle w:val="TableText"/>
              <w:rPr>
                <w:szCs w:val="18"/>
                <w:lang w:eastAsia="en-NZ"/>
              </w:rPr>
            </w:pPr>
            <w:r w:rsidRPr="00A40FD5">
              <w:rPr>
                <w:szCs w:val="18"/>
                <w:lang w:eastAsia="en-NZ"/>
              </w:rPr>
              <w:t xml:space="preserve">In </w:t>
            </w:r>
            <w:r w:rsidRPr="00A40FD5">
              <w:rPr>
                <w:color w:val="000000"/>
                <w:szCs w:val="18"/>
                <w:shd w:val="clear" w:color="auto" w:fill="FFFFFF"/>
              </w:rPr>
              <w:t>relation to any radioactive material listed in column 1 of</w:t>
            </w:r>
            <w:r w:rsidR="00217668">
              <w:rPr>
                <w:color w:val="000000"/>
                <w:szCs w:val="18"/>
                <w:shd w:val="clear" w:color="auto" w:fill="FFFFFF"/>
              </w:rPr>
              <w:t xml:space="preserve"> </w:t>
            </w:r>
            <w:hyperlink r:id="rId21" w:anchor="DLM7049001" w:history="1">
              <w:r>
                <w:rPr>
                  <w:szCs w:val="18"/>
                  <w:bdr w:val="none" w:sz="0" w:space="0" w:color="auto" w:frame="1"/>
                </w:rPr>
                <w:t>s</w:t>
              </w:r>
              <w:r w:rsidRPr="00A40FD5">
                <w:rPr>
                  <w:szCs w:val="18"/>
                  <w:bdr w:val="none" w:sz="0" w:space="0" w:color="auto" w:frame="1"/>
                </w:rPr>
                <w:t>chedule 4</w:t>
              </w:r>
            </w:hyperlink>
            <w:r w:rsidRPr="00A40FD5">
              <w:rPr>
                <w:szCs w:val="18"/>
                <w:bdr w:val="none" w:sz="0" w:space="0" w:color="auto" w:frame="1"/>
              </w:rPr>
              <w:t xml:space="preserve"> of the Regulations</w:t>
            </w:r>
            <w:r w:rsidRPr="00A40FD5">
              <w:rPr>
                <w:color w:val="000000"/>
                <w:szCs w:val="18"/>
                <w:shd w:val="clear" w:color="auto" w:fill="FFFFFF"/>
              </w:rPr>
              <w:t xml:space="preserve">, material with an activity that equals or exceeds the corresponding activity in column 2 of that </w:t>
            </w:r>
            <w:r>
              <w:rPr>
                <w:color w:val="000000"/>
                <w:szCs w:val="18"/>
                <w:shd w:val="clear" w:color="auto" w:fill="FFFFFF"/>
              </w:rPr>
              <w:t>s</w:t>
            </w:r>
            <w:r w:rsidRPr="00A40FD5">
              <w:rPr>
                <w:color w:val="000000"/>
                <w:szCs w:val="18"/>
                <w:shd w:val="clear" w:color="auto" w:fill="FFFFFF"/>
              </w:rPr>
              <w:t>chedule</w:t>
            </w:r>
          </w:p>
        </w:tc>
        <w:tc>
          <w:tcPr>
            <w:tcW w:w="1417" w:type="dxa"/>
            <w:shd w:val="clear" w:color="auto" w:fill="auto"/>
            <w:noWrap/>
          </w:tcPr>
          <w:p w14:paraId="5D677F0A" w14:textId="77777777" w:rsidR="00232F0B" w:rsidRPr="00A40FD5" w:rsidRDefault="00232F0B" w:rsidP="00217668">
            <w:pPr>
              <w:pStyle w:val="TableText"/>
              <w:jc w:val="center"/>
              <w:rPr>
                <w:lang w:eastAsia="en-NZ"/>
              </w:rPr>
            </w:pPr>
            <w:r w:rsidRPr="00A40FD5">
              <w:rPr>
                <w:lang w:eastAsia="en-NZ"/>
              </w:rPr>
              <w:t>r3(1)</w:t>
            </w:r>
          </w:p>
        </w:tc>
      </w:tr>
      <w:tr w:rsidR="00232F0B" w:rsidRPr="00A40FD5" w14:paraId="0F406BF4" w14:textId="77777777" w:rsidTr="00217668">
        <w:trPr>
          <w:cantSplit/>
        </w:trPr>
        <w:tc>
          <w:tcPr>
            <w:tcW w:w="1560" w:type="dxa"/>
            <w:shd w:val="clear" w:color="auto" w:fill="auto"/>
            <w:noWrap/>
          </w:tcPr>
          <w:p w14:paraId="11011A97" w14:textId="77777777" w:rsidR="00232F0B" w:rsidRPr="00A40FD5" w:rsidRDefault="00232F0B" w:rsidP="00217668">
            <w:pPr>
              <w:pStyle w:val="TableText"/>
              <w:ind w:right="113"/>
              <w:rPr>
                <w:lang w:eastAsia="en-NZ"/>
              </w:rPr>
            </w:pPr>
            <w:r w:rsidRPr="00A40FD5">
              <w:rPr>
                <w:lang w:eastAsia="en-NZ"/>
              </w:rPr>
              <w:t>Inspection period</w:t>
            </w:r>
          </w:p>
        </w:tc>
        <w:tc>
          <w:tcPr>
            <w:tcW w:w="5103" w:type="dxa"/>
            <w:shd w:val="clear" w:color="auto" w:fill="auto"/>
          </w:tcPr>
          <w:p w14:paraId="7265BE9C" w14:textId="5E8DEA02" w:rsidR="00232F0B" w:rsidRPr="00A40FD5" w:rsidRDefault="00232F0B" w:rsidP="00D472E5">
            <w:pPr>
              <w:pStyle w:val="TableText"/>
              <w:rPr>
                <w:lang w:eastAsia="en-NZ"/>
              </w:rPr>
            </w:pPr>
            <w:r w:rsidRPr="00A40FD5">
              <w:rPr>
                <w:lang w:eastAsia="en-NZ"/>
              </w:rPr>
              <w:t xml:space="preserve">In </w:t>
            </w:r>
            <w:r w:rsidRPr="00A40FD5">
              <w:rPr>
                <w:color w:val="000000"/>
                <w:szCs w:val="18"/>
                <w:shd w:val="clear" w:color="auto" w:fill="FFFFFF"/>
              </w:rPr>
              <w:t>relation to calculating the fees payable on an application for a source licence or a renewal of a source licence, the period determined under</w:t>
            </w:r>
            <w:r w:rsidR="00D472E5">
              <w:rPr>
                <w:color w:val="000000"/>
                <w:szCs w:val="18"/>
                <w:shd w:val="clear" w:color="auto" w:fill="FFFFFF"/>
              </w:rPr>
              <w:t xml:space="preserve"> </w:t>
            </w:r>
            <w:hyperlink r:id="rId22" w:anchor="DLM7049003" w:history="1">
              <w:r w:rsidRPr="00A40FD5">
                <w:rPr>
                  <w:szCs w:val="18"/>
                  <w:bdr w:val="none" w:sz="0" w:space="0" w:color="auto" w:frame="1"/>
                </w:rPr>
                <w:t>regulation</w:t>
              </w:r>
              <w:r w:rsidR="00D472E5">
                <w:rPr>
                  <w:szCs w:val="18"/>
                  <w:bdr w:val="none" w:sz="0" w:space="0" w:color="auto" w:frame="1"/>
                </w:rPr>
                <w:t> </w:t>
              </w:r>
              <w:r w:rsidRPr="00A40FD5">
                <w:rPr>
                  <w:szCs w:val="18"/>
                  <w:bdr w:val="none" w:sz="0" w:space="0" w:color="auto" w:frame="1"/>
                </w:rPr>
                <w:t>16</w:t>
              </w:r>
            </w:hyperlink>
          </w:p>
        </w:tc>
        <w:tc>
          <w:tcPr>
            <w:tcW w:w="1417" w:type="dxa"/>
            <w:shd w:val="clear" w:color="auto" w:fill="auto"/>
            <w:noWrap/>
          </w:tcPr>
          <w:p w14:paraId="444E69DF" w14:textId="77777777" w:rsidR="00232F0B" w:rsidRPr="00A40FD5" w:rsidRDefault="00232F0B" w:rsidP="00217668">
            <w:pPr>
              <w:pStyle w:val="TableText"/>
              <w:jc w:val="center"/>
              <w:rPr>
                <w:lang w:eastAsia="en-NZ"/>
              </w:rPr>
            </w:pPr>
            <w:r w:rsidRPr="00A40FD5">
              <w:rPr>
                <w:lang w:eastAsia="en-NZ"/>
              </w:rPr>
              <w:t>r3(1)</w:t>
            </w:r>
          </w:p>
        </w:tc>
      </w:tr>
      <w:tr w:rsidR="00232F0B" w:rsidRPr="00A40FD5" w14:paraId="5058FE01" w14:textId="77777777" w:rsidTr="00217668">
        <w:trPr>
          <w:cantSplit/>
        </w:trPr>
        <w:tc>
          <w:tcPr>
            <w:tcW w:w="1560" w:type="dxa"/>
            <w:shd w:val="clear" w:color="auto" w:fill="auto"/>
            <w:noWrap/>
            <w:hideMark/>
          </w:tcPr>
          <w:p w14:paraId="357A1E3F" w14:textId="77777777" w:rsidR="00232F0B" w:rsidRPr="00A40FD5" w:rsidRDefault="00232F0B" w:rsidP="00217668">
            <w:pPr>
              <w:pStyle w:val="TableText"/>
              <w:ind w:right="113"/>
              <w:rPr>
                <w:lang w:eastAsia="en-NZ"/>
              </w:rPr>
            </w:pPr>
            <w:r w:rsidRPr="00A40FD5">
              <w:rPr>
                <w:lang w:eastAsia="en-NZ"/>
              </w:rPr>
              <w:t>Irradiating apparatus</w:t>
            </w:r>
          </w:p>
        </w:tc>
        <w:tc>
          <w:tcPr>
            <w:tcW w:w="5103" w:type="dxa"/>
            <w:shd w:val="clear" w:color="auto" w:fill="auto"/>
            <w:hideMark/>
          </w:tcPr>
          <w:p w14:paraId="28E72FFA" w14:textId="6F0FED4E" w:rsidR="00232F0B" w:rsidRPr="00A40FD5" w:rsidRDefault="00232F0B" w:rsidP="00D472E5">
            <w:pPr>
              <w:pStyle w:val="TableText"/>
              <w:rPr>
                <w:lang w:eastAsia="en-NZ"/>
              </w:rPr>
            </w:pPr>
            <w:r w:rsidRPr="00A40FD5">
              <w:rPr>
                <w:lang w:eastAsia="en-NZ"/>
              </w:rPr>
              <w:t>Electrical equipment that is designed to generate ionising radiation</w:t>
            </w:r>
            <w:r>
              <w:rPr>
                <w:lang w:eastAsia="en-NZ"/>
              </w:rPr>
              <w:t>,</w:t>
            </w:r>
            <w:r w:rsidRPr="00A40FD5">
              <w:rPr>
                <w:lang w:eastAsia="en-NZ"/>
              </w:rPr>
              <w:t xml:space="preserve"> such as X-rays, neutrons, electrons or other charged particles</w:t>
            </w:r>
            <w:r>
              <w:rPr>
                <w:lang w:eastAsia="en-NZ"/>
              </w:rPr>
              <w:t>,</w:t>
            </w:r>
            <w:r w:rsidRPr="00A40FD5">
              <w:rPr>
                <w:lang w:eastAsia="en-NZ"/>
              </w:rPr>
              <w:t xml:space="preserve"> or that produces ionising radiation as a by-product</w:t>
            </w:r>
            <w:r>
              <w:rPr>
                <w:lang w:eastAsia="en-NZ"/>
              </w:rPr>
              <w:t xml:space="preserve"> that </w:t>
            </w:r>
            <w:r w:rsidRPr="00A40FD5">
              <w:rPr>
                <w:lang w:eastAsia="en-NZ"/>
              </w:rPr>
              <w:t>result</w:t>
            </w:r>
            <w:r>
              <w:rPr>
                <w:lang w:eastAsia="en-NZ"/>
              </w:rPr>
              <w:t>s</w:t>
            </w:r>
            <w:r w:rsidRPr="00A40FD5">
              <w:rPr>
                <w:lang w:eastAsia="en-NZ"/>
              </w:rPr>
              <w:t xml:space="preserve"> in a dose</w:t>
            </w:r>
            <w:r>
              <w:rPr>
                <w:lang w:eastAsia="en-NZ"/>
              </w:rPr>
              <w:t>-</w:t>
            </w:r>
            <w:r w:rsidRPr="00A40FD5">
              <w:rPr>
                <w:lang w:eastAsia="en-NZ"/>
              </w:rPr>
              <w:t>equivalent rate of or exceeding 1</w:t>
            </w:r>
            <w:r>
              <w:rPr>
                <w:lang w:eastAsia="en-NZ"/>
              </w:rPr>
              <w:t> </w:t>
            </w:r>
            <w:r w:rsidRPr="00A40FD5">
              <w:rPr>
                <w:lang w:eastAsia="en-NZ"/>
              </w:rPr>
              <w:t>microsievert per hour at a point 0.1</w:t>
            </w:r>
            <w:r w:rsidR="00D472E5">
              <w:rPr>
                <w:lang w:eastAsia="en-NZ"/>
              </w:rPr>
              <w:t> </w:t>
            </w:r>
            <w:r w:rsidRPr="00A40FD5">
              <w:rPr>
                <w:lang w:eastAsia="en-NZ"/>
              </w:rPr>
              <w:t>metres from any accessible surface and that has a maximum energy of or exceeding 5 kiloelectronvolts</w:t>
            </w:r>
          </w:p>
        </w:tc>
        <w:tc>
          <w:tcPr>
            <w:tcW w:w="1417" w:type="dxa"/>
            <w:shd w:val="clear" w:color="auto" w:fill="auto"/>
            <w:noWrap/>
            <w:hideMark/>
          </w:tcPr>
          <w:p w14:paraId="48286289" w14:textId="77777777" w:rsidR="00232F0B" w:rsidRPr="00A40FD5" w:rsidRDefault="00232F0B" w:rsidP="00217668">
            <w:pPr>
              <w:pStyle w:val="TableText"/>
              <w:jc w:val="center"/>
              <w:rPr>
                <w:lang w:eastAsia="en-NZ"/>
              </w:rPr>
            </w:pPr>
            <w:r w:rsidRPr="00A40FD5">
              <w:rPr>
                <w:lang w:eastAsia="en-NZ"/>
              </w:rPr>
              <w:t>s5(1)</w:t>
            </w:r>
          </w:p>
        </w:tc>
      </w:tr>
      <w:tr w:rsidR="00232F0B" w:rsidRPr="00A40FD5" w14:paraId="3BD0745E" w14:textId="77777777" w:rsidTr="00217668">
        <w:trPr>
          <w:cantSplit/>
        </w:trPr>
        <w:tc>
          <w:tcPr>
            <w:tcW w:w="1560" w:type="dxa"/>
            <w:shd w:val="clear" w:color="auto" w:fill="auto"/>
            <w:noWrap/>
          </w:tcPr>
          <w:p w14:paraId="01155D36" w14:textId="77777777" w:rsidR="00232F0B" w:rsidRPr="00A40FD5" w:rsidRDefault="00232F0B" w:rsidP="00217668">
            <w:pPr>
              <w:pStyle w:val="TableText"/>
              <w:ind w:right="113"/>
              <w:rPr>
                <w:lang w:eastAsia="en-NZ"/>
              </w:rPr>
            </w:pPr>
            <w:r w:rsidRPr="00A40FD5">
              <w:rPr>
                <w:lang w:eastAsia="en-NZ"/>
              </w:rPr>
              <w:t>Low-activity radioactive material</w:t>
            </w:r>
          </w:p>
        </w:tc>
        <w:tc>
          <w:tcPr>
            <w:tcW w:w="5103" w:type="dxa"/>
            <w:shd w:val="clear" w:color="auto" w:fill="auto"/>
          </w:tcPr>
          <w:p w14:paraId="2BA582DC" w14:textId="77777777" w:rsidR="00232F0B" w:rsidRPr="00A40FD5" w:rsidRDefault="00232F0B" w:rsidP="00217668">
            <w:pPr>
              <w:pStyle w:val="TableText"/>
              <w:rPr>
                <w:lang w:eastAsia="en-NZ"/>
              </w:rPr>
            </w:pPr>
            <w:r w:rsidRPr="00A40FD5">
              <w:rPr>
                <w:lang w:eastAsia="en-NZ"/>
              </w:rPr>
              <w:t>R</w:t>
            </w:r>
            <w:r w:rsidRPr="00A40FD5">
              <w:rPr>
                <w:color w:val="000000"/>
                <w:szCs w:val="18"/>
                <w:shd w:val="clear" w:color="auto" w:fill="FFFFFF"/>
              </w:rPr>
              <w:t>adioactive material that is not high-activity radioactive material as defined above</w:t>
            </w:r>
          </w:p>
        </w:tc>
        <w:tc>
          <w:tcPr>
            <w:tcW w:w="1417" w:type="dxa"/>
            <w:shd w:val="clear" w:color="auto" w:fill="auto"/>
            <w:noWrap/>
          </w:tcPr>
          <w:p w14:paraId="079A0C24" w14:textId="77777777" w:rsidR="00232F0B" w:rsidRPr="00A40FD5" w:rsidRDefault="00232F0B" w:rsidP="00217668">
            <w:pPr>
              <w:pStyle w:val="TableText"/>
              <w:jc w:val="center"/>
              <w:rPr>
                <w:lang w:eastAsia="en-NZ"/>
              </w:rPr>
            </w:pPr>
            <w:r w:rsidRPr="00A40FD5">
              <w:rPr>
                <w:lang w:eastAsia="en-NZ"/>
              </w:rPr>
              <w:t>r3(1)</w:t>
            </w:r>
          </w:p>
        </w:tc>
      </w:tr>
    </w:tbl>
    <w:p w14:paraId="470D0D95" w14:textId="77777777" w:rsidR="00232F0B" w:rsidRPr="00A40FD5" w:rsidRDefault="00232F0B" w:rsidP="00217668"/>
    <w:p w14:paraId="5ACEDD9A" w14:textId="77777777" w:rsidR="00232F0B" w:rsidRPr="00D318EC" w:rsidRDefault="00232F0B" w:rsidP="009C1654">
      <w:pPr>
        <w:pStyle w:val="Heading1"/>
      </w:pPr>
      <w:bookmarkStart w:id="26" w:name="_Toc83133458"/>
      <w:bookmarkStart w:id="27" w:name="_Ref88643981"/>
      <w:bookmarkStart w:id="28" w:name="_Ref88644022"/>
      <w:bookmarkStart w:id="29" w:name="_Toc89696184"/>
      <w:bookmarkStart w:id="30" w:name="_Toc449001267"/>
      <w:bookmarkStart w:id="31" w:name="_Toc450059027"/>
      <w:r w:rsidRPr="00A40FD5">
        <w:t>Fees review and findings</w:t>
      </w:r>
      <w:bookmarkEnd w:id="26"/>
      <w:bookmarkEnd w:id="27"/>
      <w:bookmarkEnd w:id="28"/>
      <w:bookmarkEnd w:id="29"/>
    </w:p>
    <w:p w14:paraId="4D1839EE" w14:textId="77777777" w:rsidR="00232F0B" w:rsidRDefault="00232F0B" w:rsidP="009C1654">
      <w:pPr>
        <w:pStyle w:val="Heading2"/>
      </w:pPr>
      <w:bookmarkStart w:id="32" w:name="_Toc83133459"/>
      <w:bookmarkStart w:id="33" w:name="_Ref88643459"/>
      <w:bookmarkStart w:id="34" w:name="_Toc89696185"/>
      <w:r>
        <w:t>Fees model, assumptions and methodology</w:t>
      </w:r>
      <w:bookmarkEnd w:id="32"/>
      <w:bookmarkEnd w:id="33"/>
      <w:bookmarkEnd w:id="34"/>
    </w:p>
    <w:p w14:paraId="35734943" w14:textId="5BA34635" w:rsidR="0087667B" w:rsidRDefault="00232F0B" w:rsidP="005B5BE2">
      <w:r>
        <w:rPr>
          <w:bCs/>
        </w:rPr>
        <w:t xml:space="preserve">The </w:t>
      </w:r>
      <w:bookmarkStart w:id="35" w:name="_Toc83133460"/>
      <w:r>
        <w:rPr>
          <w:bCs/>
        </w:rPr>
        <w:t xml:space="preserve">Ministry </w:t>
      </w:r>
      <w:r>
        <w:t>undertook a review of the fees payable under the Regulations in December 2020. The review aimed to test whether the objectives set out in the 2016 Regulatory Impact Statement (2016 RIS) for the Regulations</w:t>
      </w:r>
      <w:r w:rsidRPr="005B5BE2">
        <w:rPr>
          <w:rStyle w:val="FootnoteReference"/>
        </w:rPr>
        <w:footnoteReference w:id="8"/>
      </w:r>
      <w:r>
        <w:t xml:space="preserve"> were being met. As well as providing information for this consultation, section </w:t>
      </w:r>
      <w:r w:rsidR="00AF4ACD">
        <w:fldChar w:fldCharType="begin"/>
      </w:r>
      <w:r w:rsidR="00AF4ACD">
        <w:instrText xml:space="preserve"> REF _Ref88644022 \r \h </w:instrText>
      </w:r>
      <w:r w:rsidR="00AF4ACD">
        <w:fldChar w:fldCharType="separate"/>
      </w:r>
      <w:r w:rsidR="003A5600">
        <w:t>1</w:t>
      </w:r>
      <w:r w:rsidR="00AF4ACD">
        <w:fldChar w:fldCharType="end"/>
      </w:r>
      <w:r>
        <w:t xml:space="preserve"> can also be considered the report of the fees review.</w:t>
      </w:r>
    </w:p>
    <w:p w14:paraId="22CE551A" w14:textId="77777777" w:rsidR="00232F0B" w:rsidRDefault="00232F0B" w:rsidP="005B5BE2"/>
    <w:p w14:paraId="60A37E0A" w14:textId="77777777" w:rsidR="0087667B" w:rsidRDefault="00232F0B" w:rsidP="005B5BE2">
      <w:r>
        <w:t>The review found that the full cost recovery objectives of the 2016 RIS are not being met and have not been met at any time since the fees came into force in 2017.</w:t>
      </w:r>
    </w:p>
    <w:p w14:paraId="7B273D4A" w14:textId="77777777" w:rsidR="00232F0B" w:rsidRDefault="00232F0B" w:rsidP="005B5BE2"/>
    <w:p w14:paraId="2B674329" w14:textId="77777777" w:rsidR="0087667B" w:rsidRDefault="00232F0B" w:rsidP="005B5BE2">
      <w:r>
        <w:t>On this basis, we propose new fees that are set out below. The fees model and methodology for calculating the proposed new fees have been reviewed by PricewaterhouseCoopers New Zealand (PwC). PwC</w:t>
      </w:r>
      <w:r w:rsidR="0087667B">
        <w:t>’</w:t>
      </w:r>
      <w:r>
        <w:t>s report is available on the Ministry</w:t>
      </w:r>
      <w:r w:rsidR="0087667B">
        <w:t>’</w:t>
      </w:r>
      <w:r>
        <w:t>s website.</w:t>
      </w:r>
      <w:r w:rsidRPr="005B5BE2">
        <w:rPr>
          <w:rStyle w:val="FootnoteReference"/>
        </w:rPr>
        <w:footnoteReference w:id="9"/>
      </w:r>
    </w:p>
    <w:p w14:paraId="3388385D" w14:textId="77777777" w:rsidR="00232F0B" w:rsidRDefault="00232F0B" w:rsidP="005B5BE2"/>
    <w:p w14:paraId="0BE711AB" w14:textId="510FB1A3" w:rsidR="0087667B" w:rsidRDefault="00232F0B" w:rsidP="005B5BE2">
      <w:r w:rsidRPr="00A40FD5" w:rsidDel="00575F46">
        <w:t xml:space="preserve">The proposals set out in this consultation document are made on the </w:t>
      </w:r>
      <w:r>
        <w:t>assumption</w:t>
      </w:r>
      <w:r w:rsidRPr="00A40FD5" w:rsidDel="00575F46">
        <w:t xml:space="preserve"> that proposed new fees </w:t>
      </w:r>
      <w:r>
        <w:t>will be</w:t>
      </w:r>
      <w:r w:rsidRPr="00A40FD5" w:rsidDel="00575F46">
        <w:t xml:space="preserve"> put in place </w:t>
      </w:r>
      <w:r w:rsidR="005134AC">
        <w:t>in</w:t>
      </w:r>
      <w:r w:rsidRPr="00A40FD5" w:rsidDel="00575F46">
        <w:t xml:space="preserve"> 2022.</w:t>
      </w:r>
    </w:p>
    <w:p w14:paraId="3A9D8458" w14:textId="77777777" w:rsidR="005B5BE2" w:rsidRPr="00D318EC" w:rsidRDefault="005B5BE2" w:rsidP="005B5BE2"/>
    <w:p w14:paraId="47EAF8CA" w14:textId="77777777" w:rsidR="00232F0B" w:rsidRPr="00935DED" w:rsidRDefault="00232F0B" w:rsidP="005B5BE2">
      <w:pPr>
        <w:pStyle w:val="Heading2"/>
      </w:pPr>
      <w:bookmarkStart w:id="36" w:name="_Costs_of_regulating"/>
      <w:bookmarkStart w:id="37" w:name="_Toc89696186"/>
      <w:bookmarkEnd w:id="36"/>
      <w:r w:rsidRPr="00935DED">
        <w:t>Costs of regulating</w:t>
      </w:r>
      <w:bookmarkEnd w:id="35"/>
      <w:bookmarkEnd w:id="37"/>
    </w:p>
    <w:p w14:paraId="1C57288A" w14:textId="3D68A5B0" w:rsidR="00232F0B" w:rsidRDefault="00232F0B" w:rsidP="005B5BE2">
      <w:r>
        <w:t>The c</w:t>
      </w:r>
      <w:r w:rsidRPr="00A40FD5">
        <w:t xml:space="preserve">osts </w:t>
      </w:r>
      <w:r>
        <w:t xml:space="preserve">of regulating radiation safety </w:t>
      </w:r>
      <w:r w:rsidRPr="00A40FD5">
        <w:t>have increased significantly since 2017.</w:t>
      </w:r>
      <w:r>
        <w:t xml:space="preserve"> </w:t>
      </w:r>
      <w:r w:rsidRPr="00A40FD5">
        <w:t>The projected direct costs of administering the Act from 2022 include higher staff costs and new operating costs associated with new information technology</w:t>
      </w:r>
      <w:r>
        <w:t xml:space="preserve"> use</w:t>
      </w:r>
      <w:r w:rsidRPr="00A40FD5">
        <w:t>.</w:t>
      </w:r>
      <w:r>
        <w:t xml:space="preserve"> </w:t>
      </w:r>
      <w:r w:rsidRPr="00A40FD5">
        <w:t xml:space="preserve">Projected contracted </w:t>
      </w:r>
      <w:r w:rsidRPr="00A40FD5">
        <w:rPr>
          <w:b/>
          <w:bCs/>
        </w:rPr>
        <w:t>compliance verification</w:t>
      </w:r>
      <w:r w:rsidRPr="00A40FD5">
        <w:t xml:space="preserve"> activities (mostly on-site inspections) have increased due to staff costs.</w:t>
      </w:r>
      <w:r>
        <w:t xml:space="preserve"> </w:t>
      </w:r>
      <w:r w:rsidRPr="00A40FD5">
        <w:t xml:space="preserve">Contracted </w:t>
      </w:r>
      <w:r>
        <w:t>technical evaluation</w:t>
      </w:r>
      <w:r w:rsidRPr="00A40FD5">
        <w:t xml:space="preserve"> is projected to decrease slightly from 2022.</w:t>
      </w:r>
      <w:r>
        <w:t xml:space="preserve"> </w:t>
      </w:r>
      <w:r w:rsidRPr="00A40FD5">
        <w:t xml:space="preserve">The annual costs used to set fees in 2017 compared </w:t>
      </w:r>
      <w:r>
        <w:t>with</w:t>
      </w:r>
      <w:r w:rsidRPr="00A40FD5">
        <w:t xml:space="preserve"> the projected costs from 2020 are set out in </w:t>
      </w:r>
      <w:r w:rsidR="005B5BE2">
        <w:fldChar w:fldCharType="begin"/>
      </w:r>
      <w:r w:rsidR="005B5BE2">
        <w:instrText xml:space="preserve"> REF _Ref87367394 \h </w:instrText>
      </w:r>
      <w:r w:rsidR="005B5BE2">
        <w:fldChar w:fldCharType="separate"/>
      </w:r>
      <w:r w:rsidR="003A5600">
        <w:t>Table </w:t>
      </w:r>
      <w:r w:rsidR="003A5600">
        <w:rPr>
          <w:noProof/>
        </w:rPr>
        <w:t>2</w:t>
      </w:r>
      <w:r w:rsidR="005B5BE2">
        <w:fldChar w:fldCharType="end"/>
      </w:r>
      <w:r w:rsidRPr="00A40FD5">
        <w:t>.</w:t>
      </w:r>
    </w:p>
    <w:p w14:paraId="56BAF0BA" w14:textId="77777777" w:rsidR="00232F0B" w:rsidRPr="00A40FD5" w:rsidRDefault="00232F0B" w:rsidP="005B5BE2"/>
    <w:p w14:paraId="5CB1EB0E" w14:textId="15AC3B2C" w:rsidR="00232F0B" w:rsidRPr="00A40FD5" w:rsidRDefault="005B5BE2" w:rsidP="005B5BE2">
      <w:pPr>
        <w:pStyle w:val="Table"/>
      </w:pPr>
      <w:bookmarkStart w:id="38" w:name="_Ref87367394"/>
      <w:bookmarkStart w:id="39" w:name="_Toc84916116"/>
      <w:bookmarkStart w:id="40" w:name="_Toc84916179"/>
      <w:bookmarkStart w:id="41" w:name="_Toc88644150"/>
      <w:r>
        <w:t>Table </w:t>
      </w:r>
      <w:r w:rsidR="00384F9F">
        <w:fldChar w:fldCharType="begin"/>
      </w:r>
      <w:r w:rsidR="00384F9F">
        <w:instrText xml:space="preserve"> SEQ Table \* ARABIC </w:instrText>
      </w:r>
      <w:r w:rsidR="00384F9F">
        <w:fldChar w:fldCharType="separate"/>
      </w:r>
      <w:r w:rsidR="003A5600">
        <w:rPr>
          <w:noProof/>
        </w:rPr>
        <w:t>2</w:t>
      </w:r>
      <w:r w:rsidR="00384F9F">
        <w:rPr>
          <w:noProof/>
        </w:rPr>
        <w:fldChar w:fldCharType="end"/>
      </w:r>
      <w:bookmarkEnd w:id="38"/>
      <w:r w:rsidR="00232F0B" w:rsidRPr="00A40FD5">
        <w:t>:</w:t>
      </w:r>
      <w:r>
        <w:t xml:space="preserve"> </w:t>
      </w:r>
      <w:r w:rsidR="00232F0B" w:rsidRPr="00A40FD5">
        <w:t xml:space="preserve">Annual costs of regulating radiation safety: 2017 compared </w:t>
      </w:r>
      <w:r w:rsidR="00232F0B">
        <w:t>with</w:t>
      </w:r>
      <w:r w:rsidR="00232F0B" w:rsidRPr="00A40FD5">
        <w:t xml:space="preserve"> projected costs from 2022</w:t>
      </w:r>
      <w:bookmarkEnd w:id="39"/>
      <w:bookmarkEnd w:id="40"/>
      <w:bookmarkEnd w:id="41"/>
    </w:p>
    <w:tbl>
      <w:tblPr>
        <w:tblW w:w="8080" w:type="dxa"/>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3261"/>
        <w:gridCol w:w="1204"/>
        <w:gridCol w:w="1205"/>
        <w:gridCol w:w="1205"/>
        <w:gridCol w:w="1205"/>
      </w:tblGrid>
      <w:tr w:rsidR="00232F0B" w:rsidRPr="00B55585" w14:paraId="4A2DA6E6" w14:textId="77777777" w:rsidTr="00B55585">
        <w:trPr>
          <w:cantSplit/>
        </w:trPr>
        <w:tc>
          <w:tcPr>
            <w:tcW w:w="3261" w:type="dxa"/>
            <w:tcBorders>
              <w:top w:val="nil"/>
              <w:bottom w:val="nil"/>
            </w:tcBorders>
            <w:shd w:val="clear" w:color="auto" w:fill="D9D9D9" w:themeFill="background1" w:themeFillShade="D9"/>
          </w:tcPr>
          <w:p w14:paraId="30936FF9" w14:textId="77777777" w:rsidR="00232F0B" w:rsidRPr="00B55585" w:rsidRDefault="00232F0B" w:rsidP="00B55585">
            <w:pPr>
              <w:pStyle w:val="TableText"/>
              <w:ind w:right="113"/>
              <w:rPr>
                <w:b/>
              </w:rPr>
            </w:pPr>
          </w:p>
        </w:tc>
        <w:tc>
          <w:tcPr>
            <w:tcW w:w="1204" w:type="dxa"/>
            <w:tcBorders>
              <w:top w:val="nil"/>
              <w:bottom w:val="nil"/>
            </w:tcBorders>
            <w:shd w:val="clear" w:color="auto" w:fill="D9D9D9" w:themeFill="background1" w:themeFillShade="D9"/>
          </w:tcPr>
          <w:p w14:paraId="233B6EE9" w14:textId="77777777" w:rsidR="00232F0B" w:rsidRPr="00B55585" w:rsidRDefault="00232F0B" w:rsidP="00B55585">
            <w:pPr>
              <w:pStyle w:val="TableText"/>
              <w:jc w:val="center"/>
              <w:rPr>
                <w:b/>
              </w:rPr>
            </w:pPr>
            <w:r w:rsidRPr="00B55585">
              <w:rPr>
                <w:b/>
              </w:rPr>
              <w:t>2017</w:t>
            </w:r>
          </w:p>
        </w:tc>
        <w:tc>
          <w:tcPr>
            <w:tcW w:w="1205" w:type="dxa"/>
            <w:tcBorders>
              <w:top w:val="nil"/>
              <w:bottom w:val="nil"/>
            </w:tcBorders>
            <w:shd w:val="clear" w:color="auto" w:fill="D9D9D9" w:themeFill="background1" w:themeFillShade="D9"/>
          </w:tcPr>
          <w:p w14:paraId="3A1AB71D" w14:textId="77777777" w:rsidR="00232F0B" w:rsidRPr="00B55585" w:rsidRDefault="00232F0B" w:rsidP="00B55585">
            <w:pPr>
              <w:pStyle w:val="TableText"/>
              <w:jc w:val="center"/>
              <w:rPr>
                <w:b/>
              </w:rPr>
            </w:pPr>
            <w:r w:rsidRPr="00B55585">
              <w:rPr>
                <w:b/>
              </w:rPr>
              <w:t>2022</w:t>
            </w:r>
          </w:p>
        </w:tc>
        <w:tc>
          <w:tcPr>
            <w:tcW w:w="1205" w:type="dxa"/>
            <w:tcBorders>
              <w:top w:val="nil"/>
              <w:bottom w:val="nil"/>
            </w:tcBorders>
            <w:shd w:val="clear" w:color="auto" w:fill="D9D9D9" w:themeFill="background1" w:themeFillShade="D9"/>
          </w:tcPr>
          <w:p w14:paraId="2DEF9E8A" w14:textId="77777777" w:rsidR="00232F0B" w:rsidRPr="00B55585" w:rsidRDefault="00232F0B" w:rsidP="00B55585">
            <w:pPr>
              <w:pStyle w:val="TableText"/>
              <w:jc w:val="center"/>
              <w:rPr>
                <w:b/>
              </w:rPr>
            </w:pPr>
            <w:r w:rsidRPr="00B55585">
              <w:rPr>
                <w:b/>
              </w:rPr>
              <w:t>$ increase</w:t>
            </w:r>
          </w:p>
        </w:tc>
        <w:tc>
          <w:tcPr>
            <w:tcW w:w="1205" w:type="dxa"/>
            <w:tcBorders>
              <w:top w:val="nil"/>
              <w:bottom w:val="nil"/>
            </w:tcBorders>
            <w:shd w:val="clear" w:color="auto" w:fill="D9D9D9" w:themeFill="background1" w:themeFillShade="D9"/>
          </w:tcPr>
          <w:p w14:paraId="5CA1E727" w14:textId="77777777" w:rsidR="00232F0B" w:rsidRPr="00B55585" w:rsidRDefault="00232F0B" w:rsidP="00B55585">
            <w:pPr>
              <w:pStyle w:val="TableText"/>
              <w:jc w:val="center"/>
              <w:rPr>
                <w:b/>
              </w:rPr>
            </w:pPr>
            <w:r w:rsidRPr="00B55585">
              <w:rPr>
                <w:b/>
              </w:rPr>
              <w:t>% increase</w:t>
            </w:r>
          </w:p>
        </w:tc>
      </w:tr>
      <w:tr w:rsidR="00232F0B" w:rsidRPr="00A40FD5" w14:paraId="1A9611D5" w14:textId="77777777" w:rsidTr="00B55585">
        <w:trPr>
          <w:cantSplit/>
        </w:trPr>
        <w:tc>
          <w:tcPr>
            <w:tcW w:w="3261" w:type="dxa"/>
            <w:tcBorders>
              <w:top w:val="nil"/>
            </w:tcBorders>
          </w:tcPr>
          <w:p w14:paraId="54689654" w14:textId="77777777" w:rsidR="00232F0B" w:rsidRPr="00A40FD5" w:rsidRDefault="00232F0B" w:rsidP="00B55585">
            <w:pPr>
              <w:pStyle w:val="TableText"/>
              <w:ind w:right="113"/>
            </w:pPr>
            <w:r w:rsidRPr="00A40FD5">
              <w:t>Direct costs of administering the Act</w:t>
            </w:r>
          </w:p>
        </w:tc>
        <w:tc>
          <w:tcPr>
            <w:tcW w:w="1204" w:type="dxa"/>
            <w:tcBorders>
              <w:top w:val="nil"/>
            </w:tcBorders>
          </w:tcPr>
          <w:p w14:paraId="4B5BE703" w14:textId="77777777" w:rsidR="00232F0B" w:rsidRPr="00A40FD5" w:rsidRDefault="00232F0B" w:rsidP="00B55585">
            <w:pPr>
              <w:pStyle w:val="TableText"/>
              <w:tabs>
                <w:tab w:val="decimal" w:pos="935"/>
              </w:tabs>
            </w:pPr>
            <w:r w:rsidRPr="00A40FD5">
              <w:t>$450,000</w:t>
            </w:r>
          </w:p>
        </w:tc>
        <w:tc>
          <w:tcPr>
            <w:tcW w:w="1205" w:type="dxa"/>
            <w:tcBorders>
              <w:top w:val="nil"/>
            </w:tcBorders>
          </w:tcPr>
          <w:p w14:paraId="1FBA3768" w14:textId="77777777" w:rsidR="00232F0B" w:rsidRPr="00A40FD5" w:rsidRDefault="00232F0B" w:rsidP="00B55585">
            <w:pPr>
              <w:pStyle w:val="TableText"/>
              <w:tabs>
                <w:tab w:val="decimal" w:pos="935"/>
              </w:tabs>
            </w:pPr>
            <w:r w:rsidRPr="00A40FD5">
              <w:t>$1,038,778</w:t>
            </w:r>
          </w:p>
        </w:tc>
        <w:tc>
          <w:tcPr>
            <w:tcW w:w="1205" w:type="dxa"/>
            <w:tcBorders>
              <w:top w:val="nil"/>
            </w:tcBorders>
          </w:tcPr>
          <w:p w14:paraId="45EC580A" w14:textId="77777777" w:rsidR="00232F0B" w:rsidRPr="00A40FD5" w:rsidRDefault="00232F0B" w:rsidP="00B55585">
            <w:pPr>
              <w:pStyle w:val="TableText"/>
              <w:tabs>
                <w:tab w:val="decimal" w:pos="935"/>
              </w:tabs>
            </w:pPr>
            <w:r w:rsidRPr="00A40FD5">
              <w:t>$588,778</w:t>
            </w:r>
          </w:p>
        </w:tc>
        <w:tc>
          <w:tcPr>
            <w:tcW w:w="1205" w:type="dxa"/>
            <w:tcBorders>
              <w:top w:val="nil"/>
            </w:tcBorders>
          </w:tcPr>
          <w:p w14:paraId="16FA4782" w14:textId="77777777" w:rsidR="00232F0B" w:rsidRPr="00A40FD5" w:rsidRDefault="00232F0B" w:rsidP="00B55585">
            <w:pPr>
              <w:pStyle w:val="TableText"/>
              <w:tabs>
                <w:tab w:val="decimal" w:pos="582"/>
              </w:tabs>
            </w:pPr>
            <w:r w:rsidRPr="00A40FD5">
              <w:t>131%</w:t>
            </w:r>
          </w:p>
        </w:tc>
      </w:tr>
      <w:tr w:rsidR="00232F0B" w:rsidRPr="00A40FD5" w14:paraId="76881048" w14:textId="77777777" w:rsidTr="00B55585">
        <w:trPr>
          <w:cantSplit/>
        </w:trPr>
        <w:tc>
          <w:tcPr>
            <w:tcW w:w="3261" w:type="dxa"/>
          </w:tcPr>
          <w:p w14:paraId="0A36D66C" w14:textId="77777777" w:rsidR="00232F0B" w:rsidRPr="00A40FD5" w:rsidRDefault="00232F0B" w:rsidP="00B55585">
            <w:pPr>
              <w:pStyle w:val="TableText"/>
              <w:ind w:right="113"/>
            </w:pPr>
            <w:r w:rsidRPr="00A40FD5">
              <w:t>Contracted compliance verification (on-site inspections)</w:t>
            </w:r>
          </w:p>
        </w:tc>
        <w:tc>
          <w:tcPr>
            <w:tcW w:w="1204" w:type="dxa"/>
          </w:tcPr>
          <w:p w14:paraId="74CCAFFE" w14:textId="77777777" w:rsidR="00232F0B" w:rsidRPr="00A40FD5" w:rsidRDefault="00232F0B" w:rsidP="00B55585">
            <w:pPr>
              <w:pStyle w:val="TableText"/>
              <w:tabs>
                <w:tab w:val="decimal" w:pos="935"/>
              </w:tabs>
            </w:pPr>
            <w:r w:rsidRPr="00A40FD5">
              <w:t>$887,700</w:t>
            </w:r>
          </w:p>
        </w:tc>
        <w:tc>
          <w:tcPr>
            <w:tcW w:w="1205" w:type="dxa"/>
          </w:tcPr>
          <w:p w14:paraId="6B889D67" w14:textId="77777777" w:rsidR="00232F0B" w:rsidRPr="00A40FD5" w:rsidRDefault="00232F0B" w:rsidP="00B55585">
            <w:pPr>
              <w:pStyle w:val="TableText"/>
              <w:tabs>
                <w:tab w:val="decimal" w:pos="935"/>
              </w:tabs>
            </w:pPr>
            <w:r w:rsidRPr="00A40FD5">
              <w:t>$1,368,997</w:t>
            </w:r>
          </w:p>
        </w:tc>
        <w:tc>
          <w:tcPr>
            <w:tcW w:w="1205" w:type="dxa"/>
          </w:tcPr>
          <w:p w14:paraId="730B7B9D" w14:textId="77777777" w:rsidR="00232F0B" w:rsidRPr="00A40FD5" w:rsidRDefault="00232F0B" w:rsidP="00B55585">
            <w:pPr>
              <w:pStyle w:val="TableText"/>
              <w:tabs>
                <w:tab w:val="decimal" w:pos="935"/>
              </w:tabs>
            </w:pPr>
            <w:r w:rsidRPr="00A40FD5">
              <w:t>$481,297</w:t>
            </w:r>
          </w:p>
        </w:tc>
        <w:tc>
          <w:tcPr>
            <w:tcW w:w="1205" w:type="dxa"/>
          </w:tcPr>
          <w:p w14:paraId="1A923857" w14:textId="77777777" w:rsidR="00232F0B" w:rsidRPr="00A40FD5" w:rsidRDefault="00232F0B" w:rsidP="00B55585">
            <w:pPr>
              <w:pStyle w:val="TableText"/>
              <w:tabs>
                <w:tab w:val="decimal" w:pos="582"/>
              </w:tabs>
            </w:pPr>
            <w:r w:rsidRPr="00A40FD5">
              <w:t>54%</w:t>
            </w:r>
          </w:p>
        </w:tc>
      </w:tr>
      <w:tr w:rsidR="00232F0B" w:rsidRPr="00A40FD5" w14:paraId="24C5AB79" w14:textId="77777777" w:rsidTr="00B55585">
        <w:trPr>
          <w:cantSplit/>
        </w:trPr>
        <w:tc>
          <w:tcPr>
            <w:tcW w:w="3261" w:type="dxa"/>
          </w:tcPr>
          <w:p w14:paraId="5CE5A094" w14:textId="77777777" w:rsidR="00232F0B" w:rsidRPr="00A40FD5" w:rsidRDefault="00232F0B" w:rsidP="00B55585">
            <w:pPr>
              <w:pStyle w:val="TableText"/>
              <w:ind w:right="113"/>
            </w:pPr>
            <w:r w:rsidRPr="00A40FD5">
              <w:t>Contracted technical evaluation</w:t>
            </w:r>
          </w:p>
        </w:tc>
        <w:tc>
          <w:tcPr>
            <w:tcW w:w="1204" w:type="dxa"/>
          </w:tcPr>
          <w:p w14:paraId="704E2282" w14:textId="77777777" w:rsidR="00232F0B" w:rsidRPr="00A40FD5" w:rsidRDefault="00232F0B" w:rsidP="00B55585">
            <w:pPr>
              <w:pStyle w:val="TableText"/>
              <w:tabs>
                <w:tab w:val="decimal" w:pos="935"/>
              </w:tabs>
            </w:pPr>
            <w:r w:rsidRPr="00A40FD5">
              <w:t>$100,000</w:t>
            </w:r>
          </w:p>
        </w:tc>
        <w:tc>
          <w:tcPr>
            <w:tcW w:w="1205" w:type="dxa"/>
          </w:tcPr>
          <w:p w14:paraId="008EBFC7" w14:textId="77777777" w:rsidR="00232F0B" w:rsidRPr="00A40FD5" w:rsidRDefault="00232F0B" w:rsidP="00B55585">
            <w:pPr>
              <w:pStyle w:val="TableText"/>
              <w:tabs>
                <w:tab w:val="decimal" w:pos="935"/>
              </w:tabs>
            </w:pPr>
            <w:r w:rsidRPr="00A40FD5">
              <w:t>$82,670</w:t>
            </w:r>
          </w:p>
        </w:tc>
        <w:tc>
          <w:tcPr>
            <w:tcW w:w="1205" w:type="dxa"/>
          </w:tcPr>
          <w:p w14:paraId="7F5FF427" w14:textId="77777777" w:rsidR="00232F0B" w:rsidRPr="00A40FD5" w:rsidRDefault="00232F0B" w:rsidP="00B55585">
            <w:pPr>
              <w:pStyle w:val="TableText"/>
              <w:tabs>
                <w:tab w:val="decimal" w:pos="935"/>
              </w:tabs>
            </w:pPr>
            <w:r w:rsidRPr="00A40FD5">
              <w:t>-$17,330</w:t>
            </w:r>
          </w:p>
        </w:tc>
        <w:tc>
          <w:tcPr>
            <w:tcW w:w="1205" w:type="dxa"/>
          </w:tcPr>
          <w:p w14:paraId="1F268B96" w14:textId="77777777" w:rsidR="00232F0B" w:rsidRPr="00A40FD5" w:rsidRDefault="00232F0B" w:rsidP="00B55585">
            <w:pPr>
              <w:pStyle w:val="TableText"/>
              <w:tabs>
                <w:tab w:val="decimal" w:pos="582"/>
              </w:tabs>
            </w:pPr>
            <w:r w:rsidRPr="00A40FD5">
              <w:t>-17%</w:t>
            </w:r>
          </w:p>
        </w:tc>
      </w:tr>
      <w:tr w:rsidR="00232F0B" w:rsidRPr="00A40FD5" w14:paraId="3EE6493F" w14:textId="77777777" w:rsidTr="00B55585">
        <w:trPr>
          <w:cantSplit/>
        </w:trPr>
        <w:tc>
          <w:tcPr>
            <w:tcW w:w="3261" w:type="dxa"/>
          </w:tcPr>
          <w:p w14:paraId="4E4FFA5A" w14:textId="77777777" w:rsidR="00232F0B" w:rsidRPr="00A40FD5" w:rsidRDefault="00232F0B" w:rsidP="00B55585">
            <w:pPr>
              <w:pStyle w:val="TableText"/>
              <w:ind w:right="113"/>
            </w:pPr>
            <w:r w:rsidRPr="00A40FD5">
              <w:t>Totals</w:t>
            </w:r>
          </w:p>
        </w:tc>
        <w:tc>
          <w:tcPr>
            <w:tcW w:w="1204" w:type="dxa"/>
          </w:tcPr>
          <w:p w14:paraId="6D442DC7" w14:textId="77777777" w:rsidR="00232F0B" w:rsidRPr="00A40FD5" w:rsidRDefault="00232F0B" w:rsidP="00B55585">
            <w:pPr>
              <w:pStyle w:val="TableText"/>
              <w:tabs>
                <w:tab w:val="decimal" w:pos="935"/>
              </w:tabs>
            </w:pPr>
            <w:r w:rsidRPr="00A40FD5">
              <w:t>$1,437,700</w:t>
            </w:r>
          </w:p>
        </w:tc>
        <w:tc>
          <w:tcPr>
            <w:tcW w:w="1205" w:type="dxa"/>
          </w:tcPr>
          <w:p w14:paraId="6B9D1863" w14:textId="77777777" w:rsidR="00232F0B" w:rsidRPr="00A40FD5" w:rsidRDefault="00232F0B" w:rsidP="00B55585">
            <w:pPr>
              <w:pStyle w:val="TableText"/>
              <w:tabs>
                <w:tab w:val="decimal" w:pos="935"/>
              </w:tabs>
            </w:pPr>
            <w:r w:rsidRPr="00A40FD5">
              <w:t>$2,490,445</w:t>
            </w:r>
          </w:p>
        </w:tc>
        <w:tc>
          <w:tcPr>
            <w:tcW w:w="1205" w:type="dxa"/>
          </w:tcPr>
          <w:p w14:paraId="04BD79CA" w14:textId="77777777" w:rsidR="00232F0B" w:rsidRPr="00A40FD5" w:rsidRDefault="00232F0B" w:rsidP="00B55585">
            <w:pPr>
              <w:pStyle w:val="TableText"/>
              <w:tabs>
                <w:tab w:val="decimal" w:pos="935"/>
              </w:tabs>
            </w:pPr>
            <w:r w:rsidRPr="00A40FD5">
              <w:t>$1,052,745</w:t>
            </w:r>
          </w:p>
        </w:tc>
        <w:tc>
          <w:tcPr>
            <w:tcW w:w="1205" w:type="dxa"/>
          </w:tcPr>
          <w:p w14:paraId="73F5FC8B" w14:textId="77777777" w:rsidR="00232F0B" w:rsidRPr="00A40FD5" w:rsidRDefault="00232F0B" w:rsidP="00B55585">
            <w:pPr>
              <w:pStyle w:val="TableText"/>
              <w:tabs>
                <w:tab w:val="decimal" w:pos="582"/>
              </w:tabs>
            </w:pPr>
            <w:r w:rsidRPr="00A40FD5">
              <w:t>73%</w:t>
            </w:r>
          </w:p>
        </w:tc>
      </w:tr>
    </w:tbl>
    <w:p w14:paraId="2394CD55" w14:textId="77777777" w:rsidR="00232F0B" w:rsidRPr="00A40FD5" w:rsidRDefault="00232F0B" w:rsidP="00B55585"/>
    <w:p w14:paraId="1E95E862" w14:textId="77777777" w:rsidR="00232F0B" w:rsidRPr="00A40FD5" w:rsidRDefault="00232F0B" w:rsidP="005B5BE2">
      <w:pPr>
        <w:pStyle w:val="Heading2"/>
      </w:pPr>
      <w:bookmarkStart w:id="42" w:name="_Toc83133461"/>
      <w:bookmarkStart w:id="43" w:name="_Toc89696187"/>
      <w:r w:rsidRPr="00A40FD5">
        <w:t>Fees take since 2017</w:t>
      </w:r>
      <w:bookmarkEnd w:id="42"/>
      <w:bookmarkEnd w:id="43"/>
    </w:p>
    <w:p w14:paraId="7800BB69" w14:textId="6B178D5F" w:rsidR="00232F0B" w:rsidRPr="00A40FD5" w:rsidRDefault="00232F0B" w:rsidP="00384DD3">
      <w:r w:rsidRPr="00A40FD5">
        <w:t xml:space="preserve">The number of authorisations granted compared </w:t>
      </w:r>
      <w:r>
        <w:t>with</w:t>
      </w:r>
      <w:r w:rsidRPr="00A40FD5">
        <w:t xml:space="preserve"> the number of authorisations projected in 2017 (before the new legislation was put in place) is lower than was projected.</w:t>
      </w:r>
      <w:r>
        <w:t xml:space="preserve"> </w:t>
      </w:r>
      <w:r w:rsidRPr="00A40FD5">
        <w:t xml:space="preserve">The figures are set out in </w:t>
      </w:r>
      <w:r w:rsidR="00384DD3">
        <w:fldChar w:fldCharType="begin"/>
      </w:r>
      <w:r w:rsidR="00384DD3">
        <w:instrText xml:space="preserve"> REF _Ref87368192 \h </w:instrText>
      </w:r>
      <w:r w:rsidR="00384DD3">
        <w:fldChar w:fldCharType="separate"/>
      </w:r>
      <w:r w:rsidR="003A5600">
        <w:t>Table </w:t>
      </w:r>
      <w:r w:rsidR="003A5600">
        <w:rPr>
          <w:noProof/>
        </w:rPr>
        <w:t>3</w:t>
      </w:r>
      <w:r w:rsidR="00384DD3">
        <w:fldChar w:fldCharType="end"/>
      </w:r>
      <w:r w:rsidRPr="00A40FD5">
        <w:t>.</w:t>
      </w:r>
    </w:p>
    <w:p w14:paraId="4F2293BE" w14:textId="77777777" w:rsidR="00232F0B" w:rsidRPr="00A40FD5" w:rsidRDefault="00232F0B" w:rsidP="00384DD3"/>
    <w:p w14:paraId="7C8ACFBD" w14:textId="50E288F8" w:rsidR="00232F0B" w:rsidRPr="00A40FD5" w:rsidRDefault="005B5BE2" w:rsidP="00384DD3">
      <w:pPr>
        <w:pStyle w:val="Table"/>
      </w:pPr>
      <w:bookmarkStart w:id="44" w:name="_Ref87368192"/>
      <w:bookmarkStart w:id="45" w:name="_Toc84916117"/>
      <w:bookmarkStart w:id="46" w:name="_Toc84916180"/>
      <w:bookmarkStart w:id="47" w:name="_Toc88644151"/>
      <w:r>
        <w:t>Table </w:t>
      </w:r>
      <w:r w:rsidR="00384F9F">
        <w:fldChar w:fldCharType="begin"/>
      </w:r>
      <w:r w:rsidR="00384F9F">
        <w:instrText xml:space="preserve"> SEQ Table \* ARABIC </w:instrText>
      </w:r>
      <w:r w:rsidR="00384F9F">
        <w:fldChar w:fldCharType="separate"/>
      </w:r>
      <w:r w:rsidR="003A5600">
        <w:rPr>
          <w:noProof/>
        </w:rPr>
        <w:t>3</w:t>
      </w:r>
      <w:r w:rsidR="00384F9F">
        <w:rPr>
          <w:noProof/>
        </w:rPr>
        <w:fldChar w:fldCharType="end"/>
      </w:r>
      <w:bookmarkEnd w:id="44"/>
      <w:r w:rsidR="00232F0B" w:rsidRPr="00A40FD5">
        <w:t>:</w:t>
      </w:r>
      <w:r>
        <w:t xml:space="preserve"> </w:t>
      </w:r>
      <w:r w:rsidR="00232F0B" w:rsidRPr="00A40FD5">
        <w:t>Comparison of actual authorisations granted with projected authorisations</w:t>
      </w:r>
      <w:bookmarkEnd w:id="45"/>
      <w:bookmarkEnd w:id="46"/>
      <w:bookmarkEnd w:id="47"/>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1843"/>
        <w:gridCol w:w="1843"/>
        <w:gridCol w:w="1701"/>
        <w:gridCol w:w="1417"/>
        <w:gridCol w:w="1276"/>
      </w:tblGrid>
      <w:tr w:rsidR="00232F0B" w:rsidRPr="00381210" w14:paraId="2C72AAB0" w14:textId="77777777" w:rsidTr="00381210">
        <w:trPr>
          <w:cantSplit/>
        </w:trPr>
        <w:tc>
          <w:tcPr>
            <w:tcW w:w="1843" w:type="dxa"/>
            <w:tcBorders>
              <w:top w:val="nil"/>
              <w:bottom w:val="nil"/>
            </w:tcBorders>
            <w:shd w:val="clear" w:color="auto" w:fill="D9D9D9" w:themeFill="background1" w:themeFillShade="D9"/>
          </w:tcPr>
          <w:p w14:paraId="74507F31" w14:textId="77777777" w:rsidR="00232F0B" w:rsidRPr="00381210" w:rsidRDefault="00232F0B" w:rsidP="00381210">
            <w:pPr>
              <w:pStyle w:val="TableText"/>
              <w:rPr>
                <w:b/>
              </w:rPr>
            </w:pPr>
          </w:p>
        </w:tc>
        <w:tc>
          <w:tcPr>
            <w:tcW w:w="1843" w:type="dxa"/>
            <w:tcBorders>
              <w:top w:val="nil"/>
              <w:bottom w:val="nil"/>
            </w:tcBorders>
            <w:shd w:val="clear" w:color="auto" w:fill="D9D9D9" w:themeFill="background1" w:themeFillShade="D9"/>
          </w:tcPr>
          <w:p w14:paraId="4F2C6C9E" w14:textId="77777777" w:rsidR="00232F0B" w:rsidRPr="00381210" w:rsidRDefault="00381210" w:rsidP="00381210">
            <w:pPr>
              <w:pStyle w:val="TableText"/>
              <w:jc w:val="center"/>
              <w:rPr>
                <w:b/>
              </w:rPr>
            </w:pPr>
            <w:r>
              <w:rPr>
                <w:b/>
              </w:rPr>
              <w:t>2017 projected</w:t>
            </w:r>
          </w:p>
        </w:tc>
        <w:tc>
          <w:tcPr>
            <w:tcW w:w="1701" w:type="dxa"/>
            <w:tcBorders>
              <w:top w:val="nil"/>
              <w:bottom w:val="nil"/>
            </w:tcBorders>
            <w:shd w:val="clear" w:color="auto" w:fill="D9D9D9" w:themeFill="background1" w:themeFillShade="D9"/>
          </w:tcPr>
          <w:p w14:paraId="764FBFF0" w14:textId="77777777" w:rsidR="00232F0B" w:rsidRPr="00381210" w:rsidRDefault="00232F0B" w:rsidP="00381210">
            <w:pPr>
              <w:pStyle w:val="TableText"/>
              <w:jc w:val="center"/>
              <w:rPr>
                <w:b/>
              </w:rPr>
            </w:pPr>
            <w:r w:rsidRPr="00381210">
              <w:rPr>
                <w:b/>
              </w:rPr>
              <w:t xml:space="preserve">2021 </w:t>
            </w:r>
            <w:r w:rsidR="00381210">
              <w:rPr>
                <w:b/>
              </w:rPr>
              <w:t>a</w:t>
            </w:r>
            <w:r w:rsidRPr="00381210">
              <w:rPr>
                <w:b/>
              </w:rPr>
              <w:t>ctual</w:t>
            </w:r>
          </w:p>
        </w:tc>
        <w:tc>
          <w:tcPr>
            <w:tcW w:w="1417" w:type="dxa"/>
            <w:tcBorders>
              <w:top w:val="nil"/>
              <w:bottom w:val="nil"/>
            </w:tcBorders>
            <w:shd w:val="clear" w:color="auto" w:fill="D9D9D9" w:themeFill="background1" w:themeFillShade="D9"/>
          </w:tcPr>
          <w:p w14:paraId="6C835285" w14:textId="77777777" w:rsidR="00232F0B" w:rsidRPr="00381210" w:rsidRDefault="00232F0B" w:rsidP="00381210">
            <w:pPr>
              <w:pStyle w:val="TableText"/>
              <w:jc w:val="center"/>
              <w:rPr>
                <w:b/>
              </w:rPr>
            </w:pPr>
            <w:r w:rsidRPr="00381210">
              <w:rPr>
                <w:b/>
              </w:rPr>
              <w:t>Shortfall</w:t>
            </w:r>
          </w:p>
        </w:tc>
        <w:tc>
          <w:tcPr>
            <w:tcW w:w="1276" w:type="dxa"/>
            <w:tcBorders>
              <w:top w:val="nil"/>
              <w:bottom w:val="nil"/>
            </w:tcBorders>
            <w:shd w:val="clear" w:color="auto" w:fill="D9D9D9" w:themeFill="background1" w:themeFillShade="D9"/>
          </w:tcPr>
          <w:p w14:paraId="0501ADBC" w14:textId="77777777" w:rsidR="00232F0B" w:rsidRPr="00381210" w:rsidRDefault="00232F0B" w:rsidP="00381210">
            <w:pPr>
              <w:pStyle w:val="TableText"/>
              <w:jc w:val="center"/>
              <w:rPr>
                <w:b/>
              </w:rPr>
            </w:pPr>
            <w:r w:rsidRPr="00381210">
              <w:rPr>
                <w:b/>
              </w:rPr>
              <w:t>% shortfall</w:t>
            </w:r>
          </w:p>
        </w:tc>
      </w:tr>
      <w:tr w:rsidR="00232F0B" w:rsidRPr="00A40FD5" w14:paraId="1CCBB66B" w14:textId="77777777" w:rsidTr="00381210">
        <w:trPr>
          <w:cantSplit/>
        </w:trPr>
        <w:tc>
          <w:tcPr>
            <w:tcW w:w="1843" w:type="dxa"/>
            <w:tcBorders>
              <w:top w:val="nil"/>
            </w:tcBorders>
          </w:tcPr>
          <w:p w14:paraId="460AEDEA" w14:textId="77777777" w:rsidR="00232F0B" w:rsidRPr="00A40FD5" w:rsidRDefault="00232F0B" w:rsidP="00381210">
            <w:pPr>
              <w:pStyle w:val="TableText"/>
            </w:pPr>
            <w:r w:rsidRPr="00A40FD5">
              <w:t>Source licences</w:t>
            </w:r>
          </w:p>
        </w:tc>
        <w:tc>
          <w:tcPr>
            <w:tcW w:w="1843" w:type="dxa"/>
            <w:tcBorders>
              <w:top w:val="nil"/>
            </w:tcBorders>
          </w:tcPr>
          <w:p w14:paraId="2C560AE4" w14:textId="77777777" w:rsidR="00232F0B" w:rsidRPr="00A40FD5" w:rsidRDefault="00232F0B" w:rsidP="00381210">
            <w:pPr>
              <w:pStyle w:val="TableText"/>
              <w:tabs>
                <w:tab w:val="decimal" w:pos="1077"/>
              </w:tabs>
            </w:pPr>
            <w:r w:rsidRPr="00A40FD5">
              <w:t>2</w:t>
            </w:r>
            <w:r>
              <w:t>,</w:t>
            </w:r>
            <w:r w:rsidRPr="00A40FD5">
              <w:t>458</w:t>
            </w:r>
          </w:p>
        </w:tc>
        <w:tc>
          <w:tcPr>
            <w:tcW w:w="1701" w:type="dxa"/>
            <w:tcBorders>
              <w:top w:val="nil"/>
            </w:tcBorders>
          </w:tcPr>
          <w:p w14:paraId="7BECA158" w14:textId="77777777" w:rsidR="00232F0B" w:rsidRPr="00A40FD5" w:rsidRDefault="00232F0B" w:rsidP="00381210">
            <w:pPr>
              <w:pStyle w:val="TableText"/>
              <w:tabs>
                <w:tab w:val="decimal" w:pos="1077"/>
              </w:tabs>
            </w:pPr>
            <w:r w:rsidRPr="00A40FD5">
              <w:t>2</w:t>
            </w:r>
            <w:r>
              <w:t>,</w:t>
            </w:r>
            <w:r w:rsidRPr="00A40FD5">
              <w:t>357</w:t>
            </w:r>
          </w:p>
        </w:tc>
        <w:tc>
          <w:tcPr>
            <w:tcW w:w="1417" w:type="dxa"/>
            <w:tcBorders>
              <w:top w:val="nil"/>
            </w:tcBorders>
          </w:tcPr>
          <w:p w14:paraId="3FF6A8FA" w14:textId="77777777" w:rsidR="00232F0B" w:rsidRPr="00A40FD5" w:rsidRDefault="00232F0B" w:rsidP="00381210">
            <w:pPr>
              <w:pStyle w:val="TableText"/>
              <w:tabs>
                <w:tab w:val="decimal" w:pos="787"/>
              </w:tabs>
            </w:pPr>
            <w:r w:rsidRPr="00A40FD5">
              <w:t>101</w:t>
            </w:r>
          </w:p>
        </w:tc>
        <w:tc>
          <w:tcPr>
            <w:tcW w:w="1276" w:type="dxa"/>
            <w:tcBorders>
              <w:top w:val="nil"/>
            </w:tcBorders>
          </w:tcPr>
          <w:p w14:paraId="74BD49F8" w14:textId="77777777" w:rsidR="00232F0B" w:rsidRPr="00A40FD5" w:rsidRDefault="00232F0B" w:rsidP="00381210">
            <w:pPr>
              <w:pStyle w:val="TableText"/>
              <w:tabs>
                <w:tab w:val="decimal" w:pos="666"/>
              </w:tabs>
            </w:pPr>
            <w:r w:rsidRPr="00A40FD5">
              <w:t>4%</w:t>
            </w:r>
          </w:p>
        </w:tc>
      </w:tr>
      <w:tr w:rsidR="00232F0B" w:rsidRPr="00A40FD5" w14:paraId="5A20BB27" w14:textId="77777777" w:rsidTr="00381210">
        <w:trPr>
          <w:cantSplit/>
        </w:trPr>
        <w:tc>
          <w:tcPr>
            <w:tcW w:w="1843" w:type="dxa"/>
          </w:tcPr>
          <w:p w14:paraId="4E21DC25" w14:textId="77777777" w:rsidR="00232F0B" w:rsidRPr="00A40FD5" w:rsidRDefault="00232F0B" w:rsidP="00381210">
            <w:pPr>
              <w:pStyle w:val="TableText"/>
            </w:pPr>
            <w:r w:rsidRPr="00A40FD5">
              <w:t>Use licences</w:t>
            </w:r>
          </w:p>
        </w:tc>
        <w:tc>
          <w:tcPr>
            <w:tcW w:w="1843" w:type="dxa"/>
          </w:tcPr>
          <w:p w14:paraId="040756E7" w14:textId="77777777" w:rsidR="00232F0B" w:rsidRPr="00A40FD5" w:rsidRDefault="00232F0B" w:rsidP="00381210">
            <w:pPr>
              <w:pStyle w:val="TableText"/>
              <w:tabs>
                <w:tab w:val="decimal" w:pos="1077"/>
              </w:tabs>
            </w:pPr>
            <w:r w:rsidRPr="00A40FD5">
              <w:t>1</w:t>
            </w:r>
            <w:r>
              <w:t>,</w:t>
            </w:r>
            <w:r w:rsidRPr="00A40FD5">
              <w:t>660</w:t>
            </w:r>
          </w:p>
        </w:tc>
        <w:tc>
          <w:tcPr>
            <w:tcW w:w="1701" w:type="dxa"/>
          </w:tcPr>
          <w:p w14:paraId="289D9F21" w14:textId="77777777" w:rsidR="00232F0B" w:rsidRPr="00A40FD5" w:rsidRDefault="00232F0B" w:rsidP="00381210">
            <w:pPr>
              <w:pStyle w:val="TableText"/>
              <w:tabs>
                <w:tab w:val="decimal" w:pos="1077"/>
              </w:tabs>
            </w:pPr>
            <w:r w:rsidRPr="00A40FD5">
              <w:t>1</w:t>
            </w:r>
            <w:r>
              <w:t>,</w:t>
            </w:r>
            <w:r w:rsidRPr="00A40FD5">
              <w:t>137</w:t>
            </w:r>
          </w:p>
        </w:tc>
        <w:tc>
          <w:tcPr>
            <w:tcW w:w="1417" w:type="dxa"/>
          </w:tcPr>
          <w:p w14:paraId="41EE8C34" w14:textId="77777777" w:rsidR="00232F0B" w:rsidRPr="00A40FD5" w:rsidRDefault="00232F0B" w:rsidP="00381210">
            <w:pPr>
              <w:pStyle w:val="TableText"/>
              <w:tabs>
                <w:tab w:val="decimal" w:pos="787"/>
              </w:tabs>
            </w:pPr>
            <w:r w:rsidRPr="00A40FD5">
              <w:t>523</w:t>
            </w:r>
          </w:p>
        </w:tc>
        <w:tc>
          <w:tcPr>
            <w:tcW w:w="1276" w:type="dxa"/>
          </w:tcPr>
          <w:p w14:paraId="77859136" w14:textId="77777777" w:rsidR="00232F0B" w:rsidRPr="00A40FD5" w:rsidRDefault="00232F0B" w:rsidP="00381210">
            <w:pPr>
              <w:pStyle w:val="TableText"/>
              <w:tabs>
                <w:tab w:val="decimal" w:pos="666"/>
              </w:tabs>
            </w:pPr>
            <w:r w:rsidRPr="00A40FD5">
              <w:t>32%</w:t>
            </w:r>
          </w:p>
        </w:tc>
      </w:tr>
      <w:tr w:rsidR="00232F0B" w:rsidRPr="00A40FD5" w14:paraId="3D6292A4" w14:textId="77777777" w:rsidTr="00381210">
        <w:trPr>
          <w:cantSplit/>
        </w:trPr>
        <w:tc>
          <w:tcPr>
            <w:tcW w:w="1843" w:type="dxa"/>
          </w:tcPr>
          <w:p w14:paraId="34B8AECB" w14:textId="77777777" w:rsidR="00232F0B" w:rsidRPr="00A40FD5" w:rsidRDefault="00232F0B" w:rsidP="00381210">
            <w:pPr>
              <w:pStyle w:val="TableText"/>
            </w:pPr>
            <w:r w:rsidRPr="00A40FD5">
              <w:t>Consents</w:t>
            </w:r>
          </w:p>
        </w:tc>
        <w:tc>
          <w:tcPr>
            <w:tcW w:w="1843" w:type="dxa"/>
          </w:tcPr>
          <w:p w14:paraId="2C16839B" w14:textId="77777777" w:rsidR="00232F0B" w:rsidRPr="00A40FD5" w:rsidRDefault="00232F0B" w:rsidP="00381210">
            <w:pPr>
              <w:pStyle w:val="TableText"/>
              <w:tabs>
                <w:tab w:val="decimal" w:pos="1077"/>
              </w:tabs>
            </w:pPr>
            <w:r w:rsidRPr="00A40FD5">
              <w:t>272</w:t>
            </w:r>
          </w:p>
        </w:tc>
        <w:tc>
          <w:tcPr>
            <w:tcW w:w="1701" w:type="dxa"/>
          </w:tcPr>
          <w:p w14:paraId="76C38D53" w14:textId="77777777" w:rsidR="00232F0B" w:rsidRPr="00A40FD5" w:rsidRDefault="00232F0B" w:rsidP="00381210">
            <w:pPr>
              <w:pStyle w:val="TableText"/>
              <w:tabs>
                <w:tab w:val="decimal" w:pos="1077"/>
              </w:tabs>
            </w:pPr>
            <w:r w:rsidRPr="00A40FD5">
              <w:t>196</w:t>
            </w:r>
          </w:p>
        </w:tc>
        <w:tc>
          <w:tcPr>
            <w:tcW w:w="1417" w:type="dxa"/>
          </w:tcPr>
          <w:p w14:paraId="471195F3" w14:textId="77777777" w:rsidR="00232F0B" w:rsidRPr="00A40FD5" w:rsidRDefault="00232F0B" w:rsidP="00381210">
            <w:pPr>
              <w:pStyle w:val="TableText"/>
              <w:tabs>
                <w:tab w:val="decimal" w:pos="787"/>
              </w:tabs>
            </w:pPr>
            <w:r w:rsidRPr="00A40FD5">
              <w:t>76</w:t>
            </w:r>
          </w:p>
        </w:tc>
        <w:tc>
          <w:tcPr>
            <w:tcW w:w="1276" w:type="dxa"/>
          </w:tcPr>
          <w:p w14:paraId="08B25B3B" w14:textId="77777777" w:rsidR="00232F0B" w:rsidRPr="00A40FD5" w:rsidRDefault="00232F0B" w:rsidP="00381210">
            <w:pPr>
              <w:pStyle w:val="TableText"/>
              <w:tabs>
                <w:tab w:val="decimal" w:pos="666"/>
              </w:tabs>
            </w:pPr>
            <w:r w:rsidRPr="00A40FD5">
              <w:t>30%</w:t>
            </w:r>
          </w:p>
        </w:tc>
      </w:tr>
    </w:tbl>
    <w:p w14:paraId="09A07DDD" w14:textId="77777777" w:rsidR="00232F0B" w:rsidRPr="00A40FD5" w:rsidRDefault="00232F0B" w:rsidP="00384DD3"/>
    <w:p w14:paraId="6D094A6B" w14:textId="209D4DC3" w:rsidR="00232F0B" w:rsidRPr="00A40FD5" w:rsidRDefault="00232F0B" w:rsidP="00384DD3">
      <w:r w:rsidRPr="00A40FD5">
        <w:t>It took longer to move the existing licences from the previous radiation protection regime onto the new authorisations regime than was projected in 2017.</w:t>
      </w:r>
      <w:r>
        <w:t xml:space="preserve"> </w:t>
      </w:r>
      <w:r w:rsidRPr="00A40FD5">
        <w:t xml:space="preserve">As a result, </w:t>
      </w:r>
      <w:r>
        <w:t>fewer</w:t>
      </w:r>
      <w:r w:rsidRPr="00A40FD5">
        <w:t xml:space="preserve"> fees have been taken than was projected</w:t>
      </w:r>
      <w:r>
        <w:t xml:space="preserve"> (see</w:t>
      </w:r>
      <w:r w:rsidRPr="00A40FD5">
        <w:t xml:space="preserve"> </w:t>
      </w:r>
      <w:r w:rsidR="00384DD3">
        <w:fldChar w:fldCharType="begin"/>
      </w:r>
      <w:r w:rsidR="00384DD3">
        <w:instrText xml:space="preserve"> REF _Ref87368204 \h </w:instrText>
      </w:r>
      <w:r w:rsidR="00384DD3">
        <w:fldChar w:fldCharType="separate"/>
      </w:r>
      <w:r w:rsidR="003A5600">
        <w:t>Table </w:t>
      </w:r>
      <w:r w:rsidR="003A5600">
        <w:rPr>
          <w:noProof/>
        </w:rPr>
        <w:t>4</w:t>
      </w:r>
      <w:r w:rsidR="00384DD3">
        <w:fldChar w:fldCharType="end"/>
      </w:r>
      <w:r>
        <w:t xml:space="preserve"> below).</w:t>
      </w:r>
    </w:p>
    <w:p w14:paraId="1878E17C" w14:textId="77777777" w:rsidR="00232F0B" w:rsidRPr="00A40FD5" w:rsidRDefault="00232F0B" w:rsidP="00384DD3"/>
    <w:p w14:paraId="706F1A33" w14:textId="26964D04" w:rsidR="00232F0B" w:rsidRPr="00A40FD5" w:rsidRDefault="005B5BE2" w:rsidP="00384DD3">
      <w:pPr>
        <w:pStyle w:val="Table"/>
      </w:pPr>
      <w:bookmarkStart w:id="48" w:name="_Ref87368204"/>
      <w:bookmarkStart w:id="49" w:name="_Toc84916118"/>
      <w:bookmarkStart w:id="50" w:name="_Toc84916181"/>
      <w:bookmarkStart w:id="51" w:name="_Toc88644152"/>
      <w:r>
        <w:t>Table </w:t>
      </w:r>
      <w:r w:rsidR="00384F9F">
        <w:fldChar w:fldCharType="begin"/>
      </w:r>
      <w:r w:rsidR="00384F9F">
        <w:instrText xml:space="preserve"> SEQ Table \* ARABIC </w:instrText>
      </w:r>
      <w:r w:rsidR="00384F9F">
        <w:fldChar w:fldCharType="separate"/>
      </w:r>
      <w:r w:rsidR="003A5600">
        <w:rPr>
          <w:noProof/>
        </w:rPr>
        <w:t>4</w:t>
      </w:r>
      <w:r w:rsidR="00384F9F">
        <w:rPr>
          <w:noProof/>
        </w:rPr>
        <w:fldChar w:fldCharType="end"/>
      </w:r>
      <w:bookmarkEnd w:id="48"/>
      <w:r w:rsidR="00232F0B" w:rsidRPr="00A40FD5">
        <w:t>:</w:t>
      </w:r>
      <w:r>
        <w:t xml:space="preserve"> </w:t>
      </w:r>
      <w:r w:rsidR="00232F0B" w:rsidRPr="00A40FD5">
        <w:t>Revenue and expenses for regulating radiation safety</w:t>
      </w:r>
      <w:bookmarkEnd w:id="49"/>
      <w:bookmarkEnd w:id="50"/>
      <w:bookmarkEnd w:id="51"/>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1271"/>
        <w:gridCol w:w="1706"/>
        <w:gridCol w:w="1228"/>
        <w:gridCol w:w="1229"/>
        <w:gridCol w:w="1229"/>
        <w:gridCol w:w="1417"/>
      </w:tblGrid>
      <w:tr w:rsidR="00232F0B" w:rsidRPr="00381210" w14:paraId="1313C75C" w14:textId="77777777" w:rsidTr="00381210">
        <w:trPr>
          <w:cantSplit/>
        </w:trPr>
        <w:tc>
          <w:tcPr>
            <w:tcW w:w="1271" w:type="dxa"/>
            <w:tcBorders>
              <w:top w:val="nil"/>
              <w:bottom w:val="nil"/>
            </w:tcBorders>
            <w:shd w:val="clear" w:color="auto" w:fill="D9D9D9" w:themeFill="background1" w:themeFillShade="D9"/>
            <w:noWrap/>
            <w:hideMark/>
          </w:tcPr>
          <w:p w14:paraId="714D13A8" w14:textId="77777777" w:rsidR="00232F0B" w:rsidRPr="00381210" w:rsidRDefault="00232F0B" w:rsidP="00381210">
            <w:pPr>
              <w:pStyle w:val="TableText"/>
              <w:rPr>
                <w:b/>
                <w:lang w:eastAsia="en-NZ"/>
              </w:rPr>
            </w:pPr>
            <w:r w:rsidRPr="00381210">
              <w:rPr>
                <w:b/>
                <w:lang w:eastAsia="en-NZ"/>
              </w:rPr>
              <w:t>Financial year ending 30 June</w:t>
            </w:r>
          </w:p>
        </w:tc>
        <w:tc>
          <w:tcPr>
            <w:tcW w:w="1706" w:type="dxa"/>
            <w:tcBorders>
              <w:top w:val="nil"/>
              <w:bottom w:val="nil"/>
            </w:tcBorders>
            <w:shd w:val="clear" w:color="auto" w:fill="D9D9D9" w:themeFill="background1" w:themeFillShade="D9"/>
            <w:noWrap/>
            <w:hideMark/>
          </w:tcPr>
          <w:p w14:paraId="34F7FB0F" w14:textId="77777777" w:rsidR="00232F0B" w:rsidRPr="00381210" w:rsidRDefault="00232F0B" w:rsidP="00381210">
            <w:pPr>
              <w:pStyle w:val="TableText"/>
              <w:jc w:val="center"/>
              <w:rPr>
                <w:b/>
                <w:lang w:eastAsia="en-NZ"/>
              </w:rPr>
            </w:pPr>
            <w:r w:rsidRPr="00381210">
              <w:rPr>
                <w:b/>
                <w:lang w:eastAsia="en-NZ"/>
              </w:rPr>
              <w:t>Projected fees take</w:t>
            </w:r>
            <w:r w:rsidR="00381210">
              <w:rPr>
                <w:b/>
                <w:lang w:eastAsia="en-NZ"/>
              </w:rPr>
              <w:br/>
            </w:r>
            <w:r w:rsidRPr="00381210">
              <w:rPr>
                <w:b/>
                <w:lang w:eastAsia="en-NZ"/>
              </w:rPr>
              <w:t>(discounted fees)</w:t>
            </w:r>
          </w:p>
        </w:tc>
        <w:tc>
          <w:tcPr>
            <w:tcW w:w="1228" w:type="dxa"/>
            <w:tcBorders>
              <w:top w:val="nil"/>
              <w:bottom w:val="nil"/>
            </w:tcBorders>
            <w:shd w:val="clear" w:color="auto" w:fill="D9D9D9" w:themeFill="background1" w:themeFillShade="D9"/>
            <w:noWrap/>
            <w:hideMark/>
          </w:tcPr>
          <w:p w14:paraId="28673F00" w14:textId="77777777" w:rsidR="00232F0B" w:rsidRPr="00381210" w:rsidRDefault="00232F0B" w:rsidP="00381210">
            <w:pPr>
              <w:pStyle w:val="TableText"/>
              <w:jc w:val="center"/>
              <w:rPr>
                <w:b/>
                <w:lang w:eastAsia="en-NZ"/>
              </w:rPr>
            </w:pPr>
            <w:r w:rsidRPr="00381210">
              <w:rPr>
                <w:b/>
                <w:lang w:eastAsia="en-NZ"/>
              </w:rPr>
              <w:t>Revenue</w:t>
            </w:r>
          </w:p>
        </w:tc>
        <w:tc>
          <w:tcPr>
            <w:tcW w:w="1229" w:type="dxa"/>
            <w:tcBorders>
              <w:top w:val="nil"/>
              <w:bottom w:val="nil"/>
            </w:tcBorders>
            <w:shd w:val="clear" w:color="auto" w:fill="D9D9D9" w:themeFill="background1" w:themeFillShade="D9"/>
            <w:noWrap/>
            <w:hideMark/>
          </w:tcPr>
          <w:p w14:paraId="1BE8A098" w14:textId="77777777" w:rsidR="00232F0B" w:rsidRPr="00381210" w:rsidRDefault="00232F0B" w:rsidP="00381210">
            <w:pPr>
              <w:pStyle w:val="TableText"/>
              <w:jc w:val="center"/>
              <w:rPr>
                <w:b/>
                <w:lang w:eastAsia="en-NZ"/>
              </w:rPr>
            </w:pPr>
            <w:r w:rsidRPr="00381210">
              <w:rPr>
                <w:b/>
                <w:lang w:eastAsia="en-NZ"/>
              </w:rPr>
              <w:t>Expenses</w:t>
            </w:r>
          </w:p>
        </w:tc>
        <w:tc>
          <w:tcPr>
            <w:tcW w:w="1229" w:type="dxa"/>
            <w:tcBorders>
              <w:top w:val="nil"/>
              <w:bottom w:val="nil"/>
            </w:tcBorders>
            <w:shd w:val="clear" w:color="auto" w:fill="D9D9D9" w:themeFill="background1" w:themeFillShade="D9"/>
            <w:noWrap/>
            <w:hideMark/>
          </w:tcPr>
          <w:p w14:paraId="4665A688" w14:textId="77777777" w:rsidR="00232F0B" w:rsidRPr="00381210" w:rsidRDefault="00232F0B" w:rsidP="00381210">
            <w:pPr>
              <w:pStyle w:val="TableText"/>
              <w:jc w:val="center"/>
              <w:rPr>
                <w:b/>
                <w:lang w:eastAsia="en-NZ"/>
              </w:rPr>
            </w:pPr>
            <w:r w:rsidRPr="00381210">
              <w:rPr>
                <w:b/>
                <w:lang w:eastAsia="en-NZ"/>
              </w:rPr>
              <w:t>Deficit</w:t>
            </w:r>
          </w:p>
        </w:tc>
        <w:tc>
          <w:tcPr>
            <w:tcW w:w="1417" w:type="dxa"/>
            <w:tcBorders>
              <w:top w:val="nil"/>
              <w:bottom w:val="nil"/>
            </w:tcBorders>
            <w:shd w:val="clear" w:color="auto" w:fill="D9D9D9" w:themeFill="background1" w:themeFillShade="D9"/>
            <w:noWrap/>
            <w:hideMark/>
          </w:tcPr>
          <w:p w14:paraId="44B29BE7" w14:textId="77777777" w:rsidR="00232F0B" w:rsidRPr="00381210" w:rsidRDefault="00232F0B" w:rsidP="00381210">
            <w:pPr>
              <w:pStyle w:val="TableText"/>
              <w:jc w:val="center"/>
              <w:rPr>
                <w:b/>
                <w:lang w:eastAsia="en-NZ"/>
              </w:rPr>
            </w:pPr>
            <w:r w:rsidRPr="00381210">
              <w:rPr>
                <w:b/>
                <w:lang w:eastAsia="en-NZ"/>
              </w:rPr>
              <w:t>Memorandum account balance</w:t>
            </w:r>
          </w:p>
        </w:tc>
      </w:tr>
      <w:tr w:rsidR="00232F0B" w:rsidRPr="00A40FD5" w14:paraId="5A4FE846" w14:textId="77777777" w:rsidTr="00381210">
        <w:trPr>
          <w:cantSplit/>
        </w:trPr>
        <w:tc>
          <w:tcPr>
            <w:tcW w:w="1271" w:type="dxa"/>
            <w:tcBorders>
              <w:top w:val="nil"/>
            </w:tcBorders>
            <w:shd w:val="clear" w:color="auto" w:fill="auto"/>
            <w:noWrap/>
            <w:hideMark/>
          </w:tcPr>
          <w:p w14:paraId="78D3D11C" w14:textId="77777777" w:rsidR="00232F0B" w:rsidRPr="00A40FD5" w:rsidRDefault="00232F0B" w:rsidP="00381210">
            <w:pPr>
              <w:pStyle w:val="TableText"/>
              <w:rPr>
                <w:lang w:eastAsia="en-NZ"/>
              </w:rPr>
            </w:pPr>
            <w:r w:rsidRPr="00A40FD5">
              <w:rPr>
                <w:lang w:eastAsia="en-NZ"/>
              </w:rPr>
              <w:t>2016</w:t>
            </w:r>
          </w:p>
        </w:tc>
        <w:tc>
          <w:tcPr>
            <w:tcW w:w="1706" w:type="dxa"/>
            <w:tcBorders>
              <w:top w:val="nil"/>
            </w:tcBorders>
            <w:shd w:val="clear" w:color="auto" w:fill="auto"/>
            <w:noWrap/>
            <w:hideMark/>
          </w:tcPr>
          <w:p w14:paraId="710A2451" w14:textId="77777777" w:rsidR="00232F0B" w:rsidRPr="00935DED" w:rsidRDefault="00232F0B" w:rsidP="00381210">
            <w:pPr>
              <w:pStyle w:val="TableText"/>
              <w:jc w:val="center"/>
              <w:rPr>
                <w:lang w:eastAsia="en-NZ"/>
              </w:rPr>
            </w:pPr>
            <w:r w:rsidRPr="00935DED">
              <w:rPr>
                <w:lang w:eastAsia="en-NZ"/>
              </w:rPr>
              <w:t>–</w:t>
            </w:r>
          </w:p>
        </w:tc>
        <w:tc>
          <w:tcPr>
            <w:tcW w:w="1228" w:type="dxa"/>
            <w:tcBorders>
              <w:top w:val="nil"/>
            </w:tcBorders>
            <w:shd w:val="clear" w:color="auto" w:fill="auto"/>
            <w:noWrap/>
            <w:hideMark/>
          </w:tcPr>
          <w:p w14:paraId="2D202F16" w14:textId="77777777" w:rsidR="00232F0B" w:rsidRPr="00935DED" w:rsidRDefault="00232F0B" w:rsidP="00381210">
            <w:pPr>
              <w:pStyle w:val="TableText"/>
              <w:tabs>
                <w:tab w:val="decimal" w:pos="992"/>
              </w:tabs>
              <w:rPr>
                <w:lang w:eastAsia="en-NZ"/>
              </w:rPr>
            </w:pPr>
            <w:r w:rsidRPr="00935DED">
              <w:rPr>
                <w:lang w:eastAsia="en-NZ"/>
              </w:rPr>
              <w:t>–</w:t>
            </w:r>
          </w:p>
        </w:tc>
        <w:tc>
          <w:tcPr>
            <w:tcW w:w="1229" w:type="dxa"/>
            <w:tcBorders>
              <w:top w:val="nil"/>
            </w:tcBorders>
            <w:shd w:val="clear" w:color="auto" w:fill="auto"/>
            <w:noWrap/>
            <w:hideMark/>
          </w:tcPr>
          <w:p w14:paraId="46BB3BFA" w14:textId="77777777" w:rsidR="00232F0B" w:rsidRPr="00935DED" w:rsidRDefault="00232F0B" w:rsidP="00381210">
            <w:pPr>
              <w:pStyle w:val="TableText"/>
              <w:tabs>
                <w:tab w:val="decimal" w:pos="992"/>
              </w:tabs>
              <w:rPr>
                <w:lang w:eastAsia="en-NZ"/>
              </w:rPr>
            </w:pPr>
            <w:r w:rsidRPr="00935DED">
              <w:rPr>
                <w:lang w:eastAsia="en-NZ"/>
              </w:rPr>
              <w:t>–</w:t>
            </w:r>
          </w:p>
        </w:tc>
        <w:tc>
          <w:tcPr>
            <w:tcW w:w="1229" w:type="dxa"/>
            <w:tcBorders>
              <w:top w:val="nil"/>
            </w:tcBorders>
            <w:shd w:val="clear" w:color="auto" w:fill="auto"/>
            <w:noWrap/>
            <w:hideMark/>
          </w:tcPr>
          <w:p w14:paraId="17F8CF9F" w14:textId="77777777" w:rsidR="00232F0B" w:rsidRPr="00935DED" w:rsidRDefault="00232F0B" w:rsidP="00381210">
            <w:pPr>
              <w:pStyle w:val="TableText"/>
              <w:jc w:val="center"/>
              <w:rPr>
                <w:lang w:eastAsia="en-NZ"/>
              </w:rPr>
            </w:pPr>
            <w:r w:rsidRPr="00935DED">
              <w:rPr>
                <w:lang w:eastAsia="en-NZ"/>
              </w:rPr>
              <w:t>–</w:t>
            </w:r>
          </w:p>
        </w:tc>
        <w:tc>
          <w:tcPr>
            <w:tcW w:w="1417" w:type="dxa"/>
            <w:tcBorders>
              <w:top w:val="nil"/>
            </w:tcBorders>
            <w:shd w:val="clear" w:color="auto" w:fill="auto"/>
            <w:noWrap/>
            <w:hideMark/>
          </w:tcPr>
          <w:p w14:paraId="3F41CC85" w14:textId="77777777" w:rsidR="00232F0B" w:rsidRPr="00A40FD5" w:rsidRDefault="00232F0B" w:rsidP="00381210">
            <w:pPr>
              <w:pStyle w:val="TableText"/>
              <w:tabs>
                <w:tab w:val="decimal" w:pos="1077"/>
              </w:tabs>
              <w:rPr>
                <w:lang w:eastAsia="en-NZ"/>
              </w:rPr>
            </w:pPr>
            <w:r w:rsidRPr="00A40FD5">
              <w:rPr>
                <w:lang w:eastAsia="en-NZ"/>
              </w:rPr>
              <w:t>$1,019,000</w:t>
            </w:r>
          </w:p>
        </w:tc>
      </w:tr>
      <w:tr w:rsidR="00232F0B" w:rsidRPr="00A40FD5" w14:paraId="0990B3BD" w14:textId="77777777" w:rsidTr="00381210">
        <w:trPr>
          <w:cantSplit/>
        </w:trPr>
        <w:tc>
          <w:tcPr>
            <w:tcW w:w="1271" w:type="dxa"/>
            <w:shd w:val="clear" w:color="auto" w:fill="auto"/>
            <w:noWrap/>
            <w:hideMark/>
          </w:tcPr>
          <w:p w14:paraId="468EBD17" w14:textId="77777777" w:rsidR="00232F0B" w:rsidRPr="00A40FD5" w:rsidRDefault="00232F0B" w:rsidP="00381210">
            <w:pPr>
              <w:pStyle w:val="TableText"/>
              <w:rPr>
                <w:lang w:eastAsia="en-NZ"/>
              </w:rPr>
            </w:pPr>
            <w:r w:rsidRPr="00A40FD5">
              <w:rPr>
                <w:lang w:eastAsia="en-NZ"/>
              </w:rPr>
              <w:t>2017</w:t>
            </w:r>
          </w:p>
        </w:tc>
        <w:tc>
          <w:tcPr>
            <w:tcW w:w="1706" w:type="dxa"/>
            <w:shd w:val="clear" w:color="auto" w:fill="auto"/>
            <w:noWrap/>
            <w:hideMark/>
          </w:tcPr>
          <w:p w14:paraId="6CF8F844" w14:textId="77777777" w:rsidR="00232F0B" w:rsidRPr="00A40FD5" w:rsidRDefault="00232F0B" w:rsidP="00381210">
            <w:pPr>
              <w:pStyle w:val="TableText"/>
              <w:jc w:val="center"/>
              <w:rPr>
                <w:lang w:eastAsia="en-NZ"/>
              </w:rPr>
            </w:pPr>
            <w:r w:rsidRPr="00A40FD5">
              <w:rPr>
                <w:lang w:eastAsia="en-NZ"/>
              </w:rPr>
              <w:t>$1,270,000</w:t>
            </w:r>
          </w:p>
        </w:tc>
        <w:tc>
          <w:tcPr>
            <w:tcW w:w="1228" w:type="dxa"/>
            <w:shd w:val="clear" w:color="auto" w:fill="auto"/>
            <w:noWrap/>
            <w:hideMark/>
          </w:tcPr>
          <w:p w14:paraId="26592B89" w14:textId="77777777" w:rsidR="00232F0B" w:rsidRPr="00A40FD5" w:rsidRDefault="00232F0B" w:rsidP="00381210">
            <w:pPr>
              <w:pStyle w:val="TableText"/>
              <w:tabs>
                <w:tab w:val="decimal" w:pos="992"/>
              </w:tabs>
              <w:rPr>
                <w:lang w:eastAsia="en-NZ"/>
              </w:rPr>
            </w:pPr>
            <w:r w:rsidRPr="00A40FD5">
              <w:rPr>
                <w:lang w:eastAsia="en-NZ"/>
              </w:rPr>
              <w:t>$582,000</w:t>
            </w:r>
          </w:p>
        </w:tc>
        <w:tc>
          <w:tcPr>
            <w:tcW w:w="1229" w:type="dxa"/>
            <w:shd w:val="clear" w:color="auto" w:fill="auto"/>
            <w:noWrap/>
            <w:hideMark/>
          </w:tcPr>
          <w:p w14:paraId="45E7F0B9" w14:textId="77777777" w:rsidR="00232F0B" w:rsidRPr="00A40FD5" w:rsidRDefault="00232F0B" w:rsidP="00381210">
            <w:pPr>
              <w:pStyle w:val="TableText"/>
              <w:tabs>
                <w:tab w:val="decimal" w:pos="992"/>
              </w:tabs>
              <w:rPr>
                <w:lang w:eastAsia="en-NZ"/>
              </w:rPr>
            </w:pPr>
            <w:r w:rsidRPr="00A40FD5">
              <w:rPr>
                <w:lang w:eastAsia="en-NZ"/>
              </w:rPr>
              <w:t>$970,000</w:t>
            </w:r>
          </w:p>
        </w:tc>
        <w:tc>
          <w:tcPr>
            <w:tcW w:w="1229" w:type="dxa"/>
            <w:shd w:val="clear" w:color="auto" w:fill="auto"/>
            <w:noWrap/>
            <w:hideMark/>
          </w:tcPr>
          <w:p w14:paraId="6E0ACDC2" w14:textId="77777777" w:rsidR="00232F0B" w:rsidRPr="00A40FD5" w:rsidRDefault="00232F0B" w:rsidP="00381210">
            <w:pPr>
              <w:pStyle w:val="TableText"/>
              <w:jc w:val="center"/>
              <w:rPr>
                <w:lang w:eastAsia="en-NZ"/>
              </w:rPr>
            </w:pPr>
            <w:r w:rsidRPr="00A40FD5">
              <w:rPr>
                <w:lang w:eastAsia="en-NZ"/>
              </w:rPr>
              <w:t>$388,000</w:t>
            </w:r>
          </w:p>
        </w:tc>
        <w:tc>
          <w:tcPr>
            <w:tcW w:w="1417" w:type="dxa"/>
            <w:shd w:val="clear" w:color="auto" w:fill="auto"/>
            <w:noWrap/>
            <w:hideMark/>
          </w:tcPr>
          <w:p w14:paraId="2F84828A" w14:textId="77777777" w:rsidR="00232F0B" w:rsidRPr="00A40FD5" w:rsidRDefault="00232F0B" w:rsidP="00381210">
            <w:pPr>
              <w:pStyle w:val="TableText"/>
              <w:tabs>
                <w:tab w:val="decimal" w:pos="1077"/>
              </w:tabs>
              <w:rPr>
                <w:lang w:eastAsia="en-NZ"/>
              </w:rPr>
            </w:pPr>
            <w:r w:rsidRPr="00A40FD5">
              <w:rPr>
                <w:lang w:eastAsia="en-NZ"/>
              </w:rPr>
              <w:t>$631,000</w:t>
            </w:r>
          </w:p>
        </w:tc>
      </w:tr>
      <w:tr w:rsidR="00232F0B" w:rsidRPr="00A40FD5" w14:paraId="7D2236D8" w14:textId="77777777" w:rsidTr="00381210">
        <w:trPr>
          <w:cantSplit/>
        </w:trPr>
        <w:tc>
          <w:tcPr>
            <w:tcW w:w="1271" w:type="dxa"/>
            <w:shd w:val="clear" w:color="auto" w:fill="auto"/>
            <w:noWrap/>
            <w:hideMark/>
          </w:tcPr>
          <w:p w14:paraId="0F4C17B4" w14:textId="77777777" w:rsidR="00232F0B" w:rsidRPr="00A40FD5" w:rsidRDefault="00232F0B" w:rsidP="00381210">
            <w:pPr>
              <w:pStyle w:val="TableText"/>
              <w:rPr>
                <w:lang w:eastAsia="en-NZ"/>
              </w:rPr>
            </w:pPr>
            <w:r w:rsidRPr="00A40FD5">
              <w:rPr>
                <w:lang w:eastAsia="en-NZ"/>
              </w:rPr>
              <w:t>2018</w:t>
            </w:r>
          </w:p>
        </w:tc>
        <w:tc>
          <w:tcPr>
            <w:tcW w:w="1706" w:type="dxa"/>
            <w:shd w:val="clear" w:color="auto" w:fill="auto"/>
            <w:noWrap/>
            <w:hideMark/>
          </w:tcPr>
          <w:p w14:paraId="75361726" w14:textId="77777777" w:rsidR="00232F0B" w:rsidRPr="00A40FD5" w:rsidRDefault="00232F0B" w:rsidP="00381210">
            <w:pPr>
              <w:pStyle w:val="TableText"/>
              <w:jc w:val="center"/>
              <w:rPr>
                <w:lang w:eastAsia="en-NZ"/>
              </w:rPr>
            </w:pPr>
            <w:r w:rsidRPr="00A40FD5">
              <w:rPr>
                <w:lang w:eastAsia="en-NZ"/>
              </w:rPr>
              <w:t>$1,270,000</w:t>
            </w:r>
          </w:p>
        </w:tc>
        <w:tc>
          <w:tcPr>
            <w:tcW w:w="1228" w:type="dxa"/>
            <w:shd w:val="clear" w:color="auto" w:fill="auto"/>
            <w:noWrap/>
            <w:hideMark/>
          </w:tcPr>
          <w:p w14:paraId="372306F0" w14:textId="77777777" w:rsidR="00232F0B" w:rsidRPr="00A40FD5" w:rsidRDefault="00232F0B" w:rsidP="00381210">
            <w:pPr>
              <w:pStyle w:val="TableText"/>
              <w:tabs>
                <w:tab w:val="decimal" w:pos="992"/>
              </w:tabs>
              <w:rPr>
                <w:lang w:eastAsia="en-NZ"/>
              </w:rPr>
            </w:pPr>
            <w:r w:rsidRPr="00A40FD5">
              <w:rPr>
                <w:lang w:eastAsia="en-NZ"/>
              </w:rPr>
              <w:t>$1,126,000</w:t>
            </w:r>
          </w:p>
        </w:tc>
        <w:tc>
          <w:tcPr>
            <w:tcW w:w="1229" w:type="dxa"/>
            <w:shd w:val="clear" w:color="auto" w:fill="auto"/>
            <w:noWrap/>
            <w:hideMark/>
          </w:tcPr>
          <w:p w14:paraId="55CE0206" w14:textId="77777777" w:rsidR="00232F0B" w:rsidRPr="00A40FD5" w:rsidRDefault="00232F0B" w:rsidP="00381210">
            <w:pPr>
              <w:pStyle w:val="TableText"/>
              <w:tabs>
                <w:tab w:val="decimal" w:pos="992"/>
              </w:tabs>
              <w:rPr>
                <w:lang w:eastAsia="en-NZ"/>
              </w:rPr>
            </w:pPr>
            <w:r w:rsidRPr="00A40FD5">
              <w:rPr>
                <w:lang w:eastAsia="en-NZ"/>
              </w:rPr>
              <w:t>$1,359,000</w:t>
            </w:r>
          </w:p>
        </w:tc>
        <w:tc>
          <w:tcPr>
            <w:tcW w:w="1229" w:type="dxa"/>
            <w:shd w:val="clear" w:color="auto" w:fill="auto"/>
            <w:noWrap/>
            <w:hideMark/>
          </w:tcPr>
          <w:p w14:paraId="5B307C0A" w14:textId="77777777" w:rsidR="00232F0B" w:rsidRPr="00A40FD5" w:rsidRDefault="00232F0B" w:rsidP="00381210">
            <w:pPr>
              <w:pStyle w:val="TableText"/>
              <w:jc w:val="center"/>
              <w:rPr>
                <w:lang w:eastAsia="en-NZ"/>
              </w:rPr>
            </w:pPr>
            <w:r w:rsidRPr="00A40FD5">
              <w:rPr>
                <w:lang w:eastAsia="en-NZ"/>
              </w:rPr>
              <w:t>$233,000</w:t>
            </w:r>
          </w:p>
        </w:tc>
        <w:tc>
          <w:tcPr>
            <w:tcW w:w="1417" w:type="dxa"/>
            <w:shd w:val="clear" w:color="auto" w:fill="auto"/>
            <w:noWrap/>
            <w:hideMark/>
          </w:tcPr>
          <w:p w14:paraId="6E137FFE" w14:textId="77777777" w:rsidR="00232F0B" w:rsidRPr="00A40FD5" w:rsidRDefault="00232F0B" w:rsidP="00381210">
            <w:pPr>
              <w:pStyle w:val="TableText"/>
              <w:tabs>
                <w:tab w:val="decimal" w:pos="1077"/>
              </w:tabs>
              <w:rPr>
                <w:lang w:eastAsia="en-NZ"/>
              </w:rPr>
            </w:pPr>
            <w:r w:rsidRPr="00A40FD5">
              <w:rPr>
                <w:lang w:eastAsia="en-NZ"/>
              </w:rPr>
              <w:t>$398,000</w:t>
            </w:r>
          </w:p>
        </w:tc>
      </w:tr>
      <w:tr w:rsidR="00232F0B" w:rsidRPr="00A40FD5" w14:paraId="2B39B14B" w14:textId="77777777" w:rsidTr="00381210">
        <w:trPr>
          <w:cantSplit/>
        </w:trPr>
        <w:tc>
          <w:tcPr>
            <w:tcW w:w="1271" w:type="dxa"/>
            <w:shd w:val="clear" w:color="auto" w:fill="auto"/>
            <w:noWrap/>
            <w:hideMark/>
          </w:tcPr>
          <w:p w14:paraId="249EFB2D" w14:textId="77777777" w:rsidR="00232F0B" w:rsidRPr="00A40FD5" w:rsidRDefault="00232F0B" w:rsidP="00381210">
            <w:pPr>
              <w:pStyle w:val="TableText"/>
              <w:rPr>
                <w:lang w:eastAsia="en-NZ"/>
              </w:rPr>
            </w:pPr>
            <w:r w:rsidRPr="00A40FD5">
              <w:rPr>
                <w:lang w:eastAsia="en-NZ"/>
              </w:rPr>
              <w:t>2019</w:t>
            </w:r>
          </w:p>
        </w:tc>
        <w:tc>
          <w:tcPr>
            <w:tcW w:w="1706" w:type="dxa"/>
            <w:shd w:val="clear" w:color="auto" w:fill="auto"/>
            <w:noWrap/>
            <w:hideMark/>
          </w:tcPr>
          <w:p w14:paraId="0216A6D2" w14:textId="77777777" w:rsidR="00232F0B" w:rsidRPr="00A40FD5" w:rsidRDefault="00232F0B" w:rsidP="00381210">
            <w:pPr>
              <w:pStyle w:val="TableText"/>
              <w:jc w:val="center"/>
              <w:rPr>
                <w:lang w:eastAsia="en-NZ"/>
              </w:rPr>
            </w:pPr>
            <w:r w:rsidRPr="00A40FD5">
              <w:rPr>
                <w:lang w:eastAsia="en-NZ"/>
              </w:rPr>
              <w:t>$1,270,000</w:t>
            </w:r>
          </w:p>
        </w:tc>
        <w:tc>
          <w:tcPr>
            <w:tcW w:w="1228" w:type="dxa"/>
            <w:shd w:val="clear" w:color="auto" w:fill="auto"/>
            <w:noWrap/>
            <w:hideMark/>
          </w:tcPr>
          <w:p w14:paraId="3A0A85FB" w14:textId="77777777" w:rsidR="00232F0B" w:rsidRPr="00A40FD5" w:rsidRDefault="00232F0B" w:rsidP="00381210">
            <w:pPr>
              <w:pStyle w:val="TableText"/>
              <w:tabs>
                <w:tab w:val="decimal" w:pos="992"/>
              </w:tabs>
              <w:rPr>
                <w:lang w:eastAsia="en-NZ"/>
              </w:rPr>
            </w:pPr>
            <w:r w:rsidRPr="00A40FD5">
              <w:rPr>
                <w:lang w:eastAsia="en-NZ"/>
              </w:rPr>
              <w:t>$1,034,000</w:t>
            </w:r>
          </w:p>
        </w:tc>
        <w:tc>
          <w:tcPr>
            <w:tcW w:w="1229" w:type="dxa"/>
            <w:shd w:val="clear" w:color="auto" w:fill="auto"/>
            <w:noWrap/>
            <w:hideMark/>
          </w:tcPr>
          <w:p w14:paraId="40C2B0CC" w14:textId="77777777" w:rsidR="00232F0B" w:rsidRPr="00A40FD5" w:rsidRDefault="00232F0B" w:rsidP="00381210">
            <w:pPr>
              <w:pStyle w:val="TableText"/>
              <w:tabs>
                <w:tab w:val="decimal" w:pos="992"/>
              </w:tabs>
              <w:rPr>
                <w:lang w:eastAsia="en-NZ"/>
              </w:rPr>
            </w:pPr>
            <w:r w:rsidRPr="00A40FD5">
              <w:rPr>
                <w:lang w:eastAsia="en-NZ"/>
              </w:rPr>
              <w:t>$1,536,000</w:t>
            </w:r>
          </w:p>
        </w:tc>
        <w:tc>
          <w:tcPr>
            <w:tcW w:w="1229" w:type="dxa"/>
            <w:shd w:val="clear" w:color="auto" w:fill="auto"/>
            <w:noWrap/>
            <w:hideMark/>
          </w:tcPr>
          <w:p w14:paraId="08055EF3" w14:textId="77777777" w:rsidR="00232F0B" w:rsidRPr="00A40FD5" w:rsidRDefault="00232F0B" w:rsidP="00381210">
            <w:pPr>
              <w:pStyle w:val="TableText"/>
              <w:jc w:val="center"/>
              <w:rPr>
                <w:lang w:eastAsia="en-NZ"/>
              </w:rPr>
            </w:pPr>
            <w:r w:rsidRPr="00A40FD5">
              <w:rPr>
                <w:lang w:eastAsia="en-NZ"/>
              </w:rPr>
              <w:t>$502,000</w:t>
            </w:r>
          </w:p>
        </w:tc>
        <w:tc>
          <w:tcPr>
            <w:tcW w:w="1417" w:type="dxa"/>
            <w:shd w:val="clear" w:color="auto" w:fill="auto"/>
            <w:noWrap/>
            <w:hideMark/>
          </w:tcPr>
          <w:p w14:paraId="511845C7" w14:textId="77777777" w:rsidR="00232F0B" w:rsidRPr="00A40FD5" w:rsidRDefault="00232F0B" w:rsidP="00381210">
            <w:pPr>
              <w:pStyle w:val="TableText"/>
              <w:tabs>
                <w:tab w:val="decimal" w:pos="1077"/>
              </w:tabs>
              <w:rPr>
                <w:lang w:eastAsia="en-NZ"/>
              </w:rPr>
            </w:pPr>
            <w:r w:rsidRPr="00A40FD5">
              <w:rPr>
                <w:lang w:eastAsia="en-NZ"/>
              </w:rPr>
              <w:t>-$104,000</w:t>
            </w:r>
          </w:p>
        </w:tc>
      </w:tr>
      <w:tr w:rsidR="00232F0B" w:rsidRPr="00A40FD5" w14:paraId="665D7558" w14:textId="77777777" w:rsidTr="00381210">
        <w:trPr>
          <w:cantSplit/>
        </w:trPr>
        <w:tc>
          <w:tcPr>
            <w:tcW w:w="1271" w:type="dxa"/>
            <w:shd w:val="clear" w:color="auto" w:fill="auto"/>
            <w:noWrap/>
            <w:hideMark/>
          </w:tcPr>
          <w:p w14:paraId="5F536775" w14:textId="77777777" w:rsidR="00232F0B" w:rsidRPr="00A40FD5" w:rsidRDefault="00232F0B" w:rsidP="00381210">
            <w:pPr>
              <w:pStyle w:val="TableText"/>
              <w:rPr>
                <w:lang w:eastAsia="en-NZ"/>
              </w:rPr>
            </w:pPr>
            <w:r w:rsidRPr="00A40FD5">
              <w:rPr>
                <w:lang w:eastAsia="en-NZ"/>
              </w:rPr>
              <w:t>2020</w:t>
            </w:r>
          </w:p>
        </w:tc>
        <w:tc>
          <w:tcPr>
            <w:tcW w:w="1706" w:type="dxa"/>
            <w:shd w:val="clear" w:color="auto" w:fill="auto"/>
            <w:noWrap/>
            <w:hideMark/>
          </w:tcPr>
          <w:p w14:paraId="1DB4CBD9" w14:textId="77777777" w:rsidR="00232F0B" w:rsidRPr="00A40FD5" w:rsidRDefault="00232F0B" w:rsidP="00381210">
            <w:pPr>
              <w:pStyle w:val="TableText"/>
              <w:jc w:val="center"/>
              <w:rPr>
                <w:lang w:eastAsia="en-NZ"/>
              </w:rPr>
            </w:pPr>
            <w:r w:rsidRPr="00A40FD5">
              <w:rPr>
                <w:lang w:eastAsia="en-NZ"/>
              </w:rPr>
              <w:t>$1,270,000</w:t>
            </w:r>
          </w:p>
        </w:tc>
        <w:tc>
          <w:tcPr>
            <w:tcW w:w="1228" w:type="dxa"/>
            <w:shd w:val="clear" w:color="auto" w:fill="auto"/>
            <w:noWrap/>
            <w:hideMark/>
          </w:tcPr>
          <w:p w14:paraId="3BFCFD3A" w14:textId="77777777" w:rsidR="00232F0B" w:rsidRPr="00A40FD5" w:rsidRDefault="00232F0B" w:rsidP="00381210">
            <w:pPr>
              <w:pStyle w:val="TableText"/>
              <w:tabs>
                <w:tab w:val="decimal" w:pos="992"/>
              </w:tabs>
              <w:rPr>
                <w:lang w:eastAsia="en-NZ"/>
              </w:rPr>
            </w:pPr>
            <w:r w:rsidRPr="00A40FD5">
              <w:rPr>
                <w:lang w:eastAsia="en-NZ"/>
              </w:rPr>
              <w:t>$956,000</w:t>
            </w:r>
          </w:p>
        </w:tc>
        <w:tc>
          <w:tcPr>
            <w:tcW w:w="1229" w:type="dxa"/>
            <w:shd w:val="clear" w:color="auto" w:fill="auto"/>
            <w:noWrap/>
            <w:hideMark/>
          </w:tcPr>
          <w:p w14:paraId="738B7927" w14:textId="77777777" w:rsidR="00232F0B" w:rsidRPr="00A40FD5" w:rsidRDefault="00232F0B" w:rsidP="00381210">
            <w:pPr>
              <w:pStyle w:val="TableText"/>
              <w:tabs>
                <w:tab w:val="decimal" w:pos="992"/>
              </w:tabs>
              <w:rPr>
                <w:lang w:eastAsia="en-NZ"/>
              </w:rPr>
            </w:pPr>
            <w:r w:rsidRPr="00A40FD5">
              <w:rPr>
                <w:lang w:eastAsia="en-NZ"/>
              </w:rPr>
              <w:t>$1,527,000</w:t>
            </w:r>
          </w:p>
        </w:tc>
        <w:tc>
          <w:tcPr>
            <w:tcW w:w="1229" w:type="dxa"/>
            <w:shd w:val="clear" w:color="auto" w:fill="auto"/>
            <w:noWrap/>
            <w:hideMark/>
          </w:tcPr>
          <w:p w14:paraId="48B3BA43" w14:textId="77777777" w:rsidR="00232F0B" w:rsidRPr="00A40FD5" w:rsidRDefault="00232F0B" w:rsidP="00381210">
            <w:pPr>
              <w:pStyle w:val="TableText"/>
              <w:jc w:val="center"/>
              <w:rPr>
                <w:lang w:eastAsia="en-NZ"/>
              </w:rPr>
            </w:pPr>
            <w:r w:rsidRPr="00A40FD5">
              <w:rPr>
                <w:lang w:eastAsia="en-NZ"/>
              </w:rPr>
              <w:t>$571,000</w:t>
            </w:r>
          </w:p>
        </w:tc>
        <w:tc>
          <w:tcPr>
            <w:tcW w:w="1417" w:type="dxa"/>
            <w:shd w:val="clear" w:color="auto" w:fill="auto"/>
            <w:noWrap/>
            <w:hideMark/>
          </w:tcPr>
          <w:p w14:paraId="31FD882A" w14:textId="77777777" w:rsidR="00232F0B" w:rsidRPr="00A40FD5" w:rsidRDefault="00232F0B" w:rsidP="00381210">
            <w:pPr>
              <w:pStyle w:val="TableText"/>
              <w:tabs>
                <w:tab w:val="decimal" w:pos="1077"/>
              </w:tabs>
              <w:rPr>
                <w:lang w:eastAsia="en-NZ"/>
              </w:rPr>
            </w:pPr>
            <w:r w:rsidRPr="00A40FD5">
              <w:rPr>
                <w:lang w:eastAsia="en-NZ"/>
              </w:rPr>
              <w:t>-$675,000</w:t>
            </w:r>
          </w:p>
        </w:tc>
      </w:tr>
      <w:tr w:rsidR="00232F0B" w:rsidRPr="00A40FD5" w14:paraId="3C8AA71C" w14:textId="77777777" w:rsidTr="00381210">
        <w:trPr>
          <w:cantSplit/>
        </w:trPr>
        <w:tc>
          <w:tcPr>
            <w:tcW w:w="1271" w:type="dxa"/>
            <w:shd w:val="clear" w:color="auto" w:fill="auto"/>
            <w:noWrap/>
            <w:hideMark/>
          </w:tcPr>
          <w:p w14:paraId="2A6B92C0" w14:textId="77777777" w:rsidR="00232F0B" w:rsidRPr="00A40FD5" w:rsidRDefault="00232F0B" w:rsidP="00381210">
            <w:pPr>
              <w:pStyle w:val="TableText"/>
              <w:rPr>
                <w:lang w:eastAsia="en-NZ"/>
              </w:rPr>
            </w:pPr>
            <w:r w:rsidRPr="00A40FD5">
              <w:rPr>
                <w:lang w:eastAsia="en-NZ"/>
              </w:rPr>
              <w:t>2021</w:t>
            </w:r>
          </w:p>
        </w:tc>
        <w:tc>
          <w:tcPr>
            <w:tcW w:w="1706" w:type="dxa"/>
            <w:shd w:val="clear" w:color="auto" w:fill="auto"/>
            <w:noWrap/>
            <w:hideMark/>
          </w:tcPr>
          <w:p w14:paraId="7BE9AB29" w14:textId="77777777" w:rsidR="00232F0B" w:rsidRPr="00A40FD5" w:rsidRDefault="00232F0B" w:rsidP="00381210">
            <w:pPr>
              <w:pStyle w:val="TableText"/>
              <w:jc w:val="center"/>
              <w:rPr>
                <w:lang w:eastAsia="en-NZ"/>
              </w:rPr>
            </w:pPr>
            <w:r w:rsidRPr="00A40FD5">
              <w:rPr>
                <w:lang w:eastAsia="en-NZ"/>
              </w:rPr>
              <w:t>$1,270,000</w:t>
            </w:r>
          </w:p>
        </w:tc>
        <w:tc>
          <w:tcPr>
            <w:tcW w:w="1228" w:type="dxa"/>
            <w:shd w:val="clear" w:color="auto" w:fill="auto"/>
            <w:noWrap/>
            <w:hideMark/>
          </w:tcPr>
          <w:p w14:paraId="4E5834D0" w14:textId="77777777" w:rsidR="00232F0B" w:rsidRPr="00A40FD5" w:rsidRDefault="00232F0B" w:rsidP="00381210">
            <w:pPr>
              <w:pStyle w:val="TableText"/>
              <w:tabs>
                <w:tab w:val="decimal" w:pos="992"/>
              </w:tabs>
              <w:rPr>
                <w:lang w:eastAsia="en-NZ"/>
              </w:rPr>
            </w:pPr>
            <w:r w:rsidRPr="00A40FD5">
              <w:rPr>
                <w:lang w:eastAsia="en-NZ"/>
              </w:rPr>
              <w:t>$</w:t>
            </w:r>
            <w:r>
              <w:rPr>
                <w:lang w:eastAsia="en-NZ"/>
              </w:rPr>
              <w:t>928</w:t>
            </w:r>
            <w:r w:rsidRPr="00A40FD5">
              <w:rPr>
                <w:lang w:eastAsia="en-NZ"/>
              </w:rPr>
              <w:t>,000</w:t>
            </w:r>
          </w:p>
        </w:tc>
        <w:tc>
          <w:tcPr>
            <w:tcW w:w="1229" w:type="dxa"/>
            <w:shd w:val="clear" w:color="auto" w:fill="auto"/>
            <w:noWrap/>
            <w:hideMark/>
          </w:tcPr>
          <w:p w14:paraId="28EEDF37" w14:textId="77777777" w:rsidR="00232F0B" w:rsidRPr="00A40FD5" w:rsidRDefault="00232F0B" w:rsidP="00381210">
            <w:pPr>
              <w:pStyle w:val="TableText"/>
              <w:tabs>
                <w:tab w:val="decimal" w:pos="992"/>
              </w:tabs>
              <w:rPr>
                <w:lang w:eastAsia="en-NZ"/>
              </w:rPr>
            </w:pPr>
            <w:r w:rsidRPr="00A40FD5">
              <w:rPr>
                <w:lang w:eastAsia="en-NZ"/>
              </w:rPr>
              <w:t>$1,</w:t>
            </w:r>
            <w:r>
              <w:rPr>
                <w:lang w:eastAsia="en-NZ"/>
              </w:rPr>
              <w:t>670</w:t>
            </w:r>
            <w:r w:rsidRPr="00A40FD5">
              <w:rPr>
                <w:lang w:eastAsia="en-NZ"/>
              </w:rPr>
              <w:t>,000</w:t>
            </w:r>
          </w:p>
        </w:tc>
        <w:tc>
          <w:tcPr>
            <w:tcW w:w="1229" w:type="dxa"/>
            <w:shd w:val="clear" w:color="auto" w:fill="auto"/>
            <w:noWrap/>
            <w:hideMark/>
          </w:tcPr>
          <w:p w14:paraId="6EF5F7AD" w14:textId="77777777" w:rsidR="00232F0B" w:rsidRPr="00A40FD5" w:rsidRDefault="00232F0B" w:rsidP="00381210">
            <w:pPr>
              <w:pStyle w:val="TableText"/>
              <w:jc w:val="center"/>
              <w:rPr>
                <w:lang w:eastAsia="en-NZ"/>
              </w:rPr>
            </w:pPr>
            <w:r w:rsidRPr="00A40FD5">
              <w:rPr>
                <w:lang w:eastAsia="en-NZ"/>
              </w:rPr>
              <w:t>$</w:t>
            </w:r>
            <w:r>
              <w:rPr>
                <w:lang w:eastAsia="en-NZ"/>
              </w:rPr>
              <w:t>742</w:t>
            </w:r>
            <w:r w:rsidRPr="00A40FD5">
              <w:rPr>
                <w:lang w:eastAsia="en-NZ"/>
              </w:rPr>
              <w:t>,000</w:t>
            </w:r>
          </w:p>
        </w:tc>
        <w:tc>
          <w:tcPr>
            <w:tcW w:w="1417" w:type="dxa"/>
            <w:shd w:val="clear" w:color="auto" w:fill="auto"/>
            <w:noWrap/>
            <w:hideMark/>
          </w:tcPr>
          <w:p w14:paraId="6D2B989D" w14:textId="77777777" w:rsidR="00232F0B" w:rsidRPr="00A40FD5" w:rsidRDefault="00232F0B" w:rsidP="00381210">
            <w:pPr>
              <w:pStyle w:val="TableText"/>
              <w:tabs>
                <w:tab w:val="decimal" w:pos="1077"/>
              </w:tabs>
              <w:rPr>
                <w:lang w:eastAsia="en-NZ"/>
              </w:rPr>
            </w:pPr>
            <w:r w:rsidRPr="00A40FD5">
              <w:rPr>
                <w:lang w:eastAsia="en-NZ"/>
              </w:rPr>
              <w:t>-$</w:t>
            </w:r>
            <w:r>
              <w:rPr>
                <w:lang w:eastAsia="en-NZ"/>
              </w:rPr>
              <w:t>1,417</w:t>
            </w:r>
            <w:r w:rsidRPr="00A40FD5">
              <w:rPr>
                <w:lang w:eastAsia="en-NZ"/>
              </w:rPr>
              <w:t>,000</w:t>
            </w:r>
          </w:p>
        </w:tc>
      </w:tr>
      <w:tr w:rsidR="00232F0B" w:rsidRPr="00A40FD5" w14:paraId="1A7F3F88" w14:textId="77777777" w:rsidTr="00381210">
        <w:trPr>
          <w:cantSplit/>
        </w:trPr>
        <w:tc>
          <w:tcPr>
            <w:tcW w:w="1271" w:type="dxa"/>
            <w:shd w:val="clear" w:color="auto" w:fill="auto"/>
            <w:noWrap/>
          </w:tcPr>
          <w:p w14:paraId="2E39C28D" w14:textId="77777777" w:rsidR="00232F0B" w:rsidRPr="00A40FD5" w:rsidRDefault="00232F0B" w:rsidP="00381210">
            <w:pPr>
              <w:pStyle w:val="TableText"/>
              <w:rPr>
                <w:lang w:eastAsia="en-NZ"/>
              </w:rPr>
            </w:pPr>
            <w:r>
              <w:rPr>
                <w:lang w:eastAsia="en-NZ"/>
              </w:rPr>
              <w:t>Est</w:t>
            </w:r>
            <w:r w:rsidR="00381210">
              <w:rPr>
                <w:lang w:eastAsia="en-NZ"/>
              </w:rPr>
              <w:t>imated</w:t>
            </w:r>
            <w:r>
              <w:rPr>
                <w:lang w:eastAsia="en-NZ"/>
              </w:rPr>
              <w:t xml:space="preserve"> </w:t>
            </w:r>
            <w:r w:rsidRPr="00A40FD5">
              <w:rPr>
                <w:lang w:eastAsia="en-NZ"/>
              </w:rPr>
              <w:t>2022</w:t>
            </w:r>
          </w:p>
        </w:tc>
        <w:tc>
          <w:tcPr>
            <w:tcW w:w="1706" w:type="dxa"/>
            <w:shd w:val="clear" w:color="auto" w:fill="auto"/>
            <w:noWrap/>
          </w:tcPr>
          <w:p w14:paraId="78E96BD8" w14:textId="77777777" w:rsidR="00232F0B" w:rsidRPr="00A40FD5" w:rsidRDefault="00232F0B" w:rsidP="00381210">
            <w:pPr>
              <w:pStyle w:val="TableText"/>
              <w:jc w:val="center"/>
              <w:rPr>
                <w:lang w:eastAsia="en-NZ"/>
              </w:rPr>
            </w:pPr>
            <w:r>
              <w:rPr>
                <w:lang w:eastAsia="en-NZ"/>
              </w:rPr>
              <w:t>–</w:t>
            </w:r>
          </w:p>
        </w:tc>
        <w:tc>
          <w:tcPr>
            <w:tcW w:w="1228" w:type="dxa"/>
            <w:shd w:val="clear" w:color="auto" w:fill="auto"/>
            <w:noWrap/>
          </w:tcPr>
          <w:p w14:paraId="2DDB2865" w14:textId="77777777" w:rsidR="00232F0B" w:rsidRPr="00A40FD5" w:rsidRDefault="00232F0B" w:rsidP="00381210">
            <w:pPr>
              <w:pStyle w:val="TableText"/>
              <w:tabs>
                <w:tab w:val="decimal" w:pos="992"/>
              </w:tabs>
              <w:rPr>
                <w:lang w:eastAsia="en-NZ"/>
              </w:rPr>
            </w:pPr>
            <w:r>
              <w:rPr>
                <w:lang w:eastAsia="en-NZ"/>
              </w:rPr>
              <w:t>–</w:t>
            </w:r>
          </w:p>
        </w:tc>
        <w:tc>
          <w:tcPr>
            <w:tcW w:w="1229" w:type="dxa"/>
            <w:shd w:val="clear" w:color="auto" w:fill="auto"/>
            <w:noWrap/>
          </w:tcPr>
          <w:p w14:paraId="4BA965F6" w14:textId="77777777" w:rsidR="00232F0B" w:rsidRPr="00A40FD5" w:rsidRDefault="00232F0B" w:rsidP="00381210">
            <w:pPr>
              <w:pStyle w:val="TableText"/>
              <w:tabs>
                <w:tab w:val="decimal" w:pos="992"/>
              </w:tabs>
              <w:rPr>
                <w:lang w:eastAsia="en-NZ"/>
              </w:rPr>
            </w:pPr>
            <w:r>
              <w:rPr>
                <w:lang w:eastAsia="en-NZ"/>
              </w:rPr>
              <w:t>–</w:t>
            </w:r>
          </w:p>
        </w:tc>
        <w:tc>
          <w:tcPr>
            <w:tcW w:w="1229" w:type="dxa"/>
            <w:shd w:val="clear" w:color="auto" w:fill="auto"/>
            <w:noWrap/>
          </w:tcPr>
          <w:p w14:paraId="3CB95BD8" w14:textId="77777777" w:rsidR="00232F0B" w:rsidRPr="00A40FD5" w:rsidRDefault="00232F0B" w:rsidP="00381210">
            <w:pPr>
              <w:pStyle w:val="TableText"/>
              <w:jc w:val="center"/>
              <w:rPr>
                <w:lang w:eastAsia="en-NZ"/>
              </w:rPr>
            </w:pPr>
            <w:r>
              <w:rPr>
                <w:lang w:eastAsia="en-NZ"/>
              </w:rPr>
              <w:t>–</w:t>
            </w:r>
          </w:p>
        </w:tc>
        <w:tc>
          <w:tcPr>
            <w:tcW w:w="1417" w:type="dxa"/>
            <w:shd w:val="clear" w:color="auto" w:fill="auto"/>
            <w:noWrap/>
          </w:tcPr>
          <w:p w14:paraId="2E054044" w14:textId="77777777" w:rsidR="00232F0B" w:rsidRPr="00A40FD5" w:rsidRDefault="00232F0B" w:rsidP="00381210">
            <w:pPr>
              <w:pStyle w:val="TableText"/>
              <w:tabs>
                <w:tab w:val="decimal" w:pos="1077"/>
              </w:tabs>
              <w:rPr>
                <w:lang w:eastAsia="en-NZ"/>
              </w:rPr>
            </w:pPr>
            <w:r>
              <w:rPr>
                <w:lang w:eastAsia="en-NZ"/>
              </w:rPr>
              <w:t>-</w:t>
            </w:r>
            <w:r w:rsidRPr="00A40FD5">
              <w:rPr>
                <w:lang w:eastAsia="en-NZ"/>
              </w:rPr>
              <w:t>$1,</w:t>
            </w:r>
            <w:r>
              <w:rPr>
                <w:lang w:eastAsia="en-NZ"/>
              </w:rPr>
              <w:t>6</w:t>
            </w:r>
            <w:r w:rsidRPr="00A40FD5">
              <w:rPr>
                <w:lang w:eastAsia="en-NZ"/>
              </w:rPr>
              <w:t>00,000</w:t>
            </w:r>
          </w:p>
        </w:tc>
      </w:tr>
    </w:tbl>
    <w:p w14:paraId="1EB4FB2E" w14:textId="77777777" w:rsidR="00232F0B" w:rsidRDefault="00232F0B" w:rsidP="00384DD3"/>
    <w:p w14:paraId="2014E516" w14:textId="3EB77661" w:rsidR="0087667B" w:rsidRDefault="00232F0B" w:rsidP="00384DD3">
      <w:r>
        <w:t xml:space="preserve">Expenses shown in </w:t>
      </w:r>
      <w:r w:rsidR="00384DD3">
        <w:fldChar w:fldCharType="begin"/>
      </w:r>
      <w:r w:rsidR="00384DD3">
        <w:instrText xml:space="preserve"> REF _Ref87368204 \h </w:instrText>
      </w:r>
      <w:r w:rsidR="00384DD3">
        <w:fldChar w:fldCharType="separate"/>
      </w:r>
      <w:r w:rsidR="003A5600">
        <w:t>Table </w:t>
      </w:r>
      <w:r w:rsidR="003A5600">
        <w:rPr>
          <w:noProof/>
        </w:rPr>
        <w:t>4</w:t>
      </w:r>
      <w:r w:rsidR="00384DD3">
        <w:fldChar w:fldCharType="end"/>
      </w:r>
      <w:r w:rsidR="00384DD3">
        <w:t xml:space="preserve"> do</w:t>
      </w:r>
      <w:r>
        <w:t xml:space="preserve"> not include the proposed information technology operating costs or funding uplift (increased costs) for on-site inspections proposed to take effect from 1 July 2022.</w:t>
      </w:r>
    </w:p>
    <w:p w14:paraId="5CA53A82" w14:textId="77777777" w:rsidR="00232F0B" w:rsidRPr="00A40FD5" w:rsidRDefault="00232F0B" w:rsidP="00381210">
      <w:pPr>
        <w:pStyle w:val="Heading2"/>
        <w:spacing w:before="720"/>
      </w:pPr>
      <w:bookmarkStart w:id="52" w:name="_Toc83133462"/>
      <w:bookmarkStart w:id="53" w:name="_Toc89696188"/>
      <w:r w:rsidRPr="00A40FD5">
        <w:t>Memorandum account</w:t>
      </w:r>
      <w:bookmarkEnd w:id="52"/>
      <w:bookmarkEnd w:id="53"/>
    </w:p>
    <w:p w14:paraId="49C26BF0" w14:textId="77777777" w:rsidR="00232F0B" w:rsidRPr="00A40FD5" w:rsidRDefault="00232F0B" w:rsidP="005B5BE2">
      <w:pPr>
        <w:pStyle w:val="Heading3"/>
      </w:pPr>
      <w:bookmarkStart w:id="54" w:name="_Toc74583472"/>
      <w:bookmarkStart w:id="55" w:name="_Toc75349237"/>
      <w:bookmarkStart w:id="56" w:name="_Toc83118715"/>
      <w:bookmarkStart w:id="57" w:name="_Toc83130194"/>
      <w:bookmarkStart w:id="58" w:name="_Toc83133463"/>
      <w:r w:rsidRPr="00A40FD5">
        <w:t>Background</w:t>
      </w:r>
      <w:bookmarkEnd w:id="54"/>
      <w:bookmarkEnd w:id="55"/>
      <w:bookmarkEnd w:id="56"/>
      <w:bookmarkEnd w:id="57"/>
      <w:bookmarkEnd w:id="58"/>
    </w:p>
    <w:p w14:paraId="42B3A071" w14:textId="77777777" w:rsidR="0087667B" w:rsidRDefault="00232F0B" w:rsidP="00384DD3">
      <w:r w:rsidRPr="00A40FD5">
        <w:t>Currently, a 13 percent discount applies to the source licence fees payable</w:t>
      </w:r>
      <w:r>
        <w:t>,</w:t>
      </w:r>
      <w:r w:rsidRPr="00A40FD5">
        <w:t xml:space="preserve"> as set out in regulation 15(2).</w:t>
      </w:r>
      <w:r>
        <w:t xml:space="preserve"> </w:t>
      </w:r>
      <w:r w:rsidRPr="00A40FD5">
        <w:t>This discount applies until 7 March 2023</w:t>
      </w:r>
      <w:r>
        <w:t>,</w:t>
      </w:r>
      <w:r w:rsidRPr="00A40FD5">
        <w:t xml:space="preserve"> when source licence fees are due to increase as set out in regulation 15(3). The discount was applied to source licence fees in order to return to source licence holders a historical overtake in fees (a</w:t>
      </w:r>
      <w:r w:rsidR="00384DD3">
        <w:t> </w:t>
      </w:r>
      <w:r w:rsidRPr="00A40FD5">
        <w:t>positive memorandum account balance) from the radiation protection regime that operated up until 2017.</w:t>
      </w:r>
    </w:p>
    <w:p w14:paraId="001EE91E" w14:textId="77777777" w:rsidR="00232F0B" w:rsidRPr="00A40FD5" w:rsidRDefault="00232F0B" w:rsidP="00384DD3"/>
    <w:p w14:paraId="3CE1E41D" w14:textId="00611338" w:rsidR="0087667B" w:rsidRDefault="00232F0B" w:rsidP="00384DD3">
      <w:r w:rsidRPr="00A40FD5">
        <w:t xml:space="preserve">In addition to the increased costs discussed in section </w:t>
      </w:r>
      <w:hyperlink w:anchor="_Costs_of_regulating" w:history="1">
        <w:r w:rsidR="00E840AF" w:rsidRPr="008055EE">
          <w:rPr>
            <w:rStyle w:val="Hyperlink"/>
          </w:rPr>
          <w:t>1.2</w:t>
        </w:r>
      </w:hyperlink>
      <w:r w:rsidR="00E840AF">
        <w:t xml:space="preserve"> </w:t>
      </w:r>
      <w:r>
        <w:t>above</w:t>
      </w:r>
      <w:r w:rsidRPr="00A40FD5">
        <w:t xml:space="preserve">, </w:t>
      </w:r>
      <w:r>
        <w:t>it took longer than expected to implement</w:t>
      </w:r>
      <w:r w:rsidRPr="00A40FD5">
        <w:t xml:space="preserve"> the </w:t>
      </w:r>
      <w:r>
        <w:t xml:space="preserve">new source licencing provisions of the </w:t>
      </w:r>
      <w:r w:rsidRPr="00A40FD5">
        <w:t>Act in 2017 and 2018 and</w:t>
      </w:r>
      <w:r>
        <w:t>,</w:t>
      </w:r>
      <w:r w:rsidRPr="00A40FD5">
        <w:t xml:space="preserve"> </w:t>
      </w:r>
      <w:r>
        <w:t xml:space="preserve">as a consequence, </w:t>
      </w:r>
      <w:r w:rsidRPr="00A40FD5">
        <w:t>less fees were taken.</w:t>
      </w:r>
      <w:r>
        <w:t xml:space="preserve"> </w:t>
      </w:r>
      <w:r w:rsidRPr="00A40FD5">
        <w:t xml:space="preserve">Also, a slightly lower than expected number of authorisations </w:t>
      </w:r>
      <w:r>
        <w:t>have been</w:t>
      </w:r>
      <w:r w:rsidRPr="00A40FD5">
        <w:t xml:space="preserve"> granted </w:t>
      </w:r>
      <w:r>
        <w:t>since</w:t>
      </w:r>
      <w:r w:rsidRPr="00A40FD5">
        <w:t xml:space="preserve"> 2017.</w:t>
      </w:r>
      <w:r>
        <w:t xml:space="preserve"> </w:t>
      </w:r>
      <w:r w:rsidRPr="00A40FD5">
        <w:t xml:space="preserve">All </w:t>
      </w:r>
      <w:r>
        <w:t xml:space="preserve">of </w:t>
      </w:r>
      <w:r w:rsidRPr="00A40FD5">
        <w:t xml:space="preserve">these factors </w:t>
      </w:r>
      <w:r>
        <w:t xml:space="preserve">have </w:t>
      </w:r>
      <w:r w:rsidRPr="00A40FD5">
        <w:t xml:space="preserve">combined </w:t>
      </w:r>
      <w:r>
        <w:t>to</w:t>
      </w:r>
      <w:r w:rsidRPr="00A40FD5">
        <w:t xml:space="preserve"> ensure that the memorandum account balance was </w:t>
      </w:r>
      <w:r>
        <w:t xml:space="preserve">very </w:t>
      </w:r>
      <w:r w:rsidRPr="00A40FD5">
        <w:t>quickly refunded and now has a</w:t>
      </w:r>
      <w:r>
        <w:t>n unrecoverable</w:t>
      </w:r>
      <w:r w:rsidRPr="00A40FD5">
        <w:t xml:space="preserve"> negative balance.</w:t>
      </w:r>
      <w:r>
        <w:t xml:space="preserve"> </w:t>
      </w:r>
      <w:r w:rsidRPr="00A40FD5">
        <w:t>The projected memorandum account for 30</w:t>
      </w:r>
      <w:r w:rsidR="00D472E5">
        <w:t> </w:t>
      </w:r>
      <w:r w:rsidRPr="00A40FD5">
        <w:t xml:space="preserve">June 2022 is </w:t>
      </w:r>
      <w:r>
        <w:t>negative</w:t>
      </w:r>
      <w:r w:rsidRPr="00A40FD5">
        <w:t xml:space="preserve"> $1.</w:t>
      </w:r>
      <w:r>
        <w:t>6</w:t>
      </w:r>
      <w:r w:rsidR="00D472E5">
        <w:t> </w:t>
      </w:r>
      <w:r w:rsidRPr="00A40FD5">
        <w:t>million.</w:t>
      </w:r>
      <w:r>
        <w:t xml:space="preserve"> </w:t>
      </w:r>
      <w:r w:rsidRPr="00A40FD5">
        <w:t xml:space="preserve">The memorandum account balance in 2017 and the projected memorandum account balance for 2022 are set out in </w:t>
      </w:r>
      <w:r w:rsidR="00384DD3">
        <w:fldChar w:fldCharType="begin"/>
      </w:r>
      <w:r w:rsidR="00384DD3">
        <w:instrText xml:space="preserve"> REF _Ref87368252 \h </w:instrText>
      </w:r>
      <w:r w:rsidR="00384DD3">
        <w:fldChar w:fldCharType="separate"/>
      </w:r>
      <w:r w:rsidR="003A5600">
        <w:t>Table </w:t>
      </w:r>
      <w:r w:rsidR="003A5600">
        <w:rPr>
          <w:noProof/>
        </w:rPr>
        <w:t>5</w:t>
      </w:r>
      <w:r w:rsidR="00384DD3">
        <w:fldChar w:fldCharType="end"/>
      </w:r>
      <w:r>
        <w:t xml:space="preserve"> below</w:t>
      </w:r>
      <w:r w:rsidRPr="00A40FD5">
        <w:t>.</w:t>
      </w:r>
    </w:p>
    <w:p w14:paraId="40F8F990" w14:textId="77777777" w:rsidR="00232F0B" w:rsidRPr="00A40FD5" w:rsidRDefault="00232F0B" w:rsidP="00384DD3"/>
    <w:p w14:paraId="2A8AE70D" w14:textId="0C1181CE" w:rsidR="00232F0B" w:rsidRPr="00A40FD5" w:rsidRDefault="005B5BE2" w:rsidP="005B5BE2">
      <w:pPr>
        <w:pStyle w:val="Table"/>
      </w:pPr>
      <w:bookmarkStart w:id="59" w:name="_Ref87368252"/>
      <w:bookmarkStart w:id="60" w:name="_Toc84916119"/>
      <w:bookmarkStart w:id="61" w:name="_Toc84916182"/>
      <w:bookmarkStart w:id="62" w:name="_Toc88644153"/>
      <w:r>
        <w:t>Table </w:t>
      </w:r>
      <w:r w:rsidR="00384F9F">
        <w:fldChar w:fldCharType="begin"/>
      </w:r>
      <w:r w:rsidR="00384F9F">
        <w:instrText xml:space="preserve"> SEQ Table \* ARABIC </w:instrText>
      </w:r>
      <w:r w:rsidR="00384F9F">
        <w:fldChar w:fldCharType="separate"/>
      </w:r>
      <w:r w:rsidR="003A5600">
        <w:rPr>
          <w:noProof/>
        </w:rPr>
        <w:t>5</w:t>
      </w:r>
      <w:r w:rsidR="00384F9F">
        <w:rPr>
          <w:noProof/>
        </w:rPr>
        <w:fldChar w:fldCharType="end"/>
      </w:r>
      <w:bookmarkEnd w:id="59"/>
      <w:r w:rsidR="00232F0B" w:rsidRPr="00A40FD5">
        <w:t>:</w:t>
      </w:r>
      <w:r>
        <w:t xml:space="preserve"> </w:t>
      </w:r>
      <w:r w:rsidR="00232F0B" w:rsidRPr="00A40FD5">
        <w:t>Memorandum account balance 2017 and projected balance for 2022</w:t>
      </w:r>
      <w:bookmarkEnd w:id="60"/>
      <w:bookmarkEnd w:id="61"/>
      <w:bookmarkEnd w:id="62"/>
    </w:p>
    <w:tbl>
      <w:tblPr>
        <w:tblW w:w="0" w:type="auto"/>
        <w:tblInd w:w="57" w:type="dxa"/>
        <w:tblLayout w:type="fixed"/>
        <w:tblCellMar>
          <w:left w:w="57" w:type="dxa"/>
          <w:right w:w="57" w:type="dxa"/>
        </w:tblCellMar>
        <w:tblLook w:val="04A0" w:firstRow="1" w:lastRow="0" w:firstColumn="1" w:lastColumn="0" w:noHBand="0" w:noVBand="1"/>
      </w:tblPr>
      <w:tblGrid>
        <w:gridCol w:w="2552"/>
        <w:gridCol w:w="1382"/>
        <w:gridCol w:w="1382"/>
        <w:gridCol w:w="1382"/>
        <w:gridCol w:w="1382"/>
      </w:tblGrid>
      <w:tr w:rsidR="00232F0B" w:rsidRPr="00C40D08" w14:paraId="436CEF16" w14:textId="77777777" w:rsidTr="00381210">
        <w:trPr>
          <w:cantSplit/>
        </w:trPr>
        <w:tc>
          <w:tcPr>
            <w:tcW w:w="2552" w:type="dxa"/>
            <w:shd w:val="clear" w:color="auto" w:fill="D9D9D9" w:themeFill="background1" w:themeFillShade="D9"/>
          </w:tcPr>
          <w:p w14:paraId="2DCE9A1E" w14:textId="77777777" w:rsidR="00232F0B" w:rsidRPr="00743999" w:rsidRDefault="00232F0B" w:rsidP="00381210">
            <w:pPr>
              <w:pStyle w:val="TableText"/>
            </w:pPr>
          </w:p>
        </w:tc>
        <w:tc>
          <w:tcPr>
            <w:tcW w:w="1382" w:type="dxa"/>
            <w:shd w:val="clear" w:color="auto" w:fill="D9D9D9" w:themeFill="background1" w:themeFillShade="D9"/>
          </w:tcPr>
          <w:p w14:paraId="69FB33CF" w14:textId="77777777" w:rsidR="00232F0B" w:rsidRPr="00381210" w:rsidRDefault="00232F0B" w:rsidP="00381210">
            <w:pPr>
              <w:pStyle w:val="TableText"/>
              <w:jc w:val="center"/>
              <w:rPr>
                <w:b/>
              </w:rPr>
            </w:pPr>
            <w:r w:rsidRPr="00381210">
              <w:rPr>
                <w:b/>
              </w:rPr>
              <w:t>2017</w:t>
            </w:r>
          </w:p>
        </w:tc>
        <w:tc>
          <w:tcPr>
            <w:tcW w:w="1382" w:type="dxa"/>
            <w:shd w:val="clear" w:color="auto" w:fill="D9D9D9" w:themeFill="background1" w:themeFillShade="D9"/>
          </w:tcPr>
          <w:p w14:paraId="64FF6DE7" w14:textId="77777777" w:rsidR="00232F0B" w:rsidRPr="00381210" w:rsidRDefault="00232F0B" w:rsidP="00381210">
            <w:pPr>
              <w:pStyle w:val="TableText"/>
              <w:jc w:val="center"/>
              <w:rPr>
                <w:b/>
              </w:rPr>
            </w:pPr>
            <w:r w:rsidRPr="00381210">
              <w:rPr>
                <w:b/>
              </w:rPr>
              <w:t>2022</w:t>
            </w:r>
          </w:p>
        </w:tc>
        <w:tc>
          <w:tcPr>
            <w:tcW w:w="1382" w:type="dxa"/>
            <w:shd w:val="clear" w:color="auto" w:fill="D9D9D9" w:themeFill="background1" w:themeFillShade="D9"/>
          </w:tcPr>
          <w:p w14:paraId="362831BA" w14:textId="77777777" w:rsidR="00232F0B" w:rsidRPr="00381210" w:rsidRDefault="00232F0B" w:rsidP="00381210">
            <w:pPr>
              <w:pStyle w:val="TableText"/>
              <w:jc w:val="center"/>
              <w:rPr>
                <w:b/>
              </w:rPr>
            </w:pPr>
            <w:r w:rsidRPr="00381210">
              <w:rPr>
                <w:b/>
              </w:rPr>
              <w:t>$ decrease</w:t>
            </w:r>
          </w:p>
        </w:tc>
        <w:tc>
          <w:tcPr>
            <w:tcW w:w="1382" w:type="dxa"/>
            <w:shd w:val="clear" w:color="auto" w:fill="D9D9D9" w:themeFill="background1" w:themeFillShade="D9"/>
          </w:tcPr>
          <w:p w14:paraId="3F087B3F" w14:textId="77777777" w:rsidR="00232F0B" w:rsidRPr="00381210" w:rsidRDefault="00232F0B" w:rsidP="00381210">
            <w:pPr>
              <w:pStyle w:val="TableText"/>
              <w:jc w:val="center"/>
              <w:rPr>
                <w:b/>
              </w:rPr>
            </w:pPr>
            <w:r w:rsidRPr="00381210">
              <w:rPr>
                <w:b/>
              </w:rPr>
              <w:t>% decrease</w:t>
            </w:r>
          </w:p>
        </w:tc>
      </w:tr>
      <w:tr w:rsidR="00232F0B" w:rsidRPr="00A40FD5" w14:paraId="7C7E0C7A" w14:textId="77777777" w:rsidTr="00381210">
        <w:trPr>
          <w:cantSplit/>
        </w:trPr>
        <w:tc>
          <w:tcPr>
            <w:tcW w:w="2552" w:type="dxa"/>
            <w:tcBorders>
              <w:bottom w:val="single" w:sz="4" w:space="0" w:color="A6A6A6" w:themeColor="background1" w:themeShade="A6"/>
            </w:tcBorders>
          </w:tcPr>
          <w:p w14:paraId="451CF89B" w14:textId="77777777" w:rsidR="00232F0B" w:rsidRPr="00A40FD5" w:rsidRDefault="00232F0B" w:rsidP="00381210">
            <w:pPr>
              <w:pStyle w:val="TableText"/>
            </w:pPr>
            <w:r w:rsidRPr="00A40FD5">
              <w:t>Memorandum Account</w:t>
            </w:r>
          </w:p>
        </w:tc>
        <w:tc>
          <w:tcPr>
            <w:tcW w:w="1382" w:type="dxa"/>
            <w:tcBorders>
              <w:bottom w:val="single" w:sz="4" w:space="0" w:color="A6A6A6" w:themeColor="background1" w:themeShade="A6"/>
            </w:tcBorders>
          </w:tcPr>
          <w:p w14:paraId="037A3571" w14:textId="77777777" w:rsidR="00232F0B" w:rsidRPr="00A40FD5" w:rsidRDefault="00232F0B" w:rsidP="00381210">
            <w:pPr>
              <w:pStyle w:val="TableText"/>
              <w:jc w:val="center"/>
            </w:pPr>
            <w:r w:rsidRPr="00A40FD5">
              <w:t>$973,000</w:t>
            </w:r>
          </w:p>
        </w:tc>
        <w:tc>
          <w:tcPr>
            <w:tcW w:w="1382" w:type="dxa"/>
            <w:tcBorders>
              <w:bottom w:val="single" w:sz="4" w:space="0" w:color="A6A6A6" w:themeColor="background1" w:themeShade="A6"/>
            </w:tcBorders>
          </w:tcPr>
          <w:p w14:paraId="0260EF72" w14:textId="77777777" w:rsidR="00232F0B" w:rsidRPr="00A40FD5" w:rsidRDefault="00232F0B" w:rsidP="00381210">
            <w:pPr>
              <w:pStyle w:val="TableText"/>
              <w:jc w:val="center"/>
            </w:pPr>
            <w:r w:rsidRPr="00A40FD5">
              <w:t>-$1,</w:t>
            </w:r>
            <w:r>
              <w:t>6</w:t>
            </w:r>
            <w:r w:rsidRPr="00A40FD5">
              <w:t>00,000</w:t>
            </w:r>
          </w:p>
        </w:tc>
        <w:tc>
          <w:tcPr>
            <w:tcW w:w="1382" w:type="dxa"/>
            <w:tcBorders>
              <w:bottom w:val="single" w:sz="4" w:space="0" w:color="A6A6A6" w:themeColor="background1" w:themeShade="A6"/>
            </w:tcBorders>
          </w:tcPr>
          <w:p w14:paraId="5BCE8F27" w14:textId="77777777" w:rsidR="00232F0B" w:rsidRPr="00A40FD5" w:rsidRDefault="00232F0B" w:rsidP="00381210">
            <w:pPr>
              <w:pStyle w:val="TableText"/>
              <w:jc w:val="center"/>
            </w:pPr>
            <w:r w:rsidRPr="00A40FD5">
              <w:t>$2,</w:t>
            </w:r>
            <w:r>
              <w:t>5</w:t>
            </w:r>
            <w:r w:rsidRPr="00A40FD5">
              <w:t>73,000</w:t>
            </w:r>
          </w:p>
        </w:tc>
        <w:tc>
          <w:tcPr>
            <w:tcW w:w="1382" w:type="dxa"/>
            <w:tcBorders>
              <w:bottom w:val="single" w:sz="4" w:space="0" w:color="A6A6A6" w:themeColor="background1" w:themeShade="A6"/>
            </w:tcBorders>
          </w:tcPr>
          <w:p w14:paraId="1E56A17D" w14:textId="77777777" w:rsidR="00232F0B" w:rsidRPr="00A40FD5" w:rsidRDefault="00232F0B" w:rsidP="00381210">
            <w:pPr>
              <w:pStyle w:val="TableText"/>
              <w:jc w:val="center"/>
            </w:pPr>
            <w:r w:rsidRPr="00A40FD5">
              <w:t>2</w:t>
            </w:r>
            <w:r>
              <w:t>64</w:t>
            </w:r>
            <w:r w:rsidRPr="00A40FD5">
              <w:t>%</w:t>
            </w:r>
          </w:p>
        </w:tc>
      </w:tr>
    </w:tbl>
    <w:p w14:paraId="0AB19CE2" w14:textId="77777777" w:rsidR="00232F0B" w:rsidRPr="00A40FD5" w:rsidRDefault="00232F0B" w:rsidP="00381210"/>
    <w:p w14:paraId="5ADC479E" w14:textId="32696229" w:rsidR="00232F0B" w:rsidRDefault="00232F0B" w:rsidP="00384DD3">
      <w:r w:rsidRPr="00A40FD5">
        <w:t>The memorandum account balance is projected to reach minus $1.</w:t>
      </w:r>
      <w:r>
        <w:t>6</w:t>
      </w:r>
      <w:r w:rsidR="00D472E5">
        <w:t> </w:t>
      </w:r>
      <w:r w:rsidRPr="00A40FD5">
        <w:t>million by 30</w:t>
      </w:r>
      <w:r w:rsidR="005B5BE2">
        <w:t> </w:t>
      </w:r>
      <w:r w:rsidRPr="00A40FD5">
        <w:t>June 2022 on current trends</w:t>
      </w:r>
      <w:r>
        <w:t>.</w:t>
      </w:r>
    </w:p>
    <w:p w14:paraId="4FB4571B" w14:textId="77777777" w:rsidR="005B5BE2" w:rsidRPr="00A40FD5" w:rsidRDefault="005B5BE2" w:rsidP="00384DD3"/>
    <w:p w14:paraId="547E976D" w14:textId="77777777" w:rsidR="00232F0B" w:rsidRPr="00A40FD5" w:rsidRDefault="00232F0B" w:rsidP="005B5BE2">
      <w:pPr>
        <w:pStyle w:val="Heading3"/>
      </w:pPr>
      <w:bookmarkStart w:id="63" w:name="_Toc83118716"/>
      <w:bookmarkStart w:id="64" w:name="_Toc83130195"/>
      <w:bookmarkStart w:id="65" w:name="_Toc83133464"/>
      <w:bookmarkStart w:id="66" w:name="_Toc74583473"/>
      <w:bookmarkStart w:id="67" w:name="_Toc75349238"/>
      <w:r>
        <w:t>Status quo</w:t>
      </w:r>
      <w:r w:rsidRPr="00A40FD5">
        <w:t xml:space="preserve"> option</w:t>
      </w:r>
      <w:bookmarkEnd w:id="63"/>
      <w:bookmarkEnd w:id="64"/>
      <w:bookmarkEnd w:id="65"/>
    </w:p>
    <w:p w14:paraId="17840AAA" w14:textId="77777777" w:rsidR="0087667B" w:rsidRDefault="00232F0B" w:rsidP="00384DD3">
      <w:r>
        <w:t>The status quo option is to continue operating a deficit in the annual fees take of around $487,000 per year (on average). This annual operating deficit would grow if regulatory costs increased, and the memorandum account balance would also continue to grow. This is not recommended due to The Treasury</w:t>
      </w:r>
      <w:r w:rsidR="0087667B">
        <w:t>’</w:t>
      </w:r>
      <w:r>
        <w:t>s expectation in</w:t>
      </w:r>
      <w:r w:rsidRPr="00A40FD5">
        <w:t xml:space="preserve"> </w:t>
      </w:r>
      <w:r>
        <w:t xml:space="preserve">its </w:t>
      </w:r>
      <w:r w:rsidRPr="00A40FD5">
        <w:rPr>
          <w:i/>
          <w:iCs/>
        </w:rPr>
        <w:t>Guidelines for Setting Charges in the Public Sector</w:t>
      </w:r>
      <w:r>
        <w:rPr>
          <w:i/>
          <w:iCs/>
        </w:rPr>
        <w:t xml:space="preserve"> [2017]</w:t>
      </w:r>
      <w:r w:rsidRPr="005B5BE2">
        <w:rPr>
          <w:rStyle w:val="FootnoteReference"/>
        </w:rPr>
        <w:footnoteReference w:id="10"/>
      </w:r>
      <w:r>
        <w:t xml:space="preserve"> that </w:t>
      </w:r>
      <w:r w:rsidR="0087667B">
        <w:t>‘</w:t>
      </w:r>
      <w:r>
        <w:t xml:space="preserve">… </w:t>
      </w:r>
      <w:r w:rsidRPr="002051AB">
        <w:t>the balance of each memorandum account will trend towards zero over a reasonable period of time</w:t>
      </w:r>
      <w:r>
        <w:t xml:space="preserve"> …</w:t>
      </w:r>
      <w:r w:rsidR="0087667B">
        <w:t>’</w:t>
      </w:r>
      <w:r>
        <w:t>. Also, this option does not meet the principle of full cost recovery set out in the 2016 RIS prepared for the Regulations. Therefore, the status quo option is not viable if full cost recovery is to remain the aim of fees taken under the Regulations. On this basis, new fees must return the fees take to full cost recovery, and the proposals outlined in this consultation document assume full cost recovery is the aim.</w:t>
      </w:r>
    </w:p>
    <w:p w14:paraId="3F99DBF9" w14:textId="77777777" w:rsidR="00232F0B" w:rsidRDefault="00232F0B" w:rsidP="00384DD3"/>
    <w:p w14:paraId="0C98AC7D" w14:textId="36A419CB" w:rsidR="0087667B" w:rsidRDefault="00232F0B" w:rsidP="003B7E58">
      <w:pPr>
        <w:keepNext/>
      </w:pPr>
      <w:r>
        <w:t>Arguments for retaining an ongoing deficit in fees take would, in effect, constitute adopting a partial fees recovery model. This matter is discussed more fully in section</w:t>
      </w:r>
      <w:r w:rsidR="00384DD3">
        <w:t> </w:t>
      </w:r>
      <w:r w:rsidR="00D472E5">
        <w:fldChar w:fldCharType="begin"/>
      </w:r>
      <w:r w:rsidR="00D472E5">
        <w:instrText xml:space="preserve"> REF _Ref88643499 \r \h </w:instrText>
      </w:r>
      <w:r w:rsidR="00D472E5">
        <w:fldChar w:fldCharType="separate"/>
      </w:r>
      <w:r w:rsidR="003A5600">
        <w:t>1.6</w:t>
      </w:r>
      <w:r w:rsidR="00D472E5">
        <w:fldChar w:fldCharType="end"/>
      </w:r>
      <w:r>
        <w:t xml:space="preserve"> of this consultation document.</w:t>
      </w:r>
    </w:p>
    <w:p w14:paraId="581DE065" w14:textId="77777777" w:rsidR="00384DD3" w:rsidRDefault="00384DD3" w:rsidP="00384DD3"/>
    <w:p w14:paraId="0D366A3F" w14:textId="77777777" w:rsidR="00232F0B" w:rsidRPr="00A40FD5" w:rsidRDefault="00232F0B" w:rsidP="005B5BE2">
      <w:pPr>
        <w:pStyle w:val="Heading3"/>
      </w:pPr>
      <w:bookmarkStart w:id="68" w:name="_Toc83118717"/>
      <w:bookmarkStart w:id="69" w:name="_Toc83130196"/>
      <w:bookmarkStart w:id="70" w:name="_Toc83133465"/>
      <w:r w:rsidRPr="00A40FD5">
        <w:t>Preferred option</w:t>
      </w:r>
      <w:bookmarkEnd w:id="66"/>
      <w:bookmarkEnd w:id="67"/>
      <w:bookmarkEnd w:id="68"/>
      <w:bookmarkEnd w:id="69"/>
      <w:bookmarkEnd w:id="70"/>
    </w:p>
    <w:p w14:paraId="7B96A768" w14:textId="77777777" w:rsidR="0087667B" w:rsidRDefault="00232F0B" w:rsidP="00384DD3">
      <w:r w:rsidRPr="00A40FD5">
        <w:rPr>
          <w:iCs/>
        </w:rPr>
        <w:t>T</w:t>
      </w:r>
      <w:r>
        <w:rPr>
          <w:iCs/>
        </w:rPr>
        <w:t>o</w:t>
      </w:r>
      <w:r w:rsidRPr="00A40FD5">
        <w:rPr>
          <w:iCs/>
        </w:rPr>
        <w:t xml:space="preserve"> </w:t>
      </w:r>
      <w:r w:rsidRPr="00A40FD5" w:rsidDel="00575F46">
        <w:t xml:space="preserve">address the memorandum account balance, it is proposed that a $200,000 per year premium </w:t>
      </w:r>
      <w:r>
        <w:t>be</w:t>
      </w:r>
      <w:r w:rsidRPr="00A40FD5" w:rsidDel="00575F46">
        <w:t xml:space="preserve"> </w:t>
      </w:r>
      <w:r>
        <w:t>applied to</w:t>
      </w:r>
      <w:r w:rsidRPr="00A40FD5" w:rsidDel="00575F46">
        <w:t xml:space="preserve"> the overall source licence fees take.</w:t>
      </w:r>
      <w:r>
        <w:t xml:space="preserve"> </w:t>
      </w:r>
      <w:r w:rsidRPr="00A40FD5" w:rsidDel="00575F46">
        <w:t xml:space="preserve">This approach would </w:t>
      </w:r>
      <w:r>
        <w:t>recover the projected $1.6 million (</w:t>
      </w:r>
      <w:r w:rsidRPr="00A40FD5" w:rsidDel="00575F46">
        <w:t>achieve a zero</w:t>
      </w:r>
      <w:r>
        <w:t>-</w:t>
      </w:r>
      <w:r w:rsidRPr="00A40FD5" w:rsidDel="00575F46">
        <w:t>memorandum account balance</w:t>
      </w:r>
      <w:r>
        <w:t>)</w:t>
      </w:r>
      <w:r w:rsidRPr="00A40FD5" w:rsidDel="00575F46">
        <w:t xml:space="preserve"> by 20</w:t>
      </w:r>
      <w:r>
        <w:t>30</w:t>
      </w:r>
      <w:r w:rsidRPr="00A40FD5" w:rsidDel="00575F46">
        <w:t>.</w:t>
      </w:r>
    </w:p>
    <w:p w14:paraId="5DA14DA5" w14:textId="77777777" w:rsidR="00232F0B" w:rsidRPr="00A40FD5" w:rsidDel="00575F46" w:rsidRDefault="00232F0B" w:rsidP="00384DD3"/>
    <w:p w14:paraId="102C9F5E" w14:textId="0E7A508C" w:rsidR="00232F0B" w:rsidRPr="00653B66" w:rsidRDefault="00232F0B" w:rsidP="00384DD3">
      <w:r w:rsidRPr="00A40FD5" w:rsidDel="00575F46">
        <w:t>The proposal to apply the premium to source licence fees only arises from the fact that the current 13</w:t>
      </w:r>
      <w:r w:rsidR="00D472E5">
        <w:t> </w:t>
      </w:r>
      <w:r w:rsidRPr="00A40FD5" w:rsidDel="00575F46">
        <w:t>percent discount on fees applies only to source licence fees.</w:t>
      </w:r>
      <w:r>
        <w:t xml:space="preserve"> </w:t>
      </w:r>
      <w:r w:rsidRPr="00A40FD5" w:rsidDel="00575F46">
        <w:t>In addition, source licence holders have been the only beneficiaries of the slower than expected issuing of source licences under the new regime. Therefore, source licence holders have benefited most from the undertake in fees since 2017.</w:t>
      </w:r>
    </w:p>
    <w:p w14:paraId="1AEA8642" w14:textId="77777777" w:rsidR="00232F0B" w:rsidRDefault="00232F0B" w:rsidP="00384DD3"/>
    <w:p w14:paraId="322D52CA" w14:textId="5FB28BCB" w:rsidR="00232F0B" w:rsidRPr="00A40FD5" w:rsidRDefault="00232F0B" w:rsidP="00384DD3">
      <w:r>
        <w:t>A</w:t>
      </w:r>
      <w:r w:rsidRPr="00A40FD5">
        <w:t xml:space="preserve"> 9.22</w:t>
      </w:r>
      <w:r w:rsidR="00D472E5">
        <w:t> </w:t>
      </w:r>
      <w:r w:rsidRPr="00A40FD5">
        <w:t xml:space="preserve">percent premium </w:t>
      </w:r>
      <w:r>
        <w:t xml:space="preserve">added </w:t>
      </w:r>
      <w:r w:rsidRPr="00A40FD5">
        <w:t xml:space="preserve">to the full fee for source licences, to be applied over the </w:t>
      </w:r>
      <w:r>
        <w:t>eight</w:t>
      </w:r>
      <w:r w:rsidRPr="00A40FD5">
        <w:t xml:space="preserve"> years to 20</w:t>
      </w:r>
      <w:r>
        <w:t>30, would add the required</w:t>
      </w:r>
      <w:r w:rsidRPr="00A40FD5">
        <w:t xml:space="preserve"> 200,000 per year</w:t>
      </w:r>
      <w:r>
        <w:t>.</w:t>
      </w:r>
    </w:p>
    <w:p w14:paraId="0FCDEDCC" w14:textId="77777777" w:rsidR="00232F0B" w:rsidRPr="00A40FD5" w:rsidRDefault="00232F0B" w:rsidP="00384DD3"/>
    <w:p w14:paraId="6A28597D" w14:textId="77777777" w:rsidR="00232F0B" w:rsidRPr="00A40FD5" w:rsidRDefault="00232F0B" w:rsidP="00384DD3">
      <w:r w:rsidRPr="00A40FD5">
        <w:t>The Ministry</w:t>
      </w:r>
      <w:r w:rsidR="0087667B">
        <w:t>’</w:t>
      </w:r>
      <w:r w:rsidRPr="00A40FD5">
        <w:t>s view is that as source licence holders have benefited most from the fees undertake since 2017</w:t>
      </w:r>
      <w:r>
        <w:t xml:space="preserve"> and</w:t>
      </w:r>
      <w:r w:rsidRPr="00A40FD5">
        <w:t xml:space="preserve"> it is both justifiable and equitable that the memorandum account </w:t>
      </w:r>
      <w:r>
        <w:t>premium be applied to</w:t>
      </w:r>
      <w:r w:rsidRPr="00A40FD5">
        <w:t xml:space="preserve"> the fees payable by </w:t>
      </w:r>
      <w:r>
        <w:t>source licence holders.</w:t>
      </w:r>
    </w:p>
    <w:p w14:paraId="28FDFAF6" w14:textId="77777777" w:rsidR="00232F0B" w:rsidRPr="00A40FD5" w:rsidRDefault="00232F0B" w:rsidP="00384DD3"/>
    <w:p w14:paraId="32916E15" w14:textId="77777777" w:rsidR="00232F0B" w:rsidRPr="00A40FD5" w:rsidRDefault="00232F0B" w:rsidP="005B5BE2">
      <w:pPr>
        <w:pStyle w:val="Heading3"/>
      </w:pPr>
      <w:bookmarkStart w:id="71" w:name="_Toc74583474"/>
      <w:bookmarkStart w:id="72" w:name="_Toc75349239"/>
      <w:bookmarkStart w:id="73" w:name="_Toc83118718"/>
      <w:bookmarkStart w:id="74" w:name="_Toc83130197"/>
      <w:bookmarkStart w:id="75" w:name="_Toc83133466"/>
      <w:r w:rsidRPr="00A40FD5">
        <w:t>Alternative option</w:t>
      </w:r>
      <w:bookmarkEnd w:id="71"/>
      <w:bookmarkEnd w:id="72"/>
      <w:bookmarkEnd w:id="73"/>
      <w:bookmarkEnd w:id="74"/>
      <w:bookmarkEnd w:id="75"/>
    </w:p>
    <w:p w14:paraId="1038F6BF" w14:textId="77777777" w:rsidR="00232F0B" w:rsidRPr="00A40FD5" w:rsidRDefault="00232F0B" w:rsidP="00384DD3">
      <w:r w:rsidRPr="00A40FD5">
        <w:t xml:space="preserve">A slightly lower </w:t>
      </w:r>
      <w:r w:rsidRPr="00A40FD5">
        <w:rPr>
          <w:rFonts w:cs="Arial"/>
        </w:rPr>
        <w:t>percentage premium</w:t>
      </w:r>
      <w:r w:rsidRPr="00A40FD5">
        <w:t xml:space="preserve"> </w:t>
      </w:r>
      <w:r>
        <w:t>could be</w:t>
      </w:r>
      <w:r w:rsidRPr="00A40FD5">
        <w:t xml:space="preserve"> applied to all proposed fees to meet the aim of moving the memorandum account towards zero after </w:t>
      </w:r>
      <w:r>
        <w:t>eight</w:t>
      </w:r>
      <w:r w:rsidRPr="00A40FD5">
        <w:t xml:space="preserve"> years.</w:t>
      </w:r>
    </w:p>
    <w:p w14:paraId="745EAC10" w14:textId="77777777" w:rsidR="00232F0B" w:rsidRPr="00A40FD5" w:rsidRDefault="00232F0B" w:rsidP="00384DD3"/>
    <w:p w14:paraId="6EFBE83B" w14:textId="77777777" w:rsidR="00232F0B" w:rsidRPr="00A40FD5" w:rsidRDefault="00232F0B" w:rsidP="00384DD3">
      <w:r w:rsidRPr="00A40FD5">
        <w:t>The Ministry</w:t>
      </w:r>
      <w:r w:rsidR="0087667B">
        <w:t>’</w:t>
      </w:r>
      <w:r w:rsidRPr="00A40FD5">
        <w:t xml:space="preserve">s view is that this </w:t>
      </w:r>
      <w:r>
        <w:t xml:space="preserve">option </w:t>
      </w:r>
      <w:r w:rsidRPr="00A40FD5">
        <w:t>would require some justification for recovering the memorandum account balance from all authorisation holders whether or not they received a discount on the fees payable from 2017.</w:t>
      </w:r>
      <w:r>
        <w:t xml:space="preserve"> </w:t>
      </w:r>
      <w:r w:rsidRPr="00A40FD5">
        <w:t>The Ministry is not aware of such a justification.</w:t>
      </w:r>
    </w:p>
    <w:p w14:paraId="51091A8A" w14:textId="77777777" w:rsidR="00232F0B" w:rsidRPr="00A40FD5" w:rsidRDefault="00232F0B" w:rsidP="00384DD3"/>
    <w:p w14:paraId="654C0AC1" w14:textId="77777777" w:rsidR="00232F0B" w:rsidRPr="00A40FD5" w:rsidRDefault="00232F0B" w:rsidP="005B5BE2">
      <w:pPr>
        <w:pStyle w:val="BoxHeading"/>
      </w:pPr>
      <w:r w:rsidRPr="00A40FD5">
        <w:t>Consultation questions</w:t>
      </w:r>
    </w:p>
    <w:p w14:paraId="31457A29" w14:textId="77777777" w:rsidR="0087667B" w:rsidRDefault="00232F0B" w:rsidP="003B7E58">
      <w:pPr>
        <w:pStyle w:val="BoxNumber"/>
        <w:keepNext/>
        <w:ind w:left="641" w:hanging="357"/>
      </w:pPr>
      <w:r w:rsidRPr="008501E2">
        <w:t xml:space="preserve">Do you think the preferred option of recovering the </w:t>
      </w:r>
      <w:r>
        <w:t xml:space="preserve">negative </w:t>
      </w:r>
      <w:r w:rsidRPr="002051AB">
        <w:t xml:space="preserve">memorandum account </w:t>
      </w:r>
      <w:r>
        <w:t>balance</w:t>
      </w:r>
      <w:r w:rsidRPr="002051AB">
        <w:t xml:space="preserve"> from source </w:t>
      </w:r>
      <w:r>
        <w:t xml:space="preserve">licence </w:t>
      </w:r>
      <w:r w:rsidRPr="002051AB">
        <w:t xml:space="preserve">holders </w:t>
      </w:r>
      <w:r>
        <w:t xml:space="preserve">only </w:t>
      </w:r>
      <w:r w:rsidRPr="002051AB">
        <w:t xml:space="preserve">over a period of </w:t>
      </w:r>
      <w:r>
        <w:t>eight</w:t>
      </w:r>
      <w:r w:rsidRPr="002051AB">
        <w:t xml:space="preserve"> years is justifiable and equitable?</w:t>
      </w:r>
    </w:p>
    <w:p w14:paraId="516C4DE3" w14:textId="77777777" w:rsidR="0087667B" w:rsidRDefault="00232F0B" w:rsidP="003B7E58">
      <w:pPr>
        <w:pStyle w:val="BoxNumber"/>
        <w:keepNext/>
        <w:ind w:left="641" w:hanging="357"/>
      </w:pPr>
      <w:r>
        <w:t xml:space="preserve">If you think the preferred option of </w:t>
      </w:r>
      <w:r w:rsidRPr="00A559A0">
        <w:t xml:space="preserve">recovering the memorandum account deficit from source </w:t>
      </w:r>
      <w:r>
        <w:t xml:space="preserve">licence </w:t>
      </w:r>
      <w:r w:rsidRPr="00A559A0">
        <w:t xml:space="preserve">holders </w:t>
      </w:r>
      <w:r>
        <w:t xml:space="preserve">only </w:t>
      </w:r>
      <w:r w:rsidRPr="00A559A0">
        <w:t xml:space="preserve">over a period of </w:t>
      </w:r>
      <w:r>
        <w:t xml:space="preserve">eight </w:t>
      </w:r>
      <w:r w:rsidRPr="00A559A0">
        <w:t xml:space="preserve">years </w:t>
      </w:r>
      <w:r>
        <w:t xml:space="preserve">is </w:t>
      </w:r>
      <w:r w:rsidRPr="007C09BA">
        <w:rPr>
          <w:b/>
          <w:bCs/>
        </w:rPr>
        <w:t>not</w:t>
      </w:r>
      <w:r>
        <w:t xml:space="preserve"> justifiable or equitable, please outline your reasons.</w:t>
      </w:r>
    </w:p>
    <w:p w14:paraId="42F4D2E2" w14:textId="77777777" w:rsidR="00232F0B" w:rsidRDefault="00232F0B" w:rsidP="00D26956">
      <w:pPr>
        <w:pStyle w:val="BoxNumber"/>
        <w:keepNext/>
        <w:keepLines/>
        <w:ind w:left="641" w:hanging="357"/>
      </w:pPr>
      <w:r>
        <w:t>Do you think the alternative option of recovering the negative memorandum account balance from all authorisation holders is a better option? Please outline your reasons.</w:t>
      </w:r>
    </w:p>
    <w:p w14:paraId="454B04A3" w14:textId="77777777" w:rsidR="00232F0B" w:rsidRPr="00A40FD5" w:rsidRDefault="00232F0B" w:rsidP="00384DD3">
      <w:pPr>
        <w:pStyle w:val="BoxNumber"/>
      </w:pPr>
      <w:r>
        <w:t>Do you think the negative memorandum account balance should be recovered over a longer or shorter period? If yes, please state whether it should be longer or shorter and outline your reasons.</w:t>
      </w:r>
    </w:p>
    <w:p w14:paraId="69FDC791" w14:textId="77777777" w:rsidR="0087667B" w:rsidRDefault="00232F0B" w:rsidP="00384DD3">
      <w:pPr>
        <w:pStyle w:val="BoxNumber"/>
      </w:pPr>
      <w:r w:rsidRPr="00A40FD5">
        <w:t xml:space="preserve">Do you have an alternative method for addressing the </w:t>
      </w:r>
      <w:r>
        <w:t>positive memorandum account balance?</w:t>
      </w:r>
    </w:p>
    <w:p w14:paraId="47DDE429" w14:textId="77777777" w:rsidR="00232F0B" w:rsidRPr="00A40FD5" w:rsidRDefault="00232F0B" w:rsidP="00384DD3">
      <w:pPr>
        <w:pStyle w:val="BoxNumber"/>
      </w:pPr>
      <w:r w:rsidRPr="00A40FD5">
        <w:t>Do you have any further comments, suggestions or options</w:t>
      </w:r>
      <w:r>
        <w:t xml:space="preserve"> for us to consider</w:t>
      </w:r>
      <w:r w:rsidRPr="00A40FD5">
        <w:t>?</w:t>
      </w:r>
    </w:p>
    <w:p w14:paraId="2686D49C" w14:textId="77777777" w:rsidR="00232F0B" w:rsidRPr="00A40FD5" w:rsidRDefault="00232F0B" w:rsidP="00384DD3">
      <w:pPr>
        <w:pStyle w:val="Box"/>
        <w:rPr>
          <w:rFonts w:ascii="TimesNewRomanPSMT-Identity-H" w:hAnsi="TimesNewRomanPSMT-Identity-H" w:cs="TimesNewRomanPSMT-Identity-H"/>
        </w:rPr>
      </w:pPr>
      <w:r w:rsidRPr="00A40FD5">
        <w:t>Please use the submission form to respond to these questions.</w:t>
      </w:r>
    </w:p>
    <w:p w14:paraId="1D9724BD" w14:textId="77777777" w:rsidR="00232F0B" w:rsidRPr="00A40FD5" w:rsidRDefault="00232F0B" w:rsidP="00384DD3"/>
    <w:p w14:paraId="4A6925C0" w14:textId="77777777" w:rsidR="00232F0B" w:rsidRPr="00A40FD5" w:rsidRDefault="00232F0B" w:rsidP="005B5BE2">
      <w:pPr>
        <w:pStyle w:val="Heading2"/>
      </w:pPr>
      <w:bookmarkStart w:id="76" w:name="_Toc83133467"/>
      <w:bookmarkStart w:id="77" w:name="_Toc89696189"/>
      <w:r w:rsidRPr="00A40FD5">
        <w:t>Recoverable costs</w:t>
      </w:r>
      <w:bookmarkEnd w:id="76"/>
      <w:bookmarkEnd w:id="77"/>
    </w:p>
    <w:p w14:paraId="3EDA0E57" w14:textId="77777777" w:rsidR="00232F0B" w:rsidRPr="00A40FD5" w:rsidRDefault="00232F0B" w:rsidP="005B5BE2">
      <w:pPr>
        <w:pStyle w:val="Heading3"/>
      </w:pPr>
      <w:bookmarkStart w:id="78" w:name="_Toc74583476"/>
      <w:bookmarkStart w:id="79" w:name="_Toc75349241"/>
      <w:bookmarkStart w:id="80" w:name="_Toc83118720"/>
      <w:bookmarkStart w:id="81" w:name="_Toc83130199"/>
      <w:bookmarkStart w:id="82" w:name="_Toc83133468"/>
      <w:r w:rsidRPr="00A40FD5">
        <w:t>Background</w:t>
      </w:r>
      <w:bookmarkEnd w:id="78"/>
      <w:bookmarkEnd w:id="79"/>
      <w:bookmarkEnd w:id="80"/>
      <w:bookmarkEnd w:id="81"/>
      <w:bookmarkEnd w:id="82"/>
    </w:p>
    <w:p w14:paraId="4E650668" w14:textId="56CA149C" w:rsidR="0087667B" w:rsidRDefault="00232F0B" w:rsidP="00384DD3">
      <w:r w:rsidRPr="00A40FD5">
        <w:t xml:space="preserve">The </w:t>
      </w:r>
      <w:r>
        <w:t xml:space="preserve">total </w:t>
      </w:r>
      <w:r w:rsidRPr="00A40FD5">
        <w:t>cost</w:t>
      </w:r>
      <w:r>
        <w:t>s</w:t>
      </w:r>
      <w:r w:rsidRPr="00A40FD5">
        <w:t xml:space="preserve"> of regulating and the memorandum account balance combine to determine the recoverable costs.</w:t>
      </w:r>
      <w:r>
        <w:t xml:space="preserve"> </w:t>
      </w:r>
      <w:r w:rsidRPr="00A40FD5">
        <w:t xml:space="preserve">The projected </w:t>
      </w:r>
      <w:r>
        <w:t xml:space="preserve">annual </w:t>
      </w:r>
      <w:r w:rsidRPr="00A40FD5">
        <w:t xml:space="preserve">recoverable costs from 2022 are set out in </w:t>
      </w:r>
      <w:r w:rsidR="00384DD3">
        <w:fldChar w:fldCharType="begin"/>
      </w:r>
      <w:r w:rsidR="00384DD3">
        <w:instrText xml:space="preserve"> REF _Ref87368402 \h </w:instrText>
      </w:r>
      <w:r w:rsidR="00384DD3">
        <w:fldChar w:fldCharType="separate"/>
      </w:r>
      <w:r w:rsidR="003A5600">
        <w:t>Table </w:t>
      </w:r>
      <w:r w:rsidR="003A5600">
        <w:rPr>
          <w:noProof/>
        </w:rPr>
        <w:t>6</w:t>
      </w:r>
      <w:r w:rsidR="00384DD3">
        <w:fldChar w:fldCharType="end"/>
      </w:r>
      <w:r w:rsidRPr="00A40FD5">
        <w:t>.</w:t>
      </w:r>
    </w:p>
    <w:p w14:paraId="14B3A5B7" w14:textId="77777777" w:rsidR="00232F0B" w:rsidRPr="00A40FD5" w:rsidRDefault="00232F0B" w:rsidP="00384DD3"/>
    <w:p w14:paraId="4AE92077" w14:textId="32E85F76" w:rsidR="00232F0B" w:rsidRPr="00A40FD5" w:rsidRDefault="005B5BE2" w:rsidP="00384DD3">
      <w:pPr>
        <w:pStyle w:val="Table"/>
      </w:pPr>
      <w:bookmarkStart w:id="83" w:name="_Ref87368402"/>
      <w:bookmarkStart w:id="84" w:name="_Toc84916120"/>
      <w:bookmarkStart w:id="85" w:name="_Toc84916183"/>
      <w:bookmarkStart w:id="86" w:name="_Toc88644154"/>
      <w:r>
        <w:t>Table </w:t>
      </w:r>
      <w:r w:rsidR="00384F9F">
        <w:fldChar w:fldCharType="begin"/>
      </w:r>
      <w:r w:rsidR="00384F9F">
        <w:instrText xml:space="preserve"> SEQ Table \* ARABIC </w:instrText>
      </w:r>
      <w:r w:rsidR="00384F9F">
        <w:fldChar w:fldCharType="separate"/>
      </w:r>
      <w:r w:rsidR="003A5600">
        <w:rPr>
          <w:noProof/>
        </w:rPr>
        <w:t>6</w:t>
      </w:r>
      <w:r w:rsidR="00384F9F">
        <w:rPr>
          <w:noProof/>
        </w:rPr>
        <w:fldChar w:fldCharType="end"/>
      </w:r>
      <w:bookmarkEnd w:id="83"/>
      <w:r w:rsidR="00232F0B" w:rsidRPr="00A40FD5">
        <w:t>:</w:t>
      </w:r>
      <w:r>
        <w:t xml:space="preserve"> </w:t>
      </w:r>
      <w:r w:rsidR="00232F0B" w:rsidRPr="00A40FD5">
        <w:t xml:space="preserve">Projected </w:t>
      </w:r>
      <w:r w:rsidR="00232F0B">
        <w:t xml:space="preserve">annual </w:t>
      </w:r>
      <w:r w:rsidR="00232F0B" w:rsidRPr="00A40FD5">
        <w:t>recoverable costs under the Radiation Safety Act 2016</w:t>
      </w:r>
      <w:bookmarkEnd w:id="84"/>
      <w:bookmarkEnd w:id="85"/>
      <w:bookmarkEnd w:id="86"/>
    </w:p>
    <w:tbl>
      <w:tblPr>
        <w:tblW w:w="0" w:type="auto"/>
        <w:tblInd w:w="57" w:type="dxa"/>
        <w:tblLayout w:type="fixed"/>
        <w:tblCellMar>
          <w:left w:w="57" w:type="dxa"/>
          <w:right w:w="57" w:type="dxa"/>
        </w:tblCellMar>
        <w:tblLook w:val="04A0" w:firstRow="1" w:lastRow="0" w:firstColumn="1" w:lastColumn="0" w:noHBand="0" w:noVBand="1"/>
      </w:tblPr>
      <w:tblGrid>
        <w:gridCol w:w="2835"/>
        <w:gridCol w:w="1312"/>
        <w:gridCol w:w="1312"/>
        <w:gridCol w:w="1312"/>
        <w:gridCol w:w="1312"/>
      </w:tblGrid>
      <w:tr w:rsidR="00232F0B" w:rsidRPr="003B7E58" w14:paraId="6B6D3725" w14:textId="77777777" w:rsidTr="003B7E58">
        <w:trPr>
          <w:cantSplit/>
        </w:trPr>
        <w:tc>
          <w:tcPr>
            <w:tcW w:w="2835" w:type="dxa"/>
            <w:shd w:val="clear" w:color="auto" w:fill="D9D9D9" w:themeFill="background1" w:themeFillShade="D9"/>
          </w:tcPr>
          <w:p w14:paraId="6C8F5DE7" w14:textId="77777777" w:rsidR="00232F0B" w:rsidRPr="003B7E58" w:rsidRDefault="00232F0B" w:rsidP="003B7E58">
            <w:pPr>
              <w:pStyle w:val="TableText"/>
              <w:rPr>
                <w:b/>
              </w:rPr>
            </w:pPr>
          </w:p>
        </w:tc>
        <w:tc>
          <w:tcPr>
            <w:tcW w:w="1312" w:type="dxa"/>
            <w:shd w:val="clear" w:color="auto" w:fill="D9D9D9" w:themeFill="background1" w:themeFillShade="D9"/>
          </w:tcPr>
          <w:p w14:paraId="53125D9B" w14:textId="77777777" w:rsidR="00232F0B" w:rsidRPr="003B7E58" w:rsidRDefault="00232F0B" w:rsidP="003B7E58">
            <w:pPr>
              <w:pStyle w:val="TableText"/>
              <w:jc w:val="center"/>
              <w:rPr>
                <w:b/>
              </w:rPr>
            </w:pPr>
            <w:r w:rsidRPr="003B7E58">
              <w:rPr>
                <w:b/>
              </w:rPr>
              <w:t>2017</w:t>
            </w:r>
          </w:p>
        </w:tc>
        <w:tc>
          <w:tcPr>
            <w:tcW w:w="1312" w:type="dxa"/>
            <w:shd w:val="clear" w:color="auto" w:fill="D9D9D9" w:themeFill="background1" w:themeFillShade="D9"/>
          </w:tcPr>
          <w:p w14:paraId="029DD25D" w14:textId="77777777" w:rsidR="00232F0B" w:rsidRPr="003B7E58" w:rsidRDefault="00232F0B" w:rsidP="003B7E58">
            <w:pPr>
              <w:pStyle w:val="TableText"/>
              <w:jc w:val="center"/>
              <w:rPr>
                <w:b/>
              </w:rPr>
            </w:pPr>
            <w:r w:rsidRPr="003B7E58">
              <w:rPr>
                <w:b/>
              </w:rPr>
              <w:t>2022</w:t>
            </w:r>
          </w:p>
        </w:tc>
        <w:tc>
          <w:tcPr>
            <w:tcW w:w="1312" w:type="dxa"/>
            <w:shd w:val="clear" w:color="auto" w:fill="D9D9D9" w:themeFill="background1" w:themeFillShade="D9"/>
          </w:tcPr>
          <w:p w14:paraId="7B9BDF19" w14:textId="77777777" w:rsidR="00232F0B" w:rsidRPr="003B7E58" w:rsidRDefault="00232F0B" w:rsidP="003B7E58">
            <w:pPr>
              <w:pStyle w:val="TableText"/>
              <w:jc w:val="center"/>
              <w:rPr>
                <w:b/>
              </w:rPr>
            </w:pPr>
            <w:r w:rsidRPr="003B7E58">
              <w:rPr>
                <w:b/>
              </w:rPr>
              <w:t>$ increase</w:t>
            </w:r>
          </w:p>
        </w:tc>
        <w:tc>
          <w:tcPr>
            <w:tcW w:w="1312" w:type="dxa"/>
            <w:shd w:val="clear" w:color="auto" w:fill="D9D9D9" w:themeFill="background1" w:themeFillShade="D9"/>
          </w:tcPr>
          <w:p w14:paraId="25CAAD75" w14:textId="77777777" w:rsidR="00232F0B" w:rsidRPr="003B7E58" w:rsidRDefault="00232F0B" w:rsidP="003B7E58">
            <w:pPr>
              <w:pStyle w:val="TableText"/>
              <w:jc w:val="center"/>
              <w:rPr>
                <w:b/>
              </w:rPr>
            </w:pPr>
            <w:r w:rsidRPr="003B7E58">
              <w:rPr>
                <w:b/>
              </w:rPr>
              <w:t>% increase</w:t>
            </w:r>
          </w:p>
        </w:tc>
      </w:tr>
      <w:tr w:rsidR="00232F0B" w:rsidRPr="00A40FD5" w14:paraId="7F24F9ED" w14:textId="77777777" w:rsidTr="003B7E58">
        <w:trPr>
          <w:cantSplit/>
        </w:trPr>
        <w:tc>
          <w:tcPr>
            <w:tcW w:w="2835" w:type="dxa"/>
            <w:tcBorders>
              <w:bottom w:val="single" w:sz="4" w:space="0" w:color="A6A6A6" w:themeColor="background1" w:themeShade="A6"/>
            </w:tcBorders>
          </w:tcPr>
          <w:p w14:paraId="57E977E2" w14:textId="77777777" w:rsidR="00232F0B" w:rsidRPr="00A40FD5" w:rsidRDefault="00232F0B" w:rsidP="003B7E58">
            <w:pPr>
              <w:pStyle w:val="TableText"/>
            </w:pPr>
            <w:r w:rsidRPr="00A40FD5">
              <w:t>Totals costs of regulating</w:t>
            </w:r>
          </w:p>
        </w:tc>
        <w:tc>
          <w:tcPr>
            <w:tcW w:w="1312" w:type="dxa"/>
            <w:tcBorders>
              <w:bottom w:val="single" w:sz="4" w:space="0" w:color="A6A6A6" w:themeColor="background1" w:themeShade="A6"/>
            </w:tcBorders>
          </w:tcPr>
          <w:p w14:paraId="32A8F33E" w14:textId="77777777" w:rsidR="00232F0B" w:rsidRPr="00A40FD5" w:rsidRDefault="00232F0B" w:rsidP="003B7E58">
            <w:pPr>
              <w:pStyle w:val="TableText"/>
              <w:tabs>
                <w:tab w:val="decimal" w:pos="1077"/>
              </w:tabs>
            </w:pPr>
            <w:r w:rsidRPr="00A40FD5">
              <w:t>$1,437,700</w:t>
            </w:r>
          </w:p>
        </w:tc>
        <w:tc>
          <w:tcPr>
            <w:tcW w:w="1312" w:type="dxa"/>
            <w:tcBorders>
              <w:bottom w:val="single" w:sz="4" w:space="0" w:color="A6A6A6" w:themeColor="background1" w:themeShade="A6"/>
            </w:tcBorders>
          </w:tcPr>
          <w:p w14:paraId="168858B5" w14:textId="77777777" w:rsidR="00232F0B" w:rsidRPr="00A40FD5" w:rsidRDefault="00232F0B" w:rsidP="003B7E58">
            <w:pPr>
              <w:pStyle w:val="TableText"/>
              <w:tabs>
                <w:tab w:val="decimal" w:pos="1077"/>
              </w:tabs>
            </w:pPr>
            <w:r w:rsidRPr="00A40FD5">
              <w:t>$2,490,445</w:t>
            </w:r>
          </w:p>
        </w:tc>
        <w:tc>
          <w:tcPr>
            <w:tcW w:w="1312" w:type="dxa"/>
            <w:tcBorders>
              <w:bottom w:val="single" w:sz="4" w:space="0" w:color="A6A6A6" w:themeColor="background1" w:themeShade="A6"/>
            </w:tcBorders>
          </w:tcPr>
          <w:p w14:paraId="07BFE0AA" w14:textId="77777777" w:rsidR="00232F0B" w:rsidRPr="00A40FD5" w:rsidRDefault="00232F0B" w:rsidP="003B7E58">
            <w:pPr>
              <w:pStyle w:val="TableText"/>
              <w:tabs>
                <w:tab w:val="decimal" w:pos="1077"/>
              </w:tabs>
            </w:pPr>
            <w:r w:rsidRPr="00A40FD5">
              <w:t>$1,052,745</w:t>
            </w:r>
          </w:p>
        </w:tc>
        <w:tc>
          <w:tcPr>
            <w:tcW w:w="1312" w:type="dxa"/>
            <w:tcBorders>
              <w:bottom w:val="single" w:sz="4" w:space="0" w:color="A6A6A6" w:themeColor="background1" w:themeShade="A6"/>
            </w:tcBorders>
          </w:tcPr>
          <w:p w14:paraId="671A831E" w14:textId="77777777" w:rsidR="00232F0B" w:rsidRPr="00A40FD5" w:rsidRDefault="00232F0B" w:rsidP="003B7E58">
            <w:pPr>
              <w:pStyle w:val="TableText"/>
              <w:tabs>
                <w:tab w:val="decimal" w:pos="778"/>
              </w:tabs>
            </w:pPr>
            <w:r w:rsidRPr="00A40FD5">
              <w:t>73%</w:t>
            </w:r>
          </w:p>
        </w:tc>
      </w:tr>
      <w:tr w:rsidR="00232F0B" w:rsidRPr="00A40FD5" w14:paraId="32B0C573" w14:textId="77777777" w:rsidTr="003B7E58">
        <w:trPr>
          <w:cantSplit/>
        </w:trPr>
        <w:tc>
          <w:tcPr>
            <w:tcW w:w="2835" w:type="dxa"/>
            <w:tcBorders>
              <w:top w:val="single" w:sz="4" w:space="0" w:color="A6A6A6" w:themeColor="background1" w:themeShade="A6"/>
              <w:bottom w:val="single" w:sz="4" w:space="0" w:color="A6A6A6" w:themeColor="background1" w:themeShade="A6"/>
            </w:tcBorders>
          </w:tcPr>
          <w:p w14:paraId="4894E5BE" w14:textId="77777777" w:rsidR="00232F0B" w:rsidRPr="00A40FD5" w:rsidRDefault="00232F0B" w:rsidP="003B7E58">
            <w:pPr>
              <w:pStyle w:val="TableText"/>
            </w:pPr>
            <w:r w:rsidRPr="00A40FD5">
              <w:t xml:space="preserve">Memorandum </w:t>
            </w:r>
            <w:r>
              <w:t>a</w:t>
            </w:r>
            <w:r w:rsidRPr="00A40FD5">
              <w:t>ccount</w:t>
            </w:r>
            <w:r>
              <w:t xml:space="preserve"> balance</w:t>
            </w:r>
          </w:p>
        </w:tc>
        <w:tc>
          <w:tcPr>
            <w:tcW w:w="1312" w:type="dxa"/>
            <w:tcBorders>
              <w:top w:val="single" w:sz="4" w:space="0" w:color="A6A6A6" w:themeColor="background1" w:themeShade="A6"/>
              <w:bottom w:val="single" w:sz="4" w:space="0" w:color="A6A6A6" w:themeColor="background1" w:themeShade="A6"/>
            </w:tcBorders>
          </w:tcPr>
          <w:p w14:paraId="133E928D" w14:textId="77777777" w:rsidR="00232F0B" w:rsidRPr="00A40FD5" w:rsidRDefault="00232F0B" w:rsidP="003B7E58">
            <w:pPr>
              <w:pStyle w:val="TableText"/>
              <w:tabs>
                <w:tab w:val="decimal" w:pos="1077"/>
              </w:tabs>
            </w:pPr>
            <w:r w:rsidRPr="00A40FD5">
              <w:t>-$162,000</w:t>
            </w:r>
          </w:p>
        </w:tc>
        <w:tc>
          <w:tcPr>
            <w:tcW w:w="1312" w:type="dxa"/>
            <w:tcBorders>
              <w:top w:val="single" w:sz="4" w:space="0" w:color="A6A6A6" w:themeColor="background1" w:themeShade="A6"/>
              <w:bottom w:val="single" w:sz="4" w:space="0" w:color="A6A6A6" w:themeColor="background1" w:themeShade="A6"/>
            </w:tcBorders>
          </w:tcPr>
          <w:p w14:paraId="6288ED9B" w14:textId="77777777" w:rsidR="00232F0B" w:rsidRPr="00A40FD5" w:rsidRDefault="00232F0B" w:rsidP="003B7E58">
            <w:pPr>
              <w:pStyle w:val="TableText"/>
              <w:tabs>
                <w:tab w:val="decimal" w:pos="1077"/>
              </w:tabs>
            </w:pPr>
            <w:r>
              <w:t>$</w:t>
            </w:r>
            <w:r w:rsidRPr="00A40FD5">
              <w:t>200,000</w:t>
            </w:r>
          </w:p>
        </w:tc>
        <w:tc>
          <w:tcPr>
            <w:tcW w:w="1312" w:type="dxa"/>
            <w:tcBorders>
              <w:top w:val="single" w:sz="4" w:space="0" w:color="A6A6A6" w:themeColor="background1" w:themeShade="A6"/>
              <w:bottom w:val="single" w:sz="4" w:space="0" w:color="A6A6A6" w:themeColor="background1" w:themeShade="A6"/>
            </w:tcBorders>
          </w:tcPr>
          <w:p w14:paraId="3A1050F7" w14:textId="77777777" w:rsidR="00232F0B" w:rsidRPr="00A40FD5" w:rsidRDefault="00232F0B" w:rsidP="003B7E58">
            <w:pPr>
              <w:pStyle w:val="TableText"/>
              <w:tabs>
                <w:tab w:val="decimal" w:pos="1077"/>
              </w:tabs>
            </w:pPr>
            <w:r w:rsidRPr="00A40FD5">
              <w:t>$362,000</w:t>
            </w:r>
          </w:p>
        </w:tc>
        <w:tc>
          <w:tcPr>
            <w:tcW w:w="1312" w:type="dxa"/>
            <w:tcBorders>
              <w:top w:val="single" w:sz="4" w:space="0" w:color="A6A6A6" w:themeColor="background1" w:themeShade="A6"/>
              <w:bottom w:val="single" w:sz="4" w:space="0" w:color="A6A6A6" w:themeColor="background1" w:themeShade="A6"/>
            </w:tcBorders>
          </w:tcPr>
          <w:p w14:paraId="1EFEDEA9" w14:textId="77777777" w:rsidR="00232F0B" w:rsidRPr="00A40FD5" w:rsidRDefault="00232F0B" w:rsidP="003B7E58">
            <w:pPr>
              <w:pStyle w:val="TableText"/>
              <w:tabs>
                <w:tab w:val="decimal" w:pos="778"/>
              </w:tabs>
            </w:pPr>
            <w:r w:rsidRPr="00A40FD5">
              <w:t>223%</w:t>
            </w:r>
          </w:p>
        </w:tc>
      </w:tr>
      <w:tr w:rsidR="00232F0B" w:rsidRPr="00A40FD5" w14:paraId="61FA4CAF" w14:textId="77777777" w:rsidTr="003B7E58">
        <w:trPr>
          <w:cantSplit/>
        </w:trPr>
        <w:tc>
          <w:tcPr>
            <w:tcW w:w="2835" w:type="dxa"/>
            <w:tcBorders>
              <w:top w:val="single" w:sz="4" w:space="0" w:color="A6A6A6" w:themeColor="background1" w:themeShade="A6"/>
              <w:bottom w:val="single" w:sz="4" w:space="0" w:color="A6A6A6" w:themeColor="background1" w:themeShade="A6"/>
            </w:tcBorders>
          </w:tcPr>
          <w:p w14:paraId="42938E44" w14:textId="77777777" w:rsidR="00232F0B" w:rsidRPr="00A40FD5" w:rsidRDefault="00232F0B" w:rsidP="003B7E58">
            <w:pPr>
              <w:pStyle w:val="TableText"/>
            </w:pPr>
            <w:r w:rsidRPr="00A40FD5">
              <w:t>Recoverable costs</w:t>
            </w:r>
          </w:p>
        </w:tc>
        <w:tc>
          <w:tcPr>
            <w:tcW w:w="1312" w:type="dxa"/>
            <w:tcBorders>
              <w:top w:val="single" w:sz="4" w:space="0" w:color="A6A6A6" w:themeColor="background1" w:themeShade="A6"/>
              <w:bottom w:val="single" w:sz="4" w:space="0" w:color="A6A6A6" w:themeColor="background1" w:themeShade="A6"/>
            </w:tcBorders>
          </w:tcPr>
          <w:p w14:paraId="31C5971A" w14:textId="77777777" w:rsidR="00232F0B" w:rsidRPr="00A40FD5" w:rsidRDefault="00232F0B" w:rsidP="003B7E58">
            <w:pPr>
              <w:pStyle w:val="TableText"/>
              <w:tabs>
                <w:tab w:val="decimal" w:pos="1077"/>
              </w:tabs>
            </w:pPr>
            <w:r w:rsidRPr="00A40FD5">
              <w:t>$1,275,700</w:t>
            </w:r>
          </w:p>
        </w:tc>
        <w:tc>
          <w:tcPr>
            <w:tcW w:w="1312" w:type="dxa"/>
            <w:tcBorders>
              <w:top w:val="single" w:sz="4" w:space="0" w:color="A6A6A6" w:themeColor="background1" w:themeShade="A6"/>
              <w:bottom w:val="single" w:sz="4" w:space="0" w:color="A6A6A6" w:themeColor="background1" w:themeShade="A6"/>
            </w:tcBorders>
          </w:tcPr>
          <w:p w14:paraId="04429678" w14:textId="77777777" w:rsidR="00232F0B" w:rsidRPr="00A40FD5" w:rsidRDefault="00232F0B" w:rsidP="003B7E58">
            <w:pPr>
              <w:pStyle w:val="TableText"/>
              <w:tabs>
                <w:tab w:val="decimal" w:pos="1077"/>
              </w:tabs>
            </w:pPr>
            <w:r w:rsidRPr="00A40FD5">
              <w:t>$2,690,445</w:t>
            </w:r>
          </w:p>
        </w:tc>
        <w:tc>
          <w:tcPr>
            <w:tcW w:w="1312" w:type="dxa"/>
            <w:tcBorders>
              <w:top w:val="single" w:sz="4" w:space="0" w:color="A6A6A6" w:themeColor="background1" w:themeShade="A6"/>
              <w:bottom w:val="single" w:sz="4" w:space="0" w:color="A6A6A6" w:themeColor="background1" w:themeShade="A6"/>
            </w:tcBorders>
          </w:tcPr>
          <w:p w14:paraId="09931ACA" w14:textId="77777777" w:rsidR="00232F0B" w:rsidRPr="00A40FD5" w:rsidRDefault="00232F0B" w:rsidP="003B7E58">
            <w:pPr>
              <w:pStyle w:val="TableText"/>
              <w:tabs>
                <w:tab w:val="decimal" w:pos="1077"/>
              </w:tabs>
            </w:pPr>
            <w:r w:rsidRPr="00A40FD5">
              <w:t>$1,414,745</w:t>
            </w:r>
          </w:p>
        </w:tc>
        <w:tc>
          <w:tcPr>
            <w:tcW w:w="1312" w:type="dxa"/>
            <w:tcBorders>
              <w:top w:val="single" w:sz="4" w:space="0" w:color="A6A6A6" w:themeColor="background1" w:themeShade="A6"/>
              <w:bottom w:val="single" w:sz="4" w:space="0" w:color="A6A6A6" w:themeColor="background1" w:themeShade="A6"/>
            </w:tcBorders>
          </w:tcPr>
          <w:p w14:paraId="6B777CC4" w14:textId="77777777" w:rsidR="00232F0B" w:rsidRPr="00A40FD5" w:rsidRDefault="00232F0B" w:rsidP="003B7E58">
            <w:pPr>
              <w:pStyle w:val="TableText"/>
              <w:tabs>
                <w:tab w:val="decimal" w:pos="778"/>
              </w:tabs>
            </w:pPr>
            <w:r w:rsidRPr="00A40FD5">
              <w:t>11</w:t>
            </w:r>
            <w:r>
              <w:t>1</w:t>
            </w:r>
            <w:r w:rsidRPr="00A40FD5">
              <w:t>%</w:t>
            </w:r>
          </w:p>
        </w:tc>
      </w:tr>
    </w:tbl>
    <w:p w14:paraId="5A5CBB8D" w14:textId="77777777" w:rsidR="00232F0B" w:rsidRPr="00A40FD5" w:rsidRDefault="00232F0B" w:rsidP="003B7E58"/>
    <w:p w14:paraId="3293F23B" w14:textId="77777777" w:rsidR="00232F0B" w:rsidRPr="00A40FD5" w:rsidRDefault="00232F0B" w:rsidP="005B5BE2">
      <w:pPr>
        <w:pStyle w:val="Heading2"/>
      </w:pPr>
      <w:bookmarkStart w:id="87" w:name="_Toc83133469"/>
      <w:bookmarkStart w:id="88" w:name="_Ref88643499"/>
      <w:bookmarkStart w:id="89" w:name="_Ref88643739"/>
      <w:bookmarkStart w:id="90" w:name="_Ref88643751"/>
      <w:bookmarkStart w:id="91" w:name="_Toc89696190"/>
      <w:r w:rsidRPr="00A40FD5">
        <w:t>Cost recovery model</w:t>
      </w:r>
      <w:bookmarkEnd w:id="87"/>
      <w:bookmarkEnd w:id="88"/>
      <w:bookmarkEnd w:id="89"/>
      <w:bookmarkEnd w:id="90"/>
      <w:bookmarkEnd w:id="91"/>
    </w:p>
    <w:p w14:paraId="70C08B63" w14:textId="77777777" w:rsidR="00232F0B" w:rsidRPr="00A40FD5" w:rsidRDefault="00232F0B" w:rsidP="005B5BE2">
      <w:pPr>
        <w:pStyle w:val="Heading3"/>
      </w:pPr>
      <w:bookmarkStart w:id="92" w:name="_Toc74583478"/>
      <w:bookmarkStart w:id="93" w:name="_Toc75349243"/>
      <w:bookmarkStart w:id="94" w:name="_Toc83118722"/>
      <w:bookmarkStart w:id="95" w:name="_Toc83130201"/>
      <w:bookmarkStart w:id="96" w:name="_Toc83133470"/>
      <w:r w:rsidRPr="00A40FD5">
        <w:t>Background</w:t>
      </w:r>
      <w:bookmarkEnd w:id="92"/>
      <w:bookmarkEnd w:id="93"/>
      <w:bookmarkEnd w:id="94"/>
      <w:bookmarkEnd w:id="95"/>
      <w:bookmarkEnd w:id="96"/>
    </w:p>
    <w:p w14:paraId="25B03985" w14:textId="77777777" w:rsidR="0087667B" w:rsidRDefault="00232F0B" w:rsidP="00384DD3">
      <w:pPr>
        <w:rPr>
          <w:shd w:val="clear" w:color="auto" w:fill="FFFFFF"/>
        </w:rPr>
      </w:pPr>
      <w:r w:rsidRPr="00A40FD5">
        <w:rPr>
          <w:shd w:val="clear" w:color="auto" w:fill="FFFFFF"/>
        </w:rPr>
        <w:t>Section 92(2)(b) of the Act provides for the recovery of direct or indirect Ministry costs in verifying authorisations holders</w:t>
      </w:r>
      <w:r w:rsidR="0087667B">
        <w:rPr>
          <w:shd w:val="clear" w:color="auto" w:fill="FFFFFF"/>
        </w:rPr>
        <w:t>’</w:t>
      </w:r>
      <w:r w:rsidRPr="00A40FD5">
        <w:rPr>
          <w:shd w:val="clear" w:color="auto" w:fill="FFFFFF"/>
        </w:rPr>
        <w:t xml:space="preserve"> compliance with the radiation safety requirements. Also, section 92(3) of the Act requires that the principles of equity, efficiency, justifiability, transparency and ease of administration be </w:t>
      </w:r>
      <w:r>
        <w:rPr>
          <w:shd w:val="clear" w:color="auto" w:fill="FFFFFF"/>
        </w:rPr>
        <w:t>considered</w:t>
      </w:r>
      <w:r w:rsidRPr="00A40FD5">
        <w:rPr>
          <w:shd w:val="clear" w:color="auto" w:fill="FFFFFF"/>
        </w:rPr>
        <w:t xml:space="preserve">, as far as </w:t>
      </w:r>
      <w:r>
        <w:rPr>
          <w:shd w:val="clear" w:color="auto" w:fill="FFFFFF"/>
        </w:rPr>
        <w:t>is feasible</w:t>
      </w:r>
      <w:r w:rsidRPr="00A40FD5">
        <w:rPr>
          <w:shd w:val="clear" w:color="auto" w:fill="FFFFFF"/>
        </w:rPr>
        <w:t>, in determining the most appropriate method of cost recovery.</w:t>
      </w:r>
      <w:r>
        <w:rPr>
          <w:shd w:val="clear" w:color="auto" w:fill="FFFFFF"/>
        </w:rPr>
        <w:t xml:space="preserve"> The 2016 RIS for the Regulations identified full cost recovery as the model for setting fees, and t</w:t>
      </w:r>
      <w:r w:rsidRPr="00A40FD5">
        <w:rPr>
          <w:shd w:val="clear" w:color="auto" w:fill="FFFFFF"/>
        </w:rPr>
        <w:t>he current fees were set on a full cost recovery basis.</w:t>
      </w:r>
    </w:p>
    <w:p w14:paraId="749B7429" w14:textId="77777777" w:rsidR="00232F0B" w:rsidRPr="00A40FD5" w:rsidRDefault="00232F0B" w:rsidP="00384DD3">
      <w:pPr>
        <w:rPr>
          <w:shd w:val="clear" w:color="auto" w:fill="FFFFFF"/>
        </w:rPr>
      </w:pPr>
    </w:p>
    <w:p w14:paraId="0AC448BA" w14:textId="77777777" w:rsidR="00232F0B" w:rsidRPr="00A40FD5" w:rsidRDefault="00232F0B" w:rsidP="005B5BE2">
      <w:pPr>
        <w:pStyle w:val="Heading3"/>
      </w:pPr>
      <w:bookmarkStart w:id="97" w:name="_Toc74583479"/>
      <w:bookmarkStart w:id="98" w:name="_Toc75349244"/>
      <w:bookmarkStart w:id="99" w:name="_Toc83118723"/>
      <w:bookmarkStart w:id="100" w:name="_Toc83130202"/>
      <w:bookmarkStart w:id="101" w:name="_Toc83133471"/>
      <w:r w:rsidRPr="00A40FD5">
        <w:t>Preferred option</w:t>
      </w:r>
      <w:bookmarkEnd w:id="97"/>
      <w:bookmarkEnd w:id="98"/>
      <w:r>
        <w:t xml:space="preserve"> (the status quo option)</w:t>
      </w:r>
      <w:bookmarkEnd w:id="99"/>
      <w:bookmarkEnd w:id="100"/>
      <w:bookmarkEnd w:id="101"/>
    </w:p>
    <w:p w14:paraId="2726B68D" w14:textId="77777777" w:rsidR="0087667B" w:rsidRDefault="00232F0B" w:rsidP="00DD68B8">
      <w:r w:rsidRPr="00A40FD5">
        <w:t xml:space="preserve">The preferred option is </w:t>
      </w:r>
      <w:r>
        <w:t xml:space="preserve">the status quo option, </w:t>
      </w:r>
      <w:r w:rsidRPr="00A40FD5">
        <w:t xml:space="preserve">that </w:t>
      </w:r>
      <w:r>
        <w:t xml:space="preserve">is, </w:t>
      </w:r>
      <w:r w:rsidRPr="00A40FD5">
        <w:t xml:space="preserve">a full cost recovery model </w:t>
      </w:r>
      <w:r>
        <w:t>be</w:t>
      </w:r>
      <w:r w:rsidRPr="00A40FD5">
        <w:t xml:space="preserve"> retained.</w:t>
      </w:r>
      <w:r>
        <w:t xml:space="preserve"> </w:t>
      </w:r>
      <w:r w:rsidRPr="00A40FD5">
        <w:t>The Ministry</w:t>
      </w:r>
      <w:r w:rsidR="0087667B">
        <w:t>’</w:t>
      </w:r>
      <w:r w:rsidRPr="00A40FD5">
        <w:t>s view is that the recoverable costs are both actual and reasonable.</w:t>
      </w:r>
    </w:p>
    <w:p w14:paraId="133614CB" w14:textId="77777777" w:rsidR="00232F0B" w:rsidRPr="00A40FD5" w:rsidRDefault="00232F0B" w:rsidP="00DD68B8"/>
    <w:p w14:paraId="1CC873DC" w14:textId="77777777" w:rsidR="00232F0B" w:rsidRPr="00A40FD5" w:rsidRDefault="00232F0B" w:rsidP="005B5BE2">
      <w:pPr>
        <w:pStyle w:val="Heading3"/>
      </w:pPr>
      <w:bookmarkStart w:id="102" w:name="_Toc74583480"/>
      <w:bookmarkStart w:id="103" w:name="_Toc75349245"/>
      <w:bookmarkStart w:id="104" w:name="_Toc83118724"/>
      <w:bookmarkStart w:id="105" w:name="_Toc83130203"/>
      <w:bookmarkStart w:id="106" w:name="_Toc83133472"/>
      <w:r w:rsidRPr="00A40FD5">
        <w:t>Alternative option</w:t>
      </w:r>
      <w:bookmarkEnd w:id="102"/>
      <w:bookmarkEnd w:id="103"/>
      <w:bookmarkEnd w:id="104"/>
      <w:bookmarkEnd w:id="105"/>
      <w:bookmarkEnd w:id="106"/>
    </w:p>
    <w:p w14:paraId="511176AB" w14:textId="77777777" w:rsidR="00232F0B" w:rsidRPr="009A6999" w:rsidRDefault="00232F0B" w:rsidP="00DD68B8">
      <w:r w:rsidRPr="00A40FD5">
        <w:t>In some circumstances</w:t>
      </w:r>
      <w:r>
        <w:t>,</w:t>
      </w:r>
      <w:r w:rsidRPr="00A40FD5">
        <w:t xml:space="preserve"> full cost recovery can lead to a situation where the cost recovery regime undermines the policy objectives. In such circumstances</w:t>
      </w:r>
      <w:r>
        <w:t>,</w:t>
      </w:r>
      <w:r w:rsidRPr="00A40FD5">
        <w:t xml:space="preserve"> it may be appropriate to set charges below full cost recovery in order to achieve the purposes of legislation; for example, where the purpose of legislation is to provide social benefits </w:t>
      </w:r>
      <w:r>
        <w:t xml:space="preserve">(such as the safe use of radiation) </w:t>
      </w:r>
      <w:r w:rsidRPr="00A40FD5">
        <w:t>or access to justice.</w:t>
      </w:r>
      <w:r>
        <w:t xml:space="preserve"> </w:t>
      </w:r>
      <w:r w:rsidRPr="00A40FD5">
        <w:t>The Ministry</w:t>
      </w:r>
      <w:r w:rsidR="0087667B">
        <w:t>’</w:t>
      </w:r>
      <w:r w:rsidRPr="00A40FD5">
        <w:t xml:space="preserve">s view is that there is not sufficient justification in this </w:t>
      </w:r>
      <w:r>
        <w:t>situation</w:t>
      </w:r>
      <w:r w:rsidRPr="00A40FD5">
        <w:t xml:space="preserve"> to set charges below full cost recovery</w:t>
      </w:r>
      <w:r>
        <w:t xml:space="preserve"> (that is, a partial cost recovery model)</w:t>
      </w:r>
      <w:r w:rsidRPr="00A40FD5">
        <w:t xml:space="preserve">. </w:t>
      </w:r>
      <w:r>
        <w:t xml:space="preserve">This view considers both the scale of the proposed new overall fees take and </w:t>
      </w:r>
      <w:r w:rsidRPr="002051AB">
        <w:t xml:space="preserve">the implications </w:t>
      </w:r>
      <w:r>
        <w:t>of</w:t>
      </w:r>
      <w:r w:rsidRPr="002051AB">
        <w:t xml:space="preserve"> assigning the fees to individual authorisation types (in accordance</w:t>
      </w:r>
      <w:r>
        <w:t xml:space="preserve"> with</w:t>
      </w:r>
      <w:r w:rsidRPr="002051AB">
        <w:t xml:space="preserve"> the associated costs) as proposed in the consultation document</w:t>
      </w:r>
      <w:r>
        <w:t>.</w:t>
      </w:r>
    </w:p>
    <w:p w14:paraId="26025D5B" w14:textId="77777777" w:rsidR="00232F0B" w:rsidRPr="009A6999" w:rsidRDefault="00232F0B" w:rsidP="00DD68B8"/>
    <w:p w14:paraId="43C440BA" w14:textId="77777777" w:rsidR="0087667B" w:rsidRDefault="00232F0B" w:rsidP="00DD68B8">
      <w:r>
        <w:t>A</w:t>
      </w:r>
      <w:r w:rsidRPr="002051AB">
        <w:t xml:space="preserve"> partial fees recovery model would need to </w:t>
      </w:r>
      <w:r>
        <w:t>consider</w:t>
      </w:r>
      <w:r w:rsidRPr="002051AB">
        <w:t xml:space="preserve"> the principles of </w:t>
      </w:r>
      <w:r w:rsidRPr="0087667B">
        <w:t xml:space="preserve">equity, efficiency, justifiability, transparency and ease of administration in the way that these matters are set out in section 92(3) of the Act. In addition, </w:t>
      </w:r>
      <w:r w:rsidRPr="002051AB">
        <w:t xml:space="preserve">any arguments for partial fees model under the Regulations would also need to </w:t>
      </w:r>
      <w:r>
        <w:t>consider the needs to</w:t>
      </w:r>
      <w:r w:rsidRPr="002051AB">
        <w:t xml:space="preserve"> protect the health and safety of people</w:t>
      </w:r>
      <w:r>
        <w:t xml:space="preserve"> and</w:t>
      </w:r>
      <w:r w:rsidRPr="002051AB">
        <w:t xml:space="preserve"> the environment </w:t>
      </w:r>
      <w:r>
        <w:t>and</w:t>
      </w:r>
      <w:r w:rsidRPr="002051AB">
        <w:t xml:space="preserve"> </w:t>
      </w:r>
      <w:r>
        <w:t>New Zealand</w:t>
      </w:r>
      <w:r w:rsidR="0087667B">
        <w:t>’</w:t>
      </w:r>
      <w:r>
        <w:t>s</w:t>
      </w:r>
      <w:r w:rsidRPr="002051AB">
        <w:t xml:space="preserve"> international obligation</w:t>
      </w:r>
      <w:r>
        <w:t>s</w:t>
      </w:r>
      <w:r w:rsidRPr="002051AB">
        <w:t xml:space="preserve"> </w:t>
      </w:r>
      <w:r>
        <w:t>around</w:t>
      </w:r>
      <w:r w:rsidRPr="002051AB">
        <w:t xml:space="preserve"> radiation protection, safety, security </w:t>
      </w:r>
      <w:r>
        <w:t>and</w:t>
      </w:r>
      <w:r w:rsidRPr="002051AB">
        <w:t xml:space="preserve"> nuclear non-proliferation in the way that these matters are set out in section 3 (Purposes) of the Act.</w:t>
      </w:r>
    </w:p>
    <w:p w14:paraId="5AF40326" w14:textId="77777777" w:rsidR="00232F0B" w:rsidRPr="002051AB" w:rsidRDefault="00232F0B" w:rsidP="00DD68B8"/>
    <w:p w14:paraId="5E29B201" w14:textId="77777777" w:rsidR="0087667B" w:rsidRDefault="00232F0B" w:rsidP="00DD68B8">
      <w:r>
        <w:t>An</w:t>
      </w:r>
      <w:r w:rsidRPr="002051AB">
        <w:t xml:space="preserve"> argument for a partial cost recovery model is within scope of this consultation and</w:t>
      </w:r>
      <w:r>
        <w:t>,</w:t>
      </w:r>
      <w:r w:rsidRPr="002051AB">
        <w:t xml:space="preserve"> therefore, </w:t>
      </w:r>
      <w:r>
        <w:t xml:space="preserve">we will consider </w:t>
      </w:r>
      <w:r w:rsidRPr="002051AB">
        <w:t xml:space="preserve">any submissions received on this matter </w:t>
      </w:r>
      <w:r>
        <w:t>(including submissions on a zero-cost recovery model)</w:t>
      </w:r>
      <w:r w:rsidRPr="002051AB">
        <w:t>.</w:t>
      </w:r>
    </w:p>
    <w:p w14:paraId="009EAB1B" w14:textId="77777777" w:rsidR="00232F0B" w:rsidRPr="00A40FD5" w:rsidRDefault="00232F0B" w:rsidP="00DD68B8"/>
    <w:p w14:paraId="6216DD02" w14:textId="77777777" w:rsidR="00232F0B" w:rsidRPr="00A40FD5" w:rsidRDefault="00232F0B" w:rsidP="005B5BE2">
      <w:pPr>
        <w:pStyle w:val="BoxHeading"/>
      </w:pPr>
      <w:r w:rsidRPr="00A40FD5">
        <w:t>Consultation questions</w:t>
      </w:r>
    </w:p>
    <w:p w14:paraId="22298A65" w14:textId="77777777" w:rsidR="00232F0B" w:rsidRPr="00A40FD5" w:rsidRDefault="00232F0B" w:rsidP="00DD68B8">
      <w:pPr>
        <w:pStyle w:val="BoxNumber"/>
      </w:pPr>
      <w:r w:rsidRPr="00A40FD5">
        <w:t>Do you think it is reasonable to recover the full costs stated in fees?</w:t>
      </w:r>
    </w:p>
    <w:p w14:paraId="2EAEFC84" w14:textId="77777777" w:rsidR="00232F0B" w:rsidRPr="00A40FD5" w:rsidRDefault="00232F0B" w:rsidP="00DD68B8">
      <w:pPr>
        <w:pStyle w:val="BoxNumber"/>
      </w:pPr>
      <w:r w:rsidRPr="00A40FD5">
        <w:t xml:space="preserve">If you think it is unreasonable to recover the full costs stated in fees, please </w:t>
      </w:r>
      <w:r>
        <w:t xml:space="preserve">provide your reasons. Please also </w:t>
      </w:r>
      <w:r w:rsidRPr="00A40FD5">
        <w:t xml:space="preserve">identify </w:t>
      </w:r>
      <w:r>
        <w:t xml:space="preserve">what costs should </w:t>
      </w:r>
      <w:r w:rsidRPr="007C09BA">
        <w:rPr>
          <w:b/>
          <w:bCs/>
        </w:rPr>
        <w:t>not</w:t>
      </w:r>
      <w:r>
        <w:t xml:space="preserve"> be recovered and </w:t>
      </w:r>
      <w:r w:rsidRPr="00A40FD5">
        <w:t xml:space="preserve">who should meet the </w:t>
      </w:r>
      <w:r>
        <w:t>unrecovered</w:t>
      </w:r>
      <w:r w:rsidRPr="00A40FD5">
        <w:t xml:space="preserve"> costs</w:t>
      </w:r>
      <w:r>
        <w:t>.</w:t>
      </w:r>
    </w:p>
    <w:p w14:paraId="0A1A13CC" w14:textId="77777777" w:rsidR="00232F0B" w:rsidRPr="00A40FD5" w:rsidRDefault="00232F0B" w:rsidP="00DD68B8">
      <w:pPr>
        <w:pStyle w:val="BoxNumber"/>
      </w:pPr>
      <w:r w:rsidRPr="00A40FD5">
        <w:t>Do you have any further comments, suggestions or options?</w:t>
      </w:r>
    </w:p>
    <w:p w14:paraId="2576234C" w14:textId="77777777" w:rsidR="00232F0B" w:rsidRDefault="00232F0B" w:rsidP="00DD68B8">
      <w:pPr>
        <w:pStyle w:val="Box"/>
      </w:pPr>
      <w:r w:rsidRPr="00A40FD5">
        <w:t>Please use the submission form to respond to these questions</w:t>
      </w:r>
      <w:r w:rsidR="00DD68B8">
        <w:t>.</w:t>
      </w:r>
    </w:p>
    <w:p w14:paraId="4034D833" w14:textId="77777777" w:rsidR="00DD68B8" w:rsidRPr="00A40FD5" w:rsidRDefault="00DD68B8" w:rsidP="00DD68B8"/>
    <w:p w14:paraId="46570234" w14:textId="77777777" w:rsidR="0087667B" w:rsidRDefault="00232F0B" w:rsidP="005B5BE2">
      <w:pPr>
        <w:pStyle w:val="Heading2"/>
      </w:pPr>
      <w:bookmarkStart w:id="107" w:name="_Toc83133473"/>
      <w:bookmarkStart w:id="108" w:name="_Toc89696191"/>
      <w:r w:rsidRPr="00A40FD5">
        <w:t>Distribution of fees</w:t>
      </w:r>
      <w:bookmarkEnd w:id="107"/>
      <w:bookmarkEnd w:id="108"/>
    </w:p>
    <w:p w14:paraId="12FC7164" w14:textId="77777777" w:rsidR="00232F0B" w:rsidRPr="00A40FD5" w:rsidRDefault="00232F0B" w:rsidP="005B5BE2">
      <w:pPr>
        <w:pStyle w:val="Heading3"/>
      </w:pPr>
      <w:bookmarkStart w:id="109" w:name="_Toc74583482"/>
      <w:bookmarkStart w:id="110" w:name="_Toc75349247"/>
      <w:bookmarkStart w:id="111" w:name="_Toc83118726"/>
      <w:bookmarkStart w:id="112" w:name="_Toc83130205"/>
      <w:bookmarkStart w:id="113" w:name="_Toc83133474"/>
      <w:r w:rsidRPr="00A40FD5">
        <w:t>Background</w:t>
      </w:r>
      <w:bookmarkEnd w:id="109"/>
      <w:bookmarkEnd w:id="110"/>
      <w:bookmarkEnd w:id="111"/>
      <w:bookmarkEnd w:id="112"/>
      <w:bookmarkEnd w:id="113"/>
    </w:p>
    <w:p w14:paraId="7996BD66" w14:textId="597FE770" w:rsidR="0087667B" w:rsidRDefault="00232F0B" w:rsidP="00DD68B8">
      <w:r w:rsidRPr="00A40FD5">
        <w:t>Assuming full-cost recovery, fees should be set to take $2,690,445 annually.</w:t>
      </w:r>
      <w:r>
        <w:t xml:space="preserve"> </w:t>
      </w:r>
      <w:r w:rsidR="00DD68B8">
        <w:fldChar w:fldCharType="begin"/>
      </w:r>
      <w:r w:rsidR="00DD68B8">
        <w:instrText xml:space="preserve"> REF _Ref87368651 \h </w:instrText>
      </w:r>
      <w:r w:rsidR="00DD68B8">
        <w:fldChar w:fldCharType="separate"/>
      </w:r>
      <w:r w:rsidR="003A5600">
        <w:t>Table </w:t>
      </w:r>
      <w:r w:rsidR="003A5600">
        <w:rPr>
          <w:noProof/>
        </w:rPr>
        <w:t>7</w:t>
      </w:r>
      <w:r w:rsidR="00DD68B8">
        <w:fldChar w:fldCharType="end"/>
      </w:r>
      <w:r w:rsidRPr="00A40FD5">
        <w:t xml:space="preserve"> sets out the proposed </w:t>
      </w:r>
      <w:r>
        <w:t xml:space="preserve">annual </w:t>
      </w:r>
      <w:r w:rsidRPr="00A40FD5">
        <w:t>distribution fees based on where costs are generated.</w:t>
      </w:r>
    </w:p>
    <w:p w14:paraId="26ECFB7A" w14:textId="77777777" w:rsidR="00232F0B" w:rsidRPr="00A40FD5" w:rsidRDefault="00232F0B" w:rsidP="00DD68B8"/>
    <w:p w14:paraId="6C782FE4" w14:textId="4109BCC9" w:rsidR="00232F0B" w:rsidRPr="00A40FD5" w:rsidRDefault="005B5BE2" w:rsidP="00DD68B8">
      <w:pPr>
        <w:pStyle w:val="Table"/>
      </w:pPr>
      <w:bookmarkStart w:id="114" w:name="_Ref87368651"/>
      <w:bookmarkStart w:id="115" w:name="_Toc84916121"/>
      <w:bookmarkStart w:id="116" w:name="_Toc84916184"/>
      <w:bookmarkStart w:id="117" w:name="_Toc88644155"/>
      <w:r>
        <w:t>Table </w:t>
      </w:r>
      <w:r w:rsidR="00384F9F">
        <w:fldChar w:fldCharType="begin"/>
      </w:r>
      <w:r w:rsidR="00384F9F">
        <w:instrText xml:space="preserve"> SEQ Table \* ARABIC </w:instrText>
      </w:r>
      <w:r w:rsidR="00384F9F">
        <w:fldChar w:fldCharType="separate"/>
      </w:r>
      <w:r w:rsidR="003A5600">
        <w:rPr>
          <w:noProof/>
        </w:rPr>
        <w:t>7</w:t>
      </w:r>
      <w:r w:rsidR="00384F9F">
        <w:rPr>
          <w:noProof/>
        </w:rPr>
        <w:fldChar w:fldCharType="end"/>
      </w:r>
      <w:bookmarkEnd w:id="114"/>
      <w:r w:rsidR="00232F0B" w:rsidRPr="00A40FD5">
        <w:t>:</w:t>
      </w:r>
      <w:r>
        <w:t xml:space="preserve"> </w:t>
      </w:r>
      <w:r w:rsidR="00232F0B" w:rsidRPr="00A40FD5">
        <w:t xml:space="preserve">Proposed </w:t>
      </w:r>
      <w:r w:rsidR="00232F0B">
        <w:t xml:space="preserve">annual </w:t>
      </w:r>
      <w:r w:rsidR="00232F0B" w:rsidRPr="00A40FD5">
        <w:t>distribution of fees</w:t>
      </w:r>
      <w:bookmarkEnd w:id="115"/>
      <w:bookmarkEnd w:id="116"/>
      <w:bookmarkEnd w:id="117"/>
    </w:p>
    <w:tbl>
      <w:tblPr>
        <w:tblW w:w="8222" w:type="dxa"/>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1276"/>
        <w:gridCol w:w="851"/>
        <w:gridCol w:w="1134"/>
        <w:gridCol w:w="992"/>
        <w:gridCol w:w="992"/>
        <w:gridCol w:w="1276"/>
        <w:gridCol w:w="992"/>
        <w:gridCol w:w="709"/>
      </w:tblGrid>
      <w:tr w:rsidR="00232F0B" w:rsidRPr="003B7E58" w14:paraId="07468A5A" w14:textId="77777777" w:rsidTr="002B2970">
        <w:trPr>
          <w:cantSplit/>
        </w:trPr>
        <w:tc>
          <w:tcPr>
            <w:tcW w:w="1276" w:type="dxa"/>
            <w:tcBorders>
              <w:top w:val="nil"/>
              <w:bottom w:val="nil"/>
            </w:tcBorders>
            <w:shd w:val="clear" w:color="auto" w:fill="D9D9D9" w:themeFill="background1" w:themeFillShade="D9"/>
            <w:noWrap/>
            <w:hideMark/>
          </w:tcPr>
          <w:p w14:paraId="59D21CFC" w14:textId="77777777" w:rsidR="00232F0B" w:rsidRPr="002B2970" w:rsidRDefault="00232F0B" w:rsidP="003B7E58">
            <w:pPr>
              <w:pStyle w:val="TableText"/>
              <w:rPr>
                <w:b/>
                <w:color w:val="000000"/>
                <w:sz w:val="16"/>
                <w:szCs w:val="16"/>
                <w:lang w:eastAsia="en-NZ"/>
              </w:rPr>
            </w:pPr>
            <w:r w:rsidRPr="002B2970">
              <w:rPr>
                <w:b/>
                <w:sz w:val="16"/>
                <w:szCs w:val="16"/>
                <w:lang w:eastAsia="en-NZ"/>
              </w:rPr>
              <w:t>Authorisation type</w:t>
            </w:r>
          </w:p>
        </w:tc>
        <w:tc>
          <w:tcPr>
            <w:tcW w:w="851" w:type="dxa"/>
            <w:tcBorders>
              <w:top w:val="nil"/>
              <w:bottom w:val="nil"/>
            </w:tcBorders>
            <w:shd w:val="clear" w:color="auto" w:fill="D9D9D9" w:themeFill="background1" w:themeFillShade="D9"/>
            <w:noWrap/>
            <w:hideMark/>
          </w:tcPr>
          <w:p w14:paraId="6CAEE3C2" w14:textId="77777777" w:rsidR="00232F0B" w:rsidRPr="002B2970" w:rsidRDefault="00232F0B" w:rsidP="003B7E58">
            <w:pPr>
              <w:pStyle w:val="TableText"/>
              <w:jc w:val="center"/>
              <w:rPr>
                <w:b/>
                <w:color w:val="000000"/>
                <w:sz w:val="16"/>
                <w:szCs w:val="16"/>
                <w:lang w:eastAsia="en-NZ"/>
              </w:rPr>
            </w:pPr>
            <w:r w:rsidRPr="002B2970">
              <w:rPr>
                <w:b/>
                <w:sz w:val="16"/>
                <w:szCs w:val="16"/>
                <w:lang w:eastAsia="en-NZ"/>
              </w:rPr>
              <w:t>Projected numbers</w:t>
            </w:r>
          </w:p>
        </w:tc>
        <w:tc>
          <w:tcPr>
            <w:tcW w:w="1134" w:type="dxa"/>
            <w:tcBorders>
              <w:top w:val="nil"/>
              <w:bottom w:val="nil"/>
            </w:tcBorders>
            <w:shd w:val="clear" w:color="auto" w:fill="D9D9D9" w:themeFill="background1" w:themeFillShade="D9"/>
            <w:noWrap/>
            <w:hideMark/>
          </w:tcPr>
          <w:p w14:paraId="0C647F1E" w14:textId="77777777" w:rsidR="00232F0B" w:rsidRPr="002B2970" w:rsidRDefault="00232F0B" w:rsidP="003B7E58">
            <w:pPr>
              <w:pStyle w:val="TableText"/>
              <w:jc w:val="center"/>
              <w:rPr>
                <w:b/>
                <w:color w:val="000000"/>
                <w:sz w:val="16"/>
                <w:szCs w:val="16"/>
                <w:lang w:eastAsia="en-NZ"/>
              </w:rPr>
            </w:pPr>
            <w:r w:rsidRPr="002B2970">
              <w:rPr>
                <w:b/>
                <w:sz w:val="16"/>
                <w:szCs w:val="16"/>
                <w:lang w:eastAsia="en-NZ"/>
              </w:rPr>
              <w:t>Application assessment</w:t>
            </w:r>
          </w:p>
        </w:tc>
        <w:tc>
          <w:tcPr>
            <w:tcW w:w="992" w:type="dxa"/>
            <w:tcBorders>
              <w:top w:val="nil"/>
              <w:bottom w:val="nil"/>
            </w:tcBorders>
            <w:shd w:val="clear" w:color="auto" w:fill="D9D9D9" w:themeFill="background1" w:themeFillShade="D9"/>
            <w:noWrap/>
            <w:hideMark/>
          </w:tcPr>
          <w:p w14:paraId="066D5C45" w14:textId="77777777" w:rsidR="00232F0B" w:rsidRPr="002B2970" w:rsidRDefault="00232F0B" w:rsidP="003B7E58">
            <w:pPr>
              <w:pStyle w:val="TableText"/>
              <w:jc w:val="center"/>
              <w:rPr>
                <w:b/>
                <w:color w:val="000000"/>
                <w:sz w:val="16"/>
                <w:szCs w:val="16"/>
                <w:lang w:eastAsia="en-NZ"/>
              </w:rPr>
            </w:pPr>
            <w:r w:rsidRPr="002B2970">
              <w:rPr>
                <w:b/>
                <w:spacing w:val="-2"/>
                <w:sz w:val="16"/>
                <w:szCs w:val="16"/>
                <w:lang w:eastAsia="en-NZ"/>
              </w:rPr>
              <w:t xml:space="preserve">Compliance </w:t>
            </w:r>
            <w:r w:rsidRPr="002B2970">
              <w:rPr>
                <w:b/>
                <w:sz w:val="16"/>
                <w:szCs w:val="16"/>
                <w:lang w:eastAsia="en-NZ"/>
              </w:rPr>
              <w:t>monitoring</w:t>
            </w:r>
          </w:p>
        </w:tc>
        <w:tc>
          <w:tcPr>
            <w:tcW w:w="992" w:type="dxa"/>
            <w:tcBorders>
              <w:top w:val="nil"/>
              <w:bottom w:val="nil"/>
            </w:tcBorders>
            <w:shd w:val="clear" w:color="auto" w:fill="D9D9D9" w:themeFill="background1" w:themeFillShade="D9"/>
            <w:noWrap/>
            <w:hideMark/>
          </w:tcPr>
          <w:p w14:paraId="2C7989A6" w14:textId="77777777" w:rsidR="00232F0B" w:rsidRPr="002B2970" w:rsidRDefault="00232F0B" w:rsidP="003B7E58">
            <w:pPr>
              <w:pStyle w:val="TableText"/>
              <w:jc w:val="center"/>
              <w:rPr>
                <w:b/>
                <w:color w:val="000000"/>
                <w:sz w:val="16"/>
                <w:szCs w:val="16"/>
                <w:lang w:eastAsia="en-NZ"/>
              </w:rPr>
            </w:pPr>
            <w:r w:rsidRPr="002B2970">
              <w:rPr>
                <w:b/>
                <w:sz w:val="16"/>
                <w:szCs w:val="16"/>
                <w:lang w:eastAsia="en-NZ"/>
              </w:rPr>
              <w:t>Technical evaluation</w:t>
            </w:r>
          </w:p>
        </w:tc>
        <w:tc>
          <w:tcPr>
            <w:tcW w:w="1276" w:type="dxa"/>
            <w:tcBorders>
              <w:top w:val="nil"/>
              <w:bottom w:val="nil"/>
            </w:tcBorders>
            <w:shd w:val="clear" w:color="auto" w:fill="D9D9D9" w:themeFill="background1" w:themeFillShade="D9"/>
            <w:noWrap/>
            <w:hideMark/>
          </w:tcPr>
          <w:p w14:paraId="4DA28330" w14:textId="77777777" w:rsidR="00232F0B" w:rsidRPr="002B2970" w:rsidRDefault="003B7E58" w:rsidP="003B7E58">
            <w:pPr>
              <w:pStyle w:val="TableText"/>
              <w:jc w:val="center"/>
              <w:rPr>
                <w:b/>
                <w:color w:val="000000"/>
                <w:sz w:val="16"/>
                <w:szCs w:val="16"/>
                <w:lang w:eastAsia="en-NZ"/>
              </w:rPr>
            </w:pPr>
            <w:r w:rsidRPr="002B2970">
              <w:rPr>
                <w:b/>
                <w:sz w:val="16"/>
                <w:szCs w:val="16"/>
                <w:lang w:eastAsia="en-NZ"/>
              </w:rPr>
              <w:t>Memorandum account</w:t>
            </w:r>
          </w:p>
        </w:tc>
        <w:tc>
          <w:tcPr>
            <w:tcW w:w="992" w:type="dxa"/>
            <w:tcBorders>
              <w:top w:val="nil"/>
              <w:bottom w:val="nil"/>
            </w:tcBorders>
            <w:shd w:val="clear" w:color="auto" w:fill="D9D9D9" w:themeFill="background1" w:themeFillShade="D9"/>
            <w:noWrap/>
            <w:hideMark/>
          </w:tcPr>
          <w:p w14:paraId="6E8FB921" w14:textId="77777777" w:rsidR="00232F0B" w:rsidRPr="002B2970" w:rsidRDefault="00232F0B" w:rsidP="003B7E58">
            <w:pPr>
              <w:pStyle w:val="TableText"/>
              <w:jc w:val="center"/>
              <w:rPr>
                <w:b/>
                <w:color w:val="000000"/>
                <w:sz w:val="16"/>
                <w:szCs w:val="16"/>
                <w:lang w:eastAsia="en-NZ"/>
              </w:rPr>
            </w:pPr>
            <w:r w:rsidRPr="002B2970">
              <w:rPr>
                <w:b/>
                <w:sz w:val="16"/>
                <w:szCs w:val="16"/>
                <w:lang w:eastAsia="en-NZ"/>
              </w:rPr>
              <w:t>Total</w:t>
            </w:r>
          </w:p>
        </w:tc>
        <w:tc>
          <w:tcPr>
            <w:tcW w:w="709" w:type="dxa"/>
            <w:tcBorders>
              <w:top w:val="nil"/>
              <w:bottom w:val="nil"/>
            </w:tcBorders>
            <w:shd w:val="clear" w:color="auto" w:fill="D9D9D9" w:themeFill="background1" w:themeFillShade="D9"/>
            <w:noWrap/>
            <w:hideMark/>
          </w:tcPr>
          <w:p w14:paraId="1ABE0806" w14:textId="77777777" w:rsidR="00232F0B" w:rsidRPr="002B2970" w:rsidRDefault="00232F0B" w:rsidP="003B7E58">
            <w:pPr>
              <w:pStyle w:val="TableText"/>
              <w:jc w:val="center"/>
              <w:rPr>
                <w:b/>
                <w:color w:val="000000"/>
                <w:sz w:val="16"/>
                <w:szCs w:val="16"/>
                <w:lang w:eastAsia="en-NZ"/>
              </w:rPr>
            </w:pPr>
            <w:r w:rsidRPr="002B2970">
              <w:rPr>
                <w:b/>
                <w:sz w:val="16"/>
                <w:szCs w:val="16"/>
                <w:lang w:eastAsia="en-NZ"/>
              </w:rPr>
              <w:t>Percent</w:t>
            </w:r>
          </w:p>
        </w:tc>
      </w:tr>
      <w:tr w:rsidR="00232F0B" w:rsidRPr="00A40FD5" w14:paraId="7E9E74BE" w14:textId="77777777" w:rsidTr="002B2970">
        <w:trPr>
          <w:cantSplit/>
        </w:trPr>
        <w:tc>
          <w:tcPr>
            <w:tcW w:w="1276" w:type="dxa"/>
            <w:tcBorders>
              <w:top w:val="nil"/>
            </w:tcBorders>
            <w:shd w:val="clear" w:color="auto" w:fill="auto"/>
            <w:noWrap/>
            <w:hideMark/>
          </w:tcPr>
          <w:p w14:paraId="38364CB4" w14:textId="77777777" w:rsidR="00232F0B" w:rsidRPr="002B2970" w:rsidRDefault="00232F0B" w:rsidP="003B7E58">
            <w:pPr>
              <w:pStyle w:val="TableText"/>
              <w:rPr>
                <w:color w:val="000000"/>
                <w:sz w:val="16"/>
                <w:szCs w:val="16"/>
                <w:lang w:eastAsia="en-NZ"/>
              </w:rPr>
            </w:pPr>
            <w:r w:rsidRPr="002B2970">
              <w:rPr>
                <w:color w:val="000000" w:themeColor="text1"/>
                <w:sz w:val="16"/>
                <w:szCs w:val="16"/>
                <w:lang w:eastAsia="en-NZ"/>
              </w:rPr>
              <w:t>Source licence (new and variations)</w:t>
            </w:r>
          </w:p>
        </w:tc>
        <w:tc>
          <w:tcPr>
            <w:tcW w:w="851" w:type="dxa"/>
            <w:tcBorders>
              <w:top w:val="nil"/>
            </w:tcBorders>
            <w:shd w:val="clear" w:color="auto" w:fill="auto"/>
            <w:noWrap/>
            <w:hideMark/>
          </w:tcPr>
          <w:p w14:paraId="16295D1A" w14:textId="77777777" w:rsidR="00232F0B" w:rsidRPr="002B2970" w:rsidRDefault="00232F0B" w:rsidP="002B2970">
            <w:pPr>
              <w:pStyle w:val="TableText"/>
              <w:tabs>
                <w:tab w:val="decimal" w:pos="567"/>
              </w:tabs>
              <w:rPr>
                <w:color w:val="000000"/>
                <w:sz w:val="16"/>
                <w:szCs w:val="16"/>
                <w:lang w:eastAsia="en-NZ"/>
              </w:rPr>
            </w:pPr>
            <w:r w:rsidRPr="002B2970">
              <w:rPr>
                <w:sz w:val="16"/>
                <w:szCs w:val="16"/>
                <w:lang w:eastAsia="en-NZ"/>
              </w:rPr>
              <w:t>117</w:t>
            </w:r>
          </w:p>
        </w:tc>
        <w:tc>
          <w:tcPr>
            <w:tcW w:w="1134" w:type="dxa"/>
            <w:tcBorders>
              <w:top w:val="nil"/>
            </w:tcBorders>
            <w:shd w:val="clear" w:color="auto" w:fill="auto"/>
            <w:noWrap/>
            <w:hideMark/>
          </w:tcPr>
          <w:p w14:paraId="4BE55B67" w14:textId="77777777" w:rsidR="00232F0B" w:rsidRPr="002B2970" w:rsidRDefault="00232F0B" w:rsidP="002B2970">
            <w:pPr>
              <w:pStyle w:val="TableText"/>
              <w:tabs>
                <w:tab w:val="decimal" w:pos="935"/>
              </w:tabs>
              <w:rPr>
                <w:color w:val="000000"/>
                <w:sz w:val="16"/>
                <w:szCs w:val="16"/>
                <w:lang w:eastAsia="en-NZ"/>
              </w:rPr>
            </w:pPr>
            <w:r w:rsidRPr="002B2970">
              <w:rPr>
                <w:sz w:val="16"/>
                <w:szCs w:val="16"/>
                <w:lang w:eastAsia="en-NZ"/>
              </w:rPr>
              <w:t>$53,070</w:t>
            </w:r>
          </w:p>
        </w:tc>
        <w:tc>
          <w:tcPr>
            <w:tcW w:w="992" w:type="dxa"/>
            <w:tcBorders>
              <w:top w:val="nil"/>
            </w:tcBorders>
            <w:shd w:val="clear" w:color="auto" w:fill="auto"/>
            <w:noWrap/>
            <w:hideMark/>
          </w:tcPr>
          <w:p w14:paraId="38F057A9" w14:textId="77777777" w:rsidR="00232F0B" w:rsidRPr="002B2970" w:rsidRDefault="00232F0B" w:rsidP="002B2970">
            <w:pPr>
              <w:pStyle w:val="TableText"/>
              <w:tabs>
                <w:tab w:val="decimal" w:pos="822"/>
              </w:tabs>
              <w:rPr>
                <w:color w:val="000000"/>
                <w:sz w:val="16"/>
                <w:szCs w:val="16"/>
                <w:lang w:eastAsia="en-NZ"/>
              </w:rPr>
            </w:pPr>
            <w:r w:rsidRPr="002B2970">
              <w:rPr>
                <w:sz w:val="16"/>
                <w:szCs w:val="16"/>
                <w:lang w:eastAsia="en-NZ"/>
              </w:rPr>
              <w:t>$67,902</w:t>
            </w:r>
          </w:p>
        </w:tc>
        <w:tc>
          <w:tcPr>
            <w:tcW w:w="992" w:type="dxa"/>
            <w:tcBorders>
              <w:top w:val="nil"/>
            </w:tcBorders>
            <w:shd w:val="clear" w:color="auto" w:fill="auto"/>
            <w:noWrap/>
            <w:hideMark/>
          </w:tcPr>
          <w:p w14:paraId="775FAEAE" w14:textId="77777777" w:rsidR="00232F0B" w:rsidRPr="002B2970" w:rsidRDefault="00232F0B" w:rsidP="002B2970">
            <w:pPr>
              <w:pStyle w:val="TableText"/>
              <w:tabs>
                <w:tab w:val="decimal" w:pos="709"/>
              </w:tabs>
              <w:rPr>
                <w:color w:val="000000"/>
                <w:sz w:val="16"/>
                <w:szCs w:val="16"/>
                <w:lang w:eastAsia="en-NZ"/>
              </w:rPr>
            </w:pPr>
            <w:r w:rsidRPr="002B2970">
              <w:rPr>
                <w:sz w:val="16"/>
                <w:szCs w:val="16"/>
                <w:lang w:eastAsia="en-NZ"/>
              </w:rPr>
              <w:t>$10,382</w:t>
            </w:r>
          </w:p>
        </w:tc>
        <w:tc>
          <w:tcPr>
            <w:tcW w:w="1276" w:type="dxa"/>
            <w:tcBorders>
              <w:top w:val="nil"/>
            </w:tcBorders>
            <w:shd w:val="clear" w:color="auto" w:fill="auto"/>
            <w:noWrap/>
            <w:hideMark/>
          </w:tcPr>
          <w:p w14:paraId="2CBD4392" w14:textId="77777777" w:rsidR="00232F0B" w:rsidRPr="002B2970" w:rsidRDefault="00232F0B" w:rsidP="002B2970">
            <w:pPr>
              <w:pStyle w:val="TableText"/>
              <w:tabs>
                <w:tab w:val="decimal" w:pos="851"/>
              </w:tabs>
              <w:rPr>
                <w:color w:val="000000"/>
                <w:sz w:val="16"/>
                <w:szCs w:val="16"/>
                <w:lang w:eastAsia="en-NZ"/>
              </w:rPr>
            </w:pPr>
            <w:r w:rsidRPr="002B2970">
              <w:rPr>
                <w:sz w:val="16"/>
                <w:szCs w:val="16"/>
                <w:lang w:eastAsia="en-NZ"/>
              </w:rPr>
              <w:t>$12,242</w:t>
            </w:r>
          </w:p>
        </w:tc>
        <w:tc>
          <w:tcPr>
            <w:tcW w:w="992" w:type="dxa"/>
            <w:tcBorders>
              <w:top w:val="nil"/>
            </w:tcBorders>
            <w:shd w:val="clear" w:color="auto" w:fill="auto"/>
            <w:noWrap/>
            <w:hideMark/>
          </w:tcPr>
          <w:p w14:paraId="73D60357" w14:textId="77777777" w:rsidR="00232F0B" w:rsidRPr="002B2970" w:rsidRDefault="00232F0B" w:rsidP="002B2970">
            <w:pPr>
              <w:pStyle w:val="TableText"/>
              <w:tabs>
                <w:tab w:val="decimal" w:pos="793"/>
              </w:tabs>
              <w:rPr>
                <w:color w:val="000000"/>
                <w:sz w:val="16"/>
                <w:szCs w:val="16"/>
                <w:lang w:eastAsia="en-NZ"/>
              </w:rPr>
            </w:pPr>
            <w:r w:rsidRPr="002B2970">
              <w:rPr>
                <w:sz w:val="16"/>
                <w:szCs w:val="16"/>
                <w:lang w:eastAsia="en-NZ"/>
              </w:rPr>
              <w:t>$143,596</w:t>
            </w:r>
          </w:p>
        </w:tc>
        <w:tc>
          <w:tcPr>
            <w:tcW w:w="709" w:type="dxa"/>
            <w:tcBorders>
              <w:top w:val="nil"/>
            </w:tcBorders>
            <w:shd w:val="clear" w:color="auto" w:fill="auto"/>
            <w:noWrap/>
            <w:hideMark/>
          </w:tcPr>
          <w:p w14:paraId="744B0F7F" w14:textId="77777777" w:rsidR="00232F0B" w:rsidRPr="002B2970" w:rsidRDefault="00232F0B" w:rsidP="002B2970">
            <w:pPr>
              <w:pStyle w:val="TableText"/>
              <w:tabs>
                <w:tab w:val="decimal" w:pos="271"/>
              </w:tabs>
              <w:rPr>
                <w:color w:val="000000"/>
                <w:sz w:val="16"/>
                <w:szCs w:val="16"/>
                <w:lang w:eastAsia="en-NZ"/>
              </w:rPr>
            </w:pPr>
            <w:r w:rsidRPr="002B2970">
              <w:rPr>
                <w:sz w:val="16"/>
                <w:szCs w:val="16"/>
                <w:lang w:eastAsia="en-NZ"/>
              </w:rPr>
              <w:t>5.34%</w:t>
            </w:r>
          </w:p>
        </w:tc>
      </w:tr>
      <w:tr w:rsidR="00232F0B" w:rsidRPr="00A40FD5" w14:paraId="57977F0A" w14:textId="77777777" w:rsidTr="002B2970">
        <w:trPr>
          <w:cantSplit/>
        </w:trPr>
        <w:tc>
          <w:tcPr>
            <w:tcW w:w="1276" w:type="dxa"/>
            <w:shd w:val="clear" w:color="auto" w:fill="auto"/>
            <w:noWrap/>
            <w:hideMark/>
          </w:tcPr>
          <w:p w14:paraId="1FF195BC" w14:textId="77777777" w:rsidR="00232F0B" w:rsidRPr="002B2970" w:rsidRDefault="00232F0B" w:rsidP="003B7E58">
            <w:pPr>
              <w:pStyle w:val="TableText"/>
              <w:rPr>
                <w:color w:val="000000"/>
                <w:sz w:val="16"/>
                <w:szCs w:val="16"/>
                <w:lang w:eastAsia="en-NZ"/>
              </w:rPr>
            </w:pPr>
            <w:r w:rsidRPr="002B2970">
              <w:rPr>
                <w:color w:val="000000" w:themeColor="text1"/>
                <w:sz w:val="16"/>
                <w:szCs w:val="16"/>
                <w:lang w:eastAsia="en-NZ"/>
              </w:rPr>
              <w:t>Source licence (renewals no variation)</w:t>
            </w:r>
          </w:p>
        </w:tc>
        <w:tc>
          <w:tcPr>
            <w:tcW w:w="851" w:type="dxa"/>
            <w:shd w:val="clear" w:color="auto" w:fill="auto"/>
            <w:noWrap/>
            <w:hideMark/>
          </w:tcPr>
          <w:p w14:paraId="120A18C1" w14:textId="77777777" w:rsidR="00232F0B" w:rsidRPr="002B2970" w:rsidRDefault="00232F0B" w:rsidP="002B2970">
            <w:pPr>
              <w:pStyle w:val="TableText"/>
              <w:tabs>
                <w:tab w:val="decimal" w:pos="567"/>
              </w:tabs>
              <w:rPr>
                <w:color w:val="000000"/>
                <w:sz w:val="16"/>
                <w:szCs w:val="16"/>
                <w:lang w:eastAsia="en-NZ"/>
              </w:rPr>
            </w:pPr>
            <w:r w:rsidRPr="002B2970">
              <w:rPr>
                <w:color w:val="000000"/>
                <w:sz w:val="16"/>
                <w:szCs w:val="16"/>
                <w:lang w:eastAsia="en-NZ"/>
              </w:rPr>
              <w:t>2</w:t>
            </w:r>
            <w:r w:rsidR="002B2970">
              <w:rPr>
                <w:color w:val="000000"/>
                <w:sz w:val="16"/>
                <w:szCs w:val="16"/>
                <w:lang w:eastAsia="en-NZ"/>
              </w:rPr>
              <w:t>,</w:t>
            </w:r>
            <w:r w:rsidRPr="002B2970">
              <w:rPr>
                <w:color w:val="000000"/>
                <w:sz w:val="16"/>
                <w:szCs w:val="16"/>
                <w:lang w:eastAsia="en-NZ"/>
              </w:rPr>
              <w:t>240</w:t>
            </w:r>
          </w:p>
        </w:tc>
        <w:tc>
          <w:tcPr>
            <w:tcW w:w="1134" w:type="dxa"/>
            <w:shd w:val="clear" w:color="auto" w:fill="auto"/>
            <w:noWrap/>
            <w:hideMark/>
          </w:tcPr>
          <w:p w14:paraId="28645438" w14:textId="77777777" w:rsidR="00232F0B" w:rsidRPr="002B2970" w:rsidRDefault="00232F0B" w:rsidP="002B2970">
            <w:pPr>
              <w:pStyle w:val="TableText"/>
              <w:tabs>
                <w:tab w:val="decimal" w:pos="935"/>
              </w:tabs>
              <w:rPr>
                <w:color w:val="000000"/>
                <w:sz w:val="16"/>
                <w:szCs w:val="16"/>
                <w:lang w:eastAsia="en-NZ"/>
              </w:rPr>
            </w:pPr>
            <w:r w:rsidRPr="002B2970">
              <w:rPr>
                <w:color w:val="000000"/>
                <w:sz w:val="16"/>
                <w:szCs w:val="16"/>
                <w:lang w:eastAsia="en-NZ"/>
              </w:rPr>
              <w:t>$683,063</w:t>
            </w:r>
          </w:p>
        </w:tc>
        <w:tc>
          <w:tcPr>
            <w:tcW w:w="992" w:type="dxa"/>
            <w:shd w:val="clear" w:color="auto" w:fill="auto"/>
            <w:noWrap/>
            <w:hideMark/>
          </w:tcPr>
          <w:p w14:paraId="2BFFB359" w14:textId="77777777" w:rsidR="00232F0B" w:rsidRPr="002B2970" w:rsidRDefault="00232F0B" w:rsidP="002B2970">
            <w:pPr>
              <w:pStyle w:val="TableText"/>
              <w:tabs>
                <w:tab w:val="decimal" w:pos="822"/>
              </w:tabs>
              <w:rPr>
                <w:color w:val="000000"/>
                <w:sz w:val="16"/>
                <w:szCs w:val="16"/>
                <w:lang w:eastAsia="en-NZ"/>
              </w:rPr>
            </w:pPr>
            <w:r w:rsidRPr="002B2970">
              <w:rPr>
                <w:color w:val="000000"/>
                <w:sz w:val="16"/>
                <w:szCs w:val="16"/>
                <w:lang w:eastAsia="en-NZ"/>
              </w:rPr>
              <w:t>$1,301,095</w:t>
            </w:r>
          </w:p>
        </w:tc>
        <w:tc>
          <w:tcPr>
            <w:tcW w:w="992" w:type="dxa"/>
            <w:shd w:val="clear" w:color="auto" w:fill="auto"/>
            <w:noWrap/>
            <w:hideMark/>
          </w:tcPr>
          <w:p w14:paraId="0B90305B" w14:textId="77777777" w:rsidR="00232F0B" w:rsidRPr="002B2970" w:rsidRDefault="00232F0B" w:rsidP="002B2970">
            <w:pPr>
              <w:pStyle w:val="TableText"/>
              <w:tabs>
                <w:tab w:val="decimal" w:pos="709"/>
              </w:tabs>
              <w:rPr>
                <w:color w:val="000000"/>
                <w:sz w:val="16"/>
                <w:szCs w:val="16"/>
                <w:lang w:eastAsia="en-NZ"/>
              </w:rPr>
            </w:pPr>
            <w:r w:rsidRPr="002B2970">
              <w:rPr>
                <w:color w:val="000000"/>
                <w:sz w:val="16"/>
                <w:szCs w:val="16"/>
                <w:lang w:eastAsia="en-NZ"/>
              </w:rPr>
              <w:t>$39,451</w:t>
            </w:r>
          </w:p>
        </w:tc>
        <w:tc>
          <w:tcPr>
            <w:tcW w:w="1276" w:type="dxa"/>
            <w:shd w:val="clear" w:color="auto" w:fill="auto"/>
            <w:noWrap/>
            <w:hideMark/>
          </w:tcPr>
          <w:p w14:paraId="359BD06D" w14:textId="77777777" w:rsidR="00232F0B" w:rsidRPr="002B2970" w:rsidRDefault="00232F0B" w:rsidP="002B2970">
            <w:pPr>
              <w:pStyle w:val="TableText"/>
              <w:tabs>
                <w:tab w:val="decimal" w:pos="851"/>
              </w:tabs>
              <w:rPr>
                <w:color w:val="000000"/>
                <w:sz w:val="16"/>
                <w:szCs w:val="16"/>
                <w:lang w:eastAsia="en-NZ"/>
              </w:rPr>
            </w:pPr>
            <w:r w:rsidRPr="002B2970">
              <w:rPr>
                <w:sz w:val="16"/>
                <w:szCs w:val="16"/>
                <w:lang w:eastAsia="en-NZ"/>
              </w:rPr>
              <w:t>$187,758</w:t>
            </w:r>
          </w:p>
        </w:tc>
        <w:tc>
          <w:tcPr>
            <w:tcW w:w="992" w:type="dxa"/>
            <w:shd w:val="clear" w:color="auto" w:fill="auto"/>
            <w:noWrap/>
            <w:hideMark/>
          </w:tcPr>
          <w:p w14:paraId="3597B65F" w14:textId="77777777" w:rsidR="00232F0B" w:rsidRPr="002B2970" w:rsidRDefault="00232F0B" w:rsidP="002B2970">
            <w:pPr>
              <w:pStyle w:val="TableText"/>
              <w:tabs>
                <w:tab w:val="decimal" w:pos="793"/>
              </w:tabs>
              <w:rPr>
                <w:color w:val="000000"/>
                <w:sz w:val="16"/>
                <w:szCs w:val="16"/>
                <w:lang w:eastAsia="en-NZ"/>
              </w:rPr>
            </w:pPr>
            <w:r w:rsidRPr="002B2970">
              <w:rPr>
                <w:sz w:val="16"/>
                <w:szCs w:val="16"/>
                <w:lang w:eastAsia="en-NZ"/>
              </w:rPr>
              <w:t>$2,211,367</w:t>
            </w:r>
          </w:p>
        </w:tc>
        <w:tc>
          <w:tcPr>
            <w:tcW w:w="709" w:type="dxa"/>
            <w:shd w:val="clear" w:color="auto" w:fill="auto"/>
            <w:noWrap/>
            <w:hideMark/>
          </w:tcPr>
          <w:p w14:paraId="183C2D03" w14:textId="77777777" w:rsidR="00232F0B" w:rsidRPr="002B2970" w:rsidRDefault="00232F0B" w:rsidP="002B2970">
            <w:pPr>
              <w:pStyle w:val="TableText"/>
              <w:tabs>
                <w:tab w:val="decimal" w:pos="271"/>
              </w:tabs>
              <w:rPr>
                <w:color w:val="000000"/>
                <w:sz w:val="16"/>
                <w:szCs w:val="16"/>
                <w:lang w:eastAsia="en-NZ"/>
              </w:rPr>
            </w:pPr>
            <w:r w:rsidRPr="002B2970">
              <w:rPr>
                <w:color w:val="000000" w:themeColor="text1"/>
                <w:sz w:val="16"/>
                <w:szCs w:val="16"/>
                <w:lang w:eastAsia="en-NZ"/>
              </w:rPr>
              <w:t>82.19%</w:t>
            </w:r>
          </w:p>
        </w:tc>
      </w:tr>
      <w:tr w:rsidR="00232F0B" w:rsidRPr="00A40FD5" w14:paraId="2534620F" w14:textId="77777777" w:rsidTr="002B2970">
        <w:trPr>
          <w:cantSplit/>
        </w:trPr>
        <w:tc>
          <w:tcPr>
            <w:tcW w:w="1276" w:type="dxa"/>
            <w:shd w:val="clear" w:color="auto" w:fill="auto"/>
            <w:noWrap/>
            <w:hideMark/>
          </w:tcPr>
          <w:p w14:paraId="69F19040" w14:textId="77777777" w:rsidR="00232F0B" w:rsidRPr="002B2970" w:rsidRDefault="00232F0B" w:rsidP="003B7E58">
            <w:pPr>
              <w:pStyle w:val="TableText"/>
              <w:rPr>
                <w:color w:val="000000"/>
                <w:sz w:val="16"/>
                <w:szCs w:val="16"/>
                <w:lang w:eastAsia="en-NZ"/>
              </w:rPr>
            </w:pPr>
            <w:r w:rsidRPr="002B2970">
              <w:rPr>
                <w:color w:val="000000" w:themeColor="text1"/>
                <w:sz w:val="16"/>
                <w:szCs w:val="16"/>
                <w:lang w:eastAsia="en-NZ"/>
              </w:rPr>
              <w:t>Use licence (new and variations)</w:t>
            </w:r>
          </w:p>
        </w:tc>
        <w:tc>
          <w:tcPr>
            <w:tcW w:w="851" w:type="dxa"/>
            <w:shd w:val="clear" w:color="auto" w:fill="auto"/>
            <w:noWrap/>
            <w:hideMark/>
          </w:tcPr>
          <w:p w14:paraId="7337DD7C" w14:textId="77777777" w:rsidR="00232F0B" w:rsidRPr="002B2970" w:rsidRDefault="00232F0B" w:rsidP="002B2970">
            <w:pPr>
              <w:pStyle w:val="TableText"/>
              <w:tabs>
                <w:tab w:val="decimal" w:pos="567"/>
              </w:tabs>
              <w:rPr>
                <w:color w:val="000000"/>
                <w:sz w:val="16"/>
                <w:szCs w:val="16"/>
                <w:lang w:eastAsia="en-NZ"/>
              </w:rPr>
            </w:pPr>
            <w:r w:rsidRPr="002B2970">
              <w:rPr>
                <w:color w:val="000000" w:themeColor="text1"/>
                <w:sz w:val="16"/>
                <w:szCs w:val="16"/>
                <w:lang w:eastAsia="en-NZ"/>
              </w:rPr>
              <w:t>114</w:t>
            </w:r>
          </w:p>
        </w:tc>
        <w:tc>
          <w:tcPr>
            <w:tcW w:w="1134" w:type="dxa"/>
            <w:shd w:val="clear" w:color="auto" w:fill="auto"/>
            <w:noWrap/>
            <w:hideMark/>
          </w:tcPr>
          <w:p w14:paraId="4138D003" w14:textId="77777777" w:rsidR="00232F0B" w:rsidRPr="002B2970" w:rsidRDefault="00232F0B" w:rsidP="002B2970">
            <w:pPr>
              <w:pStyle w:val="TableText"/>
              <w:tabs>
                <w:tab w:val="decimal" w:pos="935"/>
              </w:tabs>
              <w:rPr>
                <w:color w:val="000000"/>
                <w:sz w:val="16"/>
                <w:szCs w:val="16"/>
                <w:lang w:eastAsia="en-NZ"/>
              </w:rPr>
            </w:pPr>
            <w:r w:rsidRPr="002B2970">
              <w:rPr>
                <w:color w:val="000000" w:themeColor="text1"/>
                <w:sz w:val="16"/>
                <w:szCs w:val="16"/>
                <w:lang w:eastAsia="en-NZ"/>
              </w:rPr>
              <w:t>$36,336</w:t>
            </w:r>
          </w:p>
        </w:tc>
        <w:tc>
          <w:tcPr>
            <w:tcW w:w="992" w:type="dxa"/>
            <w:shd w:val="clear" w:color="auto" w:fill="auto"/>
            <w:noWrap/>
            <w:hideMark/>
          </w:tcPr>
          <w:p w14:paraId="3B90E792" w14:textId="77777777" w:rsidR="00232F0B" w:rsidRPr="002B2970" w:rsidRDefault="00232F0B" w:rsidP="002B2970">
            <w:pPr>
              <w:pStyle w:val="TableText"/>
              <w:tabs>
                <w:tab w:val="decimal" w:pos="822"/>
              </w:tabs>
              <w:rPr>
                <w:color w:val="000000"/>
                <w:sz w:val="16"/>
                <w:szCs w:val="16"/>
                <w:lang w:eastAsia="en-NZ"/>
              </w:rPr>
            </w:pPr>
            <w:r w:rsidRPr="002B2970">
              <w:rPr>
                <w:color w:val="000000" w:themeColor="text1"/>
                <w:sz w:val="16"/>
                <w:szCs w:val="16"/>
                <w:lang w:eastAsia="en-NZ"/>
              </w:rPr>
              <w:t>$0</w:t>
            </w:r>
          </w:p>
        </w:tc>
        <w:tc>
          <w:tcPr>
            <w:tcW w:w="992" w:type="dxa"/>
            <w:shd w:val="clear" w:color="auto" w:fill="auto"/>
            <w:noWrap/>
            <w:hideMark/>
          </w:tcPr>
          <w:p w14:paraId="411095C5" w14:textId="77777777" w:rsidR="00232F0B" w:rsidRPr="002B2970" w:rsidRDefault="00232F0B" w:rsidP="002B2970">
            <w:pPr>
              <w:pStyle w:val="TableText"/>
              <w:tabs>
                <w:tab w:val="decimal" w:pos="709"/>
              </w:tabs>
              <w:rPr>
                <w:color w:val="000000"/>
                <w:sz w:val="16"/>
                <w:szCs w:val="16"/>
                <w:lang w:eastAsia="en-NZ"/>
              </w:rPr>
            </w:pPr>
            <w:r w:rsidRPr="002B2970">
              <w:rPr>
                <w:color w:val="000000" w:themeColor="text1"/>
                <w:sz w:val="16"/>
                <w:szCs w:val="16"/>
                <w:lang w:eastAsia="en-NZ"/>
              </w:rPr>
              <w:t>$10,016</w:t>
            </w:r>
          </w:p>
        </w:tc>
        <w:tc>
          <w:tcPr>
            <w:tcW w:w="1276" w:type="dxa"/>
            <w:shd w:val="clear" w:color="auto" w:fill="auto"/>
            <w:noWrap/>
            <w:hideMark/>
          </w:tcPr>
          <w:p w14:paraId="344E7637" w14:textId="77777777" w:rsidR="00232F0B" w:rsidRPr="002B2970" w:rsidRDefault="00232F0B" w:rsidP="002B2970">
            <w:pPr>
              <w:pStyle w:val="TableText"/>
              <w:tabs>
                <w:tab w:val="decimal" w:pos="851"/>
              </w:tabs>
              <w:rPr>
                <w:color w:val="000000"/>
                <w:sz w:val="16"/>
                <w:szCs w:val="16"/>
                <w:lang w:eastAsia="en-NZ"/>
              </w:rPr>
            </w:pPr>
            <w:r w:rsidRPr="002B2970">
              <w:rPr>
                <w:color w:val="000000" w:themeColor="text1"/>
                <w:sz w:val="16"/>
                <w:szCs w:val="16"/>
                <w:lang w:eastAsia="en-NZ"/>
              </w:rPr>
              <w:t>$0</w:t>
            </w:r>
          </w:p>
        </w:tc>
        <w:tc>
          <w:tcPr>
            <w:tcW w:w="992" w:type="dxa"/>
            <w:shd w:val="clear" w:color="auto" w:fill="auto"/>
            <w:noWrap/>
            <w:hideMark/>
          </w:tcPr>
          <w:p w14:paraId="4119F90B" w14:textId="77777777" w:rsidR="00232F0B" w:rsidRPr="002B2970" w:rsidRDefault="00232F0B" w:rsidP="002B2970">
            <w:pPr>
              <w:pStyle w:val="TableText"/>
              <w:tabs>
                <w:tab w:val="decimal" w:pos="793"/>
              </w:tabs>
              <w:rPr>
                <w:color w:val="000000"/>
                <w:sz w:val="16"/>
                <w:szCs w:val="16"/>
                <w:lang w:eastAsia="en-NZ"/>
              </w:rPr>
            </w:pPr>
            <w:r w:rsidRPr="002B2970">
              <w:rPr>
                <w:color w:val="000000" w:themeColor="text1"/>
                <w:sz w:val="16"/>
                <w:szCs w:val="16"/>
                <w:lang w:eastAsia="en-NZ"/>
              </w:rPr>
              <w:t>$46,352</w:t>
            </w:r>
          </w:p>
        </w:tc>
        <w:tc>
          <w:tcPr>
            <w:tcW w:w="709" w:type="dxa"/>
            <w:shd w:val="clear" w:color="auto" w:fill="auto"/>
            <w:noWrap/>
            <w:hideMark/>
          </w:tcPr>
          <w:p w14:paraId="1C73E567" w14:textId="77777777" w:rsidR="00232F0B" w:rsidRPr="002B2970" w:rsidRDefault="00232F0B" w:rsidP="002B2970">
            <w:pPr>
              <w:pStyle w:val="TableText"/>
              <w:tabs>
                <w:tab w:val="decimal" w:pos="271"/>
              </w:tabs>
              <w:rPr>
                <w:color w:val="000000"/>
                <w:sz w:val="16"/>
                <w:szCs w:val="16"/>
                <w:lang w:eastAsia="en-NZ"/>
              </w:rPr>
            </w:pPr>
            <w:r w:rsidRPr="002B2970">
              <w:rPr>
                <w:color w:val="000000" w:themeColor="text1"/>
                <w:sz w:val="16"/>
                <w:szCs w:val="16"/>
                <w:lang w:eastAsia="en-NZ"/>
              </w:rPr>
              <w:t>1.72%</w:t>
            </w:r>
          </w:p>
        </w:tc>
      </w:tr>
      <w:tr w:rsidR="00232F0B" w:rsidRPr="00A40FD5" w14:paraId="67583958" w14:textId="77777777" w:rsidTr="002B2970">
        <w:trPr>
          <w:cantSplit/>
        </w:trPr>
        <w:tc>
          <w:tcPr>
            <w:tcW w:w="1276" w:type="dxa"/>
            <w:shd w:val="clear" w:color="auto" w:fill="auto"/>
            <w:noWrap/>
            <w:hideMark/>
          </w:tcPr>
          <w:p w14:paraId="65A2916B" w14:textId="77777777" w:rsidR="00232F0B" w:rsidRPr="002B2970" w:rsidRDefault="00232F0B" w:rsidP="003B7E58">
            <w:pPr>
              <w:pStyle w:val="TableText"/>
              <w:rPr>
                <w:color w:val="000000"/>
                <w:sz w:val="16"/>
                <w:szCs w:val="16"/>
                <w:lang w:eastAsia="en-NZ"/>
              </w:rPr>
            </w:pPr>
            <w:r w:rsidRPr="002B2970">
              <w:rPr>
                <w:color w:val="000000" w:themeColor="text1"/>
                <w:sz w:val="16"/>
                <w:szCs w:val="16"/>
                <w:lang w:eastAsia="en-NZ"/>
              </w:rPr>
              <w:t>Use licence (renewals, no variation)</w:t>
            </w:r>
          </w:p>
        </w:tc>
        <w:tc>
          <w:tcPr>
            <w:tcW w:w="851" w:type="dxa"/>
            <w:shd w:val="clear" w:color="auto" w:fill="auto"/>
            <w:noWrap/>
            <w:hideMark/>
          </w:tcPr>
          <w:p w14:paraId="28B1AA03" w14:textId="77777777" w:rsidR="00232F0B" w:rsidRPr="002B2970" w:rsidRDefault="00232F0B" w:rsidP="002B2970">
            <w:pPr>
              <w:pStyle w:val="TableText"/>
              <w:tabs>
                <w:tab w:val="decimal" w:pos="567"/>
              </w:tabs>
              <w:rPr>
                <w:color w:val="000000"/>
                <w:sz w:val="16"/>
                <w:szCs w:val="16"/>
                <w:lang w:eastAsia="en-NZ"/>
              </w:rPr>
            </w:pPr>
            <w:r w:rsidRPr="002B2970">
              <w:rPr>
                <w:color w:val="000000"/>
                <w:sz w:val="16"/>
                <w:szCs w:val="16"/>
                <w:lang w:eastAsia="en-NZ"/>
              </w:rPr>
              <w:t>1</w:t>
            </w:r>
            <w:r w:rsidR="002B2970">
              <w:rPr>
                <w:color w:val="000000"/>
                <w:sz w:val="16"/>
                <w:szCs w:val="16"/>
                <w:lang w:eastAsia="en-NZ"/>
              </w:rPr>
              <w:t>,</w:t>
            </w:r>
            <w:r w:rsidRPr="002B2970">
              <w:rPr>
                <w:color w:val="000000"/>
                <w:sz w:val="16"/>
                <w:szCs w:val="16"/>
                <w:lang w:eastAsia="en-NZ"/>
              </w:rPr>
              <w:t>023</w:t>
            </w:r>
          </w:p>
        </w:tc>
        <w:tc>
          <w:tcPr>
            <w:tcW w:w="1134" w:type="dxa"/>
            <w:shd w:val="clear" w:color="auto" w:fill="auto"/>
            <w:noWrap/>
            <w:hideMark/>
          </w:tcPr>
          <w:p w14:paraId="42D3FD65" w14:textId="77777777" w:rsidR="00232F0B" w:rsidRPr="002B2970" w:rsidRDefault="00232F0B" w:rsidP="002B2970">
            <w:pPr>
              <w:pStyle w:val="TableText"/>
              <w:tabs>
                <w:tab w:val="decimal" w:pos="935"/>
              </w:tabs>
              <w:rPr>
                <w:color w:val="000000"/>
                <w:sz w:val="16"/>
                <w:szCs w:val="16"/>
                <w:lang w:eastAsia="en-NZ"/>
              </w:rPr>
            </w:pPr>
            <w:r w:rsidRPr="002B2970">
              <w:rPr>
                <w:color w:val="000000"/>
                <w:sz w:val="16"/>
                <w:szCs w:val="16"/>
                <w:lang w:eastAsia="en-NZ"/>
              </w:rPr>
              <w:t>$237,838</w:t>
            </w:r>
          </w:p>
        </w:tc>
        <w:tc>
          <w:tcPr>
            <w:tcW w:w="992" w:type="dxa"/>
            <w:shd w:val="clear" w:color="auto" w:fill="auto"/>
            <w:noWrap/>
            <w:hideMark/>
          </w:tcPr>
          <w:p w14:paraId="59ACF065" w14:textId="77777777" w:rsidR="00232F0B" w:rsidRPr="002B2970" w:rsidRDefault="00232F0B" w:rsidP="002B2970">
            <w:pPr>
              <w:pStyle w:val="TableText"/>
              <w:tabs>
                <w:tab w:val="decimal" w:pos="822"/>
              </w:tabs>
              <w:rPr>
                <w:color w:val="000000"/>
                <w:sz w:val="16"/>
                <w:szCs w:val="16"/>
                <w:lang w:eastAsia="en-NZ"/>
              </w:rPr>
            </w:pPr>
            <w:r w:rsidRPr="002B2970">
              <w:rPr>
                <w:color w:val="000000"/>
                <w:sz w:val="16"/>
                <w:szCs w:val="16"/>
                <w:lang w:eastAsia="en-NZ"/>
              </w:rPr>
              <w:t>$0</w:t>
            </w:r>
          </w:p>
        </w:tc>
        <w:tc>
          <w:tcPr>
            <w:tcW w:w="992" w:type="dxa"/>
            <w:shd w:val="clear" w:color="auto" w:fill="auto"/>
            <w:noWrap/>
            <w:hideMark/>
          </w:tcPr>
          <w:p w14:paraId="5A8F3153" w14:textId="77777777" w:rsidR="00232F0B" w:rsidRPr="002B2970" w:rsidRDefault="00232F0B" w:rsidP="002B2970">
            <w:pPr>
              <w:pStyle w:val="TableText"/>
              <w:tabs>
                <w:tab w:val="decimal" w:pos="709"/>
              </w:tabs>
              <w:rPr>
                <w:color w:val="000000"/>
                <w:sz w:val="16"/>
                <w:szCs w:val="16"/>
                <w:lang w:eastAsia="en-NZ"/>
              </w:rPr>
            </w:pPr>
            <w:r w:rsidRPr="002B2970">
              <w:rPr>
                <w:color w:val="000000"/>
                <w:sz w:val="16"/>
                <w:szCs w:val="16"/>
                <w:lang w:eastAsia="en-NZ"/>
              </w:rPr>
              <w:t>$18,029</w:t>
            </w:r>
          </w:p>
        </w:tc>
        <w:tc>
          <w:tcPr>
            <w:tcW w:w="1276" w:type="dxa"/>
            <w:shd w:val="clear" w:color="auto" w:fill="auto"/>
            <w:noWrap/>
            <w:hideMark/>
          </w:tcPr>
          <w:p w14:paraId="426426CD" w14:textId="77777777" w:rsidR="00232F0B" w:rsidRPr="002B2970" w:rsidRDefault="00232F0B" w:rsidP="002B2970">
            <w:pPr>
              <w:pStyle w:val="TableText"/>
              <w:tabs>
                <w:tab w:val="decimal" w:pos="851"/>
              </w:tabs>
              <w:rPr>
                <w:color w:val="000000"/>
                <w:sz w:val="16"/>
                <w:szCs w:val="16"/>
                <w:lang w:eastAsia="en-NZ"/>
              </w:rPr>
            </w:pPr>
            <w:r w:rsidRPr="002B2970">
              <w:rPr>
                <w:color w:val="000000"/>
                <w:sz w:val="16"/>
                <w:szCs w:val="16"/>
                <w:lang w:eastAsia="en-NZ"/>
              </w:rPr>
              <w:t>$0</w:t>
            </w:r>
          </w:p>
        </w:tc>
        <w:tc>
          <w:tcPr>
            <w:tcW w:w="992" w:type="dxa"/>
            <w:shd w:val="clear" w:color="auto" w:fill="auto"/>
            <w:noWrap/>
            <w:hideMark/>
          </w:tcPr>
          <w:p w14:paraId="173164A9" w14:textId="77777777" w:rsidR="00232F0B" w:rsidRPr="002B2970" w:rsidRDefault="00232F0B" w:rsidP="002B2970">
            <w:pPr>
              <w:pStyle w:val="TableText"/>
              <w:tabs>
                <w:tab w:val="decimal" w:pos="793"/>
              </w:tabs>
              <w:rPr>
                <w:color w:val="000000"/>
                <w:sz w:val="16"/>
                <w:szCs w:val="16"/>
                <w:lang w:eastAsia="en-NZ"/>
              </w:rPr>
            </w:pPr>
            <w:r w:rsidRPr="002B2970">
              <w:rPr>
                <w:color w:val="000000"/>
                <w:sz w:val="16"/>
                <w:szCs w:val="16"/>
                <w:lang w:eastAsia="en-NZ"/>
              </w:rPr>
              <w:t>$255,867</w:t>
            </w:r>
          </w:p>
        </w:tc>
        <w:tc>
          <w:tcPr>
            <w:tcW w:w="709" w:type="dxa"/>
            <w:shd w:val="clear" w:color="auto" w:fill="auto"/>
            <w:noWrap/>
            <w:hideMark/>
          </w:tcPr>
          <w:p w14:paraId="5CEF673B" w14:textId="77777777" w:rsidR="00232F0B" w:rsidRPr="002B2970" w:rsidRDefault="00232F0B" w:rsidP="002B2970">
            <w:pPr>
              <w:pStyle w:val="TableText"/>
              <w:tabs>
                <w:tab w:val="decimal" w:pos="271"/>
              </w:tabs>
              <w:rPr>
                <w:color w:val="000000"/>
                <w:sz w:val="16"/>
                <w:szCs w:val="16"/>
                <w:lang w:eastAsia="en-NZ"/>
              </w:rPr>
            </w:pPr>
            <w:r w:rsidRPr="002B2970">
              <w:rPr>
                <w:color w:val="000000"/>
                <w:sz w:val="16"/>
                <w:szCs w:val="16"/>
                <w:lang w:eastAsia="en-NZ"/>
              </w:rPr>
              <w:t>9.51%</w:t>
            </w:r>
          </w:p>
        </w:tc>
      </w:tr>
      <w:tr w:rsidR="00232F0B" w:rsidRPr="00A40FD5" w14:paraId="3DD80535" w14:textId="77777777" w:rsidTr="002B2970">
        <w:trPr>
          <w:cantSplit/>
        </w:trPr>
        <w:tc>
          <w:tcPr>
            <w:tcW w:w="1276" w:type="dxa"/>
            <w:shd w:val="clear" w:color="auto" w:fill="auto"/>
            <w:noWrap/>
            <w:hideMark/>
          </w:tcPr>
          <w:p w14:paraId="3E9CC8EC" w14:textId="77777777" w:rsidR="00232F0B" w:rsidRPr="002B2970" w:rsidRDefault="00232F0B" w:rsidP="002B2970">
            <w:pPr>
              <w:pStyle w:val="TableText"/>
              <w:rPr>
                <w:color w:val="000000"/>
                <w:sz w:val="16"/>
                <w:szCs w:val="16"/>
                <w:lang w:eastAsia="en-NZ"/>
              </w:rPr>
            </w:pPr>
            <w:r w:rsidRPr="002B2970">
              <w:rPr>
                <w:color w:val="000000" w:themeColor="text1"/>
                <w:sz w:val="16"/>
                <w:szCs w:val="16"/>
                <w:lang w:eastAsia="en-NZ"/>
              </w:rPr>
              <w:t>Consents (high</w:t>
            </w:r>
            <w:r w:rsidR="002B2970">
              <w:rPr>
                <w:color w:val="000000" w:themeColor="text1"/>
                <w:sz w:val="16"/>
                <w:szCs w:val="16"/>
                <w:lang w:eastAsia="en-NZ"/>
              </w:rPr>
              <w:noBreakHyphen/>
            </w:r>
            <w:r w:rsidRPr="002B2970">
              <w:rPr>
                <w:color w:val="000000" w:themeColor="text1"/>
                <w:sz w:val="16"/>
                <w:szCs w:val="16"/>
                <w:lang w:eastAsia="en-NZ"/>
              </w:rPr>
              <w:t>activity)</w:t>
            </w:r>
          </w:p>
        </w:tc>
        <w:tc>
          <w:tcPr>
            <w:tcW w:w="851" w:type="dxa"/>
            <w:shd w:val="clear" w:color="auto" w:fill="auto"/>
            <w:noWrap/>
            <w:hideMark/>
          </w:tcPr>
          <w:p w14:paraId="1FD4EB6A" w14:textId="77777777" w:rsidR="00232F0B" w:rsidRPr="002B2970" w:rsidRDefault="00232F0B" w:rsidP="002B2970">
            <w:pPr>
              <w:pStyle w:val="TableText"/>
              <w:tabs>
                <w:tab w:val="decimal" w:pos="567"/>
              </w:tabs>
              <w:rPr>
                <w:color w:val="000000"/>
                <w:sz w:val="16"/>
                <w:szCs w:val="16"/>
                <w:lang w:eastAsia="en-NZ"/>
              </w:rPr>
            </w:pPr>
            <w:r w:rsidRPr="002B2970">
              <w:rPr>
                <w:color w:val="000000"/>
                <w:sz w:val="16"/>
                <w:szCs w:val="16"/>
                <w:lang w:eastAsia="en-NZ"/>
              </w:rPr>
              <w:t>19</w:t>
            </w:r>
          </w:p>
        </w:tc>
        <w:tc>
          <w:tcPr>
            <w:tcW w:w="1134" w:type="dxa"/>
            <w:shd w:val="clear" w:color="auto" w:fill="auto"/>
            <w:noWrap/>
            <w:hideMark/>
          </w:tcPr>
          <w:p w14:paraId="465807A4" w14:textId="77777777" w:rsidR="00232F0B" w:rsidRPr="002B2970" w:rsidRDefault="00232F0B" w:rsidP="002B2970">
            <w:pPr>
              <w:pStyle w:val="TableText"/>
              <w:tabs>
                <w:tab w:val="decimal" w:pos="935"/>
              </w:tabs>
              <w:rPr>
                <w:color w:val="000000"/>
                <w:sz w:val="16"/>
                <w:szCs w:val="16"/>
                <w:lang w:eastAsia="en-NZ"/>
              </w:rPr>
            </w:pPr>
            <w:r w:rsidRPr="002B2970">
              <w:rPr>
                <w:color w:val="000000"/>
                <w:sz w:val="16"/>
                <w:szCs w:val="16"/>
                <w:lang w:eastAsia="en-NZ"/>
              </w:rPr>
              <w:t>$2,760</w:t>
            </w:r>
          </w:p>
        </w:tc>
        <w:tc>
          <w:tcPr>
            <w:tcW w:w="992" w:type="dxa"/>
            <w:shd w:val="clear" w:color="auto" w:fill="auto"/>
            <w:noWrap/>
            <w:hideMark/>
          </w:tcPr>
          <w:p w14:paraId="3A29F904" w14:textId="77777777" w:rsidR="00232F0B" w:rsidRPr="002B2970" w:rsidRDefault="00232F0B" w:rsidP="002B2970">
            <w:pPr>
              <w:pStyle w:val="TableText"/>
              <w:tabs>
                <w:tab w:val="decimal" w:pos="822"/>
              </w:tabs>
              <w:rPr>
                <w:color w:val="000000"/>
                <w:sz w:val="16"/>
                <w:szCs w:val="16"/>
                <w:lang w:eastAsia="en-NZ"/>
              </w:rPr>
            </w:pPr>
            <w:r w:rsidRPr="002B2970">
              <w:rPr>
                <w:color w:val="000000"/>
                <w:sz w:val="16"/>
                <w:szCs w:val="16"/>
                <w:lang w:eastAsia="en-NZ"/>
              </w:rPr>
              <w:t>$0</w:t>
            </w:r>
          </w:p>
        </w:tc>
        <w:tc>
          <w:tcPr>
            <w:tcW w:w="992" w:type="dxa"/>
            <w:shd w:val="clear" w:color="auto" w:fill="auto"/>
            <w:noWrap/>
            <w:hideMark/>
          </w:tcPr>
          <w:p w14:paraId="7742F181" w14:textId="77777777" w:rsidR="00232F0B" w:rsidRPr="002B2970" w:rsidRDefault="00232F0B" w:rsidP="002B2970">
            <w:pPr>
              <w:pStyle w:val="TableText"/>
              <w:tabs>
                <w:tab w:val="decimal" w:pos="709"/>
              </w:tabs>
              <w:rPr>
                <w:color w:val="000000"/>
                <w:sz w:val="16"/>
                <w:szCs w:val="16"/>
                <w:lang w:eastAsia="en-NZ"/>
              </w:rPr>
            </w:pPr>
            <w:r w:rsidRPr="002B2970">
              <w:rPr>
                <w:color w:val="000000"/>
                <w:sz w:val="16"/>
                <w:szCs w:val="16"/>
                <w:lang w:eastAsia="en-NZ"/>
              </w:rPr>
              <w:t>$1,674</w:t>
            </w:r>
          </w:p>
        </w:tc>
        <w:tc>
          <w:tcPr>
            <w:tcW w:w="1276" w:type="dxa"/>
            <w:shd w:val="clear" w:color="auto" w:fill="auto"/>
            <w:noWrap/>
            <w:hideMark/>
          </w:tcPr>
          <w:p w14:paraId="5E37E702" w14:textId="77777777" w:rsidR="00232F0B" w:rsidRPr="002B2970" w:rsidRDefault="00232F0B" w:rsidP="002B2970">
            <w:pPr>
              <w:pStyle w:val="TableText"/>
              <w:tabs>
                <w:tab w:val="decimal" w:pos="851"/>
              </w:tabs>
              <w:rPr>
                <w:color w:val="000000"/>
                <w:sz w:val="16"/>
                <w:szCs w:val="16"/>
                <w:lang w:eastAsia="en-NZ"/>
              </w:rPr>
            </w:pPr>
            <w:r w:rsidRPr="002B2970">
              <w:rPr>
                <w:color w:val="000000"/>
                <w:sz w:val="16"/>
                <w:szCs w:val="16"/>
                <w:lang w:eastAsia="en-NZ"/>
              </w:rPr>
              <w:t>$0</w:t>
            </w:r>
          </w:p>
        </w:tc>
        <w:tc>
          <w:tcPr>
            <w:tcW w:w="992" w:type="dxa"/>
            <w:shd w:val="clear" w:color="auto" w:fill="auto"/>
            <w:noWrap/>
            <w:hideMark/>
          </w:tcPr>
          <w:p w14:paraId="21A62F64" w14:textId="77777777" w:rsidR="00232F0B" w:rsidRPr="002B2970" w:rsidRDefault="00232F0B" w:rsidP="002B2970">
            <w:pPr>
              <w:pStyle w:val="TableText"/>
              <w:tabs>
                <w:tab w:val="decimal" w:pos="793"/>
              </w:tabs>
              <w:rPr>
                <w:color w:val="000000"/>
                <w:sz w:val="16"/>
                <w:szCs w:val="16"/>
                <w:lang w:eastAsia="en-NZ"/>
              </w:rPr>
            </w:pPr>
            <w:r w:rsidRPr="002B2970">
              <w:rPr>
                <w:color w:val="000000"/>
                <w:sz w:val="16"/>
                <w:szCs w:val="16"/>
                <w:lang w:eastAsia="en-NZ"/>
              </w:rPr>
              <w:t>$4,434</w:t>
            </w:r>
          </w:p>
        </w:tc>
        <w:tc>
          <w:tcPr>
            <w:tcW w:w="709" w:type="dxa"/>
            <w:shd w:val="clear" w:color="auto" w:fill="auto"/>
            <w:noWrap/>
            <w:hideMark/>
          </w:tcPr>
          <w:p w14:paraId="7F74C5DF" w14:textId="77777777" w:rsidR="00232F0B" w:rsidRPr="002B2970" w:rsidRDefault="00232F0B" w:rsidP="002B2970">
            <w:pPr>
              <w:pStyle w:val="TableText"/>
              <w:tabs>
                <w:tab w:val="decimal" w:pos="271"/>
              </w:tabs>
              <w:rPr>
                <w:color w:val="000000"/>
                <w:sz w:val="16"/>
                <w:szCs w:val="16"/>
                <w:lang w:eastAsia="en-NZ"/>
              </w:rPr>
            </w:pPr>
            <w:r w:rsidRPr="002B2970">
              <w:rPr>
                <w:color w:val="000000"/>
                <w:sz w:val="16"/>
                <w:szCs w:val="16"/>
                <w:lang w:eastAsia="en-NZ"/>
              </w:rPr>
              <w:t>0.16%</w:t>
            </w:r>
          </w:p>
        </w:tc>
      </w:tr>
      <w:tr w:rsidR="00232F0B" w:rsidRPr="00A40FD5" w14:paraId="47A33295" w14:textId="77777777" w:rsidTr="002B2970">
        <w:trPr>
          <w:cantSplit/>
        </w:trPr>
        <w:tc>
          <w:tcPr>
            <w:tcW w:w="1276" w:type="dxa"/>
            <w:shd w:val="clear" w:color="auto" w:fill="auto"/>
            <w:noWrap/>
            <w:hideMark/>
          </w:tcPr>
          <w:p w14:paraId="234C8C36" w14:textId="77777777" w:rsidR="00232F0B" w:rsidRPr="002B2970" w:rsidRDefault="00232F0B" w:rsidP="002B2970">
            <w:pPr>
              <w:pStyle w:val="TableText"/>
              <w:rPr>
                <w:color w:val="000000"/>
                <w:sz w:val="16"/>
                <w:szCs w:val="16"/>
                <w:lang w:eastAsia="en-NZ"/>
              </w:rPr>
            </w:pPr>
            <w:r w:rsidRPr="002B2970">
              <w:rPr>
                <w:color w:val="000000" w:themeColor="text1"/>
                <w:sz w:val="16"/>
                <w:szCs w:val="16"/>
                <w:lang w:eastAsia="en-NZ"/>
              </w:rPr>
              <w:t>Consents (low</w:t>
            </w:r>
            <w:r w:rsidR="002B2970">
              <w:rPr>
                <w:color w:val="000000" w:themeColor="text1"/>
                <w:sz w:val="16"/>
                <w:szCs w:val="16"/>
                <w:lang w:eastAsia="en-NZ"/>
              </w:rPr>
              <w:noBreakHyphen/>
            </w:r>
            <w:r w:rsidRPr="002B2970">
              <w:rPr>
                <w:color w:val="000000" w:themeColor="text1"/>
                <w:sz w:val="16"/>
                <w:szCs w:val="16"/>
                <w:lang w:eastAsia="en-NZ"/>
              </w:rPr>
              <w:t>activity)</w:t>
            </w:r>
          </w:p>
        </w:tc>
        <w:tc>
          <w:tcPr>
            <w:tcW w:w="851" w:type="dxa"/>
            <w:shd w:val="clear" w:color="auto" w:fill="auto"/>
            <w:noWrap/>
            <w:hideMark/>
          </w:tcPr>
          <w:p w14:paraId="4AABB1CF" w14:textId="77777777" w:rsidR="00232F0B" w:rsidRPr="002B2970" w:rsidRDefault="00232F0B" w:rsidP="002B2970">
            <w:pPr>
              <w:pStyle w:val="TableText"/>
              <w:tabs>
                <w:tab w:val="decimal" w:pos="567"/>
              </w:tabs>
              <w:rPr>
                <w:color w:val="000000"/>
                <w:sz w:val="16"/>
                <w:szCs w:val="16"/>
                <w:lang w:eastAsia="en-NZ"/>
              </w:rPr>
            </w:pPr>
            <w:r w:rsidRPr="002B2970">
              <w:rPr>
                <w:color w:val="000000"/>
                <w:sz w:val="16"/>
                <w:szCs w:val="16"/>
                <w:lang w:eastAsia="en-NZ"/>
              </w:rPr>
              <w:t>172</w:t>
            </w:r>
          </w:p>
        </w:tc>
        <w:tc>
          <w:tcPr>
            <w:tcW w:w="1134" w:type="dxa"/>
            <w:shd w:val="clear" w:color="auto" w:fill="auto"/>
            <w:noWrap/>
            <w:hideMark/>
          </w:tcPr>
          <w:p w14:paraId="37D122E6" w14:textId="77777777" w:rsidR="00232F0B" w:rsidRPr="002B2970" w:rsidRDefault="00232F0B" w:rsidP="002B2970">
            <w:pPr>
              <w:pStyle w:val="TableText"/>
              <w:tabs>
                <w:tab w:val="decimal" w:pos="935"/>
              </w:tabs>
              <w:rPr>
                <w:color w:val="000000"/>
                <w:sz w:val="16"/>
                <w:szCs w:val="16"/>
                <w:lang w:eastAsia="en-NZ"/>
              </w:rPr>
            </w:pPr>
            <w:r w:rsidRPr="002B2970">
              <w:rPr>
                <w:color w:val="000000"/>
                <w:sz w:val="16"/>
                <w:szCs w:val="16"/>
                <w:lang w:eastAsia="en-NZ"/>
              </w:rPr>
              <w:t>$24,985</w:t>
            </w:r>
          </w:p>
        </w:tc>
        <w:tc>
          <w:tcPr>
            <w:tcW w:w="992" w:type="dxa"/>
            <w:shd w:val="clear" w:color="auto" w:fill="auto"/>
            <w:noWrap/>
            <w:hideMark/>
          </w:tcPr>
          <w:p w14:paraId="6D349D14" w14:textId="77777777" w:rsidR="00232F0B" w:rsidRPr="002B2970" w:rsidRDefault="00232F0B" w:rsidP="002B2970">
            <w:pPr>
              <w:pStyle w:val="TableText"/>
              <w:tabs>
                <w:tab w:val="decimal" w:pos="822"/>
              </w:tabs>
              <w:rPr>
                <w:color w:val="000000"/>
                <w:sz w:val="16"/>
                <w:szCs w:val="16"/>
                <w:lang w:eastAsia="en-NZ"/>
              </w:rPr>
            </w:pPr>
            <w:r w:rsidRPr="002B2970">
              <w:rPr>
                <w:color w:val="000000"/>
                <w:sz w:val="16"/>
                <w:szCs w:val="16"/>
                <w:lang w:eastAsia="en-NZ"/>
              </w:rPr>
              <w:t>$0</w:t>
            </w:r>
          </w:p>
        </w:tc>
        <w:tc>
          <w:tcPr>
            <w:tcW w:w="992" w:type="dxa"/>
            <w:shd w:val="clear" w:color="auto" w:fill="auto"/>
            <w:noWrap/>
            <w:hideMark/>
          </w:tcPr>
          <w:p w14:paraId="167B0C11" w14:textId="77777777" w:rsidR="00232F0B" w:rsidRPr="002B2970" w:rsidRDefault="00232F0B" w:rsidP="002B2970">
            <w:pPr>
              <w:pStyle w:val="TableText"/>
              <w:tabs>
                <w:tab w:val="decimal" w:pos="709"/>
              </w:tabs>
              <w:rPr>
                <w:color w:val="000000"/>
                <w:sz w:val="16"/>
                <w:szCs w:val="16"/>
                <w:lang w:eastAsia="en-NZ"/>
              </w:rPr>
            </w:pPr>
            <w:r w:rsidRPr="002B2970">
              <w:rPr>
                <w:color w:val="000000"/>
                <w:sz w:val="16"/>
                <w:szCs w:val="16"/>
                <w:lang w:eastAsia="en-NZ"/>
              </w:rPr>
              <w:t>$3,030</w:t>
            </w:r>
          </w:p>
        </w:tc>
        <w:tc>
          <w:tcPr>
            <w:tcW w:w="1276" w:type="dxa"/>
            <w:shd w:val="clear" w:color="auto" w:fill="auto"/>
            <w:noWrap/>
            <w:hideMark/>
          </w:tcPr>
          <w:p w14:paraId="098AAF23" w14:textId="77777777" w:rsidR="00232F0B" w:rsidRPr="002B2970" w:rsidRDefault="00232F0B" w:rsidP="002B2970">
            <w:pPr>
              <w:pStyle w:val="TableText"/>
              <w:tabs>
                <w:tab w:val="decimal" w:pos="851"/>
              </w:tabs>
              <w:rPr>
                <w:color w:val="000000"/>
                <w:sz w:val="16"/>
                <w:szCs w:val="16"/>
                <w:lang w:eastAsia="en-NZ"/>
              </w:rPr>
            </w:pPr>
            <w:r w:rsidRPr="002B2970">
              <w:rPr>
                <w:color w:val="000000"/>
                <w:sz w:val="16"/>
                <w:szCs w:val="16"/>
                <w:lang w:eastAsia="en-NZ"/>
              </w:rPr>
              <w:t>$0</w:t>
            </w:r>
          </w:p>
        </w:tc>
        <w:tc>
          <w:tcPr>
            <w:tcW w:w="992" w:type="dxa"/>
            <w:shd w:val="clear" w:color="auto" w:fill="auto"/>
            <w:noWrap/>
            <w:hideMark/>
          </w:tcPr>
          <w:p w14:paraId="286D85B8" w14:textId="77777777" w:rsidR="00232F0B" w:rsidRPr="002B2970" w:rsidRDefault="00232F0B" w:rsidP="002B2970">
            <w:pPr>
              <w:pStyle w:val="TableText"/>
              <w:tabs>
                <w:tab w:val="decimal" w:pos="793"/>
              </w:tabs>
              <w:rPr>
                <w:color w:val="000000"/>
                <w:sz w:val="16"/>
                <w:szCs w:val="16"/>
                <w:lang w:eastAsia="en-NZ"/>
              </w:rPr>
            </w:pPr>
            <w:r w:rsidRPr="002B2970">
              <w:rPr>
                <w:color w:val="000000" w:themeColor="text1"/>
                <w:sz w:val="16"/>
                <w:szCs w:val="16"/>
                <w:lang w:eastAsia="en-NZ"/>
              </w:rPr>
              <w:t>$28,015</w:t>
            </w:r>
          </w:p>
        </w:tc>
        <w:tc>
          <w:tcPr>
            <w:tcW w:w="709" w:type="dxa"/>
            <w:shd w:val="clear" w:color="auto" w:fill="auto"/>
            <w:noWrap/>
            <w:hideMark/>
          </w:tcPr>
          <w:p w14:paraId="0CAF9992" w14:textId="77777777" w:rsidR="00232F0B" w:rsidRPr="002B2970" w:rsidRDefault="00232F0B" w:rsidP="002B2970">
            <w:pPr>
              <w:pStyle w:val="TableText"/>
              <w:tabs>
                <w:tab w:val="decimal" w:pos="271"/>
              </w:tabs>
              <w:rPr>
                <w:color w:val="000000"/>
                <w:sz w:val="16"/>
                <w:szCs w:val="16"/>
                <w:lang w:eastAsia="en-NZ"/>
              </w:rPr>
            </w:pPr>
            <w:r w:rsidRPr="002B2970">
              <w:rPr>
                <w:color w:val="000000" w:themeColor="text1"/>
                <w:sz w:val="16"/>
                <w:szCs w:val="16"/>
                <w:lang w:eastAsia="en-NZ"/>
              </w:rPr>
              <w:t>1.04%</w:t>
            </w:r>
          </w:p>
        </w:tc>
      </w:tr>
      <w:tr w:rsidR="00232F0B" w:rsidRPr="00A40FD5" w14:paraId="288C7396" w14:textId="77777777" w:rsidTr="002B2970">
        <w:trPr>
          <w:cantSplit/>
        </w:trPr>
        <w:tc>
          <w:tcPr>
            <w:tcW w:w="1276" w:type="dxa"/>
            <w:shd w:val="clear" w:color="auto" w:fill="auto"/>
            <w:noWrap/>
            <w:hideMark/>
          </w:tcPr>
          <w:p w14:paraId="5AD84EFA" w14:textId="77777777" w:rsidR="00232F0B" w:rsidRPr="002B2970" w:rsidRDefault="00232F0B" w:rsidP="002B2970">
            <w:pPr>
              <w:pStyle w:val="TableText"/>
              <w:rPr>
                <w:color w:val="000000"/>
                <w:sz w:val="16"/>
                <w:szCs w:val="16"/>
                <w:lang w:eastAsia="en-NZ"/>
              </w:rPr>
            </w:pPr>
            <w:r w:rsidRPr="002B2970">
              <w:rPr>
                <w:color w:val="000000" w:themeColor="text1"/>
                <w:sz w:val="16"/>
                <w:szCs w:val="16"/>
                <w:lang w:eastAsia="en-NZ"/>
              </w:rPr>
              <w:t>Consents (unsealed multi</w:t>
            </w:r>
            <w:r w:rsidR="002B2970">
              <w:rPr>
                <w:color w:val="000000" w:themeColor="text1"/>
                <w:sz w:val="16"/>
                <w:szCs w:val="16"/>
                <w:lang w:eastAsia="en-NZ"/>
              </w:rPr>
              <w:noBreakHyphen/>
            </w:r>
            <w:r w:rsidRPr="002B2970">
              <w:rPr>
                <w:color w:val="000000" w:themeColor="text1"/>
                <w:sz w:val="16"/>
                <w:szCs w:val="16"/>
                <w:lang w:eastAsia="en-NZ"/>
              </w:rPr>
              <w:t>event)</w:t>
            </w:r>
          </w:p>
        </w:tc>
        <w:tc>
          <w:tcPr>
            <w:tcW w:w="851" w:type="dxa"/>
            <w:shd w:val="clear" w:color="auto" w:fill="auto"/>
            <w:noWrap/>
            <w:hideMark/>
          </w:tcPr>
          <w:p w14:paraId="375AA649" w14:textId="77777777" w:rsidR="00232F0B" w:rsidRPr="002B2970" w:rsidRDefault="00232F0B" w:rsidP="002B2970">
            <w:pPr>
              <w:pStyle w:val="TableText"/>
              <w:tabs>
                <w:tab w:val="decimal" w:pos="567"/>
              </w:tabs>
              <w:rPr>
                <w:color w:val="000000"/>
                <w:sz w:val="16"/>
                <w:szCs w:val="16"/>
                <w:lang w:eastAsia="en-NZ"/>
              </w:rPr>
            </w:pPr>
            <w:r w:rsidRPr="002B2970">
              <w:rPr>
                <w:color w:val="000000"/>
                <w:sz w:val="16"/>
                <w:szCs w:val="16"/>
                <w:lang w:eastAsia="en-NZ"/>
              </w:rPr>
              <w:t>5</w:t>
            </w:r>
          </w:p>
        </w:tc>
        <w:tc>
          <w:tcPr>
            <w:tcW w:w="1134" w:type="dxa"/>
            <w:shd w:val="clear" w:color="auto" w:fill="auto"/>
            <w:noWrap/>
            <w:hideMark/>
          </w:tcPr>
          <w:p w14:paraId="2BAA13B7" w14:textId="77777777" w:rsidR="00232F0B" w:rsidRPr="002B2970" w:rsidRDefault="00232F0B" w:rsidP="002B2970">
            <w:pPr>
              <w:pStyle w:val="TableText"/>
              <w:tabs>
                <w:tab w:val="decimal" w:pos="935"/>
              </w:tabs>
              <w:rPr>
                <w:color w:val="000000"/>
                <w:sz w:val="16"/>
                <w:szCs w:val="16"/>
                <w:lang w:eastAsia="en-NZ"/>
              </w:rPr>
            </w:pPr>
            <w:r w:rsidRPr="002B2970">
              <w:rPr>
                <w:color w:val="000000"/>
                <w:sz w:val="16"/>
                <w:szCs w:val="16"/>
                <w:lang w:eastAsia="en-NZ"/>
              </w:rPr>
              <w:t>$726</w:t>
            </w:r>
          </w:p>
        </w:tc>
        <w:tc>
          <w:tcPr>
            <w:tcW w:w="992" w:type="dxa"/>
            <w:shd w:val="clear" w:color="auto" w:fill="auto"/>
            <w:noWrap/>
            <w:hideMark/>
          </w:tcPr>
          <w:p w14:paraId="36C31B1D" w14:textId="77777777" w:rsidR="00232F0B" w:rsidRPr="002B2970" w:rsidRDefault="00232F0B" w:rsidP="002B2970">
            <w:pPr>
              <w:pStyle w:val="TableText"/>
              <w:tabs>
                <w:tab w:val="decimal" w:pos="822"/>
              </w:tabs>
              <w:rPr>
                <w:color w:val="000000"/>
                <w:sz w:val="16"/>
                <w:szCs w:val="16"/>
                <w:lang w:eastAsia="en-NZ"/>
              </w:rPr>
            </w:pPr>
            <w:r w:rsidRPr="002B2970">
              <w:rPr>
                <w:color w:val="000000"/>
                <w:sz w:val="16"/>
                <w:szCs w:val="16"/>
                <w:lang w:eastAsia="en-NZ"/>
              </w:rPr>
              <w:t>$0</w:t>
            </w:r>
          </w:p>
        </w:tc>
        <w:tc>
          <w:tcPr>
            <w:tcW w:w="992" w:type="dxa"/>
            <w:shd w:val="clear" w:color="auto" w:fill="auto"/>
            <w:noWrap/>
            <w:hideMark/>
          </w:tcPr>
          <w:p w14:paraId="75F3F3E2" w14:textId="77777777" w:rsidR="00232F0B" w:rsidRPr="002B2970" w:rsidRDefault="00232F0B" w:rsidP="002B2970">
            <w:pPr>
              <w:pStyle w:val="TableText"/>
              <w:tabs>
                <w:tab w:val="decimal" w:pos="709"/>
              </w:tabs>
              <w:rPr>
                <w:color w:val="000000"/>
                <w:sz w:val="16"/>
                <w:szCs w:val="16"/>
                <w:lang w:eastAsia="en-NZ"/>
              </w:rPr>
            </w:pPr>
            <w:r w:rsidRPr="002B2970">
              <w:rPr>
                <w:color w:val="000000"/>
                <w:sz w:val="16"/>
                <w:szCs w:val="16"/>
                <w:lang w:eastAsia="en-NZ"/>
              </w:rPr>
              <w:t>$88</w:t>
            </w:r>
          </w:p>
        </w:tc>
        <w:tc>
          <w:tcPr>
            <w:tcW w:w="1276" w:type="dxa"/>
            <w:shd w:val="clear" w:color="auto" w:fill="auto"/>
            <w:noWrap/>
            <w:hideMark/>
          </w:tcPr>
          <w:p w14:paraId="2AE028D4" w14:textId="77777777" w:rsidR="00232F0B" w:rsidRPr="002B2970" w:rsidRDefault="00232F0B" w:rsidP="002B2970">
            <w:pPr>
              <w:pStyle w:val="TableText"/>
              <w:tabs>
                <w:tab w:val="decimal" w:pos="851"/>
              </w:tabs>
              <w:rPr>
                <w:color w:val="000000"/>
                <w:sz w:val="16"/>
                <w:szCs w:val="16"/>
                <w:lang w:eastAsia="en-NZ"/>
              </w:rPr>
            </w:pPr>
            <w:r w:rsidRPr="002B2970">
              <w:rPr>
                <w:color w:val="000000"/>
                <w:sz w:val="16"/>
                <w:szCs w:val="16"/>
                <w:lang w:eastAsia="en-NZ"/>
              </w:rPr>
              <w:t>$0</w:t>
            </w:r>
          </w:p>
        </w:tc>
        <w:tc>
          <w:tcPr>
            <w:tcW w:w="992" w:type="dxa"/>
            <w:shd w:val="clear" w:color="auto" w:fill="auto"/>
            <w:noWrap/>
            <w:hideMark/>
          </w:tcPr>
          <w:p w14:paraId="748B0D14" w14:textId="77777777" w:rsidR="00232F0B" w:rsidRPr="002B2970" w:rsidRDefault="00232F0B" w:rsidP="002B2970">
            <w:pPr>
              <w:pStyle w:val="TableText"/>
              <w:tabs>
                <w:tab w:val="decimal" w:pos="793"/>
              </w:tabs>
              <w:rPr>
                <w:color w:val="000000"/>
                <w:sz w:val="16"/>
                <w:szCs w:val="16"/>
                <w:lang w:eastAsia="en-NZ"/>
              </w:rPr>
            </w:pPr>
            <w:r w:rsidRPr="002B2970">
              <w:rPr>
                <w:color w:val="000000" w:themeColor="text1"/>
                <w:sz w:val="16"/>
                <w:szCs w:val="16"/>
                <w:lang w:eastAsia="en-NZ"/>
              </w:rPr>
              <w:t>$814</w:t>
            </w:r>
          </w:p>
        </w:tc>
        <w:tc>
          <w:tcPr>
            <w:tcW w:w="709" w:type="dxa"/>
            <w:shd w:val="clear" w:color="auto" w:fill="auto"/>
            <w:noWrap/>
            <w:hideMark/>
          </w:tcPr>
          <w:p w14:paraId="15819DB9" w14:textId="77777777" w:rsidR="00232F0B" w:rsidRPr="002B2970" w:rsidRDefault="00232F0B" w:rsidP="002B2970">
            <w:pPr>
              <w:pStyle w:val="TableText"/>
              <w:tabs>
                <w:tab w:val="decimal" w:pos="271"/>
              </w:tabs>
              <w:rPr>
                <w:color w:val="000000"/>
                <w:sz w:val="16"/>
                <w:szCs w:val="16"/>
                <w:lang w:eastAsia="en-NZ"/>
              </w:rPr>
            </w:pPr>
            <w:r w:rsidRPr="002B2970">
              <w:rPr>
                <w:color w:val="000000"/>
                <w:sz w:val="16"/>
                <w:szCs w:val="16"/>
                <w:lang w:eastAsia="en-NZ"/>
              </w:rPr>
              <w:t>0.03%</w:t>
            </w:r>
          </w:p>
        </w:tc>
      </w:tr>
      <w:tr w:rsidR="00232F0B" w:rsidRPr="00A40FD5" w14:paraId="43E6F638" w14:textId="77777777" w:rsidTr="002B2970">
        <w:trPr>
          <w:cantSplit/>
        </w:trPr>
        <w:tc>
          <w:tcPr>
            <w:tcW w:w="1276" w:type="dxa"/>
            <w:shd w:val="clear" w:color="auto" w:fill="auto"/>
            <w:noWrap/>
            <w:hideMark/>
          </w:tcPr>
          <w:p w14:paraId="2F3B0FDE" w14:textId="77777777" w:rsidR="00232F0B" w:rsidRPr="002B2970" w:rsidRDefault="00232F0B" w:rsidP="003B7E58">
            <w:pPr>
              <w:pStyle w:val="TableText"/>
              <w:rPr>
                <w:color w:val="000000"/>
                <w:sz w:val="16"/>
                <w:szCs w:val="16"/>
                <w:lang w:eastAsia="en-NZ"/>
              </w:rPr>
            </w:pPr>
            <w:r w:rsidRPr="002B2970">
              <w:rPr>
                <w:color w:val="000000"/>
                <w:sz w:val="16"/>
                <w:szCs w:val="16"/>
                <w:lang w:eastAsia="en-NZ"/>
              </w:rPr>
              <w:t>Totals</w:t>
            </w:r>
          </w:p>
        </w:tc>
        <w:tc>
          <w:tcPr>
            <w:tcW w:w="851" w:type="dxa"/>
            <w:shd w:val="clear" w:color="auto" w:fill="auto"/>
            <w:noWrap/>
            <w:hideMark/>
          </w:tcPr>
          <w:p w14:paraId="07DC9157" w14:textId="77777777" w:rsidR="00232F0B" w:rsidRPr="002B2970" w:rsidRDefault="00232F0B" w:rsidP="002B2970">
            <w:pPr>
              <w:pStyle w:val="TableText"/>
              <w:tabs>
                <w:tab w:val="decimal" w:pos="567"/>
              </w:tabs>
              <w:rPr>
                <w:color w:val="000000"/>
                <w:sz w:val="16"/>
                <w:szCs w:val="16"/>
                <w:lang w:eastAsia="en-NZ"/>
              </w:rPr>
            </w:pPr>
            <w:r w:rsidRPr="002B2970">
              <w:rPr>
                <w:color w:val="000000"/>
                <w:sz w:val="16"/>
                <w:szCs w:val="16"/>
                <w:lang w:eastAsia="en-NZ"/>
              </w:rPr>
              <w:t>3</w:t>
            </w:r>
            <w:r w:rsidR="002B2970">
              <w:rPr>
                <w:color w:val="000000"/>
                <w:sz w:val="16"/>
                <w:szCs w:val="16"/>
                <w:lang w:eastAsia="en-NZ"/>
              </w:rPr>
              <w:t>,</w:t>
            </w:r>
            <w:r w:rsidRPr="002B2970">
              <w:rPr>
                <w:color w:val="000000"/>
                <w:sz w:val="16"/>
                <w:szCs w:val="16"/>
                <w:lang w:eastAsia="en-NZ"/>
              </w:rPr>
              <w:t>690</w:t>
            </w:r>
          </w:p>
        </w:tc>
        <w:tc>
          <w:tcPr>
            <w:tcW w:w="1134" w:type="dxa"/>
            <w:shd w:val="clear" w:color="auto" w:fill="auto"/>
            <w:noWrap/>
            <w:hideMark/>
          </w:tcPr>
          <w:p w14:paraId="33C07A57" w14:textId="77777777" w:rsidR="00232F0B" w:rsidRPr="002B2970" w:rsidRDefault="00232F0B" w:rsidP="002B2970">
            <w:pPr>
              <w:pStyle w:val="TableText"/>
              <w:tabs>
                <w:tab w:val="decimal" w:pos="935"/>
              </w:tabs>
              <w:rPr>
                <w:color w:val="000000"/>
                <w:sz w:val="16"/>
                <w:szCs w:val="16"/>
                <w:lang w:eastAsia="en-NZ"/>
              </w:rPr>
            </w:pPr>
            <w:r w:rsidRPr="002B2970">
              <w:rPr>
                <w:color w:val="000000"/>
                <w:sz w:val="16"/>
                <w:szCs w:val="16"/>
                <w:lang w:eastAsia="en-NZ"/>
              </w:rPr>
              <w:t>$1,038,778</w:t>
            </w:r>
          </w:p>
        </w:tc>
        <w:tc>
          <w:tcPr>
            <w:tcW w:w="992" w:type="dxa"/>
            <w:shd w:val="clear" w:color="auto" w:fill="auto"/>
            <w:noWrap/>
            <w:hideMark/>
          </w:tcPr>
          <w:p w14:paraId="7A223D3C" w14:textId="77777777" w:rsidR="00232F0B" w:rsidRPr="002B2970" w:rsidRDefault="00232F0B" w:rsidP="002B2970">
            <w:pPr>
              <w:pStyle w:val="TableText"/>
              <w:tabs>
                <w:tab w:val="decimal" w:pos="822"/>
              </w:tabs>
              <w:rPr>
                <w:color w:val="000000"/>
                <w:sz w:val="16"/>
                <w:szCs w:val="16"/>
                <w:lang w:eastAsia="en-NZ"/>
              </w:rPr>
            </w:pPr>
            <w:r w:rsidRPr="002B2970">
              <w:rPr>
                <w:color w:val="000000"/>
                <w:sz w:val="16"/>
                <w:szCs w:val="16"/>
                <w:lang w:eastAsia="en-NZ"/>
              </w:rPr>
              <w:t>$1,368,997</w:t>
            </w:r>
          </w:p>
        </w:tc>
        <w:tc>
          <w:tcPr>
            <w:tcW w:w="992" w:type="dxa"/>
            <w:shd w:val="clear" w:color="auto" w:fill="auto"/>
            <w:noWrap/>
            <w:hideMark/>
          </w:tcPr>
          <w:p w14:paraId="0E941AA4" w14:textId="77777777" w:rsidR="00232F0B" w:rsidRPr="002B2970" w:rsidRDefault="00232F0B" w:rsidP="002B2970">
            <w:pPr>
              <w:pStyle w:val="TableText"/>
              <w:tabs>
                <w:tab w:val="decimal" w:pos="709"/>
              </w:tabs>
              <w:rPr>
                <w:color w:val="000000"/>
                <w:sz w:val="16"/>
                <w:szCs w:val="16"/>
                <w:lang w:eastAsia="en-NZ"/>
              </w:rPr>
            </w:pPr>
            <w:r w:rsidRPr="002B2970">
              <w:rPr>
                <w:color w:val="000000"/>
                <w:sz w:val="16"/>
                <w:szCs w:val="16"/>
                <w:lang w:eastAsia="en-NZ"/>
              </w:rPr>
              <w:t>$82,670</w:t>
            </w:r>
          </w:p>
        </w:tc>
        <w:tc>
          <w:tcPr>
            <w:tcW w:w="1276" w:type="dxa"/>
            <w:shd w:val="clear" w:color="auto" w:fill="auto"/>
            <w:noWrap/>
            <w:hideMark/>
          </w:tcPr>
          <w:p w14:paraId="62CEB229" w14:textId="77777777" w:rsidR="00232F0B" w:rsidRPr="002B2970" w:rsidRDefault="00232F0B" w:rsidP="002B2970">
            <w:pPr>
              <w:pStyle w:val="TableText"/>
              <w:tabs>
                <w:tab w:val="decimal" w:pos="851"/>
              </w:tabs>
              <w:rPr>
                <w:color w:val="000000"/>
                <w:sz w:val="16"/>
                <w:szCs w:val="16"/>
                <w:lang w:eastAsia="en-NZ"/>
              </w:rPr>
            </w:pPr>
            <w:r w:rsidRPr="002B2970">
              <w:rPr>
                <w:color w:val="000000"/>
                <w:sz w:val="16"/>
                <w:szCs w:val="16"/>
                <w:lang w:eastAsia="en-NZ"/>
              </w:rPr>
              <w:t>$200,000</w:t>
            </w:r>
          </w:p>
        </w:tc>
        <w:tc>
          <w:tcPr>
            <w:tcW w:w="992" w:type="dxa"/>
            <w:shd w:val="clear" w:color="auto" w:fill="auto"/>
            <w:noWrap/>
            <w:hideMark/>
          </w:tcPr>
          <w:p w14:paraId="2E95ABA8" w14:textId="77777777" w:rsidR="00232F0B" w:rsidRPr="002B2970" w:rsidRDefault="00232F0B" w:rsidP="002B2970">
            <w:pPr>
              <w:pStyle w:val="TableText"/>
              <w:tabs>
                <w:tab w:val="decimal" w:pos="793"/>
              </w:tabs>
              <w:rPr>
                <w:color w:val="000000"/>
                <w:sz w:val="16"/>
                <w:szCs w:val="16"/>
                <w:lang w:eastAsia="en-NZ"/>
              </w:rPr>
            </w:pPr>
            <w:r w:rsidRPr="002B2970">
              <w:rPr>
                <w:color w:val="000000"/>
                <w:sz w:val="16"/>
                <w:szCs w:val="16"/>
                <w:lang w:eastAsia="en-NZ"/>
              </w:rPr>
              <w:t>$2,690,445</w:t>
            </w:r>
          </w:p>
        </w:tc>
        <w:tc>
          <w:tcPr>
            <w:tcW w:w="709" w:type="dxa"/>
            <w:shd w:val="clear" w:color="auto" w:fill="auto"/>
            <w:noWrap/>
            <w:hideMark/>
          </w:tcPr>
          <w:p w14:paraId="3EE720ED" w14:textId="77777777" w:rsidR="00232F0B" w:rsidRPr="002B2970" w:rsidRDefault="003B7E58" w:rsidP="002B2970">
            <w:pPr>
              <w:pStyle w:val="TableText"/>
              <w:jc w:val="center"/>
              <w:rPr>
                <w:sz w:val="16"/>
                <w:szCs w:val="16"/>
                <w:lang w:eastAsia="en-NZ"/>
              </w:rPr>
            </w:pPr>
            <w:r w:rsidRPr="002B2970">
              <w:rPr>
                <w:sz w:val="16"/>
                <w:szCs w:val="16"/>
                <w:lang w:eastAsia="en-NZ"/>
              </w:rPr>
              <w:t>–</w:t>
            </w:r>
          </w:p>
        </w:tc>
      </w:tr>
    </w:tbl>
    <w:p w14:paraId="0E809F2F" w14:textId="77777777" w:rsidR="00232F0B" w:rsidRPr="00A40FD5" w:rsidRDefault="00232F0B" w:rsidP="002B2970"/>
    <w:p w14:paraId="77678392" w14:textId="57CF0BA0" w:rsidR="0087667B" w:rsidRDefault="00232F0B" w:rsidP="00DD68B8">
      <w:r>
        <w:t xml:space="preserve">The projected costs on which fees were calculated in 2017 have been found to be slightly lower than expected for consents and slightly higher than expected for use licences. Source licence projected costs in 2017 have been found to be distributed as projected, as set out in </w:t>
      </w:r>
      <w:r w:rsidR="00DD68B8">
        <w:fldChar w:fldCharType="begin"/>
      </w:r>
      <w:r w:rsidR="00DD68B8">
        <w:instrText xml:space="preserve"> REF _Ref87368682 \h </w:instrText>
      </w:r>
      <w:r w:rsidR="00DD68B8">
        <w:fldChar w:fldCharType="separate"/>
      </w:r>
      <w:r w:rsidR="003A5600">
        <w:t>Table </w:t>
      </w:r>
      <w:r w:rsidR="003A5600">
        <w:rPr>
          <w:noProof/>
        </w:rPr>
        <w:t>8</w:t>
      </w:r>
      <w:r w:rsidR="00DD68B8">
        <w:fldChar w:fldCharType="end"/>
      </w:r>
      <w:r>
        <w:t>.</w:t>
      </w:r>
    </w:p>
    <w:p w14:paraId="592F6C67" w14:textId="2AD74EB9" w:rsidR="00232F0B" w:rsidRPr="00A40FD5" w:rsidRDefault="005B5BE2" w:rsidP="00D26956">
      <w:pPr>
        <w:pStyle w:val="Table"/>
        <w:spacing w:before="360"/>
      </w:pPr>
      <w:bookmarkStart w:id="118" w:name="_Ref87368682"/>
      <w:bookmarkStart w:id="119" w:name="_Toc84916122"/>
      <w:bookmarkStart w:id="120" w:name="_Toc84916185"/>
      <w:bookmarkStart w:id="121" w:name="_Toc88644156"/>
      <w:r>
        <w:t>Table </w:t>
      </w:r>
      <w:r w:rsidR="00384F9F">
        <w:fldChar w:fldCharType="begin"/>
      </w:r>
      <w:r w:rsidR="00384F9F">
        <w:instrText xml:space="preserve"> SEQ Table \* ARABIC </w:instrText>
      </w:r>
      <w:r w:rsidR="00384F9F">
        <w:fldChar w:fldCharType="separate"/>
      </w:r>
      <w:r w:rsidR="003A5600">
        <w:rPr>
          <w:noProof/>
        </w:rPr>
        <w:t>8</w:t>
      </w:r>
      <w:r w:rsidR="00384F9F">
        <w:rPr>
          <w:noProof/>
        </w:rPr>
        <w:fldChar w:fldCharType="end"/>
      </w:r>
      <w:bookmarkEnd w:id="118"/>
      <w:r w:rsidR="00232F0B" w:rsidRPr="00A40FD5">
        <w:t>:</w:t>
      </w:r>
      <w:r>
        <w:t xml:space="preserve"> </w:t>
      </w:r>
      <w:r w:rsidR="00232F0B" w:rsidRPr="00A40FD5">
        <w:t xml:space="preserve">Current percentage distribution of fees compared </w:t>
      </w:r>
      <w:r w:rsidR="00232F0B">
        <w:t>with</w:t>
      </w:r>
      <w:r w:rsidR="00232F0B" w:rsidRPr="00A40FD5">
        <w:t xml:space="preserve"> proposed percentage distribution</w:t>
      </w:r>
      <w:bookmarkEnd w:id="119"/>
      <w:bookmarkEnd w:id="120"/>
      <w:bookmarkEnd w:id="121"/>
    </w:p>
    <w:tbl>
      <w:tblPr>
        <w:tblW w:w="0" w:type="auto"/>
        <w:tblInd w:w="57" w:type="dxa"/>
        <w:tblLayout w:type="fixed"/>
        <w:tblCellMar>
          <w:left w:w="57" w:type="dxa"/>
          <w:right w:w="57" w:type="dxa"/>
        </w:tblCellMar>
        <w:tblLook w:val="04A0" w:firstRow="1" w:lastRow="0" w:firstColumn="1" w:lastColumn="0" w:noHBand="0" w:noVBand="1"/>
      </w:tblPr>
      <w:tblGrid>
        <w:gridCol w:w="2122"/>
        <w:gridCol w:w="2199"/>
        <w:gridCol w:w="2200"/>
      </w:tblGrid>
      <w:tr w:rsidR="00232F0B" w:rsidRPr="002B2970" w14:paraId="6C3DCF37" w14:textId="77777777" w:rsidTr="002B2970">
        <w:trPr>
          <w:cantSplit/>
        </w:trPr>
        <w:tc>
          <w:tcPr>
            <w:tcW w:w="2122" w:type="dxa"/>
            <w:shd w:val="clear" w:color="auto" w:fill="D9D9D9" w:themeFill="background1" w:themeFillShade="D9"/>
            <w:noWrap/>
            <w:hideMark/>
          </w:tcPr>
          <w:p w14:paraId="0B5E88B5" w14:textId="77777777" w:rsidR="00232F0B" w:rsidRPr="002B2970" w:rsidRDefault="00232F0B" w:rsidP="002B2970">
            <w:pPr>
              <w:pStyle w:val="TableText"/>
              <w:rPr>
                <w:b/>
                <w:lang w:eastAsia="en-NZ"/>
              </w:rPr>
            </w:pPr>
          </w:p>
        </w:tc>
        <w:tc>
          <w:tcPr>
            <w:tcW w:w="2199" w:type="dxa"/>
            <w:shd w:val="clear" w:color="auto" w:fill="D9D9D9" w:themeFill="background1" w:themeFillShade="D9"/>
            <w:noWrap/>
            <w:hideMark/>
          </w:tcPr>
          <w:p w14:paraId="44AF40B3" w14:textId="77777777" w:rsidR="00232F0B" w:rsidRPr="002B2970" w:rsidRDefault="00232F0B" w:rsidP="002B2970">
            <w:pPr>
              <w:pStyle w:val="TableText"/>
              <w:jc w:val="center"/>
              <w:rPr>
                <w:b/>
                <w:lang w:eastAsia="en-NZ"/>
              </w:rPr>
            </w:pPr>
            <w:r w:rsidRPr="002B2970">
              <w:rPr>
                <w:b/>
                <w:lang w:eastAsia="en-NZ"/>
              </w:rPr>
              <w:t>2017 (current)</w:t>
            </w:r>
          </w:p>
        </w:tc>
        <w:tc>
          <w:tcPr>
            <w:tcW w:w="2200" w:type="dxa"/>
            <w:shd w:val="clear" w:color="auto" w:fill="D9D9D9" w:themeFill="background1" w:themeFillShade="D9"/>
            <w:noWrap/>
            <w:hideMark/>
          </w:tcPr>
          <w:p w14:paraId="1251EEAB" w14:textId="77777777" w:rsidR="00232F0B" w:rsidRPr="002B2970" w:rsidRDefault="00232F0B" w:rsidP="002B2970">
            <w:pPr>
              <w:pStyle w:val="TableText"/>
              <w:jc w:val="center"/>
              <w:rPr>
                <w:b/>
                <w:lang w:eastAsia="en-NZ"/>
              </w:rPr>
            </w:pPr>
            <w:r w:rsidRPr="002B2970">
              <w:rPr>
                <w:b/>
                <w:lang w:eastAsia="en-NZ"/>
              </w:rPr>
              <w:t>2022 (proposed)</w:t>
            </w:r>
          </w:p>
        </w:tc>
      </w:tr>
      <w:tr w:rsidR="00232F0B" w:rsidRPr="00A40FD5" w14:paraId="11E7F62D" w14:textId="77777777" w:rsidTr="002B2970">
        <w:trPr>
          <w:cantSplit/>
        </w:trPr>
        <w:tc>
          <w:tcPr>
            <w:tcW w:w="2122" w:type="dxa"/>
            <w:tcBorders>
              <w:bottom w:val="single" w:sz="4" w:space="0" w:color="A6A6A6" w:themeColor="background1" w:themeShade="A6"/>
            </w:tcBorders>
            <w:shd w:val="clear" w:color="auto" w:fill="auto"/>
            <w:noWrap/>
            <w:hideMark/>
          </w:tcPr>
          <w:p w14:paraId="1A435A8F" w14:textId="77777777" w:rsidR="00232F0B" w:rsidRPr="00A40FD5" w:rsidRDefault="00232F0B" w:rsidP="002B2970">
            <w:pPr>
              <w:pStyle w:val="TableText"/>
              <w:rPr>
                <w:lang w:eastAsia="en-NZ"/>
              </w:rPr>
            </w:pPr>
            <w:r w:rsidRPr="00A40FD5">
              <w:rPr>
                <w:lang w:eastAsia="en-NZ"/>
              </w:rPr>
              <w:t>Source licences</w:t>
            </w:r>
          </w:p>
        </w:tc>
        <w:tc>
          <w:tcPr>
            <w:tcW w:w="2199" w:type="dxa"/>
            <w:tcBorders>
              <w:bottom w:val="single" w:sz="4" w:space="0" w:color="A6A6A6" w:themeColor="background1" w:themeShade="A6"/>
            </w:tcBorders>
            <w:shd w:val="clear" w:color="auto" w:fill="auto"/>
            <w:noWrap/>
            <w:hideMark/>
          </w:tcPr>
          <w:p w14:paraId="24F5D0E1" w14:textId="77777777" w:rsidR="00232F0B" w:rsidRPr="00A40FD5" w:rsidRDefault="00232F0B" w:rsidP="002B2970">
            <w:pPr>
              <w:pStyle w:val="TableText"/>
              <w:tabs>
                <w:tab w:val="decimal" w:pos="1082"/>
              </w:tabs>
              <w:rPr>
                <w:lang w:eastAsia="en-NZ"/>
              </w:rPr>
            </w:pPr>
            <w:r w:rsidRPr="00A40FD5">
              <w:rPr>
                <w:lang w:eastAsia="en-NZ"/>
              </w:rPr>
              <w:t>87%</w:t>
            </w:r>
          </w:p>
        </w:tc>
        <w:tc>
          <w:tcPr>
            <w:tcW w:w="2200" w:type="dxa"/>
            <w:tcBorders>
              <w:bottom w:val="single" w:sz="4" w:space="0" w:color="A6A6A6" w:themeColor="background1" w:themeShade="A6"/>
            </w:tcBorders>
            <w:shd w:val="clear" w:color="auto" w:fill="auto"/>
            <w:noWrap/>
            <w:hideMark/>
          </w:tcPr>
          <w:p w14:paraId="055B12AC" w14:textId="77777777" w:rsidR="00232F0B" w:rsidRPr="00A40FD5" w:rsidRDefault="00232F0B" w:rsidP="002B2970">
            <w:pPr>
              <w:pStyle w:val="TableText"/>
              <w:tabs>
                <w:tab w:val="decimal" w:pos="1009"/>
              </w:tabs>
              <w:rPr>
                <w:lang w:eastAsia="en-NZ"/>
              </w:rPr>
            </w:pPr>
            <w:r w:rsidRPr="00A40FD5">
              <w:rPr>
                <w:lang w:eastAsia="en-NZ"/>
              </w:rPr>
              <w:t>87.5</w:t>
            </w:r>
            <w:r>
              <w:rPr>
                <w:lang w:eastAsia="en-NZ"/>
              </w:rPr>
              <w:t>3</w:t>
            </w:r>
            <w:r w:rsidRPr="00A40FD5">
              <w:rPr>
                <w:lang w:eastAsia="en-NZ"/>
              </w:rPr>
              <w:t>%</w:t>
            </w:r>
          </w:p>
        </w:tc>
      </w:tr>
      <w:tr w:rsidR="00232F0B" w:rsidRPr="00A40FD5" w14:paraId="5E7CB8A3" w14:textId="77777777" w:rsidTr="002B2970">
        <w:trPr>
          <w:cantSplit/>
        </w:trPr>
        <w:tc>
          <w:tcPr>
            <w:tcW w:w="2122" w:type="dxa"/>
            <w:tcBorders>
              <w:top w:val="single" w:sz="4" w:space="0" w:color="A6A6A6" w:themeColor="background1" w:themeShade="A6"/>
              <w:bottom w:val="single" w:sz="4" w:space="0" w:color="A6A6A6" w:themeColor="background1" w:themeShade="A6"/>
            </w:tcBorders>
            <w:shd w:val="clear" w:color="auto" w:fill="auto"/>
            <w:noWrap/>
            <w:hideMark/>
          </w:tcPr>
          <w:p w14:paraId="0ADBDDD7" w14:textId="77777777" w:rsidR="00232F0B" w:rsidRPr="00A40FD5" w:rsidRDefault="00232F0B" w:rsidP="002B2970">
            <w:pPr>
              <w:pStyle w:val="TableText"/>
              <w:rPr>
                <w:lang w:eastAsia="en-NZ"/>
              </w:rPr>
            </w:pPr>
            <w:r w:rsidRPr="00A40FD5">
              <w:rPr>
                <w:lang w:eastAsia="en-NZ"/>
              </w:rPr>
              <w:t>Use licences</w:t>
            </w:r>
          </w:p>
        </w:tc>
        <w:tc>
          <w:tcPr>
            <w:tcW w:w="2199" w:type="dxa"/>
            <w:tcBorders>
              <w:top w:val="single" w:sz="4" w:space="0" w:color="A6A6A6" w:themeColor="background1" w:themeShade="A6"/>
              <w:bottom w:val="single" w:sz="4" w:space="0" w:color="A6A6A6" w:themeColor="background1" w:themeShade="A6"/>
            </w:tcBorders>
            <w:shd w:val="clear" w:color="auto" w:fill="auto"/>
            <w:noWrap/>
            <w:hideMark/>
          </w:tcPr>
          <w:p w14:paraId="2FDA2B24" w14:textId="77777777" w:rsidR="00232F0B" w:rsidRPr="00A40FD5" w:rsidRDefault="00232F0B" w:rsidP="002B2970">
            <w:pPr>
              <w:pStyle w:val="TableText"/>
              <w:tabs>
                <w:tab w:val="decimal" w:pos="1082"/>
              </w:tabs>
              <w:rPr>
                <w:lang w:eastAsia="en-NZ"/>
              </w:rPr>
            </w:pPr>
            <w:r w:rsidRPr="00A40FD5">
              <w:rPr>
                <w:lang w:eastAsia="en-NZ"/>
              </w:rPr>
              <w:t>11%</w:t>
            </w:r>
          </w:p>
        </w:tc>
        <w:tc>
          <w:tcPr>
            <w:tcW w:w="2200" w:type="dxa"/>
            <w:tcBorders>
              <w:top w:val="single" w:sz="4" w:space="0" w:color="A6A6A6" w:themeColor="background1" w:themeShade="A6"/>
              <w:bottom w:val="single" w:sz="4" w:space="0" w:color="A6A6A6" w:themeColor="background1" w:themeShade="A6"/>
            </w:tcBorders>
            <w:shd w:val="clear" w:color="auto" w:fill="auto"/>
            <w:noWrap/>
            <w:hideMark/>
          </w:tcPr>
          <w:p w14:paraId="5FB5DA18" w14:textId="77777777" w:rsidR="00232F0B" w:rsidRPr="00A40FD5" w:rsidRDefault="00232F0B" w:rsidP="002B2970">
            <w:pPr>
              <w:pStyle w:val="TableText"/>
              <w:tabs>
                <w:tab w:val="decimal" w:pos="1009"/>
              </w:tabs>
              <w:rPr>
                <w:lang w:eastAsia="en-NZ"/>
              </w:rPr>
            </w:pPr>
            <w:r w:rsidRPr="00A40FD5">
              <w:rPr>
                <w:lang w:eastAsia="en-NZ"/>
              </w:rPr>
              <w:t>11.2</w:t>
            </w:r>
            <w:r>
              <w:rPr>
                <w:lang w:eastAsia="en-NZ"/>
              </w:rPr>
              <w:t>3</w:t>
            </w:r>
            <w:r w:rsidRPr="00A40FD5">
              <w:rPr>
                <w:lang w:eastAsia="en-NZ"/>
              </w:rPr>
              <w:t>%</w:t>
            </w:r>
          </w:p>
        </w:tc>
      </w:tr>
      <w:tr w:rsidR="00232F0B" w:rsidRPr="00A40FD5" w14:paraId="1C108735" w14:textId="77777777" w:rsidTr="002B2970">
        <w:trPr>
          <w:cantSplit/>
        </w:trPr>
        <w:tc>
          <w:tcPr>
            <w:tcW w:w="2122" w:type="dxa"/>
            <w:tcBorders>
              <w:top w:val="single" w:sz="4" w:space="0" w:color="A6A6A6" w:themeColor="background1" w:themeShade="A6"/>
              <w:bottom w:val="single" w:sz="4" w:space="0" w:color="A6A6A6" w:themeColor="background1" w:themeShade="A6"/>
            </w:tcBorders>
            <w:shd w:val="clear" w:color="auto" w:fill="auto"/>
            <w:noWrap/>
            <w:hideMark/>
          </w:tcPr>
          <w:p w14:paraId="71C430F6" w14:textId="77777777" w:rsidR="00232F0B" w:rsidRPr="00A40FD5" w:rsidRDefault="002B2970" w:rsidP="002B2970">
            <w:pPr>
              <w:pStyle w:val="TableText"/>
              <w:rPr>
                <w:lang w:eastAsia="en-NZ"/>
              </w:rPr>
            </w:pPr>
            <w:r>
              <w:rPr>
                <w:lang w:eastAsia="en-NZ"/>
              </w:rPr>
              <w:t>Consents</w:t>
            </w:r>
          </w:p>
        </w:tc>
        <w:tc>
          <w:tcPr>
            <w:tcW w:w="2199" w:type="dxa"/>
            <w:tcBorders>
              <w:top w:val="single" w:sz="4" w:space="0" w:color="A6A6A6" w:themeColor="background1" w:themeShade="A6"/>
              <w:bottom w:val="single" w:sz="4" w:space="0" w:color="A6A6A6" w:themeColor="background1" w:themeShade="A6"/>
            </w:tcBorders>
            <w:shd w:val="clear" w:color="auto" w:fill="auto"/>
            <w:noWrap/>
            <w:hideMark/>
          </w:tcPr>
          <w:p w14:paraId="0E972EDA" w14:textId="77777777" w:rsidR="00232F0B" w:rsidRPr="00A40FD5" w:rsidRDefault="00232F0B" w:rsidP="002B2970">
            <w:pPr>
              <w:pStyle w:val="TableText"/>
              <w:tabs>
                <w:tab w:val="decimal" w:pos="1082"/>
              </w:tabs>
              <w:rPr>
                <w:lang w:eastAsia="en-NZ"/>
              </w:rPr>
            </w:pPr>
            <w:r w:rsidRPr="00A40FD5">
              <w:rPr>
                <w:lang w:eastAsia="en-NZ"/>
              </w:rPr>
              <w:t>2%</w:t>
            </w:r>
          </w:p>
        </w:tc>
        <w:tc>
          <w:tcPr>
            <w:tcW w:w="2200" w:type="dxa"/>
            <w:tcBorders>
              <w:top w:val="single" w:sz="4" w:space="0" w:color="A6A6A6" w:themeColor="background1" w:themeShade="A6"/>
              <w:bottom w:val="single" w:sz="4" w:space="0" w:color="A6A6A6" w:themeColor="background1" w:themeShade="A6"/>
            </w:tcBorders>
            <w:shd w:val="clear" w:color="auto" w:fill="auto"/>
            <w:noWrap/>
            <w:hideMark/>
          </w:tcPr>
          <w:p w14:paraId="58ED20CF" w14:textId="77777777" w:rsidR="00232F0B" w:rsidRPr="00A40FD5" w:rsidRDefault="00232F0B" w:rsidP="002B2970">
            <w:pPr>
              <w:pStyle w:val="TableText"/>
              <w:tabs>
                <w:tab w:val="decimal" w:pos="1009"/>
              </w:tabs>
              <w:rPr>
                <w:lang w:eastAsia="en-NZ"/>
              </w:rPr>
            </w:pPr>
            <w:r w:rsidRPr="00A40FD5">
              <w:rPr>
                <w:lang w:eastAsia="en-NZ"/>
              </w:rPr>
              <w:t>1.24%</w:t>
            </w:r>
          </w:p>
        </w:tc>
      </w:tr>
    </w:tbl>
    <w:p w14:paraId="411FC635" w14:textId="77777777" w:rsidR="00232F0B" w:rsidRPr="00A40FD5" w:rsidRDefault="00232F0B" w:rsidP="002B2970"/>
    <w:p w14:paraId="7B03C3CE" w14:textId="77777777" w:rsidR="00232F0B" w:rsidRPr="00A40FD5" w:rsidRDefault="00232F0B" w:rsidP="005B5BE2">
      <w:pPr>
        <w:pStyle w:val="Heading3"/>
      </w:pPr>
      <w:bookmarkStart w:id="122" w:name="_Toc83118727"/>
      <w:bookmarkStart w:id="123" w:name="_Toc83130206"/>
      <w:bookmarkStart w:id="124" w:name="_Toc83133475"/>
      <w:r>
        <w:t>Preferred option (and status quo option)</w:t>
      </w:r>
      <w:bookmarkEnd w:id="122"/>
      <w:bookmarkEnd w:id="123"/>
      <w:bookmarkEnd w:id="124"/>
    </w:p>
    <w:p w14:paraId="5A7BACE5" w14:textId="77777777" w:rsidR="0087667B" w:rsidRDefault="00232F0B" w:rsidP="00DD68B8">
      <w:r w:rsidRPr="00A40FD5">
        <w:t xml:space="preserve">The </w:t>
      </w:r>
      <w:r>
        <w:t>preferred option</w:t>
      </w:r>
      <w:r w:rsidRPr="00A40FD5">
        <w:t xml:space="preserve"> </w:t>
      </w:r>
      <w:r>
        <w:t>for distributing fees across the authorisation types is to assign the fees based on where the costs are generated. This is the same method that was applied when the fees first came into force in 2017. Therefore, the preferred option is also the status quo option.</w:t>
      </w:r>
    </w:p>
    <w:p w14:paraId="55A4BF28" w14:textId="77777777" w:rsidR="00DD68B8" w:rsidRDefault="00DD68B8" w:rsidP="00DD68B8"/>
    <w:p w14:paraId="2C4645F0" w14:textId="77777777" w:rsidR="00232F0B" w:rsidRPr="00A40FD5" w:rsidRDefault="00232F0B" w:rsidP="005B5BE2">
      <w:pPr>
        <w:pStyle w:val="Heading3"/>
      </w:pPr>
      <w:bookmarkStart w:id="125" w:name="_Toc83118728"/>
      <w:bookmarkStart w:id="126" w:name="_Toc83130207"/>
      <w:bookmarkStart w:id="127" w:name="_Toc83133476"/>
      <w:r w:rsidRPr="00A40FD5">
        <w:t>Alternative option</w:t>
      </w:r>
      <w:bookmarkEnd w:id="125"/>
      <w:bookmarkEnd w:id="126"/>
      <w:bookmarkEnd w:id="127"/>
    </w:p>
    <w:p w14:paraId="1EF5CAF3" w14:textId="77777777" w:rsidR="0087667B" w:rsidRDefault="00232F0B" w:rsidP="00DD68B8">
      <w:r>
        <w:t>Any alternative option would require the distribution of fees to be altered from where the costs are generated. That is, one authorisation type would be subsidising another authorisation type (cross-subsidising).</w:t>
      </w:r>
    </w:p>
    <w:p w14:paraId="5677A00C" w14:textId="77777777" w:rsidR="00232F0B" w:rsidRPr="009A6999" w:rsidRDefault="00232F0B" w:rsidP="00DD68B8"/>
    <w:p w14:paraId="4643C90C" w14:textId="77777777" w:rsidR="0087667B" w:rsidRDefault="00232F0B" w:rsidP="00DD68B8">
      <w:r>
        <w:t>Cross-subsidisation would need to be justified and follow</w:t>
      </w:r>
      <w:r w:rsidRPr="006E7FDA">
        <w:t xml:space="preserve"> the principles of </w:t>
      </w:r>
      <w:r w:rsidRPr="0087667B">
        <w:t>equity, efficiency, justifiability, transparency and ease of administration as outlined in section</w:t>
      </w:r>
      <w:r w:rsidR="00DD68B8">
        <w:t> </w:t>
      </w:r>
      <w:r w:rsidRPr="0087667B">
        <w:t xml:space="preserve">92(3) of the Act. In addition, </w:t>
      </w:r>
      <w:r w:rsidRPr="006E7FDA">
        <w:t xml:space="preserve">any arguments for </w:t>
      </w:r>
      <w:r>
        <w:t>a cross-subsidised</w:t>
      </w:r>
      <w:r w:rsidRPr="006E7FDA">
        <w:t xml:space="preserve"> model under the Regulations would need to </w:t>
      </w:r>
      <w:r>
        <w:t>protect</w:t>
      </w:r>
      <w:r w:rsidRPr="006E7FDA">
        <w:t xml:space="preserve"> the health and safety of people</w:t>
      </w:r>
      <w:r>
        <w:t xml:space="preserve"> and</w:t>
      </w:r>
      <w:r w:rsidRPr="006E7FDA">
        <w:t xml:space="preserve"> the environment </w:t>
      </w:r>
      <w:r>
        <w:t>and</w:t>
      </w:r>
      <w:r w:rsidRPr="006E7FDA">
        <w:t xml:space="preserve"> </w:t>
      </w:r>
      <w:r>
        <w:t xml:space="preserve">meet any </w:t>
      </w:r>
      <w:r w:rsidRPr="006E7FDA">
        <w:t xml:space="preserve">international obligation New Zealand </w:t>
      </w:r>
      <w:r>
        <w:t>around</w:t>
      </w:r>
      <w:r w:rsidRPr="006E7FDA">
        <w:t xml:space="preserve"> radiation protection, safety, security </w:t>
      </w:r>
      <w:r>
        <w:t>and</w:t>
      </w:r>
      <w:r w:rsidRPr="006E7FDA">
        <w:t xml:space="preserve"> nuclear non-proliferation in the way that these matters are set out in section 3 (Purposes) of the Act.</w:t>
      </w:r>
    </w:p>
    <w:p w14:paraId="31849F49" w14:textId="77777777" w:rsidR="00232F0B" w:rsidRPr="006E7FDA" w:rsidRDefault="00232F0B" w:rsidP="00DD68B8"/>
    <w:p w14:paraId="47DF89C3" w14:textId="77777777" w:rsidR="0087667B" w:rsidRDefault="00232F0B" w:rsidP="00DD68B8">
      <w:r>
        <w:t>An</w:t>
      </w:r>
      <w:r w:rsidRPr="006E7FDA">
        <w:t xml:space="preserve"> argument for a </w:t>
      </w:r>
      <w:r>
        <w:t>cross-subsidisation</w:t>
      </w:r>
      <w:r w:rsidRPr="006E7FDA">
        <w:t xml:space="preserve"> model is within scope of this consultation</w:t>
      </w:r>
      <w:r>
        <w:t>,</w:t>
      </w:r>
      <w:r w:rsidRPr="006E7FDA">
        <w:t xml:space="preserve"> and therefore, any submissions received on this matter will be considered.</w:t>
      </w:r>
    </w:p>
    <w:p w14:paraId="65B4DA4D" w14:textId="77777777" w:rsidR="00232F0B" w:rsidRPr="00A40FD5" w:rsidRDefault="00232F0B" w:rsidP="00DD68B8"/>
    <w:p w14:paraId="66279B5B" w14:textId="77777777" w:rsidR="00232F0B" w:rsidRPr="00A40FD5" w:rsidRDefault="00232F0B" w:rsidP="005B5BE2">
      <w:pPr>
        <w:pStyle w:val="BoxHeading"/>
      </w:pPr>
      <w:r w:rsidRPr="00A40FD5">
        <w:t>Consultation questions</w:t>
      </w:r>
    </w:p>
    <w:p w14:paraId="187FD4AB" w14:textId="77777777" w:rsidR="0087667B" w:rsidRDefault="00232F0B" w:rsidP="00DD68B8">
      <w:pPr>
        <w:pStyle w:val="BoxNumber"/>
      </w:pPr>
      <w:r w:rsidRPr="00A40FD5">
        <w:t xml:space="preserve">Do you think it is reasonable to </w:t>
      </w:r>
      <w:r>
        <w:t>distribute fees across the authorisation types based on where the costs are generated?</w:t>
      </w:r>
    </w:p>
    <w:p w14:paraId="7B0E5918" w14:textId="77777777" w:rsidR="00232F0B" w:rsidRPr="00A40FD5" w:rsidRDefault="00232F0B" w:rsidP="00DD68B8">
      <w:pPr>
        <w:pStyle w:val="BoxNumber"/>
      </w:pPr>
      <w:r w:rsidRPr="00A40FD5">
        <w:t xml:space="preserve">If you think it is unreasonable to </w:t>
      </w:r>
      <w:r>
        <w:t xml:space="preserve">distribute fees across the authorisation types based on where the costs are generated, </w:t>
      </w:r>
      <w:r w:rsidRPr="00A40FD5">
        <w:t xml:space="preserve">please </w:t>
      </w:r>
      <w:r>
        <w:t xml:space="preserve">provide your reasons. Please also </w:t>
      </w:r>
      <w:r w:rsidRPr="00A40FD5">
        <w:t xml:space="preserve">identify </w:t>
      </w:r>
      <w:r>
        <w:t>how the fees could be better distributed and provide your reasons.</w:t>
      </w:r>
    </w:p>
    <w:p w14:paraId="707CD7AA" w14:textId="77777777" w:rsidR="00232F0B" w:rsidRPr="00A40FD5" w:rsidRDefault="00232F0B" w:rsidP="00DD68B8">
      <w:pPr>
        <w:pStyle w:val="BoxNumber"/>
      </w:pPr>
      <w:r w:rsidRPr="00A40FD5">
        <w:t>Do you have any further comments, suggestions or alternative options?</w:t>
      </w:r>
    </w:p>
    <w:p w14:paraId="006A8EF8" w14:textId="77777777" w:rsidR="00232F0B" w:rsidRDefault="00232F0B" w:rsidP="00D26956">
      <w:pPr>
        <w:pStyle w:val="Box"/>
      </w:pPr>
      <w:r w:rsidRPr="00A40FD5">
        <w:t>Please use the submission form to respond to these questions.</w:t>
      </w:r>
    </w:p>
    <w:p w14:paraId="12FB7D77" w14:textId="77777777" w:rsidR="00232F0B" w:rsidRPr="00A40FD5" w:rsidRDefault="00232F0B" w:rsidP="005B5BE2">
      <w:pPr>
        <w:pStyle w:val="Heading1"/>
      </w:pPr>
      <w:bookmarkStart w:id="128" w:name="_Toc83133477"/>
      <w:bookmarkStart w:id="129" w:name="_Toc89696192"/>
      <w:r w:rsidRPr="00A40FD5">
        <w:t>Proposed changes to fees structure</w:t>
      </w:r>
      <w:bookmarkEnd w:id="128"/>
      <w:bookmarkEnd w:id="129"/>
    </w:p>
    <w:p w14:paraId="5508E8A4" w14:textId="77777777" w:rsidR="00232F0B" w:rsidRPr="00A40FD5" w:rsidRDefault="00232F0B" w:rsidP="005B5BE2">
      <w:pPr>
        <w:pStyle w:val="Heading2"/>
      </w:pPr>
      <w:bookmarkStart w:id="130" w:name="_Toc83133478"/>
      <w:bookmarkStart w:id="131" w:name="_Toc89696193"/>
      <w:r>
        <w:t>Different</w:t>
      </w:r>
      <w:r w:rsidRPr="00A40FD5">
        <w:t xml:space="preserve"> fees for </w:t>
      </w:r>
      <w:r>
        <w:t xml:space="preserve">licence </w:t>
      </w:r>
      <w:r w:rsidRPr="00A40FD5">
        <w:t>renewals</w:t>
      </w:r>
      <w:bookmarkEnd w:id="130"/>
      <w:bookmarkEnd w:id="131"/>
    </w:p>
    <w:p w14:paraId="51D1B993" w14:textId="77777777" w:rsidR="00232F0B" w:rsidRPr="00A40FD5" w:rsidRDefault="00232F0B" w:rsidP="005B5BE2">
      <w:pPr>
        <w:pStyle w:val="Heading3"/>
      </w:pPr>
      <w:bookmarkStart w:id="132" w:name="_Toc74583485"/>
      <w:bookmarkStart w:id="133" w:name="_Toc75349250"/>
      <w:bookmarkStart w:id="134" w:name="_Toc83118731"/>
      <w:bookmarkStart w:id="135" w:name="_Toc83130210"/>
      <w:bookmarkStart w:id="136" w:name="_Toc83133479"/>
      <w:r w:rsidRPr="00A40FD5">
        <w:t>Background</w:t>
      </w:r>
      <w:bookmarkEnd w:id="132"/>
      <w:bookmarkEnd w:id="133"/>
      <w:bookmarkEnd w:id="134"/>
      <w:bookmarkEnd w:id="135"/>
      <w:bookmarkEnd w:id="136"/>
    </w:p>
    <w:p w14:paraId="75C92466" w14:textId="77777777" w:rsidR="0087667B" w:rsidRDefault="00232F0B" w:rsidP="00031E2A">
      <w:r w:rsidRPr="00A40FD5">
        <w:t>Applications for renew</w:t>
      </w:r>
      <w:r>
        <w:t>ing</w:t>
      </w:r>
      <w:r w:rsidRPr="00A40FD5">
        <w:t xml:space="preserve"> existing licences are processed under section 28 of the Act.</w:t>
      </w:r>
      <w:r>
        <w:t xml:space="preserve"> </w:t>
      </w:r>
      <w:r w:rsidRPr="00A40FD5">
        <w:t>Applications for variations to the scope or conditions of an existing authorisation are processed under section 27 and applications for new authorisations are processed under sections 19 (source licences), 22 (use licences) and 24 (consents).</w:t>
      </w:r>
    </w:p>
    <w:p w14:paraId="408661C1" w14:textId="77777777" w:rsidR="00232F0B" w:rsidRPr="00A40FD5" w:rsidRDefault="00232F0B" w:rsidP="00031E2A"/>
    <w:p w14:paraId="7E60F6F6" w14:textId="77777777" w:rsidR="0087667B" w:rsidRDefault="00232F0B" w:rsidP="00031E2A">
      <w:r w:rsidRPr="00A40FD5">
        <w:rPr>
          <w:b/>
          <w:bCs/>
        </w:rPr>
        <w:t>Consents</w:t>
      </w:r>
      <w:r w:rsidRPr="00A40FD5">
        <w:t xml:space="preserve"> granted under the Act are considered to expire at the export or import for which they are granted or at the end of the period for which they are granted.</w:t>
      </w:r>
      <w:r>
        <w:t xml:space="preserve"> </w:t>
      </w:r>
      <w:r w:rsidRPr="00A40FD5">
        <w:t>Therefore, consents are not renewed and will always be processed as new applications.</w:t>
      </w:r>
    </w:p>
    <w:p w14:paraId="68EF3101" w14:textId="77777777" w:rsidR="00232F0B" w:rsidRPr="00A40FD5" w:rsidRDefault="00232F0B" w:rsidP="00031E2A"/>
    <w:p w14:paraId="3B37D419" w14:textId="77777777" w:rsidR="0087667B" w:rsidRDefault="00232F0B" w:rsidP="00031E2A">
      <w:r w:rsidRPr="00A40FD5">
        <w:t xml:space="preserve">The fees review has identified that there is a differential in the effort required to process applications for new licences and variations to existing licences compared </w:t>
      </w:r>
      <w:r>
        <w:t>with</w:t>
      </w:r>
      <w:r w:rsidRPr="00A40FD5">
        <w:t xml:space="preserve"> the effort required to renew an existing licence without variation.</w:t>
      </w:r>
      <w:r>
        <w:t xml:space="preserve"> </w:t>
      </w:r>
      <w:r w:rsidRPr="00A40FD5">
        <w:t xml:space="preserve">There is also a differential in the </w:t>
      </w:r>
      <w:r>
        <w:t>technical evaluation</w:t>
      </w:r>
      <w:r w:rsidRPr="00A40FD5">
        <w:t xml:space="preserve"> commissioned to assess applications for new or varied licences compared </w:t>
      </w:r>
      <w:r>
        <w:t>with</w:t>
      </w:r>
      <w:r w:rsidRPr="00A40FD5">
        <w:t xml:space="preserve"> renewals</w:t>
      </w:r>
      <w:r>
        <w:t xml:space="preserve"> without variation</w:t>
      </w:r>
      <w:r w:rsidRPr="00A40FD5">
        <w:t>.</w:t>
      </w:r>
    </w:p>
    <w:p w14:paraId="67D089AA" w14:textId="77777777" w:rsidR="00232F0B" w:rsidRPr="00A40FD5" w:rsidRDefault="00232F0B" w:rsidP="00031E2A"/>
    <w:p w14:paraId="463E1CA5" w14:textId="3B60C16D" w:rsidR="0087667B" w:rsidRDefault="00232F0B" w:rsidP="00031E2A">
      <w:r w:rsidRPr="00A40FD5">
        <w:t xml:space="preserve">A differential in </w:t>
      </w:r>
      <w:r>
        <w:t>technical evaluation</w:t>
      </w:r>
      <w:r w:rsidRPr="00A40FD5">
        <w:t xml:space="preserve"> required for different types of consent applications was also identified.</w:t>
      </w:r>
      <w:r>
        <w:t xml:space="preserve"> </w:t>
      </w:r>
      <w:r w:rsidR="00031E2A">
        <w:fldChar w:fldCharType="begin"/>
      </w:r>
      <w:r w:rsidR="00031E2A">
        <w:instrText xml:space="preserve"> REF _Ref87368746 \h </w:instrText>
      </w:r>
      <w:r w:rsidR="00031E2A">
        <w:fldChar w:fldCharType="separate"/>
      </w:r>
      <w:r w:rsidR="003A5600">
        <w:t>Table </w:t>
      </w:r>
      <w:r w:rsidR="003A5600">
        <w:rPr>
          <w:noProof/>
        </w:rPr>
        <w:t>9</w:t>
      </w:r>
      <w:r w:rsidR="00031E2A">
        <w:fldChar w:fldCharType="end"/>
      </w:r>
      <w:r w:rsidRPr="00A40FD5">
        <w:t xml:space="preserve"> sets out the assessed differentials.</w:t>
      </w:r>
    </w:p>
    <w:p w14:paraId="57DDB045" w14:textId="77777777" w:rsidR="00232F0B" w:rsidRPr="00A40FD5" w:rsidRDefault="00232F0B" w:rsidP="00031E2A"/>
    <w:p w14:paraId="6EC02819" w14:textId="5D26FB0D" w:rsidR="00232F0B" w:rsidRPr="00A40FD5" w:rsidRDefault="005B5BE2" w:rsidP="00031E2A">
      <w:pPr>
        <w:pStyle w:val="Table"/>
      </w:pPr>
      <w:bookmarkStart w:id="137" w:name="_Ref87368746"/>
      <w:bookmarkStart w:id="138" w:name="_Toc84916123"/>
      <w:bookmarkStart w:id="139" w:name="_Toc84916186"/>
      <w:bookmarkStart w:id="140" w:name="_Toc88644157"/>
      <w:r>
        <w:t>Table </w:t>
      </w:r>
      <w:r w:rsidR="00384F9F">
        <w:fldChar w:fldCharType="begin"/>
      </w:r>
      <w:r w:rsidR="00384F9F">
        <w:instrText xml:space="preserve"> SEQ Table \* ARABIC </w:instrText>
      </w:r>
      <w:r w:rsidR="00384F9F">
        <w:fldChar w:fldCharType="separate"/>
      </w:r>
      <w:r w:rsidR="003A5600">
        <w:rPr>
          <w:noProof/>
        </w:rPr>
        <w:t>9</w:t>
      </w:r>
      <w:r w:rsidR="00384F9F">
        <w:rPr>
          <w:noProof/>
        </w:rPr>
        <w:fldChar w:fldCharType="end"/>
      </w:r>
      <w:bookmarkEnd w:id="137"/>
      <w:r w:rsidR="00232F0B" w:rsidRPr="00A40FD5">
        <w:t>:</w:t>
      </w:r>
      <w:r>
        <w:t xml:space="preserve"> </w:t>
      </w:r>
      <w:r w:rsidR="00232F0B" w:rsidRPr="00A40FD5">
        <w:t>Assessed differentials in effort required to administer applications</w:t>
      </w:r>
      <w:bookmarkEnd w:id="138"/>
      <w:bookmarkEnd w:id="139"/>
      <w:bookmarkEnd w:id="140"/>
    </w:p>
    <w:tbl>
      <w:tblPr>
        <w:tblW w:w="8080" w:type="dxa"/>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3686"/>
        <w:gridCol w:w="2197"/>
        <w:gridCol w:w="2197"/>
      </w:tblGrid>
      <w:tr w:rsidR="00232F0B" w:rsidRPr="002B2970" w14:paraId="024A1B50" w14:textId="77777777" w:rsidTr="002B2970">
        <w:trPr>
          <w:cantSplit/>
        </w:trPr>
        <w:tc>
          <w:tcPr>
            <w:tcW w:w="3686" w:type="dxa"/>
            <w:tcBorders>
              <w:top w:val="nil"/>
              <w:bottom w:val="nil"/>
            </w:tcBorders>
            <w:shd w:val="clear" w:color="auto" w:fill="D9D9D9" w:themeFill="background1" w:themeFillShade="D9"/>
            <w:noWrap/>
            <w:hideMark/>
          </w:tcPr>
          <w:p w14:paraId="5CCF2989" w14:textId="77777777" w:rsidR="00232F0B" w:rsidRPr="002B2970" w:rsidRDefault="00232F0B" w:rsidP="002B2970">
            <w:pPr>
              <w:pStyle w:val="TableText"/>
              <w:rPr>
                <w:b/>
                <w:lang w:eastAsia="en-NZ"/>
              </w:rPr>
            </w:pPr>
            <w:r w:rsidRPr="002B2970">
              <w:rPr>
                <w:b/>
                <w:lang w:eastAsia="en-NZ"/>
              </w:rPr>
              <w:t>Application type</w:t>
            </w:r>
          </w:p>
        </w:tc>
        <w:tc>
          <w:tcPr>
            <w:tcW w:w="2197" w:type="dxa"/>
            <w:tcBorders>
              <w:top w:val="nil"/>
              <w:bottom w:val="nil"/>
            </w:tcBorders>
            <w:shd w:val="clear" w:color="auto" w:fill="D9D9D9" w:themeFill="background1" w:themeFillShade="D9"/>
            <w:noWrap/>
            <w:hideMark/>
          </w:tcPr>
          <w:p w14:paraId="127960B0" w14:textId="77777777" w:rsidR="00232F0B" w:rsidRPr="002B2970" w:rsidRDefault="00232F0B" w:rsidP="002B2970">
            <w:pPr>
              <w:pStyle w:val="TableText"/>
              <w:jc w:val="center"/>
              <w:rPr>
                <w:b/>
                <w:lang w:eastAsia="en-NZ"/>
              </w:rPr>
            </w:pPr>
            <w:r w:rsidRPr="002B2970">
              <w:rPr>
                <w:b/>
                <w:lang w:eastAsia="en-NZ"/>
              </w:rPr>
              <w:t>Application processing (minutes</w:t>
            </w:r>
            <w:r w:rsidR="0087667B" w:rsidRPr="002B2970">
              <w:rPr>
                <w:b/>
                <w:lang w:eastAsia="en-NZ"/>
              </w:rPr>
              <w:t xml:space="preserve"> – </w:t>
            </w:r>
            <w:r w:rsidRPr="002B2970">
              <w:rPr>
                <w:b/>
                <w:lang w:eastAsia="en-NZ"/>
              </w:rPr>
              <w:t>average)</w:t>
            </w:r>
          </w:p>
        </w:tc>
        <w:tc>
          <w:tcPr>
            <w:tcW w:w="2197" w:type="dxa"/>
            <w:tcBorders>
              <w:top w:val="nil"/>
              <w:bottom w:val="nil"/>
            </w:tcBorders>
            <w:shd w:val="clear" w:color="auto" w:fill="D9D9D9" w:themeFill="background1" w:themeFillShade="D9"/>
            <w:noWrap/>
            <w:hideMark/>
          </w:tcPr>
          <w:p w14:paraId="557EF356" w14:textId="77777777" w:rsidR="00232F0B" w:rsidRPr="002B2970" w:rsidRDefault="00232F0B" w:rsidP="002B2970">
            <w:pPr>
              <w:pStyle w:val="TableText"/>
              <w:jc w:val="center"/>
              <w:rPr>
                <w:b/>
                <w:lang w:eastAsia="en-NZ"/>
              </w:rPr>
            </w:pPr>
            <w:r w:rsidRPr="002B2970">
              <w:rPr>
                <w:b/>
                <w:lang w:eastAsia="en-NZ"/>
              </w:rPr>
              <w:t>Technical evaluation (request volumes ratio)</w:t>
            </w:r>
          </w:p>
        </w:tc>
      </w:tr>
      <w:tr w:rsidR="00232F0B" w:rsidRPr="00A40FD5" w14:paraId="55BD5B87" w14:textId="77777777" w:rsidTr="002B2970">
        <w:trPr>
          <w:cantSplit/>
        </w:trPr>
        <w:tc>
          <w:tcPr>
            <w:tcW w:w="3686" w:type="dxa"/>
            <w:tcBorders>
              <w:top w:val="nil"/>
            </w:tcBorders>
            <w:shd w:val="clear" w:color="auto" w:fill="auto"/>
            <w:noWrap/>
            <w:hideMark/>
          </w:tcPr>
          <w:p w14:paraId="70068335" w14:textId="77777777" w:rsidR="00232F0B" w:rsidRPr="00A40FD5" w:rsidRDefault="00232F0B" w:rsidP="002B2970">
            <w:pPr>
              <w:pStyle w:val="TableText"/>
              <w:rPr>
                <w:lang w:eastAsia="en-NZ"/>
              </w:rPr>
            </w:pPr>
            <w:r w:rsidRPr="00A40FD5">
              <w:rPr>
                <w:lang w:eastAsia="en-NZ"/>
              </w:rPr>
              <w:t>Source licence (new and variations)</w:t>
            </w:r>
          </w:p>
        </w:tc>
        <w:tc>
          <w:tcPr>
            <w:tcW w:w="2197" w:type="dxa"/>
            <w:tcBorders>
              <w:top w:val="nil"/>
            </w:tcBorders>
            <w:shd w:val="clear" w:color="auto" w:fill="auto"/>
            <w:noWrap/>
            <w:hideMark/>
          </w:tcPr>
          <w:p w14:paraId="44E47C78" w14:textId="77777777" w:rsidR="00232F0B" w:rsidRPr="00A40FD5" w:rsidRDefault="00232F0B" w:rsidP="002B2970">
            <w:pPr>
              <w:pStyle w:val="TableText"/>
              <w:tabs>
                <w:tab w:val="decimal" w:pos="1219"/>
              </w:tabs>
              <w:rPr>
                <w:lang w:eastAsia="en-NZ"/>
              </w:rPr>
            </w:pPr>
            <w:r w:rsidRPr="00A40FD5">
              <w:rPr>
                <w:lang w:eastAsia="en-NZ"/>
              </w:rPr>
              <w:t>155</w:t>
            </w:r>
          </w:p>
        </w:tc>
        <w:tc>
          <w:tcPr>
            <w:tcW w:w="2197" w:type="dxa"/>
            <w:tcBorders>
              <w:top w:val="nil"/>
            </w:tcBorders>
            <w:shd w:val="clear" w:color="auto" w:fill="auto"/>
            <w:noWrap/>
            <w:hideMark/>
          </w:tcPr>
          <w:p w14:paraId="0C87EDE0" w14:textId="77777777" w:rsidR="00232F0B" w:rsidRPr="00A40FD5" w:rsidRDefault="00232F0B" w:rsidP="002B2970">
            <w:pPr>
              <w:pStyle w:val="TableText"/>
              <w:jc w:val="center"/>
              <w:rPr>
                <w:lang w:eastAsia="en-NZ"/>
              </w:rPr>
            </w:pPr>
            <w:r w:rsidRPr="00A40FD5">
              <w:rPr>
                <w:lang w:eastAsia="en-NZ"/>
              </w:rPr>
              <w:t>5</w:t>
            </w:r>
          </w:p>
        </w:tc>
      </w:tr>
      <w:tr w:rsidR="00232F0B" w:rsidRPr="00A40FD5" w14:paraId="1B768F3D" w14:textId="77777777" w:rsidTr="002B2970">
        <w:trPr>
          <w:cantSplit/>
        </w:trPr>
        <w:tc>
          <w:tcPr>
            <w:tcW w:w="3686" w:type="dxa"/>
            <w:shd w:val="clear" w:color="auto" w:fill="auto"/>
            <w:noWrap/>
            <w:hideMark/>
          </w:tcPr>
          <w:p w14:paraId="5C6D29E0" w14:textId="77777777" w:rsidR="00232F0B" w:rsidRPr="00A40FD5" w:rsidRDefault="00232F0B" w:rsidP="002B2970">
            <w:pPr>
              <w:pStyle w:val="TableText"/>
              <w:rPr>
                <w:lang w:eastAsia="en-NZ"/>
              </w:rPr>
            </w:pPr>
            <w:r w:rsidRPr="00A40FD5">
              <w:rPr>
                <w:lang w:eastAsia="en-NZ"/>
              </w:rPr>
              <w:t>Source licence renewals (no variation)</w:t>
            </w:r>
          </w:p>
        </w:tc>
        <w:tc>
          <w:tcPr>
            <w:tcW w:w="2197" w:type="dxa"/>
            <w:shd w:val="clear" w:color="auto" w:fill="auto"/>
            <w:noWrap/>
            <w:hideMark/>
          </w:tcPr>
          <w:p w14:paraId="62EC5C6D" w14:textId="77777777" w:rsidR="00232F0B" w:rsidRPr="00A40FD5" w:rsidRDefault="00232F0B" w:rsidP="002B2970">
            <w:pPr>
              <w:pStyle w:val="TableText"/>
              <w:tabs>
                <w:tab w:val="decimal" w:pos="1219"/>
              </w:tabs>
              <w:rPr>
                <w:lang w:eastAsia="en-NZ"/>
              </w:rPr>
            </w:pPr>
            <w:r w:rsidRPr="00A40FD5">
              <w:rPr>
                <w:lang w:eastAsia="en-NZ"/>
              </w:rPr>
              <w:t>105</w:t>
            </w:r>
          </w:p>
        </w:tc>
        <w:tc>
          <w:tcPr>
            <w:tcW w:w="2197" w:type="dxa"/>
            <w:shd w:val="clear" w:color="auto" w:fill="auto"/>
            <w:noWrap/>
            <w:hideMark/>
          </w:tcPr>
          <w:p w14:paraId="20A2AA93" w14:textId="77777777" w:rsidR="00232F0B" w:rsidRPr="00A40FD5" w:rsidRDefault="00232F0B" w:rsidP="002B2970">
            <w:pPr>
              <w:pStyle w:val="TableText"/>
              <w:jc w:val="center"/>
              <w:rPr>
                <w:lang w:eastAsia="en-NZ"/>
              </w:rPr>
            </w:pPr>
            <w:r w:rsidRPr="00A40FD5">
              <w:rPr>
                <w:lang w:eastAsia="en-NZ"/>
              </w:rPr>
              <w:t>1</w:t>
            </w:r>
          </w:p>
        </w:tc>
      </w:tr>
      <w:tr w:rsidR="00232F0B" w:rsidRPr="00A40FD5" w14:paraId="34DCE6DE" w14:textId="77777777" w:rsidTr="002B2970">
        <w:trPr>
          <w:cantSplit/>
        </w:trPr>
        <w:tc>
          <w:tcPr>
            <w:tcW w:w="3686" w:type="dxa"/>
            <w:shd w:val="clear" w:color="auto" w:fill="auto"/>
            <w:noWrap/>
            <w:hideMark/>
          </w:tcPr>
          <w:p w14:paraId="2E61D5BA" w14:textId="77777777" w:rsidR="00232F0B" w:rsidRPr="00A40FD5" w:rsidRDefault="00232F0B" w:rsidP="002B2970">
            <w:pPr>
              <w:pStyle w:val="TableText"/>
              <w:rPr>
                <w:lang w:eastAsia="en-NZ"/>
              </w:rPr>
            </w:pPr>
            <w:r w:rsidRPr="00A40FD5">
              <w:rPr>
                <w:lang w:eastAsia="en-NZ"/>
              </w:rPr>
              <w:t>Use licence (new and variations)</w:t>
            </w:r>
          </w:p>
        </w:tc>
        <w:tc>
          <w:tcPr>
            <w:tcW w:w="2197" w:type="dxa"/>
            <w:shd w:val="clear" w:color="auto" w:fill="auto"/>
            <w:noWrap/>
            <w:hideMark/>
          </w:tcPr>
          <w:p w14:paraId="7A510DBE" w14:textId="77777777" w:rsidR="00232F0B" w:rsidRPr="00A40FD5" w:rsidRDefault="00232F0B" w:rsidP="002B2970">
            <w:pPr>
              <w:pStyle w:val="TableText"/>
              <w:tabs>
                <w:tab w:val="decimal" w:pos="1219"/>
              </w:tabs>
              <w:rPr>
                <w:lang w:eastAsia="en-NZ"/>
              </w:rPr>
            </w:pPr>
            <w:r w:rsidRPr="00A40FD5">
              <w:rPr>
                <w:lang w:eastAsia="en-NZ"/>
              </w:rPr>
              <w:t>110</w:t>
            </w:r>
          </w:p>
        </w:tc>
        <w:tc>
          <w:tcPr>
            <w:tcW w:w="2197" w:type="dxa"/>
            <w:shd w:val="clear" w:color="auto" w:fill="auto"/>
            <w:noWrap/>
            <w:hideMark/>
          </w:tcPr>
          <w:p w14:paraId="128935AD" w14:textId="77777777" w:rsidR="00232F0B" w:rsidRPr="00A40FD5" w:rsidRDefault="00232F0B" w:rsidP="002B2970">
            <w:pPr>
              <w:pStyle w:val="TableText"/>
              <w:jc w:val="center"/>
              <w:rPr>
                <w:lang w:eastAsia="en-NZ"/>
              </w:rPr>
            </w:pPr>
            <w:r w:rsidRPr="00A40FD5">
              <w:rPr>
                <w:lang w:eastAsia="en-NZ"/>
              </w:rPr>
              <w:t>5</w:t>
            </w:r>
          </w:p>
        </w:tc>
      </w:tr>
      <w:tr w:rsidR="00232F0B" w:rsidRPr="00A40FD5" w14:paraId="2DAEE9C4" w14:textId="77777777" w:rsidTr="002B2970">
        <w:trPr>
          <w:cantSplit/>
        </w:trPr>
        <w:tc>
          <w:tcPr>
            <w:tcW w:w="3686" w:type="dxa"/>
            <w:shd w:val="clear" w:color="auto" w:fill="auto"/>
            <w:noWrap/>
            <w:hideMark/>
          </w:tcPr>
          <w:p w14:paraId="1991B542" w14:textId="77777777" w:rsidR="00232F0B" w:rsidRPr="00A40FD5" w:rsidRDefault="00232F0B" w:rsidP="002B2970">
            <w:pPr>
              <w:pStyle w:val="TableText"/>
              <w:rPr>
                <w:lang w:eastAsia="en-NZ"/>
              </w:rPr>
            </w:pPr>
            <w:r w:rsidRPr="00A40FD5">
              <w:rPr>
                <w:lang w:eastAsia="en-NZ"/>
              </w:rPr>
              <w:t>Use licence renewals (no variation)</w:t>
            </w:r>
          </w:p>
        </w:tc>
        <w:tc>
          <w:tcPr>
            <w:tcW w:w="2197" w:type="dxa"/>
            <w:shd w:val="clear" w:color="auto" w:fill="auto"/>
            <w:noWrap/>
            <w:hideMark/>
          </w:tcPr>
          <w:p w14:paraId="05E359F4" w14:textId="77777777" w:rsidR="00232F0B" w:rsidRPr="00A40FD5" w:rsidRDefault="00232F0B" w:rsidP="002B2970">
            <w:pPr>
              <w:pStyle w:val="TableText"/>
              <w:tabs>
                <w:tab w:val="decimal" w:pos="1219"/>
              </w:tabs>
              <w:rPr>
                <w:lang w:eastAsia="en-NZ"/>
              </w:rPr>
            </w:pPr>
            <w:r w:rsidRPr="00A40FD5">
              <w:rPr>
                <w:lang w:eastAsia="en-NZ"/>
              </w:rPr>
              <w:t>80</w:t>
            </w:r>
          </w:p>
        </w:tc>
        <w:tc>
          <w:tcPr>
            <w:tcW w:w="2197" w:type="dxa"/>
            <w:shd w:val="clear" w:color="auto" w:fill="auto"/>
            <w:noWrap/>
            <w:hideMark/>
          </w:tcPr>
          <w:p w14:paraId="7DFEA939" w14:textId="77777777" w:rsidR="00232F0B" w:rsidRPr="00A40FD5" w:rsidRDefault="00232F0B" w:rsidP="002B2970">
            <w:pPr>
              <w:pStyle w:val="TableText"/>
              <w:jc w:val="center"/>
              <w:rPr>
                <w:lang w:eastAsia="en-NZ"/>
              </w:rPr>
            </w:pPr>
            <w:r w:rsidRPr="00A40FD5">
              <w:rPr>
                <w:lang w:eastAsia="en-NZ"/>
              </w:rPr>
              <w:t>1</w:t>
            </w:r>
          </w:p>
        </w:tc>
      </w:tr>
      <w:tr w:rsidR="00232F0B" w:rsidRPr="00A40FD5" w14:paraId="7C143EDD" w14:textId="77777777" w:rsidTr="002B2970">
        <w:trPr>
          <w:cantSplit/>
        </w:trPr>
        <w:tc>
          <w:tcPr>
            <w:tcW w:w="3686" w:type="dxa"/>
            <w:shd w:val="clear" w:color="auto" w:fill="auto"/>
            <w:noWrap/>
            <w:hideMark/>
          </w:tcPr>
          <w:p w14:paraId="2A4AD9FF" w14:textId="60E59553" w:rsidR="00232F0B" w:rsidRPr="00A40FD5" w:rsidRDefault="00232F0B" w:rsidP="002B2970">
            <w:pPr>
              <w:pStyle w:val="TableText"/>
              <w:rPr>
                <w:lang w:eastAsia="en-NZ"/>
              </w:rPr>
            </w:pPr>
            <w:r w:rsidRPr="00A40FD5">
              <w:rPr>
                <w:lang w:eastAsia="en-NZ"/>
              </w:rPr>
              <w:t xml:space="preserve">Consents (high-activity) </w:t>
            </w:r>
          </w:p>
        </w:tc>
        <w:tc>
          <w:tcPr>
            <w:tcW w:w="2197" w:type="dxa"/>
            <w:shd w:val="clear" w:color="auto" w:fill="auto"/>
            <w:noWrap/>
            <w:hideMark/>
          </w:tcPr>
          <w:p w14:paraId="1499E4A8" w14:textId="77777777" w:rsidR="00232F0B" w:rsidRPr="00A40FD5" w:rsidRDefault="00232F0B" w:rsidP="002B2970">
            <w:pPr>
              <w:pStyle w:val="TableText"/>
              <w:tabs>
                <w:tab w:val="decimal" w:pos="1219"/>
              </w:tabs>
              <w:rPr>
                <w:lang w:eastAsia="en-NZ"/>
              </w:rPr>
            </w:pPr>
            <w:r w:rsidRPr="00A40FD5">
              <w:rPr>
                <w:lang w:eastAsia="en-NZ"/>
              </w:rPr>
              <w:t>50</w:t>
            </w:r>
          </w:p>
        </w:tc>
        <w:tc>
          <w:tcPr>
            <w:tcW w:w="2197" w:type="dxa"/>
            <w:shd w:val="clear" w:color="auto" w:fill="auto"/>
            <w:noWrap/>
            <w:hideMark/>
          </w:tcPr>
          <w:p w14:paraId="6EE5AC6A" w14:textId="77777777" w:rsidR="00232F0B" w:rsidRPr="00A40FD5" w:rsidRDefault="00232F0B" w:rsidP="002B2970">
            <w:pPr>
              <w:pStyle w:val="TableText"/>
              <w:jc w:val="center"/>
              <w:rPr>
                <w:lang w:eastAsia="en-NZ"/>
              </w:rPr>
            </w:pPr>
            <w:r w:rsidRPr="00A40FD5">
              <w:rPr>
                <w:lang w:eastAsia="en-NZ"/>
              </w:rPr>
              <w:t>5</w:t>
            </w:r>
          </w:p>
        </w:tc>
      </w:tr>
      <w:tr w:rsidR="00232F0B" w:rsidRPr="00A40FD5" w14:paraId="54AA59E8" w14:textId="77777777" w:rsidTr="002B2970">
        <w:trPr>
          <w:cantSplit/>
        </w:trPr>
        <w:tc>
          <w:tcPr>
            <w:tcW w:w="3686" w:type="dxa"/>
            <w:shd w:val="clear" w:color="auto" w:fill="auto"/>
            <w:noWrap/>
            <w:hideMark/>
          </w:tcPr>
          <w:p w14:paraId="2FBC94E7" w14:textId="629E8BCF" w:rsidR="00232F0B" w:rsidRPr="00A40FD5" w:rsidRDefault="00232F0B" w:rsidP="002B2970">
            <w:pPr>
              <w:pStyle w:val="TableText"/>
              <w:rPr>
                <w:lang w:eastAsia="en-NZ"/>
              </w:rPr>
            </w:pPr>
            <w:r w:rsidRPr="00A40FD5">
              <w:rPr>
                <w:lang w:eastAsia="en-NZ"/>
              </w:rPr>
              <w:t xml:space="preserve">Consents (low-activity) </w:t>
            </w:r>
          </w:p>
        </w:tc>
        <w:tc>
          <w:tcPr>
            <w:tcW w:w="2197" w:type="dxa"/>
            <w:shd w:val="clear" w:color="auto" w:fill="auto"/>
            <w:noWrap/>
            <w:hideMark/>
          </w:tcPr>
          <w:p w14:paraId="70A93C0E" w14:textId="77777777" w:rsidR="00232F0B" w:rsidRPr="00A40FD5" w:rsidRDefault="00232F0B" w:rsidP="002B2970">
            <w:pPr>
              <w:pStyle w:val="TableText"/>
              <w:tabs>
                <w:tab w:val="decimal" w:pos="1219"/>
              </w:tabs>
              <w:rPr>
                <w:lang w:eastAsia="en-NZ"/>
              </w:rPr>
            </w:pPr>
            <w:r w:rsidRPr="00A40FD5">
              <w:rPr>
                <w:lang w:eastAsia="en-NZ"/>
              </w:rPr>
              <w:t>50</w:t>
            </w:r>
          </w:p>
        </w:tc>
        <w:tc>
          <w:tcPr>
            <w:tcW w:w="2197" w:type="dxa"/>
            <w:shd w:val="clear" w:color="auto" w:fill="auto"/>
            <w:noWrap/>
            <w:hideMark/>
          </w:tcPr>
          <w:p w14:paraId="2771D2A2" w14:textId="77777777" w:rsidR="00232F0B" w:rsidRPr="00A40FD5" w:rsidRDefault="00232F0B" w:rsidP="002B2970">
            <w:pPr>
              <w:pStyle w:val="TableText"/>
              <w:jc w:val="center"/>
              <w:rPr>
                <w:lang w:eastAsia="en-NZ"/>
              </w:rPr>
            </w:pPr>
            <w:r w:rsidRPr="00A40FD5">
              <w:rPr>
                <w:lang w:eastAsia="en-NZ"/>
              </w:rPr>
              <w:t>1</w:t>
            </w:r>
          </w:p>
        </w:tc>
      </w:tr>
      <w:tr w:rsidR="00232F0B" w:rsidRPr="00A40FD5" w14:paraId="4A462D8C" w14:textId="77777777" w:rsidTr="002B2970">
        <w:trPr>
          <w:cantSplit/>
        </w:trPr>
        <w:tc>
          <w:tcPr>
            <w:tcW w:w="3686" w:type="dxa"/>
            <w:shd w:val="clear" w:color="auto" w:fill="auto"/>
            <w:noWrap/>
            <w:hideMark/>
          </w:tcPr>
          <w:p w14:paraId="2647F6F2" w14:textId="77777777" w:rsidR="00232F0B" w:rsidRPr="00A40FD5" w:rsidRDefault="00232F0B" w:rsidP="002B2970">
            <w:pPr>
              <w:pStyle w:val="TableText"/>
              <w:rPr>
                <w:lang w:eastAsia="en-NZ"/>
              </w:rPr>
            </w:pPr>
            <w:r w:rsidRPr="00A40FD5">
              <w:rPr>
                <w:lang w:eastAsia="en-NZ"/>
              </w:rPr>
              <w:t>Consents (low-activity unsealed multi-event)</w:t>
            </w:r>
          </w:p>
        </w:tc>
        <w:tc>
          <w:tcPr>
            <w:tcW w:w="2197" w:type="dxa"/>
            <w:shd w:val="clear" w:color="auto" w:fill="auto"/>
            <w:noWrap/>
            <w:hideMark/>
          </w:tcPr>
          <w:p w14:paraId="31D95757" w14:textId="77777777" w:rsidR="00232F0B" w:rsidRPr="00A40FD5" w:rsidRDefault="00232F0B" w:rsidP="002B2970">
            <w:pPr>
              <w:pStyle w:val="TableText"/>
              <w:tabs>
                <w:tab w:val="decimal" w:pos="1219"/>
              </w:tabs>
              <w:rPr>
                <w:lang w:eastAsia="en-NZ"/>
              </w:rPr>
            </w:pPr>
            <w:r w:rsidRPr="00A40FD5">
              <w:rPr>
                <w:lang w:eastAsia="en-NZ"/>
              </w:rPr>
              <w:t>50</w:t>
            </w:r>
          </w:p>
        </w:tc>
        <w:tc>
          <w:tcPr>
            <w:tcW w:w="2197" w:type="dxa"/>
            <w:shd w:val="clear" w:color="auto" w:fill="auto"/>
            <w:noWrap/>
            <w:hideMark/>
          </w:tcPr>
          <w:p w14:paraId="79F86BA2" w14:textId="77777777" w:rsidR="00232F0B" w:rsidRPr="00A40FD5" w:rsidRDefault="00232F0B" w:rsidP="002B2970">
            <w:pPr>
              <w:pStyle w:val="TableText"/>
              <w:jc w:val="center"/>
              <w:rPr>
                <w:lang w:eastAsia="en-NZ"/>
              </w:rPr>
            </w:pPr>
            <w:r w:rsidRPr="00A40FD5">
              <w:rPr>
                <w:lang w:eastAsia="en-NZ"/>
              </w:rPr>
              <w:t>1</w:t>
            </w:r>
          </w:p>
        </w:tc>
      </w:tr>
    </w:tbl>
    <w:p w14:paraId="014E2BE7" w14:textId="77777777" w:rsidR="00232F0B" w:rsidRPr="00A40FD5" w:rsidRDefault="00232F0B" w:rsidP="002B2970"/>
    <w:p w14:paraId="2EF700CE" w14:textId="77777777" w:rsidR="0087667B" w:rsidRDefault="00232F0B" w:rsidP="00031E2A">
      <w:r w:rsidRPr="00A40FD5">
        <w:t>The differences in effort arises from the fact that applications for renewals have received scrutiny, including consideration of any additional information required, when they were first granted (as new applications).</w:t>
      </w:r>
      <w:r>
        <w:t xml:space="preserve"> </w:t>
      </w:r>
      <w:r w:rsidRPr="00A40FD5">
        <w:t xml:space="preserve">Regulatory staff also have the benefit of compliance verification history to </w:t>
      </w:r>
      <w:r>
        <w:t>help them determine</w:t>
      </w:r>
      <w:r w:rsidRPr="00A40FD5">
        <w:t xml:space="preserve"> renewal applications.</w:t>
      </w:r>
    </w:p>
    <w:p w14:paraId="54E6A80B" w14:textId="77777777" w:rsidR="00232F0B" w:rsidRPr="00A40FD5" w:rsidRDefault="00232F0B" w:rsidP="002B2970">
      <w:pPr>
        <w:pStyle w:val="Heading3"/>
        <w:spacing w:before="600"/>
      </w:pPr>
      <w:bookmarkStart w:id="141" w:name="_Toc83118732"/>
      <w:bookmarkStart w:id="142" w:name="_Toc83130211"/>
      <w:bookmarkStart w:id="143" w:name="_Toc83133480"/>
      <w:r>
        <w:t>Status quo option and a</w:t>
      </w:r>
      <w:r w:rsidRPr="00A40FD5">
        <w:t>lternative option</w:t>
      </w:r>
      <w:bookmarkEnd w:id="141"/>
      <w:bookmarkEnd w:id="142"/>
      <w:bookmarkEnd w:id="143"/>
    </w:p>
    <w:p w14:paraId="2FC97EBC" w14:textId="77777777" w:rsidR="00232F0B" w:rsidRDefault="00232F0B" w:rsidP="00031E2A">
      <w:r>
        <w:t xml:space="preserve">Both the status quo option and the </w:t>
      </w:r>
      <w:r w:rsidRPr="00A40FD5">
        <w:t xml:space="preserve">alternative option </w:t>
      </w:r>
      <w:r>
        <w:t>are</w:t>
      </w:r>
      <w:r w:rsidRPr="00A40FD5">
        <w:t xml:space="preserve"> to retain the </w:t>
      </w:r>
      <w:r>
        <w:t xml:space="preserve">current fee structure. </w:t>
      </w:r>
      <w:r w:rsidRPr="00A40FD5">
        <w:t>This would retain the current single fee for source licence</w:t>
      </w:r>
      <w:r>
        <w:t>s</w:t>
      </w:r>
      <w:r w:rsidRPr="00A40FD5">
        <w:t xml:space="preserve"> (in each compliance monitoring category) and a single fee for use licences regardless of whether the application is new, for a variation or for a renewal.</w:t>
      </w:r>
    </w:p>
    <w:p w14:paraId="600FAE17" w14:textId="77777777" w:rsidR="00031E2A" w:rsidRPr="00A40FD5" w:rsidRDefault="00031E2A" w:rsidP="00031E2A"/>
    <w:p w14:paraId="5496803F" w14:textId="77777777" w:rsidR="00232F0B" w:rsidRPr="00A40FD5" w:rsidRDefault="00232F0B" w:rsidP="005B5BE2">
      <w:pPr>
        <w:pStyle w:val="Heading3"/>
      </w:pPr>
      <w:bookmarkStart w:id="144" w:name="_Toc74583486"/>
      <w:bookmarkStart w:id="145" w:name="_Toc75349251"/>
      <w:bookmarkStart w:id="146" w:name="_Toc83118733"/>
      <w:bookmarkStart w:id="147" w:name="_Toc83130212"/>
      <w:bookmarkStart w:id="148" w:name="_Toc83133481"/>
      <w:r w:rsidRPr="00A40FD5">
        <w:t>Preferred option</w:t>
      </w:r>
      <w:bookmarkEnd w:id="144"/>
      <w:bookmarkEnd w:id="145"/>
      <w:bookmarkEnd w:id="146"/>
      <w:bookmarkEnd w:id="147"/>
      <w:bookmarkEnd w:id="148"/>
    </w:p>
    <w:p w14:paraId="2CC2CD33" w14:textId="32B5B37B" w:rsidR="00232F0B" w:rsidRPr="00A40FD5" w:rsidRDefault="00232F0B" w:rsidP="00031E2A">
      <w:r w:rsidRPr="00A40FD5">
        <w:t xml:space="preserve">The preferred option is to adopt lower fees in proportion to the differential effort outlined in </w:t>
      </w:r>
      <w:r w:rsidR="00031E2A">
        <w:fldChar w:fldCharType="begin"/>
      </w:r>
      <w:r w:rsidR="00031E2A">
        <w:instrText xml:space="preserve"> REF _Ref87368746 \h </w:instrText>
      </w:r>
      <w:r w:rsidR="00031E2A">
        <w:fldChar w:fldCharType="separate"/>
      </w:r>
      <w:r w:rsidR="003A5600">
        <w:t>Table </w:t>
      </w:r>
      <w:r w:rsidR="003A5600">
        <w:rPr>
          <w:noProof/>
        </w:rPr>
        <w:t>9</w:t>
      </w:r>
      <w:r w:rsidR="00031E2A">
        <w:fldChar w:fldCharType="end"/>
      </w:r>
      <w:r w:rsidRPr="00A40FD5">
        <w:t xml:space="preserve"> </w:t>
      </w:r>
      <w:r>
        <w:t>above</w:t>
      </w:r>
      <w:r w:rsidRPr="00A40FD5">
        <w:t>.</w:t>
      </w:r>
      <w:r>
        <w:t xml:space="preserve"> </w:t>
      </w:r>
      <w:r w:rsidRPr="00A40FD5">
        <w:t>The lower fee would apply only to applications to renew existing licences where no variation is sought in the application.</w:t>
      </w:r>
      <w:r>
        <w:t xml:space="preserve"> </w:t>
      </w:r>
      <w:r w:rsidRPr="00A40FD5">
        <w:t>Applications for new licences or variations to the scope or conditions of an existing licence would retain a fee proportionate to the (higher) effort required to process these applications.</w:t>
      </w:r>
      <w:r>
        <w:t xml:space="preserve"> The</w:t>
      </w:r>
      <w:r w:rsidRPr="00A40FD5">
        <w:t xml:space="preserve"> difference in the effort required to process applications justifies differential fees. </w:t>
      </w:r>
      <w:r>
        <w:t>This option would help the Regulations better achieve the objectives set out in the 2016 RIS for proportionality, equity, efficiency and transparency.</w:t>
      </w:r>
    </w:p>
    <w:p w14:paraId="4846EEF9" w14:textId="77777777" w:rsidR="00232F0B" w:rsidRPr="00A40FD5" w:rsidRDefault="00232F0B" w:rsidP="00031E2A"/>
    <w:p w14:paraId="644AB14E" w14:textId="77777777" w:rsidR="00232F0B" w:rsidRPr="00A40FD5" w:rsidRDefault="00232F0B" w:rsidP="005B5BE2">
      <w:pPr>
        <w:pStyle w:val="BoxHeading"/>
      </w:pPr>
      <w:r w:rsidRPr="00A40FD5">
        <w:t>Consultation questions</w:t>
      </w:r>
    </w:p>
    <w:p w14:paraId="2080D7ED" w14:textId="77777777" w:rsidR="00232F0B" w:rsidRPr="00A40FD5" w:rsidRDefault="00232F0B" w:rsidP="00031E2A">
      <w:pPr>
        <w:pStyle w:val="BoxNumber"/>
      </w:pPr>
      <w:r w:rsidRPr="00A40FD5">
        <w:t>Do you agree that it is justifiable to charge differential application fees because of the difference in effort required to process applications?</w:t>
      </w:r>
    </w:p>
    <w:p w14:paraId="09E869BB" w14:textId="77777777" w:rsidR="00232F0B" w:rsidRPr="00A40FD5" w:rsidRDefault="00232F0B" w:rsidP="00031E2A">
      <w:pPr>
        <w:pStyle w:val="BoxNumber"/>
      </w:pPr>
      <w:r w:rsidRPr="00A40FD5">
        <w:t xml:space="preserve">If you do </w:t>
      </w:r>
      <w:r w:rsidRPr="007C09BA">
        <w:t>not</w:t>
      </w:r>
      <w:r w:rsidRPr="00A40FD5">
        <w:t xml:space="preserve"> agree that differential fees are justifiable, please provide your reasoning.</w:t>
      </w:r>
    </w:p>
    <w:p w14:paraId="342CDB1D" w14:textId="77777777" w:rsidR="00232F0B" w:rsidRPr="00A40FD5" w:rsidRDefault="00232F0B" w:rsidP="00031E2A">
      <w:pPr>
        <w:pStyle w:val="BoxNumber"/>
      </w:pPr>
      <w:r w:rsidRPr="00A40FD5">
        <w:t>Do you have any further comments, suggestions or alternative options?</w:t>
      </w:r>
    </w:p>
    <w:p w14:paraId="37DEB982" w14:textId="77777777" w:rsidR="0087667B" w:rsidRDefault="00232F0B" w:rsidP="00031E2A">
      <w:pPr>
        <w:pStyle w:val="Box"/>
      </w:pPr>
      <w:r w:rsidRPr="00A40FD5">
        <w:t>Please use the submission form to respond to these questions.</w:t>
      </w:r>
    </w:p>
    <w:p w14:paraId="767F7F20" w14:textId="77777777" w:rsidR="00031E2A" w:rsidRDefault="00031E2A" w:rsidP="00031E2A"/>
    <w:p w14:paraId="143CD2BB" w14:textId="77777777" w:rsidR="00232F0B" w:rsidRPr="00A40FD5" w:rsidRDefault="00232F0B" w:rsidP="005B5BE2">
      <w:pPr>
        <w:pStyle w:val="Heading2"/>
      </w:pPr>
      <w:bookmarkStart w:id="149" w:name="_Toc83133482"/>
      <w:bookmarkStart w:id="150" w:name="_Toc89696194"/>
      <w:r w:rsidRPr="00A40FD5">
        <w:t>Refunds</w:t>
      </w:r>
      <w:bookmarkEnd w:id="149"/>
      <w:bookmarkEnd w:id="150"/>
    </w:p>
    <w:p w14:paraId="7C6D1D2E" w14:textId="77777777" w:rsidR="00232F0B" w:rsidRPr="00A40FD5" w:rsidRDefault="00232F0B" w:rsidP="005B5BE2">
      <w:pPr>
        <w:pStyle w:val="Heading3"/>
      </w:pPr>
      <w:bookmarkStart w:id="151" w:name="_Toc74583489"/>
      <w:bookmarkStart w:id="152" w:name="_Toc75349254"/>
      <w:bookmarkStart w:id="153" w:name="_Toc83118735"/>
      <w:bookmarkStart w:id="154" w:name="_Toc83130214"/>
      <w:bookmarkStart w:id="155" w:name="_Toc83133483"/>
      <w:bookmarkStart w:id="156" w:name="_Toc74583490"/>
      <w:bookmarkStart w:id="157" w:name="_Toc75349255"/>
      <w:r w:rsidRPr="00A40FD5">
        <w:t>Background</w:t>
      </w:r>
      <w:bookmarkEnd w:id="151"/>
      <w:bookmarkEnd w:id="152"/>
      <w:bookmarkEnd w:id="153"/>
      <w:bookmarkEnd w:id="154"/>
      <w:bookmarkEnd w:id="155"/>
    </w:p>
    <w:p w14:paraId="01057855" w14:textId="77777777" w:rsidR="00232F0B" w:rsidRPr="00A40FD5" w:rsidRDefault="00232F0B" w:rsidP="00031E2A">
      <w:r w:rsidRPr="00A40FD5">
        <w:t>Regulation 19 requires the Director for Radiation Safety (</w:t>
      </w:r>
      <w:r w:rsidRPr="00CA73C2">
        <w:t>the Director</w:t>
      </w:r>
      <w:r w:rsidRPr="00A40FD5">
        <w:t>) to refund the whole or a part of a fee that has been paid when:</w:t>
      </w:r>
    </w:p>
    <w:p w14:paraId="49E609DA" w14:textId="77777777" w:rsidR="00232F0B" w:rsidRPr="00A40FD5" w:rsidRDefault="00232F0B" w:rsidP="00031E2A">
      <w:pPr>
        <w:pStyle w:val="Bullet"/>
      </w:pPr>
      <w:r w:rsidRPr="00A40FD5">
        <w:rPr>
          <w:shd w:val="clear" w:color="auto" w:fill="FFFFFF"/>
        </w:rPr>
        <w:t>the Director imposes a condition on a source licence that provides for a longer inspection period than the period that applies under </w:t>
      </w:r>
      <w:hyperlink r:id="rId23" w:anchor="DLM7048706" w:history="1">
        <w:r w:rsidRPr="00A40FD5">
          <w:rPr>
            <w:bdr w:val="none" w:sz="0" w:space="0" w:color="auto" w:frame="1"/>
          </w:rPr>
          <w:t>Schedule 2</w:t>
        </w:r>
      </w:hyperlink>
      <w:r w:rsidRPr="00A40FD5">
        <w:t>; or</w:t>
      </w:r>
    </w:p>
    <w:p w14:paraId="1914DA26" w14:textId="77777777" w:rsidR="00232F0B" w:rsidRPr="00A40FD5" w:rsidRDefault="00232F0B" w:rsidP="00031E2A">
      <w:pPr>
        <w:pStyle w:val="Bullet"/>
        <w:rPr>
          <w:shd w:val="clear" w:color="auto" w:fill="FFFFFF"/>
        </w:rPr>
      </w:pPr>
      <w:r w:rsidRPr="00A40FD5">
        <w:rPr>
          <w:shd w:val="clear" w:color="auto" w:fill="FFFFFF"/>
        </w:rPr>
        <w:t>the Director imposes a condition on a source licence that provides that no inspection period applies in relation to a location or sub-location; or</w:t>
      </w:r>
    </w:p>
    <w:p w14:paraId="50019C9A" w14:textId="77777777" w:rsidR="0087667B" w:rsidRDefault="00232F0B" w:rsidP="00031E2A">
      <w:pPr>
        <w:pStyle w:val="Bullet"/>
        <w:rPr>
          <w:shd w:val="clear" w:color="auto" w:fill="FFFFFF"/>
        </w:rPr>
      </w:pPr>
      <w:r w:rsidRPr="00A40FD5">
        <w:rPr>
          <w:shd w:val="clear" w:color="auto" w:fill="FFFFFF"/>
        </w:rPr>
        <w:t>an application for an authorisation is declined.</w:t>
      </w:r>
    </w:p>
    <w:p w14:paraId="68E18DA5" w14:textId="77777777" w:rsidR="00232F0B" w:rsidRDefault="00232F0B" w:rsidP="00031E2A">
      <w:pPr>
        <w:rPr>
          <w:shd w:val="clear" w:color="auto" w:fill="FFFFFF"/>
        </w:rPr>
      </w:pPr>
    </w:p>
    <w:p w14:paraId="3003DAA5" w14:textId="77777777" w:rsidR="00232F0B" w:rsidRPr="00A40FD5" w:rsidRDefault="00232F0B" w:rsidP="005B5BE2">
      <w:pPr>
        <w:pStyle w:val="Heading3"/>
      </w:pPr>
      <w:bookmarkStart w:id="158" w:name="_Toc83118736"/>
      <w:bookmarkStart w:id="159" w:name="_Toc83130215"/>
      <w:bookmarkStart w:id="160" w:name="_Toc83133484"/>
      <w:r>
        <w:t>Status quo</w:t>
      </w:r>
      <w:r w:rsidRPr="00A40FD5">
        <w:t xml:space="preserve"> option</w:t>
      </w:r>
      <w:bookmarkEnd w:id="158"/>
      <w:bookmarkEnd w:id="159"/>
      <w:bookmarkEnd w:id="160"/>
    </w:p>
    <w:p w14:paraId="1EE7AE68" w14:textId="77777777" w:rsidR="0087667B" w:rsidRDefault="00232F0B" w:rsidP="00031E2A">
      <w:pPr>
        <w:rPr>
          <w:shd w:val="clear" w:color="auto" w:fill="FFFFFF"/>
        </w:rPr>
      </w:pPr>
      <w:r w:rsidRPr="00A40FD5">
        <w:rPr>
          <w:shd w:val="clear" w:color="auto" w:fill="FFFFFF"/>
        </w:rPr>
        <w:t xml:space="preserve">The </w:t>
      </w:r>
      <w:bookmarkStart w:id="161" w:name="_Toc83118737"/>
      <w:bookmarkStart w:id="162" w:name="_Toc83130216"/>
      <w:bookmarkStart w:id="163" w:name="_Toc83133485"/>
      <w:r>
        <w:rPr>
          <w:shd w:val="clear" w:color="auto" w:fill="FFFFFF"/>
        </w:rPr>
        <w:t>status quo option would mean that the retained portion of application fees set out in section 19(3) of the Regulations ($126 or $145), for situations where a source licence is granted with no inspection period, would remain in place. These fees relate to the assessed costs of processing the applications at the time they came into force in 2017. The assessed costs of processing applications for sources licences are now higher. Also, the retained portion of application fees has never recovered the costs associated with any technical evaluation of the applications. Therefore, the status quo option does not recover the full cost of assessing applications in the case of a source being granted without an inspection period and, therefore, does not fully meet the objectives of the 2016 RIS for the Regulations.</w:t>
      </w:r>
    </w:p>
    <w:p w14:paraId="391A83AE" w14:textId="77777777" w:rsidR="00232F0B" w:rsidRDefault="00232F0B" w:rsidP="00031E2A">
      <w:pPr>
        <w:rPr>
          <w:shd w:val="clear" w:color="auto" w:fill="FFFFFF"/>
        </w:rPr>
      </w:pPr>
    </w:p>
    <w:p w14:paraId="493A7105" w14:textId="77777777" w:rsidR="0087667B" w:rsidRDefault="00232F0B" w:rsidP="00031E2A">
      <w:pPr>
        <w:rPr>
          <w:shd w:val="clear" w:color="auto" w:fill="FFFFFF"/>
        </w:rPr>
      </w:pPr>
      <w:r>
        <w:rPr>
          <w:shd w:val="clear" w:color="auto" w:fill="FFFFFF"/>
        </w:rPr>
        <w:t>This affects just four current source licence holders, and policy is in place to ensure that this number remains as low as practicably achievable.</w:t>
      </w:r>
    </w:p>
    <w:p w14:paraId="620E993E" w14:textId="77777777" w:rsidR="00232F0B" w:rsidRDefault="00232F0B" w:rsidP="00031E2A">
      <w:pPr>
        <w:rPr>
          <w:shd w:val="clear" w:color="auto" w:fill="FFFFFF"/>
        </w:rPr>
      </w:pPr>
    </w:p>
    <w:p w14:paraId="6519C3DA" w14:textId="77777777" w:rsidR="0087667B" w:rsidRDefault="00232F0B" w:rsidP="00031E2A">
      <w:pPr>
        <w:rPr>
          <w:shd w:val="clear" w:color="auto" w:fill="FFFFFF"/>
        </w:rPr>
      </w:pPr>
      <w:r w:rsidRPr="002051AB">
        <w:rPr>
          <w:shd w:val="clear" w:color="auto" w:fill="FFFFFF"/>
        </w:rPr>
        <w:t xml:space="preserve">The status quo option </w:t>
      </w:r>
      <w:r>
        <w:rPr>
          <w:shd w:val="clear" w:color="auto" w:fill="FFFFFF"/>
        </w:rPr>
        <w:t>would also retain the exiting provision</w:t>
      </w:r>
      <w:r w:rsidRPr="002051AB">
        <w:rPr>
          <w:shd w:val="clear" w:color="auto" w:fill="FFFFFF"/>
        </w:rPr>
        <w:t xml:space="preserve"> for a full refund of source licence applications fees in the case of an application being declined.</w:t>
      </w:r>
      <w:r>
        <w:rPr>
          <w:shd w:val="clear" w:color="auto" w:fill="FFFFFF"/>
        </w:rPr>
        <w:t xml:space="preserve"> </w:t>
      </w:r>
      <w:r w:rsidRPr="002051AB">
        <w:rPr>
          <w:shd w:val="clear" w:color="auto" w:fill="FFFFFF"/>
        </w:rPr>
        <w:t>Declined applications must be assessed and therefore have associated costs.</w:t>
      </w:r>
      <w:r>
        <w:rPr>
          <w:shd w:val="clear" w:color="auto" w:fill="FFFFFF"/>
        </w:rPr>
        <w:t xml:space="preserve"> </w:t>
      </w:r>
      <w:r w:rsidRPr="002051AB">
        <w:rPr>
          <w:shd w:val="clear" w:color="auto" w:fill="FFFFFF"/>
        </w:rPr>
        <w:t>The status quo option has never recovered these costs and</w:t>
      </w:r>
      <w:r>
        <w:rPr>
          <w:shd w:val="clear" w:color="auto" w:fill="FFFFFF"/>
        </w:rPr>
        <w:t>,</w:t>
      </w:r>
      <w:r w:rsidRPr="002051AB">
        <w:rPr>
          <w:shd w:val="clear" w:color="auto" w:fill="FFFFFF"/>
        </w:rPr>
        <w:t xml:space="preserve"> therefore, this provision also </w:t>
      </w:r>
      <w:r>
        <w:rPr>
          <w:shd w:val="clear" w:color="auto" w:fill="FFFFFF"/>
        </w:rPr>
        <w:t>does not fully meet</w:t>
      </w:r>
      <w:r w:rsidRPr="002051AB">
        <w:rPr>
          <w:shd w:val="clear" w:color="auto" w:fill="FFFFFF"/>
        </w:rPr>
        <w:t xml:space="preserve"> the objectives of the 2016 RIS.</w:t>
      </w:r>
      <w:bookmarkEnd w:id="161"/>
      <w:bookmarkEnd w:id="162"/>
      <w:bookmarkEnd w:id="163"/>
    </w:p>
    <w:p w14:paraId="287B645A" w14:textId="77777777" w:rsidR="00031E2A" w:rsidRDefault="00031E2A" w:rsidP="00031E2A">
      <w:pPr>
        <w:rPr>
          <w:shd w:val="clear" w:color="auto" w:fill="FFFFFF"/>
        </w:rPr>
      </w:pPr>
    </w:p>
    <w:p w14:paraId="20C5A897" w14:textId="77777777" w:rsidR="00232F0B" w:rsidRPr="00A40FD5" w:rsidRDefault="00232F0B" w:rsidP="005B5BE2">
      <w:pPr>
        <w:pStyle w:val="Heading3"/>
      </w:pPr>
      <w:bookmarkStart w:id="164" w:name="_Toc83118738"/>
      <w:bookmarkStart w:id="165" w:name="_Toc83130217"/>
      <w:bookmarkStart w:id="166" w:name="_Toc83133486"/>
      <w:r w:rsidRPr="00A40FD5">
        <w:t>Preferred option</w:t>
      </w:r>
      <w:bookmarkEnd w:id="156"/>
      <w:bookmarkEnd w:id="157"/>
      <w:bookmarkEnd w:id="164"/>
      <w:bookmarkEnd w:id="165"/>
      <w:bookmarkEnd w:id="166"/>
    </w:p>
    <w:p w14:paraId="59E15ECD" w14:textId="7932A891" w:rsidR="0087667B" w:rsidRDefault="00232F0B" w:rsidP="00031E2A">
      <w:pPr>
        <w:rPr>
          <w:shd w:val="clear" w:color="auto" w:fill="FFFFFF"/>
        </w:rPr>
      </w:pPr>
      <w:r>
        <w:rPr>
          <w:shd w:val="clear" w:color="auto" w:fill="FFFFFF"/>
        </w:rPr>
        <w:t>R</w:t>
      </w:r>
      <w:r w:rsidRPr="00A40FD5">
        <w:rPr>
          <w:shd w:val="clear" w:color="auto" w:fill="FFFFFF"/>
        </w:rPr>
        <w:t xml:space="preserve">efunds </w:t>
      </w:r>
      <w:r>
        <w:rPr>
          <w:shd w:val="clear" w:color="auto" w:fill="FFFFFF"/>
        </w:rPr>
        <w:t>are</w:t>
      </w:r>
      <w:r w:rsidRPr="00A40FD5">
        <w:rPr>
          <w:shd w:val="clear" w:color="auto" w:fill="FFFFFF"/>
        </w:rPr>
        <w:t xml:space="preserve"> amended as a consequence of the proposed new fees </w:t>
      </w:r>
      <w:r>
        <w:rPr>
          <w:shd w:val="clear" w:color="auto" w:fill="FFFFFF"/>
        </w:rPr>
        <w:t>set out in</w:t>
      </w:r>
      <w:r w:rsidRPr="00A40FD5">
        <w:rPr>
          <w:shd w:val="clear" w:color="auto" w:fill="FFFFFF"/>
        </w:rPr>
        <w:t xml:space="preserve"> </w:t>
      </w:r>
      <w:r w:rsidR="00031E2A">
        <w:rPr>
          <w:shd w:val="clear" w:color="auto" w:fill="FFFFFF"/>
        </w:rPr>
        <w:fldChar w:fldCharType="begin"/>
      </w:r>
      <w:r w:rsidR="00031E2A">
        <w:rPr>
          <w:shd w:val="clear" w:color="auto" w:fill="FFFFFF"/>
        </w:rPr>
        <w:instrText xml:space="preserve"> REF _Ref87368839 \h </w:instrText>
      </w:r>
      <w:r w:rsidR="00031E2A">
        <w:rPr>
          <w:shd w:val="clear" w:color="auto" w:fill="FFFFFF"/>
        </w:rPr>
      </w:r>
      <w:r w:rsidR="00031E2A">
        <w:rPr>
          <w:shd w:val="clear" w:color="auto" w:fill="FFFFFF"/>
        </w:rPr>
        <w:fldChar w:fldCharType="separate"/>
      </w:r>
      <w:r w:rsidR="003A5600">
        <w:t>Table </w:t>
      </w:r>
      <w:r w:rsidR="003A5600">
        <w:rPr>
          <w:noProof/>
        </w:rPr>
        <w:t>17</w:t>
      </w:r>
      <w:r w:rsidR="00031E2A">
        <w:rPr>
          <w:shd w:val="clear" w:color="auto" w:fill="FFFFFF"/>
        </w:rPr>
        <w:fldChar w:fldCharType="end"/>
      </w:r>
      <w:r>
        <w:rPr>
          <w:shd w:val="clear" w:color="auto" w:fill="FFFFFF"/>
        </w:rPr>
        <w:t xml:space="preserve"> to follow</w:t>
      </w:r>
      <w:r w:rsidRPr="00A40FD5">
        <w:rPr>
          <w:shd w:val="clear" w:color="auto" w:fill="FFFFFF"/>
        </w:rPr>
        <w:t>.</w:t>
      </w:r>
    </w:p>
    <w:p w14:paraId="35FED649" w14:textId="77777777" w:rsidR="00232F0B" w:rsidRPr="00A40FD5" w:rsidRDefault="00232F0B" w:rsidP="00031E2A">
      <w:pPr>
        <w:rPr>
          <w:shd w:val="clear" w:color="auto" w:fill="FFFFFF"/>
        </w:rPr>
      </w:pPr>
    </w:p>
    <w:p w14:paraId="0C6F7302" w14:textId="77777777" w:rsidR="00232F0B" w:rsidRPr="00A40FD5" w:rsidRDefault="00232F0B" w:rsidP="00031E2A">
      <w:pPr>
        <w:pStyle w:val="Heading4"/>
        <w:rPr>
          <w:shd w:val="clear" w:color="auto" w:fill="FFFFFF"/>
        </w:rPr>
      </w:pPr>
      <w:r w:rsidRPr="00A40FD5">
        <w:rPr>
          <w:shd w:val="clear" w:color="auto" w:fill="FFFFFF"/>
        </w:rPr>
        <w:t>Source licences</w:t>
      </w:r>
    </w:p>
    <w:p w14:paraId="2A9BC7F4" w14:textId="77777777" w:rsidR="0087667B" w:rsidRDefault="00232F0B" w:rsidP="00031E2A">
      <w:pPr>
        <w:rPr>
          <w:shd w:val="clear" w:color="auto" w:fill="FFFFFF"/>
        </w:rPr>
      </w:pPr>
      <w:r w:rsidRPr="00A40FD5">
        <w:rPr>
          <w:shd w:val="clear" w:color="auto" w:fill="FFFFFF"/>
        </w:rPr>
        <w:t>In the case of regulation 19(2) (licence granted with longer inspection period)</w:t>
      </w:r>
      <w:r>
        <w:rPr>
          <w:shd w:val="clear" w:color="auto" w:fill="FFFFFF"/>
        </w:rPr>
        <w:t>,</w:t>
      </w:r>
      <w:r w:rsidRPr="00A40FD5">
        <w:rPr>
          <w:shd w:val="clear" w:color="auto" w:fill="FFFFFF"/>
        </w:rPr>
        <w:t xml:space="preserve"> no changes will be required as the formula to calculate the refund will continue to derive the correct amount of refund.</w:t>
      </w:r>
    </w:p>
    <w:p w14:paraId="3552A645" w14:textId="77777777" w:rsidR="00232F0B" w:rsidRPr="00A40FD5" w:rsidRDefault="00232F0B" w:rsidP="00031E2A">
      <w:pPr>
        <w:rPr>
          <w:shd w:val="clear" w:color="auto" w:fill="FFFFFF"/>
        </w:rPr>
      </w:pPr>
    </w:p>
    <w:p w14:paraId="3EC17B9C" w14:textId="77777777" w:rsidR="0087667B" w:rsidRDefault="00232F0B" w:rsidP="00031E2A">
      <w:pPr>
        <w:rPr>
          <w:shd w:val="clear" w:color="auto" w:fill="FFFFFF"/>
        </w:rPr>
      </w:pPr>
      <w:r w:rsidRPr="00A40FD5">
        <w:rPr>
          <w:shd w:val="clear" w:color="auto" w:fill="FFFFFF"/>
        </w:rPr>
        <w:t>In the case of regulation 19(3) (licence granted with no inspection period)</w:t>
      </w:r>
      <w:r>
        <w:rPr>
          <w:shd w:val="clear" w:color="auto" w:fill="FFFFFF"/>
        </w:rPr>
        <w:t>,</w:t>
      </w:r>
      <w:r w:rsidRPr="00A40FD5">
        <w:rPr>
          <w:shd w:val="clear" w:color="auto" w:fill="FFFFFF"/>
        </w:rPr>
        <w:t xml:space="preserve"> the amount of the application that is proposed to be retained by the Ministry will rise to:</w:t>
      </w:r>
    </w:p>
    <w:p w14:paraId="1FAFE1A5" w14:textId="77777777" w:rsidR="00232F0B" w:rsidRPr="00A40FD5" w:rsidRDefault="00232F0B" w:rsidP="00031E2A">
      <w:pPr>
        <w:pStyle w:val="Bullet"/>
        <w:rPr>
          <w:shd w:val="clear" w:color="auto" w:fill="FFFFFF"/>
        </w:rPr>
      </w:pPr>
      <w:r w:rsidRPr="00A40FD5">
        <w:rPr>
          <w:shd w:val="clear" w:color="auto" w:fill="FFFFFF"/>
        </w:rPr>
        <w:t>$588 for a new source licence application or an application to vary an existing source licence granted without an inspection</w:t>
      </w:r>
    </w:p>
    <w:p w14:paraId="397045D7" w14:textId="77777777" w:rsidR="0087667B" w:rsidRDefault="00232F0B" w:rsidP="00031E2A">
      <w:pPr>
        <w:pStyle w:val="Bullet"/>
        <w:rPr>
          <w:shd w:val="clear" w:color="auto" w:fill="FFFFFF"/>
        </w:rPr>
      </w:pPr>
      <w:r w:rsidRPr="00A40FD5">
        <w:rPr>
          <w:shd w:val="clear" w:color="auto" w:fill="FFFFFF"/>
        </w:rPr>
        <w:t>$353 for a renewal application without a variation.</w:t>
      </w:r>
    </w:p>
    <w:p w14:paraId="23342D36" w14:textId="77777777" w:rsidR="00232F0B" w:rsidRDefault="00232F0B" w:rsidP="00031E2A">
      <w:pPr>
        <w:rPr>
          <w:shd w:val="clear" w:color="auto" w:fill="FFFFFF"/>
        </w:rPr>
      </w:pPr>
    </w:p>
    <w:p w14:paraId="23B73DDF" w14:textId="47D9673B" w:rsidR="0087667B" w:rsidRDefault="00232F0B" w:rsidP="00031E2A">
      <w:pPr>
        <w:rPr>
          <w:shd w:val="clear" w:color="auto" w:fill="FFFFFF"/>
        </w:rPr>
      </w:pPr>
      <w:r w:rsidRPr="00A40FD5">
        <w:rPr>
          <w:shd w:val="clear" w:color="auto" w:fill="FFFFFF"/>
        </w:rPr>
        <w:t>These amounts are an increase from $126 (the discounted amount that applies to 7</w:t>
      </w:r>
      <w:r w:rsidR="00031E2A">
        <w:rPr>
          <w:shd w:val="clear" w:color="auto" w:fill="FFFFFF"/>
        </w:rPr>
        <w:t> </w:t>
      </w:r>
      <w:r w:rsidRPr="00A40FD5">
        <w:rPr>
          <w:shd w:val="clear" w:color="auto" w:fill="FFFFFF"/>
        </w:rPr>
        <w:t>March 2023) and $145 (the full amount).</w:t>
      </w:r>
      <w:r>
        <w:rPr>
          <w:shd w:val="clear" w:color="auto" w:fill="FFFFFF"/>
        </w:rPr>
        <w:t xml:space="preserve"> </w:t>
      </w:r>
      <w:r w:rsidRPr="00A40FD5">
        <w:rPr>
          <w:shd w:val="clear" w:color="auto" w:fill="FFFFFF"/>
        </w:rPr>
        <w:t xml:space="preserve">This increase reflects the higher fees proposed in </w:t>
      </w:r>
      <w:r w:rsidR="00031E2A">
        <w:rPr>
          <w:shd w:val="clear" w:color="auto" w:fill="FFFFFF"/>
        </w:rPr>
        <w:fldChar w:fldCharType="begin"/>
      </w:r>
      <w:r w:rsidR="00031E2A">
        <w:rPr>
          <w:shd w:val="clear" w:color="auto" w:fill="FFFFFF"/>
        </w:rPr>
        <w:instrText xml:space="preserve"> REF _Ref87368875 \h </w:instrText>
      </w:r>
      <w:r w:rsidR="00031E2A">
        <w:rPr>
          <w:shd w:val="clear" w:color="auto" w:fill="FFFFFF"/>
        </w:rPr>
      </w:r>
      <w:r w:rsidR="00031E2A">
        <w:rPr>
          <w:shd w:val="clear" w:color="auto" w:fill="FFFFFF"/>
        </w:rPr>
        <w:fldChar w:fldCharType="separate"/>
      </w:r>
      <w:r w:rsidR="003A5600">
        <w:t>Table </w:t>
      </w:r>
      <w:r w:rsidR="003A5600">
        <w:rPr>
          <w:noProof/>
        </w:rPr>
        <w:t>13</w:t>
      </w:r>
      <w:r w:rsidR="00031E2A">
        <w:rPr>
          <w:shd w:val="clear" w:color="auto" w:fill="FFFFFF"/>
        </w:rPr>
        <w:fldChar w:fldCharType="end"/>
      </w:r>
      <w:r w:rsidRPr="00A40FD5">
        <w:rPr>
          <w:shd w:val="clear" w:color="auto" w:fill="FFFFFF"/>
        </w:rPr>
        <w:t xml:space="preserve"> and </w:t>
      </w:r>
      <w:r w:rsidR="00031E2A">
        <w:rPr>
          <w:shd w:val="clear" w:color="auto" w:fill="FFFFFF"/>
        </w:rPr>
        <w:fldChar w:fldCharType="begin"/>
      </w:r>
      <w:r w:rsidR="00031E2A">
        <w:rPr>
          <w:shd w:val="clear" w:color="auto" w:fill="FFFFFF"/>
        </w:rPr>
        <w:instrText xml:space="preserve"> REF _Ref87368882 \h </w:instrText>
      </w:r>
      <w:r w:rsidR="00031E2A">
        <w:rPr>
          <w:shd w:val="clear" w:color="auto" w:fill="FFFFFF"/>
        </w:rPr>
      </w:r>
      <w:r w:rsidR="00031E2A">
        <w:rPr>
          <w:shd w:val="clear" w:color="auto" w:fill="FFFFFF"/>
        </w:rPr>
        <w:fldChar w:fldCharType="separate"/>
      </w:r>
      <w:r w:rsidR="003A5600">
        <w:t>Table </w:t>
      </w:r>
      <w:r w:rsidR="003A5600">
        <w:rPr>
          <w:noProof/>
        </w:rPr>
        <w:t>14</w:t>
      </w:r>
      <w:r w:rsidR="00031E2A">
        <w:rPr>
          <w:shd w:val="clear" w:color="auto" w:fill="FFFFFF"/>
        </w:rPr>
        <w:fldChar w:fldCharType="end"/>
      </w:r>
      <w:r w:rsidRPr="00A40FD5">
        <w:rPr>
          <w:shd w:val="clear" w:color="auto" w:fill="FFFFFF"/>
        </w:rPr>
        <w:t xml:space="preserve"> </w:t>
      </w:r>
      <w:r>
        <w:rPr>
          <w:shd w:val="clear" w:color="auto" w:fill="FFFFFF"/>
        </w:rPr>
        <w:t xml:space="preserve">to follow </w:t>
      </w:r>
      <w:r w:rsidRPr="00A40FD5">
        <w:rPr>
          <w:shd w:val="clear" w:color="auto" w:fill="FFFFFF"/>
        </w:rPr>
        <w:t>but also proposes that the Ministry retain the portion of the fee related to technical evaluation and the memorandum account balance.</w:t>
      </w:r>
    </w:p>
    <w:p w14:paraId="47CD51E7" w14:textId="77777777" w:rsidR="00232F0B" w:rsidRPr="00A40FD5" w:rsidRDefault="00232F0B" w:rsidP="00031E2A">
      <w:pPr>
        <w:rPr>
          <w:shd w:val="clear" w:color="auto" w:fill="FFFFFF"/>
        </w:rPr>
      </w:pPr>
    </w:p>
    <w:p w14:paraId="2ACBE61B" w14:textId="77777777" w:rsidR="0087667B" w:rsidRDefault="00232F0B" w:rsidP="002B2970">
      <w:pPr>
        <w:keepLines/>
        <w:rPr>
          <w:shd w:val="clear" w:color="auto" w:fill="FFFFFF"/>
        </w:rPr>
      </w:pPr>
      <w:r w:rsidRPr="00A40FD5">
        <w:rPr>
          <w:shd w:val="clear" w:color="auto" w:fill="FFFFFF"/>
        </w:rPr>
        <w:t>In the case of regulation 19(4) (licence application declined)</w:t>
      </w:r>
      <w:r>
        <w:rPr>
          <w:shd w:val="clear" w:color="auto" w:fill="FFFFFF"/>
        </w:rPr>
        <w:t>,</w:t>
      </w:r>
      <w:r w:rsidRPr="00A40FD5">
        <w:rPr>
          <w:shd w:val="clear" w:color="auto" w:fill="FFFFFF"/>
        </w:rPr>
        <w:t xml:space="preserve"> a refund of the whole application fee is required.</w:t>
      </w:r>
      <w:r>
        <w:rPr>
          <w:shd w:val="clear" w:color="auto" w:fill="FFFFFF"/>
        </w:rPr>
        <w:t xml:space="preserve"> When</w:t>
      </w:r>
      <w:r w:rsidRPr="00A40FD5">
        <w:rPr>
          <w:shd w:val="clear" w:color="auto" w:fill="FFFFFF"/>
        </w:rPr>
        <w:t xml:space="preserve"> an application is declined</w:t>
      </w:r>
      <w:r>
        <w:rPr>
          <w:shd w:val="clear" w:color="auto" w:fill="FFFFFF"/>
        </w:rPr>
        <w:t>,</w:t>
      </w:r>
      <w:r w:rsidRPr="00A40FD5">
        <w:rPr>
          <w:shd w:val="clear" w:color="auto" w:fill="FFFFFF"/>
        </w:rPr>
        <w:t xml:space="preserve"> it is justifiable to retain </w:t>
      </w:r>
      <w:r>
        <w:rPr>
          <w:shd w:val="clear" w:color="auto" w:fill="FFFFFF"/>
        </w:rPr>
        <w:t xml:space="preserve">the </w:t>
      </w:r>
      <w:r w:rsidRPr="00A40FD5">
        <w:rPr>
          <w:shd w:val="clear" w:color="auto" w:fill="FFFFFF"/>
        </w:rPr>
        <w:t xml:space="preserve">part of the fee that relates to the costs of determining the application but not the </w:t>
      </w:r>
      <w:r>
        <w:rPr>
          <w:shd w:val="clear" w:color="auto" w:fill="FFFFFF"/>
        </w:rPr>
        <w:t>parts</w:t>
      </w:r>
      <w:r w:rsidRPr="00A40FD5">
        <w:rPr>
          <w:shd w:val="clear" w:color="auto" w:fill="FFFFFF"/>
        </w:rPr>
        <w:t xml:space="preserve"> that relate to technical evaluation, inspections or the memorandum account.</w:t>
      </w:r>
      <w:r>
        <w:rPr>
          <w:shd w:val="clear" w:color="auto" w:fill="FFFFFF"/>
        </w:rPr>
        <w:t xml:space="preserve"> </w:t>
      </w:r>
      <w:r w:rsidRPr="00A40FD5">
        <w:rPr>
          <w:shd w:val="clear" w:color="auto" w:fill="FFFFFF"/>
        </w:rPr>
        <w:t xml:space="preserve">On this basis, it is proposed that the amount of refund </w:t>
      </w:r>
      <w:r>
        <w:rPr>
          <w:shd w:val="clear" w:color="auto" w:fill="FFFFFF"/>
        </w:rPr>
        <w:t>be</w:t>
      </w:r>
      <w:r w:rsidRPr="00A40FD5">
        <w:rPr>
          <w:shd w:val="clear" w:color="auto" w:fill="FFFFFF"/>
        </w:rPr>
        <w:t xml:space="preserve"> the full amount of the application fee but that the Ministry retain:</w:t>
      </w:r>
    </w:p>
    <w:p w14:paraId="6B4775D1" w14:textId="77777777" w:rsidR="00232F0B" w:rsidRPr="00A40FD5" w:rsidRDefault="00232F0B" w:rsidP="00031E2A">
      <w:pPr>
        <w:pStyle w:val="Bullet"/>
        <w:rPr>
          <w:shd w:val="clear" w:color="auto" w:fill="FFFFFF"/>
        </w:rPr>
      </w:pPr>
      <w:r w:rsidRPr="00A40FD5">
        <w:rPr>
          <w:shd w:val="clear" w:color="auto" w:fill="FFFFFF"/>
        </w:rPr>
        <w:t>$450 for a declined source licence application that is new or a variation</w:t>
      </w:r>
    </w:p>
    <w:p w14:paraId="2F7FD53A" w14:textId="77777777" w:rsidR="0087667B" w:rsidRDefault="00232F0B" w:rsidP="00031E2A">
      <w:pPr>
        <w:pStyle w:val="Bullet"/>
        <w:rPr>
          <w:shd w:val="clear" w:color="auto" w:fill="FFFFFF"/>
        </w:rPr>
      </w:pPr>
      <w:r w:rsidRPr="00A40FD5">
        <w:rPr>
          <w:shd w:val="clear" w:color="auto" w:fill="FFFFFF"/>
        </w:rPr>
        <w:t>$305 for a declined source licence application that is for a renewal (without variation).</w:t>
      </w:r>
    </w:p>
    <w:p w14:paraId="5623E71D" w14:textId="77777777" w:rsidR="00232F0B" w:rsidRDefault="00232F0B" w:rsidP="00031E2A">
      <w:pPr>
        <w:rPr>
          <w:shd w:val="clear" w:color="auto" w:fill="FFFFFF"/>
        </w:rPr>
      </w:pPr>
    </w:p>
    <w:p w14:paraId="3A662398" w14:textId="77777777" w:rsidR="0087667B" w:rsidRDefault="00232F0B" w:rsidP="00031E2A">
      <w:pPr>
        <w:rPr>
          <w:shd w:val="clear" w:color="auto" w:fill="FFFFFF"/>
        </w:rPr>
      </w:pPr>
      <w:r w:rsidRPr="00A40FD5">
        <w:rPr>
          <w:shd w:val="clear" w:color="auto" w:fill="FFFFFF"/>
        </w:rPr>
        <w:t xml:space="preserve">It is proposed that retention of these amounts </w:t>
      </w:r>
      <w:r>
        <w:rPr>
          <w:shd w:val="clear" w:color="auto" w:fill="FFFFFF"/>
        </w:rPr>
        <w:t>be</w:t>
      </w:r>
      <w:r w:rsidRPr="00A40FD5">
        <w:rPr>
          <w:shd w:val="clear" w:color="auto" w:fill="FFFFFF"/>
        </w:rPr>
        <w:t xml:space="preserve"> applied regardless of the source licence application fee that has been paid.</w:t>
      </w:r>
      <w:r>
        <w:rPr>
          <w:shd w:val="clear" w:color="auto" w:fill="FFFFFF"/>
        </w:rPr>
        <w:t xml:space="preserve"> </w:t>
      </w:r>
      <w:r w:rsidRPr="00A40FD5">
        <w:rPr>
          <w:shd w:val="clear" w:color="auto" w:fill="FFFFFF"/>
        </w:rPr>
        <w:t xml:space="preserve">This is because the costs of determining the application have been assessed as very similar regardless of compliance monitoring category </w:t>
      </w:r>
      <w:r>
        <w:rPr>
          <w:shd w:val="clear" w:color="auto" w:fill="FFFFFF"/>
        </w:rPr>
        <w:t xml:space="preserve">(that is, the risk) </w:t>
      </w:r>
      <w:r w:rsidRPr="00A40FD5">
        <w:rPr>
          <w:shd w:val="clear" w:color="auto" w:fill="FFFFFF"/>
        </w:rPr>
        <w:t>that applies to the source licence application.</w:t>
      </w:r>
    </w:p>
    <w:p w14:paraId="7B7052CF" w14:textId="77777777" w:rsidR="00232F0B" w:rsidRPr="00A40FD5" w:rsidRDefault="00232F0B" w:rsidP="00031E2A">
      <w:pPr>
        <w:rPr>
          <w:shd w:val="clear" w:color="auto" w:fill="FFFFFF"/>
        </w:rPr>
      </w:pPr>
    </w:p>
    <w:p w14:paraId="1F25D22D" w14:textId="77777777" w:rsidR="00232F0B" w:rsidRPr="00A40FD5" w:rsidRDefault="00232F0B" w:rsidP="005B5BE2">
      <w:pPr>
        <w:pStyle w:val="Heading4"/>
        <w:rPr>
          <w:shd w:val="clear" w:color="auto" w:fill="FFFFFF"/>
        </w:rPr>
      </w:pPr>
      <w:r w:rsidRPr="00A40FD5">
        <w:rPr>
          <w:shd w:val="clear" w:color="auto" w:fill="FFFFFF"/>
        </w:rPr>
        <w:t>Use licences and consents</w:t>
      </w:r>
    </w:p>
    <w:p w14:paraId="08FCCF4F" w14:textId="77777777" w:rsidR="0087667B" w:rsidRDefault="00232F0B" w:rsidP="00031E2A">
      <w:pPr>
        <w:rPr>
          <w:shd w:val="clear" w:color="auto" w:fill="FFFFFF"/>
        </w:rPr>
      </w:pPr>
      <w:r w:rsidRPr="00A40FD5">
        <w:rPr>
          <w:shd w:val="clear" w:color="auto" w:fill="FFFFFF"/>
        </w:rPr>
        <w:t>Section 19</w:t>
      </w:r>
      <w:r>
        <w:rPr>
          <w:shd w:val="clear" w:color="auto" w:fill="FFFFFF"/>
        </w:rPr>
        <w:t xml:space="preserve"> of the Act</w:t>
      </w:r>
      <w:r w:rsidRPr="00A40FD5">
        <w:rPr>
          <w:shd w:val="clear" w:color="auto" w:fill="FFFFFF"/>
        </w:rPr>
        <w:t xml:space="preserve"> does not set out provisions for dealing with refunds in the situation where a use licence application or a consent is declined.</w:t>
      </w:r>
      <w:r>
        <w:rPr>
          <w:shd w:val="clear" w:color="auto" w:fill="FFFFFF"/>
        </w:rPr>
        <w:t xml:space="preserve"> </w:t>
      </w:r>
      <w:r w:rsidRPr="00A40FD5">
        <w:rPr>
          <w:shd w:val="clear" w:color="auto" w:fill="FFFFFF"/>
        </w:rPr>
        <w:t>The Ministry has provided full refunds in these situations to be consistent with the principles currently set out in regulation 19(4).</w:t>
      </w:r>
    </w:p>
    <w:p w14:paraId="65A9BDB3" w14:textId="77777777" w:rsidR="00232F0B" w:rsidRPr="00A40FD5" w:rsidRDefault="00232F0B" w:rsidP="00031E2A">
      <w:pPr>
        <w:rPr>
          <w:shd w:val="clear" w:color="auto" w:fill="FFFFFF"/>
        </w:rPr>
      </w:pPr>
    </w:p>
    <w:p w14:paraId="3BDF581D" w14:textId="77777777" w:rsidR="00232F0B" w:rsidRPr="00A40FD5" w:rsidRDefault="00232F0B" w:rsidP="00031E2A">
      <w:pPr>
        <w:rPr>
          <w:shd w:val="clear" w:color="auto" w:fill="FFFFFF"/>
        </w:rPr>
      </w:pPr>
      <w:r w:rsidRPr="00A40FD5">
        <w:rPr>
          <w:shd w:val="clear" w:color="auto" w:fill="FFFFFF"/>
        </w:rPr>
        <w:t xml:space="preserve">So that the regulations can be consistent between authorisation types, </w:t>
      </w:r>
      <w:r>
        <w:rPr>
          <w:shd w:val="clear" w:color="auto" w:fill="FFFFFF"/>
        </w:rPr>
        <w:t>it is proposed</w:t>
      </w:r>
      <w:r w:rsidRPr="00A40FD5">
        <w:rPr>
          <w:shd w:val="clear" w:color="auto" w:fill="FFFFFF"/>
        </w:rPr>
        <w:t xml:space="preserve"> that where use licence applications and consent applications are declined, the Ministry also retain the portion of the fees that relate</w:t>
      </w:r>
      <w:r>
        <w:rPr>
          <w:shd w:val="clear" w:color="auto" w:fill="FFFFFF"/>
        </w:rPr>
        <w:t>s</w:t>
      </w:r>
      <w:r w:rsidRPr="00A40FD5">
        <w:rPr>
          <w:shd w:val="clear" w:color="auto" w:fill="FFFFFF"/>
        </w:rPr>
        <w:t xml:space="preserve"> to the costs of determining the application.</w:t>
      </w:r>
      <w:r>
        <w:rPr>
          <w:shd w:val="clear" w:color="auto" w:fill="FFFFFF"/>
        </w:rPr>
        <w:t xml:space="preserve"> </w:t>
      </w:r>
      <w:r w:rsidRPr="00A40FD5">
        <w:rPr>
          <w:shd w:val="clear" w:color="auto" w:fill="FFFFFF"/>
        </w:rPr>
        <w:t>On this basis, the amount of refund is the full amount of the application fee but the Ministry will retain:</w:t>
      </w:r>
    </w:p>
    <w:p w14:paraId="02443372" w14:textId="77777777" w:rsidR="0087667B" w:rsidRDefault="00232F0B" w:rsidP="00031E2A">
      <w:pPr>
        <w:pStyle w:val="Bullet"/>
        <w:rPr>
          <w:shd w:val="clear" w:color="auto" w:fill="FFFFFF"/>
        </w:rPr>
      </w:pPr>
      <w:r w:rsidRPr="00A40FD5">
        <w:rPr>
          <w:shd w:val="clear" w:color="auto" w:fill="FFFFFF"/>
        </w:rPr>
        <w:t xml:space="preserve">$320 for a declined application </w:t>
      </w:r>
      <w:r>
        <w:rPr>
          <w:shd w:val="clear" w:color="auto" w:fill="FFFFFF"/>
        </w:rPr>
        <w:t>that is</w:t>
      </w:r>
      <w:r w:rsidRPr="00A40FD5">
        <w:rPr>
          <w:shd w:val="clear" w:color="auto" w:fill="FFFFFF"/>
        </w:rPr>
        <w:t xml:space="preserve"> new or </w:t>
      </w:r>
      <w:r>
        <w:rPr>
          <w:shd w:val="clear" w:color="auto" w:fill="FFFFFF"/>
        </w:rPr>
        <w:t xml:space="preserve">a </w:t>
      </w:r>
      <w:r w:rsidRPr="00A40FD5">
        <w:rPr>
          <w:shd w:val="clear" w:color="auto" w:fill="FFFFFF"/>
        </w:rPr>
        <w:t>variation to an existing use licence</w:t>
      </w:r>
    </w:p>
    <w:p w14:paraId="0D7646E7" w14:textId="77777777" w:rsidR="00232F0B" w:rsidRPr="00A40FD5" w:rsidRDefault="00232F0B" w:rsidP="00031E2A">
      <w:pPr>
        <w:pStyle w:val="Bullet"/>
        <w:rPr>
          <w:shd w:val="clear" w:color="auto" w:fill="FFFFFF"/>
        </w:rPr>
      </w:pPr>
      <w:r w:rsidRPr="00A40FD5">
        <w:rPr>
          <w:shd w:val="clear" w:color="auto" w:fill="FFFFFF"/>
        </w:rPr>
        <w:t>$232 for a declined application for a renewal (without variation) of a use licence</w:t>
      </w:r>
    </w:p>
    <w:p w14:paraId="0D8ABF06" w14:textId="77777777" w:rsidR="00232F0B" w:rsidRPr="00A40FD5" w:rsidRDefault="00232F0B" w:rsidP="00031E2A">
      <w:pPr>
        <w:pStyle w:val="Bullet"/>
        <w:rPr>
          <w:shd w:val="clear" w:color="auto" w:fill="FFFFFF"/>
        </w:rPr>
      </w:pPr>
      <w:r w:rsidRPr="00A40FD5">
        <w:rPr>
          <w:shd w:val="clear" w:color="auto" w:fill="FFFFFF"/>
        </w:rPr>
        <w:t xml:space="preserve">$145 for a declined application for consent to </w:t>
      </w:r>
      <w:r>
        <w:rPr>
          <w:shd w:val="clear" w:color="auto" w:fill="FFFFFF"/>
        </w:rPr>
        <w:t xml:space="preserve">any type of </w:t>
      </w:r>
      <w:r w:rsidRPr="00A40FD5">
        <w:rPr>
          <w:shd w:val="clear" w:color="auto" w:fill="FFFFFF"/>
        </w:rPr>
        <w:t>import or export</w:t>
      </w:r>
      <w:r>
        <w:rPr>
          <w:shd w:val="clear" w:color="auto" w:fill="FFFFFF"/>
        </w:rPr>
        <w:t>.</w:t>
      </w:r>
    </w:p>
    <w:p w14:paraId="1ECF0F04" w14:textId="77777777" w:rsidR="00232F0B" w:rsidRDefault="00232F0B" w:rsidP="00031E2A">
      <w:pPr>
        <w:rPr>
          <w:shd w:val="clear" w:color="auto" w:fill="FFFFFF"/>
        </w:rPr>
      </w:pPr>
    </w:p>
    <w:p w14:paraId="087FCB06" w14:textId="77777777" w:rsidR="0087667B" w:rsidRDefault="00232F0B" w:rsidP="00031E2A">
      <w:pPr>
        <w:rPr>
          <w:shd w:val="clear" w:color="auto" w:fill="FFFFFF"/>
        </w:rPr>
      </w:pPr>
      <w:r w:rsidRPr="00A40FD5">
        <w:rPr>
          <w:shd w:val="clear" w:color="auto" w:fill="FFFFFF"/>
        </w:rPr>
        <w:t>The change in refund approach would allow the Ministry to retain fees to cover costs incurred by activities that must be carried out when an application is received. Currently, costs where an application is declined are not recovered and</w:t>
      </w:r>
      <w:r>
        <w:rPr>
          <w:shd w:val="clear" w:color="auto" w:fill="FFFFFF"/>
        </w:rPr>
        <w:t>,</w:t>
      </w:r>
      <w:r w:rsidRPr="00A40FD5">
        <w:rPr>
          <w:shd w:val="clear" w:color="auto" w:fill="FFFFFF"/>
        </w:rPr>
        <w:t xml:space="preserve"> therefore, the cost of these activities is </w:t>
      </w:r>
      <w:r>
        <w:rPr>
          <w:shd w:val="clear" w:color="auto" w:fill="FFFFFF"/>
        </w:rPr>
        <w:t>recovered from</w:t>
      </w:r>
      <w:r w:rsidRPr="00A40FD5">
        <w:rPr>
          <w:shd w:val="clear" w:color="auto" w:fill="FFFFFF"/>
        </w:rPr>
        <w:t xml:space="preserve"> successful applicants.</w:t>
      </w:r>
    </w:p>
    <w:p w14:paraId="299C4BFF" w14:textId="77777777" w:rsidR="00232F0B" w:rsidRDefault="00232F0B" w:rsidP="00031E2A">
      <w:pPr>
        <w:rPr>
          <w:shd w:val="clear" w:color="auto" w:fill="FFFFFF"/>
        </w:rPr>
      </w:pPr>
    </w:p>
    <w:p w14:paraId="6C1C2C8F" w14:textId="77777777" w:rsidR="00232F0B" w:rsidRDefault="00232F0B" w:rsidP="00031E2A">
      <w:r>
        <w:t>The preferred option would help the Regulations better achieve the objectives set out in the 2016 RIS for proportionality, equity and efficiency.</w:t>
      </w:r>
    </w:p>
    <w:p w14:paraId="0FE64943" w14:textId="77777777" w:rsidR="00031E2A" w:rsidRPr="00FD6935" w:rsidRDefault="00031E2A" w:rsidP="00031E2A">
      <w:pPr>
        <w:rPr>
          <w:color w:val="000000"/>
          <w:shd w:val="clear" w:color="auto" w:fill="FFFFFF"/>
        </w:rPr>
      </w:pPr>
    </w:p>
    <w:p w14:paraId="1095449E" w14:textId="77777777" w:rsidR="00232F0B" w:rsidRPr="00A40FD5" w:rsidRDefault="00232F0B" w:rsidP="005B5BE2">
      <w:pPr>
        <w:pStyle w:val="Heading3"/>
      </w:pPr>
      <w:bookmarkStart w:id="167" w:name="_Toc74583491"/>
      <w:bookmarkStart w:id="168" w:name="_Toc75349256"/>
      <w:bookmarkStart w:id="169" w:name="_Toc83118739"/>
      <w:bookmarkStart w:id="170" w:name="_Toc83130218"/>
      <w:bookmarkStart w:id="171" w:name="_Toc83133487"/>
      <w:r w:rsidRPr="00A40FD5">
        <w:t>Alternative option</w:t>
      </w:r>
      <w:bookmarkEnd w:id="167"/>
      <w:bookmarkEnd w:id="168"/>
      <w:bookmarkEnd w:id="169"/>
      <w:bookmarkEnd w:id="170"/>
      <w:bookmarkEnd w:id="171"/>
    </w:p>
    <w:p w14:paraId="49761A7E" w14:textId="4D812B4B" w:rsidR="00232F0B" w:rsidRPr="00A40FD5" w:rsidRDefault="00232F0B" w:rsidP="00D26956">
      <w:pPr>
        <w:keepNext/>
      </w:pPr>
      <w:r w:rsidRPr="00A40FD5">
        <w:t xml:space="preserve">In the case of applications that are declined, the portions of application fees that are proposed to be retained by the Ministry have a high degree of inequity compared </w:t>
      </w:r>
      <w:r>
        <w:t>with</w:t>
      </w:r>
      <w:r w:rsidRPr="00A40FD5">
        <w:t xml:space="preserve"> the application fee.</w:t>
      </w:r>
      <w:r>
        <w:t xml:space="preserve"> </w:t>
      </w:r>
      <w:r w:rsidRPr="00A40FD5">
        <w:t xml:space="preserve">Some examples are set out in </w:t>
      </w:r>
      <w:r w:rsidR="00031E2A">
        <w:fldChar w:fldCharType="begin"/>
      </w:r>
      <w:r w:rsidR="00031E2A">
        <w:instrText xml:space="preserve"> REF _Ref87368926 \h </w:instrText>
      </w:r>
      <w:r w:rsidR="00031E2A">
        <w:fldChar w:fldCharType="separate"/>
      </w:r>
      <w:r w:rsidR="003A5600">
        <w:t>Table </w:t>
      </w:r>
      <w:r w:rsidR="003A5600">
        <w:rPr>
          <w:noProof/>
        </w:rPr>
        <w:t>10</w:t>
      </w:r>
      <w:r w:rsidR="00031E2A">
        <w:fldChar w:fldCharType="end"/>
      </w:r>
      <w:r>
        <w:t xml:space="preserve"> below</w:t>
      </w:r>
      <w:r w:rsidRPr="00A40FD5">
        <w:t>.</w:t>
      </w:r>
    </w:p>
    <w:p w14:paraId="52E33D59" w14:textId="77777777" w:rsidR="00232F0B" w:rsidRPr="00A40FD5" w:rsidRDefault="00232F0B" w:rsidP="00D26956">
      <w:pPr>
        <w:keepNext/>
      </w:pPr>
    </w:p>
    <w:p w14:paraId="72B5568C" w14:textId="424C61D1" w:rsidR="00232F0B" w:rsidRPr="00A40FD5" w:rsidRDefault="005B5BE2" w:rsidP="00031E2A">
      <w:pPr>
        <w:pStyle w:val="Table"/>
      </w:pPr>
      <w:bookmarkStart w:id="172" w:name="_Ref87368926"/>
      <w:bookmarkStart w:id="173" w:name="_Toc84916124"/>
      <w:bookmarkStart w:id="174" w:name="_Toc84916187"/>
      <w:bookmarkStart w:id="175" w:name="_Toc88644158"/>
      <w:r>
        <w:t>Table </w:t>
      </w:r>
      <w:r w:rsidR="00384F9F">
        <w:fldChar w:fldCharType="begin"/>
      </w:r>
      <w:r w:rsidR="00384F9F">
        <w:instrText xml:space="preserve"> SEQ Table \* ARABIC </w:instrText>
      </w:r>
      <w:r w:rsidR="00384F9F">
        <w:fldChar w:fldCharType="separate"/>
      </w:r>
      <w:r w:rsidR="003A5600">
        <w:rPr>
          <w:noProof/>
        </w:rPr>
        <w:t>10</w:t>
      </w:r>
      <w:r w:rsidR="00384F9F">
        <w:rPr>
          <w:noProof/>
        </w:rPr>
        <w:fldChar w:fldCharType="end"/>
      </w:r>
      <w:bookmarkEnd w:id="172"/>
      <w:r w:rsidR="00232F0B" w:rsidRPr="00A40FD5">
        <w:t>:</w:t>
      </w:r>
      <w:r>
        <w:t xml:space="preserve"> </w:t>
      </w:r>
      <w:r w:rsidR="00232F0B" w:rsidRPr="00A40FD5">
        <w:t>Examples of inequity in proposed</w:t>
      </w:r>
      <w:r w:rsidR="00232F0B">
        <w:t xml:space="preserve"> preferred options for</w:t>
      </w:r>
      <w:r w:rsidR="00232F0B" w:rsidRPr="00A40FD5">
        <w:t xml:space="preserve"> </w:t>
      </w:r>
      <w:r w:rsidR="00232F0B">
        <w:t>retaining</w:t>
      </w:r>
      <w:r w:rsidR="00232F0B" w:rsidRPr="00A40FD5">
        <w:t xml:space="preserve"> fee portion</w:t>
      </w:r>
      <w:r w:rsidR="00232F0B">
        <w:t>s</w:t>
      </w:r>
      <w:r w:rsidR="00232F0B" w:rsidRPr="00A40FD5">
        <w:t xml:space="preserve"> for declined applications under </w:t>
      </w:r>
      <w:r w:rsidR="00232F0B">
        <w:t>r</w:t>
      </w:r>
      <w:r w:rsidR="00232F0B" w:rsidRPr="00A40FD5">
        <w:t>egulation 19(4)</w:t>
      </w:r>
      <w:bookmarkEnd w:id="173"/>
      <w:bookmarkEnd w:id="174"/>
      <w:bookmarkEnd w:id="175"/>
    </w:p>
    <w:tbl>
      <w:tblPr>
        <w:tblW w:w="8080" w:type="dxa"/>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1985"/>
        <w:gridCol w:w="1134"/>
        <w:gridCol w:w="1134"/>
        <w:gridCol w:w="1417"/>
        <w:gridCol w:w="1418"/>
        <w:gridCol w:w="992"/>
      </w:tblGrid>
      <w:tr w:rsidR="00232F0B" w:rsidRPr="002B2970" w14:paraId="6096B09D" w14:textId="77777777" w:rsidTr="002B2970">
        <w:trPr>
          <w:cantSplit/>
        </w:trPr>
        <w:tc>
          <w:tcPr>
            <w:tcW w:w="1985" w:type="dxa"/>
            <w:tcBorders>
              <w:top w:val="nil"/>
              <w:bottom w:val="nil"/>
            </w:tcBorders>
            <w:shd w:val="clear" w:color="auto" w:fill="D9D9D9" w:themeFill="background1" w:themeFillShade="D9"/>
            <w:noWrap/>
            <w:hideMark/>
          </w:tcPr>
          <w:p w14:paraId="31C6232F" w14:textId="77777777" w:rsidR="00232F0B" w:rsidRPr="002B2970" w:rsidRDefault="00232F0B" w:rsidP="002B2970">
            <w:pPr>
              <w:pStyle w:val="TableText"/>
              <w:rPr>
                <w:b/>
                <w:szCs w:val="18"/>
                <w:lang w:eastAsia="en-NZ"/>
              </w:rPr>
            </w:pPr>
            <w:r w:rsidRPr="002B2970">
              <w:rPr>
                <w:b/>
                <w:szCs w:val="18"/>
                <w:lang w:eastAsia="en-NZ"/>
              </w:rPr>
              <w:t>Authorisation type</w:t>
            </w:r>
          </w:p>
        </w:tc>
        <w:tc>
          <w:tcPr>
            <w:tcW w:w="1134" w:type="dxa"/>
            <w:tcBorders>
              <w:top w:val="nil"/>
              <w:bottom w:val="nil"/>
            </w:tcBorders>
            <w:shd w:val="clear" w:color="auto" w:fill="D9D9D9" w:themeFill="background1" w:themeFillShade="D9"/>
            <w:noWrap/>
            <w:hideMark/>
          </w:tcPr>
          <w:p w14:paraId="19409253" w14:textId="77777777" w:rsidR="00232F0B" w:rsidRPr="002B2970" w:rsidRDefault="00232F0B" w:rsidP="002B2970">
            <w:pPr>
              <w:pStyle w:val="TableText"/>
              <w:jc w:val="center"/>
              <w:rPr>
                <w:b/>
                <w:szCs w:val="18"/>
                <w:lang w:eastAsia="en-NZ"/>
              </w:rPr>
            </w:pPr>
            <w:r w:rsidRPr="002B2970">
              <w:rPr>
                <w:b/>
                <w:szCs w:val="18"/>
                <w:lang w:eastAsia="en-NZ"/>
              </w:rPr>
              <w:t>Inspection period</w:t>
            </w:r>
          </w:p>
        </w:tc>
        <w:tc>
          <w:tcPr>
            <w:tcW w:w="1134" w:type="dxa"/>
            <w:tcBorders>
              <w:top w:val="nil"/>
              <w:bottom w:val="nil"/>
            </w:tcBorders>
            <w:shd w:val="clear" w:color="auto" w:fill="D9D9D9" w:themeFill="background1" w:themeFillShade="D9"/>
            <w:noWrap/>
            <w:hideMark/>
          </w:tcPr>
          <w:p w14:paraId="5D3A423B" w14:textId="77777777" w:rsidR="00232F0B" w:rsidRPr="002B2970" w:rsidRDefault="00232F0B" w:rsidP="002B2970">
            <w:pPr>
              <w:pStyle w:val="TableText"/>
              <w:jc w:val="center"/>
              <w:rPr>
                <w:b/>
                <w:szCs w:val="18"/>
                <w:lang w:eastAsia="en-NZ"/>
              </w:rPr>
            </w:pPr>
            <w:r w:rsidRPr="002B2970">
              <w:rPr>
                <w:b/>
                <w:szCs w:val="18"/>
                <w:lang w:eastAsia="en-NZ"/>
              </w:rPr>
              <w:t>Application fee</w:t>
            </w:r>
          </w:p>
        </w:tc>
        <w:tc>
          <w:tcPr>
            <w:tcW w:w="1417" w:type="dxa"/>
            <w:tcBorders>
              <w:top w:val="nil"/>
              <w:bottom w:val="nil"/>
            </w:tcBorders>
            <w:shd w:val="clear" w:color="auto" w:fill="D9D9D9" w:themeFill="background1" w:themeFillShade="D9"/>
            <w:noWrap/>
            <w:hideMark/>
          </w:tcPr>
          <w:p w14:paraId="1F0BC799" w14:textId="77777777" w:rsidR="00232F0B" w:rsidRPr="002B2970" w:rsidRDefault="00232F0B" w:rsidP="002B2970">
            <w:pPr>
              <w:pStyle w:val="TableText"/>
              <w:jc w:val="center"/>
              <w:rPr>
                <w:b/>
                <w:szCs w:val="18"/>
                <w:lang w:eastAsia="en-NZ"/>
              </w:rPr>
            </w:pPr>
            <w:r w:rsidRPr="002B2970">
              <w:rPr>
                <w:b/>
                <w:szCs w:val="18"/>
                <w:lang w:eastAsia="en-NZ"/>
              </w:rPr>
              <w:t>Proposed refunded portion</w:t>
            </w:r>
          </w:p>
        </w:tc>
        <w:tc>
          <w:tcPr>
            <w:tcW w:w="1418" w:type="dxa"/>
            <w:tcBorders>
              <w:top w:val="nil"/>
              <w:bottom w:val="nil"/>
            </w:tcBorders>
            <w:shd w:val="clear" w:color="auto" w:fill="D9D9D9" w:themeFill="background1" w:themeFillShade="D9"/>
            <w:noWrap/>
            <w:hideMark/>
          </w:tcPr>
          <w:p w14:paraId="21F4FD38" w14:textId="77777777" w:rsidR="00232F0B" w:rsidRPr="002B2970" w:rsidRDefault="00232F0B" w:rsidP="002B2970">
            <w:pPr>
              <w:pStyle w:val="TableText"/>
              <w:jc w:val="center"/>
              <w:rPr>
                <w:b/>
                <w:szCs w:val="18"/>
                <w:lang w:eastAsia="en-NZ"/>
              </w:rPr>
            </w:pPr>
            <w:r w:rsidRPr="002B2970">
              <w:rPr>
                <w:b/>
                <w:szCs w:val="18"/>
                <w:lang w:eastAsia="en-NZ"/>
              </w:rPr>
              <w:t>Proposed retained portion</w:t>
            </w:r>
          </w:p>
        </w:tc>
        <w:tc>
          <w:tcPr>
            <w:tcW w:w="992" w:type="dxa"/>
            <w:tcBorders>
              <w:top w:val="nil"/>
              <w:bottom w:val="nil"/>
            </w:tcBorders>
            <w:shd w:val="clear" w:color="auto" w:fill="D9D9D9" w:themeFill="background1" w:themeFillShade="D9"/>
            <w:noWrap/>
            <w:hideMark/>
          </w:tcPr>
          <w:p w14:paraId="4EA30F81" w14:textId="77777777" w:rsidR="00232F0B" w:rsidRPr="002B2970" w:rsidRDefault="00232F0B" w:rsidP="002B2970">
            <w:pPr>
              <w:pStyle w:val="TableText"/>
              <w:jc w:val="center"/>
              <w:rPr>
                <w:b/>
                <w:szCs w:val="18"/>
                <w:lang w:eastAsia="en-NZ"/>
              </w:rPr>
            </w:pPr>
            <w:r w:rsidRPr="002B2970">
              <w:rPr>
                <w:b/>
                <w:szCs w:val="18"/>
                <w:lang w:eastAsia="en-NZ"/>
              </w:rPr>
              <w:t>% of fee retained</w:t>
            </w:r>
          </w:p>
        </w:tc>
      </w:tr>
      <w:tr w:rsidR="00232F0B" w:rsidRPr="00A40FD5" w14:paraId="496168DE" w14:textId="77777777" w:rsidTr="002B2970">
        <w:trPr>
          <w:cantSplit/>
        </w:trPr>
        <w:tc>
          <w:tcPr>
            <w:tcW w:w="1985" w:type="dxa"/>
            <w:tcBorders>
              <w:top w:val="nil"/>
            </w:tcBorders>
            <w:shd w:val="clear" w:color="auto" w:fill="auto"/>
            <w:noWrap/>
            <w:hideMark/>
          </w:tcPr>
          <w:p w14:paraId="10024E54" w14:textId="77777777" w:rsidR="00232F0B" w:rsidRPr="002B2970" w:rsidRDefault="00232F0B" w:rsidP="002B2970">
            <w:pPr>
              <w:pStyle w:val="TableText"/>
              <w:rPr>
                <w:szCs w:val="18"/>
                <w:lang w:eastAsia="en-NZ"/>
              </w:rPr>
            </w:pPr>
            <w:r w:rsidRPr="002B2970">
              <w:rPr>
                <w:szCs w:val="18"/>
                <w:lang w:eastAsia="en-NZ"/>
              </w:rPr>
              <w:t>Source licence (new and variations)</w:t>
            </w:r>
          </w:p>
        </w:tc>
        <w:tc>
          <w:tcPr>
            <w:tcW w:w="1134" w:type="dxa"/>
            <w:tcBorders>
              <w:top w:val="nil"/>
            </w:tcBorders>
            <w:shd w:val="clear" w:color="auto" w:fill="auto"/>
            <w:noWrap/>
            <w:hideMark/>
          </w:tcPr>
          <w:p w14:paraId="4383B772" w14:textId="77777777" w:rsidR="00232F0B" w:rsidRPr="002B2970" w:rsidRDefault="00232F0B" w:rsidP="002B2970">
            <w:pPr>
              <w:pStyle w:val="TableText"/>
              <w:jc w:val="center"/>
              <w:rPr>
                <w:szCs w:val="18"/>
                <w:lang w:eastAsia="en-NZ"/>
              </w:rPr>
            </w:pPr>
            <w:r w:rsidRPr="002B2970">
              <w:rPr>
                <w:szCs w:val="18"/>
                <w:lang w:eastAsia="en-NZ"/>
              </w:rPr>
              <w:t>1</w:t>
            </w:r>
          </w:p>
        </w:tc>
        <w:tc>
          <w:tcPr>
            <w:tcW w:w="1134" w:type="dxa"/>
            <w:tcBorders>
              <w:top w:val="nil"/>
            </w:tcBorders>
            <w:shd w:val="clear" w:color="auto" w:fill="auto"/>
            <w:noWrap/>
            <w:hideMark/>
          </w:tcPr>
          <w:p w14:paraId="2F215C78" w14:textId="77777777" w:rsidR="00232F0B" w:rsidRPr="002B2970" w:rsidRDefault="00232F0B" w:rsidP="002B2970">
            <w:pPr>
              <w:pStyle w:val="TableText"/>
              <w:tabs>
                <w:tab w:val="decimal" w:pos="678"/>
              </w:tabs>
              <w:rPr>
                <w:szCs w:val="18"/>
                <w:lang w:eastAsia="en-NZ"/>
              </w:rPr>
            </w:pPr>
            <w:r w:rsidRPr="002B2970">
              <w:rPr>
                <w:szCs w:val="18"/>
                <w:lang w:eastAsia="en-NZ"/>
              </w:rPr>
              <w:t>$3,744</w:t>
            </w:r>
          </w:p>
        </w:tc>
        <w:tc>
          <w:tcPr>
            <w:tcW w:w="1417" w:type="dxa"/>
            <w:tcBorders>
              <w:top w:val="nil"/>
            </w:tcBorders>
            <w:shd w:val="clear" w:color="auto" w:fill="auto"/>
            <w:noWrap/>
            <w:hideMark/>
          </w:tcPr>
          <w:p w14:paraId="2DE52915" w14:textId="77777777" w:rsidR="00232F0B" w:rsidRPr="002B2970" w:rsidRDefault="00232F0B" w:rsidP="002B2970">
            <w:pPr>
              <w:pStyle w:val="TableText"/>
              <w:tabs>
                <w:tab w:val="decimal" w:pos="935"/>
              </w:tabs>
              <w:rPr>
                <w:szCs w:val="18"/>
                <w:lang w:eastAsia="en-NZ"/>
              </w:rPr>
            </w:pPr>
            <w:r w:rsidRPr="002B2970">
              <w:rPr>
                <w:szCs w:val="18"/>
                <w:lang w:eastAsia="en-NZ"/>
              </w:rPr>
              <w:t>$3,294</w:t>
            </w:r>
          </w:p>
        </w:tc>
        <w:tc>
          <w:tcPr>
            <w:tcW w:w="1418" w:type="dxa"/>
            <w:tcBorders>
              <w:top w:val="nil"/>
            </w:tcBorders>
            <w:shd w:val="clear" w:color="auto" w:fill="auto"/>
            <w:noWrap/>
            <w:hideMark/>
          </w:tcPr>
          <w:p w14:paraId="4B65DB07" w14:textId="77777777" w:rsidR="00232F0B" w:rsidRPr="002B2970" w:rsidRDefault="00232F0B" w:rsidP="002B2970">
            <w:pPr>
              <w:pStyle w:val="TableText"/>
              <w:jc w:val="center"/>
              <w:rPr>
                <w:szCs w:val="18"/>
                <w:lang w:eastAsia="en-NZ"/>
              </w:rPr>
            </w:pPr>
            <w:r w:rsidRPr="002B2970">
              <w:rPr>
                <w:szCs w:val="18"/>
                <w:lang w:eastAsia="en-NZ"/>
              </w:rPr>
              <w:t>$450</w:t>
            </w:r>
          </w:p>
        </w:tc>
        <w:tc>
          <w:tcPr>
            <w:tcW w:w="992" w:type="dxa"/>
            <w:tcBorders>
              <w:top w:val="nil"/>
            </w:tcBorders>
            <w:shd w:val="clear" w:color="auto" w:fill="auto"/>
            <w:noWrap/>
            <w:hideMark/>
          </w:tcPr>
          <w:p w14:paraId="1D907190" w14:textId="77777777" w:rsidR="00232F0B" w:rsidRPr="002B2970" w:rsidRDefault="00232F0B" w:rsidP="002B2970">
            <w:pPr>
              <w:pStyle w:val="TableText"/>
              <w:tabs>
                <w:tab w:val="decimal" w:pos="500"/>
              </w:tabs>
              <w:rPr>
                <w:szCs w:val="18"/>
                <w:lang w:eastAsia="en-NZ"/>
              </w:rPr>
            </w:pPr>
            <w:r w:rsidRPr="002B2970">
              <w:rPr>
                <w:szCs w:val="18"/>
                <w:lang w:eastAsia="en-NZ"/>
              </w:rPr>
              <w:t>12%</w:t>
            </w:r>
          </w:p>
        </w:tc>
      </w:tr>
      <w:tr w:rsidR="00232F0B" w:rsidRPr="00A40FD5" w14:paraId="3B7F7F72" w14:textId="77777777" w:rsidTr="002B2970">
        <w:trPr>
          <w:cantSplit/>
        </w:trPr>
        <w:tc>
          <w:tcPr>
            <w:tcW w:w="1985" w:type="dxa"/>
            <w:shd w:val="clear" w:color="auto" w:fill="auto"/>
            <w:noWrap/>
            <w:hideMark/>
          </w:tcPr>
          <w:p w14:paraId="3900F865" w14:textId="77777777" w:rsidR="00232F0B" w:rsidRPr="002B2970" w:rsidRDefault="00232F0B" w:rsidP="002B2970">
            <w:pPr>
              <w:pStyle w:val="TableText"/>
              <w:rPr>
                <w:szCs w:val="18"/>
                <w:lang w:eastAsia="en-NZ"/>
              </w:rPr>
            </w:pPr>
            <w:r w:rsidRPr="002B2970">
              <w:rPr>
                <w:szCs w:val="18"/>
                <w:lang w:eastAsia="en-NZ"/>
              </w:rPr>
              <w:t>Source licence (renewals no variation)</w:t>
            </w:r>
          </w:p>
        </w:tc>
        <w:tc>
          <w:tcPr>
            <w:tcW w:w="1134" w:type="dxa"/>
            <w:shd w:val="clear" w:color="auto" w:fill="auto"/>
            <w:noWrap/>
            <w:hideMark/>
          </w:tcPr>
          <w:p w14:paraId="75461C2C" w14:textId="77777777" w:rsidR="00232F0B" w:rsidRPr="002B2970" w:rsidRDefault="00232F0B" w:rsidP="002B2970">
            <w:pPr>
              <w:pStyle w:val="TableText"/>
              <w:jc w:val="center"/>
              <w:rPr>
                <w:szCs w:val="18"/>
                <w:lang w:eastAsia="en-NZ"/>
              </w:rPr>
            </w:pPr>
            <w:r w:rsidRPr="002B2970">
              <w:rPr>
                <w:szCs w:val="18"/>
                <w:lang w:eastAsia="en-NZ"/>
              </w:rPr>
              <w:t>1</w:t>
            </w:r>
          </w:p>
        </w:tc>
        <w:tc>
          <w:tcPr>
            <w:tcW w:w="1134" w:type="dxa"/>
            <w:shd w:val="clear" w:color="auto" w:fill="auto"/>
            <w:noWrap/>
            <w:hideMark/>
          </w:tcPr>
          <w:p w14:paraId="1DB3A9E4" w14:textId="77777777" w:rsidR="00232F0B" w:rsidRPr="002B2970" w:rsidRDefault="00232F0B" w:rsidP="002B2970">
            <w:pPr>
              <w:pStyle w:val="TableText"/>
              <w:tabs>
                <w:tab w:val="decimal" w:pos="678"/>
              </w:tabs>
              <w:rPr>
                <w:szCs w:val="18"/>
                <w:lang w:eastAsia="en-NZ"/>
              </w:rPr>
            </w:pPr>
            <w:r w:rsidRPr="002B2970">
              <w:rPr>
                <w:szCs w:val="18"/>
                <w:lang w:eastAsia="en-NZ"/>
              </w:rPr>
              <w:t>$3,508</w:t>
            </w:r>
          </w:p>
        </w:tc>
        <w:tc>
          <w:tcPr>
            <w:tcW w:w="1417" w:type="dxa"/>
            <w:shd w:val="clear" w:color="auto" w:fill="auto"/>
            <w:noWrap/>
            <w:hideMark/>
          </w:tcPr>
          <w:p w14:paraId="10894482" w14:textId="77777777" w:rsidR="00232F0B" w:rsidRPr="002B2970" w:rsidRDefault="00232F0B" w:rsidP="002B2970">
            <w:pPr>
              <w:pStyle w:val="TableText"/>
              <w:tabs>
                <w:tab w:val="decimal" w:pos="935"/>
              </w:tabs>
              <w:rPr>
                <w:szCs w:val="18"/>
                <w:lang w:eastAsia="en-NZ"/>
              </w:rPr>
            </w:pPr>
            <w:r w:rsidRPr="002B2970">
              <w:rPr>
                <w:szCs w:val="18"/>
                <w:lang w:eastAsia="en-NZ"/>
              </w:rPr>
              <w:t>$3,203</w:t>
            </w:r>
          </w:p>
        </w:tc>
        <w:tc>
          <w:tcPr>
            <w:tcW w:w="1418" w:type="dxa"/>
            <w:shd w:val="clear" w:color="auto" w:fill="auto"/>
            <w:noWrap/>
            <w:hideMark/>
          </w:tcPr>
          <w:p w14:paraId="7D15D6EF" w14:textId="77777777" w:rsidR="00232F0B" w:rsidRPr="002B2970" w:rsidRDefault="00232F0B" w:rsidP="002B2970">
            <w:pPr>
              <w:pStyle w:val="TableText"/>
              <w:jc w:val="center"/>
              <w:rPr>
                <w:szCs w:val="18"/>
                <w:lang w:eastAsia="en-NZ"/>
              </w:rPr>
            </w:pPr>
            <w:r w:rsidRPr="002B2970">
              <w:rPr>
                <w:szCs w:val="18"/>
                <w:lang w:eastAsia="en-NZ"/>
              </w:rPr>
              <w:t>$305</w:t>
            </w:r>
          </w:p>
        </w:tc>
        <w:tc>
          <w:tcPr>
            <w:tcW w:w="992" w:type="dxa"/>
            <w:shd w:val="clear" w:color="auto" w:fill="auto"/>
            <w:noWrap/>
            <w:hideMark/>
          </w:tcPr>
          <w:p w14:paraId="49E3995E" w14:textId="77777777" w:rsidR="00232F0B" w:rsidRPr="002B2970" w:rsidRDefault="00232F0B" w:rsidP="002B2970">
            <w:pPr>
              <w:pStyle w:val="TableText"/>
              <w:tabs>
                <w:tab w:val="decimal" w:pos="500"/>
              </w:tabs>
              <w:rPr>
                <w:szCs w:val="18"/>
                <w:lang w:eastAsia="en-NZ"/>
              </w:rPr>
            </w:pPr>
            <w:r w:rsidRPr="002B2970">
              <w:rPr>
                <w:szCs w:val="18"/>
                <w:lang w:eastAsia="en-NZ"/>
              </w:rPr>
              <w:t>9%</w:t>
            </w:r>
          </w:p>
        </w:tc>
      </w:tr>
      <w:tr w:rsidR="00232F0B" w:rsidRPr="00A40FD5" w14:paraId="6D068CFF" w14:textId="77777777" w:rsidTr="002B2970">
        <w:trPr>
          <w:cantSplit/>
        </w:trPr>
        <w:tc>
          <w:tcPr>
            <w:tcW w:w="1985" w:type="dxa"/>
            <w:shd w:val="clear" w:color="auto" w:fill="auto"/>
            <w:noWrap/>
            <w:hideMark/>
          </w:tcPr>
          <w:p w14:paraId="2548F927" w14:textId="77777777" w:rsidR="00232F0B" w:rsidRPr="002B2970" w:rsidRDefault="00232F0B" w:rsidP="002B2970">
            <w:pPr>
              <w:pStyle w:val="TableText"/>
              <w:rPr>
                <w:szCs w:val="18"/>
                <w:lang w:eastAsia="en-NZ"/>
              </w:rPr>
            </w:pPr>
            <w:r w:rsidRPr="002B2970">
              <w:rPr>
                <w:szCs w:val="18"/>
                <w:lang w:eastAsia="en-NZ"/>
              </w:rPr>
              <w:t>Source licence (new and variations)</w:t>
            </w:r>
          </w:p>
        </w:tc>
        <w:tc>
          <w:tcPr>
            <w:tcW w:w="1134" w:type="dxa"/>
            <w:shd w:val="clear" w:color="auto" w:fill="auto"/>
            <w:noWrap/>
            <w:hideMark/>
          </w:tcPr>
          <w:p w14:paraId="7B8B249B" w14:textId="77777777" w:rsidR="00232F0B" w:rsidRPr="002B2970" w:rsidRDefault="00232F0B" w:rsidP="002B2970">
            <w:pPr>
              <w:pStyle w:val="TableText"/>
              <w:jc w:val="center"/>
              <w:rPr>
                <w:szCs w:val="18"/>
                <w:lang w:eastAsia="en-NZ"/>
              </w:rPr>
            </w:pPr>
            <w:r w:rsidRPr="002B2970">
              <w:rPr>
                <w:szCs w:val="18"/>
                <w:lang w:eastAsia="en-NZ"/>
              </w:rPr>
              <w:t>5</w:t>
            </w:r>
          </w:p>
        </w:tc>
        <w:tc>
          <w:tcPr>
            <w:tcW w:w="1134" w:type="dxa"/>
            <w:shd w:val="clear" w:color="auto" w:fill="auto"/>
            <w:noWrap/>
            <w:hideMark/>
          </w:tcPr>
          <w:p w14:paraId="24084D8A" w14:textId="77777777" w:rsidR="00232F0B" w:rsidRPr="002B2970" w:rsidRDefault="00232F0B" w:rsidP="002B2970">
            <w:pPr>
              <w:pStyle w:val="TableText"/>
              <w:tabs>
                <w:tab w:val="decimal" w:pos="678"/>
              </w:tabs>
              <w:rPr>
                <w:szCs w:val="18"/>
                <w:lang w:eastAsia="en-NZ"/>
              </w:rPr>
            </w:pPr>
            <w:r w:rsidRPr="002B2970">
              <w:rPr>
                <w:szCs w:val="18"/>
                <w:lang w:eastAsia="en-NZ"/>
              </w:rPr>
              <w:t>$993</w:t>
            </w:r>
          </w:p>
        </w:tc>
        <w:tc>
          <w:tcPr>
            <w:tcW w:w="1417" w:type="dxa"/>
            <w:shd w:val="clear" w:color="auto" w:fill="auto"/>
            <w:noWrap/>
            <w:hideMark/>
          </w:tcPr>
          <w:p w14:paraId="6D936B17" w14:textId="77777777" w:rsidR="00232F0B" w:rsidRPr="002B2970" w:rsidRDefault="00232F0B" w:rsidP="002B2970">
            <w:pPr>
              <w:pStyle w:val="TableText"/>
              <w:tabs>
                <w:tab w:val="decimal" w:pos="935"/>
              </w:tabs>
              <w:rPr>
                <w:szCs w:val="18"/>
                <w:lang w:eastAsia="en-NZ"/>
              </w:rPr>
            </w:pPr>
            <w:r w:rsidRPr="002B2970">
              <w:rPr>
                <w:szCs w:val="18"/>
                <w:lang w:eastAsia="en-NZ"/>
              </w:rPr>
              <w:t>$543</w:t>
            </w:r>
          </w:p>
        </w:tc>
        <w:tc>
          <w:tcPr>
            <w:tcW w:w="1418" w:type="dxa"/>
            <w:shd w:val="clear" w:color="auto" w:fill="auto"/>
            <w:noWrap/>
            <w:hideMark/>
          </w:tcPr>
          <w:p w14:paraId="4B8047E4" w14:textId="77777777" w:rsidR="00232F0B" w:rsidRPr="002B2970" w:rsidRDefault="00232F0B" w:rsidP="002B2970">
            <w:pPr>
              <w:pStyle w:val="TableText"/>
              <w:jc w:val="center"/>
              <w:rPr>
                <w:szCs w:val="18"/>
                <w:lang w:eastAsia="en-NZ"/>
              </w:rPr>
            </w:pPr>
            <w:r w:rsidRPr="002B2970">
              <w:rPr>
                <w:szCs w:val="18"/>
                <w:lang w:eastAsia="en-NZ"/>
              </w:rPr>
              <w:t>$450</w:t>
            </w:r>
          </w:p>
        </w:tc>
        <w:tc>
          <w:tcPr>
            <w:tcW w:w="992" w:type="dxa"/>
            <w:shd w:val="clear" w:color="auto" w:fill="auto"/>
            <w:noWrap/>
            <w:hideMark/>
          </w:tcPr>
          <w:p w14:paraId="1352DD75" w14:textId="77777777" w:rsidR="00232F0B" w:rsidRPr="002B2970" w:rsidRDefault="00232F0B" w:rsidP="002B2970">
            <w:pPr>
              <w:pStyle w:val="TableText"/>
              <w:tabs>
                <w:tab w:val="decimal" w:pos="500"/>
              </w:tabs>
              <w:rPr>
                <w:szCs w:val="18"/>
                <w:lang w:eastAsia="en-NZ"/>
              </w:rPr>
            </w:pPr>
            <w:r w:rsidRPr="002B2970">
              <w:rPr>
                <w:szCs w:val="18"/>
                <w:lang w:eastAsia="en-NZ"/>
              </w:rPr>
              <w:t>45%</w:t>
            </w:r>
          </w:p>
        </w:tc>
      </w:tr>
      <w:tr w:rsidR="00232F0B" w:rsidRPr="00A40FD5" w14:paraId="26F614C0" w14:textId="77777777" w:rsidTr="002B2970">
        <w:trPr>
          <w:cantSplit/>
        </w:trPr>
        <w:tc>
          <w:tcPr>
            <w:tcW w:w="1985" w:type="dxa"/>
            <w:shd w:val="clear" w:color="auto" w:fill="auto"/>
            <w:noWrap/>
            <w:hideMark/>
          </w:tcPr>
          <w:p w14:paraId="2F5BF505" w14:textId="77777777" w:rsidR="00232F0B" w:rsidRPr="002B2970" w:rsidRDefault="00232F0B" w:rsidP="002B2970">
            <w:pPr>
              <w:pStyle w:val="TableText"/>
              <w:rPr>
                <w:szCs w:val="18"/>
                <w:lang w:eastAsia="en-NZ"/>
              </w:rPr>
            </w:pPr>
            <w:r w:rsidRPr="002B2970">
              <w:rPr>
                <w:szCs w:val="18"/>
                <w:lang w:eastAsia="en-NZ"/>
              </w:rPr>
              <w:t>Source licence (new and variations)</w:t>
            </w:r>
          </w:p>
        </w:tc>
        <w:tc>
          <w:tcPr>
            <w:tcW w:w="1134" w:type="dxa"/>
            <w:shd w:val="clear" w:color="auto" w:fill="auto"/>
            <w:noWrap/>
            <w:hideMark/>
          </w:tcPr>
          <w:p w14:paraId="75D38752" w14:textId="77777777" w:rsidR="00232F0B" w:rsidRPr="002B2970" w:rsidRDefault="00232F0B" w:rsidP="002B2970">
            <w:pPr>
              <w:pStyle w:val="TableText"/>
              <w:jc w:val="center"/>
              <w:rPr>
                <w:szCs w:val="18"/>
                <w:lang w:eastAsia="en-NZ"/>
              </w:rPr>
            </w:pPr>
            <w:r w:rsidRPr="002B2970">
              <w:rPr>
                <w:szCs w:val="18"/>
                <w:lang w:eastAsia="en-NZ"/>
              </w:rPr>
              <w:t>5</w:t>
            </w:r>
          </w:p>
        </w:tc>
        <w:tc>
          <w:tcPr>
            <w:tcW w:w="1134" w:type="dxa"/>
            <w:shd w:val="clear" w:color="auto" w:fill="auto"/>
            <w:noWrap/>
            <w:hideMark/>
          </w:tcPr>
          <w:p w14:paraId="4EFB5212" w14:textId="77777777" w:rsidR="00232F0B" w:rsidRPr="002B2970" w:rsidRDefault="00232F0B" w:rsidP="002B2970">
            <w:pPr>
              <w:pStyle w:val="TableText"/>
              <w:tabs>
                <w:tab w:val="decimal" w:pos="678"/>
              </w:tabs>
              <w:rPr>
                <w:szCs w:val="18"/>
                <w:lang w:eastAsia="en-NZ"/>
              </w:rPr>
            </w:pPr>
            <w:r w:rsidRPr="002B2970">
              <w:rPr>
                <w:szCs w:val="18"/>
                <w:lang w:eastAsia="en-NZ"/>
              </w:rPr>
              <w:t>$757</w:t>
            </w:r>
          </w:p>
        </w:tc>
        <w:tc>
          <w:tcPr>
            <w:tcW w:w="1417" w:type="dxa"/>
            <w:shd w:val="clear" w:color="auto" w:fill="auto"/>
            <w:noWrap/>
            <w:hideMark/>
          </w:tcPr>
          <w:p w14:paraId="1A884AFE" w14:textId="77777777" w:rsidR="00232F0B" w:rsidRPr="002B2970" w:rsidRDefault="00232F0B" w:rsidP="002B2970">
            <w:pPr>
              <w:pStyle w:val="TableText"/>
              <w:tabs>
                <w:tab w:val="decimal" w:pos="935"/>
              </w:tabs>
              <w:rPr>
                <w:szCs w:val="18"/>
                <w:lang w:eastAsia="en-NZ"/>
              </w:rPr>
            </w:pPr>
            <w:r w:rsidRPr="002B2970">
              <w:rPr>
                <w:szCs w:val="18"/>
                <w:lang w:eastAsia="en-NZ"/>
              </w:rPr>
              <w:t>$452</w:t>
            </w:r>
          </w:p>
        </w:tc>
        <w:tc>
          <w:tcPr>
            <w:tcW w:w="1418" w:type="dxa"/>
            <w:shd w:val="clear" w:color="auto" w:fill="auto"/>
            <w:noWrap/>
            <w:hideMark/>
          </w:tcPr>
          <w:p w14:paraId="79B1AC91" w14:textId="77777777" w:rsidR="00232F0B" w:rsidRPr="002B2970" w:rsidRDefault="00232F0B" w:rsidP="002B2970">
            <w:pPr>
              <w:pStyle w:val="TableText"/>
              <w:jc w:val="center"/>
              <w:rPr>
                <w:szCs w:val="18"/>
                <w:lang w:eastAsia="en-NZ"/>
              </w:rPr>
            </w:pPr>
            <w:r w:rsidRPr="002B2970">
              <w:rPr>
                <w:szCs w:val="18"/>
                <w:lang w:eastAsia="en-NZ"/>
              </w:rPr>
              <w:t>$305</w:t>
            </w:r>
          </w:p>
        </w:tc>
        <w:tc>
          <w:tcPr>
            <w:tcW w:w="992" w:type="dxa"/>
            <w:shd w:val="clear" w:color="auto" w:fill="auto"/>
            <w:noWrap/>
            <w:hideMark/>
          </w:tcPr>
          <w:p w14:paraId="30361CA8" w14:textId="77777777" w:rsidR="00232F0B" w:rsidRPr="002B2970" w:rsidRDefault="00232F0B" w:rsidP="002B2970">
            <w:pPr>
              <w:pStyle w:val="TableText"/>
              <w:tabs>
                <w:tab w:val="decimal" w:pos="500"/>
              </w:tabs>
              <w:rPr>
                <w:szCs w:val="18"/>
                <w:lang w:eastAsia="en-NZ"/>
              </w:rPr>
            </w:pPr>
            <w:r w:rsidRPr="002B2970">
              <w:rPr>
                <w:szCs w:val="18"/>
                <w:lang w:eastAsia="en-NZ"/>
              </w:rPr>
              <w:t>40%</w:t>
            </w:r>
          </w:p>
        </w:tc>
      </w:tr>
      <w:tr w:rsidR="00232F0B" w:rsidRPr="00A40FD5" w14:paraId="4DB79F9C" w14:textId="77777777" w:rsidTr="002B2970">
        <w:trPr>
          <w:cantSplit/>
        </w:trPr>
        <w:tc>
          <w:tcPr>
            <w:tcW w:w="1985" w:type="dxa"/>
            <w:shd w:val="clear" w:color="auto" w:fill="auto"/>
            <w:noWrap/>
            <w:hideMark/>
          </w:tcPr>
          <w:p w14:paraId="4986DAAC" w14:textId="77777777" w:rsidR="00232F0B" w:rsidRPr="002B2970" w:rsidRDefault="00232F0B" w:rsidP="002B2970">
            <w:pPr>
              <w:pStyle w:val="TableText"/>
              <w:rPr>
                <w:szCs w:val="18"/>
                <w:lang w:eastAsia="en-NZ"/>
              </w:rPr>
            </w:pPr>
            <w:r w:rsidRPr="002B2970">
              <w:rPr>
                <w:szCs w:val="18"/>
                <w:lang w:eastAsia="en-NZ"/>
              </w:rPr>
              <w:t>Use licence (new and variations)</w:t>
            </w:r>
          </w:p>
        </w:tc>
        <w:tc>
          <w:tcPr>
            <w:tcW w:w="1134" w:type="dxa"/>
            <w:shd w:val="clear" w:color="auto" w:fill="auto"/>
            <w:noWrap/>
            <w:hideMark/>
          </w:tcPr>
          <w:p w14:paraId="557FD8EB" w14:textId="77777777" w:rsidR="00232F0B" w:rsidRPr="002B2970" w:rsidRDefault="00232F0B" w:rsidP="002B2970">
            <w:pPr>
              <w:pStyle w:val="TableText"/>
              <w:jc w:val="center"/>
              <w:rPr>
                <w:szCs w:val="18"/>
                <w:lang w:eastAsia="en-NZ"/>
              </w:rPr>
            </w:pPr>
            <w:r w:rsidRPr="002B2970">
              <w:rPr>
                <w:szCs w:val="18"/>
                <w:lang w:eastAsia="en-NZ"/>
              </w:rPr>
              <w:t>–</w:t>
            </w:r>
          </w:p>
        </w:tc>
        <w:tc>
          <w:tcPr>
            <w:tcW w:w="1134" w:type="dxa"/>
            <w:shd w:val="clear" w:color="auto" w:fill="auto"/>
            <w:noWrap/>
            <w:hideMark/>
          </w:tcPr>
          <w:p w14:paraId="24B18072" w14:textId="77777777" w:rsidR="00232F0B" w:rsidRPr="002B2970" w:rsidRDefault="00232F0B" w:rsidP="002B2970">
            <w:pPr>
              <w:pStyle w:val="TableText"/>
              <w:tabs>
                <w:tab w:val="decimal" w:pos="678"/>
              </w:tabs>
              <w:rPr>
                <w:szCs w:val="18"/>
                <w:lang w:eastAsia="en-NZ"/>
              </w:rPr>
            </w:pPr>
            <w:r w:rsidRPr="002B2970">
              <w:rPr>
                <w:szCs w:val="18"/>
                <w:lang w:eastAsia="en-NZ"/>
              </w:rPr>
              <w:t>$408</w:t>
            </w:r>
          </w:p>
        </w:tc>
        <w:tc>
          <w:tcPr>
            <w:tcW w:w="1417" w:type="dxa"/>
            <w:shd w:val="clear" w:color="auto" w:fill="auto"/>
            <w:noWrap/>
            <w:hideMark/>
          </w:tcPr>
          <w:p w14:paraId="48995D6C" w14:textId="77777777" w:rsidR="00232F0B" w:rsidRPr="002B2970" w:rsidRDefault="00232F0B" w:rsidP="002B2970">
            <w:pPr>
              <w:pStyle w:val="TableText"/>
              <w:tabs>
                <w:tab w:val="decimal" w:pos="935"/>
              </w:tabs>
              <w:rPr>
                <w:szCs w:val="18"/>
                <w:lang w:eastAsia="en-NZ"/>
              </w:rPr>
            </w:pPr>
            <w:r w:rsidRPr="002B2970">
              <w:rPr>
                <w:szCs w:val="18"/>
                <w:lang w:eastAsia="en-NZ"/>
              </w:rPr>
              <w:t>$88</w:t>
            </w:r>
          </w:p>
        </w:tc>
        <w:tc>
          <w:tcPr>
            <w:tcW w:w="1418" w:type="dxa"/>
            <w:shd w:val="clear" w:color="auto" w:fill="auto"/>
            <w:noWrap/>
            <w:hideMark/>
          </w:tcPr>
          <w:p w14:paraId="3EA1C111" w14:textId="77777777" w:rsidR="00232F0B" w:rsidRPr="002B2970" w:rsidRDefault="00232F0B" w:rsidP="002B2970">
            <w:pPr>
              <w:pStyle w:val="TableText"/>
              <w:jc w:val="center"/>
              <w:rPr>
                <w:szCs w:val="18"/>
                <w:lang w:eastAsia="en-NZ"/>
              </w:rPr>
            </w:pPr>
            <w:r w:rsidRPr="002B2970">
              <w:rPr>
                <w:szCs w:val="18"/>
                <w:lang w:eastAsia="en-NZ"/>
              </w:rPr>
              <w:t>$320</w:t>
            </w:r>
          </w:p>
        </w:tc>
        <w:tc>
          <w:tcPr>
            <w:tcW w:w="992" w:type="dxa"/>
            <w:shd w:val="clear" w:color="auto" w:fill="auto"/>
            <w:noWrap/>
            <w:hideMark/>
          </w:tcPr>
          <w:p w14:paraId="5E7871EE" w14:textId="77777777" w:rsidR="00232F0B" w:rsidRPr="002B2970" w:rsidRDefault="00232F0B" w:rsidP="002B2970">
            <w:pPr>
              <w:pStyle w:val="TableText"/>
              <w:tabs>
                <w:tab w:val="decimal" w:pos="500"/>
              </w:tabs>
              <w:rPr>
                <w:szCs w:val="18"/>
                <w:lang w:eastAsia="en-NZ"/>
              </w:rPr>
            </w:pPr>
            <w:r w:rsidRPr="002B2970">
              <w:rPr>
                <w:szCs w:val="18"/>
                <w:lang w:eastAsia="en-NZ"/>
              </w:rPr>
              <w:t>78%</w:t>
            </w:r>
          </w:p>
        </w:tc>
      </w:tr>
      <w:tr w:rsidR="00232F0B" w:rsidRPr="00A40FD5" w14:paraId="5C07E009" w14:textId="77777777" w:rsidTr="002B2970">
        <w:trPr>
          <w:cantSplit/>
        </w:trPr>
        <w:tc>
          <w:tcPr>
            <w:tcW w:w="1985" w:type="dxa"/>
            <w:shd w:val="clear" w:color="auto" w:fill="auto"/>
            <w:noWrap/>
            <w:hideMark/>
          </w:tcPr>
          <w:p w14:paraId="18730FF2" w14:textId="77777777" w:rsidR="00232F0B" w:rsidRPr="002B2970" w:rsidRDefault="00232F0B" w:rsidP="002B2970">
            <w:pPr>
              <w:pStyle w:val="TableText"/>
              <w:rPr>
                <w:szCs w:val="18"/>
                <w:lang w:eastAsia="en-NZ"/>
              </w:rPr>
            </w:pPr>
            <w:r w:rsidRPr="002B2970">
              <w:rPr>
                <w:szCs w:val="18"/>
                <w:lang w:eastAsia="en-NZ"/>
              </w:rPr>
              <w:t>Use licence (renewals, no variation)</w:t>
            </w:r>
          </w:p>
        </w:tc>
        <w:tc>
          <w:tcPr>
            <w:tcW w:w="1134" w:type="dxa"/>
            <w:shd w:val="clear" w:color="auto" w:fill="auto"/>
            <w:noWrap/>
            <w:hideMark/>
          </w:tcPr>
          <w:p w14:paraId="11377C73" w14:textId="77777777" w:rsidR="00232F0B" w:rsidRPr="002B2970" w:rsidRDefault="00232F0B" w:rsidP="002B2970">
            <w:pPr>
              <w:pStyle w:val="TableText"/>
              <w:jc w:val="center"/>
              <w:rPr>
                <w:szCs w:val="18"/>
                <w:lang w:eastAsia="en-NZ"/>
              </w:rPr>
            </w:pPr>
            <w:r w:rsidRPr="002B2970">
              <w:rPr>
                <w:szCs w:val="18"/>
                <w:lang w:eastAsia="en-NZ"/>
              </w:rPr>
              <w:t>–</w:t>
            </w:r>
          </w:p>
        </w:tc>
        <w:tc>
          <w:tcPr>
            <w:tcW w:w="1134" w:type="dxa"/>
            <w:shd w:val="clear" w:color="auto" w:fill="auto"/>
            <w:noWrap/>
            <w:hideMark/>
          </w:tcPr>
          <w:p w14:paraId="18AE10D6" w14:textId="77777777" w:rsidR="00232F0B" w:rsidRPr="002B2970" w:rsidRDefault="00232F0B" w:rsidP="002B2970">
            <w:pPr>
              <w:pStyle w:val="TableText"/>
              <w:tabs>
                <w:tab w:val="decimal" w:pos="678"/>
              </w:tabs>
              <w:rPr>
                <w:szCs w:val="18"/>
                <w:lang w:eastAsia="en-NZ"/>
              </w:rPr>
            </w:pPr>
            <w:r w:rsidRPr="002B2970">
              <w:rPr>
                <w:szCs w:val="18"/>
                <w:lang w:eastAsia="en-NZ"/>
              </w:rPr>
              <w:t>$250</w:t>
            </w:r>
          </w:p>
        </w:tc>
        <w:tc>
          <w:tcPr>
            <w:tcW w:w="1417" w:type="dxa"/>
            <w:shd w:val="clear" w:color="auto" w:fill="auto"/>
            <w:noWrap/>
            <w:hideMark/>
          </w:tcPr>
          <w:p w14:paraId="68C89909" w14:textId="77777777" w:rsidR="00232F0B" w:rsidRPr="002B2970" w:rsidRDefault="00232F0B" w:rsidP="002B2970">
            <w:pPr>
              <w:pStyle w:val="TableText"/>
              <w:tabs>
                <w:tab w:val="decimal" w:pos="935"/>
              </w:tabs>
              <w:rPr>
                <w:szCs w:val="18"/>
                <w:lang w:eastAsia="en-NZ"/>
              </w:rPr>
            </w:pPr>
            <w:r w:rsidRPr="002B2970">
              <w:rPr>
                <w:szCs w:val="18"/>
                <w:lang w:eastAsia="en-NZ"/>
              </w:rPr>
              <w:t>$18</w:t>
            </w:r>
          </w:p>
        </w:tc>
        <w:tc>
          <w:tcPr>
            <w:tcW w:w="1418" w:type="dxa"/>
            <w:shd w:val="clear" w:color="auto" w:fill="auto"/>
            <w:noWrap/>
            <w:hideMark/>
          </w:tcPr>
          <w:p w14:paraId="72A3F06B" w14:textId="77777777" w:rsidR="00232F0B" w:rsidRPr="002B2970" w:rsidRDefault="00232F0B" w:rsidP="002B2970">
            <w:pPr>
              <w:pStyle w:val="TableText"/>
              <w:jc w:val="center"/>
              <w:rPr>
                <w:szCs w:val="18"/>
                <w:lang w:eastAsia="en-NZ"/>
              </w:rPr>
            </w:pPr>
            <w:r w:rsidRPr="002B2970">
              <w:rPr>
                <w:szCs w:val="18"/>
                <w:lang w:eastAsia="en-NZ"/>
              </w:rPr>
              <w:t>$232</w:t>
            </w:r>
          </w:p>
        </w:tc>
        <w:tc>
          <w:tcPr>
            <w:tcW w:w="992" w:type="dxa"/>
            <w:shd w:val="clear" w:color="auto" w:fill="auto"/>
            <w:noWrap/>
            <w:hideMark/>
          </w:tcPr>
          <w:p w14:paraId="164B2645" w14:textId="77777777" w:rsidR="00232F0B" w:rsidRPr="002B2970" w:rsidRDefault="00232F0B" w:rsidP="002B2970">
            <w:pPr>
              <w:pStyle w:val="TableText"/>
              <w:tabs>
                <w:tab w:val="decimal" w:pos="500"/>
              </w:tabs>
              <w:rPr>
                <w:szCs w:val="18"/>
                <w:lang w:eastAsia="en-NZ"/>
              </w:rPr>
            </w:pPr>
            <w:r w:rsidRPr="002B2970">
              <w:rPr>
                <w:szCs w:val="18"/>
                <w:lang w:eastAsia="en-NZ"/>
              </w:rPr>
              <w:t>93%</w:t>
            </w:r>
          </w:p>
        </w:tc>
      </w:tr>
      <w:tr w:rsidR="00232F0B" w:rsidRPr="00A40FD5" w14:paraId="2D07621F" w14:textId="77777777" w:rsidTr="002B2970">
        <w:trPr>
          <w:cantSplit/>
        </w:trPr>
        <w:tc>
          <w:tcPr>
            <w:tcW w:w="1985" w:type="dxa"/>
            <w:shd w:val="clear" w:color="auto" w:fill="auto"/>
            <w:noWrap/>
            <w:hideMark/>
          </w:tcPr>
          <w:p w14:paraId="352A913D" w14:textId="77777777" w:rsidR="00232F0B" w:rsidRPr="002B2970" w:rsidRDefault="00232F0B" w:rsidP="002B2970">
            <w:pPr>
              <w:pStyle w:val="TableText"/>
              <w:rPr>
                <w:szCs w:val="18"/>
                <w:lang w:eastAsia="en-NZ"/>
              </w:rPr>
            </w:pPr>
            <w:r w:rsidRPr="002B2970">
              <w:rPr>
                <w:szCs w:val="18"/>
                <w:lang w:eastAsia="en-NZ"/>
              </w:rPr>
              <w:t>Consents (high-activity)</w:t>
            </w:r>
          </w:p>
        </w:tc>
        <w:tc>
          <w:tcPr>
            <w:tcW w:w="1134" w:type="dxa"/>
            <w:shd w:val="clear" w:color="auto" w:fill="auto"/>
            <w:noWrap/>
            <w:hideMark/>
          </w:tcPr>
          <w:p w14:paraId="3D128E14" w14:textId="77777777" w:rsidR="00232F0B" w:rsidRPr="002B2970" w:rsidRDefault="00232F0B" w:rsidP="002B2970">
            <w:pPr>
              <w:pStyle w:val="TableText"/>
              <w:jc w:val="center"/>
              <w:rPr>
                <w:szCs w:val="18"/>
                <w:lang w:eastAsia="en-NZ"/>
              </w:rPr>
            </w:pPr>
            <w:r w:rsidRPr="002B2970">
              <w:rPr>
                <w:szCs w:val="18"/>
                <w:lang w:eastAsia="en-NZ"/>
              </w:rPr>
              <w:t>–</w:t>
            </w:r>
          </w:p>
        </w:tc>
        <w:tc>
          <w:tcPr>
            <w:tcW w:w="1134" w:type="dxa"/>
            <w:shd w:val="clear" w:color="auto" w:fill="auto"/>
            <w:noWrap/>
            <w:hideMark/>
          </w:tcPr>
          <w:p w14:paraId="0BE16298" w14:textId="77777777" w:rsidR="00232F0B" w:rsidRPr="002B2970" w:rsidRDefault="00232F0B" w:rsidP="002B2970">
            <w:pPr>
              <w:pStyle w:val="TableText"/>
              <w:tabs>
                <w:tab w:val="decimal" w:pos="678"/>
              </w:tabs>
              <w:rPr>
                <w:szCs w:val="18"/>
                <w:lang w:eastAsia="en-NZ"/>
              </w:rPr>
            </w:pPr>
            <w:r w:rsidRPr="002B2970">
              <w:rPr>
                <w:szCs w:val="18"/>
                <w:lang w:eastAsia="en-NZ"/>
              </w:rPr>
              <w:t>$233</w:t>
            </w:r>
          </w:p>
        </w:tc>
        <w:tc>
          <w:tcPr>
            <w:tcW w:w="1417" w:type="dxa"/>
            <w:shd w:val="clear" w:color="auto" w:fill="auto"/>
            <w:noWrap/>
            <w:hideMark/>
          </w:tcPr>
          <w:p w14:paraId="60902614" w14:textId="77777777" w:rsidR="00232F0B" w:rsidRPr="002B2970" w:rsidRDefault="00232F0B" w:rsidP="002B2970">
            <w:pPr>
              <w:pStyle w:val="TableText"/>
              <w:tabs>
                <w:tab w:val="decimal" w:pos="935"/>
              </w:tabs>
              <w:rPr>
                <w:szCs w:val="18"/>
                <w:lang w:eastAsia="en-NZ"/>
              </w:rPr>
            </w:pPr>
            <w:r w:rsidRPr="002B2970">
              <w:rPr>
                <w:szCs w:val="18"/>
                <w:lang w:eastAsia="en-NZ"/>
              </w:rPr>
              <w:t>$88</w:t>
            </w:r>
          </w:p>
        </w:tc>
        <w:tc>
          <w:tcPr>
            <w:tcW w:w="1418" w:type="dxa"/>
            <w:shd w:val="clear" w:color="auto" w:fill="auto"/>
            <w:noWrap/>
            <w:hideMark/>
          </w:tcPr>
          <w:p w14:paraId="1511A456" w14:textId="77777777" w:rsidR="00232F0B" w:rsidRPr="002B2970" w:rsidRDefault="00232F0B" w:rsidP="002B2970">
            <w:pPr>
              <w:pStyle w:val="TableText"/>
              <w:jc w:val="center"/>
              <w:rPr>
                <w:szCs w:val="18"/>
                <w:lang w:eastAsia="en-NZ"/>
              </w:rPr>
            </w:pPr>
            <w:r w:rsidRPr="002B2970">
              <w:rPr>
                <w:szCs w:val="18"/>
                <w:lang w:eastAsia="en-NZ"/>
              </w:rPr>
              <w:t>$145</w:t>
            </w:r>
          </w:p>
        </w:tc>
        <w:tc>
          <w:tcPr>
            <w:tcW w:w="992" w:type="dxa"/>
            <w:shd w:val="clear" w:color="auto" w:fill="auto"/>
            <w:noWrap/>
            <w:hideMark/>
          </w:tcPr>
          <w:p w14:paraId="60DA2D44" w14:textId="77777777" w:rsidR="00232F0B" w:rsidRPr="002B2970" w:rsidRDefault="00232F0B" w:rsidP="002B2970">
            <w:pPr>
              <w:pStyle w:val="TableText"/>
              <w:tabs>
                <w:tab w:val="decimal" w:pos="500"/>
              </w:tabs>
              <w:rPr>
                <w:szCs w:val="18"/>
                <w:lang w:eastAsia="en-NZ"/>
              </w:rPr>
            </w:pPr>
            <w:r w:rsidRPr="002B2970">
              <w:rPr>
                <w:szCs w:val="18"/>
                <w:lang w:eastAsia="en-NZ"/>
              </w:rPr>
              <w:t>62%</w:t>
            </w:r>
          </w:p>
        </w:tc>
      </w:tr>
      <w:tr w:rsidR="00232F0B" w:rsidRPr="00A40FD5" w14:paraId="4CE5B779" w14:textId="77777777" w:rsidTr="002B2970">
        <w:trPr>
          <w:cantSplit/>
        </w:trPr>
        <w:tc>
          <w:tcPr>
            <w:tcW w:w="1985" w:type="dxa"/>
            <w:shd w:val="clear" w:color="auto" w:fill="auto"/>
            <w:noWrap/>
            <w:hideMark/>
          </w:tcPr>
          <w:p w14:paraId="0F4BFFA1" w14:textId="77777777" w:rsidR="00232F0B" w:rsidRPr="002B2970" w:rsidRDefault="00232F0B" w:rsidP="002B2970">
            <w:pPr>
              <w:pStyle w:val="TableText"/>
              <w:rPr>
                <w:szCs w:val="18"/>
                <w:lang w:eastAsia="en-NZ"/>
              </w:rPr>
            </w:pPr>
            <w:r w:rsidRPr="002B2970">
              <w:rPr>
                <w:szCs w:val="18"/>
                <w:lang w:eastAsia="en-NZ"/>
              </w:rPr>
              <w:t>Consents (low-activity and unsealed multi</w:t>
            </w:r>
            <w:r w:rsidR="002B2970">
              <w:rPr>
                <w:szCs w:val="18"/>
                <w:lang w:eastAsia="en-NZ"/>
              </w:rPr>
              <w:noBreakHyphen/>
            </w:r>
            <w:r w:rsidRPr="002B2970">
              <w:rPr>
                <w:szCs w:val="18"/>
                <w:lang w:eastAsia="en-NZ"/>
              </w:rPr>
              <w:t>event)</w:t>
            </w:r>
          </w:p>
        </w:tc>
        <w:tc>
          <w:tcPr>
            <w:tcW w:w="1134" w:type="dxa"/>
            <w:shd w:val="clear" w:color="auto" w:fill="auto"/>
            <w:noWrap/>
            <w:hideMark/>
          </w:tcPr>
          <w:p w14:paraId="719A7816" w14:textId="77777777" w:rsidR="00232F0B" w:rsidRPr="002B2970" w:rsidRDefault="00232F0B" w:rsidP="002B2970">
            <w:pPr>
              <w:pStyle w:val="TableText"/>
              <w:jc w:val="center"/>
              <w:rPr>
                <w:szCs w:val="18"/>
                <w:lang w:eastAsia="en-NZ"/>
              </w:rPr>
            </w:pPr>
            <w:r w:rsidRPr="002B2970">
              <w:rPr>
                <w:szCs w:val="18"/>
                <w:lang w:eastAsia="en-NZ"/>
              </w:rPr>
              <w:t>–</w:t>
            </w:r>
          </w:p>
        </w:tc>
        <w:tc>
          <w:tcPr>
            <w:tcW w:w="1134" w:type="dxa"/>
            <w:shd w:val="clear" w:color="auto" w:fill="auto"/>
            <w:noWrap/>
            <w:hideMark/>
          </w:tcPr>
          <w:p w14:paraId="4DFDD176" w14:textId="77777777" w:rsidR="00232F0B" w:rsidRPr="002B2970" w:rsidRDefault="00232F0B" w:rsidP="002B2970">
            <w:pPr>
              <w:pStyle w:val="TableText"/>
              <w:tabs>
                <w:tab w:val="decimal" w:pos="678"/>
              </w:tabs>
              <w:rPr>
                <w:szCs w:val="18"/>
                <w:lang w:eastAsia="en-NZ"/>
              </w:rPr>
            </w:pPr>
            <w:r w:rsidRPr="002B2970">
              <w:rPr>
                <w:szCs w:val="18"/>
                <w:lang w:eastAsia="en-NZ"/>
              </w:rPr>
              <w:t>$163</w:t>
            </w:r>
          </w:p>
        </w:tc>
        <w:tc>
          <w:tcPr>
            <w:tcW w:w="1417" w:type="dxa"/>
            <w:shd w:val="clear" w:color="auto" w:fill="auto"/>
            <w:noWrap/>
            <w:hideMark/>
          </w:tcPr>
          <w:p w14:paraId="1D59843F" w14:textId="77777777" w:rsidR="00232F0B" w:rsidRPr="002B2970" w:rsidRDefault="00232F0B" w:rsidP="002B2970">
            <w:pPr>
              <w:pStyle w:val="TableText"/>
              <w:tabs>
                <w:tab w:val="decimal" w:pos="935"/>
              </w:tabs>
              <w:rPr>
                <w:szCs w:val="18"/>
                <w:lang w:eastAsia="en-NZ"/>
              </w:rPr>
            </w:pPr>
            <w:r w:rsidRPr="002B2970">
              <w:rPr>
                <w:szCs w:val="18"/>
                <w:lang w:eastAsia="en-NZ"/>
              </w:rPr>
              <w:t>$18</w:t>
            </w:r>
          </w:p>
        </w:tc>
        <w:tc>
          <w:tcPr>
            <w:tcW w:w="1418" w:type="dxa"/>
            <w:shd w:val="clear" w:color="auto" w:fill="auto"/>
            <w:noWrap/>
            <w:hideMark/>
          </w:tcPr>
          <w:p w14:paraId="0E331957" w14:textId="77777777" w:rsidR="00232F0B" w:rsidRPr="002B2970" w:rsidRDefault="00232F0B" w:rsidP="002B2970">
            <w:pPr>
              <w:pStyle w:val="TableText"/>
              <w:jc w:val="center"/>
              <w:rPr>
                <w:szCs w:val="18"/>
                <w:lang w:eastAsia="en-NZ"/>
              </w:rPr>
            </w:pPr>
            <w:r w:rsidRPr="002B2970">
              <w:rPr>
                <w:szCs w:val="18"/>
                <w:lang w:eastAsia="en-NZ"/>
              </w:rPr>
              <w:t>$145</w:t>
            </w:r>
          </w:p>
        </w:tc>
        <w:tc>
          <w:tcPr>
            <w:tcW w:w="992" w:type="dxa"/>
            <w:shd w:val="clear" w:color="auto" w:fill="auto"/>
            <w:noWrap/>
            <w:hideMark/>
          </w:tcPr>
          <w:p w14:paraId="595FD7C6" w14:textId="77777777" w:rsidR="00232F0B" w:rsidRPr="002B2970" w:rsidRDefault="00232F0B" w:rsidP="002B2970">
            <w:pPr>
              <w:pStyle w:val="TableText"/>
              <w:tabs>
                <w:tab w:val="decimal" w:pos="500"/>
              </w:tabs>
              <w:rPr>
                <w:szCs w:val="18"/>
                <w:lang w:eastAsia="en-NZ"/>
              </w:rPr>
            </w:pPr>
            <w:r w:rsidRPr="002B2970">
              <w:rPr>
                <w:szCs w:val="18"/>
                <w:lang w:eastAsia="en-NZ"/>
              </w:rPr>
              <w:t>89%</w:t>
            </w:r>
          </w:p>
        </w:tc>
      </w:tr>
    </w:tbl>
    <w:p w14:paraId="23BC700E" w14:textId="77777777" w:rsidR="00232F0B" w:rsidRPr="00A40FD5" w:rsidRDefault="00232F0B" w:rsidP="002B2970"/>
    <w:p w14:paraId="0F238D6D" w14:textId="77777777" w:rsidR="0087667B" w:rsidRDefault="00232F0B" w:rsidP="00031E2A">
      <w:r w:rsidRPr="00A40FD5">
        <w:t xml:space="preserve">An alternative approach is </w:t>
      </w:r>
      <w:r>
        <w:t>to have</w:t>
      </w:r>
      <w:r w:rsidRPr="00A40FD5">
        <w:t xml:space="preserve"> the Ministry retain a flat percentage of the fee paid in situations where an application is declined.</w:t>
      </w:r>
      <w:r>
        <w:t xml:space="preserve"> </w:t>
      </w:r>
      <w:r w:rsidRPr="00A40FD5">
        <w:t xml:space="preserve">This fee would be in lieu of the costs associated with determining an application that </w:t>
      </w:r>
      <w:r>
        <w:t>has been</w:t>
      </w:r>
      <w:r w:rsidRPr="00A40FD5">
        <w:t xml:space="preserve"> declined so that declined applicants are contributing fees to the overall cost of regulating.</w:t>
      </w:r>
    </w:p>
    <w:p w14:paraId="61F534E2" w14:textId="77777777" w:rsidR="00232F0B" w:rsidRPr="00A40FD5" w:rsidRDefault="00232F0B" w:rsidP="00031E2A"/>
    <w:p w14:paraId="16FABB57" w14:textId="77777777" w:rsidR="0087667B" w:rsidRDefault="00232F0B" w:rsidP="00031E2A">
      <w:r>
        <w:t>A</w:t>
      </w:r>
      <w:r w:rsidRPr="00A40FD5">
        <w:t xml:space="preserve"> nominal fee of 15 percent of the application fee</w:t>
      </w:r>
      <w:r>
        <w:t xml:space="preserve"> could</w:t>
      </w:r>
      <w:r w:rsidRPr="00A40FD5">
        <w:t xml:space="preserve"> be retained in lieu of the costs associated with determining declined applications.</w:t>
      </w:r>
      <w:r>
        <w:t xml:space="preserve"> </w:t>
      </w:r>
      <w:r w:rsidRPr="00A40FD5">
        <w:t>This option introduces equity to refunds provided under the Regulations and makes a contribution to the costs of determining applications that are declined.</w:t>
      </w:r>
    </w:p>
    <w:p w14:paraId="2BF1A809" w14:textId="77777777" w:rsidR="00232F0B" w:rsidRDefault="00232F0B" w:rsidP="00031E2A"/>
    <w:p w14:paraId="70C83A48" w14:textId="77777777" w:rsidR="00232F0B" w:rsidRDefault="00232F0B" w:rsidP="00031E2A">
      <w:r>
        <w:t>This approach does not necessarily assign costs to where they are generated.</w:t>
      </w:r>
    </w:p>
    <w:p w14:paraId="4C70D444" w14:textId="77777777" w:rsidR="00031E2A" w:rsidRPr="00A40FD5" w:rsidRDefault="00031E2A" w:rsidP="00031E2A"/>
    <w:p w14:paraId="1F8C1523" w14:textId="77777777" w:rsidR="00232F0B" w:rsidRPr="00A40FD5" w:rsidRDefault="00232F0B" w:rsidP="005B5BE2">
      <w:pPr>
        <w:pStyle w:val="BoxHeading"/>
      </w:pPr>
      <w:r w:rsidRPr="00A40FD5">
        <w:t>Consultation questions</w:t>
      </w:r>
    </w:p>
    <w:p w14:paraId="5C13B0C9" w14:textId="77777777" w:rsidR="00232F0B" w:rsidRPr="00A40FD5" w:rsidRDefault="00232F0B" w:rsidP="002B2970">
      <w:pPr>
        <w:pStyle w:val="BoxNumber"/>
        <w:keepNext/>
        <w:ind w:left="641" w:hanging="357"/>
      </w:pPr>
      <w:r w:rsidRPr="00A40FD5">
        <w:t>Do you think the preferred option to retain the portions of application fee set out in this section is justifiable?</w:t>
      </w:r>
    </w:p>
    <w:p w14:paraId="7A71FD63" w14:textId="77777777" w:rsidR="0087667B" w:rsidRDefault="00232F0B" w:rsidP="002B2970">
      <w:pPr>
        <w:pStyle w:val="BoxNumber"/>
        <w:keepNext/>
        <w:ind w:left="641" w:hanging="357"/>
      </w:pPr>
      <w:r w:rsidRPr="00A40FD5">
        <w:t xml:space="preserve">If you think the preferred option to retain the portions of application fee set out in this section is </w:t>
      </w:r>
      <w:r>
        <w:rPr>
          <w:b/>
          <w:bCs/>
        </w:rPr>
        <w:t xml:space="preserve">not </w:t>
      </w:r>
      <w:r w:rsidRPr="000B7CDC">
        <w:t>justified</w:t>
      </w:r>
      <w:r w:rsidRPr="00A40FD5">
        <w:t>, please outline your reasons.</w:t>
      </w:r>
    </w:p>
    <w:p w14:paraId="0212AE2A" w14:textId="77777777" w:rsidR="00232F0B" w:rsidRPr="00A40FD5" w:rsidRDefault="00232F0B" w:rsidP="002B2970">
      <w:pPr>
        <w:pStyle w:val="BoxNumber"/>
        <w:keepNext/>
        <w:ind w:left="641" w:hanging="357"/>
      </w:pPr>
      <w:r w:rsidRPr="00A40FD5">
        <w:t>Do you think the alternative option to retain a nominal percent of 15</w:t>
      </w:r>
      <w:r w:rsidR="00031E2A">
        <w:t> </w:t>
      </w:r>
      <w:r w:rsidRPr="00A40FD5">
        <w:t>percent of the application fee when applications are declined is justified?</w:t>
      </w:r>
    </w:p>
    <w:p w14:paraId="21B023A7" w14:textId="77777777" w:rsidR="0087667B" w:rsidRDefault="00232F0B" w:rsidP="002B2970">
      <w:pPr>
        <w:pStyle w:val="BoxNumber"/>
        <w:keepNext/>
        <w:ind w:left="641" w:hanging="357"/>
      </w:pPr>
      <w:r w:rsidRPr="00A40FD5">
        <w:t>If you think the alternative option to retain a nominal percent of 15</w:t>
      </w:r>
      <w:r w:rsidR="00031E2A">
        <w:t> </w:t>
      </w:r>
      <w:r w:rsidRPr="00A40FD5">
        <w:t xml:space="preserve">percent of the application fee when applications are declined is </w:t>
      </w:r>
      <w:r>
        <w:rPr>
          <w:b/>
          <w:bCs/>
        </w:rPr>
        <w:t xml:space="preserve">not </w:t>
      </w:r>
      <w:r w:rsidRPr="00CA1A4D">
        <w:t>justified</w:t>
      </w:r>
      <w:r w:rsidRPr="00A40FD5">
        <w:t>, please outline your reasons</w:t>
      </w:r>
      <w:r>
        <w:t>.</w:t>
      </w:r>
    </w:p>
    <w:p w14:paraId="7D547F74" w14:textId="77777777" w:rsidR="00232F0B" w:rsidRPr="00A40FD5" w:rsidRDefault="00232F0B" w:rsidP="002B2970">
      <w:pPr>
        <w:pStyle w:val="BoxNumber"/>
        <w:keepNext/>
        <w:ind w:left="641" w:hanging="357"/>
      </w:pPr>
      <w:r w:rsidRPr="00A40FD5">
        <w:t>Do you have any further comments, suggestions or alternative options?</w:t>
      </w:r>
    </w:p>
    <w:p w14:paraId="2DAA886B" w14:textId="77777777" w:rsidR="00232F0B" w:rsidRDefault="00232F0B" w:rsidP="00031E2A">
      <w:pPr>
        <w:pStyle w:val="Box"/>
      </w:pPr>
      <w:r w:rsidRPr="00A40FD5">
        <w:t>Please use the submission form to respond to these questions.</w:t>
      </w:r>
    </w:p>
    <w:p w14:paraId="02402D58" w14:textId="77777777" w:rsidR="00031E2A" w:rsidRPr="00A40FD5" w:rsidRDefault="00031E2A" w:rsidP="00031E2A"/>
    <w:p w14:paraId="73182C7B" w14:textId="77777777" w:rsidR="00232F0B" w:rsidRPr="00A40FD5" w:rsidRDefault="00232F0B" w:rsidP="005B5BE2">
      <w:pPr>
        <w:pStyle w:val="Heading2"/>
      </w:pPr>
      <w:bookmarkStart w:id="176" w:name="_Toc83133488"/>
      <w:bookmarkStart w:id="177" w:name="_Ref88643927"/>
      <w:bookmarkStart w:id="178" w:name="_Toc89696195"/>
      <w:r w:rsidRPr="00A40FD5">
        <w:t>Determining the source licence fee payable (compliance monitoring categories)</w:t>
      </w:r>
      <w:bookmarkEnd w:id="176"/>
      <w:bookmarkEnd w:id="177"/>
      <w:bookmarkEnd w:id="178"/>
    </w:p>
    <w:p w14:paraId="016F6EA4" w14:textId="77777777" w:rsidR="00232F0B" w:rsidRPr="00A40FD5" w:rsidRDefault="00232F0B" w:rsidP="005B5BE2">
      <w:pPr>
        <w:pStyle w:val="Heading3"/>
      </w:pPr>
      <w:bookmarkStart w:id="179" w:name="_Toc83118741"/>
      <w:bookmarkStart w:id="180" w:name="_Toc83130220"/>
      <w:bookmarkStart w:id="181" w:name="_Toc83133489"/>
      <w:r w:rsidRPr="00A40FD5">
        <w:t>Background</w:t>
      </w:r>
      <w:bookmarkEnd w:id="179"/>
      <w:bookmarkEnd w:id="180"/>
      <w:bookmarkEnd w:id="181"/>
    </w:p>
    <w:p w14:paraId="2AF428AD" w14:textId="77777777" w:rsidR="0087667B" w:rsidRDefault="00232F0B" w:rsidP="00031E2A">
      <w:r w:rsidRPr="00A40FD5">
        <w:t>Schedule 2 of the Regulations sets out (column 1) and describes (</w:t>
      </w:r>
      <w:r>
        <w:t>m</w:t>
      </w:r>
      <w:r w:rsidRPr="00A40FD5">
        <w:t xml:space="preserve">edical and </w:t>
      </w:r>
      <w:r>
        <w:t>n</w:t>
      </w:r>
      <w:r w:rsidRPr="00A40FD5">
        <w:t xml:space="preserve">on-medical) the </w:t>
      </w:r>
      <w:r w:rsidRPr="00A40FD5">
        <w:rPr>
          <w:b/>
          <w:bCs/>
        </w:rPr>
        <w:t>compliance monitoring categories</w:t>
      </w:r>
      <w:r w:rsidRPr="00A40FD5">
        <w:t xml:space="preserve"> that apply to inspection periods (column</w:t>
      </w:r>
      <w:r w:rsidR="00031E2A">
        <w:t> </w:t>
      </w:r>
      <w:r w:rsidRPr="00A40FD5">
        <w:t>2).</w:t>
      </w:r>
      <w:r>
        <w:t xml:space="preserve"> </w:t>
      </w:r>
      <w:r w:rsidRPr="00A40FD5">
        <w:t xml:space="preserve">The compliance monitoring categories grade regulated activities with similar risk-management requirements so that those activities attract the same inspection periods commensurate with </w:t>
      </w:r>
      <w:r>
        <w:t>their</w:t>
      </w:r>
      <w:r w:rsidRPr="00A40FD5">
        <w:t xml:space="preserve"> risk (the graded approach).</w:t>
      </w:r>
    </w:p>
    <w:p w14:paraId="73C936EF" w14:textId="77777777" w:rsidR="00232F0B" w:rsidRPr="00A40FD5" w:rsidRDefault="00232F0B" w:rsidP="00031E2A"/>
    <w:p w14:paraId="094D5C1C" w14:textId="77777777" w:rsidR="0087667B" w:rsidRDefault="00232F0B" w:rsidP="00031E2A">
      <w:r w:rsidRPr="00A40FD5">
        <w:t xml:space="preserve">The review of the Regulations offers the opportunity to reassess the compliance monitoring categories to ensure that, as far as can reasonably be achievable, each compliance monitoring category contains regulated activities that </w:t>
      </w:r>
      <w:r>
        <w:t xml:space="preserve">are </w:t>
      </w:r>
      <w:r w:rsidRPr="00A40FD5">
        <w:t>comparatively similar in their risk-management requirements.</w:t>
      </w:r>
    </w:p>
    <w:p w14:paraId="77D361FB" w14:textId="77777777" w:rsidR="00232F0B" w:rsidRPr="00A40FD5" w:rsidRDefault="00232F0B" w:rsidP="00031E2A"/>
    <w:p w14:paraId="0362C2CA" w14:textId="77777777" w:rsidR="00232F0B" w:rsidRPr="00A40FD5" w:rsidRDefault="00232F0B" w:rsidP="005B5BE2">
      <w:pPr>
        <w:pStyle w:val="Heading3"/>
      </w:pPr>
      <w:bookmarkStart w:id="182" w:name="_Toc83118742"/>
      <w:bookmarkStart w:id="183" w:name="_Toc83130221"/>
      <w:bookmarkStart w:id="184" w:name="_Toc83133490"/>
      <w:r>
        <w:t>Status quo</w:t>
      </w:r>
      <w:r w:rsidRPr="00A40FD5">
        <w:t xml:space="preserve"> option</w:t>
      </w:r>
      <w:bookmarkEnd w:id="182"/>
      <w:bookmarkEnd w:id="183"/>
      <w:bookmarkEnd w:id="184"/>
    </w:p>
    <w:p w14:paraId="7ED7625F" w14:textId="77777777" w:rsidR="0087667B" w:rsidRDefault="00232F0B" w:rsidP="00031E2A">
      <w:r>
        <w:t>Further</w:t>
      </w:r>
      <w:r w:rsidRPr="00A40FD5">
        <w:t xml:space="preserve"> </w:t>
      </w:r>
      <w:r>
        <w:t>clarification</w:t>
      </w:r>
      <w:r w:rsidRPr="00A40FD5">
        <w:t xml:space="preserve"> </w:t>
      </w:r>
      <w:r>
        <w:t>on</w:t>
      </w:r>
      <w:r w:rsidRPr="00A40FD5">
        <w:t xml:space="preserve"> compliance monitoring categories would improve the application of the graded approach to managing radiation safety risk.</w:t>
      </w:r>
      <w:r>
        <w:t xml:space="preserve"> This would help the Regulations better achieve the proportionality objective outlined in the 2016 RIS. Therefore, the status quo option is not justifiable.</w:t>
      </w:r>
    </w:p>
    <w:p w14:paraId="27E5D00C" w14:textId="77777777" w:rsidR="00031E2A" w:rsidRDefault="00031E2A" w:rsidP="00031E2A"/>
    <w:p w14:paraId="366B27D0" w14:textId="77777777" w:rsidR="00232F0B" w:rsidRPr="00A40FD5" w:rsidRDefault="00232F0B" w:rsidP="005B5BE2">
      <w:pPr>
        <w:pStyle w:val="Heading3"/>
      </w:pPr>
      <w:bookmarkStart w:id="185" w:name="_Toc83118743"/>
      <w:bookmarkStart w:id="186" w:name="_Toc83130222"/>
      <w:bookmarkStart w:id="187" w:name="_Toc83133491"/>
      <w:r w:rsidRPr="00A40FD5">
        <w:t>Preferred option</w:t>
      </w:r>
      <w:bookmarkEnd w:id="185"/>
      <w:bookmarkEnd w:id="186"/>
      <w:bookmarkEnd w:id="187"/>
    </w:p>
    <w:p w14:paraId="47E32D08" w14:textId="3B89C85E" w:rsidR="00232F0B" w:rsidRPr="00A40FD5" w:rsidRDefault="00232F0B" w:rsidP="00031E2A">
      <w:r>
        <w:t>Further</w:t>
      </w:r>
      <w:r w:rsidRPr="00A40FD5">
        <w:t xml:space="preserve"> distinction between compliance monitoring categories would improve the application of the graded approach to managing radiation safety risk.</w:t>
      </w:r>
      <w:r>
        <w:t xml:space="preserve"> </w:t>
      </w:r>
      <w:r w:rsidRPr="00A40FD5">
        <w:t xml:space="preserve">The preferred options are set out in </w:t>
      </w:r>
      <w:r w:rsidR="00D26956">
        <w:fldChar w:fldCharType="begin"/>
      </w:r>
      <w:r w:rsidR="00D26956">
        <w:instrText xml:space="preserve"> REF _Ref87444015 \h </w:instrText>
      </w:r>
      <w:r w:rsidR="00D26956">
        <w:fldChar w:fldCharType="separate"/>
      </w:r>
      <w:r w:rsidR="003A5600">
        <w:t>Table </w:t>
      </w:r>
      <w:r w:rsidR="003A5600">
        <w:rPr>
          <w:noProof/>
        </w:rPr>
        <w:t>11</w:t>
      </w:r>
      <w:r w:rsidR="00D26956">
        <w:fldChar w:fldCharType="end"/>
      </w:r>
      <w:r w:rsidR="000409E7">
        <w:t xml:space="preserve"> </w:t>
      </w:r>
      <w:r>
        <w:t>to follow</w:t>
      </w:r>
      <w:r w:rsidRPr="00A40FD5">
        <w:t>.</w:t>
      </w:r>
    </w:p>
    <w:p w14:paraId="714356E8" w14:textId="77777777" w:rsidR="00232F0B" w:rsidRPr="00A40FD5" w:rsidRDefault="00232F0B" w:rsidP="00031E2A"/>
    <w:p w14:paraId="3F69FBAA" w14:textId="77777777" w:rsidR="0087667B" w:rsidRDefault="00232F0B" w:rsidP="00031E2A">
      <w:r w:rsidRPr="00A40FD5">
        <w:t>No changes are proposed to the existing regulation 16(3)(a)</w:t>
      </w:r>
      <w:r>
        <w:t>, which</w:t>
      </w:r>
      <w:r w:rsidRPr="00A40FD5">
        <w:t xml:space="preserve"> </w:t>
      </w:r>
      <w:r>
        <w:t>sets out that</w:t>
      </w:r>
      <w:r w:rsidRPr="00A40FD5">
        <w:t xml:space="preserve"> practices carried out </w:t>
      </w:r>
      <w:r>
        <w:t>be</w:t>
      </w:r>
      <w:r w:rsidRPr="00A40FD5">
        <w:t xml:space="preserve"> fully described in only </w:t>
      </w:r>
      <w:r>
        <w:t>one</w:t>
      </w:r>
      <w:r w:rsidRPr="00A40FD5">
        <w:t xml:space="preserve"> compliance monitoring category in column</w:t>
      </w:r>
      <w:r w:rsidR="00031E2A">
        <w:t> </w:t>
      </w:r>
      <w:r w:rsidRPr="00A40FD5">
        <w:t xml:space="preserve">1 of </w:t>
      </w:r>
      <w:r>
        <w:t>s</w:t>
      </w:r>
      <w:r w:rsidRPr="00A40FD5">
        <w:t>chedule</w:t>
      </w:r>
      <w:r w:rsidR="00031E2A">
        <w:t> </w:t>
      </w:r>
      <w:r w:rsidRPr="00A40FD5">
        <w:t xml:space="preserve">2, </w:t>
      </w:r>
      <w:r>
        <w:t xml:space="preserve">with </w:t>
      </w:r>
      <w:r w:rsidRPr="00A40FD5">
        <w:t xml:space="preserve">the inspection period </w:t>
      </w:r>
      <w:r>
        <w:t>being</w:t>
      </w:r>
      <w:r w:rsidRPr="00A40FD5">
        <w:t xml:space="preserve"> the period </w:t>
      </w:r>
      <w:r>
        <w:t xml:space="preserve">listed </w:t>
      </w:r>
      <w:r w:rsidRPr="00A40FD5">
        <w:t>in column</w:t>
      </w:r>
      <w:r w:rsidR="00031E2A">
        <w:t> </w:t>
      </w:r>
      <w:r w:rsidRPr="00A40FD5">
        <w:t xml:space="preserve">2 of </w:t>
      </w:r>
      <w:r>
        <w:t>s</w:t>
      </w:r>
      <w:r w:rsidRPr="00A40FD5">
        <w:t>chedule</w:t>
      </w:r>
      <w:r w:rsidR="00031E2A">
        <w:t> </w:t>
      </w:r>
      <w:r w:rsidRPr="00A40FD5">
        <w:t>2.</w:t>
      </w:r>
      <w:r>
        <w:t xml:space="preserve"> </w:t>
      </w:r>
      <w:r w:rsidRPr="00A40FD5">
        <w:t>This means that the status quo remains and that where two compliance monitoring categories apply, only the single, higher fee of the</w:t>
      </w:r>
      <w:r>
        <w:t xml:space="preserve"> </w:t>
      </w:r>
      <w:r w:rsidRPr="00A40FD5">
        <w:t>categories is payable.</w:t>
      </w:r>
    </w:p>
    <w:p w14:paraId="5FE88C7C" w14:textId="77777777" w:rsidR="00232F0B" w:rsidRPr="00A40FD5" w:rsidRDefault="00232F0B" w:rsidP="00031E2A"/>
    <w:p w14:paraId="7762682E" w14:textId="77777777" w:rsidR="0087667B" w:rsidRDefault="00232F0B" w:rsidP="00031E2A">
      <w:r w:rsidRPr="00A40FD5">
        <w:t>One example of this is where a dental practice (at a single location) has control or management of both X-ray</w:t>
      </w:r>
      <w:r>
        <w:t>s</w:t>
      </w:r>
      <w:r w:rsidRPr="00A40FD5">
        <w:t xml:space="preserve"> and cone beam computed tomography (CBCT)</w:t>
      </w:r>
      <w:r>
        <w:t>. In such a case,</w:t>
      </w:r>
      <w:r w:rsidRPr="00A40FD5">
        <w:t xml:space="preserve"> </w:t>
      </w:r>
      <w:r>
        <w:t>the practice</w:t>
      </w:r>
      <w:r w:rsidRPr="00A40FD5">
        <w:t xml:space="preserve"> will continue to receive inspections and pay the fees that relate to CBCT only. Inspections will continue to cover both X-ray</w:t>
      </w:r>
      <w:r>
        <w:t>s</w:t>
      </w:r>
      <w:r w:rsidRPr="00A40FD5">
        <w:t xml:space="preserve"> and CBCT.</w:t>
      </w:r>
    </w:p>
    <w:p w14:paraId="1543A593" w14:textId="77777777" w:rsidR="00232F0B" w:rsidRPr="00A40FD5" w:rsidRDefault="00232F0B" w:rsidP="00031E2A"/>
    <w:p w14:paraId="5F33AB6D" w14:textId="77777777" w:rsidR="00B9117B" w:rsidRDefault="00B9117B" w:rsidP="00031E2A">
      <w:pPr>
        <w:pStyle w:val="Table"/>
        <w:sectPr w:rsidR="00B9117B" w:rsidSect="002B7BEC">
          <w:footerReference w:type="even" r:id="rId24"/>
          <w:footerReference w:type="default" r:id="rId25"/>
          <w:pgSz w:w="11907" w:h="16834" w:code="9"/>
          <w:pgMar w:top="1418" w:right="1701" w:bottom="1134" w:left="1843" w:header="284" w:footer="425" w:gutter="284"/>
          <w:pgNumType w:start="1"/>
          <w:cols w:space="720"/>
          <w:docGrid w:linePitch="286"/>
        </w:sectPr>
      </w:pPr>
      <w:bookmarkStart w:id="188" w:name="_Ref87368986"/>
      <w:bookmarkStart w:id="189" w:name="_Toc84916125"/>
      <w:bookmarkStart w:id="190" w:name="_Toc84916188"/>
    </w:p>
    <w:p w14:paraId="5C44692F" w14:textId="104DFCC3" w:rsidR="00232F0B" w:rsidRPr="00A40FD5" w:rsidRDefault="005B5BE2" w:rsidP="00B9117B">
      <w:pPr>
        <w:pStyle w:val="Table"/>
        <w:spacing w:before="0"/>
      </w:pPr>
      <w:bookmarkStart w:id="191" w:name="_Ref87444015"/>
      <w:bookmarkStart w:id="192" w:name="_Toc88644159"/>
      <w:r>
        <w:t>Table </w:t>
      </w:r>
      <w:r w:rsidR="00384F9F">
        <w:fldChar w:fldCharType="begin"/>
      </w:r>
      <w:r w:rsidR="00384F9F">
        <w:instrText xml:space="preserve"> SEQ Table \* ARABIC </w:instrText>
      </w:r>
      <w:r w:rsidR="00384F9F">
        <w:fldChar w:fldCharType="separate"/>
      </w:r>
      <w:r w:rsidR="003A5600">
        <w:rPr>
          <w:noProof/>
        </w:rPr>
        <w:t>11</w:t>
      </w:r>
      <w:r w:rsidR="00384F9F">
        <w:rPr>
          <w:noProof/>
        </w:rPr>
        <w:fldChar w:fldCharType="end"/>
      </w:r>
      <w:bookmarkEnd w:id="188"/>
      <w:bookmarkEnd w:id="191"/>
      <w:r w:rsidR="00232F0B" w:rsidRPr="00A40FD5">
        <w:t>:</w:t>
      </w:r>
      <w:r>
        <w:t xml:space="preserve"> </w:t>
      </w:r>
      <w:r w:rsidR="00232F0B" w:rsidRPr="00A40FD5">
        <w:t xml:space="preserve">Proposed amendments to compliance monitoring categories set out in </w:t>
      </w:r>
      <w:r w:rsidR="00232F0B">
        <w:t>s</w:t>
      </w:r>
      <w:r w:rsidR="00232F0B" w:rsidRPr="00A40FD5">
        <w:t>chedule 2 of the Radiation Safety Regulations 2016</w:t>
      </w:r>
      <w:bookmarkEnd w:id="189"/>
      <w:bookmarkEnd w:id="190"/>
      <w:bookmarkEnd w:id="192"/>
    </w:p>
    <w:tbl>
      <w:tblPr>
        <w:tblW w:w="0" w:type="auto"/>
        <w:tblInd w:w="57" w:type="dxa"/>
        <w:tblLayout w:type="fixed"/>
        <w:tblCellMar>
          <w:left w:w="57" w:type="dxa"/>
          <w:right w:w="57" w:type="dxa"/>
        </w:tblCellMar>
        <w:tblLook w:val="04A0" w:firstRow="1" w:lastRow="0" w:firstColumn="1" w:lastColumn="0" w:noHBand="0" w:noVBand="1"/>
      </w:tblPr>
      <w:tblGrid>
        <w:gridCol w:w="1809"/>
        <w:gridCol w:w="2727"/>
        <w:gridCol w:w="3355"/>
        <w:gridCol w:w="3355"/>
        <w:gridCol w:w="3355"/>
      </w:tblGrid>
      <w:tr w:rsidR="00232F0B" w:rsidRPr="00011AC0" w14:paraId="5259B3D3" w14:textId="77777777" w:rsidTr="00B9117B">
        <w:trPr>
          <w:cantSplit/>
          <w:tblHeader/>
        </w:trPr>
        <w:tc>
          <w:tcPr>
            <w:tcW w:w="1809" w:type="dxa"/>
            <w:shd w:val="clear" w:color="auto" w:fill="D9D9D9" w:themeFill="background1" w:themeFillShade="D9"/>
          </w:tcPr>
          <w:p w14:paraId="47842231" w14:textId="77777777" w:rsidR="00232F0B" w:rsidRPr="00011AC0" w:rsidRDefault="00232F0B" w:rsidP="00B9117B">
            <w:pPr>
              <w:pStyle w:val="TableText"/>
              <w:ind w:right="113"/>
              <w:rPr>
                <w:b/>
              </w:rPr>
            </w:pPr>
            <w:r w:rsidRPr="00011AC0">
              <w:rPr>
                <w:b/>
              </w:rPr>
              <w:t>Affected activities</w:t>
            </w:r>
          </w:p>
        </w:tc>
        <w:tc>
          <w:tcPr>
            <w:tcW w:w="2727" w:type="dxa"/>
            <w:shd w:val="clear" w:color="auto" w:fill="D9D9D9" w:themeFill="background1" w:themeFillShade="D9"/>
          </w:tcPr>
          <w:p w14:paraId="33207DC7" w14:textId="77777777" w:rsidR="00232F0B" w:rsidRPr="00011AC0" w:rsidRDefault="00232F0B" w:rsidP="00B9117B">
            <w:pPr>
              <w:pStyle w:val="TableText"/>
              <w:ind w:right="113"/>
              <w:rPr>
                <w:b/>
              </w:rPr>
            </w:pPr>
            <w:r w:rsidRPr="00011AC0">
              <w:rPr>
                <w:b/>
              </w:rPr>
              <w:t>Affected current compliance monitoring categories</w:t>
            </w:r>
          </w:p>
        </w:tc>
        <w:tc>
          <w:tcPr>
            <w:tcW w:w="3355" w:type="dxa"/>
            <w:shd w:val="clear" w:color="auto" w:fill="D9D9D9" w:themeFill="background1" w:themeFillShade="D9"/>
          </w:tcPr>
          <w:p w14:paraId="00861C2E" w14:textId="77777777" w:rsidR="00232F0B" w:rsidRPr="00011AC0" w:rsidRDefault="00232F0B" w:rsidP="00B9117B">
            <w:pPr>
              <w:pStyle w:val="TableText"/>
              <w:ind w:right="113"/>
              <w:rPr>
                <w:b/>
              </w:rPr>
            </w:pPr>
            <w:r w:rsidRPr="00011AC0">
              <w:rPr>
                <w:b/>
              </w:rPr>
              <w:t>Preferred option</w:t>
            </w:r>
          </w:p>
        </w:tc>
        <w:tc>
          <w:tcPr>
            <w:tcW w:w="3355" w:type="dxa"/>
            <w:shd w:val="clear" w:color="auto" w:fill="D9D9D9" w:themeFill="background1" w:themeFillShade="D9"/>
          </w:tcPr>
          <w:p w14:paraId="33F3BEDE" w14:textId="77777777" w:rsidR="00232F0B" w:rsidRPr="00011AC0" w:rsidRDefault="00232F0B" w:rsidP="00B9117B">
            <w:pPr>
              <w:pStyle w:val="TableText"/>
              <w:ind w:right="113"/>
              <w:rPr>
                <w:b/>
              </w:rPr>
            </w:pPr>
            <w:r w:rsidRPr="00011AC0">
              <w:rPr>
                <w:b/>
              </w:rPr>
              <w:t>Aim of amendment</w:t>
            </w:r>
          </w:p>
        </w:tc>
        <w:tc>
          <w:tcPr>
            <w:tcW w:w="3355" w:type="dxa"/>
            <w:shd w:val="clear" w:color="auto" w:fill="D9D9D9" w:themeFill="background1" w:themeFillShade="D9"/>
          </w:tcPr>
          <w:p w14:paraId="28EE204B" w14:textId="77777777" w:rsidR="00232F0B" w:rsidRPr="00011AC0" w:rsidRDefault="00232F0B" w:rsidP="00011AC0">
            <w:pPr>
              <w:pStyle w:val="TableText"/>
              <w:rPr>
                <w:b/>
              </w:rPr>
            </w:pPr>
            <w:r w:rsidRPr="00011AC0">
              <w:rPr>
                <w:b/>
              </w:rPr>
              <w:t>Impact of amendment</w:t>
            </w:r>
          </w:p>
        </w:tc>
      </w:tr>
      <w:tr w:rsidR="00232F0B" w:rsidRPr="00A40FD5" w14:paraId="5B0F8E5C" w14:textId="77777777" w:rsidTr="00B9117B">
        <w:trPr>
          <w:cantSplit/>
        </w:trPr>
        <w:tc>
          <w:tcPr>
            <w:tcW w:w="1809" w:type="dxa"/>
            <w:tcBorders>
              <w:bottom w:val="single" w:sz="4" w:space="0" w:color="A6A6A6" w:themeColor="background1" w:themeShade="A6"/>
            </w:tcBorders>
          </w:tcPr>
          <w:p w14:paraId="56548E4A" w14:textId="77777777" w:rsidR="00232F0B" w:rsidRPr="00A40FD5" w:rsidRDefault="00232F0B" w:rsidP="00B9117B">
            <w:pPr>
              <w:pStyle w:val="TableText"/>
              <w:ind w:right="113"/>
            </w:pPr>
            <w:r w:rsidRPr="00A40FD5">
              <w:t>Interventional radiology, interventional cardiology</w:t>
            </w:r>
          </w:p>
        </w:tc>
        <w:tc>
          <w:tcPr>
            <w:tcW w:w="2727" w:type="dxa"/>
            <w:tcBorders>
              <w:bottom w:val="single" w:sz="4" w:space="0" w:color="A6A6A6" w:themeColor="background1" w:themeShade="A6"/>
            </w:tcBorders>
          </w:tcPr>
          <w:p w14:paraId="04E38CF2" w14:textId="77777777" w:rsidR="00232F0B" w:rsidRPr="00A40FD5" w:rsidRDefault="00232F0B" w:rsidP="00B9117B">
            <w:pPr>
              <w:pStyle w:val="TableText"/>
              <w:ind w:right="113"/>
            </w:pPr>
            <w:r w:rsidRPr="00A40FD5">
              <w:t>Medical 2, Medical 4</w:t>
            </w:r>
          </w:p>
        </w:tc>
        <w:tc>
          <w:tcPr>
            <w:tcW w:w="3355" w:type="dxa"/>
            <w:tcBorders>
              <w:bottom w:val="single" w:sz="4" w:space="0" w:color="A6A6A6" w:themeColor="background1" w:themeShade="A6"/>
            </w:tcBorders>
          </w:tcPr>
          <w:p w14:paraId="28A2CE26" w14:textId="77777777" w:rsidR="00232F0B" w:rsidRPr="00A40FD5" w:rsidRDefault="00232F0B" w:rsidP="00B9117B">
            <w:pPr>
              <w:pStyle w:val="TableText"/>
              <w:ind w:right="113"/>
            </w:pPr>
            <w:r w:rsidRPr="00A40FD5">
              <w:t xml:space="preserve">Amend </w:t>
            </w:r>
            <w:r>
              <w:t>m</w:t>
            </w:r>
            <w:r w:rsidRPr="00A40FD5">
              <w:t>edical 4 category so that the exclusion that applies to interventional radiology also applies to interventional cardiology.</w:t>
            </w:r>
          </w:p>
        </w:tc>
        <w:tc>
          <w:tcPr>
            <w:tcW w:w="3355" w:type="dxa"/>
            <w:tcBorders>
              <w:bottom w:val="single" w:sz="4" w:space="0" w:color="A6A6A6" w:themeColor="background1" w:themeShade="A6"/>
            </w:tcBorders>
          </w:tcPr>
          <w:p w14:paraId="08CB3E0E" w14:textId="77777777" w:rsidR="00232F0B" w:rsidRPr="00A40FD5" w:rsidRDefault="00232F0B" w:rsidP="00B9117B">
            <w:pPr>
              <w:pStyle w:val="TableText"/>
              <w:ind w:right="113"/>
            </w:pPr>
            <w:r w:rsidRPr="00A40FD5">
              <w:t xml:space="preserve">To clarify that interventional radiology </w:t>
            </w:r>
            <w:r w:rsidRPr="00A40FD5">
              <w:rPr>
                <w:u w:val="single"/>
              </w:rPr>
              <w:t>and</w:t>
            </w:r>
            <w:r w:rsidRPr="00A40FD5">
              <w:t xml:space="preserve"> interventional cardiology are both assigned to </w:t>
            </w:r>
            <w:r>
              <w:t>m</w:t>
            </w:r>
            <w:r w:rsidRPr="00A40FD5">
              <w:t>edical 2 category</w:t>
            </w:r>
            <w:r>
              <w:t>.</w:t>
            </w:r>
          </w:p>
        </w:tc>
        <w:tc>
          <w:tcPr>
            <w:tcW w:w="3355" w:type="dxa"/>
            <w:tcBorders>
              <w:bottom w:val="single" w:sz="4" w:space="0" w:color="A6A6A6" w:themeColor="background1" w:themeShade="A6"/>
            </w:tcBorders>
          </w:tcPr>
          <w:p w14:paraId="7818660A" w14:textId="77777777" w:rsidR="00232F0B" w:rsidRPr="00A40FD5" w:rsidRDefault="00232F0B" w:rsidP="00011AC0">
            <w:pPr>
              <w:pStyle w:val="TableText"/>
            </w:pPr>
            <w:r w:rsidRPr="00A40FD5">
              <w:t xml:space="preserve">Clarification only, no change in practice (other than proposed new fees for </w:t>
            </w:r>
            <w:r>
              <w:t>m</w:t>
            </w:r>
            <w:r w:rsidRPr="00A40FD5">
              <w:t>edical 2)</w:t>
            </w:r>
            <w:r>
              <w:t>.</w:t>
            </w:r>
          </w:p>
        </w:tc>
      </w:tr>
      <w:tr w:rsidR="00232F0B" w:rsidRPr="00A40FD5" w14:paraId="60BA2971" w14:textId="77777777" w:rsidTr="00B9117B">
        <w:trPr>
          <w:cantSplit/>
        </w:trPr>
        <w:tc>
          <w:tcPr>
            <w:tcW w:w="1809" w:type="dxa"/>
            <w:tcBorders>
              <w:top w:val="single" w:sz="4" w:space="0" w:color="A6A6A6" w:themeColor="background1" w:themeShade="A6"/>
              <w:bottom w:val="single" w:sz="4" w:space="0" w:color="A6A6A6" w:themeColor="background1" w:themeShade="A6"/>
            </w:tcBorders>
          </w:tcPr>
          <w:p w14:paraId="7ED53BA8" w14:textId="77777777" w:rsidR="00232F0B" w:rsidRPr="00A40FD5" w:rsidRDefault="00232F0B" w:rsidP="00B9117B">
            <w:pPr>
              <w:pStyle w:val="TableText"/>
              <w:ind w:right="113"/>
            </w:pPr>
            <w:r w:rsidRPr="00A40FD5">
              <w:t>Dental diagnosis</w:t>
            </w:r>
          </w:p>
        </w:tc>
        <w:tc>
          <w:tcPr>
            <w:tcW w:w="2727" w:type="dxa"/>
            <w:tcBorders>
              <w:top w:val="single" w:sz="4" w:space="0" w:color="A6A6A6" w:themeColor="background1" w:themeShade="A6"/>
              <w:bottom w:val="single" w:sz="4" w:space="0" w:color="A6A6A6" w:themeColor="background1" w:themeShade="A6"/>
            </w:tcBorders>
          </w:tcPr>
          <w:p w14:paraId="555E8CDF" w14:textId="77777777" w:rsidR="00232F0B" w:rsidRPr="00A40FD5" w:rsidRDefault="00232F0B" w:rsidP="00B9117B">
            <w:pPr>
              <w:pStyle w:val="TableText"/>
              <w:ind w:right="113"/>
            </w:pPr>
            <w:r w:rsidRPr="00A40FD5">
              <w:t xml:space="preserve">Medical 2, </w:t>
            </w:r>
            <w:r>
              <w:t>m</w:t>
            </w:r>
            <w:r w:rsidRPr="00A40FD5">
              <w:t>edical 4</w:t>
            </w:r>
          </w:p>
        </w:tc>
        <w:tc>
          <w:tcPr>
            <w:tcW w:w="3355" w:type="dxa"/>
            <w:tcBorders>
              <w:top w:val="single" w:sz="4" w:space="0" w:color="A6A6A6" w:themeColor="background1" w:themeShade="A6"/>
              <w:bottom w:val="single" w:sz="4" w:space="0" w:color="A6A6A6" w:themeColor="background1" w:themeShade="A6"/>
            </w:tcBorders>
          </w:tcPr>
          <w:p w14:paraId="274F3622" w14:textId="77777777" w:rsidR="00232F0B" w:rsidRPr="00A40FD5" w:rsidRDefault="00232F0B" w:rsidP="00B9117B">
            <w:pPr>
              <w:pStyle w:val="TableText"/>
              <w:ind w:right="113"/>
            </w:pPr>
            <w:r w:rsidRPr="00A40FD5">
              <w:t>Amend medical 2 and medical 4 so that dental cone beam computed tomography (CBCT</w:t>
            </w:r>
            <w:r w:rsidR="00011AC0">
              <w:t>)</w:t>
            </w:r>
            <w:r w:rsidR="00011AC0">
              <w:rPr>
                <w:vertAlign w:val="superscript"/>
              </w:rPr>
              <w:t>1</w:t>
            </w:r>
            <w:r w:rsidR="00011AC0">
              <w:t xml:space="preserve"> </w:t>
            </w:r>
            <w:r w:rsidRPr="00A40FD5">
              <w:t xml:space="preserve">can become subject to </w:t>
            </w:r>
            <w:r>
              <w:t>m</w:t>
            </w:r>
            <w:r w:rsidRPr="00A40FD5">
              <w:t>edical 4.</w:t>
            </w:r>
          </w:p>
        </w:tc>
        <w:tc>
          <w:tcPr>
            <w:tcW w:w="3355" w:type="dxa"/>
            <w:tcBorders>
              <w:top w:val="single" w:sz="4" w:space="0" w:color="A6A6A6" w:themeColor="background1" w:themeShade="A6"/>
              <w:bottom w:val="single" w:sz="4" w:space="0" w:color="A6A6A6" w:themeColor="background1" w:themeShade="A6"/>
            </w:tcBorders>
          </w:tcPr>
          <w:p w14:paraId="24DC7824" w14:textId="77777777" w:rsidR="00232F0B" w:rsidRPr="00A40FD5" w:rsidRDefault="00232F0B" w:rsidP="00B9117B">
            <w:pPr>
              <w:pStyle w:val="TableText"/>
              <w:ind w:right="113"/>
            </w:pPr>
            <w:r w:rsidRPr="00A40FD5">
              <w:t xml:space="preserve">Reduce inspection frequency for </w:t>
            </w:r>
            <w:r w:rsidRPr="00382024">
              <w:t xml:space="preserve">managing or controlling dental CBCT. No change is proposed to </w:t>
            </w:r>
            <w:r w:rsidRPr="00D94F57">
              <w:t>dental diagnosis without the use of CBCT</w:t>
            </w:r>
            <w:r w:rsidRPr="004E513F">
              <w:t xml:space="preserve"> in </w:t>
            </w:r>
            <w:r>
              <w:t>m</w:t>
            </w:r>
            <w:r w:rsidRPr="00382024">
              <w:t>edical 5 (</w:t>
            </w:r>
            <w:r w:rsidRPr="00743999">
              <w:t>X-ray</w:t>
            </w:r>
            <w:r w:rsidRPr="004E513F">
              <w:t>).</w:t>
            </w:r>
          </w:p>
        </w:tc>
        <w:tc>
          <w:tcPr>
            <w:tcW w:w="3355" w:type="dxa"/>
            <w:tcBorders>
              <w:top w:val="single" w:sz="4" w:space="0" w:color="A6A6A6" w:themeColor="background1" w:themeShade="A6"/>
              <w:bottom w:val="single" w:sz="4" w:space="0" w:color="A6A6A6" w:themeColor="background1" w:themeShade="A6"/>
            </w:tcBorders>
          </w:tcPr>
          <w:p w14:paraId="38F9C2FD" w14:textId="77777777" w:rsidR="00232F0B" w:rsidRPr="00A40FD5" w:rsidRDefault="00232F0B" w:rsidP="00011AC0">
            <w:pPr>
              <w:pStyle w:val="TableText"/>
            </w:pPr>
            <w:r w:rsidRPr="00A40FD5">
              <w:t xml:space="preserve">Reduced inspection frequency to every four years and proposed annual source licence fee of $861 or $1,097 for </w:t>
            </w:r>
            <w:r w:rsidRPr="004E513F">
              <w:t xml:space="preserve">dental CBCT. </w:t>
            </w:r>
            <w:r w:rsidRPr="00CA1A4D">
              <w:t xml:space="preserve">When both dental CBCT and </w:t>
            </w:r>
            <w:r w:rsidRPr="00011AC0">
              <w:t>dental diagnosis without the use of CBCT are</w:t>
            </w:r>
            <w:r w:rsidRPr="004E513F">
              <w:t xml:space="preserve"> present,</w:t>
            </w:r>
            <w:r w:rsidRPr="00A40FD5">
              <w:t xml:space="preserve"> only the four-yearly inspection period applies and only the dental CBCT fee would be payable (but both modalities would be inspected).</w:t>
            </w:r>
          </w:p>
        </w:tc>
      </w:tr>
      <w:tr w:rsidR="00232F0B" w:rsidRPr="00A40FD5" w14:paraId="39F7A623" w14:textId="77777777" w:rsidTr="00B9117B">
        <w:trPr>
          <w:cantSplit/>
        </w:trPr>
        <w:tc>
          <w:tcPr>
            <w:tcW w:w="1809" w:type="dxa"/>
            <w:tcBorders>
              <w:top w:val="single" w:sz="4" w:space="0" w:color="A6A6A6" w:themeColor="background1" w:themeShade="A6"/>
              <w:bottom w:val="single" w:sz="4" w:space="0" w:color="A6A6A6" w:themeColor="background1" w:themeShade="A6"/>
            </w:tcBorders>
          </w:tcPr>
          <w:p w14:paraId="60D4C378" w14:textId="77777777" w:rsidR="00232F0B" w:rsidRPr="00A40FD5" w:rsidRDefault="00232F0B" w:rsidP="00B9117B">
            <w:pPr>
              <w:pStyle w:val="TableText"/>
              <w:ind w:right="113"/>
            </w:pPr>
            <w:r w:rsidRPr="00A40FD5">
              <w:t>Medical therapy, medical diagnosis and nuclear medicine</w:t>
            </w:r>
          </w:p>
        </w:tc>
        <w:tc>
          <w:tcPr>
            <w:tcW w:w="2727" w:type="dxa"/>
            <w:tcBorders>
              <w:top w:val="single" w:sz="4" w:space="0" w:color="A6A6A6" w:themeColor="background1" w:themeShade="A6"/>
              <w:bottom w:val="single" w:sz="4" w:space="0" w:color="A6A6A6" w:themeColor="background1" w:themeShade="A6"/>
            </w:tcBorders>
          </w:tcPr>
          <w:p w14:paraId="5D5BB041" w14:textId="77777777" w:rsidR="00232F0B" w:rsidRPr="00A40FD5" w:rsidRDefault="00232F0B" w:rsidP="00B9117B">
            <w:pPr>
              <w:pStyle w:val="TableText"/>
              <w:ind w:right="113"/>
            </w:pPr>
            <w:r w:rsidRPr="00A40FD5">
              <w:t>Medical 1, medical 2, medical 3</w:t>
            </w:r>
          </w:p>
        </w:tc>
        <w:tc>
          <w:tcPr>
            <w:tcW w:w="3355" w:type="dxa"/>
            <w:tcBorders>
              <w:top w:val="single" w:sz="4" w:space="0" w:color="A6A6A6" w:themeColor="background1" w:themeShade="A6"/>
              <w:bottom w:val="single" w:sz="4" w:space="0" w:color="A6A6A6" w:themeColor="background1" w:themeShade="A6"/>
            </w:tcBorders>
          </w:tcPr>
          <w:p w14:paraId="21858967" w14:textId="77777777" w:rsidR="00232F0B" w:rsidRPr="00A40FD5" w:rsidRDefault="00232F0B" w:rsidP="00B9117B">
            <w:pPr>
              <w:pStyle w:val="TableText"/>
              <w:ind w:right="113"/>
            </w:pPr>
            <w:r w:rsidRPr="00A40FD5">
              <w:t>Amend medical 1, medical 2 and medical 3 to remove any implied overlap in the activities included in the categories.</w:t>
            </w:r>
          </w:p>
        </w:tc>
        <w:tc>
          <w:tcPr>
            <w:tcW w:w="3355" w:type="dxa"/>
            <w:tcBorders>
              <w:top w:val="single" w:sz="4" w:space="0" w:color="A6A6A6" w:themeColor="background1" w:themeShade="A6"/>
              <w:bottom w:val="single" w:sz="4" w:space="0" w:color="A6A6A6" w:themeColor="background1" w:themeShade="A6"/>
            </w:tcBorders>
          </w:tcPr>
          <w:p w14:paraId="1AF4FB74" w14:textId="77777777" w:rsidR="00232F0B" w:rsidRPr="00A40FD5" w:rsidRDefault="00232F0B" w:rsidP="00B9117B">
            <w:pPr>
              <w:pStyle w:val="TableText"/>
              <w:ind w:right="113"/>
            </w:pPr>
            <w:r w:rsidRPr="00A40FD5">
              <w:t>Clarify existing situation – no change to inspection periods</w:t>
            </w:r>
            <w:r>
              <w:t>.</w:t>
            </w:r>
          </w:p>
        </w:tc>
        <w:tc>
          <w:tcPr>
            <w:tcW w:w="3355" w:type="dxa"/>
            <w:tcBorders>
              <w:top w:val="single" w:sz="4" w:space="0" w:color="A6A6A6" w:themeColor="background1" w:themeShade="A6"/>
              <w:bottom w:val="single" w:sz="4" w:space="0" w:color="A6A6A6" w:themeColor="background1" w:themeShade="A6"/>
            </w:tcBorders>
          </w:tcPr>
          <w:p w14:paraId="435F4C1C" w14:textId="77777777" w:rsidR="00232F0B" w:rsidRPr="00A40FD5" w:rsidRDefault="00232F0B" w:rsidP="00011AC0">
            <w:pPr>
              <w:pStyle w:val="TableText"/>
            </w:pPr>
            <w:r w:rsidRPr="00A40FD5">
              <w:t>Clarification only, no change in practice (other than proposed new fees)</w:t>
            </w:r>
            <w:r>
              <w:t>.</w:t>
            </w:r>
          </w:p>
        </w:tc>
      </w:tr>
      <w:tr w:rsidR="00232F0B" w:rsidRPr="00A40FD5" w14:paraId="360D1CAE" w14:textId="77777777" w:rsidTr="00B9117B">
        <w:trPr>
          <w:cantSplit/>
        </w:trPr>
        <w:tc>
          <w:tcPr>
            <w:tcW w:w="1809" w:type="dxa"/>
            <w:tcBorders>
              <w:top w:val="single" w:sz="4" w:space="0" w:color="A6A6A6" w:themeColor="background1" w:themeShade="A6"/>
              <w:bottom w:val="single" w:sz="4" w:space="0" w:color="A6A6A6" w:themeColor="background1" w:themeShade="A6"/>
            </w:tcBorders>
          </w:tcPr>
          <w:p w14:paraId="6CAD6FFE" w14:textId="77777777" w:rsidR="00232F0B" w:rsidRPr="00A40FD5" w:rsidRDefault="00232F0B" w:rsidP="00B9117B">
            <w:pPr>
              <w:pStyle w:val="TableText"/>
              <w:ind w:right="113"/>
            </w:pPr>
            <w:r w:rsidRPr="00A40FD5">
              <w:t>Industrial radiography</w:t>
            </w:r>
          </w:p>
        </w:tc>
        <w:tc>
          <w:tcPr>
            <w:tcW w:w="2727" w:type="dxa"/>
            <w:tcBorders>
              <w:top w:val="single" w:sz="4" w:space="0" w:color="A6A6A6" w:themeColor="background1" w:themeShade="A6"/>
              <w:bottom w:val="single" w:sz="4" w:space="0" w:color="A6A6A6" w:themeColor="background1" w:themeShade="A6"/>
            </w:tcBorders>
          </w:tcPr>
          <w:p w14:paraId="54AE56F6" w14:textId="77777777" w:rsidR="00232F0B" w:rsidRPr="00A40FD5" w:rsidRDefault="00232F0B" w:rsidP="00B9117B">
            <w:pPr>
              <w:pStyle w:val="TableText"/>
              <w:ind w:right="113"/>
            </w:pPr>
            <w:r w:rsidRPr="00A40FD5">
              <w:t xml:space="preserve">Non-medical 1, </w:t>
            </w:r>
            <w:r>
              <w:t>n</w:t>
            </w:r>
            <w:r w:rsidRPr="00A40FD5">
              <w:t>on-medical 3</w:t>
            </w:r>
          </w:p>
        </w:tc>
        <w:tc>
          <w:tcPr>
            <w:tcW w:w="3355" w:type="dxa"/>
            <w:tcBorders>
              <w:top w:val="single" w:sz="4" w:space="0" w:color="A6A6A6" w:themeColor="background1" w:themeShade="A6"/>
              <w:bottom w:val="single" w:sz="4" w:space="0" w:color="A6A6A6" w:themeColor="background1" w:themeShade="A6"/>
            </w:tcBorders>
          </w:tcPr>
          <w:p w14:paraId="3F4B0697" w14:textId="77777777" w:rsidR="00232F0B" w:rsidRPr="00A40FD5" w:rsidRDefault="00232F0B" w:rsidP="00B9117B">
            <w:pPr>
              <w:pStyle w:val="TableText"/>
              <w:ind w:right="113"/>
            </w:pPr>
            <w:r w:rsidRPr="00A40FD5">
              <w:t xml:space="preserve">Amend </w:t>
            </w:r>
            <w:r>
              <w:t>n</w:t>
            </w:r>
            <w:r w:rsidRPr="00A40FD5">
              <w:t xml:space="preserve">on-medical 3 and potentially </w:t>
            </w:r>
            <w:r>
              <w:t>n</w:t>
            </w:r>
            <w:r w:rsidRPr="00A40FD5">
              <w:t>on-medical 1 so that management or control of industrial radiography sources that use only X-ray techniques can become subject to non-medical 3.</w:t>
            </w:r>
          </w:p>
        </w:tc>
        <w:tc>
          <w:tcPr>
            <w:tcW w:w="3355" w:type="dxa"/>
            <w:tcBorders>
              <w:top w:val="single" w:sz="4" w:space="0" w:color="A6A6A6" w:themeColor="background1" w:themeShade="A6"/>
              <w:bottom w:val="single" w:sz="4" w:space="0" w:color="A6A6A6" w:themeColor="background1" w:themeShade="A6"/>
            </w:tcBorders>
          </w:tcPr>
          <w:p w14:paraId="3C48A5EC" w14:textId="77777777" w:rsidR="00232F0B" w:rsidRPr="00A40FD5" w:rsidRDefault="00232F0B" w:rsidP="00B9117B">
            <w:pPr>
              <w:pStyle w:val="TableText"/>
              <w:ind w:right="113"/>
            </w:pPr>
            <w:r w:rsidRPr="00A40FD5">
              <w:t>Reduce inspections frequency to two-yearly for manag</w:t>
            </w:r>
            <w:r>
              <w:t>ing</w:t>
            </w:r>
            <w:r w:rsidRPr="00A40FD5">
              <w:t xml:space="preserve"> or control</w:t>
            </w:r>
            <w:r>
              <w:t>ling</w:t>
            </w:r>
            <w:r w:rsidRPr="00A40FD5">
              <w:t xml:space="preserve"> industrial radiography sources that use X-ray imaging techniques only.</w:t>
            </w:r>
            <w:r>
              <w:t xml:space="preserve"> </w:t>
            </w:r>
            <w:r w:rsidRPr="00A40FD5">
              <w:t>No change is proposed for industrial radiography that u</w:t>
            </w:r>
            <w:r>
              <w:t>se</w:t>
            </w:r>
            <w:r w:rsidRPr="00A40FD5">
              <w:t>s all other techniques</w:t>
            </w:r>
            <w:r>
              <w:t>,</w:t>
            </w:r>
            <w:r w:rsidRPr="00A40FD5">
              <w:t xml:space="preserve"> and inspection frequencies will remain annual.</w:t>
            </w:r>
            <w:r>
              <w:t xml:space="preserve"> </w:t>
            </w:r>
            <w:r w:rsidRPr="00A40FD5">
              <w:t xml:space="preserve">Management or control of </w:t>
            </w:r>
            <w:r>
              <w:t>i</w:t>
            </w:r>
            <w:r w:rsidRPr="00A40FD5">
              <w:t>ndustrial radiography involving a combination of both X-ray and other techniques will also remain unchanged on annual inspections.</w:t>
            </w:r>
          </w:p>
        </w:tc>
        <w:tc>
          <w:tcPr>
            <w:tcW w:w="3355" w:type="dxa"/>
            <w:tcBorders>
              <w:top w:val="single" w:sz="4" w:space="0" w:color="A6A6A6" w:themeColor="background1" w:themeShade="A6"/>
              <w:bottom w:val="single" w:sz="4" w:space="0" w:color="A6A6A6" w:themeColor="background1" w:themeShade="A6"/>
            </w:tcBorders>
          </w:tcPr>
          <w:p w14:paraId="4A122B1F" w14:textId="77777777" w:rsidR="00232F0B" w:rsidRPr="00A40FD5" w:rsidRDefault="00232F0B" w:rsidP="00011AC0">
            <w:pPr>
              <w:pStyle w:val="TableText"/>
            </w:pPr>
            <w:r w:rsidRPr="00A40FD5">
              <w:t>Reduced inspection frequency to every two years and proposed annual source licence fee of $1,695 or $1,931 for X-ray only.</w:t>
            </w:r>
          </w:p>
        </w:tc>
      </w:tr>
      <w:tr w:rsidR="00232F0B" w:rsidRPr="00A40FD5" w14:paraId="5487D5D9" w14:textId="77777777" w:rsidTr="00B9117B">
        <w:trPr>
          <w:cantSplit/>
        </w:trPr>
        <w:tc>
          <w:tcPr>
            <w:tcW w:w="1809" w:type="dxa"/>
            <w:tcBorders>
              <w:top w:val="single" w:sz="4" w:space="0" w:color="A6A6A6" w:themeColor="background1" w:themeShade="A6"/>
              <w:bottom w:val="single" w:sz="4" w:space="0" w:color="A6A6A6" w:themeColor="background1" w:themeShade="A6"/>
            </w:tcBorders>
            <w:shd w:val="clear" w:color="auto" w:fill="auto"/>
          </w:tcPr>
          <w:p w14:paraId="3011FF93" w14:textId="77777777" w:rsidR="00232F0B" w:rsidRPr="00A40FD5" w:rsidRDefault="00232F0B" w:rsidP="00B9117B">
            <w:pPr>
              <w:pStyle w:val="TableText"/>
              <w:ind w:right="113"/>
            </w:pPr>
            <w:r w:rsidRPr="00A40FD5">
              <w:t>Nuclear gauge</w:t>
            </w:r>
            <w:r w:rsidR="00011AC0">
              <w:t>s</w:t>
            </w:r>
            <w:r w:rsidR="00011AC0">
              <w:rPr>
                <w:vertAlign w:val="superscript"/>
              </w:rPr>
              <w:t>2</w:t>
            </w:r>
            <w:r w:rsidR="00011AC0">
              <w:t xml:space="preserve"> u</w:t>
            </w:r>
            <w:r w:rsidRPr="00A40FD5">
              <w:t>sing low-activity sealed radioactive material</w:t>
            </w:r>
          </w:p>
        </w:tc>
        <w:tc>
          <w:tcPr>
            <w:tcW w:w="2727" w:type="dxa"/>
            <w:tcBorders>
              <w:top w:val="single" w:sz="4" w:space="0" w:color="A6A6A6" w:themeColor="background1" w:themeShade="A6"/>
              <w:bottom w:val="single" w:sz="4" w:space="0" w:color="A6A6A6" w:themeColor="background1" w:themeShade="A6"/>
            </w:tcBorders>
          </w:tcPr>
          <w:p w14:paraId="3D86855E" w14:textId="77777777" w:rsidR="00232F0B" w:rsidRPr="00A40FD5" w:rsidRDefault="00232F0B" w:rsidP="00B9117B">
            <w:pPr>
              <w:pStyle w:val="TableText"/>
              <w:ind w:right="113"/>
            </w:pPr>
            <w:r w:rsidRPr="00A40FD5">
              <w:t xml:space="preserve">Non-medical 6, </w:t>
            </w:r>
            <w:r>
              <w:t>n</w:t>
            </w:r>
            <w:r w:rsidRPr="00A40FD5">
              <w:t>on-medical 4</w:t>
            </w:r>
          </w:p>
        </w:tc>
        <w:tc>
          <w:tcPr>
            <w:tcW w:w="3355" w:type="dxa"/>
            <w:tcBorders>
              <w:top w:val="single" w:sz="4" w:space="0" w:color="A6A6A6" w:themeColor="background1" w:themeShade="A6"/>
              <w:bottom w:val="single" w:sz="4" w:space="0" w:color="A6A6A6" w:themeColor="background1" w:themeShade="A6"/>
            </w:tcBorders>
          </w:tcPr>
          <w:p w14:paraId="6CB72E41" w14:textId="77777777" w:rsidR="00232F0B" w:rsidRPr="00A40FD5" w:rsidRDefault="00232F0B" w:rsidP="00B9117B">
            <w:pPr>
              <w:pStyle w:val="TableText"/>
              <w:ind w:right="113"/>
            </w:pPr>
            <w:r w:rsidRPr="00A40FD5">
              <w:t xml:space="preserve">Amend </w:t>
            </w:r>
            <w:r>
              <w:t>n</w:t>
            </w:r>
            <w:r w:rsidRPr="00A40FD5">
              <w:t>on-medical 6 category so that it applies only to irradiating apparatus</w:t>
            </w:r>
            <w:r>
              <w:t>,</w:t>
            </w:r>
            <w:r w:rsidRPr="00A40FD5">
              <w:t xml:space="preserve"> and amend non-medical 4</w:t>
            </w:r>
            <w:r>
              <w:t>,</w:t>
            </w:r>
            <w:r w:rsidRPr="00A40FD5">
              <w:t xml:space="preserve"> if required</w:t>
            </w:r>
            <w:r>
              <w:t>,</w:t>
            </w:r>
            <w:r w:rsidRPr="00A40FD5">
              <w:t xml:space="preserve"> so that it captures all nuclear gauges using low</w:t>
            </w:r>
            <w:r>
              <w:t>-</w:t>
            </w:r>
            <w:r w:rsidRPr="00A40FD5">
              <w:t>activity sealed radioactive material (fixed and portable)</w:t>
            </w:r>
            <w:r>
              <w:t>.</w:t>
            </w:r>
          </w:p>
        </w:tc>
        <w:tc>
          <w:tcPr>
            <w:tcW w:w="3355" w:type="dxa"/>
            <w:tcBorders>
              <w:top w:val="single" w:sz="4" w:space="0" w:color="A6A6A6" w:themeColor="background1" w:themeShade="A6"/>
              <w:bottom w:val="single" w:sz="4" w:space="0" w:color="A6A6A6" w:themeColor="background1" w:themeShade="A6"/>
            </w:tcBorders>
          </w:tcPr>
          <w:p w14:paraId="4A765BEA" w14:textId="77777777" w:rsidR="00232F0B" w:rsidRPr="00A40FD5" w:rsidRDefault="00232F0B" w:rsidP="00B9117B">
            <w:pPr>
              <w:pStyle w:val="TableText"/>
              <w:ind w:right="113"/>
            </w:pPr>
            <w:r w:rsidRPr="00A40FD5">
              <w:t>Increase inspections to three-yearly for the control or management of fixed nuclear gauges using low</w:t>
            </w:r>
            <w:r>
              <w:t>-</w:t>
            </w:r>
            <w:r w:rsidRPr="00A40FD5">
              <w:t>activity sealed radioactive material.</w:t>
            </w:r>
            <w:r>
              <w:t xml:space="preserve"> </w:t>
            </w:r>
            <w:r w:rsidRPr="00A40FD5">
              <w:t>No change is proposed for irradiating apparatus, and portable nuclear gauges will continue to be inspected three-yearly.</w:t>
            </w:r>
          </w:p>
        </w:tc>
        <w:tc>
          <w:tcPr>
            <w:tcW w:w="3355" w:type="dxa"/>
            <w:tcBorders>
              <w:top w:val="single" w:sz="4" w:space="0" w:color="A6A6A6" w:themeColor="background1" w:themeShade="A6"/>
              <w:bottom w:val="single" w:sz="4" w:space="0" w:color="A6A6A6" w:themeColor="background1" w:themeShade="A6"/>
            </w:tcBorders>
          </w:tcPr>
          <w:p w14:paraId="39B0F3DA" w14:textId="77777777" w:rsidR="00232F0B" w:rsidRPr="00A40FD5" w:rsidRDefault="00232F0B" w:rsidP="00011AC0">
            <w:pPr>
              <w:pStyle w:val="TableText"/>
            </w:pPr>
            <w:r w:rsidRPr="00A40FD5">
              <w:t>Increased inspection frequency to every three years for the control or management of fixed nuclear gauges using low</w:t>
            </w:r>
            <w:r>
              <w:t>-</w:t>
            </w:r>
            <w:r w:rsidRPr="00A40FD5">
              <w:t>activity sealed radioactive material (no change to portable nuclear gauges) and increased proposed annual source licence fee of $1,092 or $1,328</w:t>
            </w:r>
            <w:r>
              <w:t>.</w:t>
            </w:r>
          </w:p>
        </w:tc>
      </w:tr>
      <w:tr w:rsidR="00232F0B" w:rsidRPr="00A40FD5" w14:paraId="0F902E13" w14:textId="77777777" w:rsidTr="00B9117B">
        <w:trPr>
          <w:cantSplit/>
        </w:trPr>
        <w:tc>
          <w:tcPr>
            <w:tcW w:w="1809" w:type="dxa"/>
            <w:tcBorders>
              <w:top w:val="single" w:sz="4" w:space="0" w:color="A6A6A6" w:themeColor="background1" w:themeShade="A6"/>
              <w:bottom w:val="single" w:sz="4" w:space="0" w:color="A6A6A6" w:themeColor="background1" w:themeShade="A6"/>
            </w:tcBorders>
          </w:tcPr>
          <w:p w14:paraId="7A23D5FF" w14:textId="77777777" w:rsidR="00232F0B" w:rsidRPr="00A40FD5" w:rsidRDefault="00232F0B" w:rsidP="00B9117B">
            <w:pPr>
              <w:pStyle w:val="TableText"/>
              <w:ind w:right="113"/>
            </w:pPr>
            <w:r w:rsidRPr="00A40FD5">
              <w:t>Non-medical human imaging for security purposes</w:t>
            </w:r>
          </w:p>
        </w:tc>
        <w:tc>
          <w:tcPr>
            <w:tcW w:w="2727" w:type="dxa"/>
            <w:tcBorders>
              <w:top w:val="single" w:sz="4" w:space="0" w:color="A6A6A6" w:themeColor="background1" w:themeShade="A6"/>
              <w:bottom w:val="single" w:sz="4" w:space="0" w:color="A6A6A6" w:themeColor="background1" w:themeShade="A6"/>
            </w:tcBorders>
          </w:tcPr>
          <w:p w14:paraId="4BD5949E" w14:textId="77777777" w:rsidR="00232F0B" w:rsidRPr="00A40FD5" w:rsidRDefault="00232F0B" w:rsidP="00B9117B">
            <w:pPr>
              <w:pStyle w:val="TableText"/>
              <w:ind w:right="113"/>
            </w:pPr>
            <w:r w:rsidRPr="00A40FD5">
              <w:t xml:space="preserve">Non-medical 6, </w:t>
            </w:r>
            <w:r>
              <w:t>n</w:t>
            </w:r>
            <w:r w:rsidRPr="00A40FD5">
              <w:t>on-medical 4</w:t>
            </w:r>
          </w:p>
        </w:tc>
        <w:tc>
          <w:tcPr>
            <w:tcW w:w="3355" w:type="dxa"/>
            <w:tcBorders>
              <w:top w:val="single" w:sz="4" w:space="0" w:color="A6A6A6" w:themeColor="background1" w:themeShade="A6"/>
              <w:bottom w:val="single" w:sz="4" w:space="0" w:color="A6A6A6" w:themeColor="background1" w:themeShade="A6"/>
            </w:tcBorders>
          </w:tcPr>
          <w:p w14:paraId="5BB34A56" w14:textId="77777777" w:rsidR="00232F0B" w:rsidRPr="00A40FD5" w:rsidRDefault="00232F0B" w:rsidP="00B9117B">
            <w:pPr>
              <w:pStyle w:val="TableText"/>
              <w:ind w:right="113"/>
            </w:pPr>
            <w:r w:rsidRPr="00A40FD5">
              <w:t xml:space="preserve">Amend </w:t>
            </w:r>
            <w:r>
              <w:t>n</w:t>
            </w:r>
            <w:r w:rsidRPr="00A40FD5">
              <w:t xml:space="preserve">on-medical 6 (and </w:t>
            </w:r>
            <w:r>
              <w:t>n</w:t>
            </w:r>
            <w:r w:rsidRPr="00A40FD5">
              <w:t xml:space="preserve">on-medical 4 if necessary) so this this activity is excluded from </w:t>
            </w:r>
            <w:r>
              <w:t>n</w:t>
            </w:r>
            <w:r w:rsidRPr="00A40FD5">
              <w:t>on</w:t>
            </w:r>
            <w:r w:rsidR="00B9117B">
              <w:noBreakHyphen/>
            </w:r>
            <w:r w:rsidRPr="00A40FD5">
              <w:t>medical</w:t>
            </w:r>
            <w:r w:rsidR="00B9117B">
              <w:t> </w:t>
            </w:r>
            <w:r w:rsidRPr="00A40FD5">
              <w:t>6</w:t>
            </w:r>
            <w:r>
              <w:t>.</w:t>
            </w:r>
          </w:p>
        </w:tc>
        <w:tc>
          <w:tcPr>
            <w:tcW w:w="3355" w:type="dxa"/>
            <w:tcBorders>
              <w:top w:val="single" w:sz="4" w:space="0" w:color="A6A6A6" w:themeColor="background1" w:themeShade="A6"/>
              <w:bottom w:val="single" w:sz="4" w:space="0" w:color="A6A6A6" w:themeColor="background1" w:themeShade="A6"/>
            </w:tcBorders>
          </w:tcPr>
          <w:p w14:paraId="0837B663" w14:textId="77777777" w:rsidR="0087667B" w:rsidRDefault="00232F0B" w:rsidP="00B9117B">
            <w:pPr>
              <w:pStyle w:val="TableText"/>
              <w:ind w:right="113"/>
            </w:pPr>
            <w:r w:rsidRPr="00A40FD5">
              <w:t>Non-medical human imaging for security purposes becomes only subject to the non-medical 4</w:t>
            </w:r>
            <w:r>
              <w:t>.</w:t>
            </w:r>
          </w:p>
          <w:p w14:paraId="5C5CB214" w14:textId="77777777" w:rsidR="00232F0B" w:rsidRPr="00A40FD5" w:rsidRDefault="00232F0B" w:rsidP="00B9117B">
            <w:pPr>
              <w:pStyle w:val="TableText"/>
              <w:ind w:right="113"/>
            </w:pPr>
            <w:r w:rsidRPr="00A40FD5">
              <w:t>The very high emphasis on justification required to obtain a source licence for this activity will remain</w:t>
            </w:r>
            <w:r>
              <w:t>.</w:t>
            </w:r>
          </w:p>
        </w:tc>
        <w:tc>
          <w:tcPr>
            <w:tcW w:w="3355" w:type="dxa"/>
            <w:tcBorders>
              <w:top w:val="single" w:sz="4" w:space="0" w:color="A6A6A6" w:themeColor="background1" w:themeShade="A6"/>
              <w:bottom w:val="single" w:sz="4" w:space="0" w:color="A6A6A6" w:themeColor="background1" w:themeShade="A6"/>
            </w:tcBorders>
          </w:tcPr>
          <w:p w14:paraId="6B28995B" w14:textId="77777777" w:rsidR="00232F0B" w:rsidRPr="00A40FD5" w:rsidRDefault="00232F0B" w:rsidP="00011AC0">
            <w:pPr>
              <w:pStyle w:val="TableText"/>
            </w:pPr>
            <w:r w:rsidRPr="00A40FD5">
              <w:t>Appropriate inspection frequency of every three years and proposed annual source licence fee of $1,092 or $1,328</w:t>
            </w:r>
            <w:r>
              <w:t>.</w:t>
            </w:r>
          </w:p>
        </w:tc>
      </w:tr>
      <w:tr w:rsidR="00232F0B" w:rsidRPr="00A40FD5" w14:paraId="62CE3027" w14:textId="77777777" w:rsidTr="00B9117B">
        <w:trPr>
          <w:cantSplit/>
        </w:trPr>
        <w:tc>
          <w:tcPr>
            <w:tcW w:w="1809" w:type="dxa"/>
            <w:tcBorders>
              <w:top w:val="single" w:sz="4" w:space="0" w:color="A6A6A6" w:themeColor="background1" w:themeShade="A6"/>
              <w:bottom w:val="single" w:sz="4" w:space="0" w:color="A6A6A6" w:themeColor="background1" w:themeShade="A6"/>
            </w:tcBorders>
          </w:tcPr>
          <w:p w14:paraId="294445AD" w14:textId="77777777" w:rsidR="00232F0B" w:rsidRPr="00A40FD5" w:rsidRDefault="00232F0B" w:rsidP="00B9117B">
            <w:pPr>
              <w:pStyle w:val="TableText"/>
              <w:ind w:right="113"/>
            </w:pPr>
            <w:r w:rsidRPr="00A40FD5">
              <w:t>Control or management of linear accelerator</w:t>
            </w:r>
            <w:r w:rsidR="00011AC0">
              <w:t>s</w:t>
            </w:r>
            <w:r w:rsidR="00011AC0">
              <w:rPr>
                <w:vertAlign w:val="superscript"/>
              </w:rPr>
              <w:t>3</w:t>
            </w:r>
            <w:r w:rsidR="00011AC0">
              <w:t xml:space="preserve"> </w:t>
            </w:r>
            <w:r w:rsidRPr="00A40FD5">
              <w:t>for non-medical use</w:t>
            </w:r>
          </w:p>
        </w:tc>
        <w:tc>
          <w:tcPr>
            <w:tcW w:w="2727" w:type="dxa"/>
            <w:tcBorders>
              <w:top w:val="single" w:sz="4" w:space="0" w:color="A6A6A6" w:themeColor="background1" w:themeShade="A6"/>
              <w:bottom w:val="single" w:sz="4" w:space="0" w:color="A6A6A6" w:themeColor="background1" w:themeShade="A6"/>
            </w:tcBorders>
          </w:tcPr>
          <w:p w14:paraId="3B31CF38" w14:textId="77777777" w:rsidR="00232F0B" w:rsidRPr="00A40FD5" w:rsidRDefault="00232F0B" w:rsidP="00B9117B">
            <w:pPr>
              <w:pStyle w:val="TableText"/>
              <w:ind w:right="113"/>
            </w:pPr>
            <w:r w:rsidRPr="00A40FD5">
              <w:t xml:space="preserve">Non-medical 6, </w:t>
            </w:r>
            <w:r>
              <w:t>n</w:t>
            </w:r>
            <w:r w:rsidRPr="00A40FD5">
              <w:t xml:space="preserve">on-medical 4 and </w:t>
            </w:r>
            <w:r>
              <w:t>n</w:t>
            </w:r>
            <w:r w:rsidRPr="00A40FD5">
              <w:t>on-medical 3</w:t>
            </w:r>
          </w:p>
        </w:tc>
        <w:tc>
          <w:tcPr>
            <w:tcW w:w="3355" w:type="dxa"/>
            <w:tcBorders>
              <w:top w:val="single" w:sz="4" w:space="0" w:color="A6A6A6" w:themeColor="background1" w:themeShade="A6"/>
              <w:bottom w:val="single" w:sz="4" w:space="0" w:color="A6A6A6" w:themeColor="background1" w:themeShade="A6"/>
            </w:tcBorders>
          </w:tcPr>
          <w:p w14:paraId="00E77B3A" w14:textId="72821E28" w:rsidR="00232F0B" w:rsidRPr="00A40FD5" w:rsidRDefault="00232F0B" w:rsidP="00D472E5">
            <w:pPr>
              <w:pStyle w:val="TableText"/>
              <w:ind w:right="113"/>
            </w:pPr>
            <w:r w:rsidRPr="00A40FD5">
              <w:t xml:space="preserve">Amend </w:t>
            </w:r>
            <w:r>
              <w:t>n</w:t>
            </w:r>
            <w:r w:rsidRPr="00A40FD5">
              <w:t xml:space="preserve">on-medical 6 and </w:t>
            </w:r>
            <w:r>
              <w:t>n</w:t>
            </w:r>
            <w:r w:rsidRPr="00A40FD5">
              <w:t>on</w:t>
            </w:r>
            <w:r w:rsidR="00D472E5">
              <w:noBreakHyphen/>
            </w:r>
            <w:r w:rsidRPr="00A40FD5">
              <w:t xml:space="preserve">medical 4 so that control or management of linear accelerators for non-medical use becomes subject to the </w:t>
            </w:r>
            <w:r>
              <w:t>n</w:t>
            </w:r>
            <w:r w:rsidRPr="00A40FD5">
              <w:t>on-medical 3 category</w:t>
            </w:r>
            <w:r>
              <w:t>.</w:t>
            </w:r>
          </w:p>
        </w:tc>
        <w:tc>
          <w:tcPr>
            <w:tcW w:w="3355" w:type="dxa"/>
            <w:tcBorders>
              <w:top w:val="single" w:sz="4" w:space="0" w:color="A6A6A6" w:themeColor="background1" w:themeShade="A6"/>
              <w:bottom w:val="single" w:sz="4" w:space="0" w:color="A6A6A6" w:themeColor="background1" w:themeShade="A6"/>
            </w:tcBorders>
          </w:tcPr>
          <w:p w14:paraId="4B6F186B" w14:textId="77777777" w:rsidR="00232F0B" w:rsidRPr="00A40FD5" w:rsidRDefault="00232F0B" w:rsidP="00B9117B">
            <w:pPr>
              <w:pStyle w:val="TableText"/>
              <w:ind w:right="113"/>
            </w:pPr>
            <w:r w:rsidRPr="00A40FD5">
              <w:t xml:space="preserve">Non-medical use of linear accelerators would become subject to the </w:t>
            </w:r>
            <w:r>
              <w:t>n</w:t>
            </w:r>
            <w:r w:rsidRPr="00A40FD5">
              <w:t>on</w:t>
            </w:r>
            <w:r w:rsidR="00B9117B">
              <w:noBreakHyphen/>
            </w:r>
            <w:r w:rsidRPr="00A40FD5">
              <w:t>medical 3 category</w:t>
            </w:r>
            <w:r>
              <w:t>.</w:t>
            </w:r>
          </w:p>
        </w:tc>
        <w:tc>
          <w:tcPr>
            <w:tcW w:w="3355" w:type="dxa"/>
            <w:tcBorders>
              <w:top w:val="single" w:sz="4" w:space="0" w:color="A6A6A6" w:themeColor="background1" w:themeShade="A6"/>
              <w:bottom w:val="single" w:sz="4" w:space="0" w:color="A6A6A6" w:themeColor="background1" w:themeShade="A6"/>
            </w:tcBorders>
          </w:tcPr>
          <w:p w14:paraId="00088B21" w14:textId="77777777" w:rsidR="00232F0B" w:rsidRPr="00A40FD5" w:rsidRDefault="00232F0B" w:rsidP="00011AC0">
            <w:pPr>
              <w:pStyle w:val="TableText"/>
            </w:pPr>
            <w:r w:rsidRPr="00A40FD5">
              <w:t>Increased inspection frequency to every two years and proposed annual source licence fee of $1,695 or $1,931</w:t>
            </w:r>
            <w:r>
              <w:t>.</w:t>
            </w:r>
          </w:p>
        </w:tc>
      </w:tr>
    </w:tbl>
    <w:p w14:paraId="1B1A26BB" w14:textId="77777777" w:rsidR="00232F0B" w:rsidRPr="00A40FD5" w:rsidRDefault="00232F0B" w:rsidP="00031E2A">
      <w:pPr>
        <w:pStyle w:val="Note"/>
        <w:rPr>
          <w:u w:val="single"/>
        </w:rPr>
      </w:pPr>
      <w:r w:rsidRPr="00743999">
        <w:t>Notes</w:t>
      </w:r>
    </w:p>
    <w:p w14:paraId="554C9DE3" w14:textId="77777777" w:rsidR="00232F0B" w:rsidRPr="0007453F" w:rsidRDefault="00011AC0" w:rsidP="00031E2A">
      <w:pPr>
        <w:pStyle w:val="Note"/>
        <w:ind w:left="284" w:hanging="284"/>
      </w:pPr>
      <w:r>
        <w:t>1.</w:t>
      </w:r>
      <w:r w:rsidR="00031E2A">
        <w:tab/>
      </w:r>
      <w:r w:rsidR="00232F0B" w:rsidRPr="0007453F">
        <w:t>Cone bean computed tomography (CBCT) is a subset of computed tomography (CT) scanners</w:t>
      </w:r>
      <w:r w:rsidR="00232F0B">
        <w:t>, which</w:t>
      </w:r>
      <w:r w:rsidR="00232F0B" w:rsidRPr="0007453F">
        <w:t xml:space="preserve"> use a cone-shaped X-ray and two-dimensional digital flat-panel detector to yield a three-dimensional volumetric image in one rotation.</w:t>
      </w:r>
    </w:p>
    <w:p w14:paraId="7751F204" w14:textId="7E20DB6E" w:rsidR="00232F0B" w:rsidRPr="0007453F" w:rsidRDefault="00031E2A" w:rsidP="00031E2A">
      <w:pPr>
        <w:pStyle w:val="Note"/>
        <w:ind w:left="284" w:hanging="284"/>
      </w:pPr>
      <w:r>
        <w:t>2.</w:t>
      </w:r>
      <w:r>
        <w:tab/>
      </w:r>
      <w:r w:rsidR="00232F0B" w:rsidRPr="0007453F">
        <w:t xml:space="preserve">A nuclear gauge is a device that contains one or more sealed </w:t>
      </w:r>
      <w:r w:rsidR="00497B68">
        <w:t xml:space="preserve">radiation </w:t>
      </w:r>
      <w:r w:rsidR="00232F0B" w:rsidRPr="0007453F">
        <w:t>sources for purposes other than well logging</w:t>
      </w:r>
      <w:r w:rsidR="00232F0B">
        <w:t>,</w:t>
      </w:r>
      <w:r w:rsidR="00232F0B" w:rsidRPr="0007453F">
        <w:t xml:space="preserve"> such as a nuclear density meter or a fixed industrial gauge.</w:t>
      </w:r>
    </w:p>
    <w:p w14:paraId="1DBE7A84" w14:textId="77777777" w:rsidR="00232F0B" w:rsidRPr="0007453F" w:rsidRDefault="00031E2A" w:rsidP="00031E2A">
      <w:pPr>
        <w:pStyle w:val="Note"/>
        <w:ind w:left="284" w:hanging="284"/>
      </w:pPr>
      <w:r>
        <w:t>3.</w:t>
      </w:r>
      <w:r>
        <w:tab/>
      </w:r>
      <w:r w:rsidR="00232F0B" w:rsidRPr="0007453F">
        <w:t>A linear accelerator is an apparatus where electrons are accelerated following straight trajectories in special evacuated structures called accelerating waveguides.</w:t>
      </w:r>
    </w:p>
    <w:p w14:paraId="2F6EE58F" w14:textId="77777777" w:rsidR="00232F0B" w:rsidRPr="00A40FD5" w:rsidRDefault="00232F0B" w:rsidP="00031E2A"/>
    <w:p w14:paraId="4C695CFD" w14:textId="77777777" w:rsidR="00B9117B" w:rsidRDefault="00B9117B" w:rsidP="00031E2A">
      <w:pPr>
        <w:sectPr w:rsidR="00B9117B" w:rsidSect="00B9117B">
          <w:footerReference w:type="default" r:id="rId26"/>
          <w:pgSz w:w="16834" w:h="11907" w:orient="landscape" w:code="9"/>
          <w:pgMar w:top="1134" w:right="1134" w:bottom="1134" w:left="1134" w:header="284" w:footer="425" w:gutter="0"/>
          <w:cols w:space="720"/>
          <w:docGrid w:linePitch="286"/>
        </w:sectPr>
      </w:pPr>
    </w:p>
    <w:p w14:paraId="01213F0A" w14:textId="77777777" w:rsidR="00232F0B" w:rsidRPr="00B9117B" w:rsidRDefault="00232F0B" w:rsidP="00031E2A">
      <w:pPr>
        <w:rPr>
          <w:iCs/>
          <w:spacing w:val="-2"/>
        </w:rPr>
      </w:pPr>
      <w:r w:rsidRPr="00B9117B">
        <w:rPr>
          <w:spacing w:val="-2"/>
        </w:rPr>
        <w:t xml:space="preserve">The preferred options improve the grading of activities so that the activities included in each compliance monitoring category contain similar levels of risk that require equivalent levels of risk management. </w:t>
      </w:r>
      <w:bookmarkStart w:id="193" w:name="_Hlk82437750"/>
      <w:r w:rsidRPr="00B9117B">
        <w:rPr>
          <w:spacing w:val="-2"/>
        </w:rPr>
        <w:t xml:space="preserve">These </w:t>
      </w:r>
      <w:r w:rsidRPr="00B9117B">
        <w:rPr>
          <w:iCs/>
          <w:spacing w:val="-2"/>
        </w:rPr>
        <w:t>options would also assist the Regulations to better achieve the objectives set out in the 2016 RIS for proportionality and certainty</w:t>
      </w:r>
      <w:bookmarkEnd w:id="193"/>
      <w:r w:rsidRPr="00B9117B">
        <w:rPr>
          <w:iCs/>
          <w:spacing w:val="-2"/>
        </w:rPr>
        <w:t>.</w:t>
      </w:r>
    </w:p>
    <w:p w14:paraId="737C1009" w14:textId="77777777" w:rsidR="00031E2A" w:rsidRPr="00A40FD5" w:rsidRDefault="00031E2A" w:rsidP="00031E2A"/>
    <w:p w14:paraId="79802C51" w14:textId="77777777" w:rsidR="00232F0B" w:rsidRPr="00A40FD5" w:rsidRDefault="00232F0B" w:rsidP="005B5BE2">
      <w:pPr>
        <w:pStyle w:val="Heading3"/>
      </w:pPr>
      <w:bookmarkStart w:id="194" w:name="_Toc83118744"/>
      <w:bookmarkStart w:id="195" w:name="_Toc83130223"/>
      <w:bookmarkStart w:id="196" w:name="_Toc83133492"/>
      <w:r w:rsidRPr="00A40FD5">
        <w:t>Alternative option</w:t>
      </w:r>
      <w:bookmarkEnd w:id="194"/>
      <w:bookmarkEnd w:id="195"/>
      <w:bookmarkEnd w:id="196"/>
    </w:p>
    <w:p w14:paraId="45311F54" w14:textId="77777777" w:rsidR="0087667B" w:rsidRDefault="00232F0B" w:rsidP="00031E2A">
      <w:r>
        <w:t xml:space="preserve">No </w:t>
      </w:r>
      <w:r w:rsidRPr="00A40FD5">
        <w:t>justifiable alternative options</w:t>
      </w:r>
      <w:r>
        <w:t xml:space="preserve"> have been identified</w:t>
      </w:r>
      <w:r w:rsidRPr="00A40FD5">
        <w:t>.</w:t>
      </w:r>
    </w:p>
    <w:p w14:paraId="088BB5C2" w14:textId="77777777" w:rsidR="00232F0B" w:rsidRPr="00A40FD5" w:rsidRDefault="00232F0B" w:rsidP="00031E2A"/>
    <w:p w14:paraId="72C87797" w14:textId="77777777" w:rsidR="00232F0B" w:rsidRPr="00A40FD5" w:rsidRDefault="00232F0B" w:rsidP="005B5BE2">
      <w:pPr>
        <w:pStyle w:val="BoxHeading"/>
      </w:pPr>
      <w:r w:rsidRPr="00A40FD5">
        <w:t>Consultation questions</w:t>
      </w:r>
    </w:p>
    <w:p w14:paraId="0FA0CAD4" w14:textId="072F9C66" w:rsidR="0087667B" w:rsidRDefault="00232F0B" w:rsidP="000409E7">
      <w:pPr>
        <w:pStyle w:val="BoxNumber"/>
      </w:pPr>
      <w:r w:rsidRPr="00A40FD5">
        <w:t xml:space="preserve">Do you agree that the preferred options set out in </w:t>
      </w:r>
      <w:r w:rsidR="00567EDC">
        <w:fldChar w:fldCharType="begin"/>
      </w:r>
      <w:r w:rsidR="00567EDC">
        <w:instrText xml:space="preserve"> REF _Ref87444015 \h </w:instrText>
      </w:r>
      <w:r w:rsidR="00567EDC">
        <w:fldChar w:fldCharType="separate"/>
      </w:r>
      <w:r w:rsidR="003A5600">
        <w:t>Table </w:t>
      </w:r>
      <w:r w:rsidR="003A5600">
        <w:rPr>
          <w:noProof/>
        </w:rPr>
        <w:t>11</w:t>
      </w:r>
      <w:r w:rsidR="00567EDC">
        <w:fldChar w:fldCharType="end"/>
      </w:r>
      <w:r w:rsidR="000409E7">
        <w:t xml:space="preserve"> </w:t>
      </w:r>
      <w:r w:rsidRPr="00A40FD5">
        <w:t>are justifiable?</w:t>
      </w:r>
    </w:p>
    <w:p w14:paraId="2691DAF1" w14:textId="26230C44" w:rsidR="00232F0B" w:rsidRDefault="00232F0B" w:rsidP="000409E7">
      <w:pPr>
        <w:pStyle w:val="BoxNumber"/>
      </w:pPr>
      <w:r w:rsidRPr="00A40FD5">
        <w:t xml:space="preserve">If you do not agree that the preferred options set out in </w:t>
      </w:r>
      <w:r w:rsidR="00567EDC">
        <w:fldChar w:fldCharType="begin"/>
      </w:r>
      <w:r w:rsidR="00567EDC">
        <w:instrText xml:space="preserve"> REF _Ref87444015 \h </w:instrText>
      </w:r>
      <w:r w:rsidR="00567EDC">
        <w:fldChar w:fldCharType="separate"/>
      </w:r>
      <w:r w:rsidR="003A5600">
        <w:t>Table </w:t>
      </w:r>
      <w:r w:rsidR="003A5600">
        <w:rPr>
          <w:noProof/>
        </w:rPr>
        <w:t>11</w:t>
      </w:r>
      <w:r w:rsidR="00567EDC">
        <w:fldChar w:fldCharType="end"/>
      </w:r>
      <w:r w:rsidR="000409E7">
        <w:t xml:space="preserve"> </w:t>
      </w:r>
      <w:r w:rsidRPr="00A40FD5">
        <w:t>are justifiable, please identify your reasons and/or provide an alternative option.</w:t>
      </w:r>
    </w:p>
    <w:p w14:paraId="448924AB" w14:textId="77777777" w:rsidR="00232F0B" w:rsidRPr="00A40FD5" w:rsidRDefault="00232F0B" w:rsidP="00031E2A">
      <w:pPr>
        <w:pStyle w:val="BoxNumber"/>
      </w:pPr>
      <w:r>
        <w:t xml:space="preserve">Do </w:t>
      </w:r>
      <w:r w:rsidRPr="00A40FD5">
        <w:t>you have any further suggestions on</w:t>
      </w:r>
      <w:r>
        <w:t xml:space="preserve"> grading the compliance monitoring categories so that they better reflect the radiation safety risk that needs to be managed?</w:t>
      </w:r>
    </w:p>
    <w:p w14:paraId="5C509B25" w14:textId="77777777" w:rsidR="00232F0B" w:rsidRPr="00A40FD5" w:rsidRDefault="00232F0B" w:rsidP="00031E2A">
      <w:pPr>
        <w:pStyle w:val="BoxNumber"/>
      </w:pPr>
      <w:r w:rsidRPr="00A40FD5">
        <w:t xml:space="preserve">Do you have any further suggestions on </w:t>
      </w:r>
      <w:r>
        <w:t>ways to make</w:t>
      </w:r>
      <w:r w:rsidRPr="00A40FD5">
        <w:t xml:space="preserve"> the Regulations clearer for applicants to determine the fees</w:t>
      </w:r>
      <w:r>
        <w:t xml:space="preserve"> they must pay</w:t>
      </w:r>
      <w:r w:rsidRPr="00A40FD5">
        <w:t>?</w:t>
      </w:r>
    </w:p>
    <w:p w14:paraId="1B5CD148" w14:textId="77777777" w:rsidR="00232F0B" w:rsidRDefault="00232F0B" w:rsidP="00031E2A">
      <w:pPr>
        <w:pStyle w:val="Box"/>
      </w:pPr>
      <w:r w:rsidRPr="00A40FD5">
        <w:t>Please use the submission form to respond to these questions.</w:t>
      </w:r>
    </w:p>
    <w:p w14:paraId="52D56DC7" w14:textId="77777777" w:rsidR="00031E2A" w:rsidRPr="00A40FD5" w:rsidRDefault="00031E2A" w:rsidP="00031E2A"/>
    <w:p w14:paraId="60E15517" w14:textId="77777777" w:rsidR="00232F0B" w:rsidRPr="00A40FD5" w:rsidRDefault="00232F0B" w:rsidP="005B5BE2">
      <w:pPr>
        <w:pStyle w:val="Heading2"/>
      </w:pPr>
      <w:bookmarkStart w:id="197" w:name="_Toc83133493"/>
      <w:bookmarkStart w:id="198" w:name="_Toc89696196"/>
      <w:r w:rsidRPr="00A40FD5">
        <w:t>Determining the source licence fee payable (inspection periods)</w:t>
      </w:r>
      <w:bookmarkEnd w:id="197"/>
      <w:bookmarkEnd w:id="198"/>
    </w:p>
    <w:p w14:paraId="3F8A3F7A" w14:textId="77777777" w:rsidR="00232F0B" w:rsidRPr="00A40FD5" w:rsidRDefault="00232F0B" w:rsidP="005B5BE2">
      <w:pPr>
        <w:pStyle w:val="Heading3"/>
      </w:pPr>
      <w:bookmarkStart w:id="199" w:name="_Toc83118746"/>
      <w:bookmarkStart w:id="200" w:name="_Toc83130225"/>
      <w:bookmarkStart w:id="201" w:name="_Toc83133494"/>
      <w:r w:rsidRPr="00A40FD5">
        <w:t>Background</w:t>
      </w:r>
      <w:bookmarkEnd w:id="199"/>
      <w:bookmarkEnd w:id="200"/>
      <w:bookmarkEnd w:id="201"/>
    </w:p>
    <w:p w14:paraId="35B20948" w14:textId="77777777" w:rsidR="0087667B" w:rsidRDefault="00232F0B" w:rsidP="00031E2A">
      <w:r w:rsidRPr="00A40FD5">
        <w:t xml:space="preserve">Schedule 2 of the Regulations sets out inspection periods in </w:t>
      </w:r>
      <w:r>
        <w:t>c</w:t>
      </w:r>
      <w:r w:rsidRPr="00A40FD5">
        <w:t>olumn 2.</w:t>
      </w:r>
      <w:r>
        <w:t xml:space="preserve"> </w:t>
      </w:r>
      <w:r w:rsidRPr="00A40FD5">
        <w:t>The Act require</w:t>
      </w:r>
      <w:r>
        <w:t>s</w:t>
      </w:r>
      <w:r w:rsidRPr="00A40FD5">
        <w:t xml:space="preserve"> control and management of the activities at each location (and sub</w:t>
      </w:r>
      <w:r>
        <w:t>-</w:t>
      </w:r>
      <w:r w:rsidRPr="00A40FD5">
        <w:t>location) to be established before an application for a source licence (or a renewal) is granted.</w:t>
      </w:r>
      <w:r>
        <w:t xml:space="preserve"> </w:t>
      </w:r>
      <w:r w:rsidRPr="00A40FD5">
        <w:t xml:space="preserve">The inspection period is established by applying </w:t>
      </w:r>
      <w:r>
        <w:t>r</w:t>
      </w:r>
      <w:r w:rsidRPr="00A40FD5">
        <w:t>egulation 16. Regulation 15 also applies to the fees payable for a source licence.</w:t>
      </w:r>
    </w:p>
    <w:p w14:paraId="0A1AE075" w14:textId="77777777" w:rsidR="00232F0B" w:rsidRPr="00A40FD5" w:rsidRDefault="00232F0B" w:rsidP="00031E2A"/>
    <w:p w14:paraId="44219F0D" w14:textId="32A52339" w:rsidR="00B9117B" w:rsidRDefault="00232F0B" w:rsidP="00031E2A">
      <w:r w:rsidRPr="00A40FD5">
        <w:t xml:space="preserve">The use of the term </w:t>
      </w:r>
      <w:r w:rsidR="0087667B">
        <w:t>‘</w:t>
      </w:r>
      <w:r w:rsidRPr="00A40FD5">
        <w:t>inspection period</w:t>
      </w:r>
      <w:r w:rsidR="0087667B">
        <w:t>’</w:t>
      </w:r>
      <w:r w:rsidRPr="00A40FD5">
        <w:t xml:space="preserve"> and its application in regulation</w:t>
      </w:r>
      <w:r w:rsidR="00D472E5">
        <w:t> </w:t>
      </w:r>
      <w:r w:rsidRPr="00A40FD5">
        <w:t xml:space="preserve">16 and </w:t>
      </w:r>
      <w:r>
        <w:t>s</w:t>
      </w:r>
      <w:r w:rsidRPr="00A40FD5">
        <w:t>chedule</w:t>
      </w:r>
      <w:r w:rsidR="00D472E5">
        <w:t> </w:t>
      </w:r>
      <w:r w:rsidRPr="00A40FD5">
        <w:t xml:space="preserve">2 of the Regulations can be complicated. Further, the use of the term </w:t>
      </w:r>
      <w:r w:rsidR="0087667B">
        <w:t>‘</w:t>
      </w:r>
      <w:r w:rsidRPr="00A40FD5">
        <w:t>inspection</w:t>
      </w:r>
      <w:r w:rsidR="0087667B">
        <w:t>’</w:t>
      </w:r>
      <w:r w:rsidRPr="00A40FD5">
        <w:t xml:space="preserve"> has been interpreted as meaning that on-site inspections are the only </w:t>
      </w:r>
      <w:r>
        <w:t>way</w:t>
      </w:r>
      <w:r w:rsidRPr="00A40FD5">
        <w:t xml:space="preserve"> of ascertaining compliance with the radiation safety requirements. The Regulations </w:t>
      </w:r>
      <w:r>
        <w:t>could</w:t>
      </w:r>
      <w:r w:rsidRPr="00A40FD5">
        <w:t xml:space="preserve"> be clearer in setting out the fees payable. </w:t>
      </w:r>
      <w:r>
        <w:t>F</w:t>
      </w:r>
      <w:r w:rsidRPr="00A40FD5">
        <w:t xml:space="preserve">urther use </w:t>
      </w:r>
      <w:r>
        <w:t xml:space="preserve">could be made </w:t>
      </w:r>
      <w:r w:rsidRPr="00A40FD5">
        <w:t>of other provisions in the Act, such as the Director</w:t>
      </w:r>
      <w:r w:rsidR="0087667B">
        <w:t>’</w:t>
      </w:r>
      <w:r w:rsidRPr="00A40FD5">
        <w:t>s powers to request information through applications (section</w:t>
      </w:r>
      <w:r w:rsidR="00D472E5">
        <w:t> </w:t>
      </w:r>
      <w:r w:rsidRPr="00A40FD5">
        <w:t>29(1) of the Act), registrations (section</w:t>
      </w:r>
      <w:r w:rsidR="00D472E5">
        <w:t> </w:t>
      </w:r>
      <w:r w:rsidRPr="00A40FD5">
        <w:t>32(f)) and record keeping</w:t>
      </w:r>
    </w:p>
    <w:p w14:paraId="58DF988D" w14:textId="1D1891CA" w:rsidR="0087667B" w:rsidRDefault="00232F0B" w:rsidP="00B9117B">
      <w:pPr>
        <w:keepLines/>
      </w:pPr>
      <w:r w:rsidRPr="00A40FD5">
        <w:t>(section</w:t>
      </w:r>
      <w:r w:rsidR="00D472E5">
        <w:t> </w:t>
      </w:r>
      <w:r w:rsidRPr="00A40FD5">
        <w:t xml:space="preserve">35(1)), to gather information that may </w:t>
      </w:r>
      <w:r>
        <w:t>help</w:t>
      </w:r>
      <w:r w:rsidRPr="00A40FD5">
        <w:t xml:space="preserve"> eas</w:t>
      </w:r>
      <w:r>
        <w:t>e</w:t>
      </w:r>
      <w:r w:rsidRPr="00A40FD5">
        <w:t xml:space="preserve"> the burden of on-site inspections where it can </w:t>
      </w:r>
      <w:r>
        <w:t xml:space="preserve">be </w:t>
      </w:r>
      <w:r w:rsidRPr="00A40FD5">
        <w:t>ascertained that no (on-site) inspection can be put in place (see regulation 19(b) and section 19(3) of the Act) with little to no reduction in radiation safety.</w:t>
      </w:r>
    </w:p>
    <w:p w14:paraId="14EC4978" w14:textId="77777777" w:rsidR="00232F0B" w:rsidRDefault="00232F0B" w:rsidP="00031E2A"/>
    <w:p w14:paraId="47CB37D1" w14:textId="77777777" w:rsidR="0087667B" w:rsidRDefault="00232F0B" w:rsidP="00031E2A">
      <w:r w:rsidRPr="00A40FD5">
        <w:t xml:space="preserve">The option of no inspection </w:t>
      </w:r>
      <w:r>
        <w:t>would continue to exist for</w:t>
      </w:r>
      <w:r w:rsidRPr="00A40FD5">
        <w:t xml:space="preserve"> exceptional situation</w:t>
      </w:r>
      <w:r>
        <w:t>s,</w:t>
      </w:r>
      <w:r w:rsidRPr="00A40FD5">
        <w:t xml:space="preserve"> </w:t>
      </w:r>
      <w:r>
        <w:t>to be used</w:t>
      </w:r>
      <w:r w:rsidRPr="00A40FD5">
        <w:t xml:space="preserve"> when appropriate.</w:t>
      </w:r>
    </w:p>
    <w:p w14:paraId="5A2921BE" w14:textId="77777777" w:rsidR="00232F0B" w:rsidRPr="00A40FD5" w:rsidRDefault="00232F0B" w:rsidP="00031E2A"/>
    <w:p w14:paraId="77006789" w14:textId="77777777" w:rsidR="0087667B" w:rsidRDefault="00232F0B" w:rsidP="00031E2A">
      <w:r>
        <w:t>There are no</w:t>
      </w:r>
      <w:r w:rsidRPr="00A40FD5">
        <w:t xml:space="preserve"> significant cost savings in regulating without on-site inspections.</w:t>
      </w:r>
      <w:r>
        <w:t xml:space="preserve"> </w:t>
      </w:r>
      <w:r w:rsidRPr="00A40FD5">
        <w:t xml:space="preserve">Records, information and verification </w:t>
      </w:r>
      <w:r>
        <w:t>would</w:t>
      </w:r>
      <w:r w:rsidRPr="00A40FD5">
        <w:t xml:space="preserve"> still be required to a level equivalent to an on-site inspection, for which the source licence holder would still be required to produce and provide.</w:t>
      </w:r>
      <w:r>
        <w:t xml:space="preserve"> </w:t>
      </w:r>
      <w:r w:rsidRPr="00A40FD5">
        <w:t>Marginal reductions in inspectorate travel and accommodation costs may occur, but all other compliance verification costs would remain.</w:t>
      </w:r>
    </w:p>
    <w:p w14:paraId="6590FA17" w14:textId="77777777" w:rsidR="00232F0B" w:rsidRPr="00A40FD5" w:rsidRDefault="00232F0B" w:rsidP="00031E2A"/>
    <w:p w14:paraId="05D71FFF" w14:textId="77777777" w:rsidR="0087667B" w:rsidRPr="00B9117B" w:rsidRDefault="00232F0B" w:rsidP="00031E2A">
      <w:pPr>
        <w:rPr>
          <w:spacing w:val="-2"/>
        </w:rPr>
      </w:pPr>
      <w:r w:rsidRPr="00B9117B">
        <w:rPr>
          <w:spacing w:val="-2"/>
        </w:rPr>
        <w:t>Regardless of any amendments made to determining the source licence fees payable, on-site inspections are expected to continue to be the cornerstone of verifying compliance with the requirements of the Act in accordance with international guidelines.</w:t>
      </w:r>
    </w:p>
    <w:p w14:paraId="28F332BC" w14:textId="77777777" w:rsidR="00232F0B" w:rsidRPr="00A40FD5" w:rsidRDefault="00232F0B" w:rsidP="00031E2A"/>
    <w:p w14:paraId="14EE1983" w14:textId="77777777" w:rsidR="00232F0B" w:rsidRPr="00A40FD5" w:rsidRDefault="00232F0B" w:rsidP="005B5BE2">
      <w:pPr>
        <w:pStyle w:val="Heading3"/>
      </w:pPr>
      <w:bookmarkStart w:id="202" w:name="_Toc83118747"/>
      <w:bookmarkStart w:id="203" w:name="_Toc83130226"/>
      <w:bookmarkStart w:id="204" w:name="_Toc83133495"/>
      <w:r w:rsidRPr="00A40FD5">
        <w:t>Status quo option</w:t>
      </w:r>
      <w:bookmarkEnd w:id="202"/>
      <w:bookmarkEnd w:id="203"/>
      <w:bookmarkEnd w:id="204"/>
    </w:p>
    <w:p w14:paraId="0D556772" w14:textId="77777777" w:rsidR="0087667B" w:rsidRPr="00B9117B" w:rsidRDefault="00232F0B" w:rsidP="00031E2A">
      <w:pPr>
        <w:rPr>
          <w:spacing w:val="-2"/>
        </w:rPr>
      </w:pPr>
      <w:r w:rsidRPr="00B9117B">
        <w:rPr>
          <w:spacing w:val="-2"/>
        </w:rPr>
        <w:t>The Ministry is comfortable that the status quo option to retain the existing provisions for determining the source licence fee payable meets the objectives of the safety purposes of the Act. However, the ease of administration objective of the 2016 RIS on the Regulations could be better met by making the provisions on determining the source licence fees payable easier to use. Therefore, the status quo option is not justifiable.</w:t>
      </w:r>
    </w:p>
    <w:p w14:paraId="206E4460" w14:textId="77777777" w:rsidR="00232F0B" w:rsidRDefault="00232F0B" w:rsidP="00031E2A"/>
    <w:p w14:paraId="4141E70C" w14:textId="77777777" w:rsidR="00232F0B" w:rsidRPr="00A40FD5" w:rsidRDefault="00232F0B" w:rsidP="005B5BE2">
      <w:pPr>
        <w:pStyle w:val="Heading3"/>
      </w:pPr>
      <w:bookmarkStart w:id="205" w:name="_Toc83118748"/>
      <w:bookmarkStart w:id="206" w:name="_Toc83130227"/>
      <w:bookmarkStart w:id="207" w:name="_Toc83133496"/>
      <w:r w:rsidRPr="00A40FD5">
        <w:t>Preferred option</w:t>
      </w:r>
      <w:bookmarkEnd w:id="205"/>
      <w:bookmarkEnd w:id="206"/>
      <w:bookmarkEnd w:id="207"/>
    </w:p>
    <w:p w14:paraId="18499ED7" w14:textId="77777777" w:rsidR="00232F0B" w:rsidRDefault="00232F0B" w:rsidP="00031E2A">
      <w:pPr>
        <w:rPr>
          <w:iCs/>
        </w:rPr>
      </w:pPr>
      <w:r w:rsidRPr="00A40FD5">
        <w:t xml:space="preserve">The preferred option is to remove </w:t>
      </w:r>
      <w:r>
        <w:t>c</w:t>
      </w:r>
      <w:r w:rsidRPr="00A40FD5">
        <w:t xml:space="preserve">olumn 2 of </w:t>
      </w:r>
      <w:r>
        <w:t>s</w:t>
      </w:r>
      <w:r w:rsidRPr="00A40FD5">
        <w:t>chedule 2 of the Regulations (</w:t>
      </w:r>
      <w:r w:rsidR="0087667B">
        <w:t>‘</w:t>
      </w:r>
      <w:r w:rsidRPr="00A40FD5">
        <w:t>Inspection period (years)</w:t>
      </w:r>
      <w:r w:rsidR="0087667B">
        <w:t>’</w:t>
      </w:r>
      <w:r w:rsidRPr="00A40FD5">
        <w:t>) and replace the references with the fee payable.</w:t>
      </w:r>
      <w:r>
        <w:t xml:space="preserve"> </w:t>
      </w:r>
      <w:r w:rsidRPr="00A40FD5">
        <w:t>This would create a transparent table of fees and make the Regulations easier to use.</w:t>
      </w:r>
      <w:r>
        <w:t xml:space="preserve"> </w:t>
      </w:r>
      <w:r w:rsidRPr="00A40FD5">
        <w:t xml:space="preserve">This option would require suitable consequential amendments to </w:t>
      </w:r>
      <w:r>
        <w:t>r</w:t>
      </w:r>
      <w:r w:rsidRPr="00A40FD5">
        <w:t>egulations 15 and 16 so that the establishment of locations and sublocations from which control and management of radiation sources is achieved can remain intact and unaltered.</w:t>
      </w:r>
      <w:r>
        <w:t xml:space="preserve"> This </w:t>
      </w:r>
      <w:r>
        <w:rPr>
          <w:iCs/>
        </w:rPr>
        <w:t>option would also help the Regulations better achieve the objectives set out in the 2016 RIS on certainty and ease of administration.</w:t>
      </w:r>
    </w:p>
    <w:p w14:paraId="5B5F4BA9" w14:textId="77777777" w:rsidR="00232F0B" w:rsidRPr="00A40FD5" w:rsidRDefault="00232F0B" w:rsidP="00031E2A"/>
    <w:p w14:paraId="71E67D04" w14:textId="77777777" w:rsidR="00232F0B" w:rsidRPr="00A40FD5" w:rsidRDefault="00232F0B" w:rsidP="005B5BE2">
      <w:pPr>
        <w:pStyle w:val="Heading3"/>
      </w:pPr>
      <w:bookmarkStart w:id="208" w:name="_Toc83118749"/>
      <w:bookmarkStart w:id="209" w:name="_Toc83130228"/>
      <w:bookmarkStart w:id="210" w:name="_Toc83133497"/>
      <w:r w:rsidRPr="00A40FD5">
        <w:t>Alternative option</w:t>
      </w:r>
      <w:bookmarkEnd w:id="208"/>
      <w:bookmarkEnd w:id="209"/>
      <w:bookmarkEnd w:id="210"/>
    </w:p>
    <w:p w14:paraId="3256EE80" w14:textId="77777777" w:rsidR="0087667B" w:rsidRDefault="00232F0B" w:rsidP="00031E2A">
      <w:r w:rsidRPr="00A40FD5">
        <w:t>The existing Regulations effectively establish the fee payable.</w:t>
      </w:r>
      <w:r>
        <w:t xml:space="preserve"> </w:t>
      </w:r>
      <w:r w:rsidRPr="00A40FD5">
        <w:t>Therefore, an alternative option is to retain the current construction for determining the source licence fees payable.</w:t>
      </w:r>
      <w:r>
        <w:t xml:space="preserve"> </w:t>
      </w:r>
      <w:r w:rsidRPr="00A40FD5">
        <w:t xml:space="preserve">However, it is proposed that the term </w:t>
      </w:r>
      <w:r w:rsidR="0087667B">
        <w:t>‘</w:t>
      </w:r>
      <w:r w:rsidRPr="00A40FD5">
        <w:t>inspection</w:t>
      </w:r>
      <w:r>
        <w:t xml:space="preserve"> </w:t>
      </w:r>
      <w:r w:rsidRPr="00A40FD5">
        <w:t>period</w:t>
      </w:r>
      <w:r w:rsidR="0087667B">
        <w:t>’</w:t>
      </w:r>
      <w:r w:rsidRPr="00A40FD5">
        <w:t xml:space="preserve"> </w:t>
      </w:r>
      <w:r>
        <w:t>be</w:t>
      </w:r>
      <w:r w:rsidRPr="00A40FD5">
        <w:t xml:space="preserve"> replaced with </w:t>
      </w:r>
      <w:r w:rsidR="0087667B">
        <w:t>‘</w:t>
      </w:r>
      <w:r w:rsidRPr="00A40FD5">
        <w:rPr>
          <w:b/>
          <w:bCs/>
        </w:rPr>
        <w:t>compliance verification</w:t>
      </w:r>
      <w:r w:rsidRPr="00A40FD5">
        <w:t xml:space="preserve"> period</w:t>
      </w:r>
      <w:r w:rsidR="0087667B">
        <w:t>’</w:t>
      </w:r>
      <w:r w:rsidRPr="00A40FD5">
        <w:t xml:space="preserve"> because this better allows all the Act</w:t>
      </w:r>
      <w:r w:rsidR="0087667B">
        <w:t>’</w:t>
      </w:r>
      <w:r>
        <w:t>s</w:t>
      </w:r>
      <w:r w:rsidRPr="00A40FD5">
        <w:t xml:space="preserve"> provisions to be used in ascertaining compliance with the Act.</w:t>
      </w:r>
    </w:p>
    <w:p w14:paraId="4C087BA4" w14:textId="77777777" w:rsidR="00232F0B" w:rsidRPr="00A40FD5" w:rsidRDefault="00232F0B" w:rsidP="00031E2A"/>
    <w:p w14:paraId="7C7C25EE" w14:textId="77777777" w:rsidR="0087667B" w:rsidRDefault="00232F0B" w:rsidP="005B5BE2">
      <w:pPr>
        <w:pStyle w:val="BoxHeading"/>
      </w:pPr>
      <w:r w:rsidRPr="00A40FD5">
        <w:t>Consultation questions</w:t>
      </w:r>
    </w:p>
    <w:p w14:paraId="41C8161E" w14:textId="77777777" w:rsidR="0087667B" w:rsidRDefault="00232F0B" w:rsidP="00031E2A">
      <w:pPr>
        <w:pStyle w:val="BoxNumber"/>
      </w:pPr>
      <w:r w:rsidRPr="00A40FD5">
        <w:t xml:space="preserve">Do you agree with the preferred option to remove </w:t>
      </w:r>
      <w:r>
        <w:t>c</w:t>
      </w:r>
      <w:r w:rsidRPr="00A40FD5">
        <w:t xml:space="preserve">olumn 2 of </w:t>
      </w:r>
      <w:r>
        <w:t>s</w:t>
      </w:r>
      <w:r w:rsidRPr="00A40FD5">
        <w:t>chedule 2 of the Regulations (</w:t>
      </w:r>
      <w:r w:rsidR="0087667B">
        <w:t>‘</w:t>
      </w:r>
      <w:r w:rsidRPr="00A40FD5">
        <w:t>Inspection period (years)</w:t>
      </w:r>
      <w:r w:rsidR="0087667B">
        <w:t>’</w:t>
      </w:r>
      <w:r w:rsidRPr="00A40FD5">
        <w:t>) and replace the references with the fees payable (with suitable consequential amendments to ensure that the function of regulation</w:t>
      </w:r>
      <w:r>
        <w:t>s 15 and</w:t>
      </w:r>
      <w:r w:rsidRPr="00A40FD5">
        <w:t xml:space="preserve"> 16 remain intact and unaltered)?</w:t>
      </w:r>
    </w:p>
    <w:p w14:paraId="34056413" w14:textId="77777777" w:rsidR="00232F0B" w:rsidRPr="00A40FD5" w:rsidRDefault="00232F0B" w:rsidP="00031E2A">
      <w:pPr>
        <w:pStyle w:val="BoxNumber"/>
      </w:pPr>
      <w:r w:rsidRPr="00A40FD5">
        <w:t xml:space="preserve">If you do not agree with the preferred option to remove </w:t>
      </w:r>
      <w:r>
        <w:t>c</w:t>
      </w:r>
      <w:r w:rsidRPr="00A40FD5">
        <w:t xml:space="preserve">olumn 2 of </w:t>
      </w:r>
      <w:r>
        <w:t>s</w:t>
      </w:r>
      <w:r w:rsidRPr="00A40FD5">
        <w:t>chedule 2 of the Regulations (</w:t>
      </w:r>
      <w:r w:rsidR="0087667B">
        <w:t>‘</w:t>
      </w:r>
      <w:r w:rsidRPr="00A40FD5">
        <w:t>Inspection period (years)</w:t>
      </w:r>
      <w:r w:rsidR="0087667B">
        <w:t>’</w:t>
      </w:r>
      <w:r w:rsidRPr="00A40FD5">
        <w:t>) and replace the references with the fees payable (with suitable consequential amendments to ensure that the function of regulation</w:t>
      </w:r>
      <w:r>
        <w:t>s 15 and</w:t>
      </w:r>
      <w:r w:rsidRPr="00A40FD5">
        <w:t xml:space="preserve"> 16 remain intact and unaltered), please identify your reasons and/or provide an alternative option.</w:t>
      </w:r>
    </w:p>
    <w:p w14:paraId="4DDD0B50" w14:textId="77777777" w:rsidR="00232F0B" w:rsidRPr="00A40FD5" w:rsidRDefault="00232F0B" w:rsidP="00031E2A">
      <w:pPr>
        <w:pStyle w:val="BoxNumber"/>
      </w:pPr>
      <w:r w:rsidRPr="00A40FD5">
        <w:t xml:space="preserve">Do you agree with the alternative option to amend the term </w:t>
      </w:r>
      <w:r w:rsidR="0087667B">
        <w:t>‘</w:t>
      </w:r>
      <w:r w:rsidRPr="00A40FD5">
        <w:t>inspection period</w:t>
      </w:r>
      <w:r w:rsidR="0087667B">
        <w:t>’</w:t>
      </w:r>
      <w:r w:rsidRPr="00A40FD5">
        <w:t xml:space="preserve"> to </w:t>
      </w:r>
      <w:r w:rsidR="0087667B">
        <w:t>‘</w:t>
      </w:r>
      <w:r w:rsidRPr="00A40FD5">
        <w:t xml:space="preserve">compliance </w:t>
      </w:r>
      <w:r>
        <w:t>verification</w:t>
      </w:r>
      <w:r w:rsidRPr="00A40FD5">
        <w:t xml:space="preserve"> period</w:t>
      </w:r>
      <w:r w:rsidR="0087667B">
        <w:t>’</w:t>
      </w:r>
      <w:r w:rsidRPr="00A40FD5">
        <w:t xml:space="preserve"> in regulation 16 and Schedule 2 of the Regulations?</w:t>
      </w:r>
    </w:p>
    <w:p w14:paraId="3407D0CF" w14:textId="77777777" w:rsidR="0087667B" w:rsidRDefault="00232F0B" w:rsidP="00031E2A">
      <w:pPr>
        <w:pStyle w:val="BoxNumber"/>
      </w:pPr>
      <w:r w:rsidRPr="00A40FD5">
        <w:t xml:space="preserve">If you do not agree with the alternative option to amend the term </w:t>
      </w:r>
      <w:r w:rsidR="0087667B">
        <w:t>‘</w:t>
      </w:r>
      <w:r w:rsidRPr="00A40FD5">
        <w:t>inspection period</w:t>
      </w:r>
      <w:r w:rsidR="0087667B">
        <w:t>’</w:t>
      </w:r>
      <w:r w:rsidRPr="00A40FD5">
        <w:t xml:space="preserve"> to </w:t>
      </w:r>
      <w:r w:rsidR="0087667B">
        <w:t>‘</w:t>
      </w:r>
      <w:r w:rsidRPr="00A40FD5">
        <w:t xml:space="preserve">compliance </w:t>
      </w:r>
      <w:r>
        <w:t>verification</w:t>
      </w:r>
      <w:r w:rsidRPr="00A40FD5">
        <w:t xml:space="preserve"> period</w:t>
      </w:r>
      <w:r w:rsidR="0087667B">
        <w:t>’</w:t>
      </w:r>
      <w:r w:rsidRPr="00A40FD5">
        <w:t xml:space="preserve"> in regulation 16 and </w:t>
      </w:r>
      <w:r>
        <w:t>s</w:t>
      </w:r>
      <w:r w:rsidRPr="00A40FD5">
        <w:t>chedule 2 of the Regulations, please identify your reasons and/or provide an alternative option.</w:t>
      </w:r>
    </w:p>
    <w:p w14:paraId="2AE25963" w14:textId="77777777" w:rsidR="0087667B" w:rsidRDefault="00232F0B" w:rsidP="00031E2A">
      <w:pPr>
        <w:pStyle w:val="BoxNumber"/>
      </w:pPr>
      <w:r w:rsidRPr="00A40FD5">
        <w:t>Do you prefer the status quo option of no change?</w:t>
      </w:r>
      <w:r>
        <w:t xml:space="preserve"> </w:t>
      </w:r>
      <w:r w:rsidRPr="00A40FD5">
        <w:t>If so, please explain your reasons.</w:t>
      </w:r>
    </w:p>
    <w:p w14:paraId="488BE9AE" w14:textId="77777777" w:rsidR="00232F0B" w:rsidRPr="00A40FD5" w:rsidRDefault="00232F0B" w:rsidP="00031E2A">
      <w:pPr>
        <w:pStyle w:val="BoxNumber"/>
      </w:pPr>
      <w:r w:rsidRPr="00A40FD5">
        <w:t>Do you have any further suggestions on making the Regulations clearer for applicants to determine the fees they must pay?</w:t>
      </w:r>
    </w:p>
    <w:p w14:paraId="3A909353" w14:textId="77777777" w:rsidR="00232F0B" w:rsidRPr="00A40FD5" w:rsidRDefault="00232F0B" w:rsidP="00031E2A">
      <w:pPr>
        <w:pStyle w:val="Box"/>
      </w:pPr>
      <w:r w:rsidRPr="00A40FD5">
        <w:t>Please use the submission form to respond to these questions.</w:t>
      </w:r>
    </w:p>
    <w:p w14:paraId="5770AC32" w14:textId="77777777" w:rsidR="00232F0B" w:rsidRPr="00A40FD5" w:rsidRDefault="00232F0B" w:rsidP="00031E2A"/>
    <w:p w14:paraId="188ADA3A" w14:textId="77777777" w:rsidR="0087667B" w:rsidRDefault="00232F0B" w:rsidP="005B5BE2">
      <w:pPr>
        <w:pStyle w:val="Heading1"/>
      </w:pPr>
      <w:bookmarkStart w:id="211" w:name="_Toc83133498"/>
      <w:bookmarkStart w:id="212" w:name="_Toc89696197"/>
      <w:r w:rsidRPr="00A40FD5">
        <w:t>Proposed new fees</w:t>
      </w:r>
      <w:bookmarkEnd w:id="211"/>
      <w:bookmarkEnd w:id="212"/>
    </w:p>
    <w:p w14:paraId="21E2914E" w14:textId="77777777" w:rsidR="0087667B" w:rsidRDefault="00232F0B" w:rsidP="005B5BE2">
      <w:pPr>
        <w:pStyle w:val="Heading2"/>
      </w:pPr>
      <w:bookmarkStart w:id="213" w:name="_Toc83133499"/>
      <w:bookmarkStart w:id="214" w:name="_Toc89696198"/>
      <w:r w:rsidRPr="00A40FD5">
        <w:t>Proposed new source licence fees</w:t>
      </w:r>
      <w:bookmarkEnd w:id="213"/>
      <w:bookmarkEnd w:id="214"/>
    </w:p>
    <w:p w14:paraId="0BED1396" w14:textId="77777777" w:rsidR="00232F0B" w:rsidRPr="00A40FD5" w:rsidRDefault="00232F0B" w:rsidP="005B5BE2">
      <w:pPr>
        <w:pStyle w:val="Heading3"/>
      </w:pPr>
      <w:bookmarkStart w:id="215" w:name="_Toc74583496"/>
      <w:bookmarkStart w:id="216" w:name="_Toc75349263"/>
      <w:bookmarkStart w:id="217" w:name="_Toc83118752"/>
      <w:bookmarkStart w:id="218" w:name="_Toc83130231"/>
      <w:bookmarkStart w:id="219" w:name="_Toc83133500"/>
      <w:r w:rsidRPr="00A40FD5">
        <w:t>Background</w:t>
      </w:r>
      <w:bookmarkEnd w:id="215"/>
      <w:bookmarkEnd w:id="216"/>
      <w:bookmarkEnd w:id="217"/>
      <w:bookmarkEnd w:id="218"/>
      <w:bookmarkEnd w:id="219"/>
    </w:p>
    <w:p w14:paraId="21152874" w14:textId="77777777" w:rsidR="0087667B" w:rsidRDefault="00232F0B" w:rsidP="00031E2A">
      <w:r w:rsidRPr="00A40FD5">
        <w:t>The fees payable for each location (or sub-location) from which the applicant will manage or control the radiation sources under a source licence are set out in regulations 15 and 16.</w:t>
      </w:r>
      <w:r>
        <w:t xml:space="preserve"> </w:t>
      </w:r>
      <w:r w:rsidRPr="00A40FD5">
        <w:t>Schedule 2 of the Regulations also applies.</w:t>
      </w:r>
    </w:p>
    <w:p w14:paraId="43BD9E24" w14:textId="77777777" w:rsidR="00232F0B" w:rsidRPr="00A40FD5" w:rsidRDefault="00232F0B" w:rsidP="00031E2A"/>
    <w:p w14:paraId="5C68A72A" w14:textId="77777777" w:rsidR="0087667B" w:rsidRDefault="00232F0B" w:rsidP="005B5BE2">
      <w:pPr>
        <w:pStyle w:val="Heading3"/>
      </w:pPr>
      <w:bookmarkStart w:id="220" w:name="_Toc83118753"/>
      <w:bookmarkStart w:id="221" w:name="_Toc83130232"/>
      <w:bookmarkStart w:id="222" w:name="_Toc83133501"/>
      <w:r>
        <w:t>Status quo</w:t>
      </w:r>
      <w:r w:rsidRPr="00A40FD5">
        <w:t xml:space="preserve"> option</w:t>
      </w:r>
      <w:bookmarkEnd w:id="220"/>
      <w:bookmarkEnd w:id="221"/>
      <w:bookmarkEnd w:id="222"/>
    </w:p>
    <w:p w14:paraId="35E1D92A" w14:textId="77777777" w:rsidR="00232F0B" w:rsidRDefault="00232F0B" w:rsidP="00031E2A">
      <w:r w:rsidRPr="00A40FD5">
        <w:t xml:space="preserve">The </w:t>
      </w:r>
      <w:r>
        <w:t>status quo option to retain the existing fees and fees structure does not meet most of the objectives outlined in the 2016 RIS on the Regulations and therefore is not viable.</w:t>
      </w:r>
    </w:p>
    <w:p w14:paraId="3454F11B" w14:textId="77777777" w:rsidR="00232F0B" w:rsidRPr="00A40FD5" w:rsidRDefault="00232F0B" w:rsidP="00031E2A"/>
    <w:p w14:paraId="39B27246" w14:textId="77777777" w:rsidR="00232F0B" w:rsidRPr="00A40FD5" w:rsidRDefault="00232F0B" w:rsidP="005B5BE2">
      <w:pPr>
        <w:pStyle w:val="Heading3"/>
      </w:pPr>
      <w:bookmarkStart w:id="223" w:name="_Toc74583497"/>
      <w:bookmarkStart w:id="224" w:name="_Toc75349264"/>
      <w:bookmarkStart w:id="225" w:name="_Toc83118754"/>
      <w:bookmarkStart w:id="226" w:name="_Toc83130233"/>
      <w:bookmarkStart w:id="227" w:name="_Toc83133502"/>
      <w:r w:rsidRPr="00A40FD5">
        <w:t>Preferred option</w:t>
      </w:r>
      <w:bookmarkEnd w:id="223"/>
      <w:bookmarkEnd w:id="224"/>
      <w:bookmarkEnd w:id="225"/>
      <w:bookmarkEnd w:id="226"/>
      <w:bookmarkEnd w:id="227"/>
    </w:p>
    <w:p w14:paraId="0DD6BCA0" w14:textId="67E05025" w:rsidR="00232F0B" w:rsidRPr="00A40FD5" w:rsidRDefault="00232F0B" w:rsidP="00031E2A">
      <w:r w:rsidRPr="00A40FD5">
        <w:t>This consultation proposes to retain the existing approach set out in regulations 15</w:t>
      </w:r>
      <w:r w:rsidR="00031E2A">
        <w:t> </w:t>
      </w:r>
      <w:r w:rsidRPr="00A40FD5">
        <w:t xml:space="preserve">and 16 and </w:t>
      </w:r>
      <w:r>
        <w:t>s</w:t>
      </w:r>
      <w:r w:rsidRPr="00A40FD5">
        <w:t>chedule 2 of the Regulations.</w:t>
      </w:r>
      <w:r>
        <w:t xml:space="preserve"> </w:t>
      </w:r>
      <w:r w:rsidRPr="00A40FD5">
        <w:t xml:space="preserve">In proposing a differential fee for applications renewals, the proposed fees (exclusive of GST) are set out in </w:t>
      </w:r>
      <w:r w:rsidR="00031E2A">
        <w:fldChar w:fldCharType="begin"/>
      </w:r>
      <w:r w:rsidR="00031E2A">
        <w:instrText xml:space="preserve"> REF _Ref87369152 \h </w:instrText>
      </w:r>
      <w:r w:rsidR="00031E2A">
        <w:fldChar w:fldCharType="separate"/>
      </w:r>
      <w:r w:rsidR="003A5600">
        <w:t>Table </w:t>
      </w:r>
      <w:r w:rsidR="003A5600">
        <w:rPr>
          <w:noProof/>
        </w:rPr>
        <w:t>12</w:t>
      </w:r>
      <w:r w:rsidR="00031E2A">
        <w:fldChar w:fldCharType="end"/>
      </w:r>
      <w:r w:rsidRPr="00A40FD5">
        <w:t xml:space="preserve"> and </w:t>
      </w:r>
      <w:r w:rsidR="00031E2A">
        <w:fldChar w:fldCharType="begin"/>
      </w:r>
      <w:r w:rsidR="00031E2A">
        <w:instrText xml:space="preserve"> REF _Ref87368875 \h </w:instrText>
      </w:r>
      <w:r w:rsidR="00031E2A">
        <w:fldChar w:fldCharType="separate"/>
      </w:r>
      <w:r w:rsidR="003A5600">
        <w:t>Table </w:t>
      </w:r>
      <w:r w:rsidR="003A5600">
        <w:rPr>
          <w:noProof/>
        </w:rPr>
        <w:t>13</w:t>
      </w:r>
      <w:r w:rsidR="00031E2A">
        <w:fldChar w:fldCharType="end"/>
      </w:r>
      <w:r>
        <w:t xml:space="preserve"> to follow</w:t>
      </w:r>
      <w:r w:rsidRPr="00A40FD5">
        <w:t>.</w:t>
      </w:r>
    </w:p>
    <w:p w14:paraId="020F0DC3" w14:textId="77777777" w:rsidR="00232F0B" w:rsidRPr="00A40FD5" w:rsidRDefault="00232F0B" w:rsidP="00031E2A"/>
    <w:p w14:paraId="168F97D5" w14:textId="11AC87FE" w:rsidR="00232F0B" w:rsidRPr="00A40FD5" w:rsidRDefault="00232F0B" w:rsidP="00031E2A">
      <w:r w:rsidRPr="00A40FD5">
        <w:t xml:space="preserve">The proposed fees for source applications that are new or variations to existing licences are set out in </w:t>
      </w:r>
      <w:r w:rsidR="00031E2A">
        <w:fldChar w:fldCharType="begin"/>
      </w:r>
      <w:r w:rsidR="00031E2A">
        <w:instrText xml:space="preserve"> REF _Ref87369152 \h </w:instrText>
      </w:r>
      <w:r w:rsidR="00031E2A">
        <w:fldChar w:fldCharType="separate"/>
      </w:r>
      <w:r w:rsidR="003A5600">
        <w:t>Table </w:t>
      </w:r>
      <w:r w:rsidR="003A5600">
        <w:rPr>
          <w:noProof/>
        </w:rPr>
        <w:t>12</w:t>
      </w:r>
      <w:r w:rsidR="00031E2A">
        <w:fldChar w:fldCharType="end"/>
      </w:r>
      <w:r>
        <w:t xml:space="preserve"> below</w:t>
      </w:r>
      <w:r w:rsidRPr="00A40FD5">
        <w:t>.</w:t>
      </w:r>
    </w:p>
    <w:p w14:paraId="1DC07D62" w14:textId="77777777" w:rsidR="00232F0B" w:rsidRPr="00A40FD5" w:rsidRDefault="00232F0B" w:rsidP="00031E2A"/>
    <w:p w14:paraId="7C96C927" w14:textId="4AA8859F" w:rsidR="00232F0B" w:rsidRPr="00A40FD5" w:rsidRDefault="005B5BE2" w:rsidP="00031E2A">
      <w:pPr>
        <w:pStyle w:val="Table"/>
      </w:pPr>
      <w:bookmarkStart w:id="228" w:name="_Ref87369152"/>
      <w:bookmarkStart w:id="229" w:name="_Toc84916126"/>
      <w:bookmarkStart w:id="230" w:name="_Toc84916189"/>
      <w:bookmarkStart w:id="231" w:name="_Toc88644160"/>
      <w:r>
        <w:t>Table </w:t>
      </w:r>
      <w:r w:rsidR="00384F9F">
        <w:fldChar w:fldCharType="begin"/>
      </w:r>
      <w:r w:rsidR="00384F9F">
        <w:instrText xml:space="preserve"> SEQ Table \* ARABIC </w:instrText>
      </w:r>
      <w:r w:rsidR="00384F9F">
        <w:fldChar w:fldCharType="separate"/>
      </w:r>
      <w:r w:rsidR="003A5600">
        <w:rPr>
          <w:noProof/>
        </w:rPr>
        <w:t>12</w:t>
      </w:r>
      <w:r w:rsidR="00384F9F">
        <w:rPr>
          <w:noProof/>
        </w:rPr>
        <w:fldChar w:fldCharType="end"/>
      </w:r>
      <w:bookmarkEnd w:id="228"/>
      <w:r w:rsidR="00232F0B" w:rsidRPr="00A40FD5">
        <w:t>:</w:t>
      </w:r>
      <w:r>
        <w:t xml:space="preserve"> </w:t>
      </w:r>
      <w:r w:rsidR="00232F0B" w:rsidRPr="00A40FD5">
        <w:t>Proposed source licence fees (exclusive of GST) for new and variation applications</w:t>
      </w:r>
      <w:bookmarkEnd w:id="229"/>
      <w:bookmarkEnd w:id="230"/>
      <w:bookmarkEnd w:id="231"/>
    </w:p>
    <w:tbl>
      <w:tblPr>
        <w:tblW w:w="8080" w:type="dxa"/>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1276"/>
        <w:gridCol w:w="1134"/>
        <w:gridCol w:w="1701"/>
        <w:gridCol w:w="1276"/>
        <w:gridCol w:w="1346"/>
        <w:gridCol w:w="1347"/>
      </w:tblGrid>
      <w:tr w:rsidR="00232F0B" w:rsidRPr="00B9117B" w14:paraId="324C01F4" w14:textId="77777777" w:rsidTr="00B9117B">
        <w:trPr>
          <w:cantSplit/>
        </w:trPr>
        <w:tc>
          <w:tcPr>
            <w:tcW w:w="1276" w:type="dxa"/>
            <w:tcBorders>
              <w:top w:val="nil"/>
              <w:bottom w:val="nil"/>
            </w:tcBorders>
            <w:shd w:val="clear" w:color="auto" w:fill="D9D9D9" w:themeFill="background1" w:themeFillShade="D9"/>
            <w:noWrap/>
            <w:hideMark/>
          </w:tcPr>
          <w:p w14:paraId="3FAFD1FB" w14:textId="77777777" w:rsidR="00232F0B" w:rsidRPr="00B9117B" w:rsidRDefault="00232F0B" w:rsidP="00B9117B">
            <w:pPr>
              <w:pStyle w:val="TableText"/>
              <w:rPr>
                <w:b/>
                <w:lang w:eastAsia="en-NZ"/>
              </w:rPr>
            </w:pPr>
            <w:r w:rsidRPr="00B9117B">
              <w:rPr>
                <w:b/>
                <w:lang w:eastAsia="en-NZ"/>
              </w:rPr>
              <w:t>Inspection period (year)</w:t>
            </w:r>
          </w:p>
        </w:tc>
        <w:tc>
          <w:tcPr>
            <w:tcW w:w="1134" w:type="dxa"/>
            <w:tcBorders>
              <w:top w:val="nil"/>
              <w:bottom w:val="nil"/>
            </w:tcBorders>
            <w:shd w:val="clear" w:color="auto" w:fill="D9D9D9" w:themeFill="background1" w:themeFillShade="D9"/>
            <w:noWrap/>
            <w:hideMark/>
          </w:tcPr>
          <w:p w14:paraId="57176AEA" w14:textId="77777777" w:rsidR="00232F0B" w:rsidRPr="00B9117B" w:rsidRDefault="00232F0B" w:rsidP="00B9117B">
            <w:pPr>
              <w:pStyle w:val="TableText"/>
              <w:jc w:val="center"/>
              <w:rPr>
                <w:b/>
                <w:color w:val="000000"/>
                <w:lang w:eastAsia="en-NZ"/>
              </w:rPr>
            </w:pPr>
            <w:r w:rsidRPr="00B9117B">
              <w:rPr>
                <w:b/>
                <w:color w:val="000000"/>
                <w:lang w:eastAsia="en-NZ"/>
              </w:rPr>
              <w:t>Proposed annual fee</w:t>
            </w:r>
          </w:p>
        </w:tc>
        <w:tc>
          <w:tcPr>
            <w:tcW w:w="1701" w:type="dxa"/>
            <w:tcBorders>
              <w:top w:val="nil"/>
              <w:bottom w:val="nil"/>
            </w:tcBorders>
            <w:shd w:val="clear" w:color="auto" w:fill="D9D9D9" w:themeFill="background1" w:themeFillShade="D9"/>
            <w:noWrap/>
            <w:hideMark/>
          </w:tcPr>
          <w:p w14:paraId="386D7FF4" w14:textId="77777777" w:rsidR="00232F0B" w:rsidRPr="00B9117B" w:rsidRDefault="00232F0B" w:rsidP="00B9117B">
            <w:pPr>
              <w:pStyle w:val="TableText"/>
              <w:jc w:val="center"/>
              <w:rPr>
                <w:b/>
                <w:color w:val="000000"/>
                <w:lang w:eastAsia="en-NZ"/>
              </w:rPr>
            </w:pPr>
            <w:r w:rsidRPr="00B9117B">
              <w:rPr>
                <w:b/>
                <w:color w:val="000000"/>
                <w:lang w:eastAsia="en-NZ"/>
              </w:rPr>
              <w:t>Current fee (before 7</w:t>
            </w:r>
            <w:r w:rsidR="00B9117B">
              <w:rPr>
                <w:b/>
                <w:color w:val="000000"/>
                <w:lang w:eastAsia="en-NZ"/>
              </w:rPr>
              <w:t> </w:t>
            </w:r>
            <w:r w:rsidRPr="00B9117B">
              <w:rPr>
                <w:b/>
                <w:color w:val="000000"/>
                <w:lang w:eastAsia="en-NZ"/>
              </w:rPr>
              <w:t>March 2023)</w:t>
            </w:r>
          </w:p>
        </w:tc>
        <w:tc>
          <w:tcPr>
            <w:tcW w:w="1276" w:type="dxa"/>
            <w:tcBorders>
              <w:top w:val="nil"/>
              <w:bottom w:val="nil"/>
            </w:tcBorders>
            <w:shd w:val="clear" w:color="auto" w:fill="D9D9D9" w:themeFill="background1" w:themeFillShade="D9"/>
            <w:noWrap/>
            <w:hideMark/>
          </w:tcPr>
          <w:p w14:paraId="5BD29186" w14:textId="77777777" w:rsidR="00232F0B" w:rsidRPr="00B9117B" w:rsidRDefault="00232F0B" w:rsidP="00B9117B">
            <w:pPr>
              <w:pStyle w:val="TableText"/>
              <w:jc w:val="center"/>
              <w:rPr>
                <w:b/>
                <w:color w:val="000000"/>
                <w:lang w:eastAsia="en-NZ"/>
              </w:rPr>
            </w:pPr>
            <w:r w:rsidRPr="00B9117B">
              <w:rPr>
                <w:b/>
                <w:color w:val="000000"/>
                <w:lang w:eastAsia="en-NZ"/>
              </w:rPr>
              <w:t>Fee from 7</w:t>
            </w:r>
            <w:r w:rsidR="00B9117B">
              <w:rPr>
                <w:b/>
                <w:color w:val="000000"/>
                <w:lang w:eastAsia="en-NZ"/>
              </w:rPr>
              <w:t> </w:t>
            </w:r>
            <w:r w:rsidRPr="00B9117B">
              <w:rPr>
                <w:b/>
                <w:color w:val="000000"/>
                <w:lang w:eastAsia="en-NZ"/>
              </w:rPr>
              <w:t>March 2023</w:t>
            </w:r>
          </w:p>
        </w:tc>
        <w:tc>
          <w:tcPr>
            <w:tcW w:w="1346" w:type="dxa"/>
            <w:tcBorders>
              <w:top w:val="nil"/>
              <w:bottom w:val="nil"/>
            </w:tcBorders>
            <w:shd w:val="clear" w:color="auto" w:fill="D9D9D9" w:themeFill="background1" w:themeFillShade="D9"/>
            <w:noWrap/>
            <w:hideMark/>
          </w:tcPr>
          <w:p w14:paraId="3825B25F" w14:textId="77777777" w:rsidR="00232F0B" w:rsidRPr="00B9117B" w:rsidRDefault="00232F0B" w:rsidP="00B9117B">
            <w:pPr>
              <w:pStyle w:val="TableText"/>
              <w:jc w:val="center"/>
              <w:rPr>
                <w:b/>
                <w:color w:val="000000"/>
                <w:lang w:eastAsia="en-NZ"/>
              </w:rPr>
            </w:pPr>
            <w:r w:rsidRPr="00B9117B">
              <w:rPr>
                <w:b/>
                <w:color w:val="000000"/>
                <w:lang w:eastAsia="en-NZ"/>
              </w:rPr>
              <w:t>$ increase on current fee</w:t>
            </w:r>
          </w:p>
        </w:tc>
        <w:tc>
          <w:tcPr>
            <w:tcW w:w="1347" w:type="dxa"/>
            <w:tcBorders>
              <w:top w:val="nil"/>
              <w:bottom w:val="nil"/>
            </w:tcBorders>
            <w:shd w:val="clear" w:color="auto" w:fill="D9D9D9" w:themeFill="background1" w:themeFillShade="D9"/>
            <w:noWrap/>
            <w:hideMark/>
          </w:tcPr>
          <w:p w14:paraId="1938C78C" w14:textId="77777777" w:rsidR="00232F0B" w:rsidRPr="00B9117B" w:rsidRDefault="00232F0B" w:rsidP="00B9117B">
            <w:pPr>
              <w:pStyle w:val="TableText"/>
              <w:jc w:val="center"/>
              <w:rPr>
                <w:b/>
                <w:color w:val="000000"/>
                <w:lang w:eastAsia="en-NZ"/>
              </w:rPr>
            </w:pPr>
            <w:r w:rsidRPr="00B9117B">
              <w:rPr>
                <w:b/>
                <w:color w:val="000000"/>
                <w:lang w:eastAsia="en-NZ"/>
              </w:rPr>
              <w:t>% increase on current fee</w:t>
            </w:r>
          </w:p>
        </w:tc>
      </w:tr>
      <w:tr w:rsidR="00232F0B" w:rsidRPr="00A40FD5" w14:paraId="1527D99F" w14:textId="77777777" w:rsidTr="00B9117B">
        <w:trPr>
          <w:cantSplit/>
        </w:trPr>
        <w:tc>
          <w:tcPr>
            <w:tcW w:w="1276" w:type="dxa"/>
            <w:tcBorders>
              <w:top w:val="nil"/>
            </w:tcBorders>
            <w:shd w:val="clear" w:color="auto" w:fill="auto"/>
            <w:noWrap/>
            <w:hideMark/>
          </w:tcPr>
          <w:p w14:paraId="28F3BB0B" w14:textId="77777777" w:rsidR="00232F0B" w:rsidRPr="00A40FD5" w:rsidRDefault="00232F0B" w:rsidP="00B9117B">
            <w:pPr>
              <w:pStyle w:val="TableText"/>
              <w:rPr>
                <w:color w:val="000000"/>
                <w:lang w:eastAsia="en-NZ"/>
              </w:rPr>
            </w:pPr>
            <w:r w:rsidRPr="00A40FD5">
              <w:rPr>
                <w:color w:val="000000"/>
                <w:lang w:eastAsia="en-NZ"/>
              </w:rPr>
              <w:t>1</w:t>
            </w:r>
          </w:p>
        </w:tc>
        <w:tc>
          <w:tcPr>
            <w:tcW w:w="1134" w:type="dxa"/>
            <w:tcBorders>
              <w:top w:val="nil"/>
            </w:tcBorders>
            <w:shd w:val="clear" w:color="auto" w:fill="auto"/>
            <w:noWrap/>
            <w:hideMark/>
          </w:tcPr>
          <w:p w14:paraId="295B60D3" w14:textId="77777777" w:rsidR="00232F0B" w:rsidRPr="00A40FD5" w:rsidRDefault="00232F0B" w:rsidP="00B9117B">
            <w:pPr>
              <w:pStyle w:val="TableText"/>
              <w:tabs>
                <w:tab w:val="decimal" w:pos="709"/>
              </w:tabs>
              <w:rPr>
                <w:color w:val="000000"/>
                <w:lang w:eastAsia="en-NZ"/>
              </w:rPr>
            </w:pPr>
            <w:r w:rsidRPr="00A40FD5">
              <w:rPr>
                <w:color w:val="000000"/>
                <w:lang w:eastAsia="en-NZ"/>
              </w:rPr>
              <w:t>$3,744</w:t>
            </w:r>
          </w:p>
        </w:tc>
        <w:tc>
          <w:tcPr>
            <w:tcW w:w="1701" w:type="dxa"/>
            <w:tcBorders>
              <w:top w:val="nil"/>
            </w:tcBorders>
            <w:shd w:val="clear" w:color="auto" w:fill="auto"/>
            <w:noWrap/>
            <w:hideMark/>
          </w:tcPr>
          <w:p w14:paraId="319E5199" w14:textId="77777777" w:rsidR="00232F0B" w:rsidRPr="00A40FD5" w:rsidRDefault="00232F0B" w:rsidP="00B9117B">
            <w:pPr>
              <w:pStyle w:val="TableText"/>
              <w:tabs>
                <w:tab w:val="decimal" w:pos="1021"/>
              </w:tabs>
              <w:rPr>
                <w:color w:val="000000"/>
                <w:lang w:eastAsia="en-NZ"/>
              </w:rPr>
            </w:pPr>
            <w:r w:rsidRPr="00A40FD5">
              <w:rPr>
                <w:color w:val="000000"/>
                <w:lang w:eastAsia="en-NZ"/>
              </w:rPr>
              <w:t>$1,309</w:t>
            </w:r>
          </w:p>
        </w:tc>
        <w:tc>
          <w:tcPr>
            <w:tcW w:w="1276" w:type="dxa"/>
            <w:tcBorders>
              <w:top w:val="nil"/>
            </w:tcBorders>
            <w:shd w:val="clear" w:color="auto" w:fill="auto"/>
            <w:noWrap/>
            <w:hideMark/>
          </w:tcPr>
          <w:p w14:paraId="21AD3758" w14:textId="77777777" w:rsidR="00232F0B" w:rsidRPr="00A40FD5" w:rsidRDefault="00232F0B" w:rsidP="00B9117B">
            <w:pPr>
              <w:pStyle w:val="TableText"/>
              <w:tabs>
                <w:tab w:val="decimal" w:pos="794"/>
              </w:tabs>
              <w:rPr>
                <w:color w:val="000000"/>
                <w:lang w:eastAsia="en-NZ"/>
              </w:rPr>
            </w:pPr>
            <w:r w:rsidRPr="00A40FD5">
              <w:rPr>
                <w:color w:val="000000"/>
                <w:lang w:eastAsia="en-NZ"/>
              </w:rPr>
              <w:t>$1,505</w:t>
            </w:r>
          </w:p>
        </w:tc>
        <w:tc>
          <w:tcPr>
            <w:tcW w:w="1346" w:type="dxa"/>
            <w:tcBorders>
              <w:top w:val="nil"/>
            </w:tcBorders>
            <w:shd w:val="clear" w:color="auto" w:fill="auto"/>
            <w:noWrap/>
            <w:hideMark/>
          </w:tcPr>
          <w:p w14:paraId="0D30FFDE" w14:textId="77777777" w:rsidR="00232F0B" w:rsidRPr="00A40FD5" w:rsidRDefault="00232F0B" w:rsidP="00B9117B">
            <w:pPr>
              <w:pStyle w:val="TableText"/>
              <w:tabs>
                <w:tab w:val="decimal" w:pos="918"/>
              </w:tabs>
              <w:rPr>
                <w:color w:val="000000"/>
                <w:lang w:eastAsia="en-NZ"/>
              </w:rPr>
            </w:pPr>
            <w:r w:rsidRPr="00A40FD5">
              <w:rPr>
                <w:color w:val="000000"/>
                <w:lang w:eastAsia="en-NZ"/>
              </w:rPr>
              <w:t>$2,435</w:t>
            </w:r>
          </w:p>
        </w:tc>
        <w:tc>
          <w:tcPr>
            <w:tcW w:w="1347" w:type="dxa"/>
            <w:tcBorders>
              <w:top w:val="nil"/>
            </w:tcBorders>
            <w:shd w:val="clear" w:color="auto" w:fill="auto"/>
            <w:noWrap/>
            <w:hideMark/>
          </w:tcPr>
          <w:p w14:paraId="2BD49368" w14:textId="77777777" w:rsidR="00232F0B" w:rsidRPr="00A40FD5" w:rsidRDefault="00232F0B" w:rsidP="00B9117B">
            <w:pPr>
              <w:pStyle w:val="TableText"/>
              <w:jc w:val="center"/>
              <w:rPr>
                <w:color w:val="000000"/>
                <w:lang w:eastAsia="en-NZ"/>
              </w:rPr>
            </w:pPr>
            <w:r w:rsidRPr="00A40FD5">
              <w:rPr>
                <w:color w:val="000000"/>
                <w:lang w:eastAsia="en-NZ"/>
              </w:rPr>
              <w:t>186%</w:t>
            </w:r>
          </w:p>
        </w:tc>
      </w:tr>
      <w:tr w:rsidR="00232F0B" w:rsidRPr="00A40FD5" w14:paraId="6262F560" w14:textId="77777777" w:rsidTr="00B9117B">
        <w:trPr>
          <w:cantSplit/>
        </w:trPr>
        <w:tc>
          <w:tcPr>
            <w:tcW w:w="1276" w:type="dxa"/>
            <w:shd w:val="clear" w:color="auto" w:fill="auto"/>
            <w:noWrap/>
            <w:hideMark/>
          </w:tcPr>
          <w:p w14:paraId="34D45E43" w14:textId="77777777" w:rsidR="00232F0B" w:rsidRPr="00A40FD5" w:rsidRDefault="00232F0B" w:rsidP="00B9117B">
            <w:pPr>
              <w:pStyle w:val="TableText"/>
              <w:rPr>
                <w:color w:val="000000"/>
                <w:lang w:eastAsia="en-NZ"/>
              </w:rPr>
            </w:pPr>
            <w:r w:rsidRPr="00A40FD5">
              <w:rPr>
                <w:color w:val="000000"/>
                <w:lang w:eastAsia="en-NZ"/>
              </w:rPr>
              <w:t>2</w:t>
            </w:r>
          </w:p>
        </w:tc>
        <w:tc>
          <w:tcPr>
            <w:tcW w:w="1134" w:type="dxa"/>
            <w:shd w:val="clear" w:color="auto" w:fill="auto"/>
            <w:noWrap/>
            <w:hideMark/>
          </w:tcPr>
          <w:p w14:paraId="5230FE57" w14:textId="77777777" w:rsidR="00232F0B" w:rsidRPr="00A40FD5" w:rsidRDefault="00232F0B" w:rsidP="00B9117B">
            <w:pPr>
              <w:pStyle w:val="TableText"/>
              <w:tabs>
                <w:tab w:val="decimal" w:pos="709"/>
              </w:tabs>
              <w:rPr>
                <w:color w:val="000000"/>
                <w:lang w:eastAsia="en-NZ"/>
              </w:rPr>
            </w:pPr>
            <w:r w:rsidRPr="00A40FD5">
              <w:rPr>
                <w:color w:val="000000"/>
                <w:lang w:eastAsia="en-NZ"/>
              </w:rPr>
              <w:t>$1,931</w:t>
            </w:r>
          </w:p>
        </w:tc>
        <w:tc>
          <w:tcPr>
            <w:tcW w:w="1701" w:type="dxa"/>
            <w:shd w:val="clear" w:color="auto" w:fill="auto"/>
            <w:noWrap/>
            <w:hideMark/>
          </w:tcPr>
          <w:p w14:paraId="3C9A2CD1" w14:textId="77777777" w:rsidR="00232F0B" w:rsidRPr="00A40FD5" w:rsidRDefault="00232F0B" w:rsidP="00B9117B">
            <w:pPr>
              <w:pStyle w:val="TableText"/>
              <w:tabs>
                <w:tab w:val="decimal" w:pos="1021"/>
              </w:tabs>
              <w:rPr>
                <w:color w:val="000000"/>
                <w:lang w:eastAsia="en-NZ"/>
              </w:rPr>
            </w:pPr>
            <w:r w:rsidRPr="00A40FD5">
              <w:rPr>
                <w:color w:val="000000"/>
                <w:lang w:eastAsia="en-NZ"/>
              </w:rPr>
              <w:t>$718</w:t>
            </w:r>
          </w:p>
        </w:tc>
        <w:tc>
          <w:tcPr>
            <w:tcW w:w="1276" w:type="dxa"/>
            <w:shd w:val="clear" w:color="auto" w:fill="auto"/>
            <w:noWrap/>
            <w:hideMark/>
          </w:tcPr>
          <w:p w14:paraId="01B62645" w14:textId="77777777" w:rsidR="00232F0B" w:rsidRPr="00A40FD5" w:rsidRDefault="00232F0B" w:rsidP="00B9117B">
            <w:pPr>
              <w:pStyle w:val="TableText"/>
              <w:tabs>
                <w:tab w:val="decimal" w:pos="794"/>
              </w:tabs>
              <w:rPr>
                <w:color w:val="000000"/>
                <w:lang w:eastAsia="en-NZ"/>
              </w:rPr>
            </w:pPr>
            <w:r w:rsidRPr="00A40FD5">
              <w:rPr>
                <w:color w:val="000000"/>
                <w:lang w:eastAsia="en-NZ"/>
              </w:rPr>
              <w:t>$825</w:t>
            </w:r>
          </w:p>
        </w:tc>
        <w:tc>
          <w:tcPr>
            <w:tcW w:w="1346" w:type="dxa"/>
            <w:shd w:val="clear" w:color="auto" w:fill="auto"/>
            <w:noWrap/>
            <w:hideMark/>
          </w:tcPr>
          <w:p w14:paraId="43E6DE76" w14:textId="77777777" w:rsidR="00232F0B" w:rsidRPr="00A40FD5" w:rsidRDefault="00232F0B" w:rsidP="00B9117B">
            <w:pPr>
              <w:pStyle w:val="TableText"/>
              <w:tabs>
                <w:tab w:val="decimal" w:pos="918"/>
              </w:tabs>
              <w:rPr>
                <w:color w:val="000000"/>
                <w:lang w:eastAsia="en-NZ"/>
              </w:rPr>
            </w:pPr>
            <w:r w:rsidRPr="00A40FD5">
              <w:rPr>
                <w:color w:val="000000"/>
                <w:lang w:eastAsia="en-NZ"/>
              </w:rPr>
              <w:t>$1,213</w:t>
            </w:r>
          </w:p>
        </w:tc>
        <w:tc>
          <w:tcPr>
            <w:tcW w:w="1347" w:type="dxa"/>
            <w:shd w:val="clear" w:color="auto" w:fill="auto"/>
            <w:noWrap/>
            <w:hideMark/>
          </w:tcPr>
          <w:p w14:paraId="0AF133F5" w14:textId="77777777" w:rsidR="00232F0B" w:rsidRPr="00A40FD5" w:rsidRDefault="00232F0B" w:rsidP="00B9117B">
            <w:pPr>
              <w:pStyle w:val="TableText"/>
              <w:jc w:val="center"/>
              <w:rPr>
                <w:color w:val="000000"/>
                <w:lang w:eastAsia="en-NZ"/>
              </w:rPr>
            </w:pPr>
            <w:r w:rsidRPr="00A40FD5">
              <w:rPr>
                <w:color w:val="000000"/>
                <w:lang w:eastAsia="en-NZ"/>
              </w:rPr>
              <w:t>169%</w:t>
            </w:r>
          </w:p>
        </w:tc>
      </w:tr>
      <w:tr w:rsidR="00232F0B" w:rsidRPr="00A40FD5" w14:paraId="24421180" w14:textId="77777777" w:rsidTr="00B9117B">
        <w:trPr>
          <w:cantSplit/>
        </w:trPr>
        <w:tc>
          <w:tcPr>
            <w:tcW w:w="1276" w:type="dxa"/>
            <w:shd w:val="clear" w:color="auto" w:fill="auto"/>
            <w:noWrap/>
            <w:hideMark/>
          </w:tcPr>
          <w:p w14:paraId="096C46A2" w14:textId="77777777" w:rsidR="00232F0B" w:rsidRPr="00A40FD5" w:rsidRDefault="00232F0B" w:rsidP="00B9117B">
            <w:pPr>
              <w:pStyle w:val="TableText"/>
              <w:rPr>
                <w:color w:val="000000"/>
                <w:lang w:eastAsia="en-NZ"/>
              </w:rPr>
            </w:pPr>
            <w:r w:rsidRPr="00A40FD5">
              <w:rPr>
                <w:color w:val="000000"/>
                <w:lang w:eastAsia="en-NZ"/>
              </w:rPr>
              <w:t>3</w:t>
            </w:r>
          </w:p>
        </w:tc>
        <w:tc>
          <w:tcPr>
            <w:tcW w:w="1134" w:type="dxa"/>
            <w:shd w:val="clear" w:color="auto" w:fill="auto"/>
            <w:noWrap/>
            <w:hideMark/>
          </w:tcPr>
          <w:p w14:paraId="19DE77C4" w14:textId="77777777" w:rsidR="00232F0B" w:rsidRPr="00A40FD5" w:rsidRDefault="00232F0B" w:rsidP="00B9117B">
            <w:pPr>
              <w:pStyle w:val="TableText"/>
              <w:tabs>
                <w:tab w:val="decimal" w:pos="709"/>
              </w:tabs>
              <w:rPr>
                <w:color w:val="000000"/>
                <w:lang w:eastAsia="en-NZ"/>
              </w:rPr>
            </w:pPr>
            <w:r w:rsidRPr="00A40FD5">
              <w:rPr>
                <w:color w:val="000000"/>
                <w:lang w:eastAsia="en-NZ"/>
              </w:rPr>
              <w:t>$1,328</w:t>
            </w:r>
          </w:p>
        </w:tc>
        <w:tc>
          <w:tcPr>
            <w:tcW w:w="1701" w:type="dxa"/>
            <w:shd w:val="clear" w:color="auto" w:fill="auto"/>
            <w:noWrap/>
            <w:hideMark/>
          </w:tcPr>
          <w:p w14:paraId="06A5558D" w14:textId="77777777" w:rsidR="00232F0B" w:rsidRPr="00A40FD5" w:rsidRDefault="00232F0B" w:rsidP="00B9117B">
            <w:pPr>
              <w:pStyle w:val="TableText"/>
              <w:tabs>
                <w:tab w:val="decimal" w:pos="1021"/>
              </w:tabs>
              <w:rPr>
                <w:color w:val="000000"/>
                <w:lang w:eastAsia="en-NZ"/>
              </w:rPr>
            </w:pPr>
            <w:r w:rsidRPr="00A40FD5">
              <w:rPr>
                <w:color w:val="000000"/>
                <w:lang w:eastAsia="en-NZ"/>
              </w:rPr>
              <w:t>$522</w:t>
            </w:r>
          </w:p>
        </w:tc>
        <w:tc>
          <w:tcPr>
            <w:tcW w:w="1276" w:type="dxa"/>
            <w:shd w:val="clear" w:color="auto" w:fill="auto"/>
            <w:noWrap/>
            <w:hideMark/>
          </w:tcPr>
          <w:p w14:paraId="0FCFB04F" w14:textId="77777777" w:rsidR="00232F0B" w:rsidRPr="00A40FD5" w:rsidRDefault="00232F0B" w:rsidP="00B9117B">
            <w:pPr>
              <w:pStyle w:val="TableText"/>
              <w:tabs>
                <w:tab w:val="decimal" w:pos="794"/>
              </w:tabs>
              <w:rPr>
                <w:color w:val="000000"/>
                <w:lang w:eastAsia="en-NZ"/>
              </w:rPr>
            </w:pPr>
            <w:r w:rsidRPr="00A40FD5">
              <w:rPr>
                <w:color w:val="000000"/>
                <w:lang w:eastAsia="en-NZ"/>
              </w:rPr>
              <w:t>$600</w:t>
            </w:r>
          </w:p>
        </w:tc>
        <w:tc>
          <w:tcPr>
            <w:tcW w:w="1346" w:type="dxa"/>
            <w:shd w:val="clear" w:color="auto" w:fill="auto"/>
            <w:noWrap/>
            <w:hideMark/>
          </w:tcPr>
          <w:p w14:paraId="2DAB6F03" w14:textId="77777777" w:rsidR="00232F0B" w:rsidRPr="00A40FD5" w:rsidRDefault="00232F0B" w:rsidP="00B9117B">
            <w:pPr>
              <w:pStyle w:val="TableText"/>
              <w:tabs>
                <w:tab w:val="decimal" w:pos="918"/>
              </w:tabs>
              <w:rPr>
                <w:color w:val="000000"/>
                <w:lang w:eastAsia="en-NZ"/>
              </w:rPr>
            </w:pPr>
            <w:r w:rsidRPr="00A40FD5">
              <w:rPr>
                <w:color w:val="000000"/>
                <w:lang w:eastAsia="en-NZ"/>
              </w:rPr>
              <w:t>$806</w:t>
            </w:r>
          </w:p>
        </w:tc>
        <w:tc>
          <w:tcPr>
            <w:tcW w:w="1347" w:type="dxa"/>
            <w:shd w:val="clear" w:color="auto" w:fill="auto"/>
            <w:noWrap/>
            <w:hideMark/>
          </w:tcPr>
          <w:p w14:paraId="24CE954B" w14:textId="77777777" w:rsidR="00232F0B" w:rsidRPr="00A40FD5" w:rsidRDefault="00232F0B" w:rsidP="00B9117B">
            <w:pPr>
              <w:pStyle w:val="TableText"/>
              <w:jc w:val="center"/>
              <w:rPr>
                <w:color w:val="000000"/>
                <w:lang w:eastAsia="en-NZ"/>
              </w:rPr>
            </w:pPr>
            <w:r w:rsidRPr="00A40FD5">
              <w:rPr>
                <w:color w:val="000000"/>
                <w:lang w:eastAsia="en-NZ"/>
              </w:rPr>
              <w:t>154%</w:t>
            </w:r>
          </w:p>
        </w:tc>
      </w:tr>
      <w:tr w:rsidR="00232F0B" w:rsidRPr="00A40FD5" w14:paraId="5324B1D0" w14:textId="77777777" w:rsidTr="00B9117B">
        <w:trPr>
          <w:cantSplit/>
        </w:trPr>
        <w:tc>
          <w:tcPr>
            <w:tcW w:w="1276" w:type="dxa"/>
            <w:shd w:val="clear" w:color="auto" w:fill="auto"/>
            <w:noWrap/>
            <w:hideMark/>
          </w:tcPr>
          <w:p w14:paraId="15A61845" w14:textId="77777777" w:rsidR="00232F0B" w:rsidRPr="00A40FD5" w:rsidRDefault="00232F0B" w:rsidP="00B9117B">
            <w:pPr>
              <w:pStyle w:val="TableText"/>
              <w:rPr>
                <w:color w:val="000000"/>
                <w:lang w:eastAsia="en-NZ"/>
              </w:rPr>
            </w:pPr>
            <w:r w:rsidRPr="00A40FD5">
              <w:rPr>
                <w:color w:val="000000"/>
                <w:lang w:eastAsia="en-NZ"/>
              </w:rPr>
              <w:t>4</w:t>
            </w:r>
          </w:p>
        </w:tc>
        <w:tc>
          <w:tcPr>
            <w:tcW w:w="1134" w:type="dxa"/>
            <w:shd w:val="clear" w:color="auto" w:fill="auto"/>
            <w:noWrap/>
            <w:hideMark/>
          </w:tcPr>
          <w:p w14:paraId="1FFDCE75" w14:textId="77777777" w:rsidR="00232F0B" w:rsidRPr="00A40FD5" w:rsidRDefault="00232F0B" w:rsidP="00B9117B">
            <w:pPr>
              <w:pStyle w:val="TableText"/>
              <w:tabs>
                <w:tab w:val="decimal" w:pos="709"/>
              </w:tabs>
              <w:rPr>
                <w:color w:val="000000"/>
                <w:lang w:eastAsia="en-NZ"/>
              </w:rPr>
            </w:pPr>
            <w:r w:rsidRPr="00A40FD5">
              <w:rPr>
                <w:color w:val="000000"/>
                <w:lang w:eastAsia="en-NZ"/>
              </w:rPr>
              <w:t>$1,097</w:t>
            </w:r>
          </w:p>
        </w:tc>
        <w:tc>
          <w:tcPr>
            <w:tcW w:w="1701" w:type="dxa"/>
            <w:shd w:val="clear" w:color="auto" w:fill="auto"/>
            <w:noWrap/>
            <w:hideMark/>
          </w:tcPr>
          <w:p w14:paraId="66E62B9A" w14:textId="77777777" w:rsidR="00232F0B" w:rsidRPr="00A40FD5" w:rsidRDefault="00232F0B" w:rsidP="00B9117B">
            <w:pPr>
              <w:pStyle w:val="TableText"/>
              <w:tabs>
                <w:tab w:val="decimal" w:pos="1021"/>
              </w:tabs>
              <w:rPr>
                <w:color w:val="000000"/>
                <w:lang w:eastAsia="en-NZ"/>
              </w:rPr>
            </w:pPr>
            <w:r w:rsidRPr="00A40FD5">
              <w:rPr>
                <w:color w:val="000000"/>
                <w:lang w:eastAsia="en-NZ"/>
              </w:rPr>
              <w:t>$422</w:t>
            </w:r>
          </w:p>
        </w:tc>
        <w:tc>
          <w:tcPr>
            <w:tcW w:w="1276" w:type="dxa"/>
            <w:shd w:val="clear" w:color="auto" w:fill="auto"/>
            <w:noWrap/>
            <w:hideMark/>
          </w:tcPr>
          <w:p w14:paraId="2723AFA1" w14:textId="77777777" w:rsidR="00232F0B" w:rsidRPr="00A40FD5" w:rsidRDefault="00232F0B" w:rsidP="00B9117B">
            <w:pPr>
              <w:pStyle w:val="TableText"/>
              <w:tabs>
                <w:tab w:val="decimal" w:pos="794"/>
              </w:tabs>
              <w:rPr>
                <w:color w:val="000000"/>
                <w:lang w:eastAsia="en-NZ"/>
              </w:rPr>
            </w:pPr>
            <w:r w:rsidRPr="00A40FD5">
              <w:rPr>
                <w:color w:val="000000"/>
                <w:lang w:eastAsia="en-NZ"/>
              </w:rPr>
              <w:t>$485</w:t>
            </w:r>
          </w:p>
        </w:tc>
        <w:tc>
          <w:tcPr>
            <w:tcW w:w="1346" w:type="dxa"/>
            <w:shd w:val="clear" w:color="auto" w:fill="auto"/>
            <w:noWrap/>
            <w:hideMark/>
          </w:tcPr>
          <w:p w14:paraId="1F15708F" w14:textId="77777777" w:rsidR="00232F0B" w:rsidRPr="00A40FD5" w:rsidRDefault="00232F0B" w:rsidP="00B9117B">
            <w:pPr>
              <w:pStyle w:val="TableText"/>
              <w:tabs>
                <w:tab w:val="decimal" w:pos="918"/>
              </w:tabs>
              <w:rPr>
                <w:color w:val="000000"/>
                <w:lang w:eastAsia="en-NZ"/>
              </w:rPr>
            </w:pPr>
            <w:r w:rsidRPr="00A40FD5">
              <w:rPr>
                <w:color w:val="000000"/>
                <w:lang w:eastAsia="en-NZ"/>
              </w:rPr>
              <w:t>$675</w:t>
            </w:r>
          </w:p>
        </w:tc>
        <w:tc>
          <w:tcPr>
            <w:tcW w:w="1347" w:type="dxa"/>
            <w:shd w:val="clear" w:color="auto" w:fill="auto"/>
            <w:noWrap/>
            <w:hideMark/>
          </w:tcPr>
          <w:p w14:paraId="148BD2DA" w14:textId="77777777" w:rsidR="00232F0B" w:rsidRPr="00A40FD5" w:rsidRDefault="00232F0B" w:rsidP="00B9117B">
            <w:pPr>
              <w:pStyle w:val="TableText"/>
              <w:jc w:val="center"/>
              <w:rPr>
                <w:color w:val="000000"/>
                <w:lang w:eastAsia="en-NZ"/>
              </w:rPr>
            </w:pPr>
            <w:r w:rsidRPr="00A40FD5">
              <w:rPr>
                <w:color w:val="000000"/>
                <w:lang w:eastAsia="en-NZ"/>
              </w:rPr>
              <w:t>160%</w:t>
            </w:r>
          </w:p>
        </w:tc>
      </w:tr>
      <w:tr w:rsidR="00232F0B" w:rsidRPr="00A40FD5" w14:paraId="2A15E048" w14:textId="77777777" w:rsidTr="00B9117B">
        <w:trPr>
          <w:cantSplit/>
        </w:trPr>
        <w:tc>
          <w:tcPr>
            <w:tcW w:w="1276" w:type="dxa"/>
            <w:shd w:val="clear" w:color="auto" w:fill="auto"/>
            <w:noWrap/>
            <w:hideMark/>
          </w:tcPr>
          <w:p w14:paraId="41C65061" w14:textId="77777777" w:rsidR="00232F0B" w:rsidRPr="00A40FD5" w:rsidRDefault="00232F0B" w:rsidP="00B9117B">
            <w:pPr>
              <w:pStyle w:val="TableText"/>
              <w:rPr>
                <w:color w:val="000000"/>
                <w:lang w:eastAsia="en-NZ"/>
              </w:rPr>
            </w:pPr>
            <w:r w:rsidRPr="00A40FD5">
              <w:rPr>
                <w:color w:val="000000"/>
                <w:lang w:eastAsia="en-NZ"/>
              </w:rPr>
              <w:t>5</w:t>
            </w:r>
          </w:p>
        </w:tc>
        <w:tc>
          <w:tcPr>
            <w:tcW w:w="1134" w:type="dxa"/>
            <w:shd w:val="clear" w:color="auto" w:fill="auto"/>
            <w:noWrap/>
            <w:hideMark/>
          </w:tcPr>
          <w:p w14:paraId="70066E94" w14:textId="77777777" w:rsidR="00232F0B" w:rsidRPr="00A40FD5" w:rsidRDefault="00232F0B" w:rsidP="00B9117B">
            <w:pPr>
              <w:pStyle w:val="TableText"/>
              <w:tabs>
                <w:tab w:val="decimal" w:pos="709"/>
              </w:tabs>
              <w:rPr>
                <w:color w:val="000000"/>
                <w:lang w:eastAsia="en-NZ"/>
              </w:rPr>
            </w:pPr>
            <w:r w:rsidRPr="00A40FD5">
              <w:rPr>
                <w:color w:val="000000"/>
                <w:lang w:eastAsia="en-NZ"/>
              </w:rPr>
              <w:t>$993</w:t>
            </w:r>
          </w:p>
        </w:tc>
        <w:tc>
          <w:tcPr>
            <w:tcW w:w="1701" w:type="dxa"/>
            <w:shd w:val="clear" w:color="auto" w:fill="auto"/>
            <w:noWrap/>
            <w:hideMark/>
          </w:tcPr>
          <w:p w14:paraId="41CD1FB2" w14:textId="77777777" w:rsidR="00232F0B" w:rsidRPr="00A40FD5" w:rsidRDefault="00232F0B" w:rsidP="00B9117B">
            <w:pPr>
              <w:pStyle w:val="TableText"/>
              <w:tabs>
                <w:tab w:val="decimal" w:pos="1021"/>
              </w:tabs>
              <w:rPr>
                <w:color w:val="000000"/>
                <w:lang w:eastAsia="en-NZ"/>
              </w:rPr>
            </w:pPr>
            <w:r w:rsidRPr="00A40FD5">
              <w:rPr>
                <w:color w:val="000000"/>
                <w:lang w:eastAsia="en-NZ"/>
              </w:rPr>
              <w:t>$361</w:t>
            </w:r>
          </w:p>
        </w:tc>
        <w:tc>
          <w:tcPr>
            <w:tcW w:w="1276" w:type="dxa"/>
            <w:shd w:val="clear" w:color="auto" w:fill="auto"/>
            <w:noWrap/>
            <w:hideMark/>
          </w:tcPr>
          <w:p w14:paraId="7545DA49" w14:textId="77777777" w:rsidR="00232F0B" w:rsidRPr="00A40FD5" w:rsidRDefault="00232F0B" w:rsidP="00B9117B">
            <w:pPr>
              <w:pStyle w:val="TableText"/>
              <w:tabs>
                <w:tab w:val="decimal" w:pos="794"/>
              </w:tabs>
              <w:rPr>
                <w:color w:val="000000"/>
                <w:lang w:eastAsia="en-NZ"/>
              </w:rPr>
            </w:pPr>
            <w:r w:rsidRPr="00A40FD5">
              <w:rPr>
                <w:color w:val="000000"/>
                <w:lang w:eastAsia="en-NZ"/>
              </w:rPr>
              <w:t>$415</w:t>
            </w:r>
          </w:p>
        </w:tc>
        <w:tc>
          <w:tcPr>
            <w:tcW w:w="1346" w:type="dxa"/>
            <w:shd w:val="clear" w:color="auto" w:fill="auto"/>
            <w:noWrap/>
            <w:hideMark/>
          </w:tcPr>
          <w:p w14:paraId="13D40E92" w14:textId="77777777" w:rsidR="00232F0B" w:rsidRPr="00A40FD5" w:rsidRDefault="00232F0B" w:rsidP="00B9117B">
            <w:pPr>
              <w:pStyle w:val="TableText"/>
              <w:tabs>
                <w:tab w:val="decimal" w:pos="918"/>
              </w:tabs>
              <w:rPr>
                <w:color w:val="000000"/>
                <w:lang w:eastAsia="en-NZ"/>
              </w:rPr>
            </w:pPr>
            <w:r w:rsidRPr="00A40FD5">
              <w:rPr>
                <w:color w:val="000000"/>
                <w:lang w:eastAsia="en-NZ"/>
              </w:rPr>
              <w:t>$632</w:t>
            </w:r>
          </w:p>
        </w:tc>
        <w:tc>
          <w:tcPr>
            <w:tcW w:w="1347" w:type="dxa"/>
            <w:shd w:val="clear" w:color="auto" w:fill="auto"/>
            <w:noWrap/>
            <w:hideMark/>
          </w:tcPr>
          <w:p w14:paraId="493FA7D1" w14:textId="77777777" w:rsidR="00232F0B" w:rsidRPr="00A40FD5" w:rsidRDefault="00232F0B" w:rsidP="00B9117B">
            <w:pPr>
              <w:pStyle w:val="TableText"/>
              <w:jc w:val="center"/>
              <w:rPr>
                <w:color w:val="000000"/>
                <w:lang w:eastAsia="en-NZ"/>
              </w:rPr>
            </w:pPr>
            <w:r w:rsidRPr="00A40FD5">
              <w:rPr>
                <w:color w:val="000000"/>
                <w:lang w:eastAsia="en-NZ"/>
              </w:rPr>
              <w:t>175%</w:t>
            </w:r>
          </w:p>
        </w:tc>
      </w:tr>
    </w:tbl>
    <w:p w14:paraId="2449FE74" w14:textId="77777777" w:rsidR="00232F0B" w:rsidRPr="00A40FD5" w:rsidRDefault="00232F0B" w:rsidP="00B9117B"/>
    <w:p w14:paraId="45B368E1" w14:textId="5D8B84C5" w:rsidR="00232F0B" w:rsidRPr="00A40FD5" w:rsidRDefault="005B5BE2" w:rsidP="00031E2A">
      <w:pPr>
        <w:pStyle w:val="Table"/>
      </w:pPr>
      <w:bookmarkStart w:id="232" w:name="_Ref87368875"/>
      <w:bookmarkStart w:id="233" w:name="_Toc84916127"/>
      <w:bookmarkStart w:id="234" w:name="_Toc84916190"/>
      <w:bookmarkStart w:id="235" w:name="_Toc88644161"/>
      <w:r>
        <w:t>Table </w:t>
      </w:r>
      <w:r w:rsidR="00384F9F">
        <w:fldChar w:fldCharType="begin"/>
      </w:r>
      <w:r w:rsidR="00384F9F">
        <w:instrText xml:space="preserve"> SEQ Table \* ARABIC </w:instrText>
      </w:r>
      <w:r w:rsidR="00384F9F">
        <w:fldChar w:fldCharType="separate"/>
      </w:r>
      <w:r w:rsidR="003A5600">
        <w:rPr>
          <w:noProof/>
        </w:rPr>
        <w:t>13</w:t>
      </w:r>
      <w:r w:rsidR="00384F9F">
        <w:rPr>
          <w:noProof/>
        </w:rPr>
        <w:fldChar w:fldCharType="end"/>
      </w:r>
      <w:bookmarkEnd w:id="232"/>
      <w:r w:rsidR="00232F0B" w:rsidRPr="00A40FD5">
        <w:t>:</w:t>
      </w:r>
      <w:r>
        <w:t xml:space="preserve"> </w:t>
      </w:r>
      <w:r w:rsidR="00232F0B" w:rsidRPr="00A40FD5">
        <w:t>Proposed source licence fees (exclusive of GST) for source renewal applications (with no variations)</w:t>
      </w:r>
      <w:bookmarkEnd w:id="233"/>
      <w:bookmarkEnd w:id="234"/>
      <w:bookmarkEnd w:id="235"/>
    </w:p>
    <w:tbl>
      <w:tblPr>
        <w:tblW w:w="8080" w:type="dxa"/>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1276"/>
        <w:gridCol w:w="1134"/>
        <w:gridCol w:w="1701"/>
        <w:gridCol w:w="1275"/>
        <w:gridCol w:w="1347"/>
        <w:gridCol w:w="1347"/>
      </w:tblGrid>
      <w:tr w:rsidR="00232F0B" w:rsidRPr="009A2D7D" w14:paraId="6DC302C1" w14:textId="77777777" w:rsidTr="009A2D7D">
        <w:trPr>
          <w:cantSplit/>
        </w:trPr>
        <w:tc>
          <w:tcPr>
            <w:tcW w:w="1276" w:type="dxa"/>
            <w:tcBorders>
              <w:top w:val="nil"/>
              <w:bottom w:val="nil"/>
            </w:tcBorders>
            <w:shd w:val="clear" w:color="auto" w:fill="D9D9D9" w:themeFill="background1" w:themeFillShade="D9"/>
            <w:noWrap/>
            <w:hideMark/>
          </w:tcPr>
          <w:p w14:paraId="0ECB572F" w14:textId="77777777" w:rsidR="00232F0B" w:rsidRPr="009A2D7D" w:rsidRDefault="00232F0B" w:rsidP="00B9117B">
            <w:pPr>
              <w:pStyle w:val="TableText"/>
              <w:rPr>
                <w:b/>
                <w:lang w:eastAsia="en-NZ"/>
              </w:rPr>
            </w:pPr>
            <w:r w:rsidRPr="009A2D7D">
              <w:rPr>
                <w:b/>
                <w:lang w:eastAsia="en-NZ"/>
              </w:rPr>
              <w:t>Inspection period (year)</w:t>
            </w:r>
          </w:p>
        </w:tc>
        <w:tc>
          <w:tcPr>
            <w:tcW w:w="1134" w:type="dxa"/>
            <w:tcBorders>
              <w:top w:val="nil"/>
              <w:bottom w:val="nil"/>
            </w:tcBorders>
            <w:shd w:val="clear" w:color="auto" w:fill="D9D9D9" w:themeFill="background1" w:themeFillShade="D9"/>
            <w:noWrap/>
            <w:hideMark/>
          </w:tcPr>
          <w:p w14:paraId="29DC5894" w14:textId="77777777" w:rsidR="00232F0B" w:rsidRPr="009A2D7D" w:rsidRDefault="00232F0B" w:rsidP="009A2D7D">
            <w:pPr>
              <w:pStyle w:val="TableText"/>
              <w:jc w:val="center"/>
              <w:rPr>
                <w:b/>
                <w:color w:val="000000"/>
                <w:lang w:eastAsia="en-NZ"/>
              </w:rPr>
            </w:pPr>
            <w:r w:rsidRPr="009A2D7D">
              <w:rPr>
                <w:b/>
                <w:color w:val="000000"/>
                <w:lang w:eastAsia="en-NZ"/>
              </w:rPr>
              <w:t>Proposed annual fee</w:t>
            </w:r>
          </w:p>
        </w:tc>
        <w:tc>
          <w:tcPr>
            <w:tcW w:w="1701" w:type="dxa"/>
            <w:tcBorders>
              <w:top w:val="nil"/>
              <w:bottom w:val="nil"/>
            </w:tcBorders>
            <w:shd w:val="clear" w:color="auto" w:fill="D9D9D9" w:themeFill="background1" w:themeFillShade="D9"/>
            <w:noWrap/>
            <w:hideMark/>
          </w:tcPr>
          <w:p w14:paraId="053EE994" w14:textId="77777777" w:rsidR="00232F0B" w:rsidRPr="009A2D7D" w:rsidRDefault="00232F0B" w:rsidP="009A2D7D">
            <w:pPr>
              <w:pStyle w:val="TableText"/>
              <w:jc w:val="center"/>
              <w:rPr>
                <w:b/>
                <w:color w:val="000000"/>
                <w:lang w:eastAsia="en-NZ"/>
              </w:rPr>
            </w:pPr>
            <w:r w:rsidRPr="009A2D7D">
              <w:rPr>
                <w:b/>
                <w:color w:val="000000"/>
                <w:lang w:eastAsia="en-NZ"/>
              </w:rPr>
              <w:t>Current fee</w:t>
            </w:r>
            <w:r w:rsidR="009A2D7D">
              <w:rPr>
                <w:b/>
                <w:color w:val="000000"/>
                <w:lang w:eastAsia="en-NZ"/>
              </w:rPr>
              <w:t xml:space="preserve"> </w:t>
            </w:r>
            <w:r w:rsidRPr="009A2D7D">
              <w:rPr>
                <w:b/>
                <w:color w:val="000000"/>
                <w:lang w:eastAsia="en-NZ"/>
              </w:rPr>
              <w:t>(before 7 March 2023)</w:t>
            </w:r>
          </w:p>
        </w:tc>
        <w:tc>
          <w:tcPr>
            <w:tcW w:w="1275" w:type="dxa"/>
            <w:tcBorders>
              <w:top w:val="nil"/>
              <w:bottom w:val="nil"/>
            </w:tcBorders>
            <w:shd w:val="clear" w:color="auto" w:fill="D9D9D9" w:themeFill="background1" w:themeFillShade="D9"/>
            <w:noWrap/>
            <w:hideMark/>
          </w:tcPr>
          <w:p w14:paraId="59939500" w14:textId="77777777" w:rsidR="00232F0B" w:rsidRPr="009A2D7D" w:rsidRDefault="00232F0B" w:rsidP="009A2D7D">
            <w:pPr>
              <w:pStyle w:val="TableText"/>
              <w:jc w:val="center"/>
              <w:rPr>
                <w:b/>
                <w:color w:val="000000"/>
                <w:lang w:eastAsia="en-NZ"/>
              </w:rPr>
            </w:pPr>
            <w:r w:rsidRPr="009A2D7D">
              <w:rPr>
                <w:b/>
                <w:color w:val="000000"/>
                <w:lang w:eastAsia="en-NZ"/>
              </w:rPr>
              <w:t>Fee from 7</w:t>
            </w:r>
            <w:r w:rsidR="009A2D7D">
              <w:rPr>
                <w:b/>
                <w:color w:val="000000"/>
                <w:lang w:eastAsia="en-NZ"/>
              </w:rPr>
              <w:t> </w:t>
            </w:r>
            <w:r w:rsidRPr="009A2D7D">
              <w:rPr>
                <w:b/>
                <w:color w:val="000000"/>
                <w:lang w:eastAsia="en-NZ"/>
              </w:rPr>
              <w:t>March 2023</w:t>
            </w:r>
          </w:p>
        </w:tc>
        <w:tc>
          <w:tcPr>
            <w:tcW w:w="1347" w:type="dxa"/>
            <w:tcBorders>
              <w:top w:val="nil"/>
              <w:bottom w:val="nil"/>
            </w:tcBorders>
            <w:shd w:val="clear" w:color="auto" w:fill="D9D9D9" w:themeFill="background1" w:themeFillShade="D9"/>
            <w:noWrap/>
            <w:hideMark/>
          </w:tcPr>
          <w:p w14:paraId="0DC810B9" w14:textId="77777777" w:rsidR="00232F0B" w:rsidRPr="009A2D7D" w:rsidRDefault="00232F0B" w:rsidP="009A2D7D">
            <w:pPr>
              <w:pStyle w:val="TableText"/>
              <w:jc w:val="center"/>
              <w:rPr>
                <w:b/>
                <w:color w:val="000000"/>
                <w:lang w:eastAsia="en-NZ"/>
              </w:rPr>
            </w:pPr>
            <w:r w:rsidRPr="009A2D7D">
              <w:rPr>
                <w:b/>
                <w:color w:val="000000"/>
                <w:lang w:eastAsia="en-NZ"/>
              </w:rPr>
              <w:t>$ increase on current fee</w:t>
            </w:r>
          </w:p>
        </w:tc>
        <w:tc>
          <w:tcPr>
            <w:tcW w:w="1347" w:type="dxa"/>
            <w:tcBorders>
              <w:top w:val="nil"/>
              <w:bottom w:val="nil"/>
            </w:tcBorders>
            <w:shd w:val="clear" w:color="auto" w:fill="D9D9D9" w:themeFill="background1" w:themeFillShade="D9"/>
            <w:noWrap/>
            <w:hideMark/>
          </w:tcPr>
          <w:p w14:paraId="4F363603" w14:textId="77777777" w:rsidR="00232F0B" w:rsidRPr="009A2D7D" w:rsidRDefault="00232F0B" w:rsidP="009A2D7D">
            <w:pPr>
              <w:pStyle w:val="TableText"/>
              <w:jc w:val="center"/>
              <w:rPr>
                <w:b/>
                <w:color w:val="000000"/>
                <w:lang w:eastAsia="en-NZ"/>
              </w:rPr>
            </w:pPr>
            <w:r w:rsidRPr="009A2D7D">
              <w:rPr>
                <w:b/>
                <w:color w:val="000000"/>
                <w:lang w:eastAsia="en-NZ"/>
              </w:rPr>
              <w:t>% increase on current fee</w:t>
            </w:r>
          </w:p>
        </w:tc>
      </w:tr>
      <w:tr w:rsidR="00232F0B" w:rsidRPr="00A40FD5" w14:paraId="5A8689D8" w14:textId="77777777" w:rsidTr="009A2D7D">
        <w:trPr>
          <w:cantSplit/>
        </w:trPr>
        <w:tc>
          <w:tcPr>
            <w:tcW w:w="1276" w:type="dxa"/>
            <w:tcBorders>
              <w:top w:val="nil"/>
            </w:tcBorders>
            <w:shd w:val="clear" w:color="auto" w:fill="auto"/>
            <w:noWrap/>
            <w:hideMark/>
          </w:tcPr>
          <w:p w14:paraId="6D4D9501" w14:textId="77777777" w:rsidR="00232F0B" w:rsidRPr="00A40FD5" w:rsidRDefault="00232F0B" w:rsidP="00B9117B">
            <w:pPr>
              <w:pStyle w:val="TableText"/>
              <w:rPr>
                <w:color w:val="000000"/>
                <w:lang w:eastAsia="en-NZ"/>
              </w:rPr>
            </w:pPr>
            <w:r w:rsidRPr="00A40FD5">
              <w:rPr>
                <w:color w:val="000000"/>
                <w:lang w:eastAsia="en-NZ"/>
              </w:rPr>
              <w:t>1</w:t>
            </w:r>
          </w:p>
        </w:tc>
        <w:tc>
          <w:tcPr>
            <w:tcW w:w="1134" w:type="dxa"/>
            <w:tcBorders>
              <w:top w:val="nil"/>
            </w:tcBorders>
            <w:shd w:val="clear" w:color="auto" w:fill="auto"/>
            <w:noWrap/>
            <w:hideMark/>
          </w:tcPr>
          <w:p w14:paraId="545A40F9" w14:textId="77777777" w:rsidR="00232F0B" w:rsidRPr="00A40FD5" w:rsidRDefault="00232F0B" w:rsidP="009A2D7D">
            <w:pPr>
              <w:pStyle w:val="TableText"/>
              <w:tabs>
                <w:tab w:val="decimal" w:pos="801"/>
              </w:tabs>
              <w:rPr>
                <w:color w:val="000000"/>
                <w:lang w:eastAsia="en-NZ"/>
              </w:rPr>
            </w:pPr>
            <w:r w:rsidRPr="00A40FD5">
              <w:rPr>
                <w:color w:val="000000"/>
                <w:lang w:eastAsia="en-NZ"/>
              </w:rPr>
              <w:t>$3,508</w:t>
            </w:r>
          </w:p>
        </w:tc>
        <w:tc>
          <w:tcPr>
            <w:tcW w:w="1701" w:type="dxa"/>
            <w:tcBorders>
              <w:top w:val="nil"/>
            </w:tcBorders>
            <w:shd w:val="clear" w:color="auto" w:fill="auto"/>
            <w:noWrap/>
            <w:hideMark/>
          </w:tcPr>
          <w:p w14:paraId="257B62CE" w14:textId="77777777" w:rsidR="00232F0B" w:rsidRPr="00A40FD5" w:rsidRDefault="00232F0B" w:rsidP="009A2D7D">
            <w:pPr>
              <w:pStyle w:val="TableText"/>
              <w:tabs>
                <w:tab w:val="decimal" w:pos="1021"/>
              </w:tabs>
              <w:rPr>
                <w:color w:val="000000"/>
                <w:lang w:eastAsia="en-NZ"/>
              </w:rPr>
            </w:pPr>
            <w:r w:rsidRPr="00A40FD5">
              <w:rPr>
                <w:color w:val="000000"/>
                <w:lang w:eastAsia="en-NZ"/>
              </w:rPr>
              <w:t>$1,309</w:t>
            </w:r>
          </w:p>
        </w:tc>
        <w:tc>
          <w:tcPr>
            <w:tcW w:w="1275" w:type="dxa"/>
            <w:tcBorders>
              <w:top w:val="nil"/>
            </w:tcBorders>
            <w:shd w:val="clear" w:color="auto" w:fill="auto"/>
            <w:noWrap/>
            <w:hideMark/>
          </w:tcPr>
          <w:p w14:paraId="098A4438" w14:textId="77777777" w:rsidR="00232F0B" w:rsidRPr="00A40FD5" w:rsidRDefault="00232F0B" w:rsidP="009A2D7D">
            <w:pPr>
              <w:pStyle w:val="TableText"/>
              <w:tabs>
                <w:tab w:val="decimal" w:pos="794"/>
              </w:tabs>
              <w:rPr>
                <w:color w:val="000000"/>
                <w:lang w:eastAsia="en-NZ"/>
              </w:rPr>
            </w:pPr>
            <w:r w:rsidRPr="00A40FD5">
              <w:rPr>
                <w:color w:val="000000"/>
                <w:lang w:eastAsia="en-NZ"/>
              </w:rPr>
              <w:t>$1,505</w:t>
            </w:r>
          </w:p>
        </w:tc>
        <w:tc>
          <w:tcPr>
            <w:tcW w:w="1347" w:type="dxa"/>
            <w:tcBorders>
              <w:top w:val="nil"/>
            </w:tcBorders>
            <w:shd w:val="clear" w:color="auto" w:fill="auto"/>
            <w:noWrap/>
            <w:hideMark/>
          </w:tcPr>
          <w:p w14:paraId="1867C17B" w14:textId="77777777" w:rsidR="00232F0B" w:rsidRPr="00A40FD5" w:rsidRDefault="00232F0B" w:rsidP="009A2D7D">
            <w:pPr>
              <w:pStyle w:val="TableText"/>
              <w:tabs>
                <w:tab w:val="decimal" w:pos="814"/>
              </w:tabs>
              <w:rPr>
                <w:color w:val="000000"/>
                <w:lang w:eastAsia="en-NZ"/>
              </w:rPr>
            </w:pPr>
            <w:r w:rsidRPr="00A40FD5">
              <w:rPr>
                <w:color w:val="000000"/>
                <w:lang w:eastAsia="en-NZ"/>
              </w:rPr>
              <w:t>$2,199</w:t>
            </w:r>
          </w:p>
        </w:tc>
        <w:tc>
          <w:tcPr>
            <w:tcW w:w="1347" w:type="dxa"/>
            <w:tcBorders>
              <w:top w:val="nil"/>
            </w:tcBorders>
            <w:shd w:val="clear" w:color="auto" w:fill="auto"/>
            <w:noWrap/>
            <w:hideMark/>
          </w:tcPr>
          <w:p w14:paraId="5F765ACE" w14:textId="77777777" w:rsidR="00232F0B" w:rsidRPr="00A40FD5" w:rsidRDefault="00232F0B" w:rsidP="009A2D7D">
            <w:pPr>
              <w:pStyle w:val="TableText"/>
              <w:jc w:val="center"/>
              <w:rPr>
                <w:color w:val="000000"/>
                <w:lang w:eastAsia="en-NZ"/>
              </w:rPr>
            </w:pPr>
            <w:r w:rsidRPr="00A40FD5">
              <w:rPr>
                <w:color w:val="000000"/>
                <w:lang w:eastAsia="en-NZ"/>
              </w:rPr>
              <w:t>168%</w:t>
            </w:r>
          </w:p>
        </w:tc>
      </w:tr>
      <w:tr w:rsidR="00232F0B" w:rsidRPr="00A40FD5" w14:paraId="50EEA046" w14:textId="77777777" w:rsidTr="009A2D7D">
        <w:trPr>
          <w:cantSplit/>
        </w:trPr>
        <w:tc>
          <w:tcPr>
            <w:tcW w:w="1276" w:type="dxa"/>
            <w:shd w:val="clear" w:color="auto" w:fill="auto"/>
            <w:noWrap/>
            <w:hideMark/>
          </w:tcPr>
          <w:p w14:paraId="76630AB8" w14:textId="77777777" w:rsidR="00232F0B" w:rsidRPr="00A40FD5" w:rsidRDefault="00232F0B" w:rsidP="00B9117B">
            <w:pPr>
              <w:pStyle w:val="TableText"/>
              <w:rPr>
                <w:color w:val="000000"/>
                <w:lang w:eastAsia="en-NZ"/>
              </w:rPr>
            </w:pPr>
            <w:r w:rsidRPr="00A40FD5">
              <w:rPr>
                <w:color w:val="000000"/>
                <w:lang w:eastAsia="en-NZ"/>
              </w:rPr>
              <w:t>2</w:t>
            </w:r>
          </w:p>
        </w:tc>
        <w:tc>
          <w:tcPr>
            <w:tcW w:w="1134" w:type="dxa"/>
            <w:shd w:val="clear" w:color="auto" w:fill="auto"/>
            <w:noWrap/>
            <w:hideMark/>
          </w:tcPr>
          <w:p w14:paraId="509F1A39" w14:textId="77777777" w:rsidR="00232F0B" w:rsidRPr="00A40FD5" w:rsidRDefault="00232F0B" w:rsidP="009A2D7D">
            <w:pPr>
              <w:pStyle w:val="TableText"/>
              <w:tabs>
                <w:tab w:val="decimal" w:pos="801"/>
              </w:tabs>
              <w:rPr>
                <w:color w:val="000000"/>
                <w:lang w:eastAsia="en-NZ"/>
              </w:rPr>
            </w:pPr>
            <w:r w:rsidRPr="00A40FD5">
              <w:rPr>
                <w:color w:val="000000"/>
                <w:lang w:eastAsia="en-NZ"/>
              </w:rPr>
              <w:t>$1,695</w:t>
            </w:r>
          </w:p>
        </w:tc>
        <w:tc>
          <w:tcPr>
            <w:tcW w:w="1701" w:type="dxa"/>
            <w:shd w:val="clear" w:color="auto" w:fill="auto"/>
            <w:noWrap/>
            <w:hideMark/>
          </w:tcPr>
          <w:p w14:paraId="02BDCD69" w14:textId="77777777" w:rsidR="00232F0B" w:rsidRPr="00A40FD5" w:rsidRDefault="00232F0B" w:rsidP="009A2D7D">
            <w:pPr>
              <w:pStyle w:val="TableText"/>
              <w:tabs>
                <w:tab w:val="decimal" w:pos="1021"/>
              </w:tabs>
              <w:rPr>
                <w:color w:val="000000"/>
                <w:lang w:eastAsia="en-NZ"/>
              </w:rPr>
            </w:pPr>
            <w:r w:rsidRPr="00A40FD5">
              <w:rPr>
                <w:color w:val="000000"/>
                <w:lang w:eastAsia="en-NZ"/>
              </w:rPr>
              <w:t>$718</w:t>
            </w:r>
          </w:p>
        </w:tc>
        <w:tc>
          <w:tcPr>
            <w:tcW w:w="1275" w:type="dxa"/>
            <w:shd w:val="clear" w:color="auto" w:fill="auto"/>
            <w:noWrap/>
            <w:hideMark/>
          </w:tcPr>
          <w:p w14:paraId="467DDA4F" w14:textId="77777777" w:rsidR="00232F0B" w:rsidRPr="00A40FD5" w:rsidRDefault="00232F0B" w:rsidP="009A2D7D">
            <w:pPr>
              <w:pStyle w:val="TableText"/>
              <w:tabs>
                <w:tab w:val="decimal" w:pos="794"/>
              </w:tabs>
              <w:rPr>
                <w:color w:val="000000"/>
                <w:lang w:eastAsia="en-NZ"/>
              </w:rPr>
            </w:pPr>
            <w:r w:rsidRPr="00A40FD5">
              <w:rPr>
                <w:color w:val="000000"/>
                <w:lang w:eastAsia="en-NZ"/>
              </w:rPr>
              <w:t>$825</w:t>
            </w:r>
          </w:p>
        </w:tc>
        <w:tc>
          <w:tcPr>
            <w:tcW w:w="1347" w:type="dxa"/>
            <w:shd w:val="clear" w:color="auto" w:fill="auto"/>
            <w:noWrap/>
            <w:hideMark/>
          </w:tcPr>
          <w:p w14:paraId="652CE623" w14:textId="77777777" w:rsidR="00232F0B" w:rsidRPr="00A40FD5" w:rsidRDefault="00232F0B" w:rsidP="009A2D7D">
            <w:pPr>
              <w:pStyle w:val="TableText"/>
              <w:tabs>
                <w:tab w:val="decimal" w:pos="814"/>
              </w:tabs>
              <w:rPr>
                <w:color w:val="000000"/>
                <w:lang w:eastAsia="en-NZ"/>
              </w:rPr>
            </w:pPr>
            <w:r w:rsidRPr="00A40FD5">
              <w:rPr>
                <w:color w:val="000000"/>
                <w:lang w:eastAsia="en-NZ"/>
              </w:rPr>
              <w:t>$977</w:t>
            </w:r>
          </w:p>
        </w:tc>
        <w:tc>
          <w:tcPr>
            <w:tcW w:w="1347" w:type="dxa"/>
            <w:shd w:val="clear" w:color="auto" w:fill="auto"/>
            <w:noWrap/>
            <w:hideMark/>
          </w:tcPr>
          <w:p w14:paraId="0685AA9B" w14:textId="77777777" w:rsidR="00232F0B" w:rsidRPr="00A40FD5" w:rsidRDefault="00232F0B" w:rsidP="009A2D7D">
            <w:pPr>
              <w:pStyle w:val="TableText"/>
              <w:jc w:val="center"/>
              <w:rPr>
                <w:color w:val="000000"/>
                <w:lang w:eastAsia="en-NZ"/>
              </w:rPr>
            </w:pPr>
            <w:r w:rsidRPr="00A40FD5">
              <w:rPr>
                <w:color w:val="000000"/>
                <w:lang w:eastAsia="en-NZ"/>
              </w:rPr>
              <w:t>13</w:t>
            </w:r>
            <w:r>
              <w:rPr>
                <w:color w:val="000000"/>
                <w:lang w:eastAsia="en-NZ"/>
              </w:rPr>
              <w:t>6</w:t>
            </w:r>
            <w:r w:rsidRPr="00A40FD5">
              <w:rPr>
                <w:color w:val="000000"/>
                <w:lang w:eastAsia="en-NZ"/>
              </w:rPr>
              <w:t>%</w:t>
            </w:r>
          </w:p>
        </w:tc>
      </w:tr>
      <w:tr w:rsidR="00232F0B" w:rsidRPr="00A40FD5" w14:paraId="478106B1" w14:textId="77777777" w:rsidTr="009A2D7D">
        <w:trPr>
          <w:cantSplit/>
        </w:trPr>
        <w:tc>
          <w:tcPr>
            <w:tcW w:w="1276" w:type="dxa"/>
            <w:shd w:val="clear" w:color="auto" w:fill="auto"/>
            <w:noWrap/>
            <w:hideMark/>
          </w:tcPr>
          <w:p w14:paraId="6D877E76" w14:textId="77777777" w:rsidR="00232F0B" w:rsidRPr="00A40FD5" w:rsidRDefault="00232F0B" w:rsidP="00B9117B">
            <w:pPr>
              <w:pStyle w:val="TableText"/>
              <w:rPr>
                <w:color w:val="000000"/>
                <w:lang w:eastAsia="en-NZ"/>
              </w:rPr>
            </w:pPr>
            <w:r w:rsidRPr="00A40FD5">
              <w:rPr>
                <w:color w:val="000000"/>
                <w:lang w:eastAsia="en-NZ"/>
              </w:rPr>
              <w:t>3</w:t>
            </w:r>
          </w:p>
        </w:tc>
        <w:tc>
          <w:tcPr>
            <w:tcW w:w="1134" w:type="dxa"/>
            <w:shd w:val="clear" w:color="auto" w:fill="auto"/>
            <w:noWrap/>
            <w:hideMark/>
          </w:tcPr>
          <w:p w14:paraId="020B5754" w14:textId="77777777" w:rsidR="00232F0B" w:rsidRPr="00A40FD5" w:rsidRDefault="00232F0B" w:rsidP="009A2D7D">
            <w:pPr>
              <w:pStyle w:val="TableText"/>
              <w:tabs>
                <w:tab w:val="decimal" w:pos="801"/>
              </w:tabs>
              <w:rPr>
                <w:color w:val="000000"/>
                <w:lang w:eastAsia="en-NZ"/>
              </w:rPr>
            </w:pPr>
            <w:r w:rsidRPr="00A40FD5">
              <w:rPr>
                <w:color w:val="000000"/>
                <w:lang w:eastAsia="en-NZ"/>
              </w:rPr>
              <w:t>$1,092</w:t>
            </w:r>
          </w:p>
        </w:tc>
        <w:tc>
          <w:tcPr>
            <w:tcW w:w="1701" w:type="dxa"/>
            <w:shd w:val="clear" w:color="auto" w:fill="auto"/>
            <w:noWrap/>
            <w:hideMark/>
          </w:tcPr>
          <w:p w14:paraId="0821D8B5" w14:textId="77777777" w:rsidR="00232F0B" w:rsidRPr="00A40FD5" w:rsidRDefault="00232F0B" w:rsidP="009A2D7D">
            <w:pPr>
              <w:pStyle w:val="TableText"/>
              <w:tabs>
                <w:tab w:val="decimal" w:pos="1021"/>
              </w:tabs>
              <w:rPr>
                <w:color w:val="000000"/>
                <w:lang w:eastAsia="en-NZ"/>
              </w:rPr>
            </w:pPr>
            <w:r w:rsidRPr="00A40FD5">
              <w:rPr>
                <w:color w:val="000000"/>
                <w:lang w:eastAsia="en-NZ"/>
              </w:rPr>
              <w:t>$522</w:t>
            </w:r>
          </w:p>
        </w:tc>
        <w:tc>
          <w:tcPr>
            <w:tcW w:w="1275" w:type="dxa"/>
            <w:shd w:val="clear" w:color="auto" w:fill="auto"/>
            <w:noWrap/>
            <w:hideMark/>
          </w:tcPr>
          <w:p w14:paraId="15834B29" w14:textId="77777777" w:rsidR="00232F0B" w:rsidRPr="00A40FD5" w:rsidRDefault="00232F0B" w:rsidP="009A2D7D">
            <w:pPr>
              <w:pStyle w:val="TableText"/>
              <w:tabs>
                <w:tab w:val="decimal" w:pos="794"/>
              </w:tabs>
              <w:rPr>
                <w:color w:val="000000"/>
                <w:lang w:eastAsia="en-NZ"/>
              </w:rPr>
            </w:pPr>
            <w:r w:rsidRPr="00A40FD5">
              <w:rPr>
                <w:color w:val="000000"/>
                <w:lang w:eastAsia="en-NZ"/>
              </w:rPr>
              <w:t>$600</w:t>
            </w:r>
          </w:p>
        </w:tc>
        <w:tc>
          <w:tcPr>
            <w:tcW w:w="1347" w:type="dxa"/>
            <w:shd w:val="clear" w:color="auto" w:fill="auto"/>
            <w:noWrap/>
            <w:hideMark/>
          </w:tcPr>
          <w:p w14:paraId="68E71F3A" w14:textId="77777777" w:rsidR="00232F0B" w:rsidRPr="00A40FD5" w:rsidRDefault="00232F0B" w:rsidP="009A2D7D">
            <w:pPr>
              <w:pStyle w:val="TableText"/>
              <w:tabs>
                <w:tab w:val="decimal" w:pos="814"/>
              </w:tabs>
              <w:rPr>
                <w:color w:val="000000"/>
                <w:lang w:eastAsia="en-NZ"/>
              </w:rPr>
            </w:pPr>
            <w:r w:rsidRPr="00A40FD5">
              <w:rPr>
                <w:color w:val="000000"/>
                <w:lang w:eastAsia="en-NZ"/>
              </w:rPr>
              <w:t>$570</w:t>
            </w:r>
          </w:p>
        </w:tc>
        <w:tc>
          <w:tcPr>
            <w:tcW w:w="1347" w:type="dxa"/>
            <w:shd w:val="clear" w:color="auto" w:fill="auto"/>
            <w:noWrap/>
            <w:hideMark/>
          </w:tcPr>
          <w:p w14:paraId="05A5DFA2" w14:textId="77777777" w:rsidR="00232F0B" w:rsidRPr="00A40FD5" w:rsidRDefault="00232F0B" w:rsidP="009A2D7D">
            <w:pPr>
              <w:pStyle w:val="TableText"/>
              <w:jc w:val="center"/>
              <w:rPr>
                <w:color w:val="000000"/>
                <w:lang w:eastAsia="en-NZ"/>
              </w:rPr>
            </w:pPr>
            <w:r w:rsidRPr="00A40FD5">
              <w:rPr>
                <w:color w:val="000000"/>
                <w:lang w:eastAsia="en-NZ"/>
              </w:rPr>
              <w:t>109%</w:t>
            </w:r>
          </w:p>
        </w:tc>
      </w:tr>
      <w:tr w:rsidR="00232F0B" w:rsidRPr="00A40FD5" w14:paraId="4A5950AF" w14:textId="77777777" w:rsidTr="009A2D7D">
        <w:trPr>
          <w:cantSplit/>
        </w:trPr>
        <w:tc>
          <w:tcPr>
            <w:tcW w:w="1276" w:type="dxa"/>
            <w:shd w:val="clear" w:color="auto" w:fill="auto"/>
            <w:noWrap/>
            <w:hideMark/>
          </w:tcPr>
          <w:p w14:paraId="3BEAA106" w14:textId="77777777" w:rsidR="00232F0B" w:rsidRPr="00A40FD5" w:rsidRDefault="00232F0B" w:rsidP="00B9117B">
            <w:pPr>
              <w:pStyle w:val="TableText"/>
              <w:rPr>
                <w:color w:val="000000"/>
                <w:lang w:eastAsia="en-NZ"/>
              </w:rPr>
            </w:pPr>
            <w:r w:rsidRPr="00A40FD5">
              <w:rPr>
                <w:color w:val="000000"/>
                <w:lang w:eastAsia="en-NZ"/>
              </w:rPr>
              <w:t>4</w:t>
            </w:r>
          </w:p>
        </w:tc>
        <w:tc>
          <w:tcPr>
            <w:tcW w:w="1134" w:type="dxa"/>
            <w:shd w:val="clear" w:color="auto" w:fill="auto"/>
            <w:noWrap/>
            <w:hideMark/>
          </w:tcPr>
          <w:p w14:paraId="33302C29" w14:textId="77777777" w:rsidR="00232F0B" w:rsidRPr="00A40FD5" w:rsidRDefault="00232F0B" w:rsidP="009A2D7D">
            <w:pPr>
              <w:pStyle w:val="TableText"/>
              <w:tabs>
                <w:tab w:val="decimal" w:pos="801"/>
              </w:tabs>
              <w:rPr>
                <w:color w:val="000000"/>
                <w:lang w:eastAsia="en-NZ"/>
              </w:rPr>
            </w:pPr>
            <w:r w:rsidRPr="00A40FD5">
              <w:rPr>
                <w:color w:val="000000"/>
                <w:lang w:eastAsia="en-NZ"/>
              </w:rPr>
              <w:t>$861</w:t>
            </w:r>
          </w:p>
        </w:tc>
        <w:tc>
          <w:tcPr>
            <w:tcW w:w="1701" w:type="dxa"/>
            <w:shd w:val="clear" w:color="auto" w:fill="auto"/>
            <w:noWrap/>
            <w:hideMark/>
          </w:tcPr>
          <w:p w14:paraId="5A1AF796" w14:textId="77777777" w:rsidR="00232F0B" w:rsidRPr="00A40FD5" w:rsidRDefault="00232F0B" w:rsidP="009A2D7D">
            <w:pPr>
              <w:pStyle w:val="TableText"/>
              <w:tabs>
                <w:tab w:val="decimal" w:pos="1021"/>
              </w:tabs>
              <w:rPr>
                <w:color w:val="000000"/>
                <w:lang w:eastAsia="en-NZ"/>
              </w:rPr>
            </w:pPr>
            <w:r w:rsidRPr="00A40FD5">
              <w:rPr>
                <w:color w:val="000000"/>
                <w:lang w:eastAsia="en-NZ"/>
              </w:rPr>
              <w:t>$422</w:t>
            </w:r>
          </w:p>
        </w:tc>
        <w:tc>
          <w:tcPr>
            <w:tcW w:w="1275" w:type="dxa"/>
            <w:shd w:val="clear" w:color="auto" w:fill="auto"/>
            <w:noWrap/>
            <w:hideMark/>
          </w:tcPr>
          <w:p w14:paraId="57991566" w14:textId="77777777" w:rsidR="00232F0B" w:rsidRPr="00A40FD5" w:rsidRDefault="00232F0B" w:rsidP="009A2D7D">
            <w:pPr>
              <w:pStyle w:val="TableText"/>
              <w:tabs>
                <w:tab w:val="decimal" w:pos="794"/>
              </w:tabs>
              <w:rPr>
                <w:color w:val="000000"/>
                <w:lang w:eastAsia="en-NZ"/>
              </w:rPr>
            </w:pPr>
            <w:r w:rsidRPr="00A40FD5">
              <w:rPr>
                <w:color w:val="000000"/>
                <w:lang w:eastAsia="en-NZ"/>
              </w:rPr>
              <w:t>$485</w:t>
            </w:r>
          </w:p>
        </w:tc>
        <w:tc>
          <w:tcPr>
            <w:tcW w:w="1347" w:type="dxa"/>
            <w:shd w:val="clear" w:color="auto" w:fill="auto"/>
            <w:noWrap/>
            <w:hideMark/>
          </w:tcPr>
          <w:p w14:paraId="26D6D714" w14:textId="77777777" w:rsidR="00232F0B" w:rsidRPr="00A40FD5" w:rsidRDefault="00232F0B" w:rsidP="009A2D7D">
            <w:pPr>
              <w:pStyle w:val="TableText"/>
              <w:tabs>
                <w:tab w:val="decimal" w:pos="814"/>
              </w:tabs>
              <w:rPr>
                <w:color w:val="000000"/>
                <w:lang w:eastAsia="en-NZ"/>
              </w:rPr>
            </w:pPr>
            <w:r w:rsidRPr="00A40FD5">
              <w:rPr>
                <w:color w:val="000000"/>
                <w:lang w:eastAsia="en-NZ"/>
              </w:rPr>
              <w:t>$439</w:t>
            </w:r>
          </w:p>
        </w:tc>
        <w:tc>
          <w:tcPr>
            <w:tcW w:w="1347" w:type="dxa"/>
            <w:shd w:val="clear" w:color="auto" w:fill="auto"/>
            <w:noWrap/>
            <w:hideMark/>
          </w:tcPr>
          <w:p w14:paraId="1B05D8C2" w14:textId="77777777" w:rsidR="00232F0B" w:rsidRPr="00A40FD5" w:rsidRDefault="00232F0B" w:rsidP="009A2D7D">
            <w:pPr>
              <w:pStyle w:val="TableText"/>
              <w:jc w:val="center"/>
              <w:rPr>
                <w:color w:val="000000"/>
                <w:lang w:eastAsia="en-NZ"/>
              </w:rPr>
            </w:pPr>
            <w:r w:rsidRPr="00A40FD5">
              <w:rPr>
                <w:color w:val="000000"/>
                <w:lang w:eastAsia="en-NZ"/>
              </w:rPr>
              <w:t>104%</w:t>
            </w:r>
          </w:p>
        </w:tc>
      </w:tr>
      <w:tr w:rsidR="00232F0B" w:rsidRPr="00A40FD5" w14:paraId="58AF6D45" w14:textId="77777777" w:rsidTr="009A2D7D">
        <w:trPr>
          <w:cantSplit/>
        </w:trPr>
        <w:tc>
          <w:tcPr>
            <w:tcW w:w="1276" w:type="dxa"/>
            <w:shd w:val="clear" w:color="auto" w:fill="auto"/>
            <w:noWrap/>
            <w:hideMark/>
          </w:tcPr>
          <w:p w14:paraId="5F792AFB" w14:textId="77777777" w:rsidR="00232F0B" w:rsidRPr="00A40FD5" w:rsidRDefault="00232F0B" w:rsidP="00B9117B">
            <w:pPr>
              <w:pStyle w:val="TableText"/>
              <w:rPr>
                <w:color w:val="000000"/>
                <w:lang w:eastAsia="en-NZ"/>
              </w:rPr>
            </w:pPr>
            <w:r w:rsidRPr="00A40FD5">
              <w:rPr>
                <w:color w:val="000000"/>
                <w:lang w:eastAsia="en-NZ"/>
              </w:rPr>
              <w:t>5</w:t>
            </w:r>
          </w:p>
        </w:tc>
        <w:tc>
          <w:tcPr>
            <w:tcW w:w="1134" w:type="dxa"/>
            <w:shd w:val="clear" w:color="auto" w:fill="auto"/>
            <w:noWrap/>
            <w:hideMark/>
          </w:tcPr>
          <w:p w14:paraId="4672BE1E" w14:textId="77777777" w:rsidR="00232F0B" w:rsidRPr="00A40FD5" w:rsidRDefault="00232F0B" w:rsidP="009A2D7D">
            <w:pPr>
              <w:pStyle w:val="TableText"/>
              <w:tabs>
                <w:tab w:val="decimal" w:pos="801"/>
              </w:tabs>
              <w:rPr>
                <w:color w:val="000000"/>
                <w:lang w:eastAsia="en-NZ"/>
              </w:rPr>
            </w:pPr>
            <w:r w:rsidRPr="00A40FD5">
              <w:rPr>
                <w:color w:val="000000"/>
                <w:lang w:eastAsia="en-NZ"/>
              </w:rPr>
              <w:t>$757</w:t>
            </w:r>
          </w:p>
        </w:tc>
        <w:tc>
          <w:tcPr>
            <w:tcW w:w="1701" w:type="dxa"/>
            <w:shd w:val="clear" w:color="auto" w:fill="auto"/>
            <w:noWrap/>
            <w:hideMark/>
          </w:tcPr>
          <w:p w14:paraId="3AF4640F" w14:textId="77777777" w:rsidR="00232F0B" w:rsidRPr="00A40FD5" w:rsidRDefault="00232F0B" w:rsidP="009A2D7D">
            <w:pPr>
              <w:pStyle w:val="TableText"/>
              <w:tabs>
                <w:tab w:val="decimal" w:pos="1021"/>
              </w:tabs>
              <w:rPr>
                <w:color w:val="000000"/>
                <w:lang w:eastAsia="en-NZ"/>
              </w:rPr>
            </w:pPr>
            <w:r w:rsidRPr="00A40FD5">
              <w:rPr>
                <w:color w:val="000000"/>
                <w:lang w:eastAsia="en-NZ"/>
              </w:rPr>
              <w:t>$361</w:t>
            </w:r>
          </w:p>
        </w:tc>
        <w:tc>
          <w:tcPr>
            <w:tcW w:w="1275" w:type="dxa"/>
            <w:shd w:val="clear" w:color="auto" w:fill="auto"/>
            <w:noWrap/>
            <w:hideMark/>
          </w:tcPr>
          <w:p w14:paraId="4CAF6126" w14:textId="77777777" w:rsidR="00232F0B" w:rsidRPr="00A40FD5" w:rsidRDefault="00232F0B" w:rsidP="009A2D7D">
            <w:pPr>
              <w:pStyle w:val="TableText"/>
              <w:tabs>
                <w:tab w:val="decimal" w:pos="794"/>
              </w:tabs>
              <w:rPr>
                <w:color w:val="000000"/>
                <w:lang w:eastAsia="en-NZ"/>
              </w:rPr>
            </w:pPr>
            <w:r w:rsidRPr="00A40FD5">
              <w:rPr>
                <w:color w:val="000000"/>
                <w:lang w:eastAsia="en-NZ"/>
              </w:rPr>
              <w:t>$415</w:t>
            </w:r>
          </w:p>
        </w:tc>
        <w:tc>
          <w:tcPr>
            <w:tcW w:w="1347" w:type="dxa"/>
            <w:shd w:val="clear" w:color="auto" w:fill="auto"/>
            <w:noWrap/>
            <w:hideMark/>
          </w:tcPr>
          <w:p w14:paraId="7F2ED680" w14:textId="77777777" w:rsidR="00232F0B" w:rsidRPr="00A40FD5" w:rsidRDefault="00232F0B" w:rsidP="009A2D7D">
            <w:pPr>
              <w:pStyle w:val="TableText"/>
              <w:tabs>
                <w:tab w:val="decimal" w:pos="814"/>
              </w:tabs>
              <w:rPr>
                <w:color w:val="000000"/>
                <w:lang w:eastAsia="en-NZ"/>
              </w:rPr>
            </w:pPr>
            <w:r w:rsidRPr="00A40FD5">
              <w:rPr>
                <w:color w:val="000000"/>
                <w:lang w:eastAsia="en-NZ"/>
              </w:rPr>
              <w:t>$396</w:t>
            </w:r>
          </w:p>
        </w:tc>
        <w:tc>
          <w:tcPr>
            <w:tcW w:w="1347" w:type="dxa"/>
            <w:shd w:val="clear" w:color="auto" w:fill="auto"/>
            <w:noWrap/>
            <w:hideMark/>
          </w:tcPr>
          <w:p w14:paraId="42E7FBB0" w14:textId="77777777" w:rsidR="00232F0B" w:rsidRPr="00A40FD5" w:rsidRDefault="00232F0B" w:rsidP="009A2D7D">
            <w:pPr>
              <w:pStyle w:val="TableText"/>
              <w:jc w:val="center"/>
              <w:rPr>
                <w:color w:val="000000"/>
                <w:lang w:eastAsia="en-NZ"/>
              </w:rPr>
            </w:pPr>
            <w:r w:rsidRPr="00A40FD5">
              <w:rPr>
                <w:color w:val="000000"/>
                <w:lang w:eastAsia="en-NZ"/>
              </w:rPr>
              <w:t>110%</w:t>
            </w:r>
          </w:p>
        </w:tc>
      </w:tr>
    </w:tbl>
    <w:p w14:paraId="5CFFE434" w14:textId="77777777" w:rsidR="00232F0B" w:rsidRPr="00A40FD5" w:rsidRDefault="00232F0B" w:rsidP="009A2D7D"/>
    <w:p w14:paraId="5FE28D8F" w14:textId="77777777" w:rsidR="0087667B" w:rsidRDefault="00232F0B" w:rsidP="00031E2A">
      <w:r w:rsidRPr="00A40FD5">
        <w:t>The proposed increases are based on a reassessment of the effort employed to regula</w:t>
      </w:r>
      <w:r w:rsidRPr="00031E2A">
        <w:t>t</w:t>
      </w:r>
      <w:r w:rsidRPr="00A40FD5">
        <w:t>e rather than applying a percentage increase to the current fee.</w:t>
      </w:r>
    </w:p>
    <w:p w14:paraId="115D8BA8" w14:textId="77777777" w:rsidR="00232F0B" w:rsidRPr="00A40FD5" w:rsidRDefault="00232F0B" w:rsidP="00031E2A"/>
    <w:p w14:paraId="4CC3644D" w14:textId="7FFBD3E0" w:rsidR="0087667B" w:rsidRDefault="00232F0B" w:rsidP="00031E2A">
      <w:r w:rsidRPr="00A40FD5">
        <w:t xml:space="preserve">The reassessed fees </w:t>
      </w:r>
      <w:r>
        <w:t>comprise</w:t>
      </w:r>
      <w:r w:rsidRPr="00A40FD5">
        <w:t xml:space="preserve"> costs attributed to regulating as set out in </w:t>
      </w:r>
      <w:r w:rsidR="00031E2A">
        <w:fldChar w:fldCharType="begin"/>
      </w:r>
      <w:r w:rsidR="00031E2A">
        <w:instrText xml:space="preserve"> REF _Ref87368882 \h </w:instrText>
      </w:r>
      <w:r w:rsidR="00031E2A">
        <w:fldChar w:fldCharType="separate"/>
      </w:r>
      <w:r w:rsidR="003A5600">
        <w:t>Table </w:t>
      </w:r>
      <w:r w:rsidR="003A5600">
        <w:rPr>
          <w:noProof/>
        </w:rPr>
        <w:t>14</w:t>
      </w:r>
      <w:r w:rsidR="00031E2A">
        <w:fldChar w:fldCharType="end"/>
      </w:r>
      <w:r w:rsidRPr="00A40FD5">
        <w:t xml:space="preserve"> and </w:t>
      </w:r>
      <w:r w:rsidR="00031E2A">
        <w:fldChar w:fldCharType="begin"/>
      </w:r>
      <w:r w:rsidR="00031E2A">
        <w:instrText xml:space="preserve"> REF _Ref87369206 \h </w:instrText>
      </w:r>
      <w:r w:rsidR="00031E2A">
        <w:fldChar w:fldCharType="separate"/>
      </w:r>
      <w:r w:rsidR="003A5600">
        <w:t>Table </w:t>
      </w:r>
      <w:r w:rsidR="003A5600">
        <w:rPr>
          <w:noProof/>
        </w:rPr>
        <w:t>15</w:t>
      </w:r>
      <w:r w:rsidR="00031E2A">
        <w:fldChar w:fldCharType="end"/>
      </w:r>
      <w:r>
        <w:t xml:space="preserve"> below</w:t>
      </w:r>
      <w:r w:rsidRPr="00A40FD5">
        <w:t>.</w:t>
      </w:r>
    </w:p>
    <w:p w14:paraId="7EEBC79E" w14:textId="77777777" w:rsidR="00232F0B" w:rsidRPr="00A40FD5" w:rsidRDefault="00232F0B" w:rsidP="00031E2A"/>
    <w:p w14:paraId="3655FCF3" w14:textId="1D1C1837" w:rsidR="00232F0B" w:rsidRPr="00A40FD5" w:rsidRDefault="005B5BE2" w:rsidP="00031E2A">
      <w:pPr>
        <w:pStyle w:val="Table"/>
      </w:pPr>
      <w:bookmarkStart w:id="236" w:name="_Ref87368882"/>
      <w:bookmarkStart w:id="237" w:name="_Toc84916128"/>
      <w:bookmarkStart w:id="238" w:name="_Toc84916191"/>
      <w:bookmarkStart w:id="239" w:name="_Toc88644162"/>
      <w:r>
        <w:t>Table </w:t>
      </w:r>
      <w:r w:rsidR="00384F9F">
        <w:fldChar w:fldCharType="begin"/>
      </w:r>
      <w:r w:rsidR="00384F9F">
        <w:instrText xml:space="preserve"> SEQ Table \* ARABIC </w:instrText>
      </w:r>
      <w:r w:rsidR="00384F9F">
        <w:fldChar w:fldCharType="separate"/>
      </w:r>
      <w:r w:rsidR="003A5600">
        <w:rPr>
          <w:noProof/>
        </w:rPr>
        <w:t>14</w:t>
      </w:r>
      <w:r w:rsidR="00384F9F">
        <w:rPr>
          <w:noProof/>
        </w:rPr>
        <w:fldChar w:fldCharType="end"/>
      </w:r>
      <w:bookmarkEnd w:id="236"/>
      <w:r w:rsidR="00232F0B" w:rsidRPr="00A40FD5">
        <w:t>:</w:t>
      </w:r>
      <w:r>
        <w:t xml:space="preserve"> </w:t>
      </w:r>
      <w:r w:rsidR="00232F0B" w:rsidRPr="00A40FD5">
        <w:t>Proposed source licence fee components new and variation applications</w:t>
      </w:r>
      <w:bookmarkEnd w:id="237"/>
      <w:bookmarkEnd w:id="238"/>
      <w:bookmarkEnd w:id="239"/>
    </w:p>
    <w:tbl>
      <w:tblPr>
        <w:tblW w:w="8080" w:type="dxa"/>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993"/>
        <w:gridCol w:w="1275"/>
        <w:gridCol w:w="1146"/>
        <w:gridCol w:w="1275"/>
        <w:gridCol w:w="1123"/>
        <w:gridCol w:w="1276"/>
        <w:gridCol w:w="992"/>
      </w:tblGrid>
      <w:tr w:rsidR="00232F0B" w:rsidRPr="009A2D7D" w14:paraId="0E24A1D8" w14:textId="77777777" w:rsidTr="009A2D7D">
        <w:trPr>
          <w:cantSplit/>
        </w:trPr>
        <w:tc>
          <w:tcPr>
            <w:tcW w:w="993" w:type="dxa"/>
            <w:tcBorders>
              <w:top w:val="nil"/>
              <w:bottom w:val="nil"/>
            </w:tcBorders>
            <w:shd w:val="clear" w:color="auto" w:fill="D9D9D9" w:themeFill="background1" w:themeFillShade="D9"/>
            <w:hideMark/>
          </w:tcPr>
          <w:p w14:paraId="1BD5B632" w14:textId="77777777" w:rsidR="00232F0B" w:rsidRPr="009A2D7D" w:rsidRDefault="00232F0B" w:rsidP="009A2D7D">
            <w:pPr>
              <w:pStyle w:val="TableText"/>
              <w:rPr>
                <w:b/>
                <w:sz w:val="17"/>
                <w:szCs w:val="17"/>
                <w:lang w:eastAsia="en-NZ"/>
              </w:rPr>
            </w:pPr>
            <w:r w:rsidRPr="009A2D7D">
              <w:rPr>
                <w:b/>
                <w:sz w:val="17"/>
                <w:szCs w:val="17"/>
                <w:lang w:eastAsia="en-NZ"/>
              </w:rPr>
              <w:t>Inspection period</w:t>
            </w:r>
          </w:p>
        </w:tc>
        <w:tc>
          <w:tcPr>
            <w:tcW w:w="1275" w:type="dxa"/>
            <w:tcBorders>
              <w:top w:val="nil"/>
              <w:bottom w:val="nil"/>
            </w:tcBorders>
            <w:shd w:val="clear" w:color="auto" w:fill="D9D9D9" w:themeFill="background1" w:themeFillShade="D9"/>
            <w:hideMark/>
          </w:tcPr>
          <w:p w14:paraId="70BB4D50" w14:textId="77777777" w:rsidR="00232F0B" w:rsidRPr="009A2D7D" w:rsidRDefault="00232F0B" w:rsidP="009A2D7D">
            <w:pPr>
              <w:pStyle w:val="TableText"/>
              <w:jc w:val="center"/>
              <w:rPr>
                <w:b/>
                <w:sz w:val="17"/>
                <w:szCs w:val="17"/>
                <w:lang w:eastAsia="en-NZ"/>
              </w:rPr>
            </w:pPr>
            <w:r w:rsidRPr="009A2D7D">
              <w:rPr>
                <w:b/>
                <w:sz w:val="17"/>
                <w:szCs w:val="17"/>
                <w:lang w:eastAsia="en-NZ"/>
              </w:rPr>
              <w:t>Projected authorisations</w:t>
            </w:r>
          </w:p>
        </w:tc>
        <w:tc>
          <w:tcPr>
            <w:tcW w:w="1146" w:type="dxa"/>
            <w:tcBorders>
              <w:top w:val="nil"/>
              <w:bottom w:val="nil"/>
            </w:tcBorders>
            <w:shd w:val="clear" w:color="auto" w:fill="D9D9D9" w:themeFill="background1" w:themeFillShade="D9"/>
            <w:hideMark/>
          </w:tcPr>
          <w:p w14:paraId="5C91FC42" w14:textId="77777777" w:rsidR="00232F0B" w:rsidRPr="009A2D7D" w:rsidRDefault="00232F0B" w:rsidP="009A2D7D">
            <w:pPr>
              <w:pStyle w:val="TableText"/>
              <w:jc w:val="center"/>
              <w:rPr>
                <w:b/>
                <w:sz w:val="17"/>
                <w:szCs w:val="17"/>
                <w:lang w:eastAsia="en-NZ"/>
              </w:rPr>
            </w:pPr>
            <w:r w:rsidRPr="009A2D7D">
              <w:rPr>
                <w:b/>
                <w:sz w:val="17"/>
                <w:szCs w:val="17"/>
                <w:lang w:eastAsia="en-NZ"/>
              </w:rPr>
              <w:t>Application fee component (annual)</w:t>
            </w:r>
          </w:p>
        </w:tc>
        <w:tc>
          <w:tcPr>
            <w:tcW w:w="1275" w:type="dxa"/>
            <w:tcBorders>
              <w:top w:val="nil"/>
              <w:bottom w:val="nil"/>
            </w:tcBorders>
            <w:shd w:val="clear" w:color="auto" w:fill="D9D9D9" w:themeFill="background1" w:themeFillShade="D9"/>
            <w:hideMark/>
          </w:tcPr>
          <w:p w14:paraId="6787561A" w14:textId="77777777" w:rsidR="00232F0B" w:rsidRPr="009A2D7D" w:rsidRDefault="00232F0B" w:rsidP="009A2D7D">
            <w:pPr>
              <w:pStyle w:val="TableText"/>
              <w:jc w:val="center"/>
              <w:rPr>
                <w:b/>
                <w:sz w:val="17"/>
                <w:szCs w:val="17"/>
                <w:lang w:eastAsia="en-NZ"/>
              </w:rPr>
            </w:pPr>
            <w:r w:rsidRPr="009A2D7D">
              <w:rPr>
                <w:b/>
                <w:sz w:val="17"/>
                <w:szCs w:val="17"/>
                <w:lang w:eastAsia="en-NZ"/>
              </w:rPr>
              <w:t>Compliance verification (inspections) fee component (annual)</w:t>
            </w:r>
          </w:p>
        </w:tc>
        <w:tc>
          <w:tcPr>
            <w:tcW w:w="1123" w:type="dxa"/>
            <w:tcBorders>
              <w:top w:val="nil"/>
              <w:bottom w:val="nil"/>
            </w:tcBorders>
            <w:shd w:val="clear" w:color="auto" w:fill="D9D9D9" w:themeFill="background1" w:themeFillShade="D9"/>
            <w:hideMark/>
          </w:tcPr>
          <w:p w14:paraId="4DFF1363" w14:textId="77777777" w:rsidR="00232F0B" w:rsidRPr="009A2D7D" w:rsidRDefault="00232F0B" w:rsidP="009A2D7D">
            <w:pPr>
              <w:pStyle w:val="TableText"/>
              <w:jc w:val="center"/>
              <w:rPr>
                <w:b/>
                <w:sz w:val="17"/>
                <w:szCs w:val="17"/>
                <w:lang w:eastAsia="en-NZ"/>
              </w:rPr>
            </w:pPr>
            <w:r w:rsidRPr="009A2D7D">
              <w:rPr>
                <w:b/>
                <w:sz w:val="17"/>
                <w:szCs w:val="17"/>
                <w:lang w:eastAsia="en-NZ"/>
              </w:rPr>
              <w:t>Technical evaluation fee component (annual)</w:t>
            </w:r>
          </w:p>
        </w:tc>
        <w:tc>
          <w:tcPr>
            <w:tcW w:w="1276" w:type="dxa"/>
            <w:tcBorders>
              <w:top w:val="nil"/>
              <w:bottom w:val="nil"/>
            </w:tcBorders>
            <w:shd w:val="clear" w:color="auto" w:fill="D9D9D9" w:themeFill="background1" w:themeFillShade="D9"/>
            <w:hideMark/>
          </w:tcPr>
          <w:p w14:paraId="4D97A50A" w14:textId="77777777" w:rsidR="00232F0B" w:rsidRPr="009A2D7D" w:rsidRDefault="00232F0B" w:rsidP="009A2D7D">
            <w:pPr>
              <w:pStyle w:val="TableText"/>
              <w:jc w:val="center"/>
              <w:rPr>
                <w:b/>
                <w:sz w:val="17"/>
                <w:szCs w:val="17"/>
                <w:lang w:eastAsia="en-NZ"/>
              </w:rPr>
            </w:pPr>
            <w:r w:rsidRPr="009A2D7D">
              <w:rPr>
                <w:b/>
                <w:sz w:val="17"/>
                <w:szCs w:val="17"/>
                <w:lang w:eastAsia="en-NZ"/>
              </w:rPr>
              <w:t>Memorandum account adjustment fee component (annual)</w:t>
            </w:r>
          </w:p>
        </w:tc>
        <w:tc>
          <w:tcPr>
            <w:tcW w:w="992" w:type="dxa"/>
            <w:tcBorders>
              <w:top w:val="nil"/>
              <w:bottom w:val="nil"/>
            </w:tcBorders>
            <w:shd w:val="clear" w:color="auto" w:fill="D9D9D9" w:themeFill="background1" w:themeFillShade="D9"/>
            <w:hideMark/>
          </w:tcPr>
          <w:p w14:paraId="4DA355EF" w14:textId="77777777" w:rsidR="00232F0B" w:rsidRPr="009A2D7D" w:rsidRDefault="00232F0B" w:rsidP="009A2D7D">
            <w:pPr>
              <w:pStyle w:val="TableText"/>
              <w:jc w:val="center"/>
              <w:rPr>
                <w:b/>
                <w:sz w:val="17"/>
                <w:szCs w:val="17"/>
                <w:lang w:eastAsia="en-NZ"/>
              </w:rPr>
            </w:pPr>
            <w:r w:rsidRPr="009A2D7D">
              <w:rPr>
                <w:b/>
                <w:sz w:val="17"/>
                <w:szCs w:val="17"/>
                <w:lang w:eastAsia="en-NZ"/>
              </w:rPr>
              <w:t>Proposed fee (annual)</w:t>
            </w:r>
          </w:p>
        </w:tc>
      </w:tr>
      <w:tr w:rsidR="009A2D7D" w:rsidRPr="00A40FD5" w14:paraId="72E326FC" w14:textId="77777777" w:rsidTr="00202A51">
        <w:trPr>
          <w:cantSplit/>
        </w:trPr>
        <w:tc>
          <w:tcPr>
            <w:tcW w:w="8080" w:type="dxa"/>
            <w:gridSpan w:val="7"/>
            <w:tcBorders>
              <w:top w:val="nil"/>
            </w:tcBorders>
            <w:shd w:val="clear" w:color="auto" w:fill="auto"/>
            <w:noWrap/>
            <w:hideMark/>
          </w:tcPr>
          <w:p w14:paraId="2E61A427" w14:textId="77777777" w:rsidR="009A2D7D" w:rsidRPr="009A2D7D" w:rsidRDefault="009A2D7D" w:rsidP="009A2D7D">
            <w:pPr>
              <w:pStyle w:val="TableText"/>
              <w:rPr>
                <w:b/>
                <w:sz w:val="17"/>
                <w:szCs w:val="17"/>
                <w:lang w:eastAsia="en-NZ"/>
              </w:rPr>
            </w:pPr>
            <w:r w:rsidRPr="009A2D7D">
              <w:rPr>
                <w:b/>
                <w:sz w:val="17"/>
                <w:szCs w:val="17"/>
                <w:lang w:eastAsia="en-NZ"/>
              </w:rPr>
              <w:t>New and variations</w:t>
            </w:r>
          </w:p>
        </w:tc>
      </w:tr>
      <w:tr w:rsidR="00232F0B" w:rsidRPr="00A40FD5" w14:paraId="2081DB88" w14:textId="77777777" w:rsidTr="009A2D7D">
        <w:trPr>
          <w:cantSplit/>
        </w:trPr>
        <w:tc>
          <w:tcPr>
            <w:tcW w:w="993" w:type="dxa"/>
            <w:shd w:val="clear" w:color="auto" w:fill="auto"/>
            <w:noWrap/>
            <w:hideMark/>
          </w:tcPr>
          <w:p w14:paraId="0F5B81F1" w14:textId="77777777" w:rsidR="00232F0B" w:rsidRPr="009A2D7D" w:rsidRDefault="00232F0B" w:rsidP="009A2D7D">
            <w:pPr>
              <w:pStyle w:val="TableText"/>
              <w:rPr>
                <w:sz w:val="17"/>
                <w:szCs w:val="17"/>
                <w:lang w:eastAsia="en-NZ"/>
              </w:rPr>
            </w:pPr>
            <w:r w:rsidRPr="009A2D7D">
              <w:rPr>
                <w:sz w:val="17"/>
                <w:szCs w:val="17"/>
                <w:lang w:eastAsia="en-NZ"/>
              </w:rPr>
              <w:t>1</w:t>
            </w:r>
          </w:p>
        </w:tc>
        <w:tc>
          <w:tcPr>
            <w:tcW w:w="1275" w:type="dxa"/>
            <w:shd w:val="clear" w:color="auto" w:fill="auto"/>
            <w:noWrap/>
            <w:hideMark/>
          </w:tcPr>
          <w:p w14:paraId="4494BFB6" w14:textId="77777777" w:rsidR="00232F0B" w:rsidRPr="009A2D7D" w:rsidRDefault="00232F0B" w:rsidP="009A2D7D">
            <w:pPr>
              <w:pStyle w:val="TableText"/>
              <w:tabs>
                <w:tab w:val="decimal" w:pos="651"/>
              </w:tabs>
              <w:rPr>
                <w:sz w:val="17"/>
                <w:szCs w:val="17"/>
                <w:lang w:eastAsia="en-NZ"/>
              </w:rPr>
            </w:pPr>
            <w:r w:rsidRPr="009A2D7D">
              <w:rPr>
                <w:sz w:val="17"/>
                <w:szCs w:val="17"/>
                <w:lang w:eastAsia="en-NZ"/>
              </w:rPr>
              <w:t>2</w:t>
            </w:r>
          </w:p>
        </w:tc>
        <w:tc>
          <w:tcPr>
            <w:tcW w:w="1146" w:type="dxa"/>
            <w:shd w:val="clear" w:color="auto" w:fill="auto"/>
            <w:noWrap/>
            <w:hideMark/>
          </w:tcPr>
          <w:p w14:paraId="198B75B2" w14:textId="77777777" w:rsidR="00232F0B" w:rsidRPr="009A2D7D" w:rsidRDefault="00232F0B" w:rsidP="009A2D7D">
            <w:pPr>
              <w:pStyle w:val="TableText"/>
              <w:jc w:val="center"/>
              <w:rPr>
                <w:sz w:val="17"/>
                <w:szCs w:val="17"/>
                <w:lang w:eastAsia="en-NZ"/>
              </w:rPr>
            </w:pPr>
            <w:r w:rsidRPr="009A2D7D">
              <w:rPr>
                <w:sz w:val="17"/>
                <w:szCs w:val="17"/>
                <w:lang w:eastAsia="en-NZ"/>
              </w:rPr>
              <w:t>$450</w:t>
            </w:r>
          </w:p>
        </w:tc>
        <w:tc>
          <w:tcPr>
            <w:tcW w:w="1275" w:type="dxa"/>
            <w:shd w:val="clear" w:color="auto" w:fill="auto"/>
            <w:noWrap/>
            <w:hideMark/>
          </w:tcPr>
          <w:p w14:paraId="162EF992" w14:textId="77777777" w:rsidR="00232F0B" w:rsidRPr="009A2D7D" w:rsidRDefault="00232F0B" w:rsidP="009A2D7D">
            <w:pPr>
              <w:pStyle w:val="TableText"/>
              <w:tabs>
                <w:tab w:val="decimal" w:pos="782"/>
              </w:tabs>
              <w:rPr>
                <w:sz w:val="17"/>
                <w:szCs w:val="17"/>
                <w:lang w:eastAsia="en-NZ"/>
              </w:rPr>
            </w:pPr>
            <w:r w:rsidRPr="009A2D7D">
              <w:rPr>
                <w:sz w:val="17"/>
                <w:szCs w:val="17"/>
                <w:lang w:eastAsia="en-NZ"/>
              </w:rPr>
              <w:t>$2,888</w:t>
            </w:r>
          </w:p>
        </w:tc>
        <w:tc>
          <w:tcPr>
            <w:tcW w:w="1123" w:type="dxa"/>
            <w:shd w:val="clear" w:color="auto" w:fill="auto"/>
            <w:noWrap/>
            <w:hideMark/>
          </w:tcPr>
          <w:p w14:paraId="23290998" w14:textId="77777777" w:rsidR="00232F0B" w:rsidRPr="009A2D7D" w:rsidRDefault="00232F0B" w:rsidP="009A2D7D">
            <w:pPr>
              <w:pStyle w:val="TableText"/>
              <w:jc w:val="center"/>
              <w:rPr>
                <w:sz w:val="17"/>
                <w:szCs w:val="17"/>
                <w:lang w:eastAsia="en-NZ"/>
              </w:rPr>
            </w:pPr>
            <w:r w:rsidRPr="009A2D7D">
              <w:rPr>
                <w:sz w:val="17"/>
                <w:szCs w:val="17"/>
                <w:lang w:eastAsia="en-NZ"/>
              </w:rPr>
              <w:t>$88</w:t>
            </w:r>
          </w:p>
        </w:tc>
        <w:tc>
          <w:tcPr>
            <w:tcW w:w="1276" w:type="dxa"/>
            <w:shd w:val="clear" w:color="auto" w:fill="auto"/>
            <w:noWrap/>
            <w:hideMark/>
          </w:tcPr>
          <w:p w14:paraId="7861BE7E" w14:textId="77777777" w:rsidR="00232F0B" w:rsidRPr="009A2D7D" w:rsidRDefault="00232F0B" w:rsidP="009A2D7D">
            <w:pPr>
              <w:pStyle w:val="TableText"/>
              <w:tabs>
                <w:tab w:val="decimal" w:pos="794"/>
              </w:tabs>
              <w:rPr>
                <w:sz w:val="17"/>
                <w:szCs w:val="17"/>
                <w:lang w:eastAsia="en-NZ"/>
              </w:rPr>
            </w:pPr>
            <w:r w:rsidRPr="009A2D7D">
              <w:rPr>
                <w:sz w:val="17"/>
                <w:szCs w:val="17"/>
                <w:lang w:eastAsia="en-NZ"/>
              </w:rPr>
              <w:t>$318</w:t>
            </w:r>
          </w:p>
        </w:tc>
        <w:tc>
          <w:tcPr>
            <w:tcW w:w="992" w:type="dxa"/>
            <w:shd w:val="clear" w:color="auto" w:fill="auto"/>
            <w:noWrap/>
            <w:hideMark/>
          </w:tcPr>
          <w:p w14:paraId="58D5E367" w14:textId="77777777" w:rsidR="00232F0B" w:rsidRPr="009A2D7D" w:rsidRDefault="00232F0B" w:rsidP="009A2D7D">
            <w:pPr>
              <w:pStyle w:val="TableText"/>
              <w:tabs>
                <w:tab w:val="decimal" w:pos="652"/>
              </w:tabs>
              <w:rPr>
                <w:sz w:val="17"/>
                <w:szCs w:val="17"/>
                <w:lang w:eastAsia="en-NZ"/>
              </w:rPr>
            </w:pPr>
            <w:r w:rsidRPr="009A2D7D">
              <w:rPr>
                <w:sz w:val="17"/>
                <w:szCs w:val="17"/>
                <w:lang w:eastAsia="en-NZ"/>
              </w:rPr>
              <w:t>$3,744</w:t>
            </w:r>
          </w:p>
        </w:tc>
      </w:tr>
      <w:tr w:rsidR="00232F0B" w:rsidRPr="00A40FD5" w14:paraId="52E51C57" w14:textId="77777777" w:rsidTr="009A2D7D">
        <w:trPr>
          <w:cantSplit/>
        </w:trPr>
        <w:tc>
          <w:tcPr>
            <w:tcW w:w="993" w:type="dxa"/>
            <w:shd w:val="clear" w:color="auto" w:fill="auto"/>
            <w:noWrap/>
            <w:hideMark/>
          </w:tcPr>
          <w:p w14:paraId="30CFC693" w14:textId="77777777" w:rsidR="00232F0B" w:rsidRPr="009A2D7D" w:rsidRDefault="00232F0B" w:rsidP="009A2D7D">
            <w:pPr>
              <w:pStyle w:val="TableText"/>
              <w:rPr>
                <w:sz w:val="17"/>
                <w:szCs w:val="17"/>
                <w:lang w:eastAsia="en-NZ"/>
              </w:rPr>
            </w:pPr>
            <w:r w:rsidRPr="009A2D7D">
              <w:rPr>
                <w:sz w:val="17"/>
                <w:szCs w:val="17"/>
                <w:lang w:eastAsia="en-NZ"/>
              </w:rPr>
              <w:t>2</w:t>
            </w:r>
          </w:p>
        </w:tc>
        <w:tc>
          <w:tcPr>
            <w:tcW w:w="1275" w:type="dxa"/>
            <w:shd w:val="clear" w:color="auto" w:fill="auto"/>
            <w:noWrap/>
            <w:hideMark/>
          </w:tcPr>
          <w:p w14:paraId="2E01CAE6" w14:textId="77777777" w:rsidR="00232F0B" w:rsidRPr="009A2D7D" w:rsidRDefault="00232F0B" w:rsidP="009A2D7D">
            <w:pPr>
              <w:pStyle w:val="TableText"/>
              <w:tabs>
                <w:tab w:val="decimal" w:pos="651"/>
              </w:tabs>
              <w:rPr>
                <w:sz w:val="17"/>
                <w:szCs w:val="17"/>
                <w:lang w:eastAsia="en-NZ"/>
              </w:rPr>
            </w:pPr>
            <w:r w:rsidRPr="009A2D7D">
              <w:rPr>
                <w:sz w:val="17"/>
                <w:szCs w:val="17"/>
                <w:lang w:eastAsia="en-NZ"/>
              </w:rPr>
              <w:t>16</w:t>
            </w:r>
          </w:p>
        </w:tc>
        <w:tc>
          <w:tcPr>
            <w:tcW w:w="1146" w:type="dxa"/>
            <w:shd w:val="clear" w:color="auto" w:fill="auto"/>
            <w:noWrap/>
            <w:hideMark/>
          </w:tcPr>
          <w:p w14:paraId="15D196B3" w14:textId="77777777" w:rsidR="00232F0B" w:rsidRPr="009A2D7D" w:rsidRDefault="00232F0B" w:rsidP="009A2D7D">
            <w:pPr>
              <w:pStyle w:val="TableText"/>
              <w:jc w:val="center"/>
              <w:rPr>
                <w:sz w:val="17"/>
                <w:szCs w:val="17"/>
                <w:lang w:eastAsia="en-NZ"/>
              </w:rPr>
            </w:pPr>
            <w:r w:rsidRPr="009A2D7D">
              <w:rPr>
                <w:sz w:val="17"/>
                <w:szCs w:val="17"/>
                <w:lang w:eastAsia="en-NZ"/>
              </w:rPr>
              <w:t>$450</w:t>
            </w:r>
          </w:p>
        </w:tc>
        <w:tc>
          <w:tcPr>
            <w:tcW w:w="1275" w:type="dxa"/>
            <w:shd w:val="clear" w:color="auto" w:fill="auto"/>
            <w:noWrap/>
            <w:hideMark/>
          </w:tcPr>
          <w:p w14:paraId="248F0CE6" w14:textId="77777777" w:rsidR="00232F0B" w:rsidRPr="009A2D7D" w:rsidRDefault="00232F0B" w:rsidP="009A2D7D">
            <w:pPr>
              <w:pStyle w:val="TableText"/>
              <w:tabs>
                <w:tab w:val="decimal" w:pos="782"/>
              </w:tabs>
              <w:rPr>
                <w:sz w:val="17"/>
                <w:szCs w:val="17"/>
                <w:lang w:eastAsia="en-NZ"/>
              </w:rPr>
            </w:pPr>
            <w:r w:rsidRPr="009A2D7D">
              <w:rPr>
                <w:sz w:val="17"/>
                <w:szCs w:val="17"/>
                <w:lang w:eastAsia="en-NZ"/>
              </w:rPr>
              <w:t>$1,228</w:t>
            </w:r>
          </w:p>
        </w:tc>
        <w:tc>
          <w:tcPr>
            <w:tcW w:w="1123" w:type="dxa"/>
            <w:shd w:val="clear" w:color="auto" w:fill="auto"/>
            <w:noWrap/>
            <w:hideMark/>
          </w:tcPr>
          <w:p w14:paraId="1EEE8C0E" w14:textId="77777777" w:rsidR="00232F0B" w:rsidRPr="009A2D7D" w:rsidRDefault="00232F0B" w:rsidP="009A2D7D">
            <w:pPr>
              <w:pStyle w:val="TableText"/>
              <w:jc w:val="center"/>
              <w:rPr>
                <w:sz w:val="17"/>
                <w:szCs w:val="17"/>
                <w:lang w:eastAsia="en-NZ"/>
              </w:rPr>
            </w:pPr>
            <w:r w:rsidRPr="009A2D7D">
              <w:rPr>
                <w:sz w:val="17"/>
                <w:szCs w:val="17"/>
                <w:lang w:eastAsia="en-NZ"/>
              </w:rPr>
              <w:t>$88</w:t>
            </w:r>
          </w:p>
        </w:tc>
        <w:tc>
          <w:tcPr>
            <w:tcW w:w="1276" w:type="dxa"/>
            <w:shd w:val="clear" w:color="auto" w:fill="auto"/>
            <w:noWrap/>
            <w:hideMark/>
          </w:tcPr>
          <w:p w14:paraId="407FA6EA" w14:textId="77777777" w:rsidR="00232F0B" w:rsidRPr="009A2D7D" w:rsidRDefault="00232F0B" w:rsidP="009A2D7D">
            <w:pPr>
              <w:pStyle w:val="TableText"/>
              <w:tabs>
                <w:tab w:val="decimal" w:pos="794"/>
              </w:tabs>
              <w:rPr>
                <w:sz w:val="17"/>
                <w:szCs w:val="17"/>
                <w:lang w:eastAsia="en-NZ"/>
              </w:rPr>
            </w:pPr>
            <w:r w:rsidRPr="009A2D7D">
              <w:rPr>
                <w:sz w:val="17"/>
                <w:szCs w:val="17"/>
                <w:lang w:eastAsia="en-NZ"/>
              </w:rPr>
              <w:t>$165</w:t>
            </w:r>
          </w:p>
        </w:tc>
        <w:tc>
          <w:tcPr>
            <w:tcW w:w="992" w:type="dxa"/>
            <w:shd w:val="clear" w:color="auto" w:fill="auto"/>
            <w:noWrap/>
            <w:hideMark/>
          </w:tcPr>
          <w:p w14:paraId="7C3330D3" w14:textId="77777777" w:rsidR="00232F0B" w:rsidRPr="009A2D7D" w:rsidRDefault="00232F0B" w:rsidP="009A2D7D">
            <w:pPr>
              <w:pStyle w:val="TableText"/>
              <w:tabs>
                <w:tab w:val="decimal" w:pos="652"/>
              </w:tabs>
              <w:rPr>
                <w:sz w:val="17"/>
                <w:szCs w:val="17"/>
                <w:lang w:eastAsia="en-NZ"/>
              </w:rPr>
            </w:pPr>
            <w:r w:rsidRPr="009A2D7D">
              <w:rPr>
                <w:sz w:val="17"/>
                <w:szCs w:val="17"/>
                <w:lang w:eastAsia="en-NZ"/>
              </w:rPr>
              <w:t>$1,931</w:t>
            </w:r>
          </w:p>
        </w:tc>
      </w:tr>
      <w:tr w:rsidR="00232F0B" w:rsidRPr="00A40FD5" w14:paraId="76C9DBEC" w14:textId="77777777" w:rsidTr="009A2D7D">
        <w:trPr>
          <w:cantSplit/>
        </w:trPr>
        <w:tc>
          <w:tcPr>
            <w:tcW w:w="993" w:type="dxa"/>
            <w:shd w:val="clear" w:color="auto" w:fill="auto"/>
            <w:noWrap/>
            <w:hideMark/>
          </w:tcPr>
          <w:p w14:paraId="3A7D2207" w14:textId="77777777" w:rsidR="00232F0B" w:rsidRPr="009A2D7D" w:rsidRDefault="00232F0B" w:rsidP="009A2D7D">
            <w:pPr>
              <w:pStyle w:val="TableText"/>
              <w:rPr>
                <w:sz w:val="17"/>
                <w:szCs w:val="17"/>
                <w:lang w:eastAsia="en-NZ"/>
              </w:rPr>
            </w:pPr>
            <w:r w:rsidRPr="009A2D7D">
              <w:rPr>
                <w:sz w:val="17"/>
                <w:szCs w:val="17"/>
                <w:lang w:eastAsia="en-NZ"/>
              </w:rPr>
              <w:t>3</w:t>
            </w:r>
          </w:p>
        </w:tc>
        <w:tc>
          <w:tcPr>
            <w:tcW w:w="1275" w:type="dxa"/>
            <w:shd w:val="clear" w:color="auto" w:fill="auto"/>
            <w:noWrap/>
            <w:hideMark/>
          </w:tcPr>
          <w:p w14:paraId="6D8F3A03" w14:textId="77777777" w:rsidR="00232F0B" w:rsidRPr="009A2D7D" w:rsidRDefault="00232F0B" w:rsidP="009A2D7D">
            <w:pPr>
              <w:pStyle w:val="TableText"/>
              <w:tabs>
                <w:tab w:val="decimal" w:pos="651"/>
              </w:tabs>
              <w:rPr>
                <w:sz w:val="17"/>
                <w:szCs w:val="17"/>
                <w:lang w:eastAsia="en-NZ"/>
              </w:rPr>
            </w:pPr>
            <w:r w:rsidRPr="009A2D7D">
              <w:rPr>
                <w:sz w:val="17"/>
                <w:szCs w:val="17"/>
                <w:lang w:eastAsia="en-NZ"/>
              </w:rPr>
              <w:t>10</w:t>
            </w:r>
          </w:p>
        </w:tc>
        <w:tc>
          <w:tcPr>
            <w:tcW w:w="1146" w:type="dxa"/>
            <w:shd w:val="clear" w:color="auto" w:fill="auto"/>
            <w:noWrap/>
            <w:hideMark/>
          </w:tcPr>
          <w:p w14:paraId="2AB16C45" w14:textId="77777777" w:rsidR="00232F0B" w:rsidRPr="009A2D7D" w:rsidRDefault="00232F0B" w:rsidP="009A2D7D">
            <w:pPr>
              <w:pStyle w:val="TableText"/>
              <w:jc w:val="center"/>
              <w:rPr>
                <w:sz w:val="17"/>
                <w:szCs w:val="17"/>
                <w:lang w:eastAsia="en-NZ"/>
              </w:rPr>
            </w:pPr>
            <w:r w:rsidRPr="009A2D7D">
              <w:rPr>
                <w:sz w:val="17"/>
                <w:szCs w:val="17"/>
                <w:lang w:eastAsia="en-NZ"/>
              </w:rPr>
              <w:t>$450</w:t>
            </w:r>
          </w:p>
        </w:tc>
        <w:tc>
          <w:tcPr>
            <w:tcW w:w="1275" w:type="dxa"/>
            <w:shd w:val="clear" w:color="auto" w:fill="auto"/>
            <w:noWrap/>
            <w:hideMark/>
          </w:tcPr>
          <w:p w14:paraId="73934B2F" w14:textId="77777777" w:rsidR="00232F0B" w:rsidRPr="009A2D7D" w:rsidRDefault="00232F0B" w:rsidP="009A2D7D">
            <w:pPr>
              <w:pStyle w:val="TableText"/>
              <w:tabs>
                <w:tab w:val="decimal" w:pos="782"/>
              </w:tabs>
              <w:rPr>
                <w:sz w:val="17"/>
                <w:szCs w:val="17"/>
                <w:lang w:eastAsia="en-NZ"/>
              </w:rPr>
            </w:pPr>
            <w:r w:rsidRPr="009A2D7D">
              <w:rPr>
                <w:sz w:val="17"/>
                <w:szCs w:val="17"/>
                <w:lang w:eastAsia="en-NZ"/>
              </w:rPr>
              <w:t>$677</w:t>
            </w:r>
          </w:p>
        </w:tc>
        <w:tc>
          <w:tcPr>
            <w:tcW w:w="1123" w:type="dxa"/>
            <w:shd w:val="clear" w:color="auto" w:fill="auto"/>
            <w:noWrap/>
            <w:hideMark/>
          </w:tcPr>
          <w:p w14:paraId="74B84C26" w14:textId="77777777" w:rsidR="00232F0B" w:rsidRPr="009A2D7D" w:rsidRDefault="00232F0B" w:rsidP="009A2D7D">
            <w:pPr>
              <w:pStyle w:val="TableText"/>
              <w:jc w:val="center"/>
              <w:rPr>
                <w:sz w:val="17"/>
                <w:szCs w:val="17"/>
                <w:lang w:eastAsia="en-NZ"/>
              </w:rPr>
            </w:pPr>
            <w:r w:rsidRPr="009A2D7D">
              <w:rPr>
                <w:sz w:val="17"/>
                <w:szCs w:val="17"/>
                <w:lang w:eastAsia="en-NZ"/>
              </w:rPr>
              <w:t>$88</w:t>
            </w:r>
          </w:p>
        </w:tc>
        <w:tc>
          <w:tcPr>
            <w:tcW w:w="1276" w:type="dxa"/>
            <w:shd w:val="clear" w:color="auto" w:fill="auto"/>
            <w:noWrap/>
            <w:hideMark/>
          </w:tcPr>
          <w:p w14:paraId="5D4E343B" w14:textId="77777777" w:rsidR="00232F0B" w:rsidRPr="009A2D7D" w:rsidRDefault="00232F0B" w:rsidP="009A2D7D">
            <w:pPr>
              <w:pStyle w:val="TableText"/>
              <w:tabs>
                <w:tab w:val="decimal" w:pos="794"/>
              </w:tabs>
              <w:rPr>
                <w:sz w:val="17"/>
                <w:szCs w:val="17"/>
                <w:lang w:eastAsia="en-NZ"/>
              </w:rPr>
            </w:pPr>
            <w:r w:rsidRPr="009A2D7D">
              <w:rPr>
                <w:sz w:val="17"/>
                <w:szCs w:val="17"/>
                <w:lang w:eastAsia="en-NZ"/>
              </w:rPr>
              <w:t>$113</w:t>
            </w:r>
          </w:p>
        </w:tc>
        <w:tc>
          <w:tcPr>
            <w:tcW w:w="992" w:type="dxa"/>
            <w:shd w:val="clear" w:color="auto" w:fill="auto"/>
            <w:noWrap/>
            <w:hideMark/>
          </w:tcPr>
          <w:p w14:paraId="1C36A0F7" w14:textId="77777777" w:rsidR="00232F0B" w:rsidRPr="009A2D7D" w:rsidRDefault="00232F0B" w:rsidP="009A2D7D">
            <w:pPr>
              <w:pStyle w:val="TableText"/>
              <w:tabs>
                <w:tab w:val="decimal" w:pos="652"/>
              </w:tabs>
              <w:rPr>
                <w:sz w:val="17"/>
                <w:szCs w:val="17"/>
                <w:lang w:eastAsia="en-NZ"/>
              </w:rPr>
            </w:pPr>
            <w:r w:rsidRPr="009A2D7D">
              <w:rPr>
                <w:sz w:val="17"/>
                <w:szCs w:val="17"/>
                <w:lang w:eastAsia="en-NZ"/>
              </w:rPr>
              <w:t>$1,328</w:t>
            </w:r>
          </w:p>
        </w:tc>
      </w:tr>
      <w:tr w:rsidR="00232F0B" w:rsidRPr="00A40FD5" w14:paraId="26EE222D" w14:textId="77777777" w:rsidTr="009A2D7D">
        <w:trPr>
          <w:cantSplit/>
        </w:trPr>
        <w:tc>
          <w:tcPr>
            <w:tcW w:w="993" w:type="dxa"/>
            <w:shd w:val="clear" w:color="auto" w:fill="auto"/>
            <w:noWrap/>
            <w:hideMark/>
          </w:tcPr>
          <w:p w14:paraId="3906F5C7" w14:textId="77777777" w:rsidR="00232F0B" w:rsidRPr="009A2D7D" w:rsidRDefault="00232F0B" w:rsidP="009A2D7D">
            <w:pPr>
              <w:pStyle w:val="TableText"/>
              <w:rPr>
                <w:sz w:val="17"/>
                <w:szCs w:val="17"/>
                <w:lang w:eastAsia="en-NZ"/>
              </w:rPr>
            </w:pPr>
            <w:r w:rsidRPr="009A2D7D">
              <w:rPr>
                <w:sz w:val="17"/>
                <w:szCs w:val="17"/>
                <w:lang w:eastAsia="en-NZ"/>
              </w:rPr>
              <w:t>4</w:t>
            </w:r>
          </w:p>
        </w:tc>
        <w:tc>
          <w:tcPr>
            <w:tcW w:w="1275" w:type="dxa"/>
            <w:shd w:val="clear" w:color="auto" w:fill="auto"/>
            <w:noWrap/>
            <w:hideMark/>
          </w:tcPr>
          <w:p w14:paraId="5B0FB5AC" w14:textId="77777777" w:rsidR="00232F0B" w:rsidRPr="009A2D7D" w:rsidRDefault="00232F0B" w:rsidP="009A2D7D">
            <w:pPr>
              <w:pStyle w:val="TableText"/>
              <w:tabs>
                <w:tab w:val="decimal" w:pos="651"/>
              </w:tabs>
              <w:rPr>
                <w:sz w:val="17"/>
                <w:szCs w:val="17"/>
                <w:lang w:eastAsia="en-NZ"/>
              </w:rPr>
            </w:pPr>
            <w:r w:rsidRPr="009A2D7D">
              <w:rPr>
                <w:sz w:val="17"/>
                <w:szCs w:val="17"/>
                <w:lang w:eastAsia="en-NZ"/>
              </w:rPr>
              <w:t>25</w:t>
            </w:r>
          </w:p>
        </w:tc>
        <w:tc>
          <w:tcPr>
            <w:tcW w:w="1146" w:type="dxa"/>
            <w:shd w:val="clear" w:color="auto" w:fill="auto"/>
            <w:noWrap/>
            <w:hideMark/>
          </w:tcPr>
          <w:p w14:paraId="04B97449" w14:textId="77777777" w:rsidR="00232F0B" w:rsidRPr="009A2D7D" w:rsidRDefault="00232F0B" w:rsidP="009A2D7D">
            <w:pPr>
              <w:pStyle w:val="TableText"/>
              <w:jc w:val="center"/>
              <w:rPr>
                <w:sz w:val="17"/>
                <w:szCs w:val="17"/>
                <w:lang w:eastAsia="en-NZ"/>
              </w:rPr>
            </w:pPr>
            <w:r w:rsidRPr="009A2D7D">
              <w:rPr>
                <w:sz w:val="17"/>
                <w:szCs w:val="17"/>
                <w:lang w:eastAsia="en-NZ"/>
              </w:rPr>
              <w:t>$450</w:t>
            </w:r>
          </w:p>
        </w:tc>
        <w:tc>
          <w:tcPr>
            <w:tcW w:w="1275" w:type="dxa"/>
            <w:shd w:val="clear" w:color="auto" w:fill="auto"/>
            <w:noWrap/>
            <w:hideMark/>
          </w:tcPr>
          <w:p w14:paraId="59AEBE1A" w14:textId="77777777" w:rsidR="00232F0B" w:rsidRPr="009A2D7D" w:rsidRDefault="00232F0B" w:rsidP="009A2D7D">
            <w:pPr>
              <w:pStyle w:val="TableText"/>
              <w:tabs>
                <w:tab w:val="decimal" w:pos="782"/>
              </w:tabs>
              <w:rPr>
                <w:sz w:val="17"/>
                <w:szCs w:val="17"/>
                <w:lang w:eastAsia="en-NZ"/>
              </w:rPr>
            </w:pPr>
            <w:r w:rsidRPr="009A2D7D">
              <w:rPr>
                <w:sz w:val="17"/>
                <w:szCs w:val="17"/>
                <w:lang w:eastAsia="en-NZ"/>
              </w:rPr>
              <w:t>$465</w:t>
            </w:r>
          </w:p>
        </w:tc>
        <w:tc>
          <w:tcPr>
            <w:tcW w:w="1123" w:type="dxa"/>
            <w:shd w:val="clear" w:color="auto" w:fill="auto"/>
            <w:noWrap/>
            <w:hideMark/>
          </w:tcPr>
          <w:p w14:paraId="1FBFE462" w14:textId="77777777" w:rsidR="00232F0B" w:rsidRPr="009A2D7D" w:rsidRDefault="00232F0B" w:rsidP="009A2D7D">
            <w:pPr>
              <w:pStyle w:val="TableText"/>
              <w:jc w:val="center"/>
              <w:rPr>
                <w:sz w:val="17"/>
                <w:szCs w:val="17"/>
                <w:lang w:eastAsia="en-NZ"/>
              </w:rPr>
            </w:pPr>
            <w:r w:rsidRPr="009A2D7D">
              <w:rPr>
                <w:sz w:val="17"/>
                <w:szCs w:val="17"/>
                <w:lang w:eastAsia="en-NZ"/>
              </w:rPr>
              <w:t>$88</w:t>
            </w:r>
          </w:p>
        </w:tc>
        <w:tc>
          <w:tcPr>
            <w:tcW w:w="1276" w:type="dxa"/>
            <w:shd w:val="clear" w:color="auto" w:fill="auto"/>
            <w:noWrap/>
            <w:hideMark/>
          </w:tcPr>
          <w:p w14:paraId="1FA93D86" w14:textId="77777777" w:rsidR="00232F0B" w:rsidRPr="009A2D7D" w:rsidRDefault="00232F0B" w:rsidP="009A2D7D">
            <w:pPr>
              <w:pStyle w:val="TableText"/>
              <w:tabs>
                <w:tab w:val="decimal" w:pos="794"/>
              </w:tabs>
              <w:rPr>
                <w:sz w:val="17"/>
                <w:szCs w:val="17"/>
                <w:lang w:eastAsia="en-NZ"/>
              </w:rPr>
            </w:pPr>
            <w:r w:rsidRPr="009A2D7D">
              <w:rPr>
                <w:sz w:val="17"/>
                <w:szCs w:val="17"/>
                <w:lang w:eastAsia="en-NZ"/>
              </w:rPr>
              <w:t>$94</w:t>
            </w:r>
          </w:p>
        </w:tc>
        <w:tc>
          <w:tcPr>
            <w:tcW w:w="992" w:type="dxa"/>
            <w:shd w:val="clear" w:color="auto" w:fill="auto"/>
            <w:noWrap/>
            <w:hideMark/>
          </w:tcPr>
          <w:p w14:paraId="3AAA00D1" w14:textId="77777777" w:rsidR="00232F0B" w:rsidRPr="009A2D7D" w:rsidRDefault="00232F0B" w:rsidP="009A2D7D">
            <w:pPr>
              <w:pStyle w:val="TableText"/>
              <w:tabs>
                <w:tab w:val="decimal" w:pos="652"/>
              </w:tabs>
              <w:rPr>
                <w:sz w:val="17"/>
                <w:szCs w:val="17"/>
                <w:lang w:eastAsia="en-NZ"/>
              </w:rPr>
            </w:pPr>
            <w:r w:rsidRPr="009A2D7D">
              <w:rPr>
                <w:sz w:val="17"/>
                <w:szCs w:val="17"/>
                <w:lang w:eastAsia="en-NZ"/>
              </w:rPr>
              <w:t>$1,097</w:t>
            </w:r>
          </w:p>
        </w:tc>
      </w:tr>
      <w:tr w:rsidR="00232F0B" w:rsidRPr="00A40FD5" w14:paraId="2372C492" w14:textId="77777777" w:rsidTr="009A2D7D">
        <w:trPr>
          <w:cantSplit/>
        </w:trPr>
        <w:tc>
          <w:tcPr>
            <w:tcW w:w="993" w:type="dxa"/>
            <w:shd w:val="clear" w:color="auto" w:fill="auto"/>
            <w:noWrap/>
            <w:hideMark/>
          </w:tcPr>
          <w:p w14:paraId="18A1E06E" w14:textId="77777777" w:rsidR="00232F0B" w:rsidRPr="009A2D7D" w:rsidRDefault="00232F0B" w:rsidP="009A2D7D">
            <w:pPr>
              <w:pStyle w:val="TableText"/>
              <w:rPr>
                <w:sz w:val="17"/>
                <w:szCs w:val="17"/>
                <w:lang w:eastAsia="en-NZ"/>
              </w:rPr>
            </w:pPr>
            <w:r w:rsidRPr="009A2D7D">
              <w:rPr>
                <w:sz w:val="17"/>
                <w:szCs w:val="17"/>
                <w:lang w:eastAsia="en-NZ"/>
              </w:rPr>
              <w:t>5</w:t>
            </w:r>
          </w:p>
        </w:tc>
        <w:tc>
          <w:tcPr>
            <w:tcW w:w="1275" w:type="dxa"/>
            <w:shd w:val="clear" w:color="auto" w:fill="auto"/>
            <w:noWrap/>
            <w:hideMark/>
          </w:tcPr>
          <w:p w14:paraId="152BABC3" w14:textId="77777777" w:rsidR="00232F0B" w:rsidRPr="009A2D7D" w:rsidRDefault="00232F0B" w:rsidP="009A2D7D">
            <w:pPr>
              <w:pStyle w:val="TableText"/>
              <w:tabs>
                <w:tab w:val="decimal" w:pos="651"/>
              </w:tabs>
              <w:rPr>
                <w:sz w:val="17"/>
                <w:szCs w:val="17"/>
                <w:lang w:eastAsia="en-NZ"/>
              </w:rPr>
            </w:pPr>
            <w:r w:rsidRPr="009A2D7D">
              <w:rPr>
                <w:sz w:val="17"/>
                <w:szCs w:val="17"/>
                <w:lang w:eastAsia="en-NZ"/>
              </w:rPr>
              <w:t>64</w:t>
            </w:r>
          </w:p>
        </w:tc>
        <w:tc>
          <w:tcPr>
            <w:tcW w:w="1146" w:type="dxa"/>
            <w:shd w:val="clear" w:color="auto" w:fill="auto"/>
            <w:noWrap/>
            <w:hideMark/>
          </w:tcPr>
          <w:p w14:paraId="47691C79" w14:textId="77777777" w:rsidR="00232F0B" w:rsidRPr="009A2D7D" w:rsidRDefault="00232F0B" w:rsidP="009A2D7D">
            <w:pPr>
              <w:pStyle w:val="TableText"/>
              <w:jc w:val="center"/>
              <w:rPr>
                <w:sz w:val="17"/>
                <w:szCs w:val="17"/>
                <w:lang w:eastAsia="en-NZ"/>
              </w:rPr>
            </w:pPr>
            <w:r w:rsidRPr="009A2D7D">
              <w:rPr>
                <w:sz w:val="17"/>
                <w:szCs w:val="17"/>
                <w:lang w:eastAsia="en-NZ"/>
              </w:rPr>
              <w:t>$450</w:t>
            </w:r>
          </w:p>
        </w:tc>
        <w:tc>
          <w:tcPr>
            <w:tcW w:w="1275" w:type="dxa"/>
            <w:shd w:val="clear" w:color="auto" w:fill="auto"/>
            <w:noWrap/>
            <w:hideMark/>
          </w:tcPr>
          <w:p w14:paraId="2676367C" w14:textId="77777777" w:rsidR="00232F0B" w:rsidRPr="009A2D7D" w:rsidRDefault="00232F0B" w:rsidP="009A2D7D">
            <w:pPr>
              <w:pStyle w:val="TableText"/>
              <w:tabs>
                <w:tab w:val="decimal" w:pos="782"/>
              </w:tabs>
              <w:rPr>
                <w:sz w:val="17"/>
                <w:szCs w:val="17"/>
                <w:lang w:eastAsia="en-NZ"/>
              </w:rPr>
            </w:pPr>
            <w:r w:rsidRPr="009A2D7D">
              <w:rPr>
                <w:sz w:val="17"/>
                <w:szCs w:val="17"/>
                <w:lang w:eastAsia="en-NZ"/>
              </w:rPr>
              <w:t>$370</w:t>
            </w:r>
          </w:p>
        </w:tc>
        <w:tc>
          <w:tcPr>
            <w:tcW w:w="1123" w:type="dxa"/>
            <w:shd w:val="clear" w:color="auto" w:fill="auto"/>
            <w:noWrap/>
            <w:hideMark/>
          </w:tcPr>
          <w:p w14:paraId="2014F570" w14:textId="77777777" w:rsidR="00232F0B" w:rsidRPr="009A2D7D" w:rsidRDefault="00232F0B" w:rsidP="009A2D7D">
            <w:pPr>
              <w:pStyle w:val="TableText"/>
              <w:jc w:val="center"/>
              <w:rPr>
                <w:sz w:val="17"/>
                <w:szCs w:val="17"/>
                <w:lang w:eastAsia="en-NZ"/>
              </w:rPr>
            </w:pPr>
            <w:r w:rsidRPr="009A2D7D">
              <w:rPr>
                <w:sz w:val="17"/>
                <w:szCs w:val="17"/>
                <w:lang w:eastAsia="en-NZ"/>
              </w:rPr>
              <w:t>$88</w:t>
            </w:r>
          </w:p>
        </w:tc>
        <w:tc>
          <w:tcPr>
            <w:tcW w:w="1276" w:type="dxa"/>
            <w:shd w:val="clear" w:color="auto" w:fill="auto"/>
            <w:noWrap/>
            <w:hideMark/>
          </w:tcPr>
          <w:p w14:paraId="5F187A9D" w14:textId="77777777" w:rsidR="00232F0B" w:rsidRPr="009A2D7D" w:rsidRDefault="00232F0B" w:rsidP="009A2D7D">
            <w:pPr>
              <w:pStyle w:val="TableText"/>
              <w:tabs>
                <w:tab w:val="decimal" w:pos="794"/>
              </w:tabs>
              <w:rPr>
                <w:sz w:val="17"/>
                <w:szCs w:val="17"/>
                <w:lang w:eastAsia="en-NZ"/>
              </w:rPr>
            </w:pPr>
            <w:r w:rsidRPr="009A2D7D">
              <w:rPr>
                <w:sz w:val="17"/>
                <w:szCs w:val="17"/>
                <w:lang w:eastAsia="en-NZ"/>
              </w:rPr>
              <w:t>$85</w:t>
            </w:r>
          </w:p>
        </w:tc>
        <w:tc>
          <w:tcPr>
            <w:tcW w:w="992" w:type="dxa"/>
            <w:shd w:val="clear" w:color="auto" w:fill="auto"/>
            <w:noWrap/>
            <w:hideMark/>
          </w:tcPr>
          <w:p w14:paraId="4924CA54" w14:textId="77777777" w:rsidR="00232F0B" w:rsidRPr="009A2D7D" w:rsidRDefault="00232F0B" w:rsidP="009A2D7D">
            <w:pPr>
              <w:pStyle w:val="TableText"/>
              <w:tabs>
                <w:tab w:val="decimal" w:pos="652"/>
              </w:tabs>
              <w:rPr>
                <w:sz w:val="17"/>
                <w:szCs w:val="17"/>
                <w:lang w:eastAsia="en-NZ"/>
              </w:rPr>
            </w:pPr>
            <w:r w:rsidRPr="009A2D7D">
              <w:rPr>
                <w:sz w:val="17"/>
                <w:szCs w:val="17"/>
                <w:lang w:eastAsia="en-NZ"/>
              </w:rPr>
              <w:t>$993</w:t>
            </w:r>
          </w:p>
        </w:tc>
      </w:tr>
      <w:tr w:rsidR="00232F0B" w:rsidRPr="00A40FD5" w14:paraId="746F3487" w14:textId="77777777" w:rsidTr="009A2D7D">
        <w:trPr>
          <w:cantSplit/>
        </w:trPr>
        <w:tc>
          <w:tcPr>
            <w:tcW w:w="993" w:type="dxa"/>
            <w:shd w:val="clear" w:color="auto" w:fill="auto"/>
            <w:noWrap/>
            <w:hideMark/>
          </w:tcPr>
          <w:p w14:paraId="04EBD688" w14:textId="77777777" w:rsidR="00232F0B" w:rsidRPr="009A2D7D" w:rsidRDefault="009A2D7D" w:rsidP="009A2D7D">
            <w:pPr>
              <w:pStyle w:val="TableText"/>
              <w:rPr>
                <w:sz w:val="17"/>
                <w:szCs w:val="17"/>
                <w:lang w:eastAsia="en-NZ"/>
              </w:rPr>
            </w:pPr>
            <w:r w:rsidRPr="009A2D7D">
              <w:rPr>
                <w:sz w:val="17"/>
                <w:szCs w:val="17"/>
                <w:lang w:eastAsia="en-NZ"/>
              </w:rPr>
              <w:t>No inspection</w:t>
            </w:r>
          </w:p>
        </w:tc>
        <w:tc>
          <w:tcPr>
            <w:tcW w:w="1275" w:type="dxa"/>
            <w:tcBorders>
              <w:bottom w:val="single" w:sz="4" w:space="0" w:color="A6A6A6" w:themeColor="background1" w:themeShade="A6"/>
            </w:tcBorders>
            <w:shd w:val="clear" w:color="auto" w:fill="auto"/>
            <w:noWrap/>
            <w:hideMark/>
          </w:tcPr>
          <w:p w14:paraId="6691C970" w14:textId="77777777" w:rsidR="00232F0B" w:rsidRPr="009A2D7D" w:rsidRDefault="00232F0B" w:rsidP="009A2D7D">
            <w:pPr>
              <w:pStyle w:val="TableText"/>
              <w:tabs>
                <w:tab w:val="decimal" w:pos="651"/>
              </w:tabs>
              <w:rPr>
                <w:sz w:val="17"/>
                <w:szCs w:val="17"/>
                <w:lang w:eastAsia="en-NZ"/>
              </w:rPr>
            </w:pPr>
            <w:r w:rsidRPr="009A2D7D">
              <w:rPr>
                <w:sz w:val="17"/>
                <w:szCs w:val="17"/>
                <w:lang w:eastAsia="en-NZ"/>
              </w:rPr>
              <w:t>0</w:t>
            </w:r>
          </w:p>
        </w:tc>
        <w:tc>
          <w:tcPr>
            <w:tcW w:w="1146" w:type="dxa"/>
            <w:tcBorders>
              <w:bottom w:val="single" w:sz="4" w:space="0" w:color="A6A6A6" w:themeColor="background1" w:themeShade="A6"/>
            </w:tcBorders>
            <w:shd w:val="clear" w:color="auto" w:fill="auto"/>
            <w:noWrap/>
            <w:hideMark/>
          </w:tcPr>
          <w:p w14:paraId="01E9CA13" w14:textId="77777777" w:rsidR="00232F0B" w:rsidRPr="009A2D7D" w:rsidRDefault="00232F0B" w:rsidP="009A2D7D">
            <w:pPr>
              <w:pStyle w:val="TableText"/>
              <w:jc w:val="center"/>
              <w:rPr>
                <w:sz w:val="17"/>
                <w:szCs w:val="17"/>
                <w:lang w:eastAsia="en-NZ"/>
              </w:rPr>
            </w:pPr>
            <w:r w:rsidRPr="009A2D7D">
              <w:rPr>
                <w:sz w:val="17"/>
                <w:szCs w:val="17"/>
                <w:lang w:eastAsia="en-NZ"/>
              </w:rPr>
              <w:t>$450</w:t>
            </w:r>
          </w:p>
        </w:tc>
        <w:tc>
          <w:tcPr>
            <w:tcW w:w="1275" w:type="dxa"/>
            <w:tcBorders>
              <w:bottom w:val="single" w:sz="4" w:space="0" w:color="A6A6A6" w:themeColor="background1" w:themeShade="A6"/>
            </w:tcBorders>
            <w:shd w:val="clear" w:color="auto" w:fill="auto"/>
            <w:noWrap/>
            <w:hideMark/>
          </w:tcPr>
          <w:p w14:paraId="00F9DC1A" w14:textId="77777777" w:rsidR="00232F0B" w:rsidRPr="009A2D7D" w:rsidRDefault="00232F0B" w:rsidP="009A2D7D">
            <w:pPr>
              <w:pStyle w:val="TableText"/>
              <w:tabs>
                <w:tab w:val="decimal" w:pos="782"/>
              </w:tabs>
              <w:rPr>
                <w:sz w:val="17"/>
                <w:szCs w:val="17"/>
                <w:lang w:eastAsia="en-NZ"/>
              </w:rPr>
            </w:pPr>
            <w:r w:rsidRPr="009A2D7D">
              <w:rPr>
                <w:sz w:val="17"/>
                <w:szCs w:val="17"/>
                <w:lang w:eastAsia="en-NZ"/>
              </w:rPr>
              <w:t>$0</w:t>
            </w:r>
          </w:p>
        </w:tc>
        <w:tc>
          <w:tcPr>
            <w:tcW w:w="1123" w:type="dxa"/>
            <w:tcBorders>
              <w:bottom w:val="single" w:sz="4" w:space="0" w:color="A6A6A6" w:themeColor="background1" w:themeShade="A6"/>
            </w:tcBorders>
            <w:shd w:val="clear" w:color="auto" w:fill="auto"/>
            <w:noWrap/>
            <w:hideMark/>
          </w:tcPr>
          <w:p w14:paraId="0C7D7079" w14:textId="77777777" w:rsidR="00232F0B" w:rsidRPr="009A2D7D" w:rsidRDefault="00232F0B" w:rsidP="009A2D7D">
            <w:pPr>
              <w:pStyle w:val="TableText"/>
              <w:jc w:val="center"/>
              <w:rPr>
                <w:sz w:val="17"/>
                <w:szCs w:val="17"/>
                <w:lang w:eastAsia="en-NZ"/>
              </w:rPr>
            </w:pPr>
            <w:r w:rsidRPr="009A2D7D">
              <w:rPr>
                <w:sz w:val="17"/>
                <w:szCs w:val="17"/>
                <w:lang w:eastAsia="en-NZ"/>
              </w:rPr>
              <w:t>$88</w:t>
            </w:r>
          </w:p>
        </w:tc>
        <w:tc>
          <w:tcPr>
            <w:tcW w:w="1276" w:type="dxa"/>
            <w:tcBorders>
              <w:bottom w:val="single" w:sz="4" w:space="0" w:color="A6A6A6" w:themeColor="background1" w:themeShade="A6"/>
            </w:tcBorders>
            <w:shd w:val="clear" w:color="auto" w:fill="auto"/>
            <w:noWrap/>
            <w:hideMark/>
          </w:tcPr>
          <w:p w14:paraId="43507DB6" w14:textId="77777777" w:rsidR="00232F0B" w:rsidRPr="009A2D7D" w:rsidRDefault="00232F0B" w:rsidP="009A2D7D">
            <w:pPr>
              <w:pStyle w:val="TableText"/>
              <w:tabs>
                <w:tab w:val="decimal" w:pos="794"/>
              </w:tabs>
              <w:rPr>
                <w:sz w:val="17"/>
                <w:szCs w:val="17"/>
                <w:lang w:eastAsia="en-NZ"/>
              </w:rPr>
            </w:pPr>
            <w:r w:rsidRPr="009A2D7D">
              <w:rPr>
                <w:sz w:val="17"/>
                <w:szCs w:val="17"/>
                <w:lang w:eastAsia="en-NZ"/>
              </w:rPr>
              <w:t>$50</w:t>
            </w:r>
          </w:p>
        </w:tc>
        <w:tc>
          <w:tcPr>
            <w:tcW w:w="992" w:type="dxa"/>
            <w:shd w:val="clear" w:color="auto" w:fill="auto"/>
            <w:noWrap/>
            <w:hideMark/>
          </w:tcPr>
          <w:p w14:paraId="01F378D5" w14:textId="77777777" w:rsidR="00232F0B" w:rsidRPr="009A2D7D" w:rsidRDefault="00232F0B" w:rsidP="009A2D7D">
            <w:pPr>
              <w:pStyle w:val="TableText"/>
              <w:tabs>
                <w:tab w:val="decimal" w:pos="652"/>
              </w:tabs>
              <w:rPr>
                <w:sz w:val="17"/>
                <w:szCs w:val="17"/>
                <w:lang w:eastAsia="en-NZ"/>
              </w:rPr>
            </w:pPr>
            <w:r w:rsidRPr="009A2D7D">
              <w:rPr>
                <w:sz w:val="17"/>
                <w:szCs w:val="17"/>
                <w:lang w:eastAsia="en-NZ"/>
              </w:rPr>
              <w:t>$588</w:t>
            </w:r>
          </w:p>
        </w:tc>
      </w:tr>
      <w:tr w:rsidR="00232F0B" w:rsidRPr="00A40FD5" w14:paraId="3C0AA7D7" w14:textId="77777777" w:rsidTr="009A2D7D">
        <w:trPr>
          <w:cantSplit/>
        </w:trPr>
        <w:tc>
          <w:tcPr>
            <w:tcW w:w="993" w:type="dxa"/>
            <w:tcBorders>
              <w:right w:val="nil"/>
            </w:tcBorders>
            <w:shd w:val="clear" w:color="auto" w:fill="auto"/>
            <w:noWrap/>
            <w:hideMark/>
          </w:tcPr>
          <w:p w14:paraId="693F253D" w14:textId="77777777" w:rsidR="00232F0B" w:rsidRPr="009A2D7D" w:rsidRDefault="00232F0B" w:rsidP="009A2D7D">
            <w:pPr>
              <w:pStyle w:val="TableText"/>
              <w:rPr>
                <w:sz w:val="17"/>
                <w:szCs w:val="17"/>
                <w:lang w:eastAsia="en-NZ"/>
              </w:rPr>
            </w:pPr>
            <w:r w:rsidRPr="009A2D7D">
              <w:rPr>
                <w:sz w:val="17"/>
                <w:szCs w:val="17"/>
                <w:lang w:eastAsia="en-NZ"/>
              </w:rPr>
              <w:t>Totals</w:t>
            </w:r>
          </w:p>
        </w:tc>
        <w:tc>
          <w:tcPr>
            <w:tcW w:w="1275" w:type="dxa"/>
            <w:tcBorders>
              <w:top w:val="single" w:sz="4" w:space="0" w:color="A6A6A6" w:themeColor="background1" w:themeShade="A6"/>
              <w:left w:val="nil"/>
              <w:right w:val="nil"/>
            </w:tcBorders>
            <w:shd w:val="clear" w:color="auto" w:fill="auto"/>
            <w:noWrap/>
            <w:hideMark/>
          </w:tcPr>
          <w:p w14:paraId="36849237" w14:textId="77777777" w:rsidR="00232F0B" w:rsidRPr="009A2D7D" w:rsidRDefault="00232F0B" w:rsidP="009A2D7D">
            <w:pPr>
              <w:pStyle w:val="TableText"/>
              <w:tabs>
                <w:tab w:val="decimal" w:pos="651"/>
              </w:tabs>
              <w:rPr>
                <w:sz w:val="17"/>
                <w:szCs w:val="17"/>
                <w:lang w:eastAsia="en-NZ"/>
              </w:rPr>
            </w:pPr>
            <w:r w:rsidRPr="009A2D7D">
              <w:rPr>
                <w:sz w:val="17"/>
                <w:szCs w:val="17"/>
                <w:lang w:eastAsia="en-NZ"/>
              </w:rPr>
              <w:t>117</w:t>
            </w:r>
          </w:p>
        </w:tc>
        <w:tc>
          <w:tcPr>
            <w:tcW w:w="1146" w:type="dxa"/>
            <w:tcBorders>
              <w:top w:val="single" w:sz="4" w:space="0" w:color="A6A6A6" w:themeColor="background1" w:themeShade="A6"/>
              <w:left w:val="nil"/>
              <w:right w:val="nil"/>
            </w:tcBorders>
            <w:shd w:val="clear" w:color="auto" w:fill="auto"/>
            <w:noWrap/>
          </w:tcPr>
          <w:p w14:paraId="16EA27E4" w14:textId="77777777" w:rsidR="00232F0B" w:rsidRPr="009A2D7D" w:rsidRDefault="00232F0B" w:rsidP="009A2D7D">
            <w:pPr>
              <w:pStyle w:val="TableText"/>
              <w:jc w:val="center"/>
              <w:rPr>
                <w:sz w:val="17"/>
                <w:szCs w:val="17"/>
                <w:lang w:eastAsia="en-NZ"/>
              </w:rPr>
            </w:pPr>
          </w:p>
        </w:tc>
        <w:tc>
          <w:tcPr>
            <w:tcW w:w="1275" w:type="dxa"/>
            <w:tcBorders>
              <w:top w:val="single" w:sz="4" w:space="0" w:color="A6A6A6" w:themeColor="background1" w:themeShade="A6"/>
              <w:left w:val="nil"/>
              <w:right w:val="nil"/>
            </w:tcBorders>
            <w:shd w:val="clear" w:color="auto" w:fill="auto"/>
            <w:noWrap/>
          </w:tcPr>
          <w:p w14:paraId="30091C7D" w14:textId="77777777" w:rsidR="00232F0B" w:rsidRPr="009A2D7D" w:rsidRDefault="00232F0B" w:rsidP="009A2D7D">
            <w:pPr>
              <w:pStyle w:val="TableText"/>
              <w:tabs>
                <w:tab w:val="decimal" w:pos="782"/>
              </w:tabs>
              <w:rPr>
                <w:sz w:val="17"/>
                <w:szCs w:val="17"/>
                <w:lang w:eastAsia="en-NZ"/>
              </w:rPr>
            </w:pPr>
          </w:p>
        </w:tc>
        <w:tc>
          <w:tcPr>
            <w:tcW w:w="1123" w:type="dxa"/>
            <w:tcBorders>
              <w:top w:val="single" w:sz="4" w:space="0" w:color="A6A6A6" w:themeColor="background1" w:themeShade="A6"/>
              <w:left w:val="nil"/>
              <w:right w:val="nil"/>
            </w:tcBorders>
            <w:shd w:val="clear" w:color="auto" w:fill="auto"/>
            <w:noWrap/>
          </w:tcPr>
          <w:p w14:paraId="6896A5E6" w14:textId="77777777" w:rsidR="00232F0B" w:rsidRPr="009A2D7D" w:rsidRDefault="00232F0B" w:rsidP="009A2D7D">
            <w:pPr>
              <w:pStyle w:val="TableText"/>
              <w:jc w:val="center"/>
              <w:rPr>
                <w:sz w:val="17"/>
                <w:szCs w:val="17"/>
                <w:lang w:eastAsia="en-NZ"/>
              </w:rPr>
            </w:pPr>
          </w:p>
        </w:tc>
        <w:tc>
          <w:tcPr>
            <w:tcW w:w="1276" w:type="dxa"/>
            <w:tcBorders>
              <w:top w:val="single" w:sz="4" w:space="0" w:color="A6A6A6" w:themeColor="background1" w:themeShade="A6"/>
              <w:left w:val="nil"/>
              <w:right w:val="nil"/>
            </w:tcBorders>
            <w:shd w:val="clear" w:color="auto" w:fill="auto"/>
            <w:noWrap/>
          </w:tcPr>
          <w:p w14:paraId="7667551F" w14:textId="77777777" w:rsidR="00232F0B" w:rsidRPr="009A2D7D" w:rsidRDefault="00232F0B" w:rsidP="009A2D7D">
            <w:pPr>
              <w:pStyle w:val="TableText"/>
              <w:tabs>
                <w:tab w:val="decimal" w:pos="794"/>
              </w:tabs>
              <w:rPr>
                <w:sz w:val="17"/>
                <w:szCs w:val="17"/>
                <w:lang w:eastAsia="en-NZ"/>
              </w:rPr>
            </w:pPr>
          </w:p>
        </w:tc>
        <w:tc>
          <w:tcPr>
            <w:tcW w:w="992" w:type="dxa"/>
            <w:tcBorders>
              <w:left w:val="nil"/>
            </w:tcBorders>
            <w:shd w:val="clear" w:color="auto" w:fill="auto"/>
            <w:noWrap/>
          </w:tcPr>
          <w:p w14:paraId="75398E07" w14:textId="77777777" w:rsidR="00232F0B" w:rsidRPr="009A2D7D" w:rsidRDefault="00232F0B" w:rsidP="009A2D7D">
            <w:pPr>
              <w:pStyle w:val="TableText"/>
              <w:tabs>
                <w:tab w:val="decimal" w:pos="652"/>
              </w:tabs>
              <w:rPr>
                <w:sz w:val="17"/>
                <w:szCs w:val="17"/>
                <w:lang w:eastAsia="en-NZ"/>
              </w:rPr>
            </w:pPr>
          </w:p>
        </w:tc>
      </w:tr>
    </w:tbl>
    <w:p w14:paraId="7FD5C256" w14:textId="77777777" w:rsidR="00232F0B" w:rsidRPr="00A40FD5" w:rsidRDefault="00232F0B" w:rsidP="00031E2A"/>
    <w:p w14:paraId="468D5846" w14:textId="6B16A7BC" w:rsidR="00232F0B" w:rsidRPr="00A40FD5" w:rsidRDefault="005B5BE2" w:rsidP="00031E2A">
      <w:pPr>
        <w:pStyle w:val="Table"/>
      </w:pPr>
      <w:bookmarkStart w:id="240" w:name="_Ref87369206"/>
      <w:bookmarkStart w:id="241" w:name="_Toc84916129"/>
      <w:bookmarkStart w:id="242" w:name="_Toc84916192"/>
      <w:bookmarkStart w:id="243" w:name="_Toc88644163"/>
      <w:r>
        <w:t>Table </w:t>
      </w:r>
      <w:r w:rsidR="00384F9F">
        <w:fldChar w:fldCharType="begin"/>
      </w:r>
      <w:r w:rsidR="00384F9F">
        <w:instrText xml:space="preserve"> SEQ Table \* ARABIC </w:instrText>
      </w:r>
      <w:r w:rsidR="00384F9F">
        <w:fldChar w:fldCharType="separate"/>
      </w:r>
      <w:r w:rsidR="003A5600">
        <w:rPr>
          <w:noProof/>
        </w:rPr>
        <w:t>15</w:t>
      </w:r>
      <w:r w:rsidR="00384F9F">
        <w:rPr>
          <w:noProof/>
        </w:rPr>
        <w:fldChar w:fldCharType="end"/>
      </w:r>
      <w:bookmarkEnd w:id="240"/>
      <w:r w:rsidR="00232F0B" w:rsidRPr="00A40FD5">
        <w:t>:</w:t>
      </w:r>
      <w:r>
        <w:t xml:space="preserve"> </w:t>
      </w:r>
      <w:r w:rsidR="00232F0B" w:rsidRPr="00A40FD5">
        <w:t>Proposed source licence fee components renewal applications</w:t>
      </w:r>
      <w:bookmarkEnd w:id="241"/>
      <w:bookmarkEnd w:id="242"/>
      <w:bookmarkEnd w:id="243"/>
    </w:p>
    <w:tbl>
      <w:tblPr>
        <w:tblW w:w="8080" w:type="dxa"/>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993"/>
        <w:gridCol w:w="1275"/>
        <w:gridCol w:w="1134"/>
        <w:gridCol w:w="1276"/>
        <w:gridCol w:w="1134"/>
        <w:gridCol w:w="1276"/>
        <w:gridCol w:w="992"/>
      </w:tblGrid>
      <w:tr w:rsidR="00232F0B" w:rsidRPr="009A2D7D" w14:paraId="51CB6CAD" w14:textId="77777777" w:rsidTr="009A2D7D">
        <w:trPr>
          <w:cantSplit/>
        </w:trPr>
        <w:tc>
          <w:tcPr>
            <w:tcW w:w="993" w:type="dxa"/>
            <w:tcBorders>
              <w:top w:val="nil"/>
              <w:bottom w:val="nil"/>
            </w:tcBorders>
            <w:shd w:val="clear" w:color="auto" w:fill="D9D9D9" w:themeFill="background1" w:themeFillShade="D9"/>
            <w:hideMark/>
          </w:tcPr>
          <w:p w14:paraId="37805929" w14:textId="77777777" w:rsidR="00232F0B" w:rsidRPr="009A2D7D" w:rsidRDefault="00232F0B" w:rsidP="009A2D7D">
            <w:pPr>
              <w:pStyle w:val="TableText"/>
              <w:keepNext/>
              <w:rPr>
                <w:b/>
                <w:color w:val="000000"/>
                <w:sz w:val="17"/>
                <w:szCs w:val="17"/>
                <w:lang w:eastAsia="en-NZ"/>
              </w:rPr>
            </w:pPr>
            <w:r w:rsidRPr="009A2D7D">
              <w:rPr>
                <w:b/>
                <w:sz w:val="17"/>
                <w:szCs w:val="17"/>
                <w:lang w:eastAsia="en-NZ"/>
              </w:rPr>
              <w:t>Inspection period</w:t>
            </w:r>
          </w:p>
        </w:tc>
        <w:tc>
          <w:tcPr>
            <w:tcW w:w="1275" w:type="dxa"/>
            <w:tcBorders>
              <w:top w:val="nil"/>
              <w:bottom w:val="nil"/>
            </w:tcBorders>
            <w:shd w:val="clear" w:color="auto" w:fill="D9D9D9" w:themeFill="background1" w:themeFillShade="D9"/>
            <w:hideMark/>
          </w:tcPr>
          <w:p w14:paraId="51E94AAB" w14:textId="77777777" w:rsidR="00232F0B" w:rsidRPr="009A2D7D" w:rsidRDefault="00232F0B" w:rsidP="009A2D7D">
            <w:pPr>
              <w:pStyle w:val="TableText"/>
              <w:jc w:val="center"/>
              <w:rPr>
                <w:b/>
                <w:color w:val="000000"/>
                <w:sz w:val="17"/>
                <w:szCs w:val="17"/>
                <w:lang w:eastAsia="en-NZ"/>
              </w:rPr>
            </w:pPr>
            <w:r w:rsidRPr="009A2D7D">
              <w:rPr>
                <w:b/>
                <w:sz w:val="17"/>
                <w:szCs w:val="17"/>
                <w:lang w:eastAsia="en-NZ"/>
              </w:rPr>
              <w:t>Projected authorisations</w:t>
            </w:r>
          </w:p>
        </w:tc>
        <w:tc>
          <w:tcPr>
            <w:tcW w:w="1134" w:type="dxa"/>
            <w:tcBorders>
              <w:top w:val="nil"/>
              <w:bottom w:val="nil"/>
            </w:tcBorders>
            <w:shd w:val="clear" w:color="auto" w:fill="D9D9D9" w:themeFill="background1" w:themeFillShade="D9"/>
            <w:hideMark/>
          </w:tcPr>
          <w:p w14:paraId="7DE2549D" w14:textId="77777777" w:rsidR="00232F0B" w:rsidRPr="009A2D7D" w:rsidRDefault="00232F0B" w:rsidP="009A2D7D">
            <w:pPr>
              <w:pStyle w:val="TableText"/>
              <w:jc w:val="center"/>
              <w:rPr>
                <w:b/>
                <w:color w:val="000000"/>
                <w:sz w:val="17"/>
                <w:szCs w:val="17"/>
                <w:lang w:eastAsia="en-NZ"/>
              </w:rPr>
            </w:pPr>
            <w:r w:rsidRPr="009A2D7D">
              <w:rPr>
                <w:b/>
                <w:sz w:val="17"/>
                <w:szCs w:val="17"/>
                <w:lang w:eastAsia="en-NZ"/>
              </w:rPr>
              <w:t>Application fee component (annual)</w:t>
            </w:r>
          </w:p>
        </w:tc>
        <w:tc>
          <w:tcPr>
            <w:tcW w:w="1276" w:type="dxa"/>
            <w:tcBorders>
              <w:top w:val="nil"/>
              <w:bottom w:val="nil"/>
            </w:tcBorders>
            <w:shd w:val="clear" w:color="auto" w:fill="D9D9D9" w:themeFill="background1" w:themeFillShade="D9"/>
            <w:hideMark/>
          </w:tcPr>
          <w:p w14:paraId="6ED50AB6" w14:textId="77777777" w:rsidR="00232F0B" w:rsidRPr="009A2D7D" w:rsidRDefault="00232F0B" w:rsidP="009A2D7D">
            <w:pPr>
              <w:pStyle w:val="TableText"/>
              <w:jc w:val="center"/>
              <w:rPr>
                <w:b/>
                <w:color w:val="000000"/>
                <w:sz w:val="17"/>
                <w:szCs w:val="17"/>
                <w:lang w:eastAsia="en-NZ"/>
              </w:rPr>
            </w:pPr>
            <w:r w:rsidRPr="009A2D7D">
              <w:rPr>
                <w:b/>
                <w:sz w:val="17"/>
                <w:szCs w:val="17"/>
                <w:lang w:eastAsia="en-NZ"/>
              </w:rPr>
              <w:t>Compliance verification (inspections) fee component (annual)</w:t>
            </w:r>
          </w:p>
        </w:tc>
        <w:tc>
          <w:tcPr>
            <w:tcW w:w="1134" w:type="dxa"/>
            <w:tcBorders>
              <w:top w:val="nil"/>
              <w:bottom w:val="nil"/>
            </w:tcBorders>
            <w:shd w:val="clear" w:color="auto" w:fill="D9D9D9" w:themeFill="background1" w:themeFillShade="D9"/>
            <w:hideMark/>
          </w:tcPr>
          <w:p w14:paraId="7E08D5BC" w14:textId="77777777" w:rsidR="00232F0B" w:rsidRPr="009A2D7D" w:rsidRDefault="00232F0B" w:rsidP="009A2D7D">
            <w:pPr>
              <w:pStyle w:val="TableText"/>
              <w:jc w:val="center"/>
              <w:rPr>
                <w:b/>
                <w:color w:val="000000"/>
                <w:sz w:val="17"/>
                <w:szCs w:val="17"/>
                <w:lang w:eastAsia="en-NZ"/>
              </w:rPr>
            </w:pPr>
            <w:r w:rsidRPr="009A2D7D">
              <w:rPr>
                <w:b/>
                <w:sz w:val="17"/>
                <w:szCs w:val="17"/>
                <w:lang w:eastAsia="en-NZ"/>
              </w:rPr>
              <w:t>Technical evaluation fee component (annual)</w:t>
            </w:r>
          </w:p>
        </w:tc>
        <w:tc>
          <w:tcPr>
            <w:tcW w:w="1276" w:type="dxa"/>
            <w:tcBorders>
              <w:top w:val="nil"/>
              <w:bottom w:val="nil"/>
            </w:tcBorders>
            <w:shd w:val="clear" w:color="auto" w:fill="D9D9D9" w:themeFill="background1" w:themeFillShade="D9"/>
            <w:hideMark/>
          </w:tcPr>
          <w:p w14:paraId="33FC839C" w14:textId="77777777" w:rsidR="00232F0B" w:rsidRPr="009A2D7D" w:rsidRDefault="00232F0B" w:rsidP="009A2D7D">
            <w:pPr>
              <w:pStyle w:val="TableText"/>
              <w:jc w:val="center"/>
              <w:rPr>
                <w:b/>
                <w:color w:val="000000"/>
                <w:sz w:val="17"/>
                <w:szCs w:val="17"/>
                <w:lang w:eastAsia="en-NZ"/>
              </w:rPr>
            </w:pPr>
            <w:r w:rsidRPr="009A2D7D">
              <w:rPr>
                <w:b/>
                <w:sz w:val="17"/>
                <w:szCs w:val="17"/>
                <w:lang w:eastAsia="en-NZ"/>
              </w:rPr>
              <w:t>Memorandum account adjustment fee component (annual)</w:t>
            </w:r>
          </w:p>
        </w:tc>
        <w:tc>
          <w:tcPr>
            <w:tcW w:w="992" w:type="dxa"/>
            <w:tcBorders>
              <w:top w:val="nil"/>
              <w:bottom w:val="nil"/>
            </w:tcBorders>
            <w:shd w:val="clear" w:color="auto" w:fill="D9D9D9" w:themeFill="background1" w:themeFillShade="D9"/>
            <w:hideMark/>
          </w:tcPr>
          <w:p w14:paraId="7951CA51" w14:textId="77777777" w:rsidR="00232F0B" w:rsidRPr="009A2D7D" w:rsidRDefault="00232F0B" w:rsidP="009A2D7D">
            <w:pPr>
              <w:pStyle w:val="TableText"/>
              <w:jc w:val="center"/>
              <w:rPr>
                <w:b/>
                <w:color w:val="000000"/>
                <w:sz w:val="17"/>
                <w:szCs w:val="17"/>
                <w:lang w:eastAsia="en-NZ"/>
              </w:rPr>
            </w:pPr>
            <w:r w:rsidRPr="009A2D7D">
              <w:rPr>
                <w:b/>
                <w:sz w:val="17"/>
                <w:szCs w:val="17"/>
                <w:lang w:eastAsia="en-NZ"/>
              </w:rPr>
              <w:t>Proposed fee (annual)</w:t>
            </w:r>
          </w:p>
        </w:tc>
      </w:tr>
      <w:tr w:rsidR="009A2D7D" w:rsidRPr="00A40FD5" w14:paraId="36D5576F" w14:textId="77777777" w:rsidTr="00202A51">
        <w:trPr>
          <w:cantSplit/>
        </w:trPr>
        <w:tc>
          <w:tcPr>
            <w:tcW w:w="8080" w:type="dxa"/>
            <w:gridSpan w:val="7"/>
            <w:tcBorders>
              <w:top w:val="nil"/>
            </w:tcBorders>
            <w:shd w:val="clear" w:color="auto" w:fill="auto"/>
            <w:noWrap/>
            <w:hideMark/>
          </w:tcPr>
          <w:p w14:paraId="04150E61" w14:textId="77777777" w:rsidR="009A2D7D" w:rsidRPr="009A2D7D" w:rsidRDefault="009A2D7D" w:rsidP="009A2D7D">
            <w:pPr>
              <w:pStyle w:val="TableText"/>
              <w:keepNext/>
              <w:rPr>
                <w:sz w:val="17"/>
                <w:szCs w:val="17"/>
                <w:lang w:eastAsia="en-NZ"/>
              </w:rPr>
            </w:pPr>
            <w:r w:rsidRPr="009A2D7D">
              <w:rPr>
                <w:sz w:val="17"/>
                <w:szCs w:val="17"/>
                <w:lang w:eastAsia="en-NZ"/>
              </w:rPr>
              <w:t>Renewals (no variation)</w:t>
            </w:r>
          </w:p>
        </w:tc>
      </w:tr>
      <w:tr w:rsidR="00232F0B" w:rsidRPr="00A40FD5" w14:paraId="5179BEDA" w14:textId="77777777" w:rsidTr="009A2D7D">
        <w:trPr>
          <w:cantSplit/>
        </w:trPr>
        <w:tc>
          <w:tcPr>
            <w:tcW w:w="993" w:type="dxa"/>
            <w:shd w:val="clear" w:color="auto" w:fill="auto"/>
            <w:noWrap/>
            <w:hideMark/>
          </w:tcPr>
          <w:p w14:paraId="31882002" w14:textId="77777777" w:rsidR="00232F0B" w:rsidRPr="009A2D7D" w:rsidRDefault="00232F0B" w:rsidP="009A2D7D">
            <w:pPr>
              <w:pStyle w:val="TableText"/>
              <w:keepNext/>
              <w:rPr>
                <w:color w:val="000000"/>
                <w:sz w:val="17"/>
                <w:szCs w:val="17"/>
                <w:lang w:eastAsia="en-NZ"/>
              </w:rPr>
            </w:pPr>
            <w:r w:rsidRPr="009A2D7D">
              <w:rPr>
                <w:sz w:val="17"/>
                <w:szCs w:val="17"/>
                <w:lang w:eastAsia="en-NZ"/>
              </w:rPr>
              <w:t>1</w:t>
            </w:r>
          </w:p>
        </w:tc>
        <w:tc>
          <w:tcPr>
            <w:tcW w:w="1275" w:type="dxa"/>
            <w:shd w:val="clear" w:color="auto" w:fill="auto"/>
            <w:noWrap/>
            <w:hideMark/>
          </w:tcPr>
          <w:p w14:paraId="4E40A8AB" w14:textId="77777777" w:rsidR="00232F0B" w:rsidRPr="009A2D7D" w:rsidRDefault="00232F0B" w:rsidP="009A2D7D">
            <w:pPr>
              <w:pStyle w:val="TableText"/>
              <w:tabs>
                <w:tab w:val="decimal" w:pos="796"/>
              </w:tabs>
              <w:rPr>
                <w:sz w:val="17"/>
                <w:szCs w:val="17"/>
                <w:lang w:eastAsia="en-NZ"/>
              </w:rPr>
            </w:pPr>
            <w:r w:rsidRPr="009A2D7D">
              <w:rPr>
                <w:sz w:val="17"/>
                <w:szCs w:val="17"/>
                <w:lang w:eastAsia="en-NZ"/>
              </w:rPr>
              <w:t>41</w:t>
            </w:r>
          </w:p>
        </w:tc>
        <w:tc>
          <w:tcPr>
            <w:tcW w:w="1134" w:type="dxa"/>
            <w:shd w:val="clear" w:color="auto" w:fill="auto"/>
            <w:noWrap/>
            <w:hideMark/>
          </w:tcPr>
          <w:p w14:paraId="21938DF3" w14:textId="77777777" w:rsidR="00232F0B" w:rsidRPr="009A2D7D" w:rsidRDefault="00232F0B" w:rsidP="009A2D7D">
            <w:pPr>
              <w:pStyle w:val="TableText"/>
              <w:jc w:val="center"/>
              <w:rPr>
                <w:sz w:val="17"/>
                <w:szCs w:val="17"/>
                <w:lang w:eastAsia="en-NZ"/>
              </w:rPr>
            </w:pPr>
            <w:r w:rsidRPr="009A2D7D">
              <w:rPr>
                <w:sz w:val="17"/>
                <w:szCs w:val="17"/>
                <w:lang w:eastAsia="en-NZ"/>
              </w:rPr>
              <w:t>$305</w:t>
            </w:r>
          </w:p>
        </w:tc>
        <w:tc>
          <w:tcPr>
            <w:tcW w:w="1276" w:type="dxa"/>
            <w:shd w:val="clear" w:color="auto" w:fill="auto"/>
            <w:noWrap/>
            <w:hideMark/>
          </w:tcPr>
          <w:p w14:paraId="34B97759" w14:textId="77777777" w:rsidR="00232F0B" w:rsidRPr="009A2D7D" w:rsidRDefault="00232F0B" w:rsidP="009A2D7D">
            <w:pPr>
              <w:pStyle w:val="TableText"/>
              <w:tabs>
                <w:tab w:val="decimal" w:pos="795"/>
              </w:tabs>
              <w:rPr>
                <w:sz w:val="17"/>
                <w:szCs w:val="17"/>
                <w:lang w:eastAsia="en-NZ"/>
              </w:rPr>
            </w:pPr>
            <w:r w:rsidRPr="009A2D7D">
              <w:rPr>
                <w:sz w:val="17"/>
                <w:szCs w:val="17"/>
                <w:lang w:eastAsia="en-NZ"/>
              </w:rPr>
              <w:t>$2,888</w:t>
            </w:r>
          </w:p>
        </w:tc>
        <w:tc>
          <w:tcPr>
            <w:tcW w:w="1134" w:type="dxa"/>
            <w:shd w:val="clear" w:color="auto" w:fill="auto"/>
            <w:noWrap/>
            <w:hideMark/>
          </w:tcPr>
          <w:p w14:paraId="4A246387" w14:textId="77777777" w:rsidR="00232F0B" w:rsidRPr="009A2D7D" w:rsidRDefault="00232F0B" w:rsidP="009A2D7D">
            <w:pPr>
              <w:pStyle w:val="TableText"/>
              <w:jc w:val="center"/>
              <w:rPr>
                <w:sz w:val="17"/>
                <w:szCs w:val="17"/>
                <w:lang w:eastAsia="en-NZ"/>
              </w:rPr>
            </w:pPr>
            <w:r w:rsidRPr="009A2D7D">
              <w:rPr>
                <w:sz w:val="17"/>
                <w:szCs w:val="17"/>
                <w:lang w:eastAsia="en-NZ"/>
              </w:rPr>
              <w:t>$18</w:t>
            </w:r>
          </w:p>
        </w:tc>
        <w:tc>
          <w:tcPr>
            <w:tcW w:w="1276" w:type="dxa"/>
            <w:shd w:val="clear" w:color="auto" w:fill="auto"/>
            <w:noWrap/>
            <w:hideMark/>
          </w:tcPr>
          <w:p w14:paraId="710B15D8" w14:textId="77777777" w:rsidR="00232F0B" w:rsidRPr="009A2D7D" w:rsidRDefault="00232F0B" w:rsidP="009A2D7D">
            <w:pPr>
              <w:pStyle w:val="TableText"/>
              <w:tabs>
                <w:tab w:val="decimal" w:pos="742"/>
              </w:tabs>
              <w:rPr>
                <w:sz w:val="17"/>
                <w:szCs w:val="17"/>
                <w:lang w:eastAsia="en-NZ"/>
              </w:rPr>
            </w:pPr>
            <w:r w:rsidRPr="009A2D7D">
              <w:rPr>
                <w:sz w:val="17"/>
                <w:szCs w:val="17"/>
                <w:lang w:eastAsia="en-NZ"/>
              </w:rPr>
              <w:t>$297</w:t>
            </w:r>
          </w:p>
        </w:tc>
        <w:tc>
          <w:tcPr>
            <w:tcW w:w="992" w:type="dxa"/>
            <w:shd w:val="clear" w:color="auto" w:fill="auto"/>
            <w:noWrap/>
            <w:hideMark/>
          </w:tcPr>
          <w:p w14:paraId="5151FD93" w14:textId="77777777" w:rsidR="00232F0B" w:rsidRPr="009A2D7D" w:rsidRDefault="00232F0B" w:rsidP="009A2D7D">
            <w:pPr>
              <w:pStyle w:val="TableText"/>
              <w:tabs>
                <w:tab w:val="decimal" w:pos="631"/>
              </w:tabs>
              <w:rPr>
                <w:sz w:val="17"/>
                <w:szCs w:val="17"/>
                <w:lang w:eastAsia="en-NZ"/>
              </w:rPr>
            </w:pPr>
            <w:r w:rsidRPr="009A2D7D">
              <w:rPr>
                <w:sz w:val="17"/>
                <w:szCs w:val="17"/>
                <w:lang w:eastAsia="en-NZ"/>
              </w:rPr>
              <w:t>$3,508</w:t>
            </w:r>
          </w:p>
        </w:tc>
      </w:tr>
      <w:tr w:rsidR="00232F0B" w:rsidRPr="00A40FD5" w14:paraId="253C87E0" w14:textId="77777777" w:rsidTr="009A2D7D">
        <w:trPr>
          <w:cantSplit/>
        </w:trPr>
        <w:tc>
          <w:tcPr>
            <w:tcW w:w="993" w:type="dxa"/>
            <w:shd w:val="clear" w:color="auto" w:fill="auto"/>
            <w:noWrap/>
            <w:hideMark/>
          </w:tcPr>
          <w:p w14:paraId="469B91DA" w14:textId="77777777" w:rsidR="00232F0B" w:rsidRPr="009A2D7D" w:rsidRDefault="00232F0B" w:rsidP="009A2D7D">
            <w:pPr>
              <w:pStyle w:val="TableText"/>
              <w:keepNext/>
              <w:rPr>
                <w:color w:val="000000"/>
                <w:sz w:val="17"/>
                <w:szCs w:val="17"/>
                <w:lang w:eastAsia="en-NZ"/>
              </w:rPr>
            </w:pPr>
            <w:r w:rsidRPr="009A2D7D">
              <w:rPr>
                <w:sz w:val="17"/>
                <w:szCs w:val="17"/>
                <w:lang w:eastAsia="en-NZ"/>
              </w:rPr>
              <w:t>2</w:t>
            </w:r>
          </w:p>
        </w:tc>
        <w:tc>
          <w:tcPr>
            <w:tcW w:w="1275" w:type="dxa"/>
            <w:shd w:val="clear" w:color="auto" w:fill="auto"/>
            <w:noWrap/>
            <w:hideMark/>
          </w:tcPr>
          <w:p w14:paraId="59373E2C" w14:textId="77777777" w:rsidR="00232F0B" w:rsidRPr="009A2D7D" w:rsidRDefault="00232F0B" w:rsidP="009A2D7D">
            <w:pPr>
              <w:pStyle w:val="TableText"/>
              <w:tabs>
                <w:tab w:val="decimal" w:pos="796"/>
              </w:tabs>
              <w:rPr>
                <w:sz w:val="17"/>
                <w:szCs w:val="17"/>
                <w:lang w:eastAsia="en-NZ"/>
              </w:rPr>
            </w:pPr>
            <w:r w:rsidRPr="009A2D7D">
              <w:rPr>
                <w:sz w:val="17"/>
                <w:szCs w:val="17"/>
                <w:lang w:eastAsia="en-NZ"/>
              </w:rPr>
              <w:t>310</w:t>
            </w:r>
          </w:p>
        </w:tc>
        <w:tc>
          <w:tcPr>
            <w:tcW w:w="1134" w:type="dxa"/>
            <w:shd w:val="clear" w:color="auto" w:fill="auto"/>
            <w:noWrap/>
            <w:hideMark/>
          </w:tcPr>
          <w:p w14:paraId="3758FFFE" w14:textId="77777777" w:rsidR="00232F0B" w:rsidRPr="009A2D7D" w:rsidRDefault="00232F0B" w:rsidP="009A2D7D">
            <w:pPr>
              <w:pStyle w:val="TableText"/>
              <w:jc w:val="center"/>
              <w:rPr>
                <w:sz w:val="17"/>
                <w:szCs w:val="17"/>
                <w:lang w:eastAsia="en-NZ"/>
              </w:rPr>
            </w:pPr>
            <w:r w:rsidRPr="009A2D7D">
              <w:rPr>
                <w:sz w:val="17"/>
                <w:szCs w:val="17"/>
                <w:lang w:eastAsia="en-NZ"/>
              </w:rPr>
              <w:t>$305</w:t>
            </w:r>
          </w:p>
        </w:tc>
        <w:tc>
          <w:tcPr>
            <w:tcW w:w="1276" w:type="dxa"/>
            <w:shd w:val="clear" w:color="auto" w:fill="auto"/>
            <w:noWrap/>
            <w:hideMark/>
          </w:tcPr>
          <w:p w14:paraId="6C617D3A" w14:textId="77777777" w:rsidR="00232F0B" w:rsidRPr="009A2D7D" w:rsidRDefault="00232F0B" w:rsidP="009A2D7D">
            <w:pPr>
              <w:pStyle w:val="TableText"/>
              <w:tabs>
                <w:tab w:val="decimal" w:pos="795"/>
              </w:tabs>
              <w:rPr>
                <w:sz w:val="17"/>
                <w:szCs w:val="17"/>
                <w:lang w:eastAsia="en-NZ"/>
              </w:rPr>
            </w:pPr>
            <w:r w:rsidRPr="009A2D7D">
              <w:rPr>
                <w:sz w:val="17"/>
                <w:szCs w:val="17"/>
                <w:lang w:eastAsia="en-NZ"/>
              </w:rPr>
              <w:t>$1,228</w:t>
            </w:r>
          </w:p>
        </w:tc>
        <w:tc>
          <w:tcPr>
            <w:tcW w:w="1134" w:type="dxa"/>
            <w:shd w:val="clear" w:color="auto" w:fill="auto"/>
            <w:noWrap/>
            <w:hideMark/>
          </w:tcPr>
          <w:p w14:paraId="730DFE9F" w14:textId="77777777" w:rsidR="00232F0B" w:rsidRPr="009A2D7D" w:rsidRDefault="00232F0B" w:rsidP="009A2D7D">
            <w:pPr>
              <w:pStyle w:val="TableText"/>
              <w:jc w:val="center"/>
              <w:rPr>
                <w:sz w:val="17"/>
                <w:szCs w:val="17"/>
                <w:lang w:eastAsia="en-NZ"/>
              </w:rPr>
            </w:pPr>
            <w:r w:rsidRPr="009A2D7D">
              <w:rPr>
                <w:sz w:val="17"/>
                <w:szCs w:val="17"/>
                <w:lang w:eastAsia="en-NZ"/>
              </w:rPr>
              <w:t>$18</w:t>
            </w:r>
          </w:p>
        </w:tc>
        <w:tc>
          <w:tcPr>
            <w:tcW w:w="1276" w:type="dxa"/>
            <w:shd w:val="clear" w:color="auto" w:fill="auto"/>
            <w:noWrap/>
            <w:hideMark/>
          </w:tcPr>
          <w:p w14:paraId="7AEE10F8" w14:textId="77777777" w:rsidR="00232F0B" w:rsidRPr="009A2D7D" w:rsidRDefault="00232F0B" w:rsidP="009A2D7D">
            <w:pPr>
              <w:pStyle w:val="TableText"/>
              <w:tabs>
                <w:tab w:val="decimal" w:pos="742"/>
              </w:tabs>
              <w:rPr>
                <w:sz w:val="17"/>
                <w:szCs w:val="17"/>
                <w:lang w:eastAsia="en-NZ"/>
              </w:rPr>
            </w:pPr>
            <w:r w:rsidRPr="009A2D7D">
              <w:rPr>
                <w:sz w:val="17"/>
                <w:szCs w:val="17"/>
                <w:lang w:eastAsia="en-NZ"/>
              </w:rPr>
              <w:t>$144</w:t>
            </w:r>
          </w:p>
        </w:tc>
        <w:tc>
          <w:tcPr>
            <w:tcW w:w="992" w:type="dxa"/>
            <w:shd w:val="clear" w:color="auto" w:fill="auto"/>
            <w:noWrap/>
            <w:hideMark/>
          </w:tcPr>
          <w:p w14:paraId="1A0DFA00" w14:textId="77777777" w:rsidR="00232F0B" w:rsidRPr="009A2D7D" w:rsidRDefault="00232F0B" w:rsidP="009A2D7D">
            <w:pPr>
              <w:pStyle w:val="TableText"/>
              <w:tabs>
                <w:tab w:val="decimal" w:pos="631"/>
              </w:tabs>
              <w:rPr>
                <w:sz w:val="17"/>
                <w:szCs w:val="17"/>
                <w:lang w:eastAsia="en-NZ"/>
              </w:rPr>
            </w:pPr>
            <w:r w:rsidRPr="009A2D7D">
              <w:rPr>
                <w:sz w:val="17"/>
                <w:szCs w:val="17"/>
                <w:lang w:eastAsia="en-NZ"/>
              </w:rPr>
              <w:t>$1,695</w:t>
            </w:r>
          </w:p>
        </w:tc>
      </w:tr>
      <w:tr w:rsidR="00232F0B" w:rsidRPr="00A40FD5" w14:paraId="17448E02" w14:textId="77777777" w:rsidTr="009A2D7D">
        <w:trPr>
          <w:cantSplit/>
        </w:trPr>
        <w:tc>
          <w:tcPr>
            <w:tcW w:w="993" w:type="dxa"/>
            <w:shd w:val="clear" w:color="auto" w:fill="auto"/>
            <w:noWrap/>
            <w:hideMark/>
          </w:tcPr>
          <w:p w14:paraId="1E3566DB" w14:textId="77777777" w:rsidR="00232F0B" w:rsidRPr="009A2D7D" w:rsidRDefault="00232F0B" w:rsidP="009A2D7D">
            <w:pPr>
              <w:pStyle w:val="TableText"/>
              <w:keepNext/>
              <w:rPr>
                <w:color w:val="000000"/>
                <w:sz w:val="17"/>
                <w:szCs w:val="17"/>
                <w:lang w:eastAsia="en-NZ"/>
              </w:rPr>
            </w:pPr>
            <w:r w:rsidRPr="009A2D7D">
              <w:rPr>
                <w:sz w:val="17"/>
                <w:szCs w:val="17"/>
                <w:lang w:eastAsia="en-NZ"/>
              </w:rPr>
              <w:t>3</w:t>
            </w:r>
          </w:p>
        </w:tc>
        <w:tc>
          <w:tcPr>
            <w:tcW w:w="1275" w:type="dxa"/>
            <w:shd w:val="clear" w:color="auto" w:fill="auto"/>
            <w:noWrap/>
            <w:hideMark/>
          </w:tcPr>
          <w:p w14:paraId="01B7A82B" w14:textId="77777777" w:rsidR="00232F0B" w:rsidRPr="009A2D7D" w:rsidRDefault="00232F0B" w:rsidP="009A2D7D">
            <w:pPr>
              <w:pStyle w:val="TableText"/>
              <w:tabs>
                <w:tab w:val="decimal" w:pos="796"/>
              </w:tabs>
              <w:rPr>
                <w:sz w:val="17"/>
                <w:szCs w:val="17"/>
                <w:lang w:eastAsia="en-NZ"/>
              </w:rPr>
            </w:pPr>
            <w:r w:rsidRPr="009A2D7D">
              <w:rPr>
                <w:sz w:val="17"/>
                <w:szCs w:val="17"/>
                <w:lang w:eastAsia="en-NZ"/>
              </w:rPr>
              <w:t>194</w:t>
            </w:r>
          </w:p>
        </w:tc>
        <w:tc>
          <w:tcPr>
            <w:tcW w:w="1134" w:type="dxa"/>
            <w:shd w:val="clear" w:color="auto" w:fill="auto"/>
            <w:noWrap/>
            <w:hideMark/>
          </w:tcPr>
          <w:p w14:paraId="7DBB2D78" w14:textId="77777777" w:rsidR="00232F0B" w:rsidRPr="009A2D7D" w:rsidRDefault="00232F0B" w:rsidP="009A2D7D">
            <w:pPr>
              <w:pStyle w:val="TableText"/>
              <w:jc w:val="center"/>
              <w:rPr>
                <w:sz w:val="17"/>
                <w:szCs w:val="17"/>
                <w:lang w:eastAsia="en-NZ"/>
              </w:rPr>
            </w:pPr>
            <w:r w:rsidRPr="009A2D7D">
              <w:rPr>
                <w:sz w:val="17"/>
                <w:szCs w:val="17"/>
                <w:lang w:eastAsia="en-NZ"/>
              </w:rPr>
              <w:t>$305</w:t>
            </w:r>
          </w:p>
        </w:tc>
        <w:tc>
          <w:tcPr>
            <w:tcW w:w="1276" w:type="dxa"/>
            <w:shd w:val="clear" w:color="auto" w:fill="auto"/>
            <w:noWrap/>
            <w:hideMark/>
          </w:tcPr>
          <w:p w14:paraId="10CC491D" w14:textId="77777777" w:rsidR="00232F0B" w:rsidRPr="009A2D7D" w:rsidRDefault="00232F0B" w:rsidP="009A2D7D">
            <w:pPr>
              <w:pStyle w:val="TableText"/>
              <w:tabs>
                <w:tab w:val="decimal" w:pos="795"/>
              </w:tabs>
              <w:rPr>
                <w:sz w:val="17"/>
                <w:szCs w:val="17"/>
                <w:lang w:eastAsia="en-NZ"/>
              </w:rPr>
            </w:pPr>
            <w:r w:rsidRPr="009A2D7D">
              <w:rPr>
                <w:sz w:val="17"/>
                <w:szCs w:val="17"/>
                <w:lang w:eastAsia="en-NZ"/>
              </w:rPr>
              <w:t>$677</w:t>
            </w:r>
          </w:p>
        </w:tc>
        <w:tc>
          <w:tcPr>
            <w:tcW w:w="1134" w:type="dxa"/>
            <w:shd w:val="clear" w:color="auto" w:fill="auto"/>
            <w:noWrap/>
            <w:hideMark/>
          </w:tcPr>
          <w:p w14:paraId="081D92F6" w14:textId="77777777" w:rsidR="00232F0B" w:rsidRPr="009A2D7D" w:rsidRDefault="00232F0B" w:rsidP="009A2D7D">
            <w:pPr>
              <w:pStyle w:val="TableText"/>
              <w:jc w:val="center"/>
              <w:rPr>
                <w:sz w:val="17"/>
                <w:szCs w:val="17"/>
                <w:lang w:eastAsia="en-NZ"/>
              </w:rPr>
            </w:pPr>
            <w:r w:rsidRPr="009A2D7D">
              <w:rPr>
                <w:sz w:val="17"/>
                <w:szCs w:val="17"/>
                <w:lang w:eastAsia="en-NZ"/>
              </w:rPr>
              <w:t>$18</w:t>
            </w:r>
          </w:p>
        </w:tc>
        <w:tc>
          <w:tcPr>
            <w:tcW w:w="1276" w:type="dxa"/>
            <w:shd w:val="clear" w:color="auto" w:fill="auto"/>
            <w:noWrap/>
            <w:hideMark/>
          </w:tcPr>
          <w:p w14:paraId="719BAE66" w14:textId="77777777" w:rsidR="00232F0B" w:rsidRPr="009A2D7D" w:rsidRDefault="00232F0B" w:rsidP="009A2D7D">
            <w:pPr>
              <w:pStyle w:val="TableText"/>
              <w:tabs>
                <w:tab w:val="decimal" w:pos="742"/>
              </w:tabs>
              <w:rPr>
                <w:sz w:val="17"/>
                <w:szCs w:val="17"/>
                <w:lang w:eastAsia="en-NZ"/>
              </w:rPr>
            </w:pPr>
            <w:r w:rsidRPr="009A2D7D">
              <w:rPr>
                <w:sz w:val="17"/>
                <w:szCs w:val="17"/>
                <w:lang w:eastAsia="en-NZ"/>
              </w:rPr>
              <w:t>$92</w:t>
            </w:r>
          </w:p>
        </w:tc>
        <w:tc>
          <w:tcPr>
            <w:tcW w:w="992" w:type="dxa"/>
            <w:shd w:val="clear" w:color="auto" w:fill="auto"/>
            <w:noWrap/>
            <w:hideMark/>
          </w:tcPr>
          <w:p w14:paraId="7C7E6062" w14:textId="77777777" w:rsidR="00232F0B" w:rsidRPr="009A2D7D" w:rsidRDefault="00232F0B" w:rsidP="009A2D7D">
            <w:pPr>
              <w:pStyle w:val="TableText"/>
              <w:tabs>
                <w:tab w:val="decimal" w:pos="631"/>
              </w:tabs>
              <w:rPr>
                <w:sz w:val="17"/>
                <w:szCs w:val="17"/>
                <w:lang w:eastAsia="en-NZ"/>
              </w:rPr>
            </w:pPr>
            <w:r w:rsidRPr="009A2D7D">
              <w:rPr>
                <w:sz w:val="17"/>
                <w:szCs w:val="17"/>
                <w:lang w:eastAsia="en-NZ"/>
              </w:rPr>
              <w:t>$1,092</w:t>
            </w:r>
          </w:p>
        </w:tc>
      </w:tr>
      <w:tr w:rsidR="00232F0B" w:rsidRPr="00A40FD5" w14:paraId="5C7726C1" w14:textId="77777777" w:rsidTr="009A2D7D">
        <w:trPr>
          <w:cantSplit/>
        </w:trPr>
        <w:tc>
          <w:tcPr>
            <w:tcW w:w="993" w:type="dxa"/>
            <w:shd w:val="clear" w:color="auto" w:fill="auto"/>
            <w:noWrap/>
            <w:hideMark/>
          </w:tcPr>
          <w:p w14:paraId="3C08A6B0" w14:textId="77777777" w:rsidR="00232F0B" w:rsidRPr="009A2D7D" w:rsidRDefault="00232F0B" w:rsidP="009A2D7D">
            <w:pPr>
              <w:pStyle w:val="TableText"/>
              <w:rPr>
                <w:color w:val="000000"/>
                <w:sz w:val="17"/>
                <w:szCs w:val="17"/>
                <w:lang w:eastAsia="en-NZ"/>
              </w:rPr>
            </w:pPr>
            <w:r w:rsidRPr="009A2D7D">
              <w:rPr>
                <w:sz w:val="17"/>
                <w:szCs w:val="17"/>
                <w:lang w:eastAsia="en-NZ"/>
              </w:rPr>
              <w:t>4</w:t>
            </w:r>
          </w:p>
        </w:tc>
        <w:tc>
          <w:tcPr>
            <w:tcW w:w="1275" w:type="dxa"/>
            <w:shd w:val="clear" w:color="auto" w:fill="auto"/>
            <w:noWrap/>
            <w:hideMark/>
          </w:tcPr>
          <w:p w14:paraId="32EF7E1D" w14:textId="77777777" w:rsidR="00232F0B" w:rsidRPr="009A2D7D" w:rsidRDefault="00232F0B" w:rsidP="009A2D7D">
            <w:pPr>
              <w:pStyle w:val="TableText"/>
              <w:tabs>
                <w:tab w:val="decimal" w:pos="796"/>
              </w:tabs>
              <w:rPr>
                <w:sz w:val="17"/>
                <w:szCs w:val="17"/>
                <w:lang w:eastAsia="en-NZ"/>
              </w:rPr>
            </w:pPr>
            <w:r w:rsidRPr="009A2D7D">
              <w:rPr>
                <w:sz w:val="17"/>
                <w:szCs w:val="17"/>
                <w:lang w:eastAsia="en-NZ"/>
              </w:rPr>
              <w:t>476</w:t>
            </w:r>
          </w:p>
        </w:tc>
        <w:tc>
          <w:tcPr>
            <w:tcW w:w="1134" w:type="dxa"/>
            <w:shd w:val="clear" w:color="auto" w:fill="auto"/>
            <w:noWrap/>
            <w:hideMark/>
          </w:tcPr>
          <w:p w14:paraId="28C5DFA6" w14:textId="77777777" w:rsidR="00232F0B" w:rsidRPr="009A2D7D" w:rsidRDefault="00232F0B" w:rsidP="009A2D7D">
            <w:pPr>
              <w:pStyle w:val="TableText"/>
              <w:jc w:val="center"/>
              <w:rPr>
                <w:sz w:val="17"/>
                <w:szCs w:val="17"/>
                <w:lang w:eastAsia="en-NZ"/>
              </w:rPr>
            </w:pPr>
            <w:r w:rsidRPr="009A2D7D">
              <w:rPr>
                <w:sz w:val="17"/>
                <w:szCs w:val="17"/>
                <w:lang w:eastAsia="en-NZ"/>
              </w:rPr>
              <w:t>$305</w:t>
            </w:r>
          </w:p>
        </w:tc>
        <w:tc>
          <w:tcPr>
            <w:tcW w:w="1276" w:type="dxa"/>
            <w:shd w:val="clear" w:color="auto" w:fill="auto"/>
            <w:noWrap/>
            <w:hideMark/>
          </w:tcPr>
          <w:p w14:paraId="4A21B739" w14:textId="77777777" w:rsidR="00232F0B" w:rsidRPr="009A2D7D" w:rsidRDefault="00232F0B" w:rsidP="009A2D7D">
            <w:pPr>
              <w:pStyle w:val="TableText"/>
              <w:tabs>
                <w:tab w:val="decimal" w:pos="795"/>
              </w:tabs>
              <w:rPr>
                <w:sz w:val="17"/>
                <w:szCs w:val="17"/>
                <w:lang w:eastAsia="en-NZ"/>
              </w:rPr>
            </w:pPr>
            <w:r w:rsidRPr="009A2D7D">
              <w:rPr>
                <w:sz w:val="17"/>
                <w:szCs w:val="17"/>
                <w:lang w:eastAsia="en-NZ"/>
              </w:rPr>
              <w:t>$465</w:t>
            </w:r>
          </w:p>
        </w:tc>
        <w:tc>
          <w:tcPr>
            <w:tcW w:w="1134" w:type="dxa"/>
            <w:shd w:val="clear" w:color="auto" w:fill="auto"/>
            <w:noWrap/>
            <w:hideMark/>
          </w:tcPr>
          <w:p w14:paraId="0A7EF055" w14:textId="77777777" w:rsidR="00232F0B" w:rsidRPr="009A2D7D" w:rsidRDefault="00232F0B" w:rsidP="009A2D7D">
            <w:pPr>
              <w:pStyle w:val="TableText"/>
              <w:jc w:val="center"/>
              <w:rPr>
                <w:sz w:val="17"/>
                <w:szCs w:val="17"/>
                <w:lang w:eastAsia="en-NZ"/>
              </w:rPr>
            </w:pPr>
            <w:r w:rsidRPr="009A2D7D">
              <w:rPr>
                <w:sz w:val="17"/>
                <w:szCs w:val="17"/>
                <w:lang w:eastAsia="en-NZ"/>
              </w:rPr>
              <w:t>$18</w:t>
            </w:r>
          </w:p>
        </w:tc>
        <w:tc>
          <w:tcPr>
            <w:tcW w:w="1276" w:type="dxa"/>
            <w:shd w:val="clear" w:color="auto" w:fill="auto"/>
            <w:noWrap/>
            <w:hideMark/>
          </w:tcPr>
          <w:p w14:paraId="42D6B290" w14:textId="77777777" w:rsidR="00232F0B" w:rsidRPr="009A2D7D" w:rsidRDefault="00232F0B" w:rsidP="009A2D7D">
            <w:pPr>
              <w:pStyle w:val="TableText"/>
              <w:tabs>
                <w:tab w:val="decimal" w:pos="742"/>
              </w:tabs>
              <w:rPr>
                <w:sz w:val="17"/>
                <w:szCs w:val="17"/>
                <w:lang w:eastAsia="en-NZ"/>
              </w:rPr>
            </w:pPr>
            <w:r w:rsidRPr="009A2D7D">
              <w:rPr>
                <w:sz w:val="17"/>
                <w:szCs w:val="17"/>
                <w:lang w:eastAsia="en-NZ"/>
              </w:rPr>
              <w:t>$73</w:t>
            </w:r>
          </w:p>
        </w:tc>
        <w:tc>
          <w:tcPr>
            <w:tcW w:w="992" w:type="dxa"/>
            <w:shd w:val="clear" w:color="auto" w:fill="auto"/>
            <w:noWrap/>
            <w:hideMark/>
          </w:tcPr>
          <w:p w14:paraId="418D154E" w14:textId="77777777" w:rsidR="00232F0B" w:rsidRPr="009A2D7D" w:rsidRDefault="00232F0B" w:rsidP="009A2D7D">
            <w:pPr>
              <w:pStyle w:val="TableText"/>
              <w:tabs>
                <w:tab w:val="decimal" w:pos="631"/>
              </w:tabs>
              <w:rPr>
                <w:sz w:val="17"/>
                <w:szCs w:val="17"/>
                <w:lang w:eastAsia="en-NZ"/>
              </w:rPr>
            </w:pPr>
            <w:r w:rsidRPr="009A2D7D">
              <w:rPr>
                <w:sz w:val="17"/>
                <w:szCs w:val="17"/>
                <w:lang w:eastAsia="en-NZ"/>
              </w:rPr>
              <w:t>$861</w:t>
            </w:r>
          </w:p>
        </w:tc>
      </w:tr>
      <w:tr w:rsidR="00232F0B" w:rsidRPr="00A40FD5" w14:paraId="79A6EDBA" w14:textId="77777777" w:rsidTr="009A2D7D">
        <w:trPr>
          <w:cantSplit/>
        </w:trPr>
        <w:tc>
          <w:tcPr>
            <w:tcW w:w="993" w:type="dxa"/>
            <w:shd w:val="clear" w:color="auto" w:fill="auto"/>
            <w:noWrap/>
            <w:hideMark/>
          </w:tcPr>
          <w:p w14:paraId="621696A6" w14:textId="77777777" w:rsidR="00232F0B" w:rsidRPr="009A2D7D" w:rsidRDefault="00232F0B" w:rsidP="009A2D7D">
            <w:pPr>
              <w:pStyle w:val="TableText"/>
              <w:rPr>
                <w:color w:val="000000"/>
                <w:sz w:val="17"/>
                <w:szCs w:val="17"/>
                <w:lang w:eastAsia="en-NZ"/>
              </w:rPr>
            </w:pPr>
            <w:r w:rsidRPr="009A2D7D">
              <w:rPr>
                <w:sz w:val="17"/>
                <w:szCs w:val="17"/>
                <w:lang w:eastAsia="en-NZ"/>
              </w:rPr>
              <w:t>5</w:t>
            </w:r>
          </w:p>
        </w:tc>
        <w:tc>
          <w:tcPr>
            <w:tcW w:w="1275" w:type="dxa"/>
            <w:shd w:val="clear" w:color="auto" w:fill="auto"/>
            <w:noWrap/>
            <w:hideMark/>
          </w:tcPr>
          <w:p w14:paraId="179E44A9" w14:textId="77777777" w:rsidR="00232F0B" w:rsidRPr="009A2D7D" w:rsidRDefault="00232F0B" w:rsidP="009A2D7D">
            <w:pPr>
              <w:pStyle w:val="TableText"/>
              <w:tabs>
                <w:tab w:val="decimal" w:pos="796"/>
              </w:tabs>
              <w:rPr>
                <w:sz w:val="17"/>
                <w:szCs w:val="17"/>
                <w:lang w:eastAsia="en-NZ"/>
              </w:rPr>
            </w:pPr>
            <w:r w:rsidRPr="009A2D7D">
              <w:rPr>
                <w:sz w:val="17"/>
                <w:szCs w:val="17"/>
                <w:lang w:eastAsia="en-NZ"/>
              </w:rPr>
              <w:t>1,215</w:t>
            </w:r>
          </w:p>
        </w:tc>
        <w:tc>
          <w:tcPr>
            <w:tcW w:w="1134" w:type="dxa"/>
            <w:shd w:val="clear" w:color="auto" w:fill="auto"/>
            <w:noWrap/>
            <w:hideMark/>
          </w:tcPr>
          <w:p w14:paraId="2DBCBF84" w14:textId="77777777" w:rsidR="00232F0B" w:rsidRPr="009A2D7D" w:rsidRDefault="00232F0B" w:rsidP="009A2D7D">
            <w:pPr>
              <w:pStyle w:val="TableText"/>
              <w:jc w:val="center"/>
              <w:rPr>
                <w:sz w:val="17"/>
                <w:szCs w:val="17"/>
                <w:lang w:eastAsia="en-NZ"/>
              </w:rPr>
            </w:pPr>
            <w:r w:rsidRPr="009A2D7D">
              <w:rPr>
                <w:sz w:val="17"/>
                <w:szCs w:val="17"/>
                <w:lang w:eastAsia="en-NZ"/>
              </w:rPr>
              <w:t>$305</w:t>
            </w:r>
          </w:p>
        </w:tc>
        <w:tc>
          <w:tcPr>
            <w:tcW w:w="1276" w:type="dxa"/>
            <w:shd w:val="clear" w:color="auto" w:fill="auto"/>
            <w:noWrap/>
            <w:hideMark/>
          </w:tcPr>
          <w:p w14:paraId="3D0C06AA" w14:textId="77777777" w:rsidR="00232F0B" w:rsidRPr="009A2D7D" w:rsidRDefault="00232F0B" w:rsidP="009A2D7D">
            <w:pPr>
              <w:pStyle w:val="TableText"/>
              <w:tabs>
                <w:tab w:val="decimal" w:pos="795"/>
              </w:tabs>
              <w:rPr>
                <w:sz w:val="17"/>
                <w:szCs w:val="17"/>
                <w:lang w:eastAsia="en-NZ"/>
              </w:rPr>
            </w:pPr>
            <w:r w:rsidRPr="009A2D7D">
              <w:rPr>
                <w:sz w:val="17"/>
                <w:szCs w:val="17"/>
                <w:lang w:eastAsia="en-NZ"/>
              </w:rPr>
              <w:t>$370</w:t>
            </w:r>
          </w:p>
        </w:tc>
        <w:tc>
          <w:tcPr>
            <w:tcW w:w="1134" w:type="dxa"/>
            <w:shd w:val="clear" w:color="auto" w:fill="auto"/>
            <w:noWrap/>
            <w:hideMark/>
          </w:tcPr>
          <w:p w14:paraId="11688E30" w14:textId="77777777" w:rsidR="00232F0B" w:rsidRPr="009A2D7D" w:rsidRDefault="00232F0B" w:rsidP="009A2D7D">
            <w:pPr>
              <w:pStyle w:val="TableText"/>
              <w:jc w:val="center"/>
              <w:rPr>
                <w:sz w:val="17"/>
                <w:szCs w:val="17"/>
                <w:lang w:eastAsia="en-NZ"/>
              </w:rPr>
            </w:pPr>
            <w:r w:rsidRPr="009A2D7D">
              <w:rPr>
                <w:sz w:val="17"/>
                <w:szCs w:val="17"/>
                <w:lang w:eastAsia="en-NZ"/>
              </w:rPr>
              <w:t>$18</w:t>
            </w:r>
          </w:p>
        </w:tc>
        <w:tc>
          <w:tcPr>
            <w:tcW w:w="1276" w:type="dxa"/>
            <w:shd w:val="clear" w:color="auto" w:fill="auto"/>
            <w:noWrap/>
            <w:hideMark/>
          </w:tcPr>
          <w:p w14:paraId="73238686" w14:textId="77777777" w:rsidR="00232F0B" w:rsidRPr="009A2D7D" w:rsidRDefault="00232F0B" w:rsidP="009A2D7D">
            <w:pPr>
              <w:pStyle w:val="TableText"/>
              <w:tabs>
                <w:tab w:val="decimal" w:pos="742"/>
              </w:tabs>
              <w:rPr>
                <w:sz w:val="17"/>
                <w:szCs w:val="17"/>
                <w:lang w:eastAsia="en-NZ"/>
              </w:rPr>
            </w:pPr>
            <w:r w:rsidRPr="009A2D7D">
              <w:rPr>
                <w:sz w:val="17"/>
                <w:szCs w:val="17"/>
                <w:lang w:eastAsia="en-NZ"/>
              </w:rPr>
              <w:t>$64</w:t>
            </w:r>
          </w:p>
        </w:tc>
        <w:tc>
          <w:tcPr>
            <w:tcW w:w="992" w:type="dxa"/>
            <w:shd w:val="clear" w:color="auto" w:fill="auto"/>
            <w:noWrap/>
            <w:hideMark/>
          </w:tcPr>
          <w:p w14:paraId="34ECC0A3" w14:textId="77777777" w:rsidR="00232F0B" w:rsidRPr="009A2D7D" w:rsidRDefault="00232F0B" w:rsidP="009A2D7D">
            <w:pPr>
              <w:pStyle w:val="TableText"/>
              <w:tabs>
                <w:tab w:val="decimal" w:pos="631"/>
              </w:tabs>
              <w:rPr>
                <w:sz w:val="17"/>
                <w:szCs w:val="17"/>
                <w:lang w:eastAsia="en-NZ"/>
              </w:rPr>
            </w:pPr>
            <w:r w:rsidRPr="009A2D7D">
              <w:rPr>
                <w:sz w:val="17"/>
                <w:szCs w:val="17"/>
                <w:lang w:eastAsia="en-NZ"/>
              </w:rPr>
              <w:t>$757</w:t>
            </w:r>
          </w:p>
        </w:tc>
      </w:tr>
      <w:tr w:rsidR="00232F0B" w:rsidRPr="00A40FD5" w14:paraId="59409C90" w14:textId="77777777" w:rsidTr="009A2D7D">
        <w:trPr>
          <w:cantSplit/>
        </w:trPr>
        <w:tc>
          <w:tcPr>
            <w:tcW w:w="993" w:type="dxa"/>
            <w:shd w:val="clear" w:color="auto" w:fill="auto"/>
            <w:noWrap/>
            <w:hideMark/>
          </w:tcPr>
          <w:p w14:paraId="13FAE179" w14:textId="77777777" w:rsidR="00232F0B" w:rsidRPr="009A2D7D" w:rsidRDefault="00232F0B" w:rsidP="009A2D7D">
            <w:pPr>
              <w:pStyle w:val="TableText"/>
              <w:rPr>
                <w:color w:val="000000"/>
                <w:sz w:val="17"/>
                <w:szCs w:val="17"/>
                <w:lang w:eastAsia="en-NZ"/>
              </w:rPr>
            </w:pPr>
            <w:r w:rsidRPr="009A2D7D">
              <w:rPr>
                <w:sz w:val="17"/>
                <w:szCs w:val="17"/>
                <w:lang w:eastAsia="en-NZ"/>
              </w:rPr>
              <w:t>No inspection</w:t>
            </w:r>
          </w:p>
        </w:tc>
        <w:tc>
          <w:tcPr>
            <w:tcW w:w="1275" w:type="dxa"/>
            <w:shd w:val="clear" w:color="auto" w:fill="auto"/>
            <w:noWrap/>
            <w:hideMark/>
          </w:tcPr>
          <w:p w14:paraId="1AA89DD3" w14:textId="77777777" w:rsidR="00232F0B" w:rsidRPr="009A2D7D" w:rsidRDefault="00232F0B" w:rsidP="009A2D7D">
            <w:pPr>
              <w:pStyle w:val="TableText"/>
              <w:tabs>
                <w:tab w:val="decimal" w:pos="796"/>
              </w:tabs>
              <w:rPr>
                <w:sz w:val="17"/>
                <w:szCs w:val="17"/>
                <w:lang w:eastAsia="en-NZ"/>
              </w:rPr>
            </w:pPr>
            <w:r w:rsidRPr="009A2D7D">
              <w:rPr>
                <w:sz w:val="17"/>
                <w:szCs w:val="17"/>
                <w:lang w:eastAsia="en-NZ"/>
              </w:rPr>
              <w:t>4</w:t>
            </w:r>
          </w:p>
        </w:tc>
        <w:tc>
          <w:tcPr>
            <w:tcW w:w="1134" w:type="dxa"/>
            <w:shd w:val="clear" w:color="auto" w:fill="auto"/>
            <w:noWrap/>
            <w:hideMark/>
          </w:tcPr>
          <w:p w14:paraId="51BB6A56" w14:textId="77777777" w:rsidR="00232F0B" w:rsidRPr="009A2D7D" w:rsidRDefault="00232F0B" w:rsidP="009A2D7D">
            <w:pPr>
              <w:pStyle w:val="TableText"/>
              <w:jc w:val="center"/>
              <w:rPr>
                <w:sz w:val="17"/>
                <w:szCs w:val="17"/>
                <w:lang w:eastAsia="en-NZ"/>
              </w:rPr>
            </w:pPr>
            <w:r w:rsidRPr="009A2D7D">
              <w:rPr>
                <w:sz w:val="17"/>
                <w:szCs w:val="17"/>
                <w:lang w:eastAsia="en-NZ"/>
              </w:rPr>
              <w:t>$305</w:t>
            </w:r>
          </w:p>
        </w:tc>
        <w:tc>
          <w:tcPr>
            <w:tcW w:w="1276" w:type="dxa"/>
            <w:shd w:val="clear" w:color="auto" w:fill="auto"/>
            <w:noWrap/>
            <w:hideMark/>
          </w:tcPr>
          <w:p w14:paraId="1DEB5869" w14:textId="77777777" w:rsidR="00232F0B" w:rsidRPr="009A2D7D" w:rsidRDefault="00232F0B" w:rsidP="009A2D7D">
            <w:pPr>
              <w:pStyle w:val="TableText"/>
              <w:tabs>
                <w:tab w:val="decimal" w:pos="795"/>
              </w:tabs>
              <w:rPr>
                <w:sz w:val="17"/>
                <w:szCs w:val="17"/>
                <w:lang w:eastAsia="en-NZ"/>
              </w:rPr>
            </w:pPr>
            <w:r w:rsidRPr="009A2D7D">
              <w:rPr>
                <w:sz w:val="17"/>
                <w:szCs w:val="17"/>
                <w:lang w:eastAsia="en-NZ"/>
              </w:rPr>
              <w:t>$0</w:t>
            </w:r>
          </w:p>
        </w:tc>
        <w:tc>
          <w:tcPr>
            <w:tcW w:w="1134" w:type="dxa"/>
            <w:shd w:val="clear" w:color="auto" w:fill="auto"/>
            <w:noWrap/>
            <w:hideMark/>
          </w:tcPr>
          <w:p w14:paraId="68AB6E96" w14:textId="77777777" w:rsidR="00232F0B" w:rsidRPr="009A2D7D" w:rsidRDefault="00232F0B" w:rsidP="009A2D7D">
            <w:pPr>
              <w:pStyle w:val="TableText"/>
              <w:jc w:val="center"/>
              <w:rPr>
                <w:sz w:val="17"/>
                <w:szCs w:val="17"/>
                <w:lang w:eastAsia="en-NZ"/>
              </w:rPr>
            </w:pPr>
            <w:r w:rsidRPr="009A2D7D">
              <w:rPr>
                <w:sz w:val="17"/>
                <w:szCs w:val="17"/>
                <w:lang w:eastAsia="en-NZ"/>
              </w:rPr>
              <w:t>$18</w:t>
            </w:r>
          </w:p>
        </w:tc>
        <w:tc>
          <w:tcPr>
            <w:tcW w:w="1276" w:type="dxa"/>
            <w:shd w:val="clear" w:color="auto" w:fill="auto"/>
            <w:noWrap/>
            <w:hideMark/>
          </w:tcPr>
          <w:p w14:paraId="13BE6469" w14:textId="77777777" w:rsidR="00232F0B" w:rsidRPr="009A2D7D" w:rsidRDefault="00232F0B" w:rsidP="009A2D7D">
            <w:pPr>
              <w:pStyle w:val="TableText"/>
              <w:tabs>
                <w:tab w:val="decimal" w:pos="742"/>
              </w:tabs>
              <w:rPr>
                <w:sz w:val="17"/>
                <w:szCs w:val="17"/>
                <w:lang w:eastAsia="en-NZ"/>
              </w:rPr>
            </w:pPr>
            <w:r w:rsidRPr="009A2D7D">
              <w:rPr>
                <w:sz w:val="17"/>
                <w:szCs w:val="17"/>
                <w:lang w:eastAsia="en-NZ"/>
              </w:rPr>
              <w:t>$30</w:t>
            </w:r>
          </w:p>
        </w:tc>
        <w:tc>
          <w:tcPr>
            <w:tcW w:w="992" w:type="dxa"/>
            <w:shd w:val="clear" w:color="auto" w:fill="auto"/>
            <w:noWrap/>
            <w:hideMark/>
          </w:tcPr>
          <w:p w14:paraId="0A1EC38D" w14:textId="77777777" w:rsidR="00232F0B" w:rsidRPr="009A2D7D" w:rsidRDefault="00232F0B" w:rsidP="009A2D7D">
            <w:pPr>
              <w:pStyle w:val="TableText"/>
              <w:tabs>
                <w:tab w:val="decimal" w:pos="631"/>
              </w:tabs>
              <w:rPr>
                <w:sz w:val="17"/>
                <w:szCs w:val="17"/>
                <w:lang w:eastAsia="en-NZ"/>
              </w:rPr>
            </w:pPr>
            <w:r w:rsidRPr="009A2D7D">
              <w:rPr>
                <w:sz w:val="17"/>
                <w:szCs w:val="17"/>
                <w:lang w:eastAsia="en-NZ"/>
              </w:rPr>
              <w:t>$353</w:t>
            </w:r>
          </w:p>
        </w:tc>
      </w:tr>
      <w:tr w:rsidR="00232F0B" w:rsidRPr="00A40FD5" w14:paraId="45838BD7" w14:textId="77777777" w:rsidTr="009A2D7D">
        <w:trPr>
          <w:cantSplit/>
        </w:trPr>
        <w:tc>
          <w:tcPr>
            <w:tcW w:w="993" w:type="dxa"/>
            <w:shd w:val="clear" w:color="auto" w:fill="auto"/>
            <w:noWrap/>
            <w:hideMark/>
          </w:tcPr>
          <w:p w14:paraId="1EC31DD3" w14:textId="77777777" w:rsidR="00232F0B" w:rsidRPr="009A2D7D" w:rsidRDefault="00232F0B" w:rsidP="009A2D7D">
            <w:pPr>
              <w:pStyle w:val="TableText"/>
              <w:rPr>
                <w:color w:val="000000"/>
                <w:sz w:val="17"/>
                <w:szCs w:val="17"/>
                <w:lang w:eastAsia="en-NZ"/>
              </w:rPr>
            </w:pPr>
            <w:r w:rsidRPr="009A2D7D">
              <w:rPr>
                <w:sz w:val="17"/>
                <w:szCs w:val="17"/>
                <w:lang w:eastAsia="en-NZ"/>
              </w:rPr>
              <w:t>Totals</w:t>
            </w:r>
          </w:p>
        </w:tc>
        <w:tc>
          <w:tcPr>
            <w:tcW w:w="1275" w:type="dxa"/>
            <w:shd w:val="clear" w:color="auto" w:fill="auto"/>
            <w:noWrap/>
            <w:hideMark/>
          </w:tcPr>
          <w:p w14:paraId="3E5BF581" w14:textId="77777777" w:rsidR="00232F0B" w:rsidRPr="009A2D7D" w:rsidRDefault="00232F0B" w:rsidP="009A2D7D">
            <w:pPr>
              <w:pStyle w:val="TableText"/>
              <w:tabs>
                <w:tab w:val="decimal" w:pos="796"/>
              </w:tabs>
              <w:rPr>
                <w:sz w:val="17"/>
                <w:szCs w:val="17"/>
                <w:lang w:eastAsia="en-NZ"/>
              </w:rPr>
            </w:pPr>
            <w:r w:rsidRPr="009A2D7D">
              <w:rPr>
                <w:sz w:val="17"/>
                <w:szCs w:val="17"/>
                <w:lang w:eastAsia="en-NZ"/>
              </w:rPr>
              <w:t>2</w:t>
            </w:r>
            <w:r w:rsidR="009A2D7D">
              <w:rPr>
                <w:sz w:val="17"/>
                <w:szCs w:val="17"/>
                <w:lang w:eastAsia="en-NZ"/>
              </w:rPr>
              <w:t>,</w:t>
            </w:r>
            <w:r w:rsidRPr="009A2D7D">
              <w:rPr>
                <w:sz w:val="17"/>
                <w:szCs w:val="17"/>
                <w:lang w:eastAsia="en-NZ"/>
              </w:rPr>
              <w:t>240</w:t>
            </w:r>
          </w:p>
        </w:tc>
        <w:tc>
          <w:tcPr>
            <w:tcW w:w="1134" w:type="dxa"/>
            <w:shd w:val="clear" w:color="auto" w:fill="auto"/>
            <w:noWrap/>
          </w:tcPr>
          <w:p w14:paraId="68E62523" w14:textId="77777777" w:rsidR="00232F0B" w:rsidRPr="009A2D7D" w:rsidRDefault="00232F0B" w:rsidP="009A2D7D">
            <w:pPr>
              <w:pStyle w:val="TableText"/>
              <w:jc w:val="center"/>
              <w:rPr>
                <w:sz w:val="17"/>
                <w:szCs w:val="17"/>
                <w:lang w:eastAsia="en-NZ"/>
              </w:rPr>
            </w:pPr>
          </w:p>
        </w:tc>
        <w:tc>
          <w:tcPr>
            <w:tcW w:w="1276" w:type="dxa"/>
            <w:shd w:val="clear" w:color="auto" w:fill="auto"/>
            <w:noWrap/>
          </w:tcPr>
          <w:p w14:paraId="602B904C" w14:textId="77777777" w:rsidR="00232F0B" w:rsidRPr="009A2D7D" w:rsidRDefault="00232F0B" w:rsidP="009A2D7D">
            <w:pPr>
              <w:pStyle w:val="TableText"/>
              <w:tabs>
                <w:tab w:val="decimal" w:pos="795"/>
              </w:tabs>
              <w:rPr>
                <w:sz w:val="17"/>
                <w:szCs w:val="17"/>
                <w:lang w:eastAsia="en-NZ"/>
              </w:rPr>
            </w:pPr>
          </w:p>
        </w:tc>
        <w:tc>
          <w:tcPr>
            <w:tcW w:w="1134" w:type="dxa"/>
            <w:shd w:val="clear" w:color="auto" w:fill="auto"/>
            <w:noWrap/>
          </w:tcPr>
          <w:p w14:paraId="024B929F" w14:textId="77777777" w:rsidR="00232F0B" w:rsidRPr="009A2D7D" w:rsidRDefault="00232F0B" w:rsidP="009A2D7D">
            <w:pPr>
              <w:pStyle w:val="TableText"/>
              <w:jc w:val="center"/>
              <w:rPr>
                <w:color w:val="000000"/>
                <w:sz w:val="17"/>
                <w:szCs w:val="17"/>
                <w:lang w:eastAsia="en-NZ"/>
              </w:rPr>
            </w:pPr>
          </w:p>
        </w:tc>
        <w:tc>
          <w:tcPr>
            <w:tcW w:w="1276" w:type="dxa"/>
            <w:shd w:val="clear" w:color="auto" w:fill="auto"/>
            <w:noWrap/>
          </w:tcPr>
          <w:p w14:paraId="28449D87" w14:textId="77777777" w:rsidR="00232F0B" w:rsidRPr="009A2D7D" w:rsidRDefault="00232F0B" w:rsidP="009A2D7D">
            <w:pPr>
              <w:pStyle w:val="TableText"/>
              <w:tabs>
                <w:tab w:val="decimal" w:pos="742"/>
              </w:tabs>
              <w:rPr>
                <w:color w:val="000000"/>
                <w:sz w:val="17"/>
                <w:szCs w:val="17"/>
                <w:lang w:eastAsia="en-NZ"/>
              </w:rPr>
            </w:pPr>
          </w:p>
        </w:tc>
        <w:tc>
          <w:tcPr>
            <w:tcW w:w="992" w:type="dxa"/>
            <w:shd w:val="clear" w:color="auto" w:fill="auto"/>
            <w:noWrap/>
          </w:tcPr>
          <w:p w14:paraId="6B5C0D9F" w14:textId="77777777" w:rsidR="00232F0B" w:rsidRPr="009A2D7D" w:rsidRDefault="00232F0B" w:rsidP="009A2D7D">
            <w:pPr>
              <w:pStyle w:val="TableText"/>
              <w:tabs>
                <w:tab w:val="decimal" w:pos="631"/>
              </w:tabs>
              <w:rPr>
                <w:color w:val="000000"/>
                <w:sz w:val="17"/>
                <w:szCs w:val="17"/>
                <w:lang w:eastAsia="en-NZ"/>
              </w:rPr>
            </w:pPr>
          </w:p>
        </w:tc>
      </w:tr>
    </w:tbl>
    <w:p w14:paraId="62989357" w14:textId="77777777" w:rsidR="00031E2A" w:rsidRDefault="00031E2A" w:rsidP="00031E2A">
      <w:bookmarkStart w:id="244" w:name="_Toc74583498"/>
      <w:bookmarkStart w:id="245" w:name="_Toc75349265"/>
      <w:bookmarkStart w:id="246" w:name="_Toc83118755"/>
      <w:bookmarkStart w:id="247" w:name="_Toc83130234"/>
      <w:bookmarkStart w:id="248" w:name="_Toc83133503"/>
    </w:p>
    <w:p w14:paraId="12596173" w14:textId="77777777" w:rsidR="00232F0B" w:rsidRPr="00A40FD5" w:rsidRDefault="00232F0B" w:rsidP="005B5BE2">
      <w:pPr>
        <w:pStyle w:val="Heading3"/>
      </w:pPr>
      <w:r w:rsidRPr="00A40FD5">
        <w:t>Alternative option</w:t>
      </w:r>
      <w:bookmarkEnd w:id="244"/>
      <w:bookmarkEnd w:id="245"/>
      <w:bookmarkEnd w:id="246"/>
      <w:bookmarkEnd w:id="247"/>
      <w:bookmarkEnd w:id="248"/>
    </w:p>
    <w:p w14:paraId="09FC4163" w14:textId="77777777" w:rsidR="0087667B" w:rsidRDefault="00232F0B" w:rsidP="00031E2A">
      <w:r w:rsidRPr="00A40FD5">
        <w:t>The Ministry has not identified a justifiable alternative option.</w:t>
      </w:r>
    </w:p>
    <w:p w14:paraId="2D6526D1" w14:textId="77777777" w:rsidR="00232F0B" w:rsidRPr="00A40FD5" w:rsidRDefault="00232F0B" w:rsidP="00031E2A"/>
    <w:p w14:paraId="1C8EEE14" w14:textId="77777777" w:rsidR="00232F0B" w:rsidRDefault="00232F0B" w:rsidP="005B5BE2">
      <w:pPr>
        <w:pStyle w:val="BoxHeading"/>
      </w:pPr>
      <w:r w:rsidRPr="00A40FD5">
        <w:t>Consultation questions</w:t>
      </w:r>
    </w:p>
    <w:p w14:paraId="32503A0D" w14:textId="162722EF" w:rsidR="0087667B" w:rsidRDefault="00232F0B" w:rsidP="00031E2A">
      <w:pPr>
        <w:pStyle w:val="BoxNumber"/>
      </w:pPr>
      <w:r w:rsidRPr="00A40FD5">
        <w:t xml:space="preserve">Do you think the preferred option of retaining the existing graded approach to source licence fees based on the assessed cost components set out in </w:t>
      </w:r>
      <w:r w:rsidR="00031E2A">
        <w:fldChar w:fldCharType="begin"/>
      </w:r>
      <w:r w:rsidR="00031E2A">
        <w:instrText xml:space="preserve"> REF _Ref87368882 \h </w:instrText>
      </w:r>
      <w:r w:rsidR="00031E2A">
        <w:fldChar w:fldCharType="separate"/>
      </w:r>
      <w:r w:rsidR="003A5600">
        <w:t>Table </w:t>
      </w:r>
      <w:r w:rsidR="003A5600">
        <w:rPr>
          <w:noProof/>
        </w:rPr>
        <w:t>14</w:t>
      </w:r>
      <w:r w:rsidR="00031E2A">
        <w:fldChar w:fldCharType="end"/>
      </w:r>
      <w:r w:rsidRPr="00A40FD5">
        <w:t xml:space="preserve"> and </w:t>
      </w:r>
      <w:r w:rsidR="00031E2A">
        <w:fldChar w:fldCharType="begin"/>
      </w:r>
      <w:r w:rsidR="00031E2A">
        <w:instrText xml:space="preserve"> REF _Ref87369206 \h </w:instrText>
      </w:r>
      <w:r w:rsidR="00031E2A">
        <w:fldChar w:fldCharType="separate"/>
      </w:r>
      <w:r w:rsidR="003A5600">
        <w:t>Table </w:t>
      </w:r>
      <w:r w:rsidR="003A5600">
        <w:rPr>
          <w:noProof/>
        </w:rPr>
        <w:t>15</w:t>
      </w:r>
      <w:r w:rsidR="00031E2A">
        <w:fldChar w:fldCharType="end"/>
      </w:r>
      <w:r w:rsidRPr="00A40FD5">
        <w:t xml:space="preserve"> is justified?</w:t>
      </w:r>
    </w:p>
    <w:p w14:paraId="4ACFD4D2" w14:textId="26B3A4A0" w:rsidR="00232F0B" w:rsidRPr="00A40FD5" w:rsidRDefault="00232F0B" w:rsidP="00031E2A">
      <w:pPr>
        <w:pStyle w:val="BoxNumber"/>
      </w:pPr>
      <w:r w:rsidRPr="00A40FD5">
        <w:t xml:space="preserve">If you think the preferred option of retaining the existing graded approach to source licence fees based on the assessed cost components set out in </w:t>
      </w:r>
      <w:r w:rsidR="00031E2A">
        <w:fldChar w:fldCharType="begin"/>
      </w:r>
      <w:r w:rsidR="00031E2A">
        <w:instrText xml:space="preserve"> REF _Ref87368882 \h </w:instrText>
      </w:r>
      <w:r w:rsidR="00031E2A">
        <w:fldChar w:fldCharType="separate"/>
      </w:r>
      <w:r w:rsidR="003A5600">
        <w:t>Table </w:t>
      </w:r>
      <w:r w:rsidR="003A5600">
        <w:rPr>
          <w:noProof/>
        </w:rPr>
        <w:t>14</w:t>
      </w:r>
      <w:r w:rsidR="00031E2A">
        <w:fldChar w:fldCharType="end"/>
      </w:r>
      <w:r w:rsidRPr="00A40FD5">
        <w:t xml:space="preserve"> and </w:t>
      </w:r>
      <w:r w:rsidR="00031E2A">
        <w:fldChar w:fldCharType="begin"/>
      </w:r>
      <w:r w:rsidR="00031E2A">
        <w:instrText xml:space="preserve"> REF _Ref87369206 \h </w:instrText>
      </w:r>
      <w:r w:rsidR="00031E2A">
        <w:fldChar w:fldCharType="separate"/>
      </w:r>
      <w:r w:rsidR="003A5600">
        <w:t>Table </w:t>
      </w:r>
      <w:r w:rsidR="003A5600">
        <w:rPr>
          <w:noProof/>
        </w:rPr>
        <w:t>15</w:t>
      </w:r>
      <w:r w:rsidR="00031E2A">
        <w:fldChar w:fldCharType="end"/>
      </w:r>
      <w:r w:rsidR="00031E2A">
        <w:t xml:space="preserve"> </w:t>
      </w:r>
      <w:r w:rsidRPr="00A40FD5">
        <w:t xml:space="preserve">is </w:t>
      </w:r>
      <w:r w:rsidRPr="00743999">
        <w:rPr>
          <w:b/>
          <w:bCs/>
        </w:rPr>
        <w:t>not</w:t>
      </w:r>
      <w:r>
        <w:t xml:space="preserve"> </w:t>
      </w:r>
      <w:r w:rsidRPr="00A40FD5">
        <w:t>justifi</w:t>
      </w:r>
      <w:r>
        <w:t>able</w:t>
      </w:r>
      <w:r w:rsidRPr="00A40FD5">
        <w:t xml:space="preserve">, please outline an alternative option for assigning source licence fees. Please provide </w:t>
      </w:r>
      <w:r>
        <w:t>reasons</w:t>
      </w:r>
      <w:r w:rsidRPr="00A40FD5">
        <w:t xml:space="preserve"> for your </w:t>
      </w:r>
      <w:r>
        <w:t>option</w:t>
      </w:r>
      <w:r w:rsidRPr="00A40FD5">
        <w:t>.</w:t>
      </w:r>
    </w:p>
    <w:p w14:paraId="22245CCD" w14:textId="77777777" w:rsidR="00232F0B" w:rsidRPr="00A40FD5" w:rsidRDefault="00232F0B" w:rsidP="00031E2A">
      <w:pPr>
        <w:pStyle w:val="BoxNumber"/>
      </w:pPr>
      <w:r w:rsidRPr="00A40FD5">
        <w:t>Do you have any further comments, suggestions or alternative options?</w:t>
      </w:r>
    </w:p>
    <w:p w14:paraId="6808D626" w14:textId="77777777" w:rsidR="00232F0B" w:rsidRDefault="00232F0B" w:rsidP="00031E2A">
      <w:pPr>
        <w:pStyle w:val="Box"/>
      </w:pPr>
      <w:r w:rsidRPr="00A40FD5">
        <w:t>Please use the submission form to respond to these questions.</w:t>
      </w:r>
    </w:p>
    <w:p w14:paraId="360C5A0E" w14:textId="77777777" w:rsidR="00031E2A" w:rsidRPr="00FD6935" w:rsidRDefault="00031E2A" w:rsidP="00031E2A"/>
    <w:p w14:paraId="12E7944B" w14:textId="77777777" w:rsidR="0087667B" w:rsidRDefault="00232F0B" w:rsidP="005B5BE2">
      <w:pPr>
        <w:pStyle w:val="Heading2"/>
      </w:pPr>
      <w:bookmarkStart w:id="249" w:name="_Toc83133504"/>
      <w:bookmarkStart w:id="250" w:name="_Toc89696199"/>
      <w:r w:rsidRPr="00A40FD5">
        <w:t>Proposed new use licence fees</w:t>
      </w:r>
      <w:bookmarkEnd w:id="249"/>
      <w:bookmarkEnd w:id="250"/>
    </w:p>
    <w:p w14:paraId="5930C67B" w14:textId="77777777" w:rsidR="00232F0B" w:rsidRPr="00A40FD5" w:rsidRDefault="00232F0B" w:rsidP="005B5BE2">
      <w:pPr>
        <w:pStyle w:val="Heading3"/>
      </w:pPr>
      <w:bookmarkStart w:id="251" w:name="_Toc74583500"/>
      <w:bookmarkStart w:id="252" w:name="_Toc75349267"/>
      <w:bookmarkStart w:id="253" w:name="_Toc83118757"/>
      <w:bookmarkStart w:id="254" w:name="_Toc83130236"/>
      <w:bookmarkStart w:id="255" w:name="_Toc83133505"/>
      <w:r w:rsidRPr="00A40FD5">
        <w:t>Background</w:t>
      </w:r>
      <w:bookmarkEnd w:id="251"/>
      <w:bookmarkEnd w:id="252"/>
      <w:bookmarkEnd w:id="253"/>
      <w:bookmarkEnd w:id="254"/>
      <w:bookmarkEnd w:id="255"/>
    </w:p>
    <w:p w14:paraId="3F3B303B" w14:textId="77777777" w:rsidR="0087667B" w:rsidRDefault="00232F0B" w:rsidP="00305136">
      <w:pPr>
        <w:keepNext/>
      </w:pPr>
      <w:r w:rsidRPr="00A40FD5">
        <w:t xml:space="preserve">The fees payable on application for a use licence are set out in </w:t>
      </w:r>
      <w:r>
        <w:t>r</w:t>
      </w:r>
      <w:r w:rsidRPr="00A40FD5">
        <w:t>egulation 17.</w:t>
      </w:r>
    </w:p>
    <w:p w14:paraId="5CB60F37" w14:textId="77777777" w:rsidR="00232F0B" w:rsidRPr="00A40FD5" w:rsidRDefault="00232F0B" w:rsidP="00305136">
      <w:pPr>
        <w:keepNext/>
      </w:pPr>
    </w:p>
    <w:p w14:paraId="4F728B45" w14:textId="77777777" w:rsidR="0087667B" w:rsidRDefault="00232F0B" w:rsidP="005B5BE2">
      <w:pPr>
        <w:pStyle w:val="Heading3"/>
      </w:pPr>
      <w:bookmarkStart w:id="256" w:name="_Toc83118758"/>
      <w:bookmarkStart w:id="257" w:name="_Toc83130237"/>
      <w:bookmarkStart w:id="258" w:name="_Toc83133506"/>
      <w:r>
        <w:t>Status quo</w:t>
      </w:r>
      <w:r w:rsidRPr="00A40FD5">
        <w:t xml:space="preserve"> option</w:t>
      </w:r>
      <w:bookmarkEnd w:id="256"/>
      <w:bookmarkEnd w:id="257"/>
      <w:bookmarkEnd w:id="258"/>
    </w:p>
    <w:p w14:paraId="7855AB2F" w14:textId="77777777" w:rsidR="0087667B" w:rsidRDefault="00232F0B" w:rsidP="00031E2A">
      <w:r w:rsidRPr="00A40FD5">
        <w:t xml:space="preserve">The </w:t>
      </w:r>
      <w:r>
        <w:t>status quo option to retain the existing flat fee does not meet most of the objectives outlined in the 2016 RIS on the Regulations and therefore is not viable.</w:t>
      </w:r>
    </w:p>
    <w:p w14:paraId="0995111B" w14:textId="77777777" w:rsidR="00232F0B" w:rsidRPr="00A40FD5" w:rsidRDefault="00232F0B" w:rsidP="00031E2A"/>
    <w:p w14:paraId="36BDE2FE" w14:textId="77777777" w:rsidR="0087667B" w:rsidRDefault="00232F0B" w:rsidP="005B5BE2">
      <w:pPr>
        <w:pStyle w:val="Heading3"/>
      </w:pPr>
      <w:bookmarkStart w:id="259" w:name="_Toc74583501"/>
      <w:bookmarkStart w:id="260" w:name="_Toc75349268"/>
      <w:bookmarkStart w:id="261" w:name="_Toc83118759"/>
      <w:bookmarkStart w:id="262" w:name="_Toc83130238"/>
      <w:bookmarkStart w:id="263" w:name="_Toc83133507"/>
      <w:r w:rsidRPr="00A40FD5">
        <w:t>Preferred option</w:t>
      </w:r>
      <w:bookmarkEnd w:id="259"/>
      <w:bookmarkEnd w:id="260"/>
      <w:bookmarkEnd w:id="261"/>
      <w:bookmarkEnd w:id="262"/>
      <w:bookmarkEnd w:id="263"/>
    </w:p>
    <w:p w14:paraId="2DBA0E3B" w14:textId="77777777" w:rsidR="00232F0B" w:rsidRPr="00A40FD5" w:rsidRDefault="00232F0B" w:rsidP="00031E2A">
      <w:r>
        <w:t>R</w:t>
      </w:r>
      <w:r w:rsidRPr="00A40FD5">
        <w:t>etain the existing approach set out in Regulation 17</w:t>
      </w:r>
      <w:r>
        <w:t xml:space="preserve"> </w:t>
      </w:r>
      <w:r w:rsidRPr="00A40FD5">
        <w:t xml:space="preserve">of a fee payable for each </w:t>
      </w:r>
      <w:r w:rsidRPr="00A40FD5">
        <w:rPr>
          <w:b/>
          <w:bCs/>
        </w:rPr>
        <w:t>authorisation year</w:t>
      </w:r>
      <w:r w:rsidRPr="00A40FD5">
        <w:t>.</w:t>
      </w:r>
      <w:r>
        <w:t xml:space="preserve"> D</w:t>
      </w:r>
      <w:r w:rsidRPr="00A40FD5">
        <w:t>ifferent fee</w:t>
      </w:r>
      <w:r>
        <w:t>s are proposed</w:t>
      </w:r>
      <w:r w:rsidRPr="00A40FD5">
        <w:t xml:space="preserve"> for applications </w:t>
      </w:r>
      <w:r>
        <w:t xml:space="preserve">for new use licences and applications </w:t>
      </w:r>
      <w:r w:rsidRPr="00A40FD5">
        <w:t>for renewals</w:t>
      </w:r>
      <w:r>
        <w:t xml:space="preserve"> of existing use licences.</w:t>
      </w:r>
      <w:r w:rsidRPr="00A40FD5">
        <w:t xml:space="preserve"> </w:t>
      </w:r>
      <w:r>
        <w:t>T</w:t>
      </w:r>
      <w:r w:rsidRPr="00A40FD5">
        <w:t>he proposed fees (exclusive of GST) are:</w:t>
      </w:r>
    </w:p>
    <w:p w14:paraId="55C0ACBF" w14:textId="77777777" w:rsidR="00232F0B" w:rsidRPr="005A083B" w:rsidRDefault="00232F0B" w:rsidP="00031E2A">
      <w:pPr>
        <w:pStyle w:val="Bullet"/>
      </w:pPr>
      <w:r w:rsidRPr="005A083B">
        <w:t>$408 for each authorisation year for an application for a new</w:t>
      </w:r>
      <w:r>
        <w:t>-</w:t>
      </w:r>
      <w:r w:rsidRPr="005A083B">
        <w:t>use licence or to vary an existing</w:t>
      </w:r>
      <w:r>
        <w:t>-</w:t>
      </w:r>
      <w:r w:rsidRPr="005A083B">
        <w:t>use licence</w:t>
      </w:r>
    </w:p>
    <w:p w14:paraId="5BB007E2" w14:textId="77777777" w:rsidR="0087667B" w:rsidRDefault="00232F0B" w:rsidP="00031E2A">
      <w:pPr>
        <w:pStyle w:val="Bullet"/>
      </w:pPr>
      <w:r w:rsidRPr="005A083B">
        <w:t>$250 for each authorisation year for an application to renew an existing</w:t>
      </w:r>
      <w:r>
        <w:t>-</w:t>
      </w:r>
      <w:r w:rsidRPr="005A083B">
        <w:t>use licence without variation.</w:t>
      </w:r>
    </w:p>
    <w:p w14:paraId="0B2B438B" w14:textId="77777777" w:rsidR="00232F0B" w:rsidRPr="00A40FD5" w:rsidRDefault="00232F0B" w:rsidP="00031E2A"/>
    <w:p w14:paraId="15CAE831" w14:textId="3D1A1106" w:rsidR="0087667B" w:rsidRDefault="00232F0B" w:rsidP="00031E2A">
      <w:r w:rsidRPr="00A40FD5">
        <w:t>The proposal is a significant increase on the current fee of $95 for each authorisation year.</w:t>
      </w:r>
      <w:r>
        <w:t xml:space="preserve"> </w:t>
      </w:r>
      <w:r w:rsidRPr="00A40FD5">
        <w:t xml:space="preserve">The size of the increase arises from a reassessment of the effort </w:t>
      </w:r>
      <w:r>
        <w:t>required to</w:t>
      </w:r>
      <w:r w:rsidRPr="00A40FD5">
        <w:t xml:space="preserve"> determin</w:t>
      </w:r>
      <w:r>
        <w:t>e</w:t>
      </w:r>
      <w:r w:rsidRPr="00A40FD5">
        <w:t xml:space="preserve"> licence applications. </w:t>
      </w:r>
      <w:r>
        <w:t>This option</w:t>
      </w:r>
      <w:r>
        <w:rPr>
          <w:iCs/>
        </w:rPr>
        <w:t xml:space="preserve"> would help the Regulations better achieve the objectives set out in the 2016 RIS for proportionality and equity.</w:t>
      </w:r>
      <w:r w:rsidRPr="00A40FD5">
        <w:t xml:space="preserve"> The </w:t>
      </w:r>
      <w:r>
        <w:t>fees review</w:t>
      </w:r>
      <w:r w:rsidRPr="00A40FD5">
        <w:t xml:space="preserve"> information is set out in </w:t>
      </w:r>
      <w:r w:rsidR="00031E2A">
        <w:fldChar w:fldCharType="begin"/>
      </w:r>
      <w:r w:rsidR="00031E2A">
        <w:instrText xml:space="preserve"> REF _Ref87369305 \h </w:instrText>
      </w:r>
      <w:r w:rsidR="00031E2A">
        <w:fldChar w:fldCharType="separate"/>
      </w:r>
      <w:r w:rsidR="003A5600">
        <w:t>Table </w:t>
      </w:r>
      <w:r w:rsidR="003A5600">
        <w:rPr>
          <w:noProof/>
        </w:rPr>
        <w:t>16</w:t>
      </w:r>
      <w:r w:rsidR="00031E2A">
        <w:fldChar w:fldCharType="end"/>
      </w:r>
      <w:r>
        <w:t xml:space="preserve"> below</w:t>
      </w:r>
      <w:r w:rsidRPr="00A40FD5">
        <w:t>.</w:t>
      </w:r>
    </w:p>
    <w:p w14:paraId="243A5839" w14:textId="77777777" w:rsidR="00232F0B" w:rsidRPr="00A40FD5" w:rsidRDefault="00232F0B" w:rsidP="00031E2A"/>
    <w:p w14:paraId="6D5753ED" w14:textId="3AC5AB2B" w:rsidR="00232F0B" w:rsidRPr="00A40FD5" w:rsidRDefault="005B5BE2" w:rsidP="00031E2A">
      <w:pPr>
        <w:pStyle w:val="Table"/>
      </w:pPr>
      <w:bookmarkStart w:id="264" w:name="_Ref87369305"/>
      <w:bookmarkStart w:id="265" w:name="_Toc84916130"/>
      <w:bookmarkStart w:id="266" w:name="_Toc84916193"/>
      <w:bookmarkStart w:id="267" w:name="_Toc88644164"/>
      <w:bookmarkStart w:id="268" w:name="_Toc74583502"/>
      <w:bookmarkStart w:id="269" w:name="_Toc75349269"/>
      <w:bookmarkStart w:id="270" w:name="_Toc83118760"/>
      <w:bookmarkStart w:id="271" w:name="_Toc83130239"/>
      <w:bookmarkStart w:id="272" w:name="_Toc83133508"/>
      <w:r>
        <w:t>Table</w:t>
      </w:r>
      <w:r w:rsidR="00031E2A">
        <w:t> </w:t>
      </w:r>
      <w:r w:rsidR="00384F9F">
        <w:fldChar w:fldCharType="begin"/>
      </w:r>
      <w:r w:rsidR="00384F9F">
        <w:instrText xml:space="preserve"> SEQ Table \* ARABIC </w:instrText>
      </w:r>
      <w:r w:rsidR="00384F9F">
        <w:fldChar w:fldCharType="separate"/>
      </w:r>
      <w:r w:rsidR="003A5600">
        <w:rPr>
          <w:noProof/>
        </w:rPr>
        <w:t>16</w:t>
      </w:r>
      <w:r w:rsidR="00384F9F">
        <w:rPr>
          <w:noProof/>
        </w:rPr>
        <w:fldChar w:fldCharType="end"/>
      </w:r>
      <w:bookmarkEnd w:id="264"/>
      <w:r w:rsidR="00232F0B" w:rsidRPr="00A40FD5">
        <w:t>:</w:t>
      </w:r>
      <w:r>
        <w:t xml:space="preserve"> </w:t>
      </w:r>
      <w:r w:rsidR="00232F0B" w:rsidRPr="00A40FD5">
        <w:t>Reassessment of effort devoted to assessing applications for use licences</w:t>
      </w:r>
      <w:bookmarkEnd w:id="265"/>
      <w:bookmarkEnd w:id="266"/>
      <w:bookmarkEnd w:id="267"/>
    </w:p>
    <w:tbl>
      <w:tblPr>
        <w:tblW w:w="8080" w:type="dxa"/>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1418"/>
        <w:gridCol w:w="1276"/>
        <w:gridCol w:w="1134"/>
        <w:gridCol w:w="1134"/>
        <w:gridCol w:w="1417"/>
        <w:gridCol w:w="1134"/>
        <w:gridCol w:w="567"/>
      </w:tblGrid>
      <w:tr w:rsidR="00232F0B" w:rsidRPr="00256FE7" w14:paraId="7BE62064" w14:textId="77777777" w:rsidTr="00305136">
        <w:trPr>
          <w:cantSplit/>
        </w:trPr>
        <w:tc>
          <w:tcPr>
            <w:tcW w:w="1418" w:type="dxa"/>
            <w:tcBorders>
              <w:top w:val="nil"/>
              <w:bottom w:val="nil"/>
            </w:tcBorders>
            <w:shd w:val="clear" w:color="auto" w:fill="D9D9D9" w:themeFill="background1" w:themeFillShade="D9"/>
            <w:noWrap/>
            <w:hideMark/>
          </w:tcPr>
          <w:p w14:paraId="4A3BA767" w14:textId="77777777" w:rsidR="00232F0B" w:rsidRPr="00305136" w:rsidRDefault="00232F0B" w:rsidP="009A2D7D">
            <w:pPr>
              <w:pStyle w:val="TableText"/>
              <w:rPr>
                <w:b/>
                <w:sz w:val="17"/>
                <w:szCs w:val="17"/>
                <w:lang w:eastAsia="en-NZ"/>
              </w:rPr>
            </w:pPr>
          </w:p>
        </w:tc>
        <w:tc>
          <w:tcPr>
            <w:tcW w:w="1276" w:type="dxa"/>
            <w:tcBorders>
              <w:top w:val="nil"/>
              <w:bottom w:val="nil"/>
            </w:tcBorders>
            <w:shd w:val="clear" w:color="auto" w:fill="D9D9D9" w:themeFill="background1" w:themeFillShade="D9"/>
            <w:noWrap/>
            <w:hideMark/>
          </w:tcPr>
          <w:p w14:paraId="6D920171" w14:textId="77777777" w:rsidR="00232F0B" w:rsidRPr="00305136" w:rsidRDefault="00232F0B" w:rsidP="00305136">
            <w:pPr>
              <w:pStyle w:val="TableText"/>
              <w:jc w:val="center"/>
              <w:rPr>
                <w:b/>
                <w:sz w:val="17"/>
                <w:szCs w:val="17"/>
                <w:lang w:eastAsia="en-NZ"/>
              </w:rPr>
            </w:pPr>
            <w:r w:rsidRPr="00305136">
              <w:rPr>
                <w:b/>
                <w:sz w:val="17"/>
                <w:szCs w:val="17"/>
                <w:lang w:eastAsia="en-NZ"/>
              </w:rPr>
              <w:t>Projected authorisations</w:t>
            </w:r>
          </w:p>
        </w:tc>
        <w:tc>
          <w:tcPr>
            <w:tcW w:w="1134" w:type="dxa"/>
            <w:tcBorders>
              <w:top w:val="nil"/>
              <w:bottom w:val="nil"/>
            </w:tcBorders>
            <w:shd w:val="clear" w:color="auto" w:fill="D9D9D9" w:themeFill="background1" w:themeFillShade="D9"/>
            <w:noWrap/>
            <w:hideMark/>
          </w:tcPr>
          <w:p w14:paraId="154E42E4" w14:textId="77777777" w:rsidR="00232F0B" w:rsidRPr="00305136" w:rsidRDefault="00232F0B" w:rsidP="00305136">
            <w:pPr>
              <w:pStyle w:val="TableText"/>
              <w:jc w:val="center"/>
              <w:rPr>
                <w:b/>
                <w:sz w:val="17"/>
                <w:szCs w:val="17"/>
                <w:lang w:eastAsia="en-NZ"/>
              </w:rPr>
            </w:pPr>
            <w:r w:rsidRPr="00305136">
              <w:rPr>
                <w:b/>
                <w:sz w:val="17"/>
                <w:szCs w:val="17"/>
                <w:lang w:eastAsia="en-NZ"/>
              </w:rPr>
              <w:t>Average time per application (min</w:t>
            </w:r>
            <w:r w:rsidR="00256FE7" w:rsidRPr="00305136">
              <w:rPr>
                <w:b/>
                <w:sz w:val="17"/>
                <w:szCs w:val="17"/>
                <w:lang w:eastAsia="en-NZ"/>
              </w:rPr>
              <w:t>ute</w:t>
            </w:r>
            <w:r w:rsidRPr="00305136">
              <w:rPr>
                <w:b/>
                <w:sz w:val="17"/>
                <w:szCs w:val="17"/>
                <w:lang w:eastAsia="en-NZ"/>
              </w:rPr>
              <w:t>s)</w:t>
            </w:r>
          </w:p>
        </w:tc>
        <w:tc>
          <w:tcPr>
            <w:tcW w:w="1134" w:type="dxa"/>
            <w:tcBorders>
              <w:top w:val="nil"/>
              <w:bottom w:val="nil"/>
            </w:tcBorders>
            <w:shd w:val="clear" w:color="auto" w:fill="D9D9D9" w:themeFill="background1" w:themeFillShade="D9"/>
            <w:noWrap/>
            <w:hideMark/>
          </w:tcPr>
          <w:p w14:paraId="7668DB99" w14:textId="77777777" w:rsidR="00232F0B" w:rsidRPr="00305136" w:rsidRDefault="00232F0B" w:rsidP="00305136">
            <w:pPr>
              <w:pStyle w:val="TableText"/>
              <w:jc w:val="center"/>
              <w:rPr>
                <w:b/>
                <w:sz w:val="17"/>
                <w:szCs w:val="17"/>
                <w:lang w:eastAsia="en-NZ"/>
              </w:rPr>
            </w:pPr>
            <w:r w:rsidRPr="00305136">
              <w:rPr>
                <w:b/>
                <w:sz w:val="17"/>
                <w:szCs w:val="17"/>
                <w:lang w:eastAsia="en-NZ"/>
              </w:rPr>
              <w:t>Application fee component</w:t>
            </w:r>
          </w:p>
        </w:tc>
        <w:tc>
          <w:tcPr>
            <w:tcW w:w="1417" w:type="dxa"/>
            <w:tcBorders>
              <w:top w:val="nil"/>
              <w:bottom w:val="nil"/>
            </w:tcBorders>
            <w:shd w:val="clear" w:color="auto" w:fill="D9D9D9" w:themeFill="background1" w:themeFillShade="D9"/>
            <w:noWrap/>
            <w:hideMark/>
          </w:tcPr>
          <w:p w14:paraId="2FBD7452" w14:textId="77777777" w:rsidR="00232F0B" w:rsidRPr="00305136" w:rsidRDefault="00232F0B" w:rsidP="00305136">
            <w:pPr>
              <w:pStyle w:val="TableText"/>
              <w:jc w:val="center"/>
              <w:rPr>
                <w:b/>
                <w:sz w:val="17"/>
                <w:szCs w:val="17"/>
                <w:lang w:eastAsia="en-NZ"/>
              </w:rPr>
            </w:pPr>
            <w:r w:rsidRPr="00305136">
              <w:rPr>
                <w:b/>
                <w:sz w:val="17"/>
                <w:szCs w:val="17"/>
                <w:lang w:eastAsia="en-NZ"/>
              </w:rPr>
              <w:t>Technical evaluation (assessed relative effort)</w:t>
            </w:r>
          </w:p>
        </w:tc>
        <w:tc>
          <w:tcPr>
            <w:tcW w:w="1134" w:type="dxa"/>
            <w:tcBorders>
              <w:top w:val="nil"/>
              <w:bottom w:val="nil"/>
            </w:tcBorders>
            <w:shd w:val="clear" w:color="auto" w:fill="D9D9D9" w:themeFill="background1" w:themeFillShade="D9"/>
            <w:noWrap/>
            <w:hideMark/>
          </w:tcPr>
          <w:p w14:paraId="12242B75" w14:textId="77777777" w:rsidR="00232F0B" w:rsidRPr="00305136" w:rsidRDefault="00232F0B" w:rsidP="00305136">
            <w:pPr>
              <w:pStyle w:val="TableText"/>
              <w:jc w:val="center"/>
              <w:rPr>
                <w:b/>
                <w:sz w:val="17"/>
                <w:szCs w:val="17"/>
                <w:lang w:eastAsia="en-NZ"/>
              </w:rPr>
            </w:pPr>
            <w:r w:rsidRPr="00305136">
              <w:rPr>
                <w:b/>
                <w:sz w:val="17"/>
                <w:szCs w:val="17"/>
                <w:lang w:eastAsia="en-NZ"/>
              </w:rPr>
              <w:t>Technical evaluation fee component</w:t>
            </w:r>
          </w:p>
        </w:tc>
        <w:tc>
          <w:tcPr>
            <w:tcW w:w="567" w:type="dxa"/>
            <w:tcBorders>
              <w:top w:val="nil"/>
              <w:bottom w:val="nil"/>
            </w:tcBorders>
            <w:shd w:val="clear" w:color="auto" w:fill="D9D9D9" w:themeFill="background1" w:themeFillShade="D9"/>
            <w:noWrap/>
            <w:hideMark/>
          </w:tcPr>
          <w:p w14:paraId="10A3EDCA" w14:textId="77777777" w:rsidR="00232F0B" w:rsidRPr="00305136" w:rsidRDefault="00232F0B" w:rsidP="00305136">
            <w:pPr>
              <w:pStyle w:val="TableText"/>
              <w:jc w:val="center"/>
              <w:rPr>
                <w:b/>
                <w:sz w:val="17"/>
                <w:szCs w:val="17"/>
                <w:lang w:eastAsia="en-NZ"/>
              </w:rPr>
            </w:pPr>
            <w:r w:rsidRPr="00305136">
              <w:rPr>
                <w:b/>
                <w:sz w:val="17"/>
                <w:szCs w:val="17"/>
                <w:lang w:eastAsia="en-NZ"/>
              </w:rPr>
              <w:t>Total fee</w:t>
            </w:r>
          </w:p>
        </w:tc>
      </w:tr>
      <w:tr w:rsidR="00232F0B" w:rsidRPr="00A40FD5" w14:paraId="48AFC490" w14:textId="77777777" w:rsidTr="00305136">
        <w:trPr>
          <w:cantSplit/>
        </w:trPr>
        <w:tc>
          <w:tcPr>
            <w:tcW w:w="1418" w:type="dxa"/>
            <w:tcBorders>
              <w:top w:val="nil"/>
            </w:tcBorders>
            <w:shd w:val="clear" w:color="auto" w:fill="auto"/>
            <w:noWrap/>
            <w:hideMark/>
          </w:tcPr>
          <w:p w14:paraId="46759D81" w14:textId="77777777" w:rsidR="00232F0B" w:rsidRPr="00305136" w:rsidRDefault="00232F0B" w:rsidP="009A2D7D">
            <w:pPr>
              <w:pStyle w:val="TableText"/>
              <w:rPr>
                <w:sz w:val="17"/>
                <w:szCs w:val="17"/>
                <w:lang w:eastAsia="en-NZ"/>
              </w:rPr>
            </w:pPr>
            <w:r w:rsidRPr="00305136">
              <w:rPr>
                <w:sz w:val="17"/>
                <w:szCs w:val="17"/>
                <w:lang w:eastAsia="en-NZ"/>
              </w:rPr>
              <w:t>Use licences (new or variations)</w:t>
            </w:r>
          </w:p>
        </w:tc>
        <w:tc>
          <w:tcPr>
            <w:tcW w:w="1276" w:type="dxa"/>
            <w:tcBorders>
              <w:top w:val="nil"/>
            </w:tcBorders>
            <w:shd w:val="clear" w:color="auto" w:fill="auto"/>
            <w:noWrap/>
            <w:hideMark/>
          </w:tcPr>
          <w:p w14:paraId="29283D66" w14:textId="77777777" w:rsidR="00232F0B" w:rsidRPr="00305136" w:rsidRDefault="00232F0B" w:rsidP="00305136">
            <w:pPr>
              <w:pStyle w:val="TableText"/>
              <w:tabs>
                <w:tab w:val="decimal" w:pos="793"/>
              </w:tabs>
              <w:rPr>
                <w:sz w:val="17"/>
                <w:szCs w:val="17"/>
                <w:lang w:eastAsia="en-NZ"/>
              </w:rPr>
            </w:pPr>
            <w:r w:rsidRPr="00305136">
              <w:rPr>
                <w:sz w:val="17"/>
                <w:szCs w:val="17"/>
                <w:lang w:eastAsia="en-NZ"/>
              </w:rPr>
              <w:t>114</w:t>
            </w:r>
          </w:p>
        </w:tc>
        <w:tc>
          <w:tcPr>
            <w:tcW w:w="1134" w:type="dxa"/>
            <w:tcBorders>
              <w:top w:val="nil"/>
            </w:tcBorders>
            <w:shd w:val="clear" w:color="auto" w:fill="auto"/>
            <w:noWrap/>
            <w:hideMark/>
          </w:tcPr>
          <w:p w14:paraId="07C83C3D" w14:textId="77777777" w:rsidR="00232F0B" w:rsidRPr="00305136" w:rsidRDefault="00232F0B" w:rsidP="00305136">
            <w:pPr>
              <w:pStyle w:val="TableText"/>
              <w:tabs>
                <w:tab w:val="decimal" w:pos="651"/>
              </w:tabs>
              <w:rPr>
                <w:sz w:val="17"/>
                <w:szCs w:val="17"/>
                <w:lang w:eastAsia="en-NZ"/>
              </w:rPr>
            </w:pPr>
            <w:r w:rsidRPr="00305136">
              <w:rPr>
                <w:sz w:val="17"/>
                <w:szCs w:val="17"/>
                <w:lang w:eastAsia="en-NZ"/>
              </w:rPr>
              <w:t>110</w:t>
            </w:r>
          </w:p>
        </w:tc>
        <w:tc>
          <w:tcPr>
            <w:tcW w:w="1134" w:type="dxa"/>
            <w:tcBorders>
              <w:top w:val="nil"/>
            </w:tcBorders>
            <w:shd w:val="clear" w:color="auto" w:fill="auto"/>
            <w:noWrap/>
            <w:hideMark/>
          </w:tcPr>
          <w:p w14:paraId="27BB9CE5" w14:textId="77777777" w:rsidR="00232F0B" w:rsidRPr="00305136" w:rsidRDefault="00232F0B" w:rsidP="00305136">
            <w:pPr>
              <w:pStyle w:val="TableText"/>
              <w:jc w:val="center"/>
              <w:rPr>
                <w:sz w:val="17"/>
                <w:szCs w:val="17"/>
                <w:lang w:eastAsia="en-NZ"/>
              </w:rPr>
            </w:pPr>
            <w:r w:rsidRPr="00305136">
              <w:rPr>
                <w:sz w:val="17"/>
                <w:szCs w:val="17"/>
                <w:lang w:eastAsia="en-NZ"/>
              </w:rPr>
              <w:t>$320</w:t>
            </w:r>
          </w:p>
        </w:tc>
        <w:tc>
          <w:tcPr>
            <w:tcW w:w="1417" w:type="dxa"/>
            <w:tcBorders>
              <w:top w:val="nil"/>
            </w:tcBorders>
            <w:shd w:val="clear" w:color="auto" w:fill="auto"/>
            <w:noWrap/>
            <w:hideMark/>
          </w:tcPr>
          <w:p w14:paraId="637EC186" w14:textId="77777777" w:rsidR="00232F0B" w:rsidRPr="00305136" w:rsidRDefault="00232F0B" w:rsidP="00305136">
            <w:pPr>
              <w:pStyle w:val="TableText"/>
              <w:jc w:val="center"/>
              <w:rPr>
                <w:sz w:val="17"/>
                <w:szCs w:val="17"/>
                <w:lang w:eastAsia="en-NZ"/>
              </w:rPr>
            </w:pPr>
            <w:r w:rsidRPr="00305136">
              <w:rPr>
                <w:sz w:val="17"/>
                <w:szCs w:val="17"/>
                <w:lang w:eastAsia="en-NZ"/>
              </w:rPr>
              <w:t>5</w:t>
            </w:r>
          </w:p>
        </w:tc>
        <w:tc>
          <w:tcPr>
            <w:tcW w:w="1134" w:type="dxa"/>
            <w:tcBorders>
              <w:top w:val="nil"/>
            </w:tcBorders>
            <w:shd w:val="clear" w:color="auto" w:fill="auto"/>
            <w:noWrap/>
            <w:hideMark/>
          </w:tcPr>
          <w:p w14:paraId="10D324B3" w14:textId="77777777" w:rsidR="00232F0B" w:rsidRPr="00305136" w:rsidRDefault="00232F0B" w:rsidP="00305136">
            <w:pPr>
              <w:pStyle w:val="TableText"/>
              <w:jc w:val="center"/>
              <w:rPr>
                <w:sz w:val="17"/>
                <w:szCs w:val="17"/>
                <w:lang w:eastAsia="en-NZ"/>
              </w:rPr>
            </w:pPr>
            <w:r w:rsidRPr="00305136">
              <w:rPr>
                <w:sz w:val="17"/>
                <w:szCs w:val="17"/>
                <w:lang w:eastAsia="en-NZ"/>
              </w:rPr>
              <w:t>$88</w:t>
            </w:r>
          </w:p>
        </w:tc>
        <w:tc>
          <w:tcPr>
            <w:tcW w:w="567" w:type="dxa"/>
            <w:tcBorders>
              <w:top w:val="nil"/>
            </w:tcBorders>
            <w:shd w:val="clear" w:color="auto" w:fill="auto"/>
            <w:noWrap/>
            <w:hideMark/>
          </w:tcPr>
          <w:p w14:paraId="0F33938A" w14:textId="77777777" w:rsidR="00232F0B" w:rsidRPr="00305136" w:rsidRDefault="00232F0B" w:rsidP="00305136">
            <w:pPr>
              <w:pStyle w:val="TableText"/>
              <w:jc w:val="center"/>
              <w:rPr>
                <w:sz w:val="17"/>
                <w:szCs w:val="17"/>
                <w:lang w:eastAsia="en-NZ"/>
              </w:rPr>
            </w:pPr>
            <w:r w:rsidRPr="00305136">
              <w:rPr>
                <w:sz w:val="17"/>
                <w:szCs w:val="17"/>
                <w:lang w:eastAsia="en-NZ"/>
              </w:rPr>
              <w:t>$408</w:t>
            </w:r>
          </w:p>
        </w:tc>
      </w:tr>
      <w:tr w:rsidR="00232F0B" w:rsidRPr="00A40FD5" w14:paraId="7481F552" w14:textId="77777777" w:rsidTr="00305136">
        <w:trPr>
          <w:cantSplit/>
        </w:trPr>
        <w:tc>
          <w:tcPr>
            <w:tcW w:w="1418" w:type="dxa"/>
            <w:shd w:val="clear" w:color="auto" w:fill="auto"/>
            <w:noWrap/>
            <w:hideMark/>
          </w:tcPr>
          <w:p w14:paraId="1A14A154" w14:textId="77777777" w:rsidR="00232F0B" w:rsidRPr="00305136" w:rsidRDefault="00232F0B" w:rsidP="009A2D7D">
            <w:pPr>
              <w:pStyle w:val="TableText"/>
              <w:rPr>
                <w:sz w:val="17"/>
                <w:szCs w:val="17"/>
                <w:lang w:eastAsia="en-NZ"/>
              </w:rPr>
            </w:pPr>
            <w:r w:rsidRPr="00305136">
              <w:rPr>
                <w:sz w:val="17"/>
                <w:szCs w:val="17"/>
                <w:lang w:eastAsia="en-NZ"/>
              </w:rPr>
              <w:t>Use licences (renewals only)</w:t>
            </w:r>
          </w:p>
        </w:tc>
        <w:tc>
          <w:tcPr>
            <w:tcW w:w="1276" w:type="dxa"/>
            <w:shd w:val="clear" w:color="auto" w:fill="auto"/>
            <w:noWrap/>
            <w:hideMark/>
          </w:tcPr>
          <w:p w14:paraId="247DE544" w14:textId="77777777" w:rsidR="00232F0B" w:rsidRPr="00305136" w:rsidRDefault="00232F0B" w:rsidP="00305136">
            <w:pPr>
              <w:pStyle w:val="TableText"/>
              <w:tabs>
                <w:tab w:val="decimal" w:pos="793"/>
              </w:tabs>
              <w:rPr>
                <w:sz w:val="17"/>
                <w:szCs w:val="17"/>
                <w:lang w:eastAsia="en-NZ"/>
              </w:rPr>
            </w:pPr>
            <w:r w:rsidRPr="00305136">
              <w:rPr>
                <w:sz w:val="17"/>
                <w:szCs w:val="17"/>
                <w:lang w:eastAsia="en-NZ"/>
              </w:rPr>
              <w:t>1,023</w:t>
            </w:r>
          </w:p>
        </w:tc>
        <w:tc>
          <w:tcPr>
            <w:tcW w:w="1134" w:type="dxa"/>
            <w:shd w:val="clear" w:color="auto" w:fill="auto"/>
            <w:noWrap/>
            <w:hideMark/>
          </w:tcPr>
          <w:p w14:paraId="0CD11BB3" w14:textId="77777777" w:rsidR="00232F0B" w:rsidRPr="00305136" w:rsidRDefault="00232F0B" w:rsidP="00305136">
            <w:pPr>
              <w:pStyle w:val="TableText"/>
              <w:tabs>
                <w:tab w:val="decimal" w:pos="651"/>
              </w:tabs>
              <w:rPr>
                <w:sz w:val="17"/>
                <w:szCs w:val="17"/>
                <w:lang w:eastAsia="en-NZ"/>
              </w:rPr>
            </w:pPr>
            <w:r w:rsidRPr="00305136">
              <w:rPr>
                <w:sz w:val="17"/>
                <w:szCs w:val="17"/>
                <w:lang w:eastAsia="en-NZ"/>
              </w:rPr>
              <w:t>80</w:t>
            </w:r>
          </w:p>
        </w:tc>
        <w:tc>
          <w:tcPr>
            <w:tcW w:w="1134" w:type="dxa"/>
            <w:shd w:val="clear" w:color="auto" w:fill="auto"/>
            <w:noWrap/>
            <w:hideMark/>
          </w:tcPr>
          <w:p w14:paraId="4D206C22" w14:textId="77777777" w:rsidR="00232F0B" w:rsidRPr="00305136" w:rsidRDefault="00232F0B" w:rsidP="00305136">
            <w:pPr>
              <w:pStyle w:val="TableText"/>
              <w:jc w:val="center"/>
              <w:rPr>
                <w:sz w:val="17"/>
                <w:szCs w:val="17"/>
                <w:lang w:eastAsia="en-NZ"/>
              </w:rPr>
            </w:pPr>
            <w:r w:rsidRPr="00305136">
              <w:rPr>
                <w:sz w:val="17"/>
                <w:szCs w:val="17"/>
                <w:lang w:eastAsia="en-NZ"/>
              </w:rPr>
              <w:t>$232</w:t>
            </w:r>
          </w:p>
        </w:tc>
        <w:tc>
          <w:tcPr>
            <w:tcW w:w="1417" w:type="dxa"/>
            <w:shd w:val="clear" w:color="auto" w:fill="auto"/>
            <w:noWrap/>
            <w:hideMark/>
          </w:tcPr>
          <w:p w14:paraId="6FE1207A" w14:textId="77777777" w:rsidR="00232F0B" w:rsidRPr="00305136" w:rsidRDefault="00232F0B" w:rsidP="00305136">
            <w:pPr>
              <w:pStyle w:val="TableText"/>
              <w:jc w:val="center"/>
              <w:rPr>
                <w:sz w:val="17"/>
                <w:szCs w:val="17"/>
                <w:lang w:eastAsia="en-NZ"/>
              </w:rPr>
            </w:pPr>
            <w:r w:rsidRPr="00305136">
              <w:rPr>
                <w:sz w:val="17"/>
                <w:szCs w:val="17"/>
                <w:lang w:eastAsia="en-NZ"/>
              </w:rPr>
              <w:t>1</w:t>
            </w:r>
          </w:p>
        </w:tc>
        <w:tc>
          <w:tcPr>
            <w:tcW w:w="1134" w:type="dxa"/>
            <w:shd w:val="clear" w:color="auto" w:fill="auto"/>
            <w:noWrap/>
            <w:hideMark/>
          </w:tcPr>
          <w:p w14:paraId="2AA7D724" w14:textId="77777777" w:rsidR="00232F0B" w:rsidRPr="00305136" w:rsidRDefault="00232F0B" w:rsidP="00305136">
            <w:pPr>
              <w:pStyle w:val="TableText"/>
              <w:jc w:val="center"/>
              <w:rPr>
                <w:sz w:val="17"/>
                <w:szCs w:val="17"/>
                <w:lang w:eastAsia="en-NZ"/>
              </w:rPr>
            </w:pPr>
            <w:r w:rsidRPr="00305136">
              <w:rPr>
                <w:sz w:val="17"/>
                <w:szCs w:val="17"/>
                <w:lang w:eastAsia="en-NZ"/>
              </w:rPr>
              <w:t>$18</w:t>
            </w:r>
          </w:p>
        </w:tc>
        <w:tc>
          <w:tcPr>
            <w:tcW w:w="567" w:type="dxa"/>
            <w:shd w:val="clear" w:color="auto" w:fill="auto"/>
            <w:noWrap/>
            <w:hideMark/>
          </w:tcPr>
          <w:p w14:paraId="03F54C6F" w14:textId="77777777" w:rsidR="00232F0B" w:rsidRPr="00305136" w:rsidRDefault="00232F0B" w:rsidP="00305136">
            <w:pPr>
              <w:pStyle w:val="TableText"/>
              <w:jc w:val="center"/>
              <w:rPr>
                <w:sz w:val="17"/>
                <w:szCs w:val="17"/>
                <w:lang w:eastAsia="en-NZ"/>
              </w:rPr>
            </w:pPr>
            <w:r w:rsidRPr="00305136">
              <w:rPr>
                <w:sz w:val="17"/>
                <w:szCs w:val="17"/>
                <w:lang w:eastAsia="en-NZ"/>
              </w:rPr>
              <w:t>$250</w:t>
            </w:r>
          </w:p>
        </w:tc>
      </w:tr>
      <w:tr w:rsidR="00232F0B" w:rsidRPr="00BD3B5A" w14:paraId="2F30BF01" w14:textId="77777777" w:rsidTr="00305136">
        <w:trPr>
          <w:cantSplit/>
        </w:trPr>
        <w:tc>
          <w:tcPr>
            <w:tcW w:w="1418" w:type="dxa"/>
            <w:shd w:val="clear" w:color="auto" w:fill="auto"/>
            <w:noWrap/>
            <w:hideMark/>
          </w:tcPr>
          <w:p w14:paraId="38AD3111" w14:textId="77777777" w:rsidR="00232F0B" w:rsidRPr="00305136" w:rsidRDefault="00232F0B" w:rsidP="009A2D7D">
            <w:pPr>
              <w:pStyle w:val="TableText"/>
              <w:rPr>
                <w:sz w:val="17"/>
                <w:szCs w:val="17"/>
                <w:lang w:eastAsia="en-NZ"/>
              </w:rPr>
            </w:pPr>
            <w:r w:rsidRPr="00305136">
              <w:rPr>
                <w:sz w:val="17"/>
                <w:szCs w:val="17"/>
                <w:lang w:eastAsia="en-NZ"/>
              </w:rPr>
              <w:t>Totals authorisations</w:t>
            </w:r>
          </w:p>
        </w:tc>
        <w:tc>
          <w:tcPr>
            <w:tcW w:w="1276" w:type="dxa"/>
            <w:shd w:val="clear" w:color="auto" w:fill="auto"/>
            <w:noWrap/>
            <w:hideMark/>
          </w:tcPr>
          <w:p w14:paraId="674030C4" w14:textId="77777777" w:rsidR="00232F0B" w:rsidRPr="00305136" w:rsidRDefault="00232F0B" w:rsidP="00305136">
            <w:pPr>
              <w:pStyle w:val="TableText"/>
              <w:tabs>
                <w:tab w:val="decimal" w:pos="793"/>
              </w:tabs>
              <w:rPr>
                <w:sz w:val="17"/>
                <w:szCs w:val="17"/>
                <w:lang w:eastAsia="en-NZ"/>
              </w:rPr>
            </w:pPr>
            <w:r w:rsidRPr="00305136">
              <w:rPr>
                <w:sz w:val="17"/>
                <w:szCs w:val="17"/>
                <w:lang w:eastAsia="en-NZ"/>
              </w:rPr>
              <w:t>1,137</w:t>
            </w:r>
          </w:p>
        </w:tc>
        <w:tc>
          <w:tcPr>
            <w:tcW w:w="1134" w:type="dxa"/>
            <w:shd w:val="clear" w:color="auto" w:fill="auto"/>
            <w:noWrap/>
            <w:hideMark/>
          </w:tcPr>
          <w:p w14:paraId="249BB602" w14:textId="77777777" w:rsidR="00232F0B" w:rsidRPr="00305136" w:rsidRDefault="00232F0B" w:rsidP="00305136">
            <w:pPr>
              <w:pStyle w:val="TableText"/>
              <w:tabs>
                <w:tab w:val="decimal" w:pos="651"/>
              </w:tabs>
              <w:rPr>
                <w:sz w:val="17"/>
                <w:szCs w:val="17"/>
                <w:lang w:eastAsia="en-NZ"/>
              </w:rPr>
            </w:pPr>
            <w:r w:rsidRPr="00305136">
              <w:rPr>
                <w:sz w:val="17"/>
                <w:szCs w:val="17"/>
                <w:lang w:eastAsia="en-NZ"/>
              </w:rPr>
              <w:t>–</w:t>
            </w:r>
          </w:p>
        </w:tc>
        <w:tc>
          <w:tcPr>
            <w:tcW w:w="1134" w:type="dxa"/>
            <w:shd w:val="clear" w:color="auto" w:fill="auto"/>
            <w:noWrap/>
            <w:hideMark/>
          </w:tcPr>
          <w:p w14:paraId="04A2264C" w14:textId="77777777" w:rsidR="00232F0B" w:rsidRPr="00305136" w:rsidRDefault="00232F0B" w:rsidP="00305136">
            <w:pPr>
              <w:pStyle w:val="TableText"/>
              <w:jc w:val="center"/>
              <w:rPr>
                <w:sz w:val="17"/>
                <w:szCs w:val="17"/>
                <w:lang w:eastAsia="en-NZ"/>
              </w:rPr>
            </w:pPr>
            <w:r w:rsidRPr="00305136">
              <w:rPr>
                <w:sz w:val="17"/>
                <w:szCs w:val="17"/>
                <w:lang w:eastAsia="en-NZ"/>
              </w:rPr>
              <w:t>–</w:t>
            </w:r>
          </w:p>
        </w:tc>
        <w:tc>
          <w:tcPr>
            <w:tcW w:w="1417" w:type="dxa"/>
            <w:shd w:val="clear" w:color="auto" w:fill="auto"/>
            <w:noWrap/>
            <w:hideMark/>
          </w:tcPr>
          <w:p w14:paraId="5BA3F498" w14:textId="77777777" w:rsidR="00232F0B" w:rsidRPr="00305136" w:rsidRDefault="00232F0B" w:rsidP="00305136">
            <w:pPr>
              <w:pStyle w:val="TableText"/>
              <w:jc w:val="center"/>
              <w:rPr>
                <w:sz w:val="17"/>
                <w:szCs w:val="17"/>
                <w:lang w:eastAsia="en-NZ"/>
              </w:rPr>
            </w:pPr>
            <w:r w:rsidRPr="00305136">
              <w:rPr>
                <w:sz w:val="17"/>
                <w:szCs w:val="17"/>
                <w:lang w:eastAsia="en-NZ"/>
              </w:rPr>
              <w:t>–</w:t>
            </w:r>
          </w:p>
        </w:tc>
        <w:tc>
          <w:tcPr>
            <w:tcW w:w="1134" w:type="dxa"/>
            <w:shd w:val="clear" w:color="auto" w:fill="auto"/>
            <w:noWrap/>
            <w:hideMark/>
          </w:tcPr>
          <w:p w14:paraId="3BEB53E5" w14:textId="77777777" w:rsidR="00232F0B" w:rsidRPr="00305136" w:rsidRDefault="00232F0B" w:rsidP="00305136">
            <w:pPr>
              <w:pStyle w:val="TableText"/>
              <w:jc w:val="center"/>
              <w:rPr>
                <w:sz w:val="17"/>
                <w:szCs w:val="17"/>
                <w:lang w:eastAsia="en-NZ"/>
              </w:rPr>
            </w:pPr>
            <w:r w:rsidRPr="00305136">
              <w:rPr>
                <w:sz w:val="17"/>
                <w:szCs w:val="17"/>
                <w:lang w:eastAsia="en-NZ"/>
              </w:rPr>
              <w:t>–</w:t>
            </w:r>
          </w:p>
        </w:tc>
        <w:tc>
          <w:tcPr>
            <w:tcW w:w="567" w:type="dxa"/>
            <w:shd w:val="clear" w:color="auto" w:fill="auto"/>
            <w:noWrap/>
            <w:hideMark/>
          </w:tcPr>
          <w:p w14:paraId="4DFE4884" w14:textId="77777777" w:rsidR="00232F0B" w:rsidRPr="00305136" w:rsidRDefault="00232F0B" w:rsidP="00305136">
            <w:pPr>
              <w:pStyle w:val="TableText"/>
              <w:jc w:val="center"/>
              <w:rPr>
                <w:sz w:val="17"/>
                <w:szCs w:val="17"/>
                <w:lang w:eastAsia="en-NZ"/>
              </w:rPr>
            </w:pPr>
            <w:r w:rsidRPr="00305136">
              <w:rPr>
                <w:sz w:val="17"/>
                <w:szCs w:val="17"/>
                <w:lang w:eastAsia="en-NZ"/>
              </w:rPr>
              <w:t>–</w:t>
            </w:r>
          </w:p>
        </w:tc>
      </w:tr>
    </w:tbl>
    <w:p w14:paraId="7C1C550A" w14:textId="77777777" w:rsidR="00232F0B" w:rsidRDefault="00232F0B" w:rsidP="00305136"/>
    <w:p w14:paraId="65F74C01" w14:textId="77777777" w:rsidR="00232F0B" w:rsidRPr="00A40FD5" w:rsidRDefault="00232F0B" w:rsidP="005B5BE2">
      <w:pPr>
        <w:pStyle w:val="Heading3"/>
      </w:pPr>
      <w:r w:rsidRPr="00A40FD5">
        <w:t>Alternative option</w:t>
      </w:r>
      <w:bookmarkEnd w:id="268"/>
      <w:bookmarkEnd w:id="269"/>
      <w:bookmarkEnd w:id="270"/>
      <w:bookmarkEnd w:id="271"/>
      <w:bookmarkEnd w:id="272"/>
    </w:p>
    <w:p w14:paraId="5B2BA771" w14:textId="76CD7FCF" w:rsidR="00232F0B" w:rsidRDefault="00232F0B" w:rsidP="00305136">
      <w:r>
        <w:t xml:space="preserve">The percentage increase for use licence fees is the highest identified in this consultation document. The fees are based on the time spent administering this licence type. </w:t>
      </w:r>
      <w:r w:rsidRPr="00A40FD5">
        <w:t>Alternative option</w:t>
      </w:r>
      <w:r>
        <w:t>s</w:t>
      </w:r>
      <w:r w:rsidRPr="00A40FD5">
        <w:t xml:space="preserve"> </w:t>
      </w:r>
      <w:r>
        <w:t xml:space="preserve">to reduce the relative size of this increase </w:t>
      </w:r>
      <w:r w:rsidRPr="00A40FD5">
        <w:t xml:space="preserve">would involve another authorisation type (source licences or consents) subsiding the price </w:t>
      </w:r>
      <w:r>
        <w:t xml:space="preserve">(cross-subsidisation) </w:t>
      </w:r>
      <w:r w:rsidRPr="00A40FD5">
        <w:t>or identifying another party to meet the costs</w:t>
      </w:r>
      <w:r>
        <w:t xml:space="preserve"> so that the fees recover only part (or none) of the costs</w:t>
      </w:r>
      <w:r w:rsidRPr="00A40FD5">
        <w:t>.</w:t>
      </w:r>
      <w:r>
        <w:t xml:space="preserve"> </w:t>
      </w:r>
      <w:r w:rsidRPr="00A40FD5">
        <w:t>The Ministry</w:t>
      </w:r>
      <w:r w:rsidR="0087667B">
        <w:t>’</w:t>
      </w:r>
      <w:r w:rsidRPr="00A40FD5">
        <w:t xml:space="preserve">s view </w:t>
      </w:r>
      <w:r>
        <w:t>on this matter, as set out in section</w:t>
      </w:r>
      <w:r w:rsidR="00031E2A">
        <w:t> </w:t>
      </w:r>
      <w:r w:rsidR="00D472E5">
        <w:fldChar w:fldCharType="begin"/>
      </w:r>
      <w:r w:rsidR="00D472E5">
        <w:instrText xml:space="preserve"> REF _Ref88643739 \r \h </w:instrText>
      </w:r>
      <w:r w:rsidR="00D472E5">
        <w:fldChar w:fldCharType="separate"/>
      </w:r>
      <w:r w:rsidR="003A5600">
        <w:t>1.6</w:t>
      </w:r>
      <w:r w:rsidR="00D472E5">
        <w:fldChar w:fldCharType="end"/>
      </w:r>
      <w:r>
        <w:t xml:space="preserve"> (</w:t>
      </w:r>
      <w:r w:rsidR="00D472E5">
        <w:fldChar w:fldCharType="begin"/>
      </w:r>
      <w:r w:rsidR="00D472E5">
        <w:instrText xml:space="preserve"> REF _Ref88643751 \h </w:instrText>
      </w:r>
      <w:r w:rsidR="00D472E5">
        <w:fldChar w:fldCharType="separate"/>
      </w:r>
      <w:r w:rsidR="003A5600" w:rsidRPr="00A40FD5">
        <w:t>Cost recovery model</w:t>
      </w:r>
      <w:r w:rsidR="00D472E5">
        <w:fldChar w:fldCharType="end"/>
      </w:r>
      <w:r>
        <w:t xml:space="preserve">) of this document, is </w:t>
      </w:r>
      <w:r w:rsidRPr="00A40FD5">
        <w:t>that these options are not justifiable</w:t>
      </w:r>
      <w:r>
        <w:t xml:space="preserve"> at this level of proposed new fees</w:t>
      </w:r>
      <w:r w:rsidRPr="00A40FD5">
        <w:t>.</w:t>
      </w:r>
    </w:p>
    <w:p w14:paraId="34C3752A" w14:textId="77777777" w:rsidR="00305136" w:rsidRDefault="00305136" w:rsidP="00305136"/>
    <w:p w14:paraId="4972A14D" w14:textId="77777777" w:rsidR="00232F0B" w:rsidRPr="00A40FD5" w:rsidRDefault="00232F0B" w:rsidP="00305136">
      <w:pPr>
        <w:pStyle w:val="BoxHeading"/>
      </w:pPr>
      <w:r w:rsidRPr="00A40FD5">
        <w:t>Consultation questions</w:t>
      </w:r>
    </w:p>
    <w:p w14:paraId="4DA2E708" w14:textId="70976D1F" w:rsidR="0087667B" w:rsidRDefault="00232F0B" w:rsidP="00031E2A">
      <w:pPr>
        <w:pStyle w:val="BoxNumber"/>
      </w:pPr>
      <w:r w:rsidRPr="00A40FD5">
        <w:t xml:space="preserve">Do you think the preferred option of </w:t>
      </w:r>
      <w:r>
        <w:t xml:space="preserve">setting use </w:t>
      </w:r>
      <w:r w:rsidRPr="00A40FD5">
        <w:t>licence fees based on the assessed cost components</w:t>
      </w:r>
      <w:r>
        <w:t>,</w:t>
      </w:r>
      <w:r w:rsidRPr="00A40FD5">
        <w:t xml:space="preserve"> </w:t>
      </w:r>
      <w:r>
        <w:t xml:space="preserve">as </w:t>
      </w:r>
      <w:r w:rsidRPr="00A40FD5">
        <w:t xml:space="preserve">set out in </w:t>
      </w:r>
      <w:r w:rsidR="00031E2A">
        <w:fldChar w:fldCharType="begin"/>
      </w:r>
      <w:r w:rsidR="00031E2A">
        <w:instrText xml:space="preserve"> REF _Ref87369305 \h </w:instrText>
      </w:r>
      <w:r w:rsidR="00031E2A">
        <w:fldChar w:fldCharType="separate"/>
      </w:r>
      <w:r w:rsidR="003A5600">
        <w:t>Table </w:t>
      </w:r>
      <w:r w:rsidR="003A5600">
        <w:rPr>
          <w:noProof/>
        </w:rPr>
        <w:t>16</w:t>
      </w:r>
      <w:r w:rsidR="00031E2A">
        <w:fldChar w:fldCharType="end"/>
      </w:r>
      <w:r>
        <w:t>,</w:t>
      </w:r>
      <w:r w:rsidRPr="00A40FD5">
        <w:t xml:space="preserve"> is justif</w:t>
      </w:r>
      <w:r>
        <w:t>iable</w:t>
      </w:r>
      <w:r w:rsidRPr="00A40FD5">
        <w:t>?</w:t>
      </w:r>
    </w:p>
    <w:p w14:paraId="7D85F27F" w14:textId="67082F31" w:rsidR="00232F0B" w:rsidRPr="00A40FD5" w:rsidRDefault="00232F0B" w:rsidP="00031E2A">
      <w:pPr>
        <w:pStyle w:val="BoxNumber"/>
      </w:pPr>
      <w:r w:rsidRPr="00A40FD5">
        <w:t xml:space="preserve">If you think the preferred option of </w:t>
      </w:r>
      <w:r>
        <w:t xml:space="preserve">setting use </w:t>
      </w:r>
      <w:r w:rsidRPr="00A40FD5">
        <w:t>licence fees based on the assessed cost components</w:t>
      </w:r>
      <w:r>
        <w:t>,</w:t>
      </w:r>
      <w:r w:rsidRPr="00A40FD5">
        <w:t xml:space="preserve"> </w:t>
      </w:r>
      <w:r>
        <w:t xml:space="preserve">as </w:t>
      </w:r>
      <w:r w:rsidRPr="00A40FD5">
        <w:t xml:space="preserve">set out in </w:t>
      </w:r>
      <w:r w:rsidR="00031E2A">
        <w:fldChar w:fldCharType="begin"/>
      </w:r>
      <w:r w:rsidR="00031E2A">
        <w:instrText xml:space="preserve"> REF _Ref87369305 \h </w:instrText>
      </w:r>
      <w:r w:rsidR="00031E2A">
        <w:fldChar w:fldCharType="separate"/>
      </w:r>
      <w:r w:rsidR="003A5600">
        <w:t>Table </w:t>
      </w:r>
      <w:r w:rsidR="003A5600">
        <w:rPr>
          <w:noProof/>
        </w:rPr>
        <w:t>16</w:t>
      </w:r>
      <w:r w:rsidR="00031E2A">
        <w:fldChar w:fldCharType="end"/>
      </w:r>
      <w:r>
        <w:t>,</w:t>
      </w:r>
      <w:r w:rsidRPr="00A40FD5">
        <w:t xml:space="preserve"> is </w:t>
      </w:r>
      <w:r w:rsidRPr="00743999">
        <w:rPr>
          <w:b/>
          <w:bCs/>
        </w:rPr>
        <w:t>not</w:t>
      </w:r>
      <w:r>
        <w:t xml:space="preserve"> </w:t>
      </w:r>
      <w:r w:rsidRPr="00A40FD5">
        <w:t>justifi</w:t>
      </w:r>
      <w:r>
        <w:t>able</w:t>
      </w:r>
      <w:r w:rsidRPr="00A40FD5">
        <w:t xml:space="preserve">, please outline an alternative option for assigning </w:t>
      </w:r>
      <w:r>
        <w:t>use</w:t>
      </w:r>
      <w:r w:rsidRPr="00A40FD5">
        <w:t xml:space="preserve"> licence fees. Please provide </w:t>
      </w:r>
      <w:r>
        <w:t>reasons</w:t>
      </w:r>
      <w:r w:rsidRPr="00A40FD5">
        <w:t xml:space="preserve"> for your </w:t>
      </w:r>
      <w:r>
        <w:t>option</w:t>
      </w:r>
      <w:r w:rsidRPr="00A40FD5">
        <w:t>.</w:t>
      </w:r>
    </w:p>
    <w:p w14:paraId="16B4F51D" w14:textId="77777777" w:rsidR="00232F0B" w:rsidRDefault="00232F0B" w:rsidP="00031E2A">
      <w:pPr>
        <w:pStyle w:val="BoxNumber"/>
      </w:pPr>
      <w:r w:rsidRPr="00A40FD5">
        <w:t>Do you have any further comments, suggestions or alternative options?</w:t>
      </w:r>
    </w:p>
    <w:p w14:paraId="372C207E" w14:textId="77777777" w:rsidR="00232F0B" w:rsidRDefault="00232F0B" w:rsidP="00031E2A">
      <w:pPr>
        <w:pStyle w:val="Box"/>
      </w:pPr>
      <w:r w:rsidRPr="00A40FD5">
        <w:t>Please use the submission form to respond to these questions.</w:t>
      </w:r>
    </w:p>
    <w:p w14:paraId="32E75C23" w14:textId="77777777" w:rsidR="00031E2A" w:rsidRPr="00A40FD5" w:rsidRDefault="00031E2A" w:rsidP="00031E2A"/>
    <w:p w14:paraId="70C686CD" w14:textId="77777777" w:rsidR="0087667B" w:rsidRDefault="00232F0B" w:rsidP="005B5BE2">
      <w:pPr>
        <w:pStyle w:val="Heading2"/>
      </w:pPr>
      <w:bookmarkStart w:id="273" w:name="_Toc83133509"/>
      <w:bookmarkStart w:id="274" w:name="_Toc89696200"/>
      <w:r w:rsidRPr="00A40FD5">
        <w:t>Proposed new consent fees</w:t>
      </w:r>
      <w:bookmarkEnd w:id="273"/>
      <w:bookmarkEnd w:id="274"/>
    </w:p>
    <w:p w14:paraId="0B2E4962" w14:textId="77777777" w:rsidR="00232F0B" w:rsidRPr="00A40FD5" w:rsidRDefault="00232F0B" w:rsidP="005B5BE2">
      <w:pPr>
        <w:pStyle w:val="Heading3"/>
      </w:pPr>
      <w:bookmarkStart w:id="275" w:name="_Toc74583504"/>
      <w:bookmarkStart w:id="276" w:name="_Toc75349271"/>
      <w:bookmarkStart w:id="277" w:name="_Toc83118762"/>
      <w:bookmarkStart w:id="278" w:name="_Toc83130241"/>
      <w:bookmarkStart w:id="279" w:name="_Toc83133510"/>
      <w:r w:rsidRPr="00A40FD5">
        <w:t>Background</w:t>
      </w:r>
      <w:bookmarkEnd w:id="275"/>
      <w:bookmarkEnd w:id="276"/>
      <w:bookmarkEnd w:id="277"/>
      <w:bookmarkEnd w:id="278"/>
      <w:bookmarkEnd w:id="279"/>
    </w:p>
    <w:p w14:paraId="09C1DF17" w14:textId="77777777" w:rsidR="0087667B" w:rsidRDefault="00232F0B" w:rsidP="00031E2A">
      <w:r w:rsidRPr="00A40FD5">
        <w:t>The fees payable on application for a consent to import or export radioactive material are set out in regulation 18.</w:t>
      </w:r>
    </w:p>
    <w:p w14:paraId="6D982874" w14:textId="77777777" w:rsidR="00232F0B" w:rsidRPr="00A40FD5" w:rsidRDefault="00232F0B" w:rsidP="00031E2A"/>
    <w:p w14:paraId="0154E5B4" w14:textId="77777777" w:rsidR="0087667B" w:rsidRDefault="00232F0B" w:rsidP="00486383">
      <w:pPr>
        <w:pStyle w:val="Heading3"/>
      </w:pPr>
      <w:bookmarkStart w:id="280" w:name="_Toc83118763"/>
      <w:bookmarkStart w:id="281" w:name="_Toc83130242"/>
      <w:bookmarkStart w:id="282" w:name="_Toc83133511"/>
      <w:bookmarkStart w:id="283" w:name="_Toc74583505"/>
      <w:bookmarkStart w:id="284" w:name="_Toc75349272"/>
      <w:r>
        <w:t>Status quo</w:t>
      </w:r>
      <w:r w:rsidRPr="00A40FD5">
        <w:t xml:space="preserve"> option</w:t>
      </w:r>
      <w:bookmarkEnd w:id="280"/>
      <w:bookmarkEnd w:id="281"/>
      <w:bookmarkEnd w:id="282"/>
    </w:p>
    <w:p w14:paraId="30FCCBBC" w14:textId="77777777" w:rsidR="0087667B" w:rsidRDefault="00232F0B" w:rsidP="00031E2A">
      <w:bookmarkStart w:id="285" w:name="_Toc83118764"/>
      <w:bookmarkStart w:id="286" w:name="_Toc83130243"/>
      <w:bookmarkStart w:id="287" w:name="_Toc83133512"/>
      <w:r w:rsidRPr="00A40FD5">
        <w:t xml:space="preserve">The </w:t>
      </w:r>
      <w:r>
        <w:t>status quo option to retain the existing fees and fees structure does not meet the proportionality, equity, efficiency or transparency objectives outlined in the 2016 RIS on the Regulations, and therefore, the status quo option is not viable.</w:t>
      </w:r>
      <w:bookmarkEnd w:id="285"/>
      <w:bookmarkEnd w:id="286"/>
      <w:bookmarkEnd w:id="287"/>
    </w:p>
    <w:p w14:paraId="6D20BE9E" w14:textId="77777777" w:rsidR="00232F0B" w:rsidRDefault="00232F0B" w:rsidP="00031E2A"/>
    <w:p w14:paraId="1C3D9824" w14:textId="77777777" w:rsidR="00232F0B" w:rsidRPr="00A40FD5" w:rsidRDefault="00232F0B" w:rsidP="00486383">
      <w:pPr>
        <w:pStyle w:val="Heading3"/>
      </w:pPr>
      <w:bookmarkStart w:id="288" w:name="_Toc83118765"/>
      <w:bookmarkStart w:id="289" w:name="_Toc83130244"/>
      <w:bookmarkStart w:id="290" w:name="_Toc83133513"/>
      <w:r w:rsidRPr="00A40FD5">
        <w:t>Preferred option</w:t>
      </w:r>
      <w:bookmarkEnd w:id="283"/>
      <w:bookmarkEnd w:id="284"/>
      <w:bookmarkEnd w:id="288"/>
      <w:bookmarkEnd w:id="289"/>
      <w:bookmarkEnd w:id="290"/>
    </w:p>
    <w:p w14:paraId="02026C22" w14:textId="77777777" w:rsidR="0087667B" w:rsidRDefault="00232F0B" w:rsidP="00305136">
      <w:pPr>
        <w:keepNext/>
      </w:pPr>
      <w:r>
        <w:t>Retain</w:t>
      </w:r>
      <w:r w:rsidRPr="00A40FD5">
        <w:t xml:space="preserve"> the existing approach to consent categories set out in regulation 18. </w:t>
      </w:r>
      <w:r>
        <w:t>This option would help the Regulations better achieve the objectives set out in the 2016 RIS for proportionality and equity.</w:t>
      </w:r>
    </w:p>
    <w:p w14:paraId="31FAF9AB" w14:textId="77777777" w:rsidR="00232F0B" w:rsidRPr="00A40FD5" w:rsidRDefault="00232F0B" w:rsidP="00305136">
      <w:pPr>
        <w:keepNext/>
      </w:pPr>
    </w:p>
    <w:p w14:paraId="0448DA23" w14:textId="60D1222D" w:rsidR="0087667B" w:rsidRDefault="00232F0B" w:rsidP="00031E2A">
      <w:r w:rsidRPr="00A40FD5">
        <w:t xml:space="preserve">The proposed fees (exclusive of GST) are set out in </w:t>
      </w:r>
      <w:r w:rsidR="00031E2A">
        <w:fldChar w:fldCharType="begin"/>
      </w:r>
      <w:r w:rsidR="00031E2A">
        <w:instrText xml:space="preserve"> REF _Ref87368839 \h </w:instrText>
      </w:r>
      <w:r w:rsidR="00031E2A">
        <w:fldChar w:fldCharType="separate"/>
      </w:r>
      <w:r w:rsidR="003A5600">
        <w:t>Table </w:t>
      </w:r>
      <w:r w:rsidR="003A5600">
        <w:rPr>
          <w:noProof/>
        </w:rPr>
        <w:t>17</w:t>
      </w:r>
      <w:r w:rsidR="00031E2A">
        <w:fldChar w:fldCharType="end"/>
      </w:r>
      <w:r>
        <w:t xml:space="preserve"> below.</w:t>
      </w:r>
    </w:p>
    <w:p w14:paraId="79E51FFE" w14:textId="77777777" w:rsidR="00232F0B" w:rsidRPr="00A40FD5" w:rsidRDefault="00232F0B" w:rsidP="00E82448"/>
    <w:p w14:paraId="660944B6" w14:textId="1A271F86" w:rsidR="00232F0B" w:rsidRPr="00A40FD5" w:rsidRDefault="00486383" w:rsidP="00E82448">
      <w:pPr>
        <w:pStyle w:val="Table"/>
      </w:pPr>
      <w:bookmarkStart w:id="291" w:name="_Ref87368839"/>
      <w:bookmarkStart w:id="292" w:name="_Toc84916131"/>
      <w:bookmarkStart w:id="293" w:name="_Toc84916194"/>
      <w:bookmarkStart w:id="294" w:name="_Toc88644165"/>
      <w:r>
        <w:t>Table </w:t>
      </w:r>
      <w:r w:rsidR="00384F9F">
        <w:fldChar w:fldCharType="begin"/>
      </w:r>
      <w:r w:rsidR="00384F9F">
        <w:instrText xml:space="preserve"> SEQ Table \* ARABIC </w:instrText>
      </w:r>
      <w:r w:rsidR="00384F9F">
        <w:fldChar w:fldCharType="separate"/>
      </w:r>
      <w:r w:rsidR="003A5600">
        <w:rPr>
          <w:noProof/>
        </w:rPr>
        <w:t>17</w:t>
      </w:r>
      <w:r w:rsidR="00384F9F">
        <w:rPr>
          <w:noProof/>
        </w:rPr>
        <w:fldChar w:fldCharType="end"/>
      </w:r>
      <w:bookmarkEnd w:id="291"/>
      <w:r w:rsidR="00232F0B" w:rsidRPr="00A40FD5">
        <w:t>:</w:t>
      </w:r>
      <w:r>
        <w:t xml:space="preserve"> </w:t>
      </w:r>
      <w:r w:rsidR="00232F0B" w:rsidRPr="00A40FD5">
        <w:t>Proposed new consent fees by existing consent type</w:t>
      </w:r>
      <w:bookmarkEnd w:id="292"/>
      <w:bookmarkEnd w:id="293"/>
      <w:bookmarkEnd w:id="294"/>
    </w:p>
    <w:tbl>
      <w:tblPr>
        <w:tblW w:w="8080" w:type="dxa"/>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3402"/>
        <w:gridCol w:w="1418"/>
        <w:gridCol w:w="1276"/>
        <w:gridCol w:w="1275"/>
        <w:gridCol w:w="709"/>
      </w:tblGrid>
      <w:tr w:rsidR="00232F0B" w:rsidRPr="00305136" w14:paraId="26C5F68C" w14:textId="77777777" w:rsidTr="00305136">
        <w:trPr>
          <w:cantSplit/>
        </w:trPr>
        <w:tc>
          <w:tcPr>
            <w:tcW w:w="3402" w:type="dxa"/>
            <w:tcBorders>
              <w:top w:val="nil"/>
              <w:bottom w:val="nil"/>
            </w:tcBorders>
            <w:shd w:val="clear" w:color="auto" w:fill="D9D9D9" w:themeFill="background1" w:themeFillShade="D9"/>
            <w:noWrap/>
            <w:hideMark/>
          </w:tcPr>
          <w:p w14:paraId="0C9DFA9F" w14:textId="77777777" w:rsidR="00232F0B" w:rsidRPr="00305136" w:rsidRDefault="00232F0B" w:rsidP="009A2D7D">
            <w:pPr>
              <w:pStyle w:val="TableText"/>
              <w:rPr>
                <w:b/>
                <w:lang w:eastAsia="en-NZ"/>
              </w:rPr>
            </w:pPr>
          </w:p>
        </w:tc>
        <w:tc>
          <w:tcPr>
            <w:tcW w:w="1418" w:type="dxa"/>
            <w:tcBorders>
              <w:top w:val="nil"/>
              <w:bottom w:val="nil"/>
            </w:tcBorders>
            <w:shd w:val="clear" w:color="auto" w:fill="D9D9D9" w:themeFill="background1" w:themeFillShade="D9"/>
            <w:noWrap/>
            <w:hideMark/>
          </w:tcPr>
          <w:p w14:paraId="23A46CF2" w14:textId="77777777" w:rsidR="00232F0B" w:rsidRPr="00305136" w:rsidRDefault="00232F0B" w:rsidP="00305136">
            <w:pPr>
              <w:pStyle w:val="TableText"/>
              <w:jc w:val="center"/>
              <w:rPr>
                <w:b/>
                <w:color w:val="000000"/>
                <w:lang w:eastAsia="en-NZ"/>
              </w:rPr>
            </w:pPr>
            <w:r w:rsidRPr="00305136">
              <w:rPr>
                <w:b/>
                <w:color w:val="000000"/>
                <w:lang w:eastAsia="en-NZ"/>
              </w:rPr>
              <w:t>Projected annual applications</w:t>
            </w:r>
          </w:p>
        </w:tc>
        <w:tc>
          <w:tcPr>
            <w:tcW w:w="1276" w:type="dxa"/>
            <w:tcBorders>
              <w:top w:val="nil"/>
              <w:bottom w:val="nil"/>
            </w:tcBorders>
            <w:shd w:val="clear" w:color="auto" w:fill="D9D9D9" w:themeFill="background1" w:themeFillShade="D9"/>
            <w:noWrap/>
            <w:hideMark/>
          </w:tcPr>
          <w:p w14:paraId="75F448D1" w14:textId="77777777" w:rsidR="00232F0B" w:rsidRPr="00305136" w:rsidRDefault="00232F0B" w:rsidP="00305136">
            <w:pPr>
              <w:pStyle w:val="TableText"/>
              <w:jc w:val="center"/>
              <w:rPr>
                <w:b/>
                <w:color w:val="000000"/>
                <w:lang w:eastAsia="en-NZ"/>
              </w:rPr>
            </w:pPr>
            <w:r w:rsidRPr="00305136">
              <w:rPr>
                <w:b/>
                <w:color w:val="000000"/>
                <w:lang w:eastAsia="en-NZ"/>
              </w:rPr>
              <w:t>Application fee component</w:t>
            </w:r>
          </w:p>
        </w:tc>
        <w:tc>
          <w:tcPr>
            <w:tcW w:w="1275" w:type="dxa"/>
            <w:tcBorders>
              <w:top w:val="nil"/>
              <w:bottom w:val="nil"/>
            </w:tcBorders>
            <w:shd w:val="clear" w:color="auto" w:fill="D9D9D9" w:themeFill="background1" w:themeFillShade="D9"/>
            <w:noWrap/>
            <w:hideMark/>
          </w:tcPr>
          <w:p w14:paraId="379A7003" w14:textId="77777777" w:rsidR="00232F0B" w:rsidRPr="00305136" w:rsidRDefault="00232F0B" w:rsidP="00305136">
            <w:pPr>
              <w:pStyle w:val="TableText"/>
              <w:jc w:val="center"/>
              <w:rPr>
                <w:b/>
                <w:color w:val="000000"/>
                <w:lang w:eastAsia="en-NZ"/>
              </w:rPr>
            </w:pPr>
            <w:r w:rsidRPr="00305136">
              <w:rPr>
                <w:b/>
                <w:color w:val="000000"/>
                <w:lang w:eastAsia="en-NZ"/>
              </w:rPr>
              <w:t>Technical evaluation</w:t>
            </w:r>
          </w:p>
        </w:tc>
        <w:tc>
          <w:tcPr>
            <w:tcW w:w="709" w:type="dxa"/>
            <w:tcBorders>
              <w:top w:val="nil"/>
              <w:bottom w:val="nil"/>
            </w:tcBorders>
            <w:shd w:val="clear" w:color="auto" w:fill="D9D9D9" w:themeFill="background1" w:themeFillShade="D9"/>
            <w:noWrap/>
            <w:hideMark/>
          </w:tcPr>
          <w:p w14:paraId="3AC8071F" w14:textId="77777777" w:rsidR="00232F0B" w:rsidRPr="00305136" w:rsidRDefault="00232F0B" w:rsidP="00305136">
            <w:pPr>
              <w:pStyle w:val="TableText"/>
              <w:jc w:val="center"/>
              <w:rPr>
                <w:b/>
                <w:color w:val="000000"/>
                <w:lang w:eastAsia="en-NZ"/>
              </w:rPr>
            </w:pPr>
            <w:r w:rsidRPr="00305136">
              <w:rPr>
                <w:b/>
                <w:color w:val="000000"/>
                <w:lang w:eastAsia="en-NZ"/>
              </w:rPr>
              <w:t>Total fee</w:t>
            </w:r>
          </w:p>
        </w:tc>
      </w:tr>
      <w:tr w:rsidR="00232F0B" w:rsidRPr="00A40FD5" w14:paraId="58BEFC49" w14:textId="77777777" w:rsidTr="00305136">
        <w:trPr>
          <w:cantSplit/>
        </w:trPr>
        <w:tc>
          <w:tcPr>
            <w:tcW w:w="3402" w:type="dxa"/>
            <w:tcBorders>
              <w:top w:val="nil"/>
            </w:tcBorders>
            <w:shd w:val="clear" w:color="auto" w:fill="auto"/>
            <w:noWrap/>
            <w:hideMark/>
          </w:tcPr>
          <w:p w14:paraId="13901AE0" w14:textId="77777777" w:rsidR="00232F0B" w:rsidRPr="00A40FD5" w:rsidRDefault="00232F0B" w:rsidP="009A2D7D">
            <w:pPr>
              <w:pStyle w:val="TableText"/>
              <w:rPr>
                <w:lang w:eastAsia="en-NZ"/>
              </w:rPr>
            </w:pPr>
            <w:r w:rsidRPr="00A40FD5">
              <w:rPr>
                <w:lang w:eastAsia="en-NZ"/>
              </w:rPr>
              <w:t>Consents under r</w:t>
            </w:r>
            <w:r>
              <w:rPr>
                <w:lang w:eastAsia="en-NZ"/>
              </w:rPr>
              <w:t xml:space="preserve">egulation </w:t>
            </w:r>
            <w:r w:rsidRPr="00A40FD5">
              <w:rPr>
                <w:lang w:eastAsia="en-NZ"/>
              </w:rPr>
              <w:t>18(a) for import or export of high-activity radioactive material</w:t>
            </w:r>
            <w:r w:rsidR="00305136">
              <w:rPr>
                <w:lang w:eastAsia="en-NZ"/>
              </w:rPr>
              <w:t xml:space="preserve"> on a single occasion</w:t>
            </w:r>
          </w:p>
        </w:tc>
        <w:tc>
          <w:tcPr>
            <w:tcW w:w="1418" w:type="dxa"/>
            <w:tcBorders>
              <w:top w:val="nil"/>
            </w:tcBorders>
            <w:shd w:val="clear" w:color="auto" w:fill="auto"/>
            <w:noWrap/>
            <w:hideMark/>
          </w:tcPr>
          <w:p w14:paraId="1A63B7D4" w14:textId="77777777" w:rsidR="00232F0B" w:rsidRPr="00A40FD5" w:rsidRDefault="00232F0B" w:rsidP="00305136">
            <w:pPr>
              <w:pStyle w:val="TableText"/>
              <w:tabs>
                <w:tab w:val="decimal" w:pos="794"/>
              </w:tabs>
              <w:rPr>
                <w:color w:val="000000"/>
                <w:lang w:eastAsia="en-NZ"/>
              </w:rPr>
            </w:pPr>
            <w:r w:rsidRPr="00A40FD5">
              <w:rPr>
                <w:color w:val="000000"/>
                <w:lang w:eastAsia="en-NZ"/>
              </w:rPr>
              <w:t>19</w:t>
            </w:r>
          </w:p>
        </w:tc>
        <w:tc>
          <w:tcPr>
            <w:tcW w:w="1276" w:type="dxa"/>
            <w:tcBorders>
              <w:top w:val="nil"/>
            </w:tcBorders>
            <w:shd w:val="clear" w:color="auto" w:fill="auto"/>
            <w:noWrap/>
            <w:hideMark/>
          </w:tcPr>
          <w:p w14:paraId="7E8FF92F" w14:textId="77777777" w:rsidR="00232F0B" w:rsidRPr="00A40FD5" w:rsidRDefault="00232F0B" w:rsidP="00305136">
            <w:pPr>
              <w:pStyle w:val="TableText"/>
              <w:jc w:val="center"/>
              <w:rPr>
                <w:color w:val="000000"/>
                <w:lang w:eastAsia="en-NZ"/>
              </w:rPr>
            </w:pPr>
            <w:r w:rsidRPr="00A40FD5">
              <w:rPr>
                <w:color w:val="000000"/>
                <w:lang w:eastAsia="en-NZ"/>
              </w:rPr>
              <w:t>$145</w:t>
            </w:r>
          </w:p>
        </w:tc>
        <w:tc>
          <w:tcPr>
            <w:tcW w:w="1275" w:type="dxa"/>
            <w:tcBorders>
              <w:top w:val="nil"/>
            </w:tcBorders>
            <w:shd w:val="clear" w:color="auto" w:fill="auto"/>
            <w:noWrap/>
            <w:hideMark/>
          </w:tcPr>
          <w:p w14:paraId="7457709D" w14:textId="77777777" w:rsidR="00232F0B" w:rsidRPr="00A40FD5" w:rsidRDefault="00232F0B" w:rsidP="00305136">
            <w:pPr>
              <w:pStyle w:val="TableText"/>
              <w:jc w:val="center"/>
              <w:rPr>
                <w:color w:val="000000"/>
                <w:lang w:eastAsia="en-NZ"/>
              </w:rPr>
            </w:pPr>
            <w:r w:rsidRPr="00A40FD5">
              <w:rPr>
                <w:color w:val="000000"/>
                <w:lang w:eastAsia="en-NZ"/>
              </w:rPr>
              <w:t>$88</w:t>
            </w:r>
          </w:p>
        </w:tc>
        <w:tc>
          <w:tcPr>
            <w:tcW w:w="709" w:type="dxa"/>
            <w:tcBorders>
              <w:top w:val="nil"/>
            </w:tcBorders>
            <w:shd w:val="clear" w:color="auto" w:fill="auto"/>
            <w:noWrap/>
            <w:hideMark/>
          </w:tcPr>
          <w:p w14:paraId="598830A4" w14:textId="77777777" w:rsidR="00232F0B" w:rsidRPr="00743999" w:rsidRDefault="00232F0B" w:rsidP="00305136">
            <w:pPr>
              <w:pStyle w:val="TableText"/>
              <w:jc w:val="center"/>
              <w:rPr>
                <w:color w:val="000000"/>
                <w:lang w:eastAsia="en-NZ"/>
              </w:rPr>
            </w:pPr>
            <w:r w:rsidRPr="00743999">
              <w:rPr>
                <w:color w:val="000000"/>
                <w:lang w:eastAsia="en-NZ"/>
              </w:rPr>
              <w:t>$233</w:t>
            </w:r>
          </w:p>
        </w:tc>
      </w:tr>
      <w:tr w:rsidR="00232F0B" w:rsidRPr="00A40FD5" w14:paraId="4C59E2DF" w14:textId="77777777" w:rsidTr="00305136">
        <w:trPr>
          <w:cantSplit/>
        </w:trPr>
        <w:tc>
          <w:tcPr>
            <w:tcW w:w="3402" w:type="dxa"/>
            <w:shd w:val="clear" w:color="auto" w:fill="auto"/>
            <w:noWrap/>
            <w:hideMark/>
          </w:tcPr>
          <w:p w14:paraId="31E16E43" w14:textId="77777777" w:rsidR="00232F0B" w:rsidRPr="00A40FD5" w:rsidRDefault="00232F0B" w:rsidP="009A2D7D">
            <w:pPr>
              <w:pStyle w:val="TableText"/>
              <w:rPr>
                <w:lang w:eastAsia="en-NZ"/>
              </w:rPr>
            </w:pPr>
            <w:r w:rsidRPr="00A40FD5">
              <w:rPr>
                <w:lang w:eastAsia="en-NZ"/>
              </w:rPr>
              <w:t>Consents under r</w:t>
            </w:r>
            <w:r>
              <w:rPr>
                <w:lang w:eastAsia="en-NZ"/>
              </w:rPr>
              <w:t xml:space="preserve">egulation </w:t>
            </w:r>
            <w:r w:rsidRPr="00A40FD5">
              <w:rPr>
                <w:lang w:eastAsia="en-NZ"/>
              </w:rPr>
              <w:t>18(b) for import or export of low-activity radioactive material on a single occasion</w:t>
            </w:r>
          </w:p>
        </w:tc>
        <w:tc>
          <w:tcPr>
            <w:tcW w:w="1418" w:type="dxa"/>
            <w:shd w:val="clear" w:color="auto" w:fill="auto"/>
            <w:noWrap/>
            <w:hideMark/>
          </w:tcPr>
          <w:p w14:paraId="304FCFD7" w14:textId="77777777" w:rsidR="00232F0B" w:rsidRPr="00A40FD5" w:rsidRDefault="00232F0B" w:rsidP="00305136">
            <w:pPr>
              <w:pStyle w:val="TableText"/>
              <w:tabs>
                <w:tab w:val="decimal" w:pos="794"/>
              </w:tabs>
              <w:rPr>
                <w:color w:val="000000"/>
                <w:lang w:eastAsia="en-NZ"/>
              </w:rPr>
            </w:pPr>
            <w:r w:rsidRPr="00A40FD5">
              <w:rPr>
                <w:color w:val="000000"/>
                <w:lang w:eastAsia="en-NZ"/>
              </w:rPr>
              <w:t>172</w:t>
            </w:r>
          </w:p>
        </w:tc>
        <w:tc>
          <w:tcPr>
            <w:tcW w:w="1276" w:type="dxa"/>
            <w:shd w:val="clear" w:color="auto" w:fill="auto"/>
            <w:noWrap/>
            <w:hideMark/>
          </w:tcPr>
          <w:p w14:paraId="00E53A3C" w14:textId="77777777" w:rsidR="00232F0B" w:rsidRPr="00A40FD5" w:rsidRDefault="00232F0B" w:rsidP="00305136">
            <w:pPr>
              <w:pStyle w:val="TableText"/>
              <w:jc w:val="center"/>
              <w:rPr>
                <w:color w:val="000000"/>
                <w:lang w:eastAsia="en-NZ"/>
              </w:rPr>
            </w:pPr>
            <w:r w:rsidRPr="00A40FD5">
              <w:rPr>
                <w:color w:val="000000"/>
                <w:lang w:eastAsia="en-NZ"/>
              </w:rPr>
              <w:t>$145</w:t>
            </w:r>
          </w:p>
        </w:tc>
        <w:tc>
          <w:tcPr>
            <w:tcW w:w="1275" w:type="dxa"/>
            <w:shd w:val="clear" w:color="auto" w:fill="auto"/>
            <w:noWrap/>
            <w:hideMark/>
          </w:tcPr>
          <w:p w14:paraId="74F7BC14" w14:textId="77777777" w:rsidR="00232F0B" w:rsidRPr="00A40FD5" w:rsidRDefault="00232F0B" w:rsidP="00305136">
            <w:pPr>
              <w:pStyle w:val="TableText"/>
              <w:jc w:val="center"/>
              <w:rPr>
                <w:color w:val="000000"/>
                <w:lang w:eastAsia="en-NZ"/>
              </w:rPr>
            </w:pPr>
            <w:r w:rsidRPr="00A40FD5">
              <w:rPr>
                <w:color w:val="000000"/>
                <w:lang w:eastAsia="en-NZ"/>
              </w:rPr>
              <w:t>$18</w:t>
            </w:r>
          </w:p>
        </w:tc>
        <w:tc>
          <w:tcPr>
            <w:tcW w:w="709" w:type="dxa"/>
            <w:shd w:val="clear" w:color="auto" w:fill="auto"/>
            <w:noWrap/>
            <w:hideMark/>
          </w:tcPr>
          <w:p w14:paraId="5EF73284" w14:textId="77777777" w:rsidR="00232F0B" w:rsidRPr="00743999" w:rsidRDefault="00232F0B" w:rsidP="00305136">
            <w:pPr>
              <w:pStyle w:val="TableText"/>
              <w:jc w:val="center"/>
              <w:rPr>
                <w:color w:val="000000"/>
                <w:lang w:eastAsia="en-NZ"/>
              </w:rPr>
            </w:pPr>
            <w:r w:rsidRPr="00743999">
              <w:rPr>
                <w:color w:val="000000"/>
                <w:lang w:eastAsia="en-NZ"/>
              </w:rPr>
              <w:t>$163</w:t>
            </w:r>
          </w:p>
        </w:tc>
      </w:tr>
      <w:tr w:rsidR="00232F0B" w:rsidRPr="00A40FD5" w14:paraId="4F9DEE96" w14:textId="77777777" w:rsidTr="00305136">
        <w:trPr>
          <w:cantSplit/>
        </w:trPr>
        <w:tc>
          <w:tcPr>
            <w:tcW w:w="3402" w:type="dxa"/>
            <w:shd w:val="clear" w:color="auto" w:fill="auto"/>
            <w:noWrap/>
            <w:hideMark/>
          </w:tcPr>
          <w:p w14:paraId="2F615496" w14:textId="77777777" w:rsidR="00232F0B" w:rsidRPr="00A40FD5" w:rsidRDefault="00232F0B" w:rsidP="009A2D7D">
            <w:pPr>
              <w:pStyle w:val="TableText"/>
              <w:rPr>
                <w:lang w:eastAsia="en-NZ"/>
              </w:rPr>
            </w:pPr>
            <w:r w:rsidRPr="00A40FD5">
              <w:rPr>
                <w:lang w:eastAsia="en-NZ"/>
              </w:rPr>
              <w:t>Consents under r</w:t>
            </w:r>
            <w:r>
              <w:rPr>
                <w:lang w:eastAsia="en-NZ"/>
              </w:rPr>
              <w:t xml:space="preserve">egulation </w:t>
            </w:r>
            <w:r w:rsidRPr="00A40FD5">
              <w:rPr>
                <w:lang w:eastAsia="en-NZ"/>
              </w:rPr>
              <w:t>18(c) for import o</w:t>
            </w:r>
            <w:r>
              <w:rPr>
                <w:lang w:eastAsia="en-NZ"/>
              </w:rPr>
              <w:t>r</w:t>
            </w:r>
            <w:r w:rsidRPr="00A40FD5">
              <w:rPr>
                <w:lang w:eastAsia="en-NZ"/>
              </w:rPr>
              <w:t xml:space="preserve"> export of unsealed radioactive material that is low-activity radioactive material on </w:t>
            </w:r>
            <w:r>
              <w:rPr>
                <w:lang w:eastAsia="en-NZ"/>
              </w:rPr>
              <w:t>two</w:t>
            </w:r>
            <w:r w:rsidRPr="00A40FD5">
              <w:rPr>
                <w:lang w:eastAsia="en-NZ"/>
              </w:rPr>
              <w:t xml:space="preserve"> or more occasions during the period of the consent</w:t>
            </w:r>
          </w:p>
        </w:tc>
        <w:tc>
          <w:tcPr>
            <w:tcW w:w="1418" w:type="dxa"/>
            <w:shd w:val="clear" w:color="auto" w:fill="auto"/>
            <w:noWrap/>
            <w:hideMark/>
          </w:tcPr>
          <w:p w14:paraId="43F6D496" w14:textId="77777777" w:rsidR="00232F0B" w:rsidRPr="00A40FD5" w:rsidRDefault="00232F0B" w:rsidP="00305136">
            <w:pPr>
              <w:pStyle w:val="TableText"/>
              <w:tabs>
                <w:tab w:val="decimal" w:pos="794"/>
              </w:tabs>
              <w:rPr>
                <w:color w:val="000000"/>
                <w:lang w:eastAsia="en-NZ"/>
              </w:rPr>
            </w:pPr>
            <w:r w:rsidRPr="00A40FD5">
              <w:rPr>
                <w:color w:val="000000"/>
                <w:lang w:eastAsia="en-NZ"/>
              </w:rPr>
              <w:t>5</w:t>
            </w:r>
          </w:p>
        </w:tc>
        <w:tc>
          <w:tcPr>
            <w:tcW w:w="1276" w:type="dxa"/>
            <w:shd w:val="clear" w:color="auto" w:fill="auto"/>
            <w:noWrap/>
            <w:hideMark/>
          </w:tcPr>
          <w:p w14:paraId="6F464D04" w14:textId="77777777" w:rsidR="00232F0B" w:rsidRPr="00A40FD5" w:rsidRDefault="00232F0B" w:rsidP="00305136">
            <w:pPr>
              <w:pStyle w:val="TableText"/>
              <w:jc w:val="center"/>
              <w:rPr>
                <w:color w:val="000000"/>
                <w:lang w:eastAsia="en-NZ"/>
              </w:rPr>
            </w:pPr>
            <w:r w:rsidRPr="00A40FD5">
              <w:rPr>
                <w:color w:val="000000"/>
                <w:lang w:eastAsia="en-NZ"/>
              </w:rPr>
              <w:t>$145</w:t>
            </w:r>
          </w:p>
        </w:tc>
        <w:tc>
          <w:tcPr>
            <w:tcW w:w="1275" w:type="dxa"/>
            <w:shd w:val="clear" w:color="auto" w:fill="auto"/>
            <w:noWrap/>
            <w:hideMark/>
          </w:tcPr>
          <w:p w14:paraId="77057A13" w14:textId="77777777" w:rsidR="00232F0B" w:rsidRPr="00A40FD5" w:rsidRDefault="00232F0B" w:rsidP="00305136">
            <w:pPr>
              <w:pStyle w:val="TableText"/>
              <w:jc w:val="center"/>
              <w:rPr>
                <w:color w:val="000000"/>
                <w:lang w:eastAsia="en-NZ"/>
              </w:rPr>
            </w:pPr>
            <w:r w:rsidRPr="00A40FD5">
              <w:rPr>
                <w:color w:val="000000"/>
                <w:lang w:eastAsia="en-NZ"/>
              </w:rPr>
              <w:t>$18</w:t>
            </w:r>
          </w:p>
        </w:tc>
        <w:tc>
          <w:tcPr>
            <w:tcW w:w="709" w:type="dxa"/>
            <w:shd w:val="clear" w:color="auto" w:fill="auto"/>
            <w:noWrap/>
            <w:hideMark/>
          </w:tcPr>
          <w:p w14:paraId="28293333" w14:textId="77777777" w:rsidR="00232F0B" w:rsidRPr="00743999" w:rsidRDefault="00232F0B" w:rsidP="00305136">
            <w:pPr>
              <w:pStyle w:val="TableText"/>
              <w:jc w:val="center"/>
              <w:rPr>
                <w:color w:val="000000"/>
                <w:lang w:eastAsia="en-NZ"/>
              </w:rPr>
            </w:pPr>
            <w:r w:rsidRPr="00743999">
              <w:rPr>
                <w:color w:val="000000"/>
                <w:lang w:eastAsia="en-NZ"/>
              </w:rPr>
              <w:t>$163</w:t>
            </w:r>
          </w:p>
        </w:tc>
      </w:tr>
      <w:tr w:rsidR="00232F0B" w:rsidRPr="008978B9" w14:paraId="631C0FAC" w14:textId="77777777" w:rsidTr="00305136">
        <w:trPr>
          <w:cantSplit/>
        </w:trPr>
        <w:tc>
          <w:tcPr>
            <w:tcW w:w="3402" w:type="dxa"/>
            <w:shd w:val="clear" w:color="auto" w:fill="auto"/>
            <w:noWrap/>
            <w:hideMark/>
          </w:tcPr>
          <w:p w14:paraId="78D6E022" w14:textId="77777777" w:rsidR="00232F0B" w:rsidRPr="00743999" w:rsidRDefault="00305136" w:rsidP="009A2D7D">
            <w:pPr>
              <w:pStyle w:val="TableText"/>
              <w:rPr>
                <w:lang w:eastAsia="en-NZ"/>
              </w:rPr>
            </w:pPr>
            <w:r>
              <w:rPr>
                <w:lang w:eastAsia="en-NZ"/>
              </w:rPr>
              <w:t>Total</w:t>
            </w:r>
          </w:p>
        </w:tc>
        <w:tc>
          <w:tcPr>
            <w:tcW w:w="1418" w:type="dxa"/>
            <w:shd w:val="clear" w:color="auto" w:fill="auto"/>
            <w:noWrap/>
            <w:hideMark/>
          </w:tcPr>
          <w:p w14:paraId="66616AEA" w14:textId="77777777" w:rsidR="00232F0B" w:rsidRPr="00743999" w:rsidRDefault="00232F0B" w:rsidP="00305136">
            <w:pPr>
              <w:pStyle w:val="TableText"/>
              <w:tabs>
                <w:tab w:val="decimal" w:pos="794"/>
              </w:tabs>
              <w:rPr>
                <w:color w:val="000000"/>
                <w:lang w:eastAsia="en-NZ"/>
              </w:rPr>
            </w:pPr>
            <w:r w:rsidRPr="00743999">
              <w:rPr>
                <w:color w:val="000000"/>
                <w:lang w:eastAsia="en-NZ"/>
              </w:rPr>
              <w:t>196</w:t>
            </w:r>
          </w:p>
        </w:tc>
        <w:tc>
          <w:tcPr>
            <w:tcW w:w="1276" w:type="dxa"/>
            <w:shd w:val="clear" w:color="auto" w:fill="auto"/>
            <w:noWrap/>
            <w:hideMark/>
          </w:tcPr>
          <w:p w14:paraId="424F88DF" w14:textId="77777777" w:rsidR="00232F0B" w:rsidRPr="00743999" w:rsidRDefault="00232F0B" w:rsidP="00305136">
            <w:pPr>
              <w:pStyle w:val="TableText"/>
              <w:jc w:val="center"/>
              <w:rPr>
                <w:color w:val="000000"/>
                <w:lang w:eastAsia="en-NZ"/>
              </w:rPr>
            </w:pPr>
            <w:r>
              <w:rPr>
                <w:color w:val="000000"/>
                <w:lang w:eastAsia="en-NZ"/>
              </w:rPr>
              <w:t>–</w:t>
            </w:r>
          </w:p>
        </w:tc>
        <w:tc>
          <w:tcPr>
            <w:tcW w:w="1275" w:type="dxa"/>
            <w:shd w:val="clear" w:color="auto" w:fill="auto"/>
            <w:noWrap/>
            <w:hideMark/>
          </w:tcPr>
          <w:p w14:paraId="0042A224" w14:textId="77777777" w:rsidR="00232F0B" w:rsidRPr="00743999" w:rsidRDefault="00232F0B" w:rsidP="00305136">
            <w:pPr>
              <w:pStyle w:val="TableText"/>
              <w:jc w:val="center"/>
              <w:rPr>
                <w:color w:val="000000"/>
                <w:lang w:eastAsia="en-NZ"/>
              </w:rPr>
            </w:pPr>
            <w:r>
              <w:rPr>
                <w:color w:val="000000"/>
                <w:lang w:eastAsia="en-NZ"/>
              </w:rPr>
              <w:t>–</w:t>
            </w:r>
          </w:p>
        </w:tc>
        <w:tc>
          <w:tcPr>
            <w:tcW w:w="709" w:type="dxa"/>
            <w:shd w:val="clear" w:color="auto" w:fill="auto"/>
            <w:noWrap/>
            <w:hideMark/>
          </w:tcPr>
          <w:p w14:paraId="1752EB5D" w14:textId="77777777" w:rsidR="00232F0B" w:rsidRPr="00743999" w:rsidRDefault="00232F0B" w:rsidP="00305136">
            <w:pPr>
              <w:pStyle w:val="TableText"/>
              <w:jc w:val="center"/>
              <w:rPr>
                <w:color w:val="000000"/>
                <w:lang w:eastAsia="en-NZ"/>
              </w:rPr>
            </w:pPr>
            <w:r>
              <w:rPr>
                <w:color w:val="000000"/>
                <w:lang w:eastAsia="en-NZ"/>
              </w:rPr>
              <w:t>–</w:t>
            </w:r>
          </w:p>
        </w:tc>
      </w:tr>
    </w:tbl>
    <w:p w14:paraId="46922D3B" w14:textId="77777777" w:rsidR="00232F0B" w:rsidRPr="00A40FD5" w:rsidRDefault="00232F0B" w:rsidP="00305136"/>
    <w:p w14:paraId="70DE0420" w14:textId="77777777" w:rsidR="00232F0B" w:rsidRPr="00A40FD5" w:rsidRDefault="00232F0B" w:rsidP="00486383">
      <w:pPr>
        <w:pStyle w:val="Heading3"/>
      </w:pPr>
      <w:bookmarkStart w:id="295" w:name="_Toc74583506"/>
      <w:bookmarkStart w:id="296" w:name="_Toc75349273"/>
      <w:bookmarkStart w:id="297" w:name="_Toc83118766"/>
      <w:bookmarkStart w:id="298" w:name="_Toc83130245"/>
      <w:bookmarkStart w:id="299" w:name="_Toc83133514"/>
      <w:r w:rsidRPr="00A40FD5">
        <w:t>Alternative option</w:t>
      </w:r>
      <w:bookmarkEnd w:id="295"/>
      <w:bookmarkEnd w:id="296"/>
      <w:bookmarkEnd w:id="297"/>
      <w:bookmarkEnd w:id="298"/>
      <w:bookmarkEnd w:id="299"/>
    </w:p>
    <w:p w14:paraId="10513BB6" w14:textId="77777777" w:rsidR="00232F0B" w:rsidRPr="00A40FD5" w:rsidRDefault="00232F0B" w:rsidP="00E82448">
      <w:r w:rsidRPr="00A40FD5">
        <w:t xml:space="preserve">Any viable alternative will need to justify the </w:t>
      </w:r>
      <w:r>
        <w:t>cross-</w:t>
      </w:r>
      <w:r w:rsidRPr="00A40FD5">
        <w:t xml:space="preserve">subsidisation of costs incurred in one consent type by fees recovered from </w:t>
      </w:r>
      <w:r>
        <w:t>another authorisation type or justify a partial (or zero) cost recovery approach.</w:t>
      </w:r>
      <w:r w:rsidRPr="00A40FD5">
        <w:t xml:space="preserve"> </w:t>
      </w:r>
      <w:r>
        <w:t xml:space="preserve">Such </w:t>
      </w:r>
      <w:r w:rsidRPr="00A40FD5">
        <w:t>a justification</w:t>
      </w:r>
      <w:r>
        <w:t xml:space="preserve"> has not yet been identified</w:t>
      </w:r>
      <w:r w:rsidRPr="00A40FD5">
        <w:t>.</w:t>
      </w:r>
    </w:p>
    <w:p w14:paraId="176C60CE" w14:textId="77777777" w:rsidR="00232F0B" w:rsidRDefault="00232F0B" w:rsidP="00E82448"/>
    <w:p w14:paraId="33CA6E57" w14:textId="77777777" w:rsidR="00232F0B" w:rsidRPr="00A40FD5" w:rsidRDefault="00232F0B" w:rsidP="00486383">
      <w:pPr>
        <w:pStyle w:val="BoxHeading"/>
      </w:pPr>
      <w:r w:rsidRPr="00A40FD5">
        <w:t>Consultation questions</w:t>
      </w:r>
    </w:p>
    <w:p w14:paraId="77F7DF96" w14:textId="01AF76EA" w:rsidR="0087667B" w:rsidRDefault="00232F0B" w:rsidP="00E82448">
      <w:pPr>
        <w:pStyle w:val="BoxNumber"/>
      </w:pPr>
      <w:r w:rsidRPr="00A40FD5">
        <w:t xml:space="preserve">Do you think the preferred option of </w:t>
      </w:r>
      <w:r>
        <w:t>setting consent</w:t>
      </w:r>
      <w:r w:rsidRPr="00A40FD5">
        <w:t xml:space="preserve"> fees based on the assessed cost components set out in </w:t>
      </w:r>
      <w:r w:rsidR="00E82448">
        <w:fldChar w:fldCharType="begin"/>
      </w:r>
      <w:r w:rsidR="00E82448">
        <w:instrText xml:space="preserve"> REF _Ref87368839 \h </w:instrText>
      </w:r>
      <w:r w:rsidR="00E82448">
        <w:fldChar w:fldCharType="separate"/>
      </w:r>
      <w:r w:rsidR="003A5600">
        <w:t>Table </w:t>
      </w:r>
      <w:r w:rsidR="003A5600">
        <w:rPr>
          <w:noProof/>
        </w:rPr>
        <w:t>17</w:t>
      </w:r>
      <w:r w:rsidR="00E82448">
        <w:fldChar w:fldCharType="end"/>
      </w:r>
      <w:r w:rsidRPr="00A40FD5">
        <w:t xml:space="preserve"> is justifi</w:t>
      </w:r>
      <w:r>
        <w:t>able</w:t>
      </w:r>
      <w:r w:rsidRPr="00A40FD5">
        <w:t>?</w:t>
      </w:r>
    </w:p>
    <w:p w14:paraId="7B49717A" w14:textId="44EBCEC9" w:rsidR="00232F0B" w:rsidRPr="00A40FD5" w:rsidRDefault="00232F0B" w:rsidP="00E82448">
      <w:pPr>
        <w:pStyle w:val="BoxNumber"/>
      </w:pPr>
      <w:r w:rsidRPr="00A40FD5">
        <w:t xml:space="preserve">If you think the preferred option of </w:t>
      </w:r>
      <w:r>
        <w:t>setting consent</w:t>
      </w:r>
      <w:r w:rsidRPr="00A40FD5">
        <w:t xml:space="preserve"> fees based on the assessed cost components set out in </w:t>
      </w:r>
      <w:r w:rsidR="00E82448">
        <w:fldChar w:fldCharType="begin"/>
      </w:r>
      <w:r w:rsidR="00E82448">
        <w:instrText xml:space="preserve"> REF _Ref87368839 \h </w:instrText>
      </w:r>
      <w:r w:rsidR="00E82448">
        <w:fldChar w:fldCharType="separate"/>
      </w:r>
      <w:r w:rsidR="003A5600">
        <w:t>Table </w:t>
      </w:r>
      <w:r w:rsidR="003A5600">
        <w:rPr>
          <w:noProof/>
        </w:rPr>
        <w:t>17</w:t>
      </w:r>
      <w:r w:rsidR="00E82448">
        <w:fldChar w:fldCharType="end"/>
      </w:r>
      <w:r w:rsidRPr="00A40FD5">
        <w:t xml:space="preserve"> is </w:t>
      </w:r>
      <w:r w:rsidRPr="00743999">
        <w:rPr>
          <w:b/>
          <w:bCs/>
        </w:rPr>
        <w:t>not</w:t>
      </w:r>
      <w:r>
        <w:t xml:space="preserve"> </w:t>
      </w:r>
      <w:r w:rsidRPr="00A40FD5">
        <w:t>justifi</w:t>
      </w:r>
      <w:r>
        <w:t>able</w:t>
      </w:r>
      <w:r w:rsidRPr="00A40FD5">
        <w:t xml:space="preserve">, please outline an alternative option for assigning </w:t>
      </w:r>
      <w:r>
        <w:t>use</w:t>
      </w:r>
      <w:r w:rsidRPr="00A40FD5">
        <w:t xml:space="preserve"> licence fees. Please provide </w:t>
      </w:r>
      <w:r>
        <w:t>reasons</w:t>
      </w:r>
      <w:r w:rsidRPr="00A40FD5">
        <w:t xml:space="preserve"> for your </w:t>
      </w:r>
      <w:r>
        <w:t>option</w:t>
      </w:r>
      <w:r w:rsidRPr="00A40FD5">
        <w:t>.</w:t>
      </w:r>
    </w:p>
    <w:p w14:paraId="4B935C6A" w14:textId="77777777" w:rsidR="00232F0B" w:rsidRDefault="00232F0B" w:rsidP="00E82448">
      <w:pPr>
        <w:pStyle w:val="BoxNumber"/>
      </w:pPr>
      <w:r w:rsidRPr="00A40FD5">
        <w:t>Do you have any further comments, suggestions or alternative options?</w:t>
      </w:r>
    </w:p>
    <w:p w14:paraId="6F4D3B87" w14:textId="77777777" w:rsidR="00232F0B" w:rsidRDefault="00232F0B" w:rsidP="00E82448"/>
    <w:p w14:paraId="00F18EE7" w14:textId="77777777" w:rsidR="0087667B" w:rsidRDefault="00232F0B" w:rsidP="00486383">
      <w:pPr>
        <w:pStyle w:val="Heading1"/>
      </w:pPr>
      <w:bookmarkStart w:id="300" w:name="_Toc83133515"/>
      <w:bookmarkStart w:id="301" w:name="_Toc89696201"/>
      <w:r w:rsidRPr="00A40FD5">
        <w:t>Amendments to existing exemptions, prohibitions and restrictions</w:t>
      </w:r>
      <w:bookmarkEnd w:id="300"/>
      <w:bookmarkEnd w:id="301"/>
    </w:p>
    <w:p w14:paraId="4E03D3E9" w14:textId="77777777" w:rsidR="00232F0B" w:rsidRPr="00A40FD5" w:rsidRDefault="00232F0B" w:rsidP="00486383">
      <w:pPr>
        <w:pStyle w:val="Heading2"/>
      </w:pPr>
      <w:bookmarkStart w:id="302" w:name="_Toc83133516"/>
      <w:bookmarkStart w:id="303" w:name="_Ref88643911"/>
      <w:bookmarkStart w:id="304" w:name="_Toc89696202"/>
      <w:r w:rsidRPr="00A40FD5">
        <w:t>Exemption for dealing with irradiating apparatus</w:t>
      </w:r>
      <w:r>
        <w:t>es</w:t>
      </w:r>
      <w:r w:rsidRPr="00A40FD5">
        <w:t xml:space="preserve"> used for X-ray fluorescence and X-ray diffraction likely to result in very low effective doses</w:t>
      </w:r>
      <w:bookmarkEnd w:id="302"/>
      <w:bookmarkEnd w:id="303"/>
      <w:bookmarkEnd w:id="304"/>
    </w:p>
    <w:p w14:paraId="03E580FE" w14:textId="77777777" w:rsidR="00232F0B" w:rsidRPr="00A40FD5" w:rsidRDefault="00232F0B" w:rsidP="00486383">
      <w:pPr>
        <w:pStyle w:val="Heading3"/>
      </w:pPr>
      <w:bookmarkStart w:id="305" w:name="_Toc74583509"/>
      <w:bookmarkStart w:id="306" w:name="_Toc75349276"/>
      <w:bookmarkStart w:id="307" w:name="_Toc83118769"/>
      <w:bookmarkStart w:id="308" w:name="_Toc83130248"/>
      <w:bookmarkStart w:id="309" w:name="_Toc83133517"/>
      <w:r w:rsidRPr="00A40FD5">
        <w:t>Background</w:t>
      </w:r>
      <w:bookmarkEnd w:id="305"/>
      <w:bookmarkEnd w:id="306"/>
      <w:bookmarkEnd w:id="307"/>
      <w:bookmarkEnd w:id="308"/>
      <w:bookmarkEnd w:id="309"/>
    </w:p>
    <w:p w14:paraId="16924C12" w14:textId="77777777" w:rsidR="0087667B" w:rsidRDefault="00232F0B" w:rsidP="001A5D81">
      <w:r w:rsidRPr="00A40FD5">
        <w:t xml:space="preserve">Regulation 13 currently provides an exemption from the requirements of authorisations, registration and </w:t>
      </w:r>
      <w:r>
        <w:t xml:space="preserve">record </w:t>
      </w:r>
      <w:r w:rsidRPr="00A40FD5">
        <w:t xml:space="preserve">keeping (subparts 2 and 3 of the Act) for </w:t>
      </w:r>
      <w:r w:rsidRPr="00A40FD5">
        <w:rPr>
          <w:b/>
          <w:bCs/>
        </w:rPr>
        <w:t>irradiating apparatus</w:t>
      </w:r>
      <w:r>
        <w:rPr>
          <w:b/>
          <w:bCs/>
        </w:rPr>
        <w:t>es</w:t>
      </w:r>
      <w:r w:rsidRPr="00A40FD5">
        <w:t xml:space="preserve"> used for X-ray fluorescence and X-ray diffraction that, in reasonably foreseeable circumstances, </w:t>
      </w:r>
      <w:r>
        <w:t>are</w:t>
      </w:r>
      <w:r w:rsidRPr="00A40FD5">
        <w:t xml:space="preserve"> likely to result in an effective does of less than 10 micros</w:t>
      </w:r>
      <w:r>
        <w:t>i</w:t>
      </w:r>
      <w:r w:rsidRPr="00A40FD5">
        <w:t>everts per year.</w:t>
      </w:r>
    </w:p>
    <w:p w14:paraId="057D0012" w14:textId="77777777" w:rsidR="00232F0B" w:rsidRPr="00A40FD5" w:rsidRDefault="00232F0B" w:rsidP="001A5D81"/>
    <w:p w14:paraId="2778687D" w14:textId="77777777" w:rsidR="0087667B" w:rsidRDefault="00232F0B" w:rsidP="001A5D81">
      <w:pPr>
        <w:rPr>
          <w:rFonts w:cstheme="minorHAnsi"/>
          <w:shd w:val="clear" w:color="auto" w:fill="FFFFFF"/>
        </w:rPr>
      </w:pPr>
      <w:r w:rsidRPr="00A40FD5">
        <w:t xml:space="preserve">The people who deal with these apparatuses are currently subject to the </w:t>
      </w:r>
      <w:r w:rsidRPr="00743999">
        <w:rPr>
          <w:rFonts w:cstheme="minorHAnsi"/>
          <w:i/>
          <w:iCs/>
          <w:shd w:val="clear" w:color="auto" w:fill="FFFFFF"/>
        </w:rPr>
        <w:t>Code of Practice for Irradiating Apparatus</w:t>
      </w:r>
      <w:r>
        <w:rPr>
          <w:rFonts w:cstheme="minorHAnsi"/>
          <w:i/>
          <w:iCs/>
          <w:shd w:val="clear" w:color="auto" w:fill="FFFFFF"/>
        </w:rPr>
        <w:t xml:space="preserve">: </w:t>
      </w:r>
      <w:r w:rsidRPr="00743999">
        <w:rPr>
          <w:rFonts w:cstheme="minorHAnsi"/>
          <w:i/>
          <w:iCs/>
          <w:shd w:val="clear" w:color="auto" w:fill="FFFFFF"/>
        </w:rPr>
        <w:t>ORS C10</w:t>
      </w:r>
      <w:r w:rsidRPr="00A40FD5">
        <w:rPr>
          <w:rFonts w:cstheme="minorHAnsi"/>
          <w:shd w:val="clear" w:color="auto" w:fill="FFFFFF"/>
        </w:rPr>
        <w:t>.</w:t>
      </w:r>
      <w:r w:rsidRPr="001A5D81">
        <w:rPr>
          <w:rStyle w:val="FootnoteReference"/>
        </w:rPr>
        <w:footnoteReference w:id="11"/>
      </w:r>
    </w:p>
    <w:p w14:paraId="514D54DB" w14:textId="77777777" w:rsidR="00232F0B" w:rsidRDefault="00232F0B" w:rsidP="001A5D81"/>
    <w:p w14:paraId="1EBD4069" w14:textId="77777777" w:rsidR="00232F0B" w:rsidRPr="00A40FD5" w:rsidRDefault="00232F0B" w:rsidP="00486383">
      <w:pPr>
        <w:pStyle w:val="Heading3"/>
      </w:pPr>
      <w:bookmarkStart w:id="310" w:name="_Toc83118770"/>
      <w:bookmarkStart w:id="311" w:name="_Toc83130249"/>
      <w:bookmarkStart w:id="312" w:name="_Toc83133518"/>
      <w:r>
        <w:t>Status quo</w:t>
      </w:r>
      <w:r w:rsidRPr="00A40FD5">
        <w:t xml:space="preserve"> option</w:t>
      </w:r>
      <w:bookmarkEnd w:id="310"/>
      <w:bookmarkEnd w:id="311"/>
      <w:bookmarkEnd w:id="312"/>
    </w:p>
    <w:p w14:paraId="5D5CB05E" w14:textId="77777777" w:rsidR="0087667B" w:rsidRDefault="00232F0B" w:rsidP="001A5D81">
      <w:r>
        <w:t xml:space="preserve">This exemption does not provide an </w:t>
      </w:r>
      <w:r w:rsidRPr="00A40FD5">
        <w:t>appropriately graded level of regulation for this category of apparatus</w:t>
      </w:r>
      <w:r>
        <w:t>, and therefore, further controls are required. This means that the proportionality objectives of the 2016 RIS for the Regulations are not being fully met. On this basis, the status quo option is not viable.</w:t>
      </w:r>
    </w:p>
    <w:p w14:paraId="47E6F724" w14:textId="77777777" w:rsidR="00232F0B" w:rsidRPr="00A40FD5" w:rsidRDefault="00232F0B" w:rsidP="001A5D81"/>
    <w:p w14:paraId="02A3F6A0" w14:textId="77777777" w:rsidR="00232F0B" w:rsidRPr="00A40FD5" w:rsidRDefault="00232F0B" w:rsidP="00486383">
      <w:pPr>
        <w:pStyle w:val="Heading3"/>
      </w:pPr>
      <w:bookmarkStart w:id="313" w:name="_Toc74583510"/>
      <w:bookmarkStart w:id="314" w:name="_Toc75349277"/>
      <w:bookmarkStart w:id="315" w:name="_Toc83118771"/>
      <w:bookmarkStart w:id="316" w:name="_Toc83130250"/>
      <w:bookmarkStart w:id="317" w:name="_Toc83133519"/>
      <w:r w:rsidRPr="00A40FD5">
        <w:t>Preferred option</w:t>
      </w:r>
      <w:bookmarkEnd w:id="313"/>
      <w:bookmarkEnd w:id="314"/>
      <w:bookmarkEnd w:id="315"/>
      <w:bookmarkEnd w:id="316"/>
      <w:bookmarkEnd w:id="317"/>
    </w:p>
    <w:p w14:paraId="673903BB" w14:textId="77777777" w:rsidR="0087667B" w:rsidRDefault="00232F0B" w:rsidP="001A5D81">
      <w:r>
        <w:t>The preferred option is that these</w:t>
      </w:r>
      <w:r w:rsidRPr="00A40FD5">
        <w:t xml:space="preserve"> apparatuses</w:t>
      </w:r>
      <w:r w:rsidRPr="00A40FD5" w:rsidDel="007D0D72">
        <w:t xml:space="preserve"> </w:t>
      </w:r>
      <w:r w:rsidRPr="00A40FD5">
        <w:t>also become subject to the requirements of registration and record keeping (subpart 3 of the Act).</w:t>
      </w:r>
      <w:r>
        <w:t xml:space="preserve"> </w:t>
      </w:r>
      <w:r w:rsidRPr="00A40FD5">
        <w:t>This mean</w:t>
      </w:r>
      <w:r>
        <w:t>s</w:t>
      </w:r>
      <w:r w:rsidRPr="00A40FD5">
        <w:t xml:space="preserve"> that the purposes of registration (section 30(3) of the Act) and records of the specified information (section 35(2) of the Act) will become available for achieving the purposes that are specified in the Act.</w:t>
      </w:r>
      <w:r>
        <w:t xml:space="preserve"> </w:t>
      </w:r>
      <w:r w:rsidRPr="00A40FD5">
        <w:t>Principally, the location and movement of the apparatus</w:t>
      </w:r>
      <w:r w:rsidRPr="00A40FD5" w:rsidDel="007D0D72">
        <w:t xml:space="preserve"> </w:t>
      </w:r>
      <w:r w:rsidRPr="00A40FD5">
        <w:t xml:space="preserve">can be </w:t>
      </w:r>
      <w:r>
        <w:t>recorded</w:t>
      </w:r>
      <w:r w:rsidRPr="00A40FD5">
        <w:t xml:space="preserve"> and used for emergency preparedness and response.</w:t>
      </w:r>
      <w:r>
        <w:t xml:space="preserve"> </w:t>
      </w:r>
      <w:r w:rsidRPr="00A40FD5">
        <w:t>Also, compliance with the radiation safety requirements can be determined using this information.</w:t>
      </w:r>
    </w:p>
    <w:p w14:paraId="11511234" w14:textId="77777777" w:rsidR="00232F0B" w:rsidRPr="00A40FD5" w:rsidRDefault="00232F0B" w:rsidP="001A5D81"/>
    <w:p w14:paraId="6E340345" w14:textId="77777777" w:rsidR="0087667B" w:rsidRDefault="00232F0B" w:rsidP="001A5D81">
      <w:r w:rsidRPr="00A40FD5">
        <w:t>This option does not propose to require authorisation (licencing) for these apparatuses.</w:t>
      </w:r>
      <w:r>
        <w:t xml:space="preserve"> </w:t>
      </w:r>
      <w:r w:rsidRPr="00A40FD5">
        <w:t>The existing exemption from subpart 2 of the Act would remain.</w:t>
      </w:r>
      <w:r>
        <w:t xml:space="preserve"> </w:t>
      </w:r>
      <w:r w:rsidRPr="00A40FD5">
        <w:t>Because fees are only payable on application for authorisation, no fees would be payable by people who manage and control these apparatuses under this option.</w:t>
      </w:r>
    </w:p>
    <w:p w14:paraId="5C6E589D" w14:textId="77777777" w:rsidR="001A5D81" w:rsidRDefault="001A5D81" w:rsidP="001A5D81"/>
    <w:p w14:paraId="104A6444" w14:textId="77777777" w:rsidR="00232F0B" w:rsidRPr="00A40FD5" w:rsidRDefault="00232F0B" w:rsidP="00486383">
      <w:pPr>
        <w:pStyle w:val="Heading3"/>
      </w:pPr>
      <w:bookmarkStart w:id="318" w:name="_Toc74583511"/>
      <w:bookmarkStart w:id="319" w:name="_Toc75349278"/>
      <w:bookmarkStart w:id="320" w:name="_Toc83118772"/>
      <w:bookmarkStart w:id="321" w:name="_Toc83130251"/>
      <w:bookmarkStart w:id="322" w:name="_Toc83133520"/>
      <w:r w:rsidRPr="00A40FD5">
        <w:t>Alternative option</w:t>
      </w:r>
      <w:bookmarkEnd w:id="318"/>
      <w:bookmarkEnd w:id="319"/>
      <w:bookmarkEnd w:id="320"/>
      <w:bookmarkEnd w:id="321"/>
      <w:bookmarkEnd w:id="322"/>
    </w:p>
    <w:p w14:paraId="10F54764" w14:textId="77777777" w:rsidR="0087667B" w:rsidRDefault="00232F0B" w:rsidP="001A5D81">
      <w:r w:rsidRPr="00A40FD5">
        <w:t>An alternative option is to remove the exemption provided by regulation 13 altogether.</w:t>
      </w:r>
      <w:r>
        <w:t xml:space="preserve"> </w:t>
      </w:r>
      <w:r w:rsidRPr="00A40FD5">
        <w:t>This option would require people who deal with these apparatuses to obtain a source licence and potentially a use licence (in most cases, unlikely).</w:t>
      </w:r>
    </w:p>
    <w:p w14:paraId="2CC09422" w14:textId="77777777" w:rsidR="00232F0B" w:rsidRPr="00A40FD5" w:rsidRDefault="00232F0B" w:rsidP="001A5D81"/>
    <w:p w14:paraId="72FF96CB" w14:textId="77777777" w:rsidR="0087667B" w:rsidRDefault="00232F0B" w:rsidP="001A5D81">
      <w:r w:rsidRPr="00A40FD5">
        <w:t>This option would be disproportionate to the radiation risk that needs to be managed.</w:t>
      </w:r>
    </w:p>
    <w:p w14:paraId="5248DDA9" w14:textId="77777777" w:rsidR="00232F0B" w:rsidRPr="00A40FD5" w:rsidRDefault="00232F0B" w:rsidP="001A5D81"/>
    <w:p w14:paraId="506C763C" w14:textId="77777777" w:rsidR="00232F0B" w:rsidRPr="00A40FD5" w:rsidRDefault="00232F0B" w:rsidP="001A5D81">
      <w:pPr>
        <w:pStyle w:val="BoxHeading"/>
      </w:pPr>
      <w:r w:rsidRPr="00A40FD5">
        <w:t>Consultation questions</w:t>
      </w:r>
    </w:p>
    <w:p w14:paraId="6C00AD77" w14:textId="77777777" w:rsidR="00232F0B" w:rsidRPr="00A40FD5" w:rsidRDefault="00232F0B" w:rsidP="001A5D81">
      <w:pPr>
        <w:pStyle w:val="BoxNumber"/>
      </w:pPr>
      <w:r w:rsidRPr="00A40FD5">
        <w:t>Do you think that the preferred option of requiring registration and record keeping for people who deal with irradiating apparatus</w:t>
      </w:r>
      <w:r>
        <w:t>es</w:t>
      </w:r>
      <w:r w:rsidRPr="00A40FD5">
        <w:t xml:space="preserve"> used for X-ray fluorescence and X-ray diffraction that, in reasonably foreseeable circumstances, is likely to result in an effective does of less than 10</w:t>
      </w:r>
      <w:r w:rsidR="001A5D81">
        <w:t> </w:t>
      </w:r>
      <w:r w:rsidRPr="00A40FD5">
        <w:t>micros</w:t>
      </w:r>
      <w:r>
        <w:t>i</w:t>
      </w:r>
      <w:r w:rsidRPr="00A40FD5">
        <w:t>everts per year, is proportionate to the additional radiation safety that will be achieved?</w:t>
      </w:r>
    </w:p>
    <w:p w14:paraId="710BADFB" w14:textId="77777777" w:rsidR="0087667B" w:rsidRDefault="00232F0B" w:rsidP="001A5D81">
      <w:pPr>
        <w:pStyle w:val="BoxNumber"/>
      </w:pPr>
      <w:r w:rsidRPr="00A40FD5">
        <w:t>If you think the preferred option is disproportionate, please provide comment to support your view.</w:t>
      </w:r>
    </w:p>
    <w:p w14:paraId="681E6AD8" w14:textId="77777777" w:rsidR="00232F0B" w:rsidRPr="00A40FD5" w:rsidRDefault="00232F0B" w:rsidP="001A5D81">
      <w:pPr>
        <w:pStyle w:val="BoxNumber"/>
      </w:pPr>
      <w:r w:rsidRPr="00A40FD5">
        <w:t>Do you have any further comments, suggestions or alternative options?</w:t>
      </w:r>
    </w:p>
    <w:p w14:paraId="71F5D9A0" w14:textId="77777777" w:rsidR="00232F0B" w:rsidRPr="00A40FD5" w:rsidRDefault="00232F0B" w:rsidP="001A5D81">
      <w:pPr>
        <w:pStyle w:val="Box"/>
      </w:pPr>
      <w:r w:rsidRPr="00A40FD5">
        <w:t>Please use the submission form to respond to these questions.</w:t>
      </w:r>
    </w:p>
    <w:p w14:paraId="7FAAC44F" w14:textId="77777777" w:rsidR="00232F0B" w:rsidRPr="00A40FD5" w:rsidRDefault="00232F0B" w:rsidP="001A5D81"/>
    <w:p w14:paraId="553A0E33" w14:textId="77777777" w:rsidR="00232F0B" w:rsidRPr="00A40FD5" w:rsidRDefault="00232F0B" w:rsidP="001A5D81">
      <w:pPr>
        <w:pStyle w:val="Heading2"/>
        <w:keepLines/>
      </w:pPr>
      <w:bookmarkStart w:id="323" w:name="_Toc83133521"/>
      <w:bookmarkStart w:id="324" w:name="_Toc89696203"/>
      <w:r w:rsidRPr="00A40FD5">
        <w:t xml:space="preserve">Proposed changes to </w:t>
      </w:r>
      <w:r>
        <w:t>v</w:t>
      </w:r>
      <w:r w:rsidRPr="00A40FD5">
        <w:t>eterinarian exemption and Medical Imaging Technologist</w:t>
      </w:r>
      <w:r>
        <w:t>s</w:t>
      </w:r>
      <w:r w:rsidRPr="00A40FD5">
        <w:t xml:space="preserve"> exemption under </w:t>
      </w:r>
      <w:r>
        <w:t>s</w:t>
      </w:r>
      <w:r w:rsidRPr="00A40FD5">
        <w:t>chedule 3</w:t>
      </w:r>
      <w:bookmarkEnd w:id="323"/>
      <w:bookmarkEnd w:id="324"/>
    </w:p>
    <w:p w14:paraId="2F3F8BFA" w14:textId="77777777" w:rsidR="00232F0B" w:rsidRPr="00A40FD5" w:rsidRDefault="00232F0B" w:rsidP="00486383">
      <w:pPr>
        <w:pStyle w:val="Heading3"/>
      </w:pPr>
      <w:bookmarkStart w:id="325" w:name="_Toc83118774"/>
      <w:bookmarkStart w:id="326" w:name="_Toc83130253"/>
      <w:bookmarkStart w:id="327" w:name="_Toc83133522"/>
      <w:r w:rsidRPr="00A40FD5">
        <w:t>Background</w:t>
      </w:r>
      <w:bookmarkEnd w:id="325"/>
      <w:bookmarkEnd w:id="326"/>
      <w:bookmarkEnd w:id="327"/>
    </w:p>
    <w:p w14:paraId="33E9BA4E" w14:textId="77777777" w:rsidR="0087667B" w:rsidRDefault="00232F0B" w:rsidP="001A5D81">
      <w:r w:rsidRPr="00A40FD5">
        <w:t>Schedule 3 of the Regulations sets out situations where a use licence is not required for groups of people when they are performing specified activities.</w:t>
      </w:r>
      <w:r>
        <w:t xml:space="preserve"> </w:t>
      </w:r>
      <w:r w:rsidRPr="00A40FD5">
        <w:t xml:space="preserve">The provisions </w:t>
      </w:r>
      <w:r>
        <w:t>that</w:t>
      </w:r>
      <w:r w:rsidRPr="00A40FD5">
        <w:t xml:space="preserve"> enable </w:t>
      </w:r>
      <w:r>
        <w:t>s</w:t>
      </w:r>
      <w:r w:rsidRPr="00A40FD5">
        <w:t>chedule 3 are sections 91(h) and (i) of the Act.</w:t>
      </w:r>
    </w:p>
    <w:p w14:paraId="289D1CED" w14:textId="77777777" w:rsidR="00232F0B" w:rsidRPr="00A40FD5" w:rsidRDefault="00232F0B" w:rsidP="001A5D81"/>
    <w:p w14:paraId="2E6B7ABA" w14:textId="77777777" w:rsidR="0087667B" w:rsidRPr="001A5D81" w:rsidRDefault="00232F0B" w:rsidP="001A5D81">
      <w:pPr>
        <w:rPr>
          <w:spacing w:val="-2"/>
        </w:rPr>
      </w:pPr>
      <w:r w:rsidRPr="001A5D81">
        <w:rPr>
          <w:spacing w:val="-2"/>
        </w:rPr>
        <w:t>Schedule 3 is achieving its purpose of permitting the uses set out in the schedule where appropriate radiation safety training, qualifications and the experience of all members of the specified groups can be verified by a means other than requiring a use licence.</w:t>
      </w:r>
    </w:p>
    <w:p w14:paraId="6C50081C" w14:textId="77777777" w:rsidR="00232F0B" w:rsidRPr="00FD6935" w:rsidRDefault="00232F0B" w:rsidP="001A5D81"/>
    <w:p w14:paraId="55541281" w14:textId="77777777" w:rsidR="00232F0B" w:rsidRPr="00A40FD5" w:rsidRDefault="00232F0B" w:rsidP="00486383">
      <w:pPr>
        <w:pStyle w:val="Heading3"/>
      </w:pPr>
      <w:bookmarkStart w:id="328" w:name="_Toc83118775"/>
      <w:bookmarkStart w:id="329" w:name="_Toc83130254"/>
      <w:bookmarkStart w:id="330" w:name="_Toc83133523"/>
      <w:r>
        <w:t>Status quo</w:t>
      </w:r>
      <w:r w:rsidRPr="00A40FD5">
        <w:t xml:space="preserve"> option</w:t>
      </w:r>
      <w:bookmarkEnd w:id="328"/>
      <w:bookmarkEnd w:id="329"/>
      <w:bookmarkEnd w:id="330"/>
    </w:p>
    <w:p w14:paraId="1556D447" w14:textId="77777777" w:rsidR="0087667B" w:rsidRDefault="00232F0B" w:rsidP="001A5D81">
      <w:r>
        <w:t>The status quo option would see no changes to schedule 3 of the Regulations. However, the preferred options have identified two minor amendments that would improve the certainty objective of the 2016 RIS for the Regulations, and therefore, the status quo option is not recommended.</w:t>
      </w:r>
    </w:p>
    <w:p w14:paraId="3F1A7379" w14:textId="77777777" w:rsidR="00232F0B" w:rsidRPr="00A40FD5" w:rsidRDefault="00232F0B" w:rsidP="001A5D81"/>
    <w:p w14:paraId="74CCADF7" w14:textId="77777777" w:rsidR="00232F0B" w:rsidRPr="00A40FD5" w:rsidRDefault="00232F0B" w:rsidP="00486383">
      <w:pPr>
        <w:pStyle w:val="Heading3"/>
      </w:pPr>
      <w:bookmarkStart w:id="331" w:name="_Toc83118776"/>
      <w:bookmarkStart w:id="332" w:name="_Toc83130255"/>
      <w:bookmarkStart w:id="333" w:name="_Toc83133524"/>
      <w:r w:rsidRPr="00A40FD5">
        <w:t>Preferred option</w:t>
      </w:r>
      <w:bookmarkEnd w:id="331"/>
      <w:bookmarkEnd w:id="332"/>
      <w:bookmarkEnd w:id="333"/>
    </w:p>
    <w:p w14:paraId="6B3AC1BB" w14:textId="77777777" w:rsidR="0087667B" w:rsidRDefault="00232F0B" w:rsidP="001A5D81">
      <w:r>
        <w:t>T</w:t>
      </w:r>
      <w:r w:rsidRPr="00A40FD5">
        <w:t xml:space="preserve">wo amendments to the existing provisions set out in </w:t>
      </w:r>
      <w:r>
        <w:t>s</w:t>
      </w:r>
      <w:r w:rsidRPr="00A40FD5">
        <w:t>chedule 3</w:t>
      </w:r>
      <w:r>
        <w:t xml:space="preserve"> are proposed</w:t>
      </w:r>
      <w:r w:rsidRPr="00A40FD5">
        <w:t>.</w:t>
      </w:r>
    </w:p>
    <w:p w14:paraId="48271D71" w14:textId="77777777" w:rsidR="00232F0B" w:rsidRDefault="00232F0B" w:rsidP="001A5D81"/>
    <w:p w14:paraId="1FA1514B" w14:textId="10FE6075" w:rsidR="0087667B" w:rsidRDefault="00232F0B" w:rsidP="001A5D81">
      <w:r w:rsidRPr="00A40FD5">
        <w:t xml:space="preserve">For column 2 (Activity or class of activity that may be performed without a use licence) of </w:t>
      </w:r>
      <w:r>
        <w:t>s</w:t>
      </w:r>
      <w:r w:rsidRPr="00A40FD5">
        <w:t xml:space="preserve">chedule 3, </w:t>
      </w:r>
      <w:r w:rsidR="00EF55FC">
        <w:t>on the row</w:t>
      </w:r>
      <w:r w:rsidR="00EF55FC" w:rsidRPr="00A40FD5">
        <w:t xml:space="preserve"> </w:t>
      </w:r>
      <w:r w:rsidR="0087667B">
        <w:t>‘</w:t>
      </w:r>
      <w:r w:rsidRPr="00A40FD5">
        <w:t>A veterinarian within the meaning of the Veterinarians Act 2005</w:t>
      </w:r>
      <w:r w:rsidR="0087667B">
        <w:t>’</w:t>
      </w:r>
      <w:r w:rsidRPr="00A40FD5">
        <w:t xml:space="preserve">, the </w:t>
      </w:r>
      <w:r>
        <w:t>preferred option is</w:t>
      </w:r>
      <w:r w:rsidRPr="00A40FD5">
        <w:t xml:space="preserve"> to tighten the scope of activity to become </w:t>
      </w:r>
      <w:r w:rsidR="0087667B">
        <w:t>‘</w:t>
      </w:r>
      <w:r w:rsidRPr="00A40FD5">
        <w:t xml:space="preserve">the use </w:t>
      </w:r>
      <w:r>
        <w:t xml:space="preserve">of </w:t>
      </w:r>
      <w:r w:rsidRPr="00A40FD5">
        <w:t>fixed o</w:t>
      </w:r>
      <w:r>
        <w:t>r</w:t>
      </w:r>
      <w:r w:rsidRPr="00A40FD5">
        <w:t xml:space="preserve"> mobile irradiating apparatus</w:t>
      </w:r>
      <w:r>
        <w:t>es</w:t>
      </w:r>
      <w:r w:rsidRPr="00A40FD5">
        <w:t xml:space="preserve"> for veterinary </w:t>
      </w:r>
      <w:r>
        <w:t>diagnostic purposes</w:t>
      </w:r>
      <w:r w:rsidR="0087667B">
        <w:t>’</w:t>
      </w:r>
      <w:r w:rsidRPr="00A40FD5">
        <w:t>.</w:t>
      </w:r>
      <w:r>
        <w:t xml:space="preserve"> </w:t>
      </w:r>
      <w:r w:rsidRPr="00A40FD5">
        <w:t>This would require a use licence in situations where veterinarians are using computed tomography, fluoroscopy and radiation therapy.</w:t>
      </w:r>
      <w:r>
        <w:t xml:space="preserve"> </w:t>
      </w:r>
      <w:r w:rsidRPr="00A40FD5">
        <w:t>This complements the current situation in which veterinarians are required to obtain a use licence in situations where they are using radiopharmaceuticals for veterinary purposes.</w:t>
      </w:r>
    </w:p>
    <w:p w14:paraId="0AB86A8A" w14:textId="77777777" w:rsidR="00232F0B" w:rsidRPr="00A40FD5" w:rsidRDefault="00232F0B" w:rsidP="001A5D81"/>
    <w:p w14:paraId="090444D0" w14:textId="03D09909" w:rsidR="00D472E5" w:rsidRDefault="00232F0B" w:rsidP="001A5D81">
      <w:r w:rsidRPr="00A40FD5">
        <w:t xml:space="preserve">For column 2 (Activity or class of activity that may be performed without a use licence) of </w:t>
      </w:r>
      <w:r>
        <w:t>s</w:t>
      </w:r>
      <w:r w:rsidRPr="00A40FD5">
        <w:t xml:space="preserve">chedule 3, </w:t>
      </w:r>
      <w:r w:rsidR="00EF55FC">
        <w:t>on the row</w:t>
      </w:r>
      <w:r w:rsidRPr="00A40FD5">
        <w:t xml:space="preserve"> </w:t>
      </w:r>
      <w:r w:rsidR="0087667B">
        <w:t>‘</w:t>
      </w:r>
      <w:r w:rsidRPr="00A40FD5">
        <w:t>A health practitioner who is, or is deemed to be, registered with the Medical Radiation Technologists Board in the scope of practice of medical imaging technologist</w:t>
      </w:r>
      <w:r w:rsidR="0087667B">
        <w:t>’</w:t>
      </w:r>
      <w:r w:rsidRPr="00A40FD5">
        <w:t xml:space="preserve"> the </w:t>
      </w:r>
      <w:r w:rsidR="00CE1C03">
        <w:t>preferred option is</w:t>
      </w:r>
      <w:r w:rsidRPr="00A40FD5">
        <w:t xml:space="preserve"> to broaden the scope of activity to become </w:t>
      </w:r>
      <w:r w:rsidR="0087667B">
        <w:t>‘</w:t>
      </w:r>
      <w:r w:rsidRPr="00A40FD5">
        <w:t>use of irradiation apparatus</w:t>
      </w:r>
      <w:r>
        <w:t>es</w:t>
      </w:r>
      <w:r w:rsidRPr="00A40FD5">
        <w:t xml:space="preserve"> for medical diagnostic or veterinary </w:t>
      </w:r>
      <w:r>
        <w:t xml:space="preserve">diagnostic </w:t>
      </w:r>
      <w:r w:rsidRPr="00A40FD5">
        <w:t>purposes</w:t>
      </w:r>
      <w:r w:rsidR="0087667B">
        <w:t>’</w:t>
      </w:r>
      <w:r w:rsidRPr="00A40FD5">
        <w:t>.</w:t>
      </w:r>
      <w:r>
        <w:t xml:space="preserve"> </w:t>
      </w:r>
      <w:r w:rsidRPr="00A40FD5">
        <w:t xml:space="preserve">The registration and updating requirements for this group </w:t>
      </w:r>
      <w:r>
        <w:t>have been assessed as satisfactory for</w:t>
      </w:r>
      <w:r w:rsidRPr="00A40FD5">
        <w:t xml:space="preserve"> </w:t>
      </w:r>
      <w:r>
        <w:t xml:space="preserve">all </w:t>
      </w:r>
      <w:r w:rsidRPr="00A40FD5">
        <w:t xml:space="preserve">members to perform the additional </w:t>
      </w:r>
      <w:r w:rsidR="00CA29ED">
        <w:t xml:space="preserve">radiation safety </w:t>
      </w:r>
      <w:r w:rsidRPr="00A40FD5">
        <w:t>activities without the need to obtain a use licence.</w:t>
      </w:r>
    </w:p>
    <w:p w14:paraId="10D7736F" w14:textId="77777777" w:rsidR="00232F0B" w:rsidRPr="00A40FD5" w:rsidRDefault="00232F0B" w:rsidP="001A5D81">
      <w:pPr>
        <w:pStyle w:val="Heading3"/>
        <w:spacing w:before="600"/>
      </w:pPr>
      <w:bookmarkStart w:id="334" w:name="_Toc83118777"/>
      <w:bookmarkStart w:id="335" w:name="_Toc83130256"/>
      <w:bookmarkStart w:id="336" w:name="_Toc83133525"/>
      <w:r w:rsidRPr="00A40FD5">
        <w:t>Alternative option</w:t>
      </w:r>
      <w:bookmarkEnd w:id="334"/>
      <w:bookmarkEnd w:id="335"/>
      <w:bookmarkEnd w:id="336"/>
    </w:p>
    <w:p w14:paraId="34742AE3" w14:textId="77777777" w:rsidR="0087667B" w:rsidRDefault="00232F0B" w:rsidP="001A5D81">
      <w:r>
        <w:t xml:space="preserve">No viable </w:t>
      </w:r>
      <w:r w:rsidRPr="00A40FD5">
        <w:t>alternative option</w:t>
      </w:r>
      <w:r>
        <w:t xml:space="preserve"> has been identified</w:t>
      </w:r>
      <w:r w:rsidRPr="00A40FD5">
        <w:t>.</w:t>
      </w:r>
    </w:p>
    <w:p w14:paraId="679E1DD4" w14:textId="77777777" w:rsidR="0087667B" w:rsidRDefault="0087667B" w:rsidP="001A5D81"/>
    <w:p w14:paraId="37EB4647" w14:textId="77777777" w:rsidR="00232F0B" w:rsidRPr="00A40FD5" w:rsidRDefault="00232F0B" w:rsidP="00486383">
      <w:pPr>
        <w:pStyle w:val="BoxHeading"/>
      </w:pPr>
      <w:r w:rsidRPr="00A40FD5">
        <w:t>Consultation questions</w:t>
      </w:r>
    </w:p>
    <w:p w14:paraId="57F3D9B9" w14:textId="77777777" w:rsidR="00232F0B" w:rsidRPr="00A40FD5" w:rsidRDefault="00232F0B" w:rsidP="001A5D81">
      <w:pPr>
        <w:pStyle w:val="BoxNumber"/>
      </w:pPr>
      <w:r w:rsidRPr="00A40FD5">
        <w:t>Do you agree with the preferred option to tighten the scope of activities that veterinarians can perform without the need to obtain a use licence?</w:t>
      </w:r>
    </w:p>
    <w:p w14:paraId="40F4766F" w14:textId="77777777" w:rsidR="0087667B" w:rsidRDefault="00232F0B" w:rsidP="001A5D81">
      <w:pPr>
        <w:pStyle w:val="BoxNumber"/>
      </w:pPr>
      <w:r w:rsidRPr="00A40FD5">
        <w:t>If you do not agree with the preferred option to tighten the scope of activities that veterinarians can perform without the need to obtain a use licence, please outline your reasons and/or suggest an alternative approach.</w:t>
      </w:r>
    </w:p>
    <w:p w14:paraId="7D704D32" w14:textId="77777777" w:rsidR="00232F0B" w:rsidRPr="00A40FD5" w:rsidRDefault="00232F0B" w:rsidP="001A5D81">
      <w:pPr>
        <w:pStyle w:val="BoxNumber"/>
      </w:pPr>
      <w:r w:rsidRPr="00A40FD5">
        <w:t>Do you agree with the preferred option to broaden the scope of activities that medical imaging technologists can perform without the need to obtain a use licence?</w:t>
      </w:r>
    </w:p>
    <w:p w14:paraId="584E854D" w14:textId="77777777" w:rsidR="0087667B" w:rsidRDefault="00232F0B" w:rsidP="001A5D81">
      <w:pPr>
        <w:pStyle w:val="BoxNumber"/>
      </w:pPr>
      <w:r w:rsidRPr="00A40FD5">
        <w:t>If you do not agree with the preferred option to broaden the scope of activities that medical imaging technologists can perform without the need to obtain a use licence, please outline your reasons and/or suggest an alternative approach.</w:t>
      </w:r>
    </w:p>
    <w:p w14:paraId="575CCAD7" w14:textId="77777777" w:rsidR="00232F0B" w:rsidRPr="00A40FD5" w:rsidRDefault="00232F0B" w:rsidP="001A5D81">
      <w:pPr>
        <w:pStyle w:val="BoxNumber"/>
      </w:pPr>
      <w:r w:rsidRPr="00A40FD5">
        <w:t>Do you have any further comments, suggestions or alternative options?</w:t>
      </w:r>
    </w:p>
    <w:p w14:paraId="1DDE7B37" w14:textId="77777777" w:rsidR="00232F0B" w:rsidRPr="00A40FD5" w:rsidRDefault="00232F0B" w:rsidP="001A5D81">
      <w:pPr>
        <w:pStyle w:val="Box"/>
      </w:pPr>
      <w:r w:rsidRPr="00A40FD5">
        <w:t>Please use the submission form to respond to these questions.</w:t>
      </w:r>
    </w:p>
    <w:p w14:paraId="7B29B00A" w14:textId="77777777" w:rsidR="00232F0B" w:rsidRPr="00A40FD5" w:rsidRDefault="00232F0B" w:rsidP="001A5D81"/>
    <w:p w14:paraId="09535F48" w14:textId="77777777" w:rsidR="00232F0B" w:rsidRPr="00A40FD5" w:rsidRDefault="00232F0B" w:rsidP="00486383">
      <w:pPr>
        <w:pStyle w:val="Heading1"/>
      </w:pPr>
      <w:bookmarkStart w:id="337" w:name="_Toc83133526"/>
      <w:bookmarkStart w:id="338" w:name="_Ref88644002"/>
      <w:bookmarkStart w:id="339" w:name="_Toc89696204"/>
      <w:r w:rsidRPr="00A40FD5">
        <w:t>Other matters that can be dealt with under the Regulations</w:t>
      </w:r>
      <w:bookmarkEnd w:id="337"/>
      <w:bookmarkEnd w:id="338"/>
      <w:bookmarkEnd w:id="339"/>
    </w:p>
    <w:p w14:paraId="5E7AF325" w14:textId="77777777" w:rsidR="00232F0B" w:rsidRPr="00A40FD5" w:rsidRDefault="00232F0B" w:rsidP="00486383">
      <w:pPr>
        <w:pStyle w:val="Heading3"/>
      </w:pPr>
      <w:bookmarkStart w:id="340" w:name="_Toc74583513"/>
      <w:bookmarkStart w:id="341" w:name="_Toc75349280"/>
      <w:bookmarkStart w:id="342" w:name="_Toc83118779"/>
      <w:bookmarkStart w:id="343" w:name="_Toc83130258"/>
      <w:bookmarkStart w:id="344" w:name="_Toc83133527"/>
      <w:r w:rsidRPr="00A40FD5">
        <w:t>Background</w:t>
      </w:r>
      <w:bookmarkEnd w:id="340"/>
      <w:bookmarkEnd w:id="341"/>
      <w:bookmarkEnd w:id="342"/>
      <w:bookmarkEnd w:id="343"/>
      <w:bookmarkEnd w:id="344"/>
    </w:p>
    <w:p w14:paraId="2DCEAFCE" w14:textId="77777777" w:rsidR="0087667B" w:rsidRDefault="00232F0B" w:rsidP="002C3106">
      <w:r w:rsidRPr="00A40FD5">
        <w:t>The scope of matters that can be dealt with in the Regulations is set out in sections</w:t>
      </w:r>
      <w:r w:rsidR="002C3106">
        <w:br/>
      </w:r>
      <w:r w:rsidRPr="00A40FD5">
        <w:t>91</w:t>
      </w:r>
      <w:r>
        <w:t>–</w:t>
      </w:r>
      <w:r w:rsidRPr="00A40FD5">
        <w:t>93 of the Act.</w:t>
      </w:r>
      <w:r>
        <w:t xml:space="preserve"> </w:t>
      </w:r>
      <w:r w:rsidRPr="00A40FD5">
        <w:t>This scope is wider than the matters raised in th</w:t>
      </w:r>
      <w:r>
        <w:t>is</w:t>
      </w:r>
      <w:r w:rsidRPr="00A40FD5">
        <w:t xml:space="preserve"> consultation document.</w:t>
      </w:r>
      <w:r>
        <w:t xml:space="preserve"> </w:t>
      </w:r>
      <w:r w:rsidRPr="00A40FD5">
        <w:t>Unless identified in this document as a proposed amendment, the Ministry is recommending that all other existing regulations remain unaltered.</w:t>
      </w:r>
      <w:r>
        <w:t xml:space="preserve"> </w:t>
      </w:r>
      <w:r w:rsidRPr="00A40FD5">
        <w:t>Also, it follows that the Ministry is only recommending the amendments discussed in th</w:t>
      </w:r>
      <w:r>
        <w:t>is</w:t>
      </w:r>
      <w:r w:rsidRPr="00A40FD5">
        <w:t xml:space="preserve"> document.</w:t>
      </w:r>
    </w:p>
    <w:p w14:paraId="6D3B31BF" w14:textId="77777777" w:rsidR="00232F0B" w:rsidRDefault="00232F0B" w:rsidP="002C3106"/>
    <w:p w14:paraId="12F06A45" w14:textId="77777777" w:rsidR="00232F0B" w:rsidRPr="00A40FD5" w:rsidRDefault="00232F0B" w:rsidP="00486383">
      <w:pPr>
        <w:pStyle w:val="Heading3"/>
      </w:pPr>
      <w:bookmarkStart w:id="345" w:name="_Toc74583514"/>
      <w:bookmarkStart w:id="346" w:name="_Toc75349281"/>
      <w:bookmarkStart w:id="347" w:name="_Toc83118780"/>
      <w:bookmarkStart w:id="348" w:name="_Toc83130259"/>
      <w:bookmarkStart w:id="349" w:name="_Toc83133528"/>
      <w:r w:rsidRPr="00A40FD5">
        <w:t>Preferred option</w:t>
      </w:r>
      <w:bookmarkEnd w:id="345"/>
      <w:bookmarkEnd w:id="346"/>
      <w:r>
        <w:t xml:space="preserve"> and status quo option</w:t>
      </w:r>
      <w:bookmarkEnd w:id="347"/>
      <w:bookmarkEnd w:id="348"/>
      <w:bookmarkEnd w:id="349"/>
    </w:p>
    <w:p w14:paraId="2C29928A" w14:textId="77777777" w:rsidR="0087667B" w:rsidRPr="002C3106" w:rsidRDefault="00232F0B" w:rsidP="002C3106">
      <w:r w:rsidRPr="00A40FD5">
        <w:t>Any matters that are not discussed in the consultation document</w:t>
      </w:r>
      <w:r>
        <w:t xml:space="preserve"> but</w:t>
      </w:r>
      <w:r w:rsidRPr="00A40FD5">
        <w:t xml:space="preserve"> </w:t>
      </w:r>
      <w:r>
        <w:t>that</w:t>
      </w:r>
      <w:r w:rsidRPr="00A40FD5">
        <w:t xml:space="preserve"> are matters that can be dealt with under </w:t>
      </w:r>
      <w:r>
        <w:t xml:space="preserve">sections </w:t>
      </w:r>
      <w:r w:rsidRPr="00A40FD5">
        <w:t>91</w:t>
      </w:r>
      <w:r>
        <w:t>–</w:t>
      </w:r>
      <w:r w:rsidRPr="00A40FD5">
        <w:t xml:space="preserve">93 of the Act </w:t>
      </w:r>
      <w:r>
        <w:t>can be raised by submitters</w:t>
      </w:r>
      <w:r w:rsidRPr="00A40FD5">
        <w:t xml:space="preserve"> for consideration.</w:t>
      </w:r>
      <w:r>
        <w:t xml:space="preserve"> </w:t>
      </w:r>
      <w:r w:rsidRPr="00A40FD5">
        <w:t xml:space="preserve">Submissions should aim to improve </w:t>
      </w:r>
      <w:r>
        <w:t>the Regulations</w:t>
      </w:r>
      <w:r w:rsidR="0087667B">
        <w:t>’</w:t>
      </w:r>
      <w:r>
        <w:t xml:space="preserve"> ability to meet the purposes of the Act (</w:t>
      </w:r>
      <w:r w:rsidRPr="00A40FD5">
        <w:t xml:space="preserve">radiation safety </w:t>
      </w:r>
      <w:r>
        <w:t xml:space="preserve">and international obligations) </w:t>
      </w:r>
      <w:r w:rsidRPr="00A40FD5">
        <w:t xml:space="preserve">or better achieve the principles set out in section 92(3) of the Act in relation to </w:t>
      </w:r>
      <w:r>
        <w:t>the cost-recovery principles of</w:t>
      </w:r>
      <w:r w:rsidRPr="00A40FD5">
        <w:t xml:space="preserve">: equity, efficiency, justifiability, transparency or ease of administration. </w:t>
      </w:r>
      <w:r>
        <w:t xml:space="preserve">Also, submissions should aim to improve the ability of the Regulations to meet the objectives set out in the 2016 RIS for the Regulations (see </w:t>
      </w:r>
      <w:r w:rsidR="0087667B">
        <w:t>‘</w:t>
      </w:r>
      <w:hyperlink w:anchor="We_want_your_input" w:history="1">
        <w:r w:rsidR="002C3106" w:rsidRPr="002C3106">
          <w:rPr>
            <w:rStyle w:val="Hyperlink"/>
            <w:b w:val="0"/>
            <w:color w:val="auto"/>
          </w:rPr>
          <w:t>We want your input</w:t>
        </w:r>
      </w:hyperlink>
      <w:r w:rsidR="0087667B" w:rsidRPr="002C3106">
        <w:t>’</w:t>
      </w:r>
      <w:r w:rsidRPr="002C3106">
        <w:t xml:space="preserve"> under </w:t>
      </w:r>
      <w:hyperlink w:anchor="Introduction" w:history="1">
        <w:r w:rsidR="002C3106" w:rsidRPr="002C3106">
          <w:rPr>
            <w:rStyle w:val="Hyperlink"/>
            <w:b w:val="0"/>
            <w:color w:val="auto"/>
          </w:rPr>
          <w:t>Introduction</w:t>
        </w:r>
      </w:hyperlink>
      <w:r w:rsidRPr="002C3106">
        <w:t xml:space="preserve"> above).</w:t>
      </w:r>
    </w:p>
    <w:p w14:paraId="51E777D2" w14:textId="77777777" w:rsidR="00232F0B" w:rsidRPr="00A40FD5" w:rsidRDefault="00232F0B" w:rsidP="002C3106"/>
    <w:p w14:paraId="37EC9C44" w14:textId="77777777" w:rsidR="00232F0B" w:rsidRPr="00A40FD5" w:rsidRDefault="00232F0B" w:rsidP="00486383">
      <w:pPr>
        <w:pStyle w:val="Heading3"/>
      </w:pPr>
      <w:bookmarkStart w:id="350" w:name="_Toc74583515"/>
      <w:bookmarkStart w:id="351" w:name="_Toc75349282"/>
      <w:bookmarkStart w:id="352" w:name="_Toc83118781"/>
      <w:bookmarkStart w:id="353" w:name="_Toc83130260"/>
      <w:bookmarkStart w:id="354" w:name="_Toc83133529"/>
      <w:r w:rsidRPr="00A40FD5">
        <w:t>Alternative option</w:t>
      </w:r>
      <w:bookmarkEnd w:id="350"/>
      <w:bookmarkEnd w:id="351"/>
      <w:bookmarkEnd w:id="352"/>
      <w:bookmarkEnd w:id="353"/>
      <w:bookmarkEnd w:id="354"/>
    </w:p>
    <w:p w14:paraId="0B33A28A" w14:textId="77777777" w:rsidR="00232F0B" w:rsidRPr="00A40FD5" w:rsidRDefault="00232F0B" w:rsidP="002C3106">
      <w:r>
        <w:t xml:space="preserve">No </w:t>
      </w:r>
      <w:r w:rsidRPr="00A40FD5">
        <w:t>alternative options</w:t>
      </w:r>
      <w:r>
        <w:t xml:space="preserve"> have been identified</w:t>
      </w:r>
      <w:r w:rsidRPr="00A40FD5">
        <w:t>.</w:t>
      </w:r>
    </w:p>
    <w:p w14:paraId="56EF46B2" w14:textId="77777777" w:rsidR="00232F0B" w:rsidRPr="00A40FD5" w:rsidRDefault="00232F0B" w:rsidP="002C3106"/>
    <w:p w14:paraId="34780E34" w14:textId="77777777" w:rsidR="00232F0B" w:rsidRPr="00A40FD5" w:rsidRDefault="00232F0B" w:rsidP="00486383">
      <w:pPr>
        <w:pStyle w:val="BoxHeading"/>
      </w:pPr>
      <w:r w:rsidRPr="00A40FD5">
        <w:t>Consultation question</w:t>
      </w:r>
    </w:p>
    <w:p w14:paraId="7CC5BE2C" w14:textId="77777777" w:rsidR="00232F0B" w:rsidRPr="00A40FD5" w:rsidRDefault="00232F0B" w:rsidP="002C3106">
      <w:pPr>
        <w:pStyle w:val="BoxNumber"/>
      </w:pPr>
      <w:r w:rsidRPr="00A40FD5">
        <w:t>Do you think there are any other matters that should be included in or removed from the Regulations? Please provide justification for your view.</w:t>
      </w:r>
    </w:p>
    <w:p w14:paraId="491DA3A8" w14:textId="77777777" w:rsidR="00232F0B" w:rsidRPr="00A40FD5" w:rsidRDefault="00232F0B" w:rsidP="002C3106">
      <w:pPr>
        <w:pStyle w:val="Box"/>
      </w:pPr>
      <w:r w:rsidRPr="00A40FD5">
        <w:t>Please use the submission form to respond to this question.</w:t>
      </w:r>
    </w:p>
    <w:bookmarkEnd w:id="30"/>
    <w:bookmarkEnd w:id="31"/>
    <w:p w14:paraId="111C3FAC" w14:textId="77777777" w:rsidR="00232F0B" w:rsidRDefault="00232F0B" w:rsidP="002C3106"/>
    <w:p w14:paraId="03C36295" w14:textId="77777777" w:rsidR="00202A51" w:rsidRDefault="00202A51" w:rsidP="00486383">
      <w:pPr>
        <w:pStyle w:val="Heading1-notnumbered"/>
        <w:sectPr w:rsidR="00202A51" w:rsidSect="00B9117B">
          <w:footerReference w:type="default" r:id="rId27"/>
          <w:pgSz w:w="11907" w:h="16834" w:code="9"/>
          <w:pgMar w:top="1418" w:right="1701" w:bottom="1134" w:left="1843" w:header="284" w:footer="425" w:gutter="284"/>
          <w:cols w:space="720"/>
          <w:docGrid w:linePitch="286"/>
        </w:sectPr>
      </w:pPr>
      <w:bookmarkStart w:id="355" w:name="_Toc83133530"/>
    </w:p>
    <w:p w14:paraId="79A9B156" w14:textId="77777777" w:rsidR="00486383" w:rsidRDefault="00486383" w:rsidP="00486383">
      <w:pPr>
        <w:pStyle w:val="Heading1-notnumbered"/>
      </w:pPr>
      <w:bookmarkStart w:id="356" w:name="_Toc89696205"/>
      <w:r>
        <w:t>Appendices</w:t>
      </w:r>
      <w:bookmarkEnd w:id="356"/>
    </w:p>
    <w:p w14:paraId="7E052DD2" w14:textId="77777777" w:rsidR="00232F0B" w:rsidRPr="00F6729B" w:rsidRDefault="00232F0B" w:rsidP="00CF4B8F">
      <w:pPr>
        <w:pStyle w:val="Heading2-notnumbered"/>
      </w:pPr>
      <w:bookmarkStart w:id="357" w:name="Appendix_1"/>
      <w:bookmarkStart w:id="358" w:name="_Toc89696206"/>
      <w:bookmarkEnd w:id="357"/>
      <w:r w:rsidRPr="00F6729B">
        <w:t>Appendix</w:t>
      </w:r>
      <w:r w:rsidR="00486383">
        <w:t> </w:t>
      </w:r>
      <w:r w:rsidRPr="00F6729B">
        <w:t>1:</w:t>
      </w:r>
      <w:r w:rsidR="00486383">
        <w:t xml:space="preserve"> </w:t>
      </w:r>
      <w:r w:rsidRPr="00F6729B">
        <w:rPr>
          <w:lang w:eastAsia="en-NZ"/>
        </w:rPr>
        <w:t xml:space="preserve">Proposed new annual </w:t>
      </w:r>
      <w:r>
        <w:rPr>
          <w:lang w:eastAsia="en-NZ"/>
        </w:rPr>
        <w:t xml:space="preserve">radiation safety </w:t>
      </w:r>
      <w:r w:rsidRPr="00F6729B">
        <w:rPr>
          <w:lang w:eastAsia="en-NZ"/>
        </w:rPr>
        <w:t xml:space="preserve">fees compared </w:t>
      </w:r>
      <w:r>
        <w:rPr>
          <w:lang w:eastAsia="en-NZ"/>
        </w:rPr>
        <w:t>with</w:t>
      </w:r>
      <w:r w:rsidRPr="00F6729B">
        <w:rPr>
          <w:lang w:eastAsia="en-NZ"/>
        </w:rPr>
        <w:t xml:space="preserve"> current fees</w:t>
      </w:r>
      <w:bookmarkEnd w:id="355"/>
      <w:bookmarkEnd w:id="358"/>
    </w:p>
    <w:p w14:paraId="27BBBB9D" w14:textId="2D4E5DF3" w:rsidR="00232F0B" w:rsidRPr="00F6729B" w:rsidRDefault="00486383" w:rsidP="00202A51">
      <w:pPr>
        <w:pStyle w:val="Table"/>
      </w:pPr>
      <w:bookmarkStart w:id="359" w:name="_Toc84916132"/>
      <w:bookmarkStart w:id="360" w:name="_Toc84916195"/>
      <w:bookmarkStart w:id="361" w:name="_Toc88644166"/>
      <w:r>
        <w:t>Table </w:t>
      </w:r>
      <w:r w:rsidR="00384F9F">
        <w:fldChar w:fldCharType="begin"/>
      </w:r>
      <w:r w:rsidR="00384F9F">
        <w:instrText xml:space="preserve"> SEQ Table \* ARABIC </w:instrText>
      </w:r>
      <w:r w:rsidR="00384F9F">
        <w:fldChar w:fldCharType="separate"/>
      </w:r>
      <w:r w:rsidR="003A5600">
        <w:rPr>
          <w:noProof/>
        </w:rPr>
        <w:t>18</w:t>
      </w:r>
      <w:r w:rsidR="00384F9F">
        <w:rPr>
          <w:noProof/>
        </w:rPr>
        <w:fldChar w:fldCharType="end"/>
      </w:r>
      <w:r w:rsidR="00232F0B" w:rsidRPr="00A40FD5">
        <w:t>:</w:t>
      </w:r>
      <w:r>
        <w:t xml:space="preserve"> </w:t>
      </w:r>
      <w:r w:rsidR="00232F0B" w:rsidRPr="00A40FD5">
        <w:t xml:space="preserve">Proposed new annual fees compared </w:t>
      </w:r>
      <w:r w:rsidR="00232F0B">
        <w:t>with</w:t>
      </w:r>
      <w:r w:rsidR="00232F0B" w:rsidRPr="00A40FD5">
        <w:t xml:space="preserve"> current fees (discount until 7 March 2023 applied) and full current fees (discount removed from 7</w:t>
      </w:r>
      <w:r w:rsidR="00202A51">
        <w:t> </w:t>
      </w:r>
      <w:r w:rsidR="00232F0B" w:rsidRPr="00A40FD5">
        <w:t>March 2023)</w:t>
      </w:r>
      <w:bookmarkEnd w:id="359"/>
      <w:bookmarkEnd w:id="360"/>
      <w:bookmarkEnd w:id="361"/>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2410"/>
        <w:gridCol w:w="1964"/>
        <w:gridCol w:w="1964"/>
        <w:gridCol w:w="1965"/>
        <w:gridCol w:w="1964"/>
        <w:gridCol w:w="1964"/>
        <w:gridCol w:w="2370"/>
      </w:tblGrid>
      <w:tr w:rsidR="00232F0B" w:rsidRPr="00202A51" w14:paraId="7BD3649F" w14:textId="77777777" w:rsidTr="00CF4B8F">
        <w:trPr>
          <w:cantSplit/>
          <w:tblHeader/>
        </w:trPr>
        <w:tc>
          <w:tcPr>
            <w:tcW w:w="2410" w:type="dxa"/>
            <w:tcBorders>
              <w:top w:val="nil"/>
              <w:bottom w:val="nil"/>
            </w:tcBorders>
            <w:shd w:val="clear" w:color="auto" w:fill="D9D9D9" w:themeFill="background1" w:themeFillShade="D9"/>
            <w:noWrap/>
            <w:hideMark/>
          </w:tcPr>
          <w:p w14:paraId="68194648" w14:textId="77777777" w:rsidR="00232F0B" w:rsidRPr="00202A51" w:rsidRDefault="00232F0B" w:rsidP="00202A51">
            <w:pPr>
              <w:pStyle w:val="TableText"/>
              <w:rPr>
                <w:b/>
                <w:lang w:eastAsia="en-NZ"/>
              </w:rPr>
            </w:pPr>
            <w:r w:rsidRPr="00202A51">
              <w:rPr>
                <w:b/>
                <w:lang w:eastAsia="en-NZ"/>
              </w:rPr>
              <w:t>Source licences</w:t>
            </w:r>
          </w:p>
        </w:tc>
        <w:tc>
          <w:tcPr>
            <w:tcW w:w="1964" w:type="dxa"/>
            <w:tcBorders>
              <w:top w:val="nil"/>
              <w:bottom w:val="nil"/>
            </w:tcBorders>
            <w:shd w:val="clear" w:color="auto" w:fill="D9D9D9" w:themeFill="background1" w:themeFillShade="D9"/>
            <w:noWrap/>
            <w:hideMark/>
          </w:tcPr>
          <w:p w14:paraId="2CAA269A" w14:textId="77777777" w:rsidR="00232F0B" w:rsidRPr="00202A51" w:rsidRDefault="00232F0B" w:rsidP="00CF4B8F">
            <w:pPr>
              <w:pStyle w:val="TableText"/>
              <w:jc w:val="center"/>
              <w:rPr>
                <w:b/>
                <w:lang w:eastAsia="en-NZ"/>
              </w:rPr>
            </w:pPr>
            <w:r w:rsidRPr="00202A51">
              <w:rPr>
                <w:b/>
                <w:lang w:eastAsia="en-NZ"/>
              </w:rPr>
              <w:t>Inspection period</w:t>
            </w:r>
          </w:p>
        </w:tc>
        <w:tc>
          <w:tcPr>
            <w:tcW w:w="1964" w:type="dxa"/>
            <w:tcBorders>
              <w:top w:val="nil"/>
              <w:bottom w:val="nil"/>
            </w:tcBorders>
            <w:shd w:val="clear" w:color="auto" w:fill="D9D9D9" w:themeFill="background1" w:themeFillShade="D9"/>
            <w:noWrap/>
            <w:hideMark/>
          </w:tcPr>
          <w:p w14:paraId="1697B1BF" w14:textId="77777777" w:rsidR="00232F0B" w:rsidRPr="00202A51" w:rsidRDefault="00232F0B" w:rsidP="00CF4B8F">
            <w:pPr>
              <w:pStyle w:val="TableText"/>
              <w:jc w:val="center"/>
              <w:rPr>
                <w:b/>
                <w:lang w:eastAsia="en-NZ"/>
              </w:rPr>
            </w:pPr>
            <w:r w:rsidRPr="00202A51">
              <w:rPr>
                <w:b/>
                <w:lang w:eastAsia="en-NZ"/>
              </w:rPr>
              <w:t>Proposed new fee</w:t>
            </w:r>
          </w:p>
        </w:tc>
        <w:tc>
          <w:tcPr>
            <w:tcW w:w="1965" w:type="dxa"/>
            <w:tcBorders>
              <w:top w:val="nil"/>
              <w:bottom w:val="nil"/>
            </w:tcBorders>
            <w:shd w:val="clear" w:color="auto" w:fill="D9D9D9" w:themeFill="background1" w:themeFillShade="D9"/>
            <w:noWrap/>
            <w:hideMark/>
          </w:tcPr>
          <w:p w14:paraId="548AB105" w14:textId="77777777" w:rsidR="00232F0B" w:rsidRPr="00202A51" w:rsidRDefault="00232F0B" w:rsidP="00CF4B8F">
            <w:pPr>
              <w:pStyle w:val="TableText"/>
              <w:jc w:val="center"/>
              <w:rPr>
                <w:b/>
                <w:lang w:eastAsia="en-NZ"/>
              </w:rPr>
            </w:pPr>
            <w:r w:rsidRPr="00202A51">
              <w:rPr>
                <w:b/>
                <w:lang w:eastAsia="en-NZ"/>
              </w:rPr>
              <w:t>Current fee</w:t>
            </w:r>
            <w:r w:rsidR="00CF4B8F">
              <w:rPr>
                <w:b/>
                <w:lang w:eastAsia="en-NZ"/>
              </w:rPr>
              <w:br/>
            </w:r>
            <w:r w:rsidRPr="00202A51">
              <w:rPr>
                <w:b/>
                <w:lang w:eastAsia="en-NZ"/>
              </w:rPr>
              <w:t>(discount applied)</w:t>
            </w:r>
          </w:p>
        </w:tc>
        <w:tc>
          <w:tcPr>
            <w:tcW w:w="1964" w:type="dxa"/>
            <w:tcBorders>
              <w:top w:val="nil"/>
              <w:bottom w:val="nil"/>
            </w:tcBorders>
            <w:shd w:val="clear" w:color="auto" w:fill="D9D9D9" w:themeFill="background1" w:themeFillShade="D9"/>
            <w:noWrap/>
            <w:hideMark/>
          </w:tcPr>
          <w:p w14:paraId="67B5F557" w14:textId="77777777" w:rsidR="00232F0B" w:rsidRPr="00202A51" w:rsidRDefault="00232F0B" w:rsidP="00CF4B8F">
            <w:pPr>
              <w:pStyle w:val="TableText"/>
              <w:jc w:val="center"/>
              <w:rPr>
                <w:b/>
                <w:lang w:eastAsia="en-NZ"/>
              </w:rPr>
            </w:pPr>
            <w:r w:rsidRPr="00202A51">
              <w:rPr>
                <w:b/>
                <w:lang w:eastAsia="en-NZ"/>
              </w:rPr>
              <w:t>Current full fee</w:t>
            </w:r>
            <w:r w:rsidR="00CF4B8F">
              <w:rPr>
                <w:b/>
                <w:lang w:eastAsia="en-NZ"/>
              </w:rPr>
              <w:br/>
            </w:r>
            <w:r w:rsidRPr="00202A51">
              <w:rPr>
                <w:b/>
                <w:lang w:eastAsia="en-NZ"/>
              </w:rPr>
              <w:t>(no discount)</w:t>
            </w:r>
          </w:p>
        </w:tc>
        <w:tc>
          <w:tcPr>
            <w:tcW w:w="1964" w:type="dxa"/>
            <w:tcBorders>
              <w:top w:val="nil"/>
              <w:bottom w:val="nil"/>
            </w:tcBorders>
            <w:shd w:val="clear" w:color="auto" w:fill="D9D9D9" w:themeFill="background1" w:themeFillShade="D9"/>
            <w:noWrap/>
            <w:hideMark/>
          </w:tcPr>
          <w:p w14:paraId="4A91F35B" w14:textId="77777777" w:rsidR="00232F0B" w:rsidRPr="00202A51" w:rsidRDefault="00232F0B" w:rsidP="00CF4B8F">
            <w:pPr>
              <w:pStyle w:val="TableText"/>
              <w:jc w:val="center"/>
              <w:rPr>
                <w:b/>
                <w:lang w:eastAsia="en-NZ"/>
              </w:rPr>
            </w:pPr>
            <w:r w:rsidRPr="00202A51">
              <w:rPr>
                <w:b/>
                <w:lang w:eastAsia="en-NZ"/>
              </w:rPr>
              <w:t>Change from current discounted fee</w:t>
            </w:r>
          </w:p>
        </w:tc>
        <w:tc>
          <w:tcPr>
            <w:tcW w:w="2370" w:type="dxa"/>
            <w:tcBorders>
              <w:top w:val="nil"/>
              <w:bottom w:val="nil"/>
            </w:tcBorders>
            <w:shd w:val="clear" w:color="auto" w:fill="D9D9D9" w:themeFill="background1" w:themeFillShade="D9"/>
            <w:noWrap/>
            <w:hideMark/>
          </w:tcPr>
          <w:p w14:paraId="5C31C159" w14:textId="77777777" w:rsidR="00232F0B" w:rsidRPr="00202A51" w:rsidRDefault="00232F0B" w:rsidP="00CF4B8F">
            <w:pPr>
              <w:pStyle w:val="TableText"/>
              <w:jc w:val="center"/>
              <w:rPr>
                <w:b/>
                <w:lang w:eastAsia="en-NZ"/>
              </w:rPr>
            </w:pPr>
            <w:r w:rsidRPr="00202A51">
              <w:rPr>
                <w:b/>
                <w:lang w:eastAsia="en-NZ"/>
              </w:rPr>
              <w:t>Percentage change from current discounted fee</w:t>
            </w:r>
          </w:p>
        </w:tc>
      </w:tr>
      <w:tr w:rsidR="00202A51" w:rsidRPr="00A40FD5" w14:paraId="4C6766E1" w14:textId="77777777" w:rsidTr="00CF4B8F">
        <w:trPr>
          <w:cantSplit/>
        </w:trPr>
        <w:tc>
          <w:tcPr>
            <w:tcW w:w="2410" w:type="dxa"/>
            <w:tcBorders>
              <w:top w:val="nil"/>
            </w:tcBorders>
            <w:shd w:val="clear" w:color="auto" w:fill="auto"/>
            <w:noWrap/>
          </w:tcPr>
          <w:p w14:paraId="77C81A2D" w14:textId="77777777" w:rsidR="00202A51" w:rsidRPr="00A40FD5" w:rsidRDefault="00202A51" w:rsidP="00202A51">
            <w:pPr>
              <w:pStyle w:val="TableText"/>
              <w:rPr>
                <w:lang w:eastAsia="en-NZ"/>
              </w:rPr>
            </w:pPr>
            <w:r>
              <w:rPr>
                <w:b/>
                <w:lang w:eastAsia="en-NZ"/>
              </w:rPr>
              <w:t>New and variations</w:t>
            </w:r>
          </w:p>
        </w:tc>
        <w:tc>
          <w:tcPr>
            <w:tcW w:w="1964" w:type="dxa"/>
            <w:tcBorders>
              <w:top w:val="nil"/>
            </w:tcBorders>
            <w:shd w:val="clear" w:color="auto" w:fill="auto"/>
            <w:noWrap/>
          </w:tcPr>
          <w:p w14:paraId="52A11846" w14:textId="77777777" w:rsidR="00202A51" w:rsidRPr="00A40FD5" w:rsidRDefault="00202A51" w:rsidP="00CF4B8F">
            <w:pPr>
              <w:pStyle w:val="TableText"/>
              <w:jc w:val="center"/>
              <w:rPr>
                <w:lang w:eastAsia="en-NZ"/>
              </w:rPr>
            </w:pPr>
          </w:p>
        </w:tc>
        <w:tc>
          <w:tcPr>
            <w:tcW w:w="1964" w:type="dxa"/>
            <w:tcBorders>
              <w:top w:val="nil"/>
            </w:tcBorders>
            <w:shd w:val="clear" w:color="auto" w:fill="auto"/>
            <w:noWrap/>
          </w:tcPr>
          <w:p w14:paraId="092D0CE0" w14:textId="77777777" w:rsidR="00202A51" w:rsidRPr="00A40FD5" w:rsidRDefault="00202A51" w:rsidP="00CF4B8F">
            <w:pPr>
              <w:pStyle w:val="TableText"/>
              <w:tabs>
                <w:tab w:val="decimal" w:pos="1239"/>
              </w:tabs>
              <w:rPr>
                <w:lang w:eastAsia="en-NZ"/>
              </w:rPr>
            </w:pPr>
          </w:p>
        </w:tc>
        <w:tc>
          <w:tcPr>
            <w:tcW w:w="1965" w:type="dxa"/>
            <w:tcBorders>
              <w:top w:val="nil"/>
            </w:tcBorders>
            <w:shd w:val="clear" w:color="auto" w:fill="auto"/>
            <w:noWrap/>
          </w:tcPr>
          <w:p w14:paraId="20539FE1" w14:textId="77777777" w:rsidR="00202A51" w:rsidRPr="00A40FD5" w:rsidRDefault="00202A51" w:rsidP="00CF4B8F">
            <w:pPr>
              <w:pStyle w:val="TableText"/>
              <w:tabs>
                <w:tab w:val="decimal" w:pos="1119"/>
              </w:tabs>
              <w:rPr>
                <w:lang w:eastAsia="en-NZ"/>
              </w:rPr>
            </w:pPr>
          </w:p>
        </w:tc>
        <w:tc>
          <w:tcPr>
            <w:tcW w:w="1964" w:type="dxa"/>
            <w:tcBorders>
              <w:top w:val="nil"/>
            </w:tcBorders>
            <w:shd w:val="clear" w:color="auto" w:fill="auto"/>
            <w:noWrap/>
          </w:tcPr>
          <w:p w14:paraId="43293E8C" w14:textId="77777777" w:rsidR="00202A51" w:rsidRPr="00A40FD5" w:rsidRDefault="00202A51" w:rsidP="00CF4B8F">
            <w:pPr>
              <w:pStyle w:val="TableText"/>
              <w:tabs>
                <w:tab w:val="decimal" w:pos="1138"/>
              </w:tabs>
              <w:rPr>
                <w:lang w:eastAsia="en-NZ"/>
              </w:rPr>
            </w:pPr>
          </w:p>
        </w:tc>
        <w:tc>
          <w:tcPr>
            <w:tcW w:w="1964" w:type="dxa"/>
            <w:tcBorders>
              <w:top w:val="nil"/>
            </w:tcBorders>
            <w:shd w:val="clear" w:color="auto" w:fill="auto"/>
            <w:noWrap/>
          </w:tcPr>
          <w:p w14:paraId="20516976" w14:textId="77777777" w:rsidR="00202A51" w:rsidRPr="00A40FD5" w:rsidRDefault="00202A51" w:rsidP="00CF4B8F">
            <w:pPr>
              <w:pStyle w:val="TableText"/>
              <w:tabs>
                <w:tab w:val="decimal" w:pos="1130"/>
              </w:tabs>
              <w:rPr>
                <w:lang w:eastAsia="en-NZ"/>
              </w:rPr>
            </w:pPr>
          </w:p>
        </w:tc>
        <w:tc>
          <w:tcPr>
            <w:tcW w:w="2370" w:type="dxa"/>
            <w:tcBorders>
              <w:top w:val="nil"/>
            </w:tcBorders>
            <w:shd w:val="clear" w:color="auto" w:fill="auto"/>
            <w:noWrap/>
          </w:tcPr>
          <w:p w14:paraId="6E479D38" w14:textId="77777777" w:rsidR="00202A51" w:rsidRPr="00A40FD5" w:rsidRDefault="00202A51" w:rsidP="00CF4B8F">
            <w:pPr>
              <w:pStyle w:val="TableText"/>
              <w:tabs>
                <w:tab w:val="decimal" w:pos="1274"/>
              </w:tabs>
              <w:rPr>
                <w:lang w:eastAsia="en-NZ"/>
              </w:rPr>
            </w:pPr>
          </w:p>
        </w:tc>
      </w:tr>
      <w:tr w:rsidR="00232F0B" w:rsidRPr="00A40FD5" w14:paraId="554D8925" w14:textId="77777777" w:rsidTr="00CF4B8F">
        <w:trPr>
          <w:cantSplit/>
        </w:trPr>
        <w:tc>
          <w:tcPr>
            <w:tcW w:w="2410" w:type="dxa"/>
            <w:tcBorders>
              <w:top w:val="nil"/>
            </w:tcBorders>
            <w:shd w:val="clear" w:color="auto" w:fill="auto"/>
            <w:noWrap/>
            <w:hideMark/>
          </w:tcPr>
          <w:p w14:paraId="35E29131" w14:textId="77777777" w:rsidR="00232F0B" w:rsidRPr="00A40FD5" w:rsidRDefault="00232F0B" w:rsidP="009A2D7D">
            <w:pPr>
              <w:pStyle w:val="TableText"/>
              <w:rPr>
                <w:lang w:eastAsia="en-NZ"/>
              </w:rPr>
            </w:pPr>
            <w:r w:rsidRPr="00A40FD5">
              <w:rPr>
                <w:lang w:eastAsia="en-NZ"/>
              </w:rPr>
              <w:t xml:space="preserve">Medical 1, </w:t>
            </w:r>
            <w:r>
              <w:rPr>
                <w:lang w:eastAsia="en-NZ"/>
              </w:rPr>
              <w:t>n</w:t>
            </w:r>
            <w:r w:rsidRPr="00A40FD5">
              <w:rPr>
                <w:lang w:eastAsia="en-NZ"/>
              </w:rPr>
              <w:t xml:space="preserve">on-medical 1, </w:t>
            </w:r>
            <w:r>
              <w:rPr>
                <w:lang w:eastAsia="en-NZ"/>
              </w:rPr>
              <w:t>n</w:t>
            </w:r>
            <w:r w:rsidRPr="00A40FD5">
              <w:rPr>
                <w:lang w:eastAsia="en-NZ"/>
              </w:rPr>
              <w:t>on-medical 2</w:t>
            </w:r>
          </w:p>
        </w:tc>
        <w:tc>
          <w:tcPr>
            <w:tcW w:w="1964" w:type="dxa"/>
            <w:tcBorders>
              <w:top w:val="nil"/>
            </w:tcBorders>
            <w:shd w:val="clear" w:color="auto" w:fill="auto"/>
            <w:noWrap/>
            <w:hideMark/>
          </w:tcPr>
          <w:p w14:paraId="4FE8DB44" w14:textId="77777777" w:rsidR="00232F0B" w:rsidRPr="00A40FD5" w:rsidRDefault="00232F0B" w:rsidP="00CF4B8F">
            <w:pPr>
              <w:pStyle w:val="TableText"/>
              <w:jc w:val="center"/>
              <w:rPr>
                <w:lang w:eastAsia="en-NZ"/>
              </w:rPr>
            </w:pPr>
            <w:r w:rsidRPr="00A40FD5">
              <w:rPr>
                <w:lang w:eastAsia="en-NZ"/>
              </w:rPr>
              <w:t>1</w:t>
            </w:r>
          </w:p>
        </w:tc>
        <w:tc>
          <w:tcPr>
            <w:tcW w:w="1964" w:type="dxa"/>
            <w:tcBorders>
              <w:top w:val="nil"/>
            </w:tcBorders>
            <w:shd w:val="clear" w:color="auto" w:fill="auto"/>
            <w:noWrap/>
            <w:hideMark/>
          </w:tcPr>
          <w:p w14:paraId="3330B112" w14:textId="77777777" w:rsidR="00232F0B" w:rsidRPr="00A40FD5" w:rsidRDefault="00232F0B" w:rsidP="00CF4B8F">
            <w:pPr>
              <w:pStyle w:val="TableText"/>
              <w:tabs>
                <w:tab w:val="decimal" w:pos="1239"/>
              </w:tabs>
              <w:rPr>
                <w:lang w:eastAsia="en-NZ"/>
              </w:rPr>
            </w:pPr>
            <w:r w:rsidRPr="00A40FD5">
              <w:rPr>
                <w:lang w:eastAsia="en-NZ"/>
              </w:rPr>
              <w:t>$3,744</w:t>
            </w:r>
          </w:p>
        </w:tc>
        <w:tc>
          <w:tcPr>
            <w:tcW w:w="1965" w:type="dxa"/>
            <w:tcBorders>
              <w:top w:val="nil"/>
            </w:tcBorders>
            <w:shd w:val="clear" w:color="auto" w:fill="auto"/>
            <w:noWrap/>
            <w:hideMark/>
          </w:tcPr>
          <w:p w14:paraId="6E05D28F" w14:textId="77777777" w:rsidR="00232F0B" w:rsidRPr="00A40FD5" w:rsidRDefault="00232F0B" w:rsidP="00CF4B8F">
            <w:pPr>
              <w:pStyle w:val="TableText"/>
              <w:tabs>
                <w:tab w:val="decimal" w:pos="1119"/>
              </w:tabs>
              <w:rPr>
                <w:lang w:eastAsia="en-NZ"/>
              </w:rPr>
            </w:pPr>
            <w:r w:rsidRPr="00A40FD5">
              <w:rPr>
                <w:lang w:eastAsia="en-NZ"/>
              </w:rPr>
              <w:t>$1,309</w:t>
            </w:r>
          </w:p>
        </w:tc>
        <w:tc>
          <w:tcPr>
            <w:tcW w:w="1964" w:type="dxa"/>
            <w:tcBorders>
              <w:top w:val="nil"/>
            </w:tcBorders>
            <w:shd w:val="clear" w:color="auto" w:fill="auto"/>
            <w:noWrap/>
            <w:hideMark/>
          </w:tcPr>
          <w:p w14:paraId="706B9BAD" w14:textId="77777777" w:rsidR="00232F0B" w:rsidRPr="00A40FD5" w:rsidRDefault="00232F0B" w:rsidP="00CF4B8F">
            <w:pPr>
              <w:pStyle w:val="TableText"/>
              <w:tabs>
                <w:tab w:val="decimal" w:pos="1138"/>
              </w:tabs>
              <w:rPr>
                <w:lang w:eastAsia="en-NZ"/>
              </w:rPr>
            </w:pPr>
            <w:r w:rsidRPr="00A40FD5">
              <w:rPr>
                <w:lang w:eastAsia="en-NZ"/>
              </w:rPr>
              <w:t>$1,505</w:t>
            </w:r>
          </w:p>
        </w:tc>
        <w:tc>
          <w:tcPr>
            <w:tcW w:w="1964" w:type="dxa"/>
            <w:tcBorders>
              <w:top w:val="nil"/>
            </w:tcBorders>
            <w:shd w:val="clear" w:color="auto" w:fill="auto"/>
            <w:noWrap/>
            <w:hideMark/>
          </w:tcPr>
          <w:p w14:paraId="6B40330E" w14:textId="77777777" w:rsidR="00232F0B" w:rsidRPr="00A40FD5" w:rsidRDefault="00232F0B" w:rsidP="00CF4B8F">
            <w:pPr>
              <w:pStyle w:val="TableText"/>
              <w:tabs>
                <w:tab w:val="decimal" w:pos="1130"/>
              </w:tabs>
              <w:rPr>
                <w:lang w:eastAsia="en-NZ"/>
              </w:rPr>
            </w:pPr>
            <w:r w:rsidRPr="00A40FD5">
              <w:rPr>
                <w:lang w:eastAsia="en-NZ"/>
              </w:rPr>
              <w:t>$2,435</w:t>
            </w:r>
          </w:p>
        </w:tc>
        <w:tc>
          <w:tcPr>
            <w:tcW w:w="2370" w:type="dxa"/>
            <w:tcBorders>
              <w:top w:val="nil"/>
            </w:tcBorders>
            <w:shd w:val="clear" w:color="auto" w:fill="auto"/>
            <w:noWrap/>
            <w:hideMark/>
          </w:tcPr>
          <w:p w14:paraId="18F39FFE" w14:textId="77777777" w:rsidR="00232F0B" w:rsidRPr="00A40FD5" w:rsidRDefault="00232F0B" w:rsidP="00CF4B8F">
            <w:pPr>
              <w:pStyle w:val="TableText"/>
              <w:tabs>
                <w:tab w:val="decimal" w:pos="1274"/>
              </w:tabs>
              <w:rPr>
                <w:lang w:eastAsia="en-NZ"/>
              </w:rPr>
            </w:pPr>
            <w:r w:rsidRPr="00A40FD5">
              <w:rPr>
                <w:lang w:eastAsia="en-NZ"/>
              </w:rPr>
              <w:t>186%</w:t>
            </w:r>
          </w:p>
        </w:tc>
      </w:tr>
      <w:tr w:rsidR="00232F0B" w:rsidRPr="00A40FD5" w14:paraId="254DB501" w14:textId="77777777" w:rsidTr="00CF4B8F">
        <w:trPr>
          <w:cantSplit/>
        </w:trPr>
        <w:tc>
          <w:tcPr>
            <w:tcW w:w="2410" w:type="dxa"/>
            <w:shd w:val="clear" w:color="auto" w:fill="auto"/>
            <w:noWrap/>
            <w:hideMark/>
          </w:tcPr>
          <w:p w14:paraId="1A934149" w14:textId="77777777" w:rsidR="00232F0B" w:rsidRPr="00A40FD5" w:rsidRDefault="00232F0B" w:rsidP="009A2D7D">
            <w:pPr>
              <w:pStyle w:val="TableText"/>
              <w:rPr>
                <w:lang w:eastAsia="en-NZ"/>
              </w:rPr>
            </w:pPr>
            <w:r w:rsidRPr="00A40FD5">
              <w:rPr>
                <w:lang w:eastAsia="en-NZ"/>
              </w:rPr>
              <w:t xml:space="preserve">Medical 2, </w:t>
            </w:r>
            <w:r>
              <w:rPr>
                <w:lang w:eastAsia="en-NZ"/>
              </w:rPr>
              <w:t>m</w:t>
            </w:r>
            <w:r w:rsidRPr="00A40FD5">
              <w:rPr>
                <w:lang w:eastAsia="en-NZ"/>
              </w:rPr>
              <w:t xml:space="preserve">edical 3, </w:t>
            </w:r>
            <w:r>
              <w:rPr>
                <w:lang w:eastAsia="en-NZ"/>
              </w:rPr>
              <w:t>n</w:t>
            </w:r>
            <w:r w:rsidRPr="00A40FD5">
              <w:rPr>
                <w:lang w:eastAsia="en-NZ"/>
              </w:rPr>
              <w:t>on-medical 3</w:t>
            </w:r>
          </w:p>
        </w:tc>
        <w:tc>
          <w:tcPr>
            <w:tcW w:w="1964" w:type="dxa"/>
            <w:shd w:val="clear" w:color="auto" w:fill="auto"/>
            <w:noWrap/>
            <w:hideMark/>
          </w:tcPr>
          <w:p w14:paraId="1E3C5621" w14:textId="77777777" w:rsidR="00232F0B" w:rsidRPr="00A40FD5" w:rsidRDefault="00232F0B" w:rsidP="00CF4B8F">
            <w:pPr>
              <w:pStyle w:val="TableText"/>
              <w:jc w:val="center"/>
              <w:rPr>
                <w:lang w:eastAsia="en-NZ"/>
              </w:rPr>
            </w:pPr>
            <w:r w:rsidRPr="00A40FD5">
              <w:rPr>
                <w:lang w:eastAsia="en-NZ"/>
              </w:rPr>
              <w:t>2</w:t>
            </w:r>
          </w:p>
        </w:tc>
        <w:tc>
          <w:tcPr>
            <w:tcW w:w="1964" w:type="dxa"/>
            <w:shd w:val="clear" w:color="auto" w:fill="auto"/>
            <w:noWrap/>
            <w:hideMark/>
          </w:tcPr>
          <w:p w14:paraId="0BC0E3D8" w14:textId="77777777" w:rsidR="00232F0B" w:rsidRPr="00A40FD5" w:rsidRDefault="00232F0B" w:rsidP="00CF4B8F">
            <w:pPr>
              <w:pStyle w:val="TableText"/>
              <w:tabs>
                <w:tab w:val="decimal" w:pos="1239"/>
              </w:tabs>
              <w:rPr>
                <w:lang w:eastAsia="en-NZ"/>
              </w:rPr>
            </w:pPr>
            <w:r w:rsidRPr="00A40FD5">
              <w:rPr>
                <w:lang w:eastAsia="en-NZ"/>
              </w:rPr>
              <w:t>$1,931</w:t>
            </w:r>
          </w:p>
        </w:tc>
        <w:tc>
          <w:tcPr>
            <w:tcW w:w="1965" w:type="dxa"/>
            <w:shd w:val="clear" w:color="auto" w:fill="auto"/>
            <w:noWrap/>
            <w:hideMark/>
          </w:tcPr>
          <w:p w14:paraId="01F17D43" w14:textId="77777777" w:rsidR="00232F0B" w:rsidRPr="00A40FD5" w:rsidRDefault="00232F0B" w:rsidP="00CF4B8F">
            <w:pPr>
              <w:pStyle w:val="TableText"/>
              <w:tabs>
                <w:tab w:val="decimal" w:pos="1119"/>
              </w:tabs>
              <w:rPr>
                <w:lang w:eastAsia="en-NZ"/>
              </w:rPr>
            </w:pPr>
            <w:r w:rsidRPr="00A40FD5">
              <w:rPr>
                <w:lang w:eastAsia="en-NZ"/>
              </w:rPr>
              <w:t>$718</w:t>
            </w:r>
          </w:p>
        </w:tc>
        <w:tc>
          <w:tcPr>
            <w:tcW w:w="1964" w:type="dxa"/>
            <w:shd w:val="clear" w:color="auto" w:fill="auto"/>
            <w:noWrap/>
            <w:hideMark/>
          </w:tcPr>
          <w:p w14:paraId="285F11C3" w14:textId="77777777" w:rsidR="00232F0B" w:rsidRPr="00A40FD5" w:rsidRDefault="00232F0B" w:rsidP="00CF4B8F">
            <w:pPr>
              <w:pStyle w:val="TableText"/>
              <w:tabs>
                <w:tab w:val="decimal" w:pos="1138"/>
              </w:tabs>
              <w:rPr>
                <w:lang w:eastAsia="en-NZ"/>
              </w:rPr>
            </w:pPr>
            <w:r w:rsidRPr="00A40FD5">
              <w:rPr>
                <w:lang w:eastAsia="en-NZ"/>
              </w:rPr>
              <w:t>$825</w:t>
            </w:r>
          </w:p>
        </w:tc>
        <w:tc>
          <w:tcPr>
            <w:tcW w:w="1964" w:type="dxa"/>
            <w:shd w:val="clear" w:color="auto" w:fill="auto"/>
            <w:noWrap/>
            <w:hideMark/>
          </w:tcPr>
          <w:p w14:paraId="623935F0" w14:textId="77777777" w:rsidR="00232F0B" w:rsidRPr="00A40FD5" w:rsidRDefault="00232F0B" w:rsidP="00CF4B8F">
            <w:pPr>
              <w:pStyle w:val="TableText"/>
              <w:tabs>
                <w:tab w:val="decimal" w:pos="1130"/>
              </w:tabs>
              <w:rPr>
                <w:lang w:eastAsia="en-NZ"/>
              </w:rPr>
            </w:pPr>
            <w:r w:rsidRPr="00A40FD5">
              <w:rPr>
                <w:lang w:eastAsia="en-NZ"/>
              </w:rPr>
              <w:t>$1,213</w:t>
            </w:r>
          </w:p>
        </w:tc>
        <w:tc>
          <w:tcPr>
            <w:tcW w:w="2370" w:type="dxa"/>
            <w:shd w:val="clear" w:color="auto" w:fill="auto"/>
            <w:noWrap/>
            <w:hideMark/>
          </w:tcPr>
          <w:p w14:paraId="47D72FB3" w14:textId="77777777" w:rsidR="00232F0B" w:rsidRPr="00A40FD5" w:rsidRDefault="00232F0B" w:rsidP="00CF4B8F">
            <w:pPr>
              <w:pStyle w:val="TableText"/>
              <w:tabs>
                <w:tab w:val="decimal" w:pos="1274"/>
              </w:tabs>
              <w:rPr>
                <w:lang w:eastAsia="en-NZ"/>
              </w:rPr>
            </w:pPr>
            <w:r w:rsidRPr="00A40FD5">
              <w:rPr>
                <w:lang w:eastAsia="en-NZ"/>
              </w:rPr>
              <w:t>169%</w:t>
            </w:r>
          </w:p>
        </w:tc>
      </w:tr>
      <w:tr w:rsidR="00232F0B" w:rsidRPr="00A40FD5" w14:paraId="4DFC36C3" w14:textId="77777777" w:rsidTr="00CF4B8F">
        <w:trPr>
          <w:cantSplit/>
        </w:trPr>
        <w:tc>
          <w:tcPr>
            <w:tcW w:w="2410" w:type="dxa"/>
            <w:shd w:val="clear" w:color="auto" w:fill="auto"/>
            <w:noWrap/>
            <w:hideMark/>
          </w:tcPr>
          <w:p w14:paraId="3125AC13" w14:textId="77777777" w:rsidR="00232F0B" w:rsidRPr="00A40FD5" w:rsidRDefault="00232F0B" w:rsidP="009A2D7D">
            <w:pPr>
              <w:pStyle w:val="TableText"/>
              <w:rPr>
                <w:lang w:eastAsia="en-NZ"/>
              </w:rPr>
            </w:pPr>
            <w:r w:rsidRPr="00A40FD5">
              <w:rPr>
                <w:lang w:eastAsia="en-NZ"/>
              </w:rPr>
              <w:t>Non-medical 4</w:t>
            </w:r>
          </w:p>
        </w:tc>
        <w:tc>
          <w:tcPr>
            <w:tcW w:w="1964" w:type="dxa"/>
            <w:shd w:val="clear" w:color="auto" w:fill="auto"/>
            <w:noWrap/>
            <w:hideMark/>
          </w:tcPr>
          <w:p w14:paraId="0D471E09" w14:textId="77777777" w:rsidR="00232F0B" w:rsidRPr="00A40FD5" w:rsidRDefault="00232F0B" w:rsidP="00CF4B8F">
            <w:pPr>
              <w:pStyle w:val="TableText"/>
              <w:jc w:val="center"/>
              <w:rPr>
                <w:lang w:eastAsia="en-NZ"/>
              </w:rPr>
            </w:pPr>
            <w:r w:rsidRPr="00A40FD5">
              <w:rPr>
                <w:lang w:eastAsia="en-NZ"/>
              </w:rPr>
              <w:t>3</w:t>
            </w:r>
          </w:p>
        </w:tc>
        <w:tc>
          <w:tcPr>
            <w:tcW w:w="1964" w:type="dxa"/>
            <w:shd w:val="clear" w:color="auto" w:fill="auto"/>
            <w:noWrap/>
            <w:hideMark/>
          </w:tcPr>
          <w:p w14:paraId="7C57FD88" w14:textId="77777777" w:rsidR="00232F0B" w:rsidRPr="00A40FD5" w:rsidRDefault="00232F0B" w:rsidP="00CF4B8F">
            <w:pPr>
              <w:pStyle w:val="TableText"/>
              <w:tabs>
                <w:tab w:val="decimal" w:pos="1239"/>
              </w:tabs>
              <w:rPr>
                <w:lang w:eastAsia="en-NZ"/>
              </w:rPr>
            </w:pPr>
            <w:r w:rsidRPr="00A40FD5">
              <w:rPr>
                <w:lang w:eastAsia="en-NZ"/>
              </w:rPr>
              <w:t>$1,328</w:t>
            </w:r>
          </w:p>
        </w:tc>
        <w:tc>
          <w:tcPr>
            <w:tcW w:w="1965" w:type="dxa"/>
            <w:shd w:val="clear" w:color="auto" w:fill="auto"/>
            <w:noWrap/>
            <w:hideMark/>
          </w:tcPr>
          <w:p w14:paraId="56A6486F" w14:textId="77777777" w:rsidR="00232F0B" w:rsidRPr="00A40FD5" w:rsidRDefault="00232F0B" w:rsidP="00CF4B8F">
            <w:pPr>
              <w:pStyle w:val="TableText"/>
              <w:tabs>
                <w:tab w:val="decimal" w:pos="1119"/>
              </w:tabs>
              <w:rPr>
                <w:lang w:eastAsia="en-NZ"/>
              </w:rPr>
            </w:pPr>
            <w:r w:rsidRPr="00A40FD5">
              <w:rPr>
                <w:lang w:eastAsia="en-NZ"/>
              </w:rPr>
              <w:t>$522</w:t>
            </w:r>
          </w:p>
        </w:tc>
        <w:tc>
          <w:tcPr>
            <w:tcW w:w="1964" w:type="dxa"/>
            <w:shd w:val="clear" w:color="auto" w:fill="auto"/>
            <w:noWrap/>
            <w:hideMark/>
          </w:tcPr>
          <w:p w14:paraId="4435B83E" w14:textId="77777777" w:rsidR="00232F0B" w:rsidRPr="00A40FD5" w:rsidRDefault="00232F0B" w:rsidP="00CF4B8F">
            <w:pPr>
              <w:pStyle w:val="TableText"/>
              <w:tabs>
                <w:tab w:val="decimal" w:pos="1138"/>
              </w:tabs>
              <w:rPr>
                <w:lang w:eastAsia="en-NZ"/>
              </w:rPr>
            </w:pPr>
            <w:r w:rsidRPr="00A40FD5">
              <w:rPr>
                <w:lang w:eastAsia="en-NZ"/>
              </w:rPr>
              <w:t>$600</w:t>
            </w:r>
          </w:p>
        </w:tc>
        <w:tc>
          <w:tcPr>
            <w:tcW w:w="1964" w:type="dxa"/>
            <w:shd w:val="clear" w:color="auto" w:fill="auto"/>
            <w:noWrap/>
            <w:hideMark/>
          </w:tcPr>
          <w:p w14:paraId="5BEA0E45" w14:textId="77777777" w:rsidR="00232F0B" w:rsidRPr="00A40FD5" w:rsidRDefault="00232F0B" w:rsidP="00CF4B8F">
            <w:pPr>
              <w:pStyle w:val="TableText"/>
              <w:tabs>
                <w:tab w:val="decimal" w:pos="1130"/>
              </w:tabs>
              <w:rPr>
                <w:lang w:eastAsia="en-NZ"/>
              </w:rPr>
            </w:pPr>
            <w:r w:rsidRPr="00A40FD5">
              <w:rPr>
                <w:lang w:eastAsia="en-NZ"/>
              </w:rPr>
              <w:t>$806</w:t>
            </w:r>
          </w:p>
        </w:tc>
        <w:tc>
          <w:tcPr>
            <w:tcW w:w="2370" w:type="dxa"/>
            <w:shd w:val="clear" w:color="auto" w:fill="auto"/>
            <w:noWrap/>
            <w:hideMark/>
          </w:tcPr>
          <w:p w14:paraId="3D324E8C" w14:textId="77777777" w:rsidR="00232F0B" w:rsidRPr="00A40FD5" w:rsidRDefault="00232F0B" w:rsidP="00CF4B8F">
            <w:pPr>
              <w:pStyle w:val="TableText"/>
              <w:tabs>
                <w:tab w:val="decimal" w:pos="1274"/>
              </w:tabs>
              <w:rPr>
                <w:lang w:eastAsia="en-NZ"/>
              </w:rPr>
            </w:pPr>
            <w:r w:rsidRPr="00A40FD5">
              <w:rPr>
                <w:lang w:eastAsia="en-NZ"/>
              </w:rPr>
              <w:t>154%</w:t>
            </w:r>
          </w:p>
        </w:tc>
      </w:tr>
      <w:tr w:rsidR="00232F0B" w:rsidRPr="00A40FD5" w14:paraId="1BF103D2" w14:textId="77777777" w:rsidTr="00CF4B8F">
        <w:trPr>
          <w:cantSplit/>
        </w:trPr>
        <w:tc>
          <w:tcPr>
            <w:tcW w:w="2410" w:type="dxa"/>
            <w:shd w:val="clear" w:color="auto" w:fill="auto"/>
            <w:noWrap/>
          </w:tcPr>
          <w:p w14:paraId="5FCDB1E0" w14:textId="77777777" w:rsidR="00232F0B" w:rsidRPr="00A40FD5" w:rsidRDefault="00232F0B" w:rsidP="009A2D7D">
            <w:pPr>
              <w:pStyle w:val="TableText"/>
              <w:rPr>
                <w:lang w:eastAsia="en-NZ"/>
              </w:rPr>
            </w:pPr>
            <w:r w:rsidRPr="00A40FD5">
              <w:rPr>
                <w:lang w:eastAsia="en-NZ"/>
              </w:rPr>
              <w:t xml:space="preserve">Medical 4, </w:t>
            </w:r>
            <w:r>
              <w:rPr>
                <w:lang w:eastAsia="en-NZ"/>
              </w:rPr>
              <w:t>n</w:t>
            </w:r>
            <w:r w:rsidRPr="00A40FD5">
              <w:rPr>
                <w:lang w:eastAsia="en-NZ"/>
              </w:rPr>
              <w:t>on-medical 5</w:t>
            </w:r>
          </w:p>
        </w:tc>
        <w:tc>
          <w:tcPr>
            <w:tcW w:w="1964" w:type="dxa"/>
            <w:shd w:val="clear" w:color="auto" w:fill="auto"/>
            <w:noWrap/>
          </w:tcPr>
          <w:p w14:paraId="712DD2D0" w14:textId="77777777" w:rsidR="00232F0B" w:rsidRPr="00A40FD5" w:rsidRDefault="00232F0B" w:rsidP="00CF4B8F">
            <w:pPr>
              <w:pStyle w:val="TableText"/>
              <w:jc w:val="center"/>
              <w:rPr>
                <w:lang w:eastAsia="en-NZ"/>
              </w:rPr>
            </w:pPr>
            <w:r w:rsidRPr="00A40FD5">
              <w:rPr>
                <w:lang w:eastAsia="en-NZ"/>
              </w:rPr>
              <w:t>4</w:t>
            </w:r>
          </w:p>
        </w:tc>
        <w:tc>
          <w:tcPr>
            <w:tcW w:w="1964" w:type="dxa"/>
            <w:shd w:val="clear" w:color="auto" w:fill="auto"/>
            <w:noWrap/>
          </w:tcPr>
          <w:p w14:paraId="05FD59BF" w14:textId="77777777" w:rsidR="00232F0B" w:rsidRPr="00A40FD5" w:rsidRDefault="00232F0B" w:rsidP="00CF4B8F">
            <w:pPr>
              <w:pStyle w:val="TableText"/>
              <w:tabs>
                <w:tab w:val="decimal" w:pos="1239"/>
              </w:tabs>
              <w:rPr>
                <w:lang w:eastAsia="en-NZ"/>
              </w:rPr>
            </w:pPr>
            <w:r w:rsidRPr="00A40FD5">
              <w:rPr>
                <w:lang w:eastAsia="en-NZ"/>
              </w:rPr>
              <w:t>$1,097</w:t>
            </w:r>
          </w:p>
        </w:tc>
        <w:tc>
          <w:tcPr>
            <w:tcW w:w="1965" w:type="dxa"/>
            <w:shd w:val="clear" w:color="auto" w:fill="auto"/>
            <w:noWrap/>
          </w:tcPr>
          <w:p w14:paraId="6368A251" w14:textId="77777777" w:rsidR="00232F0B" w:rsidRPr="00A40FD5" w:rsidRDefault="00232F0B" w:rsidP="00CF4B8F">
            <w:pPr>
              <w:pStyle w:val="TableText"/>
              <w:tabs>
                <w:tab w:val="decimal" w:pos="1119"/>
              </w:tabs>
              <w:rPr>
                <w:lang w:eastAsia="en-NZ"/>
              </w:rPr>
            </w:pPr>
            <w:r w:rsidRPr="00A40FD5">
              <w:rPr>
                <w:lang w:eastAsia="en-NZ"/>
              </w:rPr>
              <w:t>$422</w:t>
            </w:r>
          </w:p>
        </w:tc>
        <w:tc>
          <w:tcPr>
            <w:tcW w:w="1964" w:type="dxa"/>
            <w:shd w:val="clear" w:color="auto" w:fill="auto"/>
            <w:noWrap/>
          </w:tcPr>
          <w:p w14:paraId="4027E487" w14:textId="77777777" w:rsidR="00232F0B" w:rsidRPr="00A40FD5" w:rsidRDefault="00232F0B" w:rsidP="00CF4B8F">
            <w:pPr>
              <w:pStyle w:val="TableText"/>
              <w:tabs>
                <w:tab w:val="decimal" w:pos="1138"/>
              </w:tabs>
              <w:rPr>
                <w:lang w:eastAsia="en-NZ"/>
              </w:rPr>
            </w:pPr>
            <w:r w:rsidRPr="00A40FD5">
              <w:rPr>
                <w:lang w:eastAsia="en-NZ"/>
              </w:rPr>
              <w:t>$485</w:t>
            </w:r>
          </w:p>
        </w:tc>
        <w:tc>
          <w:tcPr>
            <w:tcW w:w="1964" w:type="dxa"/>
            <w:shd w:val="clear" w:color="auto" w:fill="auto"/>
            <w:noWrap/>
          </w:tcPr>
          <w:p w14:paraId="5576E67C" w14:textId="77777777" w:rsidR="00232F0B" w:rsidRPr="00A40FD5" w:rsidRDefault="00232F0B" w:rsidP="00CF4B8F">
            <w:pPr>
              <w:pStyle w:val="TableText"/>
              <w:tabs>
                <w:tab w:val="decimal" w:pos="1130"/>
              </w:tabs>
              <w:rPr>
                <w:lang w:eastAsia="en-NZ"/>
              </w:rPr>
            </w:pPr>
            <w:r w:rsidRPr="00A40FD5">
              <w:rPr>
                <w:lang w:eastAsia="en-NZ"/>
              </w:rPr>
              <w:t>$675</w:t>
            </w:r>
          </w:p>
        </w:tc>
        <w:tc>
          <w:tcPr>
            <w:tcW w:w="2370" w:type="dxa"/>
            <w:shd w:val="clear" w:color="auto" w:fill="auto"/>
            <w:noWrap/>
          </w:tcPr>
          <w:p w14:paraId="4D74FBE9" w14:textId="77777777" w:rsidR="00232F0B" w:rsidRPr="00A40FD5" w:rsidRDefault="00232F0B" w:rsidP="00CF4B8F">
            <w:pPr>
              <w:pStyle w:val="TableText"/>
              <w:tabs>
                <w:tab w:val="decimal" w:pos="1274"/>
              </w:tabs>
              <w:rPr>
                <w:lang w:eastAsia="en-NZ"/>
              </w:rPr>
            </w:pPr>
            <w:r w:rsidRPr="00A40FD5">
              <w:rPr>
                <w:lang w:eastAsia="en-NZ"/>
              </w:rPr>
              <w:t>160%</w:t>
            </w:r>
          </w:p>
        </w:tc>
      </w:tr>
      <w:tr w:rsidR="00232F0B" w:rsidRPr="00A40FD5" w14:paraId="3A88858A" w14:textId="77777777" w:rsidTr="00CF4B8F">
        <w:trPr>
          <w:cantSplit/>
        </w:trPr>
        <w:tc>
          <w:tcPr>
            <w:tcW w:w="2410" w:type="dxa"/>
            <w:shd w:val="clear" w:color="auto" w:fill="auto"/>
            <w:noWrap/>
            <w:hideMark/>
          </w:tcPr>
          <w:p w14:paraId="082C5188" w14:textId="77777777" w:rsidR="00232F0B" w:rsidRPr="00A40FD5" w:rsidRDefault="00232F0B" w:rsidP="00CF4B8F">
            <w:pPr>
              <w:pStyle w:val="TableText"/>
              <w:rPr>
                <w:lang w:eastAsia="en-NZ"/>
              </w:rPr>
            </w:pPr>
            <w:r w:rsidRPr="00A40FD5">
              <w:rPr>
                <w:lang w:eastAsia="en-NZ"/>
              </w:rPr>
              <w:t xml:space="preserve">Medical 5, </w:t>
            </w:r>
            <w:r>
              <w:rPr>
                <w:lang w:eastAsia="en-NZ"/>
              </w:rPr>
              <w:t>m</w:t>
            </w:r>
            <w:r w:rsidRPr="00A40FD5">
              <w:rPr>
                <w:lang w:eastAsia="en-NZ"/>
              </w:rPr>
              <w:t xml:space="preserve">edical 6, </w:t>
            </w:r>
            <w:r>
              <w:rPr>
                <w:lang w:eastAsia="en-NZ"/>
              </w:rPr>
              <w:t>n</w:t>
            </w:r>
            <w:r w:rsidRPr="00A40FD5">
              <w:rPr>
                <w:lang w:eastAsia="en-NZ"/>
              </w:rPr>
              <w:t>on</w:t>
            </w:r>
            <w:r w:rsidR="00CF4B8F">
              <w:rPr>
                <w:lang w:eastAsia="en-NZ"/>
              </w:rPr>
              <w:noBreakHyphen/>
            </w:r>
            <w:r w:rsidRPr="00A40FD5">
              <w:rPr>
                <w:lang w:eastAsia="en-NZ"/>
              </w:rPr>
              <w:t>medical 6</w:t>
            </w:r>
          </w:p>
        </w:tc>
        <w:tc>
          <w:tcPr>
            <w:tcW w:w="1964" w:type="dxa"/>
            <w:shd w:val="clear" w:color="auto" w:fill="auto"/>
            <w:noWrap/>
            <w:hideMark/>
          </w:tcPr>
          <w:p w14:paraId="27407166" w14:textId="77777777" w:rsidR="00232F0B" w:rsidRPr="00A40FD5" w:rsidRDefault="00232F0B" w:rsidP="00CF4B8F">
            <w:pPr>
              <w:pStyle w:val="TableText"/>
              <w:jc w:val="center"/>
              <w:rPr>
                <w:lang w:eastAsia="en-NZ"/>
              </w:rPr>
            </w:pPr>
            <w:r w:rsidRPr="00A40FD5">
              <w:rPr>
                <w:lang w:eastAsia="en-NZ"/>
              </w:rPr>
              <w:t>5</w:t>
            </w:r>
          </w:p>
        </w:tc>
        <w:tc>
          <w:tcPr>
            <w:tcW w:w="1964" w:type="dxa"/>
            <w:shd w:val="clear" w:color="auto" w:fill="auto"/>
            <w:noWrap/>
            <w:hideMark/>
          </w:tcPr>
          <w:p w14:paraId="6E4B2939" w14:textId="77777777" w:rsidR="00232F0B" w:rsidRPr="00A40FD5" w:rsidRDefault="00232F0B" w:rsidP="00CF4B8F">
            <w:pPr>
              <w:pStyle w:val="TableText"/>
              <w:tabs>
                <w:tab w:val="decimal" w:pos="1239"/>
              </w:tabs>
              <w:rPr>
                <w:lang w:eastAsia="en-NZ"/>
              </w:rPr>
            </w:pPr>
            <w:r w:rsidRPr="00A40FD5">
              <w:rPr>
                <w:lang w:eastAsia="en-NZ"/>
              </w:rPr>
              <w:t>$993</w:t>
            </w:r>
          </w:p>
        </w:tc>
        <w:tc>
          <w:tcPr>
            <w:tcW w:w="1965" w:type="dxa"/>
            <w:shd w:val="clear" w:color="auto" w:fill="auto"/>
            <w:noWrap/>
            <w:hideMark/>
          </w:tcPr>
          <w:p w14:paraId="5479615F" w14:textId="77777777" w:rsidR="00232F0B" w:rsidRPr="00A40FD5" w:rsidRDefault="00232F0B" w:rsidP="00CF4B8F">
            <w:pPr>
              <w:pStyle w:val="TableText"/>
              <w:tabs>
                <w:tab w:val="decimal" w:pos="1119"/>
              </w:tabs>
              <w:rPr>
                <w:lang w:eastAsia="en-NZ"/>
              </w:rPr>
            </w:pPr>
            <w:r w:rsidRPr="00A40FD5">
              <w:rPr>
                <w:lang w:eastAsia="en-NZ"/>
              </w:rPr>
              <w:t>$361</w:t>
            </w:r>
          </w:p>
        </w:tc>
        <w:tc>
          <w:tcPr>
            <w:tcW w:w="1964" w:type="dxa"/>
            <w:shd w:val="clear" w:color="auto" w:fill="auto"/>
            <w:noWrap/>
            <w:hideMark/>
          </w:tcPr>
          <w:p w14:paraId="4F99687B" w14:textId="77777777" w:rsidR="00232F0B" w:rsidRPr="00A40FD5" w:rsidRDefault="00232F0B" w:rsidP="00CF4B8F">
            <w:pPr>
              <w:pStyle w:val="TableText"/>
              <w:tabs>
                <w:tab w:val="decimal" w:pos="1138"/>
              </w:tabs>
              <w:rPr>
                <w:lang w:eastAsia="en-NZ"/>
              </w:rPr>
            </w:pPr>
            <w:r w:rsidRPr="00A40FD5">
              <w:rPr>
                <w:lang w:eastAsia="en-NZ"/>
              </w:rPr>
              <w:t>$415</w:t>
            </w:r>
          </w:p>
        </w:tc>
        <w:tc>
          <w:tcPr>
            <w:tcW w:w="1964" w:type="dxa"/>
            <w:shd w:val="clear" w:color="auto" w:fill="auto"/>
            <w:noWrap/>
            <w:hideMark/>
          </w:tcPr>
          <w:p w14:paraId="4B4A10E6" w14:textId="77777777" w:rsidR="00232F0B" w:rsidRPr="00A40FD5" w:rsidRDefault="00232F0B" w:rsidP="00CF4B8F">
            <w:pPr>
              <w:pStyle w:val="TableText"/>
              <w:tabs>
                <w:tab w:val="decimal" w:pos="1130"/>
              </w:tabs>
              <w:rPr>
                <w:lang w:eastAsia="en-NZ"/>
              </w:rPr>
            </w:pPr>
            <w:r w:rsidRPr="00A40FD5">
              <w:rPr>
                <w:lang w:eastAsia="en-NZ"/>
              </w:rPr>
              <w:t>$632</w:t>
            </w:r>
          </w:p>
        </w:tc>
        <w:tc>
          <w:tcPr>
            <w:tcW w:w="2370" w:type="dxa"/>
            <w:shd w:val="clear" w:color="auto" w:fill="auto"/>
            <w:noWrap/>
            <w:hideMark/>
          </w:tcPr>
          <w:p w14:paraId="737715B4" w14:textId="77777777" w:rsidR="00232F0B" w:rsidRPr="00A40FD5" w:rsidRDefault="00232F0B" w:rsidP="00CF4B8F">
            <w:pPr>
              <w:pStyle w:val="TableText"/>
              <w:tabs>
                <w:tab w:val="decimal" w:pos="1274"/>
              </w:tabs>
              <w:rPr>
                <w:lang w:eastAsia="en-NZ"/>
              </w:rPr>
            </w:pPr>
            <w:r w:rsidRPr="00A40FD5">
              <w:rPr>
                <w:lang w:eastAsia="en-NZ"/>
              </w:rPr>
              <w:t>175%</w:t>
            </w:r>
          </w:p>
        </w:tc>
      </w:tr>
      <w:tr w:rsidR="00232F0B" w:rsidRPr="00A40FD5" w14:paraId="6DA9C490" w14:textId="77777777" w:rsidTr="00CF4B8F">
        <w:trPr>
          <w:cantSplit/>
        </w:trPr>
        <w:tc>
          <w:tcPr>
            <w:tcW w:w="2410" w:type="dxa"/>
            <w:tcBorders>
              <w:bottom w:val="single" w:sz="4" w:space="0" w:color="A6A6A6" w:themeColor="background1" w:themeShade="A6"/>
            </w:tcBorders>
            <w:shd w:val="clear" w:color="auto" w:fill="auto"/>
            <w:noWrap/>
            <w:hideMark/>
          </w:tcPr>
          <w:p w14:paraId="2277CF62" w14:textId="77777777" w:rsidR="00232F0B" w:rsidRPr="00A40FD5" w:rsidRDefault="00232F0B" w:rsidP="009A2D7D">
            <w:pPr>
              <w:pStyle w:val="TableText"/>
              <w:rPr>
                <w:lang w:eastAsia="en-NZ"/>
              </w:rPr>
            </w:pPr>
            <w:r w:rsidRPr="00A40FD5">
              <w:rPr>
                <w:lang w:eastAsia="en-NZ"/>
              </w:rPr>
              <w:t>No inspection</w:t>
            </w:r>
          </w:p>
        </w:tc>
        <w:tc>
          <w:tcPr>
            <w:tcW w:w="1964" w:type="dxa"/>
            <w:tcBorders>
              <w:bottom w:val="single" w:sz="4" w:space="0" w:color="A6A6A6" w:themeColor="background1" w:themeShade="A6"/>
            </w:tcBorders>
            <w:shd w:val="clear" w:color="auto" w:fill="auto"/>
            <w:noWrap/>
            <w:hideMark/>
          </w:tcPr>
          <w:p w14:paraId="695BAAAE" w14:textId="77777777" w:rsidR="00232F0B" w:rsidRPr="00A40FD5" w:rsidRDefault="00232F0B" w:rsidP="00CF4B8F">
            <w:pPr>
              <w:pStyle w:val="TableText"/>
              <w:jc w:val="center"/>
              <w:rPr>
                <w:lang w:eastAsia="en-NZ"/>
              </w:rPr>
            </w:pPr>
            <w:r w:rsidRPr="00A40FD5">
              <w:rPr>
                <w:lang w:eastAsia="en-NZ"/>
              </w:rPr>
              <w:t>0</w:t>
            </w:r>
          </w:p>
        </w:tc>
        <w:tc>
          <w:tcPr>
            <w:tcW w:w="1964" w:type="dxa"/>
            <w:tcBorders>
              <w:bottom w:val="single" w:sz="4" w:space="0" w:color="A6A6A6" w:themeColor="background1" w:themeShade="A6"/>
            </w:tcBorders>
            <w:shd w:val="clear" w:color="auto" w:fill="auto"/>
            <w:noWrap/>
            <w:hideMark/>
          </w:tcPr>
          <w:p w14:paraId="7CAFCB5F" w14:textId="77777777" w:rsidR="00232F0B" w:rsidRPr="00A40FD5" w:rsidRDefault="00232F0B" w:rsidP="00CF4B8F">
            <w:pPr>
              <w:pStyle w:val="TableText"/>
              <w:tabs>
                <w:tab w:val="decimal" w:pos="1239"/>
              </w:tabs>
              <w:rPr>
                <w:lang w:eastAsia="en-NZ"/>
              </w:rPr>
            </w:pPr>
            <w:r w:rsidRPr="00A40FD5">
              <w:rPr>
                <w:lang w:eastAsia="en-NZ"/>
              </w:rPr>
              <w:t>$588</w:t>
            </w:r>
          </w:p>
        </w:tc>
        <w:tc>
          <w:tcPr>
            <w:tcW w:w="1965" w:type="dxa"/>
            <w:tcBorders>
              <w:bottom w:val="single" w:sz="4" w:space="0" w:color="A6A6A6" w:themeColor="background1" w:themeShade="A6"/>
            </w:tcBorders>
            <w:shd w:val="clear" w:color="auto" w:fill="auto"/>
            <w:noWrap/>
            <w:hideMark/>
          </w:tcPr>
          <w:p w14:paraId="7F19E681" w14:textId="77777777" w:rsidR="00232F0B" w:rsidRPr="00A40FD5" w:rsidRDefault="00232F0B" w:rsidP="00CF4B8F">
            <w:pPr>
              <w:pStyle w:val="TableText"/>
              <w:tabs>
                <w:tab w:val="decimal" w:pos="1119"/>
              </w:tabs>
              <w:rPr>
                <w:lang w:eastAsia="en-NZ"/>
              </w:rPr>
            </w:pPr>
            <w:r w:rsidRPr="00A40FD5">
              <w:rPr>
                <w:lang w:eastAsia="en-NZ"/>
              </w:rPr>
              <w:t>$126</w:t>
            </w:r>
          </w:p>
        </w:tc>
        <w:tc>
          <w:tcPr>
            <w:tcW w:w="1964" w:type="dxa"/>
            <w:tcBorders>
              <w:bottom w:val="single" w:sz="4" w:space="0" w:color="A6A6A6" w:themeColor="background1" w:themeShade="A6"/>
            </w:tcBorders>
            <w:shd w:val="clear" w:color="auto" w:fill="auto"/>
            <w:noWrap/>
            <w:hideMark/>
          </w:tcPr>
          <w:p w14:paraId="1FACF1C1" w14:textId="77777777" w:rsidR="00232F0B" w:rsidRPr="00A40FD5" w:rsidRDefault="00232F0B" w:rsidP="00CF4B8F">
            <w:pPr>
              <w:pStyle w:val="TableText"/>
              <w:tabs>
                <w:tab w:val="decimal" w:pos="1138"/>
              </w:tabs>
              <w:rPr>
                <w:lang w:eastAsia="en-NZ"/>
              </w:rPr>
            </w:pPr>
            <w:r w:rsidRPr="00A40FD5">
              <w:rPr>
                <w:lang w:eastAsia="en-NZ"/>
              </w:rPr>
              <w:t>$145</w:t>
            </w:r>
          </w:p>
        </w:tc>
        <w:tc>
          <w:tcPr>
            <w:tcW w:w="1964" w:type="dxa"/>
            <w:tcBorders>
              <w:bottom w:val="single" w:sz="4" w:space="0" w:color="A6A6A6" w:themeColor="background1" w:themeShade="A6"/>
            </w:tcBorders>
            <w:shd w:val="clear" w:color="auto" w:fill="auto"/>
            <w:noWrap/>
            <w:hideMark/>
          </w:tcPr>
          <w:p w14:paraId="48C33B93" w14:textId="77777777" w:rsidR="00232F0B" w:rsidRPr="00A40FD5" w:rsidRDefault="00232F0B" w:rsidP="00CF4B8F">
            <w:pPr>
              <w:pStyle w:val="TableText"/>
              <w:tabs>
                <w:tab w:val="decimal" w:pos="1130"/>
              </w:tabs>
              <w:rPr>
                <w:lang w:eastAsia="en-NZ"/>
              </w:rPr>
            </w:pPr>
            <w:r w:rsidRPr="00A40FD5">
              <w:rPr>
                <w:lang w:eastAsia="en-NZ"/>
              </w:rPr>
              <w:t>$462</w:t>
            </w:r>
          </w:p>
        </w:tc>
        <w:tc>
          <w:tcPr>
            <w:tcW w:w="2370" w:type="dxa"/>
            <w:tcBorders>
              <w:bottom w:val="single" w:sz="4" w:space="0" w:color="A6A6A6" w:themeColor="background1" w:themeShade="A6"/>
            </w:tcBorders>
            <w:shd w:val="clear" w:color="auto" w:fill="auto"/>
            <w:noWrap/>
            <w:hideMark/>
          </w:tcPr>
          <w:p w14:paraId="04D154AB" w14:textId="77777777" w:rsidR="00232F0B" w:rsidRPr="00A40FD5" w:rsidRDefault="00232F0B" w:rsidP="00CF4B8F">
            <w:pPr>
              <w:pStyle w:val="TableText"/>
              <w:tabs>
                <w:tab w:val="decimal" w:pos="1274"/>
              </w:tabs>
              <w:rPr>
                <w:lang w:eastAsia="en-NZ"/>
              </w:rPr>
            </w:pPr>
            <w:r w:rsidRPr="00A40FD5">
              <w:rPr>
                <w:lang w:eastAsia="en-NZ"/>
              </w:rPr>
              <w:t>367%</w:t>
            </w:r>
          </w:p>
        </w:tc>
      </w:tr>
      <w:tr w:rsidR="00232F0B" w:rsidRPr="00A40FD5" w14:paraId="063BEB4D" w14:textId="77777777" w:rsidTr="00CF4B8F">
        <w:trPr>
          <w:cantSplit/>
        </w:trPr>
        <w:tc>
          <w:tcPr>
            <w:tcW w:w="2410" w:type="dxa"/>
            <w:tcBorders>
              <w:top w:val="single" w:sz="4" w:space="0" w:color="A6A6A6" w:themeColor="background1" w:themeShade="A6"/>
            </w:tcBorders>
            <w:shd w:val="clear" w:color="000000" w:fill="auto"/>
            <w:noWrap/>
            <w:hideMark/>
          </w:tcPr>
          <w:p w14:paraId="24E6BB1B" w14:textId="77777777" w:rsidR="00232F0B" w:rsidRPr="00A40FD5" w:rsidRDefault="00CF4B8F" w:rsidP="00CF4B8F">
            <w:pPr>
              <w:pStyle w:val="TableText"/>
              <w:keepNext/>
              <w:rPr>
                <w:lang w:eastAsia="en-NZ"/>
              </w:rPr>
            </w:pPr>
            <w:r>
              <w:rPr>
                <w:b/>
                <w:bCs/>
                <w:lang w:eastAsia="en-NZ"/>
              </w:rPr>
              <w:t>R</w:t>
            </w:r>
            <w:r w:rsidR="00232F0B" w:rsidRPr="00743999">
              <w:rPr>
                <w:b/>
                <w:bCs/>
                <w:lang w:eastAsia="en-NZ"/>
              </w:rPr>
              <w:t>enewals without variation</w:t>
            </w:r>
          </w:p>
        </w:tc>
        <w:tc>
          <w:tcPr>
            <w:tcW w:w="1964" w:type="dxa"/>
            <w:tcBorders>
              <w:top w:val="single" w:sz="4" w:space="0" w:color="A6A6A6" w:themeColor="background1" w:themeShade="A6"/>
            </w:tcBorders>
            <w:shd w:val="clear" w:color="000000" w:fill="auto"/>
            <w:noWrap/>
            <w:hideMark/>
          </w:tcPr>
          <w:p w14:paraId="42A4B8C6" w14:textId="77777777" w:rsidR="00232F0B" w:rsidRPr="00A40FD5" w:rsidRDefault="00232F0B" w:rsidP="00CF4B8F">
            <w:pPr>
              <w:pStyle w:val="TableText"/>
              <w:jc w:val="center"/>
              <w:rPr>
                <w:lang w:eastAsia="en-NZ"/>
              </w:rPr>
            </w:pPr>
          </w:p>
        </w:tc>
        <w:tc>
          <w:tcPr>
            <w:tcW w:w="1964" w:type="dxa"/>
            <w:tcBorders>
              <w:top w:val="single" w:sz="4" w:space="0" w:color="A6A6A6" w:themeColor="background1" w:themeShade="A6"/>
            </w:tcBorders>
            <w:shd w:val="clear" w:color="000000" w:fill="auto"/>
            <w:noWrap/>
            <w:hideMark/>
          </w:tcPr>
          <w:p w14:paraId="44516616" w14:textId="77777777" w:rsidR="00232F0B" w:rsidRPr="00A40FD5" w:rsidRDefault="00232F0B" w:rsidP="00CF4B8F">
            <w:pPr>
              <w:pStyle w:val="TableText"/>
              <w:tabs>
                <w:tab w:val="decimal" w:pos="1239"/>
              </w:tabs>
              <w:rPr>
                <w:lang w:eastAsia="en-NZ"/>
              </w:rPr>
            </w:pPr>
          </w:p>
        </w:tc>
        <w:tc>
          <w:tcPr>
            <w:tcW w:w="1965" w:type="dxa"/>
            <w:tcBorders>
              <w:top w:val="single" w:sz="4" w:space="0" w:color="A6A6A6" w:themeColor="background1" w:themeShade="A6"/>
            </w:tcBorders>
            <w:shd w:val="clear" w:color="000000" w:fill="auto"/>
            <w:noWrap/>
            <w:hideMark/>
          </w:tcPr>
          <w:p w14:paraId="01C631E3" w14:textId="77777777" w:rsidR="00232F0B" w:rsidRPr="00A40FD5" w:rsidRDefault="00232F0B" w:rsidP="00CF4B8F">
            <w:pPr>
              <w:pStyle w:val="TableText"/>
              <w:tabs>
                <w:tab w:val="decimal" w:pos="1119"/>
              </w:tabs>
              <w:rPr>
                <w:lang w:eastAsia="en-NZ"/>
              </w:rPr>
            </w:pPr>
          </w:p>
        </w:tc>
        <w:tc>
          <w:tcPr>
            <w:tcW w:w="1964" w:type="dxa"/>
            <w:tcBorders>
              <w:top w:val="single" w:sz="4" w:space="0" w:color="A6A6A6" w:themeColor="background1" w:themeShade="A6"/>
            </w:tcBorders>
            <w:shd w:val="clear" w:color="000000" w:fill="auto"/>
            <w:noWrap/>
            <w:hideMark/>
          </w:tcPr>
          <w:p w14:paraId="2B74876A" w14:textId="77777777" w:rsidR="00232F0B" w:rsidRPr="00A40FD5" w:rsidRDefault="00232F0B" w:rsidP="00CF4B8F">
            <w:pPr>
              <w:pStyle w:val="TableText"/>
              <w:tabs>
                <w:tab w:val="decimal" w:pos="1138"/>
              </w:tabs>
              <w:rPr>
                <w:lang w:eastAsia="en-NZ"/>
              </w:rPr>
            </w:pPr>
          </w:p>
        </w:tc>
        <w:tc>
          <w:tcPr>
            <w:tcW w:w="1964" w:type="dxa"/>
            <w:tcBorders>
              <w:top w:val="single" w:sz="4" w:space="0" w:color="A6A6A6" w:themeColor="background1" w:themeShade="A6"/>
            </w:tcBorders>
            <w:shd w:val="clear" w:color="000000" w:fill="auto"/>
            <w:noWrap/>
            <w:hideMark/>
          </w:tcPr>
          <w:p w14:paraId="307BBEF5" w14:textId="77777777" w:rsidR="00232F0B" w:rsidRPr="00A40FD5" w:rsidRDefault="00232F0B" w:rsidP="00CF4B8F">
            <w:pPr>
              <w:pStyle w:val="TableText"/>
              <w:tabs>
                <w:tab w:val="decimal" w:pos="1130"/>
              </w:tabs>
              <w:rPr>
                <w:lang w:eastAsia="en-NZ"/>
              </w:rPr>
            </w:pPr>
          </w:p>
        </w:tc>
        <w:tc>
          <w:tcPr>
            <w:tcW w:w="2370" w:type="dxa"/>
            <w:tcBorders>
              <w:top w:val="single" w:sz="4" w:space="0" w:color="A6A6A6" w:themeColor="background1" w:themeShade="A6"/>
            </w:tcBorders>
            <w:shd w:val="clear" w:color="000000" w:fill="auto"/>
            <w:noWrap/>
            <w:hideMark/>
          </w:tcPr>
          <w:p w14:paraId="1659987F" w14:textId="77777777" w:rsidR="00232F0B" w:rsidRPr="00A40FD5" w:rsidRDefault="00232F0B" w:rsidP="00CF4B8F">
            <w:pPr>
              <w:pStyle w:val="TableText"/>
              <w:tabs>
                <w:tab w:val="decimal" w:pos="1274"/>
              </w:tabs>
              <w:rPr>
                <w:lang w:eastAsia="en-NZ"/>
              </w:rPr>
            </w:pPr>
          </w:p>
        </w:tc>
      </w:tr>
      <w:tr w:rsidR="00232F0B" w:rsidRPr="00A40FD5" w14:paraId="047574D4" w14:textId="77777777" w:rsidTr="00CF4B8F">
        <w:trPr>
          <w:cantSplit/>
        </w:trPr>
        <w:tc>
          <w:tcPr>
            <w:tcW w:w="2410" w:type="dxa"/>
            <w:shd w:val="clear" w:color="auto" w:fill="auto"/>
            <w:noWrap/>
            <w:hideMark/>
          </w:tcPr>
          <w:p w14:paraId="43BE8E10" w14:textId="77777777" w:rsidR="00232F0B" w:rsidRPr="00A40FD5" w:rsidRDefault="00232F0B" w:rsidP="00CF4B8F">
            <w:pPr>
              <w:pStyle w:val="TableText"/>
              <w:keepNext/>
              <w:rPr>
                <w:lang w:eastAsia="en-NZ"/>
              </w:rPr>
            </w:pPr>
            <w:r w:rsidRPr="00A40FD5">
              <w:rPr>
                <w:lang w:eastAsia="en-NZ"/>
              </w:rPr>
              <w:t xml:space="preserve">Medical 1, </w:t>
            </w:r>
            <w:r>
              <w:rPr>
                <w:lang w:eastAsia="en-NZ"/>
              </w:rPr>
              <w:t>n</w:t>
            </w:r>
            <w:r w:rsidRPr="00A40FD5">
              <w:rPr>
                <w:lang w:eastAsia="en-NZ"/>
              </w:rPr>
              <w:t xml:space="preserve">on-medical 1, </w:t>
            </w:r>
            <w:r>
              <w:rPr>
                <w:lang w:eastAsia="en-NZ"/>
              </w:rPr>
              <w:t>n</w:t>
            </w:r>
            <w:r w:rsidRPr="00A40FD5">
              <w:rPr>
                <w:lang w:eastAsia="en-NZ"/>
              </w:rPr>
              <w:t>on-medical 2</w:t>
            </w:r>
          </w:p>
        </w:tc>
        <w:tc>
          <w:tcPr>
            <w:tcW w:w="1964" w:type="dxa"/>
            <w:shd w:val="clear" w:color="auto" w:fill="auto"/>
            <w:noWrap/>
            <w:hideMark/>
          </w:tcPr>
          <w:p w14:paraId="005CD249" w14:textId="77777777" w:rsidR="00232F0B" w:rsidRPr="00A40FD5" w:rsidRDefault="00232F0B" w:rsidP="00CF4B8F">
            <w:pPr>
              <w:pStyle w:val="TableText"/>
              <w:jc w:val="center"/>
              <w:rPr>
                <w:lang w:eastAsia="en-NZ"/>
              </w:rPr>
            </w:pPr>
            <w:r w:rsidRPr="00A40FD5">
              <w:rPr>
                <w:lang w:eastAsia="en-NZ"/>
              </w:rPr>
              <w:t>1</w:t>
            </w:r>
          </w:p>
        </w:tc>
        <w:tc>
          <w:tcPr>
            <w:tcW w:w="1964" w:type="dxa"/>
            <w:shd w:val="clear" w:color="auto" w:fill="auto"/>
            <w:noWrap/>
            <w:hideMark/>
          </w:tcPr>
          <w:p w14:paraId="03FBDF2A" w14:textId="77777777" w:rsidR="00232F0B" w:rsidRPr="00A40FD5" w:rsidRDefault="00232F0B" w:rsidP="00CF4B8F">
            <w:pPr>
              <w:pStyle w:val="TableText"/>
              <w:tabs>
                <w:tab w:val="decimal" w:pos="1239"/>
              </w:tabs>
              <w:rPr>
                <w:lang w:eastAsia="en-NZ"/>
              </w:rPr>
            </w:pPr>
            <w:r w:rsidRPr="00A40FD5">
              <w:rPr>
                <w:lang w:eastAsia="en-NZ"/>
              </w:rPr>
              <w:t>$3,508</w:t>
            </w:r>
          </w:p>
        </w:tc>
        <w:tc>
          <w:tcPr>
            <w:tcW w:w="1965" w:type="dxa"/>
            <w:shd w:val="clear" w:color="auto" w:fill="auto"/>
            <w:noWrap/>
            <w:hideMark/>
          </w:tcPr>
          <w:p w14:paraId="70ACFAEA" w14:textId="77777777" w:rsidR="00232F0B" w:rsidRPr="00A40FD5" w:rsidRDefault="00232F0B" w:rsidP="00CF4B8F">
            <w:pPr>
              <w:pStyle w:val="TableText"/>
              <w:tabs>
                <w:tab w:val="decimal" w:pos="1119"/>
              </w:tabs>
              <w:rPr>
                <w:lang w:eastAsia="en-NZ"/>
              </w:rPr>
            </w:pPr>
            <w:r w:rsidRPr="00A40FD5">
              <w:rPr>
                <w:lang w:eastAsia="en-NZ"/>
              </w:rPr>
              <w:t>$1,309</w:t>
            </w:r>
          </w:p>
        </w:tc>
        <w:tc>
          <w:tcPr>
            <w:tcW w:w="1964" w:type="dxa"/>
            <w:shd w:val="clear" w:color="auto" w:fill="auto"/>
            <w:noWrap/>
            <w:hideMark/>
          </w:tcPr>
          <w:p w14:paraId="3722D51C" w14:textId="77777777" w:rsidR="00232F0B" w:rsidRPr="00A40FD5" w:rsidRDefault="00232F0B" w:rsidP="00CF4B8F">
            <w:pPr>
              <w:pStyle w:val="TableText"/>
              <w:tabs>
                <w:tab w:val="decimal" w:pos="1138"/>
              </w:tabs>
              <w:rPr>
                <w:lang w:eastAsia="en-NZ"/>
              </w:rPr>
            </w:pPr>
            <w:r w:rsidRPr="00A40FD5">
              <w:rPr>
                <w:lang w:eastAsia="en-NZ"/>
              </w:rPr>
              <w:t>$1,505</w:t>
            </w:r>
          </w:p>
        </w:tc>
        <w:tc>
          <w:tcPr>
            <w:tcW w:w="1964" w:type="dxa"/>
            <w:shd w:val="clear" w:color="auto" w:fill="auto"/>
            <w:noWrap/>
            <w:hideMark/>
          </w:tcPr>
          <w:p w14:paraId="4E566EA9" w14:textId="77777777" w:rsidR="00232F0B" w:rsidRPr="00A40FD5" w:rsidRDefault="00232F0B" w:rsidP="00CF4B8F">
            <w:pPr>
              <w:pStyle w:val="TableText"/>
              <w:tabs>
                <w:tab w:val="decimal" w:pos="1130"/>
              </w:tabs>
              <w:rPr>
                <w:lang w:eastAsia="en-NZ"/>
              </w:rPr>
            </w:pPr>
            <w:r w:rsidRPr="00A40FD5">
              <w:rPr>
                <w:lang w:eastAsia="en-NZ"/>
              </w:rPr>
              <w:t>$2,199</w:t>
            </w:r>
          </w:p>
        </w:tc>
        <w:tc>
          <w:tcPr>
            <w:tcW w:w="2370" w:type="dxa"/>
            <w:shd w:val="clear" w:color="auto" w:fill="auto"/>
            <w:noWrap/>
            <w:hideMark/>
          </w:tcPr>
          <w:p w14:paraId="64E01AEA" w14:textId="77777777" w:rsidR="00232F0B" w:rsidRPr="00A40FD5" w:rsidRDefault="00232F0B" w:rsidP="00CF4B8F">
            <w:pPr>
              <w:pStyle w:val="TableText"/>
              <w:tabs>
                <w:tab w:val="decimal" w:pos="1274"/>
              </w:tabs>
              <w:rPr>
                <w:lang w:eastAsia="en-NZ"/>
              </w:rPr>
            </w:pPr>
            <w:r w:rsidRPr="00A40FD5">
              <w:rPr>
                <w:lang w:eastAsia="en-NZ"/>
              </w:rPr>
              <w:t>168%</w:t>
            </w:r>
          </w:p>
        </w:tc>
      </w:tr>
      <w:tr w:rsidR="00232F0B" w:rsidRPr="00A40FD5" w14:paraId="480DD07B" w14:textId="77777777" w:rsidTr="00CF4B8F">
        <w:trPr>
          <w:cantSplit/>
        </w:trPr>
        <w:tc>
          <w:tcPr>
            <w:tcW w:w="2410" w:type="dxa"/>
            <w:shd w:val="clear" w:color="auto" w:fill="auto"/>
            <w:noWrap/>
            <w:hideMark/>
          </w:tcPr>
          <w:p w14:paraId="290F991F" w14:textId="77777777" w:rsidR="00232F0B" w:rsidRPr="00A40FD5" w:rsidRDefault="00232F0B" w:rsidP="00CF4B8F">
            <w:pPr>
              <w:pStyle w:val="TableText"/>
              <w:keepNext/>
              <w:rPr>
                <w:lang w:eastAsia="en-NZ"/>
              </w:rPr>
            </w:pPr>
            <w:r w:rsidRPr="00A40FD5">
              <w:rPr>
                <w:lang w:eastAsia="en-NZ"/>
              </w:rPr>
              <w:t>Medical 2, medical 3, non</w:t>
            </w:r>
            <w:r w:rsidR="00CF4B8F">
              <w:rPr>
                <w:lang w:eastAsia="en-NZ"/>
              </w:rPr>
              <w:noBreakHyphen/>
            </w:r>
            <w:r w:rsidRPr="00A40FD5">
              <w:rPr>
                <w:lang w:eastAsia="en-NZ"/>
              </w:rPr>
              <w:t>medical 3</w:t>
            </w:r>
          </w:p>
        </w:tc>
        <w:tc>
          <w:tcPr>
            <w:tcW w:w="1964" w:type="dxa"/>
            <w:shd w:val="clear" w:color="auto" w:fill="auto"/>
            <w:noWrap/>
            <w:hideMark/>
          </w:tcPr>
          <w:p w14:paraId="56720544" w14:textId="77777777" w:rsidR="00232F0B" w:rsidRPr="00A40FD5" w:rsidRDefault="00232F0B" w:rsidP="00CF4B8F">
            <w:pPr>
              <w:pStyle w:val="TableText"/>
              <w:jc w:val="center"/>
              <w:rPr>
                <w:lang w:eastAsia="en-NZ"/>
              </w:rPr>
            </w:pPr>
            <w:r w:rsidRPr="00A40FD5">
              <w:rPr>
                <w:lang w:eastAsia="en-NZ"/>
              </w:rPr>
              <w:t>2</w:t>
            </w:r>
          </w:p>
        </w:tc>
        <w:tc>
          <w:tcPr>
            <w:tcW w:w="1964" w:type="dxa"/>
            <w:shd w:val="clear" w:color="auto" w:fill="auto"/>
            <w:noWrap/>
            <w:hideMark/>
          </w:tcPr>
          <w:p w14:paraId="6F40D4B9" w14:textId="77777777" w:rsidR="00232F0B" w:rsidRPr="00A40FD5" w:rsidRDefault="00232F0B" w:rsidP="00CF4B8F">
            <w:pPr>
              <w:pStyle w:val="TableText"/>
              <w:tabs>
                <w:tab w:val="decimal" w:pos="1239"/>
              </w:tabs>
              <w:rPr>
                <w:lang w:eastAsia="en-NZ"/>
              </w:rPr>
            </w:pPr>
            <w:r w:rsidRPr="00A40FD5">
              <w:rPr>
                <w:lang w:eastAsia="en-NZ"/>
              </w:rPr>
              <w:t>$1,695</w:t>
            </w:r>
          </w:p>
        </w:tc>
        <w:tc>
          <w:tcPr>
            <w:tcW w:w="1965" w:type="dxa"/>
            <w:shd w:val="clear" w:color="auto" w:fill="auto"/>
            <w:noWrap/>
            <w:hideMark/>
          </w:tcPr>
          <w:p w14:paraId="252DA0F0" w14:textId="77777777" w:rsidR="00232F0B" w:rsidRPr="00A40FD5" w:rsidRDefault="00232F0B" w:rsidP="00CF4B8F">
            <w:pPr>
              <w:pStyle w:val="TableText"/>
              <w:tabs>
                <w:tab w:val="decimal" w:pos="1119"/>
              </w:tabs>
              <w:rPr>
                <w:lang w:eastAsia="en-NZ"/>
              </w:rPr>
            </w:pPr>
            <w:r w:rsidRPr="00A40FD5">
              <w:rPr>
                <w:lang w:eastAsia="en-NZ"/>
              </w:rPr>
              <w:t>$718</w:t>
            </w:r>
          </w:p>
        </w:tc>
        <w:tc>
          <w:tcPr>
            <w:tcW w:w="1964" w:type="dxa"/>
            <w:shd w:val="clear" w:color="auto" w:fill="auto"/>
            <w:noWrap/>
            <w:hideMark/>
          </w:tcPr>
          <w:p w14:paraId="6283E809" w14:textId="77777777" w:rsidR="00232F0B" w:rsidRPr="00A40FD5" w:rsidRDefault="00232F0B" w:rsidP="00CF4B8F">
            <w:pPr>
              <w:pStyle w:val="TableText"/>
              <w:tabs>
                <w:tab w:val="decimal" w:pos="1138"/>
              </w:tabs>
              <w:rPr>
                <w:lang w:eastAsia="en-NZ"/>
              </w:rPr>
            </w:pPr>
            <w:r w:rsidRPr="00A40FD5">
              <w:rPr>
                <w:lang w:eastAsia="en-NZ"/>
              </w:rPr>
              <w:t>$825</w:t>
            </w:r>
          </w:p>
        </w:tc>
        <w:tc>
          <w:tcPr>
            <w:tcW w:w="1964" w:type="dxa"/>
            <w:shd w:val="clear" w:color="auto" w:fill="auto"/>
            <w:noWrap/>
            <w:hideMark/>
          </w:tcPr>
          <w:p w14:paraId="79697ABB" w14:textId="77777777" w:rsidR="00232F0B" w:rsidRPr="00A40FD5" w:rsidRDefault="00232F0B" w:rsidP="00CF4B8F">
            <w:pPr>
              <w:pStyle w:val="TableText"/>
              <w:tabs>
                <w:tab w:val="decimal" w:pos="1130"/>
              </w:tabs>
              <w:rPr>
                <w:lang w:eastAsia="en-NZ"/>
              </w:rPr>
            </w:pPr>
            <w:r w:rsidRPr="00A40FD5">
              <w:rPr>
                <w:lang w:eastAsia="en-NZ"/>
              </w:rPr>
              <w:t>$9</w:t>
            </w:r>
            <w:r>
              <w:rPr>
                <w:lang w:eastAsia="en-NZ"/>
              </w:rPr>
              <w:t>7</w:t>
            </w:r>
            <w:r w:rsidRPr="00A40FD5">
              <w:rPr>
                <w:lang w:eastAsia="en-NZ"/>
              </w:rPr>
              <w:t>7</w:t>
            </w:r>
          </w:p>
        </w:tc>
        <w:tc>
          <w:tcPr>
            <w:tcW w:w="2370" w:type="dxa"/>
            <w:shd w:val="clear" w:color="auto" w:fill="auto"/>
            <w:noWrap/>
            <w:hideMark/>
          </w:tcPr>
          <w:p w14:paraId="5E96537D" w14:textId="77777777" w:rsidR="00232F0B" w:rsidRPr="00A40FD5" w:rsidRDefault="00232F0B" w:rsidP="00CF4B8F">
            <w:pPr>
              <w:pStyle w:val="TableText"/>
              <w:tabs>
                <w:tab w:val="decimal" w:pos="1274"/>
              </w:tabs>
              <w:rPr>
                <w:lang w:eastAsia="en-NZ"/>
              </w:rPr>
            </w:pPr>
            <w:r w:rsidRPr="00A40FD5">
              <w:rPr>
                <w:lang w:eastAsia="en-NZ"/>
              </w:rPr>
              <w:t>13</w:t>
            </w:r>
            <w:r>
              <w:rPr>
                <w:lang w:eastAsia="en-NZ"/>
              </w:rPr>
              <w:t>6</w:t>
            </w:r>
            <w:r w:rsidRPr="00A40FD5">
              <w:rPr>
                <w:lang w:eastAsia="en-NZ"/>
              </w:rPr>
              <w:t>%</w:t>
            </w:r>
          </w:p>
        </w:tc>
      </w:tr>
      <w:tr w:rsidR="00232F0B" w:rsidRPr="00A40FD5" w14:paraId="39BE863D" w14:textId="77777777" w:rsidTr="00CF4B8F">
        <w:trPr>
          <w:cantSplit/>
        </w:trPr>
        <w:tc>
          <w:tcPr>
            <w:tcW w:w="2410" w:type="dxa"/>
            <w:shd w:val="clear" w:color="auto" w:fill="auto"/>
            <w:noWrap/>
            <w:hideMark/>
          </w:tcPr>
          <w:p w14:paraId="5503D201" w14:textId="77777777" w:rsidR="00232F0B" w:rsidRPr="00A40FD5" w:rsidRDefault="00232F0B" w:rsidP="00CF4B8F">
            <w:pPr>
              <w:pStyle w:val="TableText"/>
              <w:keepNext/>
              <w:rPr>
                <w:lang w:eastAsia="en-NZ"/>
              </w:rPr>
            </w:pPr>
            <w:r w:rsidRPr="00A40FD5">
              <w:rPr>
                <w:lang w:eastAsia="en-NZ"/>
              </w:rPr>
              <w:t>Non-medical 4</w:t>
            </w:r>
          </w:p>
        </w:tc>
        <w:tc>
          <w:tcPr>
            <w:tcW w:w="1964" w:type="dxa"/>
            <w:shd w:val="clear" w:color="auto" w:fill="auto"/>
            <w:noWrap/>
            <w:hideMark/>
          </w:tcPr>
          <w:p w14:paraId="0E9C499B" w14:textId="77777777" w:rsidR="00232F0B" w:rsidRPr="00A40FD5" w:rsidRDefault="00232F0B" w:rsidP="00CF4B8F">
            <w:pPr>
              <w:pStyle w:val="TableText"/>
              <w:jc w:val="center"/>
              <w:rPr>
                <w:lang w:eastAsia="en-NZ"/>
              </w:rPr>
            </w:pPr>
            <w:r w:rsidRPr="00A40FD5">
              <w:rPr>
                <w:lang w:eastAsia="en-NZ"/>
              </w:rPr>
              <w:t>3</w:t>
            </w:r>
          </w:p>
        </w:tc>
        <w:tc>
          <w:tcPr>
            <w:tcW w:w="1964" w:type="dxa"/>
            <w:shd w:val="clear" w:color="auto" w:fill="auto"/>
            <w:noWrap/>
            <w:hideMark/>
          </w:tcPr>
          <w:p w14:paraId="1CC07F99" w14:textId="77777777" w:rsidR="00232F0B" w:rsidRPr="00A40FD5" w:rsidRDefault="00232F0B" w:rsidP="00CF4B8F">
            <w:pPr>
              <w:pStyle w:val="TableText"/>
              <w:tabs>
                <w:tab w:val="decimal" w:pos="1239"/>
              </w:tabs>
              <w:rPr>
                <w:lang w:eastAsia="en-NZ"/>
              </w:rPr>
            </w:pPr>
            <w:r w:rsidRPr="00A40FD5">
              <w:rPr>
                <w:lang w:eastAsia="en-NZ"/>
              </w:rPr>
              <w:t>$1,092</w:t>
            </w:r>
          </w:p>
        </w:tc>
        <w:tc>
          <w:tcPr>
            <w:tcW w:w="1965" w:type="dxa"/>
            <w:shd w:val="clear" w:color="auto" w:fill="auto"/>
            <w:noWrap/>
            <w:hideMark/>
          </w:tcPr>
          <w:p w14:paraId="1FEBE494" w14:textId="77777777" w:rsidR="00232F0B" w:rsidRPr="00A40FD5" w:rsidRDefault="00232F0B" w:rsidP="00CF4B8F">
            <w:pPr>
              <w:pStyle w:val="TableText"/>
              <w:tabs>
                <w:tab w:val="decimal" w:pos="1119"/>
              </w:tabs>
              <w:rPr>
                <w:lang w:eastAsia="en-NZ"/>
              </w:rPr>
            </w:pPr>
            <w:r w:rsidRPr="00A40FD5">
              <w:rPr>
                <w:lang w:eastAsia="en-NZ"/>
              </w:rPr>
              <w:t>$522</w:t>
            </w:r>
          </w:p>
        </w:tc>
        <w:tc>
          <w:tcPr>
            <w:tcW w:w="1964" w:type="dxa"/>
            <w:shd w:val="clear" w:color="auto" w:fill="auto"/>
            <w:noWrap/>
            <w:hideMark/>
          </w:tcPr>
          <w:p w14:paraId="37ACCCFF" w14:textId="77777777" w:rsidR="00232F0B" w:rsidRPr="00A40FD5" w:rsidRDefault="00232F0B" w:rsidP="00CF4B8F">
            <w:pPr>
              <w:pStyle w:val="TableText"/>
              <w:tabs>
                <w:tab w:val="decimal" w:pos="1138"/>
              </w:tabs>
              <w:rPr>
                <w:lang w:eastAsia="en-NZ"/>
              </w:rPr>
            </w:pPr>
            <w:r w:rsidRPr="00A40FD5">
              <w:rPr>
                <w:lang w:eastAsia="en-NZ"/>
              </w:rPr>
              <w:t>$600</w:t>
            </w:r>
          </w:p>
        </w:tc>
        <w:tc>
          <w:tcPr>
            <w:tcW w:w="1964" w:type="dxa"/>
            <w:shd w:val="clear" w:color="auto" w:fill="auto"/>
            <w:noWrap/>
            <w:hideMark/>
          </w:tcPr>
          <w:p w14:paraId="7B411432" w14:textId="77777777" w:rsidR="00232F0B" w:rsidRPr="00A40FD5" w:rsidRDefault="00232F0B" w:rsidP="00CF4B8F">
            <w:pPr>
              <w:pStyle w:val="TableText"/>
              <w:tabs>
                <w:tab w:val="decimal" w:pos="1130"/>
              </w:tabs>
              <w:rPr>
                <w:lang w:eastAsia="en-NZ"/>
              </w:rPr>
            </w:pPr>
            <w:r w:rsidRPr="00A40FD5">
              <w:rPr>
                <w:lang w:eastAsia="en-NZ"/>
              </w:rPr>
              <w:t>$570</w:t>
            </w:r>
          </w:p>
        </w:tc>
        <w:tc>
          <w:tcPr>
            <w:tcW w:w="2370" w:type="dxa"/>
            <w:shd w:val="clear" w:color="auto" w:fill="auto"/>
            <w:noWrap/>
            <w:hideMark/>
          </w:tcPr>
          <w:p w14:paraId="0AB0BFE6" w14:textId="77777777" w:rsidR="00232F0B" w:rsidRPr="00A40FD5" w:rsidRDefault="00232F0B" w:rsidP="00CF4B8F">
            <w:pPr>
              <w:pStyle w:val="TableText"/>
              <w:tabs>
                <w:tab w:val="decimal" w:pos="1274"/>
              </w:tabs>
              <w:rPr>
                <w:lang w:eastAsia="en-NZ"/>
              </w:rPr>
            </w:pPr>
            <w:r w:rsidRPr="00A40FD5">
              <w:rPr>
                <w:lang w:eastAsia="en-NZ"/>
              </w:rPr>
              <w:t>109%</w:t>
            </w:r>
          </w:p>
        </w:tc>
      </w:tr>
      <w:tr w:rsidR="00232F0B" w:rsidRPr="00A40FD5" w14:paraId="7D158C6C" w14:textId="77777777" w:rsidTr="00CF4B8F">
        <w:trPr>
          <w:cantSplit/>
        </w:trPr>
        <w:tc>
          <w:tcPr>
            <w:tcW w:w="2410" w:type="dxa"/>
            <w:shd w:val="clear" w:color="auto" w:fill="auto"/>
            <w:noWrap/>
            <w:hideMark/>
          </w:tcPr>
          <w:p w14:paraId="5D30A807" w14:textId="77777777" w:rsidR="00232F0B" w:rsidRPr="00A40FD5" w:rsidRDefault="00232F0B" w:rsidP="009A2D7D">
            <w:pPr>
              <w:pStyle w:val="TableText"/>
              <w:rPr>
                <w:lang w:eastAsia="en-NZ"/>
              </w:rPr>
            </w:pPr>
            <w:r w:rsidRPr="00A40FD5">
              <w:rPr>
                <w:lang w:eastAsia="en-NZ"/>
              </w:rPr>
              <w:t xml:space="preserve">Medical 4, </w:t>
            </w:r>
            <w:r>
              <w:rPr>
                <w:lang w:eastAsia="en-NZ"/>
              </w:rPr>
              <w:t>n</w:t>
            </w:r>
            <w:r w:rsidRPr="00A40FD5">
              <w:rPr>
                <w:lang w:eastAsia="en-NZ"/>
              </w:rPr>
              <w:t>on-medical 5</w:t>
            </w:r>
          </w:p>
        </w:tc>
        <w:tc>
          <w:tcPr>
            <w:tcW w:w="1964" w:type="dxa"/>
            <w:shd w:val="clear" w:color="auto" w:fill="auto"/>
            <w:noWrap/>
            <w:hideMark/>
          </w:tcPr>
          <w:p w14:paraId="2EAAF487" w14:textId="77777777" w:rsidR="00232F0B" w:rsidRPr="00A40FD5" w:rsidRDefault="00232F0B" w:rsidP="00CF4B8F">
            <w:pPr>
              <w:pStyle w:val="TableText"/>
              <w:jc w:val="center"/>
              <w:rPr>
                <w:lang w:eastAsia="en-NZ"/>
              </w:rPr>
            </w:pPr>
            <w:r w:rsidRPr="00A40FD5">
              <w:rPr>
                <w:lang w:eastAsia="en-NZ"/>
              </w:rPr>
              <w:t>4</w:t>
            </w:r>
          </w:p>
        </w:tc>
        <w:tc>
          <w:tcPr>
            <w:tcW w:w="1964" w:type="dxa"/>
            <w:shd w:val="clear" w:color="auto" w:fill="auto"/>
            <w:noWrap/>
            <w:hideMark/>
          </w:tcPr>
          <w:p w14:paraId="6F73ACAB" w14:textId="77777777" w:rsidR="00232F0B" w:rsidRPr="00A40FD5" w:rsidRDefault="00232F0B" w:rsidP="00CF4B8F">
            <w:pPr>
              <w:pStyle w:val="TableText"/>
              <w:tabs>
                <w:tab w:val="decimal" w:pos="1239"/>
              </w:tabs>
              <w:rPr>
                <w:lang w:eastAsia="en-NZ"/>
              </w:rPr>
            </w:pPr>
            <w:r w:rsidRPr="00A40FD5">
              <w:rPr>
                <w:lang w:eastAsia="en-NZ"/>
              </w:rPr>
              <w:t>$861</w:t>
            </w:r>
          </w:p>
        </w:tc>
        <w:tc>
          <w:tcPr>
            <w:tcW w:w="1965" w:type="dxa"/>
            <w:shd w:val="clear" w:color="auto" w:fill="auto"/>
            <w:noWrap/>
            <w:hideMark/>
          </w:tcPr>
          <w:p w14:paraId="43B3FCDB" w14:textId="77777777" w:rsidR="00232F0B" w:rsidRPr="00A40FD5" w:rsidRDefault="00232F0B" w:rsidP="00CF4B8F">
            <w:pPr>
              <w:pStyle w:val="TableText"/>
              <w:tabs>
                <w:tab w:val="decimal" w:pos="1119"/>
              </w:tabs>
              <w:rPr>
                <w:lang w:eastAsia="en-NZ"/>
              </w:rPr>
            </w:pPr>
            <w:r w:rsidRPr="00A40FD5">
              <w:rPr>
                <w:lang w:eastAsia="en-NZ"/>
              </w:rPr>
              <w:t>$422</w:t>
            </w:r>
          </w:p>
        </w:tc>
        <w:tc>
          <w:tcPr>
            <w:tcW w:w="1964" w:type="dxa"/>
            <w:shd w:val="clear" w:color="auto" w:fill="auto"/>
            <w:noWrap/>
            <w:hideMark/>
          </w:tcPr>
          <w:p w14:paraId="6AF82437" w14:textId="77777777" w:rsidR="00232F0B" w:rsidRPr="00A40FD5" w:rsidRDefault="00232F0B" w:rsidP="00CF4B8F">
            <w:pPr>
              <w:pStyle w:val="TableText"/>
              <w:tabs>
                <w:tab w:val="decimal" w:pos="1138"/>
              </w:tabs>
              <w:rPr>
                <w:lang w:eastAsia="en-NZ"/>
              </w:rPr>
            </w:pPr>
            <w:r w:rsidRPr="00A40FD5">
              <w:rPr>
                <w:lang w:eastAsia="en-NZ"/>
              </w:rPr>
              <w:t>$485</w:t>
            </w:r>
          </w:p>
        </w:tc>
        <w:tc>
          <w:tcPr>
            <w:tcW w:w="1964" w:type="dxa"/>
            <w:shd w:val="clear" w:color="auto" w:fill="auto"/>
            <w:noWrap/>
            <w:hideMark/>
          </w:tcPr>
          <w:p w14:paraId="4C9236D5" w14:textId="77777777" w:rsidR="00232F0B" w:rsidRPr="00A40FD5" w:rsidRDefault="00232F0B" w:rsidP="00CF4B8F">
            <w:pPr>
              <w:pStyle w:val="TableText"/>
              <w:tabs>
                <w:tab w:val="decimal" w:pos="1130"/>
              </w:tabs>
              <w:rPr>
                <w:lang w:eastAsia="en-NZ"/>
              </w:rPr>
            </w:pPr>
            <w:r w:rsidRPr="00A40FD5">
              <w:rPr>
                <w:lang w:eastAsia="en-NZ"/>
              </w:rPr>
              <w:t>$439</w:t>
            </w:r>
          </w:p>
        </w:tc>
        <w:tc>
          <w:tcPr>
            <w:tcW w:w="2370" w:type="dxa"/>
            <w:shd w:val="clear" w:color="auto" w:fill="auto"/>
            <w:noWrap/>
            <w:hideMark/>
          </w:tcPr>
          <w:p w14:paraId="204E761A" w14:textId="77777777" w:rsidR="00232F0B" w:rsidRPr="00A40FD5" w:rsidRDefault="00232F0B" w:rsidP="00CF4B8F">
            <w:pPr>
              <w:pStyle w:val="TableText"/>
              <w:tabs>
                <w:tab w:val="decimal" w:pos="1274"/>
              </w:tabs>
              <w:rPr>
                <w:lang w:eastAsia="en-NZ"/>
              </w:rPr>
            </w:pPr>
            <w:r w:rsidRPr="00A40FD5">
              <w:rPr>
                <w:lang w:eastAsia="en-NZ"/>
              </w:rPr>
              <w:t>104%</w:t>
            </w:r>
          </w:p>
        </w:tc>
      </w:tr>
      <w:tr w:rsidR="00232F0B" w:rsidRPr="00A40FD5" w14:paraId="6C280EFA" w14:textId="77777777" w:rsidTr="00CF4B8F">
        <w:trPr>
          <w:cantSplit/>
        </w:trPr>
        <w:tc>
          <w:tcPr>
            <w:tcW w:w="2410" w:type="dxa"/>
            <w:shd w:val="clear" w:color="auto" w:fill="auto"/>
            <w:noWrap/>
            <w:hideMark/>
          </w:tcPr>
          <w:p w14:paraId="3EB9084A" w14:textId="77777777" w:rsidR="00232F0B" w:rsidRPr="00A40FD5" w:rsidRDefault="00232F0B" w:rsidP="00CF4B8F">
            <w:pPr>
              <w:pStyle w:val="TableText"/>
              <w:rPr>
                <w:lang w:eastAsia="en-NZ"/>
              </w:rPr>
            </w:pPr>
            <w:r w:rsidRPr="00A40FD5">
              <w:rPr>
                <w:lang w:eastAsia="en-NZ"/>
              </w:rPr>
              <w:t>Medical 5, medical 6, non</w:t>
            </w:r>
            <w:r w:rsidR="00CF4B8F">
              <w:rPr>
                <w:lang w:eastAsia="en-NZ"/>
              </w:rPr>
              <w:noBreakHyphen/>
            </w:r>
            <w:r w:rsidRPr="00A40FD5">
              <w:rPr>
                <w:lang w:eastAsia="en-NZ"/>
              </w:rPr>
              <w:t>medical 6</w:t>
            </w:r>
          </w:p>
        </w:tc>
        <w:tc>
          <w:tcPr>
            <w:tcW w:w="1964" w:type="dxa"/>
            <w:shd w:val="clear" w:color="auto" w:fill="auto"/>
            <w:noWrap/>
            <w:hideMark/>
          </w:tcPr>
          <w:p w14:paraId="5B7FDEDD" w14:textId="77777777" w:rsidR="00232F0B" w:rsidRPr="00A40FD5" w:rsidRDefault="00232F0B" w:rsidP="00CF4B8F">
            <w:pPr>
              <w:pStyle w:val="TableText"/>
              <w:jc w:val="center"/>
              <w:rPr>
                <w:lang w:eastAsia="en-NZ"/>
              </w:rPr>
            </w:pPr>
            <w:r w:rsidRPr="00A40FD5">
              <w:rPr>
                <w:lang w:eastAsia="en-NZ"/>
              </w:rPr>
              <w:t>5</w:t>
            </w:r>
          </w:p>
        </w:tc>
        <w:tc>
          <w:tcPr>
            <w:tcW w:w="1964" w:type="dxa"/>
            <w:shd w:val="clear" w:color="auto" w:fill="auto"/>
            <w:noWrap/>
            <w:hideMark/>
          </w:tcPr>
          <w:p w14:paraId="5395B846" w14:textId="77777777" w:rsidR="00232F0B" w:rsidRPr="00A40FD5" w:rsidRDefault="00232F0B" w:rsidP="00CF4B8F">
            <w:pPr>
              <w:pStyle w:val="TableText"/>
              <w:tabs>
                <w:tab w:val="decimal" w:pos="1239"/>
              </w:tabs>
              <w:rPr>
                <w:lang w:eastAsia="en-NZ"/>
              </w:rPr>
            </w:pPr>
            <w:r w:rsidRPr="00A40FD5">
              <w:rPr>
                <w:lang w:eastAsia="en-NZ"/>
              </w:rPr>
              <w:t>$757</w:t>
            </w:r>
          </w:p>
        </w:tc>
        <w:tc>
          <w:tcPr>
            <w:tcW w:w="1965" w:type="dxa"/>
            <w:shd w:val="clear" w:color="auto" w:fill="auto"/>
            <w:noWrap/>
            <w:hideMark/>
          </w:tcPr>
          <w:p w14:paraId="31CB362A" w14:textId="77777777" w:rsidR="00232F0B" w:rsidRPr="00A40FD5" w:rsidRDefault="00232F0B" w:rsidP="00CF4B8F">
            <w:pPr>
              <w:pStyle w:val="TableText"/>
              <w:tabs>
                <w:tab w:val="decimal" w:pos="1119"/>
              </w:tabs>
              <w:rPr>
                <w:lang w:eastAsia="en-NZ"/>
              </w:rPr>
            </w:pPr>
            <w:r w:rsidRPr="00A40FD5">
              <w:rPr>
                <w:lang w:eastAsia="en-NZ"/>
              </w:rPr>
              <w:t>$361</w:t>
            </w:r>
          </w:p>
        </w:tc>
        <w:tc>
          <w:tcPr>
            <w:tcW w:w="1964" w:type="dxa"/>
            <w:shd w:val="clear" w:color="auto" w:fill="auto"/>
            <w:noWrap/>
            <w:hideMark/>
          </w:tcPr>
          <w:p w14:paraId="5BE9AFD7" w14:textId="77777777" w:rsidR="00232F0B" w:rsidRPr="00A40FD5" w:rsidRDefault="00232F0B" w:rsidP="00CF4B8F">
            <w:pPr>
              <w:pStyle w:val="TableText"/>
              <w:tabs>
                <w:tab w:val="decimal" w:pos="1138"/>
              </w:tabs>
              <w:rPr>
                <w:lang w:eastAsia="en-NZ"/>
              </w:rPr>
            </w:pPr>
            <w:r w:rsidRPr="00A40FD5">
              <w:rPr>
                <w:lang w:eastAsia="en-NZ"/>
              </w:rPr>
              <w:t>$415</w:t>
            </w:r>
          </w:p>
        </w:tc>
        <w:tc>
          <w:tcPr>
            <w:tcW w:w="1964" w:type="dxa"/>
            <w:shd w:val="clear" w:color="auto" w:fill="auto"/>
            <w:noWrap/>
            <w:hideMark/>
          </w:tcPr>
          <w:p w14:paraId="2F0BA8FE" w14:textId="77777777" w:rsidR="00232F0B" w:rsidRPr="00A40FD5" w:rsidRDefault="00232F0B" w:rsidP="00CF4B8F">
            <w:pPr>
              <w:pStyle w:val="TableText"/>
              <w:tabs>
                <w:tab w:val="decimal" w:pos="1130"/>
              </w:tabs>
              <w:rPr>
                <w:lang w:eastAsia="en-NZ"/>
              </w:rPr>
            </w:pPr>
            <w:r w:rsidRPr="00A40FD5">
              <w:rPr>
                <w:lang w:eastAsia="en-NZ"/>
              </w:rPr>
              <w:t>$396</w:t>
            </w:r>
          </w:p>
        </w:tc>
        <w:tc>
          <w:tcPr>
            <w:tcW w:w="2370" w:type="dxa"/>
            <w:shd w:val="clear" w:color="auto" w:fill="auto"/>
            <w:noWrap/>
            <w:hideMark/>
          </w:tcPr>
          <w:p w14:paraId="6D5EE29A" w14:textId="77777777" w:rsidR="00232F0B" w:rsidRPr="00A40FD5" w:rsidRDefault="00232F0B" w:rsidP="00CF4B8F">
            <w:pPr>
              <w:pStyle w:val="TableText"/>
              <w:tabs>
                <w:tab w:val="decimal" w:pos="1274"/>
              </w:tabs>
              <w:rPr>
                <w:lang w:eastAsia="en-NZ"/>
              </w:rPr>
            </w:pPr>
            <w:r w:rsidRPr="00A40FD5">
              <w:rPr>
                <w:lang w:eastAsia="en-NZ"/>
              </w:rPr>
              <w:t>110%</w:t>
            </w:r>
          </w:p>
        </w:tc>
      </w:tr>
      <w:tr w:rsidR="00232F0B" w:rsidRPr="00A40FD5" w14:paraId="2EA4DBA8" w14:textId="77777777" w:rsidTr="00CF4B8F">
        <w:trPr>
          <w:cantSplit/>
        </w:trPr>
        <w:tc>
          <w:tcPr>
            <w:tcW w:w="2410" w:type="dxa"/>
            <w:tcBorders>
              <w:bottom w:val="single" w:sz="4" w:space="0" w:color="A6A6A6" w:themeColor="background1" w:themeShade="A6"/>
            </w:tcBorders>
            <w:shd w:val="clear" w:color="auto" w:fill="auto"/>
            <w:noWrap/>
            <w:hideMark/>
          </w:tcPr>
          <w:p w14:paraId="57D36F5A" w14:textId="77777777" w:rsidR="00232F0B" w:rsidRPr="00A40FD5" w:rsidRDefault="00232F0B" w:rsidP="009A2D7D">
            <w:pPr>
              <w:pStyle w:val="TableText"/>
              <w:rPr>
                <w:lang w:eastAsia="en-NZ"/>
              </w:rPr>
            </w:pPr>
            <w:r w:rsidRPr="00A40FD5">
              <w:rPr>
                <w:lang w:eastAsia="en-NZ"/>
              </w:rPr>
              <w:t>No inspection</w:t>
            </w:r>
          </w:p>
        </w:tc>
        <w:tc>
          <w:tcPr>
            <w:tcW w:w="1964" w:type="dxa"/>
            <w:tcBorders>
              <w:bottom w:val="single" w:sz="4" w:space="0" w:color="A6A6A6" w:themeColor="background1" w:themeShade="A6"/>
            </w:tcBorders>
            <w:shd w:val="clear" w:color="auto" w:fill="auto"/>
            <w:noWrap/>
            <w:hideMark/>
          </w:tcPr>
          <w:p w14:paraId="6563A423" w14:textId="77777777" w:rsidR="00232F0B" w:rsidRPr="00A40FD5" w:rsidRDefault="00232F0B" w:rsidP="00CF4B8F">
            <w:pPr>
              <w:pStyle w:val="TableText"/>
              <w:jc w:val="center"/>
              <w:rPr>
                <w:lang w:eastAsia="en-NZ"/>
              </w:rPr>
            </w:pPr>
            <w:r w:rsidRPr="00A40FD5">
              <w:rPr>
                <w:lang w:eastAsia="en-NZ"/>
              </w:rPr>
              <w:t>0</w:t>
            </w:r>
          </w:p>
        </w:tc>
        <w:tc>
          <w:tcPr>
            <w:tcW w:w="1964" w:type="dxa"/>
            <w:tcBorders>
              <w:bottom w:val="single" w:sz="4" w:space="0" w:color="A6A6A6" w:themeColor="background1" w:themeShade="A6"/>
            </w:tcBorders>
            <w:shd w:val="clear" w:color="auto" w:fill="auto"/>
            <w:noWrap/>
            <w:hideMark/>
          </w:tcPr>
          <w:p w14:paraId="3A9CC7C1" w14:textId="77777777" w:rsidR="00232F0B" w:rsidRPr="00A40FD5" w:rsidRDefault="00232F0B" w:rsidP="00CF4B8F">
            <w:pPr>
              <w:pStyle w:val="TableText"/>
              <w:tabs>
                <w:tab w:val="decimal" w:pos="1239"/>
              </w:tabs>
              <w:rPr>
                <w:lang w:eastAsia="en-NZ"/>
              </w:rPr>
            </w:pPr>
            <w:r w:rsidRPr="00A40FD5">
              <w:rPr>
                <w:lang w:eastAsia="en-NZ"/>
              </w:rPr>
              <w:t>$353</w:t>
            </w:r>
          </w:p>
        </w:tc>
        <w:tc>
          <w:tcPr>
            <w:tcW w:w="1965" w:type="dxa"/>
            <w:tcBorders>
              <w:bottom w:val="single" w:sz="4" w:space="0" w:color="A6A6A6" w:themeColor="background1" w:themeShade="A6"/>
            </w:tcBorders>
            <w:shd w:val="clear" w:color="auto" w:fill="auto"/>
            <w:noWrap/>
            <w:hideMark/>
          </w:tcPr>
          <w:p w14:paraId="2BA80650" w14:textId="77777777" w:rsidR="00232F0B" w:rsidRPr="00A40FD5" w:rsidRDefault="00232F0B" w:rsidP="00CF4B8F">
            <w:pPr>
              <w:pStyle w:val="TableText"/>
              <w:tabs>
                <w:tab w:val="decimal" w:pos="1119"/>
              </w:tabs>
              <w:rPr>
                <w:lang w:eastAsia="en-NZ"/>
              </w:rPr>
            </w:pPr>
            <w:r w:rsidRPr="00A40FD5">
              <w:rPr>
                <w:lang w:eastAsia="en-NZ"/>
              </w:rPr>
              <w:t>$126</w:t>
            </w:r>
          </w:p>
        </w:tc>
        <w:tc>
          <w:tcPr>
            <w:tcW w:w="1964" w:type="dxa"/>
            <w:tcBorders>
              <w:bottom w:val="single" w:sz="4" w:space="0" w:color="A6A6A6" w:themeColor="background1" w:themeShade="A6"/>
            </w:tcBorders>
            <w:shd w:val="clear" w:color="auto" w:fill="auto"/>
            <w:noWrap/>
            <w:hideMark/>
          </w:tcPr>
          <w:p w14:paraId="680704AD" w14:textId="77777777" w:rsidR="00232F0B" w:rsidRPr="00A40FD5" w:rsidRDefault="00232F0B" w:rsidP="00CF4B8F">
            <w:pPr>
              <w:pStyle w:val="TableText"/>
              <w:tabs>
                <w:tab w:val="decimal" w:pos="1138"/>
              </w:tabs>
              <w:rPr>
                <w:lang w:eastAsia="en-NZ"/>
              </w:rPr>
            </w:pPr>
            <w:r w:rsidRPr="00A40FD5">
              <w:rPr>
                <w:lang w:eastAsia="en-NZ"/>
              </w:rPr>
              <w:t>$145</w:t>
            </w:r>
          </w:p>
        </w:tc>
        <w:tc>
          <w:tcPr>
            <w:tcW w:w="1964" w:type="dxa"/>
            <w:tcBorders>
              <w:bottom w:val="single" w:sz="4" w:space="0" w:color="A6A6A6" w:themeColor="background1" w:themeShade="A6"/>
            </w:tcBorders>
            <w:shd w:val="clear" w:color="auto" w:fill="auto"/>
            <w:noWrap/>
            <w:hideMark/>
          </w:tcPr>
          <w:p w14:paraId="704B43FA" w14:textId="77777777" w:rsidR="00232F0B" w:rsidRPr="00A40FD5" w:rsidRDefault="00232F0B" w:rsidP="00CF4B8F">
            <w:pPr>
              <w:pStyle w:val="TableText"/>
              <w:tabs>
                <w:tab w:val="decimal" w:pos="1130"/>
              </w:tabs>
              <w:rPr>
                <w:lang w:eastAsia="en-NZ"/>
              </w:rPr>
            </w:pPr>
            <w:r w:rsidRPr="00A40FD5">
              <w:rPr>
                <w:lang w:eastAsia="en-NZ"/>
              </w:rPr>
              <w:t>$227</w:t>
            </w:r>
          </w:p>
        </w:tc>
        <w:tc>
          <w:tcPr>
            <w:tcW w:w="2370" w:type="dxa"/>
            <w:tcBorders>
              <w:bottom w:val="single" w:sz="4" w:space="0" w:color="A6A6A6" w:themeColor="background1" w:themeShade="A6"/>
            </w:tcBorders>
            <w:shd w:val="clear" w:color="auto" w:fill="auto"/>
            <w:noWrap/>
            <w:hideMark/>
          </w:tcPr>
          <w:p w14:paraId="127BB393" w14:textId="77777777" w:rsidR="00232F0B" w:rsidRPr="00A40FD5" w:rsidRDefault="00232F0B" w:rsidP="00CF4B8F">
            <w:pPr>
              <w:pStyle w:val="TableText"/>
              <w:tabs>
                <w:tab w:val="decimal" w:pos="1274"/>
              </w:tabs>
              <w:rPr>
                <w:lang w:eastAsia="en-NZ"/>
              </w:rPr>
            </w:pPr>
            <w:r w:rsidRPr="00A40FD5">
              <w:rPr>
                <w:lang w:eastAsia="en-NZ"/>
              </w:rPr>
              <w:t>180%</w:t>
            </w:r>
          </w:p>
        </w:tc>
      </w:tr>
      <w:tr w:rsidR="00232F0B" w:rsidRPr="00A40FD5" w14:paraId="2A4C5562" w14:textId="77777777" w:rsidTr="00CF4B8F">
        <w:trPr>
          <w:cantSplit/>
        </w:trPr>
        <w:tc>
          <w:tcPr>
            <w:tcW w:w="2410" w:type="dxa"/>
            <w:tcBorders>
              <w:top w:val="single" w:sz="4" w:space="0" w:color="A6A6A6" w:themeColor="background1" w:themeShade="A6"/>
            </w:tcBorders>
            <w:shd w:val="clear" w:color="auto" w:fill="auto"/>
            <w:noWrap/>
            <w:hideMark/>
          </w:tcPr>
          <w:p w14:paraId="058B79ED" w14:textId="77777777" w:rsidR="00232F0B" w:rsidRPr="00CF4B8F" w:rsidRDefault="00232F0B" w:rsidP="009A2D7D">
            <w:pPr>
              <w:pStyle w:val="TableText"/>
              <w:rPr>
                <w:b/>
                <w:lang w:eastAsia="en-NZ"/>
              </w:rPr>
            </w:pPr>
            <w:r w:rsidRPr="00CF4B8F">
              <w:rPr>
                <w:b/>
                <w:lang w:eastAsia="en-NZ"/>
              </w:rPr>
              <w:t>Use licences</w:t>
            </w:r>
          </w:p>
        </w:tc>
        <w:tc>
          <w:tcPr>
            <w:tcW w:w="1964" w:type="dxa"/>
            <w:tcBorders>
              <w:top w:val="single" w:sz="4" w:space="0" w:color="A6A6A6" w:themeColor="background1" w:themeShade="A6"/>
            </w:tcBorders>
            <w:shd w:val="clear" w:color="auto" w:fill="auto"/>
            <w:noWrap/>
            <w:hideMark/>
          </w:tcPr>
          <w:p w14:paraId="52D12DEC" w14:textId="77777777" w:rsidR="00232F0B" w:rsidRPr="00A40FD5" w:rsidRDefault="00232F0B" w:rsidP="00CF4B8F">
            <w:pPr>
              <w:pStyle w:val="TableText"/>
              <w:jc w:val="center"/>
              <w:rPr>
                <w:lang w:eastAsia="en-NZ"/>
              </w:rPr>
            </w:pPr>
          </w:p>
        </w:tc>
        <w:tc>
          <w:tcPr>
            <w:tcW w:w="1964" w:type="dxa"/>
            <w:tcBorders>
              <w:top w:val="single" w:sz="4" w:space="0" w:color="A6A6A6" w:themeColor="background1" w:themeShade="A6"/>
            </w:tcBorders>
            <w:shd w:val="clear" w:color="auto" w:fill="auto"/>
            <w:noWrap/>
          </w:tcPr>
          <w:p w14:paraId="3DDB92BF" w14:textId="77777777" w:rsidR="00232F0B" w:rsidRPr="00A40FD5" w:rsidRDefault="00232F0B" w:rsidP="00CF4B8F">
            <w:pPr>
              <w:pStyle w:val="TableText"/>
              <w:tabs>
                <w:tab w:val="decimal" w:pos="1239"/>
              </w:tabs>
              <w:rPr>
                <w:lang w:eastAsia="en-NZ"/>
              </w:rPr>
            </w:pPr>
          </w:p>
        </w:tc>
        <w:tc>
          <w:tcPr>
            <w:tcW w:w="1965" w:type="dxa"/>
            <w:tcBorders>
              <w:top w:val="single" w:sz="4" w:space="0" w:color="A6A6A6" w:themeColor="background1" w:themeShade="A6"/>
            </w:tcBorders>
            <w:shd w:val="clear" w:color="auto" w:fill="auto"/>
            <w:noWrap/>
          </w:tcPr>
          <w:p w14:paraId="2B998553" w14:textId="77777777" w:rsidR="00232F0B" w:rsidRPr="00A40FD5" w:rsidRDefault="00232F0B" w:rsidP="00CF4B8F">
            <w:pPr>
              <w:pStyle w:val="TableText"/>
              <w:tabs>
                <w:tab w:val="decimal" w:pos="1119"/>
              </w:tabs>
              <w:rPr>
                <w:lang w:eastAsia="en-NZ"/>
              </w:rPr>
            </w:pPr>
          </w:p>
        </w:tc>
        <w:tc>
          <w:tcPr>
            <w:tcW w:w="1964" w:type="dxa"/>
            <w:tcBorders>
              <w:top w:val="single" w:sz="4" w:space="0" w:color="A6A6A6" w:themeColor="background1" w:themeShade="A6"/>
            </w:tcBorders>
            <w:shd w:val="clear" w:color="auto" w:fill="auto"/>
            <w:noWrap/>
          </w:tcPr>
          <w:p w14:paraId="3B9C961F" w14:textId="77777777" w:rsidR="00232F0B" w:rsidRPr="00A40FD5" w:rsidRDefault="00232F0B" w:rsidP="00CF4B8F">
            <w:pPr>
              <w:pStyle w:val="TableText"/>
              <w:tabs>
                <w:tab w:val="decimal" w:pos="1138"/>
              </w:tabs>
              <w:rPr>
                <w:lang w:eastAsia="en-NZ"/>
              </w:rPr>
            </w:pPr>
          </w:p>
        </w:tc>
        <w:tc>
          <w:tcPr>
            <w:tcW w:w="1964" w:type="dxa"/>
            <w:tcBorders>
              <w:top w:val="single" w:sz="4" w:space="0" w:color="A6A6A6" w:themeColor="background1" w:themeShade="A6"/>
            </w:tcBorders>
            <w:shd w:val="clear" w:color="auto" w:fill="auto"/>
            <w:noWrap/>
          </w:tcPr>
          <w:p w14:paraId="0137FC5B" w14:textId="77777777" w:rsidR="00232F0B" w:rsidRPr="00A40FD5" w:rsidRDefault="00232F0B" w:rsidP="00CF4B8F">
            <w:pPr>
              <w:pStyle w:val="TableText"/>
              <w:tabs>
                <w:tab w:val="decimal" w:pos="1130"/>
              </w:tabs>
              <w:rPr>
                <w:lang w:eastAsia="en-NZ"/>
              </w:rPr>
            </w:pPr>
          </w:p>
        </w:tc>
        <w:tc>
          <w:tcPr>
            <w:tcW w:w="2370" w:type="dxa"/>
            <w:tcBorders>
              <w:top w:val="single" w:sz="4" w:space="0" w:color="A6A6A6" w:themeColor="background1" w:themeShade="A6"/>
            </w:tcBorders>
            <w:shd w:val="clear" w:color="auto" w:fill="auto"/>
            <w:noWrap/>
          </w:tcPr>
          <w:p w14:paraId="5BD8E169" w14:textId="77777777" w:rsidR="00232F0B" w:rsidRPr="00A40FD5" w:rsidRDefault="00232F0B" w:rsidP="00CF4B8F">
            <w:pPr>
              <w:pStyle w:val="TableText"/>
              <w:tabs>
                <w:tab w:val="decimal" w:pos="1274"/>
              </w:tabs>
              <w:rPr>
                <w:lang w:eastAsia="en-NZ"/>
              </w:rPr>
            </w:pPr>
          </w:p>
        </w:tc>
      </w:tr>
      <w:tr w:rsidR="00232F0B" w:rsidRPr="00A40FD5" w14:paraId="33AC676B" w14:textId="77777777" w:rsidTr="00CF4B8F">
        <w:trPr>
          <w:cantSplit/>
        </w:trPr>
        <w:tc>
          <w:tcPr>
            <w:tcW w:w="2410" w:type="dxa"/>
            <w:tcBorders>
              <w:top w:val="single" w:sz="4" w:space="0" w:color="A6A6A6" w:themeColor="background1" w:themeShade="A6"/>
            </w:tcBorders>
            <w:shd w:val="clear" w:color="auto" w:fill="auto"/>
            <w:noWrap/>
            <w:hideMark/>
          </w:tcPr>
          <w:p w14:paraId="4D74668B" w14:textId="77777777" w:rsidR="00232F0B" w:rsidRPr="00A40FD5" w:rsidRDefault="00232F0B" w:rsidP="009A2D7D">
            <w:pPr>
              <w:pStyle w:val="TableText"/>
              <w:rPr>
                <w:lang w:eastAsia="en-NZ"/>
              </w:rPr>
            </w:pPr>
            <w:r w:rsidRPr="00A40FD5">
              <w:rPr>
                <w:lang w:eastAsia="en-NZ"/>
              </w:rPr>
              <w:t>Use licence (new and variations)</w:t>
            </w:r>
          </w:p>
        </w:tc>
        <w:tc>
          <w:tcPr>
            <w:tcW w:w="1964" w:type="dxa"/>
            <w:tcBorders>
              <w:top w:val="single" w:sz="4" w:space="0" w:color="A6A6A6" w:themeColor="background1" w:themeShade="A6"/>
            </w:tcBorders>
            <w:shd w:val="clear" w:color="auto" w:fill="auto"/>
            <w:noWrap/>
            <w:hideMark/>
          </w:tcPr>
          <w:p w14:paraId="058EC974" w14:textId="77777777" w:rsidR="00232F0B" w:rsidRPr="00A40FD5" w:rsidRDefault="00232F0B" w:rsidP="00CF4B8F">
            <w:pPr>
              <w:pStyle w:val="TableText"/>
              <w:jc w:val="center"/>
              <w:rPr>
                <w:lang w:eastAsia="en-NZ"/>
              </w:rPr>
            </w:pPr>
            <w:r w:rsidRPr="00A40FD5">
              <w:rPr>
                <w:lang w:eastAsia="en-NZ"/>
              </w:rPr>
              <w:t>0</w:t>
            </w:r>
          </w:p>
        </w:tc>
        <w:tc>
          <w:tcPr>
            <w:tcW w:w="1964" w:type="dxa"/>
            <w:tcBorders>
              <w:top w:val="single" w:sz="4" w:space="0" w:color="A6A6A6" w:themeColor="background1" w:themeShade="A6"/>
            </w:tcBorders>
            <w:shd w:val="clear" w:color="auto" w:fill="auto"/>
            <w:noWrap/>
            <w:hideMark/>
          </w:tcPr>
          <w:p w14:paraId="51D30A48" w14:textId="77777777" w:rsidR="00232F0B" w:rsidRPr="00A40FD5" w:rsidRDefault="00232F0B" w:rsidP="00CF4B8F">
            <w:pPr>
              <w:pStyle w:val="TableText"/>
              <w:tabs>
                <w:tab w:val="decimal" w:pos="1239"/>
              </w:tabs>
              <w:rPr>
                <w:lang w:eastAsia="en-NZ"/>
              </w:rPr>
            </w:pPr>
            <w:r w:rsidRPr="00A40FD5">
              <w:rPr>
                <w:lang w:eastAsia="en-NZ"/>
              </w:rPr>
              <w:t>$408</w:t>
            </w:r>
          </w:p>
        </w:tc>
        <w:tc>
          <w:tcPr>
            <w:tcW w:w="1965" w:type="dxa"/>
            <w:tcBorders>
              <w:top w:val="single" w:sz="4" w:space="0" w:color="A6A6A6" w:themeColor="background1" w:themeShade="A6"/>
            </w:tcBorders>
            <w:shd w:val="clear" w:color="auto" w:fill="auto"/>
            <w:noWrap/>
            <w:hideMark/>
          </w:tcPr>
          <w:p w14:paraId="283E4D44" w14:textId="77777777" w:rsidR="00232F0B" w:rsidRPr="00A40FD5" w:rsidRDefault="00232F0B" w:rsidP="00CF4B8F">
            <w:pPr>
              <w:pStyle w:val="TableText"/>
              <w:tabs>
                <w:tab w:val="decimal" w:pos="1119"/>
              </w:tabs>
              <w:rPr>
                <w:lang w:eastAsia="en-NZ"/>
              </w:rPr>
            </w:pPr>
            <w:r w:rsidRPr="00A40FD5">
              <w:rPr>
                <w:lang w:eastAsia="en-NZ"/>
              </w:rPr>
              <w:t>$95</w:t>
            </w:r>
          </w:p>
        </w:tc>
        <w:tc>
          <w:tcPr>
            <w:tcW w:w="1964" w:type="dxa"/>
            <w:tcBorders>
              <w:top w:val="single" w:sz="4" w:space="0" w:color="A6A6A6" w:themeColor="background1" w:themeShade="A6"/>
            </w:tcBorders>
            <w:shd w:val="clear" w:color="auto" w:fill="auto"/>
            <w:noWrap/>
            <w:hideMark/>
          </w:tcPr>
          <w:p w14:paraId="7926ECC3" w14:textId="77777777" w:rsidR="00232F0B" w:rsidRPr="00A40FD5" w:rsidRDefault="00232F0B" w:rsidP="00CF4B8F">
            <w:pPr>
              <w:pStyle w:val="TableText"/>
              <w:tabs>
                <w:tab w:val="decimal" w:pos="1138"/>
              </w:tabs>
              <w:rPr>
                <w:lang w:eastAsia="en-NZ"/>
              </w:rPr>
            </w:pPr>
            <w:r w:rsidRPr="00A40FD5">
              <w:rPr>
                <w:lang w:eastAsia="en-NZ"/>
              </w:rPr>
              <w:t>$95</w:t>
            </w:r>
          </w:p>
        </w:tc>
        <w:tc>
          <w:tcPr>
            <w:tcW w:w="1964" w:type="dxa"/>
            <w:tcBorders>
              <w:top w:val="single" w:sz="4" w:space="0" w:color="A6A6A6" w:themeColor="background1" w:themeShade="A6"/>
            </w:tcBorders>
            <w:shd w:val="clear" w:color="auto" w:fill="auto"/>
            <w:noWrap/>
            <w:hideMark/>
          </w:tcPr>
          <w:p w14:paraId="6555E47B" w14:textId="77777777" w:rsidR="00232F0B" w:rsidRPr="00A40FD5" w:rsidRDefault="00232F0B" w:rsidP="00CF4B8F">
            <w:pPr>
              <w:pStyle w:val="TableText"/>
              <w:tabs>
                <w:tab w:val="decimal" w:pos="1130"/>
              </w:tabs>
              <w:rPr>
                <w:lang w:eastAsia="en-NZ"/>
              </w:rPr>
            </w:pPr>
            <w:r w:rsidRPr="00A40FD5">
              <w:rPr>
                <w:lang w:eastAsia="en-NZ"/>
              </w:rPr>
              <w:t>$313</w:t>
            </w:r>
          </w:p>
        </w:tc>
        <w:tc>
          <w:tcPr>
            <w:tcW w:w="2370" w:type="dxa"/>
            <w:tcBorders>
              <w:top w:val="single" w:sz="4" w:space="0" w:color="A6A6A6" w:themeColor="background1" w:themeShade="A6"/>
            </w:tcBorders>
            <w:shd w:val="clear" w:color="auto" w:fill="auto"/>
            <w:noWrap/>
            <w:hideMark/>
          </w:tcPr>
          <w:p w14:paraId="2B2B3567" w14:textId="77777777" w:rsidR="00232F0B" w:rsidRPr="00A40FD5" w:rsidRDefault="00232F0B" w:rsidP="00CF4B8F">
            <w:pPr>
              <w:pStyle w:val="TableText"/>
              <w:tabs>
                <w:tab w:val="decimal" w:pos="1274"/>
              </w:tabs>
              <w:rPr>
                <w:lang w:eastAsia="en-NZ"/>
              </w:rPr>
            </w:pPr>
            <w:r w:rsidRPr="00A40FD5">
              <w:rPr>
                <w:lang w:eastAsia="en-NZ"/>
              </w:rPr>
              <w:t>329%</w:t>
            </w:r>
          </w:p>
        </w:tc>
      </w:tr>
      <w:tr w:rsidR="00232F0B" w:rsidRPr="00A40FD5" w14:paraId="570AD74F" w14:textId="77777777" w:rsidTr="00CF4B8F">
        <w:trPr>
          <w:cantSplit/>
        </w:trPr>
        <w:tc>
          <w:tcPr>
            <w:tcW w:w="2410" w:type="dxa"/>
            <w:tcBorders>
              <w:top w:val="single" w:sz="4" w:space="0" w:color="A6A6A6" w:themeColor="background1" w:themeShade="A6"/>
            </w:tcBorders>
            <w:shd w:val="clear" w:color="auto" w:fill="auto"/>
            <w:noWrap/>
            <w:hideMark/>
          </w:tcPr>
          <w:p w14:paraId="780833C8" w14:textId="77777777" w:rsidR="00232F0B" w:rsidRPr="00A40FD5" w:rsidRDefault="00232F0B" w:rsidP="009A2D7D">
            <w:pPr>
              <w:pStyle w:val="TableText"/>
              <w:rPr>
                <w:lang w:eastAsia="en-NZ"/>
              </w:rPr>
            </w:pPr>
            <w:r w:rsidRPr="00A40FD5">
              <w:rPr>
                <w:lang w:eastAsia="en-NZ"/>
              </w:rPr>
              <w:t>Use licence (renewals without variation)</w:t>
            </w:r>
          </w:p>
        </w:tc>
        <w:tc>
          <w:tcPr>
            <w:tcW w:w="1964" w:type="dxa"/>
            <w:tcBorders>
              <w:top w:val="single" w:sz="4" w:space="0" w:color="A6A6A6" w:themeColor="background1" w:themeShade="A6"/>
            </w:tcBorders>
            <w:shd w:val="clear" w:color="auto" w:fill="auto"/>
            <w:noWrap/>
            <w:hideMark/>
          </w:tcPr>
          <w:p w14:paraId="6DB77D89" w14:textId="77777777" w:rsidR="00232F0B" w:rsidRPr="00A40FD5" w:rsidRDefault="00232F0B" w:rsidP="00CF4B8F">
            <w:pPr>
              <w:pStyle w:val="TableText"/>
              <w:jc w:val="center"/>
              <w:rPr>
                <w:lang w:eastAsia="en-NZ"/>
              </w:rPr>
            </w:pPr>
            <w:r w:rsidRPr="00A40FD5">
              <w:rPr>
                <w:lang w:eastAsia="en-NZ"/>
              </w:rPr>
              <w:t>0</w:t>
            </w:r>
          </w:p>
        </w:tc>
        <w:tc>
          <w:tcPr>
            <w:tcW w:w="1964" w:type="dxa"/>
            <w:tcBorders>
              <w:top w:val="single" w:sz="4" w:space="0" w:color="A6A6A6" w:themeColor="background1" w:themeShade="A6"/>
            </w:tcBorders>
            <w:shd w:val="clear" w:color="auto" w:fill="auto"/>
            <w:noWrap/>
            <w:hideMark/>
          </w:tcPr>
          <w:p w14:paraId="3357D09B" w14:textId="77777777" w:rsidR="00232F0B" w:rsidRPr="00A40FD5" w:rsidRDefault="00232F0B" w:rsidP="00CF4B8F">
            <w:pPr>
              <w:pStyle w:val="TableText"/>
              <w:tabs>
                <w:tab w:val="decimal" w:pos="1239"/>
              </w:tabs>
              <w:rPr>
                <w:lang w:eastAsia="en-NZ"/>
              </w:rPr>
            </w:pPr>
            <w:r w:rsidRPr="00A40FD5">
              <w:rPr>
                <w:lang w:eastAsia="en-NZ"/>
              </w:rPr>
              <w:t>$250</w:t>
            </w:r>
          </w:p>
        </w:tc>
        <w:tc>
          <w:tcPr>
            <w:tcW w:w="1965" w:type="dxa"/>
            <w:tcBorders>
              <w:top w:val="single" w:sz="4" w:space="0" w:color="A6A6A6" w:themeColor="background1" w:themeShade="A6"/>
            </w:tcBorders>
            <w:shd w:val="clear" w:color="auto" w:fill="auto"/>
            <w:noWrap/>
            <w:hideMark/>
          </w:tcPr>
          <w:p w14:paraId="4AEA8A12" w14:textId="77777777" w:rsidR="00232F0B" w:rsidRPr="00A40FD5" w:rsidRDefault="00232F0B" w:rsidP="00CF4B8F">
            <w:pPr>
              <w:pStyle w:val="TableText"/>
              <w:tabs>
                <w:tab w:val="decimal" w:pos="1119"/>
              </w:tabs>
              <w:rPr>
                <w:lang w:eastAsia="en-NZ"/>
              </w:rPr>
            </w:pPr>
            <w:r w:rsidRPr="00A40FD5">
              <w:rPr>
                <w:lang w:eastAsia="en-NZ"/>
              </w:rPr>
              <w:t>$95</w:t>
            </w:r>
          </w:p>
        </w:tc>
        <w:tc>
          <w:tcPr>
            <w:tcW w:w="1964" w:type="dxa"/>
            <w:tcBorders>
              <w:top w:val="single" w:sz="4" w:space="0" w:color="A6A6A6" w:themeColor="background1" w:themeShade="A6"/>
            </w:tcBorders>
            <w:shd w:val="clear" w:color="auto" w:fill="auto"/>
            <w:noWrap/>
            <w:hideMark/>
          </w:tcPr>
          <w:p w14:paraId="22BFC47C" w14:textId="77777777" w:rsidR="00232F0B" w:rsidRPr="00A40FD5" w:rsidRDefault="00232F0B" w:rsidP="00CF4B8F">
            <w:pPr>
              <w:pStyle w:val="TableText"/>
              <w:tabs>
                <w:tab w:val="decimal" w:pos="1138"/>
              </w:tabs>
              <w:rPr>
                <w:lang w:eastAsia="en-NZ"/>
              </w:rPr>
            </w:pPr>
            <w:r w:rsidRPr="00A40FD5">
              <w:rPr>
                <w:lang w:eastAsia="en-NZ"/>
              </w:rPr>
              <w:t>$95</w:t>
            </w:r>
          </w:p>
        </w:tc>
        <w:tc>
          <w:tcPr>
            <w:tcW w:w="1964" w:type="dxa"/>
            <w:tcBorders>
              <w:top w:val="single" w:sz="4" w:space="0" w:color="A6A6A6" w:themeColor="background1" w:themeShade="A6"/>
            </w:tcBorders>
            <w:shd w:val="clear" w:color="auto" w:fill="auto"/>
            <w:noWrap/>
            <w:hideMark/>
          </w:tcPr>
          <w:p w14:paraId="31E18AC3" w14:textId="77777777" w:rsidR="00232F0B" w:rsidRPr="00A40FD5" w:rsidRDefault="00232F0B" w:rsidP="00CF4B8F">
            <w:pPr>
              <w:pStyle w:val="TableText"/>
              <w:tabs>
                <w:tab w:val="decimal" w:pos="1130"/>
              </w:tabs>
              <w:rPr>
                <w:lang w:eastAsia="en-NZ"/>
              </w:rPr>
            </w:pPr>
            <w:r w:rsidRPr="00A40FD5">
              <w:rPr>
                <w:lang w:eastAsia="en-NZ"/>
              </w:rPr>
              <w:t>$155</w:t>
            </w:r>
          </w:p>
        </w:tc>
        <w:tc>
          <w:tcPr>
            <w:tcW w:w="2370" w:type="dxa"/>
            <w:tcBorders>
              <w:top w:val="single" w:sz="4" w:space="0" w:color="A6A6A6" w:themeColor="background1" w:themeShade="A6"/>
            </w:tcBorders>
            <w:shd w:val="clear" w:color="auto" w:fill="auto"/>
            <w:noWrap/>
            <w:hideMark/>
          </w:tcPr>
          <w:p w14:paraId="349519C8" w14:textId="77777777" w:rsidR="00232F0B" w:rsidRPr="00A40FD5" w:rsidRDefault="00232F0B" w:rsidP="00CF4B8F">
            <w:pPr>
              <w:pStyle w:val="TableText"/>
              <w:tabs>
                <w:tab w:val="decimal" w:pos="1274"/>
              </w:tabs>
              <w:rPr>
                <w:lang w:eastAsia="en-NZ"/>
              </w:rPr>
            </w:pPr>
            <w:r w:rsidRPr="00A40FD5">
              <w:rPr>
                <w:lang w:eastAsia="en-NZ"/>
              </w:rPr>
              <w:t>163%</w:t>
            </w:r>
          </w:p>
        </w:tc>
      </w:tr>
      <w:tr w:rsidR="00232F0B" w:rsidRPr="00A40FD5" w14:paraId="2D017ED6" w14:textId="77777777" w:rsidTr="00CF4B8F">
        <w:trPr>
          <w:cantSplit/>
        </w:trPr>
        <w:tc>
          <w:tcPr>
            <w:tcW w:w="2410" w:type="dxa"/>
            <w:tcBorders>
              <w:top w:val="single" w:sz="4" w:space="0" w:color="A6A6A6" w:themeColor="background1" w:themeShade="A6"/>
            </w:tcBorders>
            <w:shd w:val="clear" w:color="auto" w:fill="auto"/>
            <w:noWrap/>
            <w:hideMark/>
          </w:tcPr>
          <w:p w14:paraId="55F2E0BE" w14:textId="77777777" w:rsidR="00232F0B" w:rsidRPr="00CF4B8F" w:rsidRDefault="00232F0B" w:rsidP="009A2D7D">
            <w:pPr>
              <w:pStyle w:val="TableText"/>
              <w:rPr>
                <w:b/>
                <w:lang w:eastAsia="en-NZ"/>
              </w:rPr>
            </w:pPr>
            <w:r w:rsidRPr="00CF4B8F">
              <w:rPr>
                <w:b/>
                <w:lang w:eastAsia="en-NZ"/>
              </w:rPr>
              <w:t>Consents</w:t>
            </w:r>
          </w:p>
        </w:tc>
        <w:tc>
          <w:tcPr>
            <w:tcW w:w="1964" w:type="dxa"/>
            <w:tcBorders>
              <w:top w:val="single" w:sz="4" w:space="0" w:color="A6A6A6" w:themeColor="background1" w:themeShade="A6"/>
            </w:tcBorders>
            <w:shd w:val="clear" w:color="auto" w:fill="auto"/>
            <w:noWrap/>
            <w:hideMark/>
          </w:tcPr>
          <w:p w14:paraId="61A4BA34" w14:textId="77777777" w:rsidR="00232F0B" w:rsidRPr="00A40FD5" w:rsidRDefault="00232F0B" w:rsidP="00CF4B8F">
            <w:pPr>
              <w:pStyle w:val="TableText"/>
              <w:jc w:val="center"/>
              <w:rPr>
                <w:lang w:eastAsia="en-NZ"/>
              </w:rPr>
            </w:pPr>
          </w:p>
        </w:tc>
        <w:tc>
          <w:tcPr>
            <w:tcW w:w="1964" w:type="dxa"/>
            <w:tcBorders>
              <w:top w:val="single" w:sz="4" w:space="0" w:color="A6A6A6" w:themeColor="background1" w:themeShade="A6"/>
            </w:tcBorders>
            <w:shd w:val="clear" w:color="auto" w:fill="auto"/>
            <w:noWrap/>
          </w:tcPr>
          <w:p w14:paraId="07884D49" w14:textId="77777777" w:rsidR="00232F0B" w:rsidRPr="00A40FD5" w:rsidRDefault="00232F0B" w:rsidP="00CF4B8F">
            <w:pPr>
              <w:pStyle w:val="TableText"/>
              <w:tabs>
                <w:tab w:val="decimal" w:pos="1239"/>
              </w:tabs>
              <w:rPr>
                <w:lang w:eastAsia="en-NZ"/>
              </w:rPr>
            </w:pPr>
          </w:p>
        </w:tc>
        <w:tc>
          <w:tcPr>
            <w:tcW w:w="1965" w:type="dxa"/>
            <w:tcBorders>
              <w:top w:val="single" w:sz="4" w:space="0" w:color="A6A6A6" w:themeColor="background1" w:themeShade="A6"/>
            </w:tcBorders>
            <w:shd w:val="clear" w:color="auto" w:fill="auto"/>
            <w:noWrap/>
          </w:tcPr>
          <w:p w14:paraId="1309AEAE" w14:textId="77777777" w:rsidR="00232F0B" w:rsidRPr="00A40FD5" w:rsidRDefault="00232F0B" w:rsidP="00CF4B8F">
            <w:pPr>
              <w:pStyle w:val="TableText"/>
              <w:tabs>
                <w:tab w:val="decimal" w:pos="1119"/>
              </w:tabs>
              <w:rPr>
                <w:lang w:eastAsia="en-NZ"/>
              </w:rPr>
            </w:pPr>
          </w:p>
        </w:tc>
        <w:tc>
          <w:tcPr>
            <w:tcW w:w="1964" w:type="dxa"/>
            <w:tcBorders>
              <w:top w:val="single" w:sz="4" w:space="0" w:color="A6A6A6" w:themeColor="background1" w:themeShade="A6"/>
            </w:tcBorders>
            <w:shd w:val="clear" w:color="auto" w:fill="auto"/>
            <w:noWrap/>
          </w:tcPr>
          <w:p w14:paraId="757F15C9" w14:textId="77777777" w:rsidR="00232F0B" w:rsidRPr="00A40FD5" w:rsidRDefault="00232F0B" w:rsidP="00CF4B8F">
            <w:pPr>
              <w:pStyle w:val="TableText"/>
              <w:tabs>
                <w:tab w:val="decimal" w:pos="1138"/>
              </w:tabs>
              <w:rPr>
                <w:lang w:eastAsia="en-NZ"/>
              </w:rPr>
            </w:pPr>
          </w:p>
        </w:tc>
        <w:tc>
          <w:tcPr>
            <w:tcW w:w="1964" w:type="dxa"/>
            <w:tcBorders>
              <w:top w:val="single" w:sz="4" w:space="0" w:color="A6A6A6" w:themeColor="background1" w:themeShade="A6"/>
            </w:tcBorders>
            <w:shd w:val="clear" w:color="auto" w:fill="auto"/>
            <w:noWrap/>
          </w:tcPr>
          <w:p w14:paraId="2773B249" w14:textId="77777777" w:rsidR="00232F0B" w:rsidRPr="00A40FD5" w:rsidRDefault="00232F0B" w:rsidP="00CF4B8F">
            <w:pPr>
              <w:pStyle w:val="TableText"/>
              <w:tabs>
                <w:tab w:val="decimal" w:pos="1130"/>
              </w:tabs>
              <w:rPr>
                <w:lang w:eastAsia="en-NZ"/>
              </w:rPr>
            </w:pPr>
          </w:p>
        </w:tc>
        <w:tc>
          <w:tcPr>
            <w:tcW w:w="2370" w:type="dxa"/>
            <w:tcBorders>
              <w:top w:val="single" w:sz="4" w:space="0" w:color="A6A6A6" w:themeColor="background1" w:themeShade="A6"/>
            </w:tcBorders>
            <w:shd w:val="clear" w:color="auto" w:fill="auto"/>
            <w:noWrap/>
          </w:tcPr>
          <w:p w14:paraId="1C8B7483" w14:textId="77777777" w:rsidR="00232F0B" w:rsidRPr="00A40FD5" w:rsidRDefault="00232F0B" w:rsidP="00CF4B8F">
            <w:pPr>
              <w:pStyle w:val="TableText"/>
              <w:tabs>
                <w:tab w:val="decimal" w:pos="1274"/>
              </w:tabs>
              <w:rPr>
                <w:lang w:eastAsia="en-NZ"/>
              </w:rPr>
            </w:pPr>
          </w:p>
        </w:tc>
      </w:tr>
      <w:tr w:rsidR="00232F0B" w:rsidRPr="00A40FD5" w14:paraId="73FE1E49" w14:textId="77777777" w:rsidTr="00CF4B8F">
        <w:trPr>
          <w:cantSplit/>
        </w:trPr>
        <w:tc>
          <w:tcPr>
            <w:tcW w:w="2410" w:type="dxa"/>
            <w:shd w:val="clear" w:color="auto" w:fill="auto"/>
            <w:noWrap/>
            <w:hideMark/>
          </w:tcPr>
          <w:p w14:paraId="2D6BA8E4" w14:textId="77777777" w:rsidR="00232F0B" w:rsidRPr="00A40FD5" w:rsidRDefault="00232F0B" w:rsidP="009A2D7D">
            <w:pPr>
              <w:pStyle w:val="TableText"/>
              <w:rPr>
                <w:lang w:eastAsia="en-NZ"/>
              </w:rPr>
            </w:pPr>
            <w:r w:rsidRPr="00A40FD5">
              <w:rPr>
                <w:lang w:eastAsia="en-NZ"/>
              </w:rPr>
              <w:t>Consents (high-activity)</w:t>
            </w:r>
          </w:p>
        </w:tc>
        <w:tc>
          <w:tcPr>
            <w:tcW w:w="1964" w:type="dxa"/>
            <w:shd w:val="clear" w:color="auto" w:fill="auto"/>
            <w:noWrap/>
            <w:hideMark/>
          </w:tcPr>
          <w:p w14:paraId="163B01CE" w14:textId="77777777" w:rsidR="00232F0B" w:rsidRPr="00A40FD5" w:rsidRDefault="00232F0B" w:rsidP="00CF4B8F">
            <w:pPr>
              <w:pStyle w:val="TableText"/>
              <w:jc w:val="center"/>
              <w:rPr>
                <w:lang w:eastAsia="en-NZ"/>
              </w:rPr>
            </w:pPr>
            <w:r w:rsidRPr="00A40FD5">
              <w:rPr>
                <w:lang w:eastAsia="en-NZ"/>
              </w:rPr>
              <w:t>0</w:t>
            </w:r>
          </w:p>
        </w:tc>
        <w:tc>
          <w:tcPr>
            <w:tcW w:w="1964" w:type="dxa"/>
            <w:shd w:val="clear" w:color="auto" w:fill="auto"/>
            <w:noWrap/>
            <w:hideMark/>
          </w:tcPr>
          <w:p w14:paraId="70C1008B" w14:textId="77777777" w:rsidR="00232F0B" w:rsidRPr="00A40FD5" w:rsidRDefault="00232F0B" w:rsidP="00CF4B8F">
            <w:pPr>
              <w:pStyle w:val="TableText"/>
              <w:tabs>
                <w:tab w:val="decimal" w:pos="1239"/>
              </w:tabs>
              <w:rPr>
                <w:lang w:eastAsia="en-NZ"/>
              </w:rPr>
            </w:pPr>
            <w:r w:rsidRPr="00A40FD5">
              <w:rPr>
                <w:lang w:eastAsia="en-NZ"/>
              </w:rPr>
              <w:t>$233</w:t>
            </w:r>
          </w:p>
        </w:tc>
        <w:tc>
          <w:tcPr>
            <w:tcW w:w="1965" w:type="dxa"/>
            <w:shd w:val="clear" w:color="auto" w:fill="auto"/>
            <w:noWrap/>
            <w:hideMark/>
          </w:tcPr>
          <w:p w14:paraId="373EC3FE" w14:textId="77777777" w:rsidR="00232F0B" w:rsidRPr="00A40FD5" w:rsidRDefault="00232F0B" w:rsidP="00CF4B8F">
            <w:pPr>
              <w:pStyle w:val="TableText"/>
              <w:tabs>
                <w:tab w:val="decimal" w:pos="1119"/>
              </w:tabs>
              <w:rPr>
                <w:lang w:eastAsia="en-NZ"/>
              </w:rPr>
            </w:pPr>
            <w:r w:rsidRPr="00A40FD5">
              <w:rPr>
                <w:lang w:eastAsia="en-NZ"/>
              </w:rPr>
              <w:t>$300</w:t>
            </w:r>
          </w:p>
        </w:tc>
        <w:tc>
          <w:tcPr>
            <w:tcW w:w="1964" w:type="dxa"/>
            <w:shd w:val="clear" w:color="auto" w:fill="auto"/>
            <w:noWrap/>
            <w:hideMark/>
          </w:tcPr>
          <w:p w14:paraId="7DF1A589" w14:textId="77777777" w:rsidR="00232F0B" w:rsidRPr="00A40FD5" w:rsidRDefault="00232F0B" w:rsidP="00CF4B8F">
            <w:pPr>
              <w:pStyle w:val="TableText"/>
              <w:tabs>
                <w:tab w:val="decimal" w:pos="1138"/>
              </w:tabs>
              <w:rPr>
                <w:lang w:eastAsia="en-NZ"/>
              </w:rPr>
            </w:pPr>
            <w:r w:rsidRPr="00A40FD5">
              <w:rPr>
                <w:lang w:eastAsia="en-NZ"/>
              </w:rPr>
              <w:t>$300</w:t>
            </w:r>
          </w:p>
        </w:tc>
        <w:tc>
          <w:tcPr>
            <w:tcW w:w="1964" w:type="dxa"/>
            <w:shd w:val="clear" w:color="auto" w:fill="auto"/>
            <w:noWrap/>
            <w:hideMark/>
          </w:tcPr>
          <w:p w14:paraId="3A6876CD" w14:textId="77777777" w:rsidR="00232F0B" w:rsidRPr="00A40FD5" w:rsidRDefault="00232F0B" w:rsidP="00CF4B8F">
            <w:pPr>
              <w:pStyle w:val="TableText"/>
              <w:tabs>
                <w:tab w:val="decimal" w:pos="1130"/>
              </w:tabs>
              <w:rPr>
                <w:lang w:eastAsia="en-NZ"/>
              </w:rPr>
            </w:pPr>
            <w:r w:rsidRPr="00A40FD5">
              <w:rPr>
                <w:lang w:eastAsia="en-NZ"/>
              </w:rPr>
              <w:t>-$67</w:t>
            </w:r>
          </w:p>
        </w:tc>
        <w:tc>
          <w:tcPr>
            <w:tcW w:w="2370" w:type="dxa"/>
            <w:shd w:val="clear" w:color="auto" w:fill="auto"/>
            <w:noWrap/>
            <w:hideMark/>
          </w:tcPr>
          <w:p w14:paraId="54A25E07" w14:textId="77777777" w:rsidR="00232F0B" w:rsidRPr="00A40FD5" w:rsidRDefault="00232F0B" w:rsidP="00CF4B8F">
            <w:pPr>
              <w:pStyle w:val="TableText"/>
              <w:tabs>
                <w:tab w:val="decimal" w:pos="1274"/>
              </w:tabs>
              <w:rPr>
                <w:lang w:eastAsia="en-NZ"/>
              </w:rPr>
            </w:pPr>
            <w:r w:rsidRPr="00A40FD5">
              <w:rPr>
                <w:lang w:eastAsia="en-NZ"/>
              </w:rPr>
              <w:t>-2</w:t>
            </w:r>
            <w:r>
              <w:rPr>
                <w:lang w:eastAsia="en-NZ"/>
              </w:rPr>
              <w:t>3</w:t>
            </w:r>
            <w:r w:rsidRPr="00A40FD5">
              <w:rPr>
                <w:lang w:eastAsia="en-NZ"/>
              </w:rPr>
              <w:t>%</w:t>
            </w:r>
          </w:p>
        </w:tc>
      </w:tr>
      <w:tr w:rsidR="00232F0B" w:rsidRPr="00A40FD5" w14:paraId="698ACACC" w14:textId="77777777" w:rsidTr="00CF4B8F">
        <w:trPr>
          <w:cantSplit/>
        </w:trPr>
        <w:tc>
          <w:tcPr>
            <w:tcW w:w="2410" w:type="dxa"/>
            <w:shd w:val="clear" w:color="auto" w:fill="auto"/>
            <w:noWrap/>
            <w:hideMark/>
          </w:tcPr>
          <w:p w14:paraId="76DCDE5D" w14:textId="77777777" w:rsidR="00232F0B" w:rsidRPr="00A40FD5" w:rsidRDefault="00232F0B" w:rsidP="009A2D7D">
            <w:pPr>
              <w:pStyle w:val="TableText"/>
              <w:rPr>
                <w:lang w:eastAsia="en-NZ"/>
              </w:rPr>
            </w:pPr>
            <w:r w:rsidRPr="00A40FD5">
              <w:rPr>
                <w:lang w:eastAsia="en-NZ"/>
              </w:rPr>
              <w:t>Consents (low-activity)</w:t>
            </w:r>
          </w:p>
        </w:tc>
        <w:tc>
          <w:tcPr>
            <w:tcW w:w="1964" w:type="dxa"/>
            <w:shd w:val="clear" w:color="auto" w:fill="auto"/>
            <w:noWrap/>
            <w:hideMark/>
          </w:tcPr>
          <w:p w14:paraId="124B7BC4" w14:textId="77777777" w:rsidR="00232F0B" w:rsidRPr="00A40FD5" w:rsidRDefault="00232F0B" w:rsidP="00CF4B8F">
            <w:pPr>
              <w:pStyle w:val="TableText"/>
              <w:jc w:val="center"/>
              <w:rPr>
                <w:lang w:eastAsia="en-NZ"/>
              </w:rPr>
            </w:pPr>
            <w:r w:rsidRPr="00A40FD5">
              <w:rPr>
                <w:lang w:eastAsia="en-NZ"/>
              </w:rPr>
              <w:t>0</w:t>
            </w:r>
          </w:p>
        </w:tc>
        <w:tc>
          <w:tcPr>
            <w:tcW w:w="1964" w:type="dxa"/>
            <w:shd w:val="clear" w:color="auto" w:fill="auto"/>
            <w:noWrap/>
            <w:hideMark/>
          </w:tcPr>
          <w:p w14:paraId="74D7C9EB" w14:textId="77777777" w:rsidR="00232F0B" w:rsidRPr="00A40FD5" w:rsidRDefault="00232F0B" w:rsidP="00CF4B8F">
            <w:pPr>
              <w:pStyle w:val="TableText"/>
              <w:tabs>
                <w:tab w:val="decimal" w:pos="1239"/>
              </w:tabs>
              <w:rPr>
                <w:lang w:eastAsia="en-NZ"/>
              </w:rPr>
            </w:pPr>
            <w:r w:rsidRPr="00A40FD5">
              <w:rPr>
                <w:lang w:eastAsia="en-NZ"/>
              </w:rPr>
              <w:t>$163</w:t>
            </w:r>
          </w:p>
        </w:tc>
        <w:tc>
          <w:tcPr>
            <w:tcW w:w="1965" w:type="dxa"/>
            <w:shd w:val="clear" w:color="auto" w:fill="auto"/>
            <w:noWrap/>
            <w:hideMark/>
          </w:tcPr>
          <w:p w14:paraId="156A33A9" w14:textId="77777777" w:rsidR="00232F0B" w:rsidRPr="00A40FD5" w:rsidRDefault="00232F0B" w:rsidP="00CF4B8F">
            <w:pPr>
              <w:pStyle w:val="TableText"/>
              <w:tabs>
                <w:tab w:val="decimal" w:pos="1119"/>
              </w:tabs>
              <w:rPr>
                <w:lang w:eastAsia="en-NZ"/>
              </w:rPr>
            </w:pPr>
            <w:r w:rsidRPr="00A40FD5">
              <w:rPr>
                <w:lang w:eastAsia="en-NZ"/>
              </w:rPr>
              <w:t>$80</w:t>
            </w:r>
          </w:p>
        </w:tc>
        <w:tc>
          <w:tcPr>
            <w:tcW w:w="1964" w:type="dxa"/>
            <w:shd w:val="clear" w:color="auto" w:fill="auto"/>
            <w:noWrap/>
            <w:hideMark/>
          </w:tcPr>
          <w:p w14:paraId="264C9477" w14:textId="77777777" w:rsidR="00232F0B" w:rsidRPr="00A40FD5" w:rsidRDefault="00232F0B" w:rsidP="00CF4B8F">
            <w:pPr>
              <w:pStyle w:val="TableText"/>
              <w:tabs>
                <w:tab w:val="decimal" w:pos="1138"/>
              </w:tabs>
              <w:rPr>
                <w:lang w:eastAsia="en-NZ"/>
              </w:rPr>
            </w:pPr>
            <w:r w:rsidRPr="00A40FD5">
              <w:rPr>
                <w:lang w:eastAsia="en-NZ"/>
              </w:rPr>
              <w:t>$80</w:t>
            </w:r>
          </w:p>
        </w:tc>
        <w:tc>
          <w:tcPr>
            <w:tcW w:w="1964" w:type="dxa"/>
            <w:shd w:val="clear" w:color="auto" w:fill="auto"/>
            <w:noWrap/>
            <w:hideMark/>
          </w:tcPr>
          <w:p w14:paraId="62E86A4D" w14:textId="77777777" w:rsidR="00232F0B" w:rsidRPr="00A40FD5" w:rsidRDefault="00232F0B" w:rsidP="00CF4B8F">
            <w:pPr>
              <w:pStyle w:val="TableText"/>
              <w:tabs>
                <w:tab w:val="decimal" w:pos="1130"/>
              </w:tabs>
              <w:rPr>
                <w:lang w:eastAsia="en-NZ"/>
              </w:rPr>
            </w:pPr>
            <w:r w:rsidRPr="00A40FD5">
              <w:rPr>
                <w:lang w:eastAsia="en-NZ"/>
              </w:rPr>
              <w:t>$83</w:t>
            </w:r>
          </w:p>
        </w:tc>
        <w:tc>
          <w:tcPr>
            <w:tcW w:w="2370" w:type="dxa"/>
            <w:shd w:val="clear" w:color="auto" w:fill="auto"/>
            <w:noWrap/>
            <w:hideMark/>
          </w:tcPr>
          <w:p w14:paraId="0942FA58" w14:textId="77777777" w:rsidR="00232F0B" w:rsidRPr="00A40FD5" w:rsidRDefault="00232F0B" w:rsidP="00CF4B8F">
            <w:pPr>
              <w:pStyle w:val="TableText"/>
              <w:tabs>
                <w:tab w:val="decimal" w:pos="1274"/>
              </w:tabs>
              <w:rPr>
                <w:lang w:eastAsia="en-NZ"/>
              </w:rPr>
            </w:pPr>
            <w:r w:rsidRPr="00A40FD5">
              <w:rPr>
                <w:lang w:eastAsia="en-NZ"/>
              </w:rPr>
              <w:t>104%</w:t>
            </w:r>
          </w:p>
        </w:tc>
      </w:tr>
      <w:tr w:rsidR="00232F0B" w:rsidRPr="00A40FD5" w14:paraId="600DBCDE" w14:textId="77777777" w:rsidTr="00CF4B8F">
        <w:trPr>
          <w:cantSplit/>
        </w:trPr>
        <w:tc>
          <w:tcPr>
            <w:tcW w:w="2410" w:type="dxa"/>
            <w:shd w:val="clear" w:color="auto" w:fill="auto"/>
            <w:noWrap/>
            <w:hideMark/>
          </w:tcPr>
          <w:p w14:paraId="0C92E33B" w14:textId="77777777" w:rsidR="00232F0B" w:rsidRPr="00A40FD5" w:rsidRDefault="00232F0B" w:rsidP="009A2D7D">
            <w:pPr>
              <w:pStyle w:val="TableText"/>
              <w:rPr>
                <w:lang w:eastAsia="en-NZ"/>
              </w:rPr>
            </w:pPr>
            <w:r w:rsidRPr="00A40FD5">
              <w:rPr>
                <w:lang w:eastAsia="en-NZ"/>
              </w:rPr>
              <w:t>Consents (unsealed multi)</w:t>
            </w:r>
          </w:p>
        </w:tc>
        <w:tc>
          <w:tcPr>
            <w:tcW w:w="1964" w:type="dxa"/>
            <w:shd w:val="clear" w:color="auto" w:fill="auto"/>
            <w:noWrap/>
            <w:hideMark/>
          </w:tcPr>
          <w:p w14:paraId="7A241038" w14:textId="77777777" w:rsidR="00232F0B" w:rsidRPr="00A40FD5" w:rsidRDefault="00232F0B" w:rsidP="00CF4B8F">
            <w:pPr>
              <w:pStyle w:val="TableText"/>
              <w:jc w:val="center"/>
              <w:rPr>
                <w:lang w:eastAsia="en-NZ"/>
              </w:rPr>
            </w:pPr>
            <w:r w:rsidRPr="00A40FD5">
              <w:rPr>
                <w:lang w:eastAsia="en-NZ"/>
              </w:rPr>
              <w:t>0</w:t>
            </w:r>
          </w:p>
        </w:tc>
        <w:tc>
          <w:tcPr>
            <w:tcW w:w="1964" w:type="dxa"/>
            <w:shd w:val="clear" w:color="auto" w:fill="auto"/>
            <w:noWrap/>
            <w:hideMark/>
          </w:tcPr>
          <w:p w14:paraId="548F209D" w14:textId="77777777" w:rsidR="00232F0B" w:rsidRPr="00A40FD5" w:rsidRDefault="00232F0B" w:rsidP="00CF4B8F">
            <w:pPr>
              <w:pStyle w:val="TableText"/>
              <w:tabs>
                <w:tab w:val="decimal" w:pos="1239"/>
              </w:tabs>
              <w:rPr>
                <w:lang w:eastAsia="en-NZ"/>
              </w:rPr>
            </w:pPr>
            <w:r w:rsidRPr="00A40FD5">
              <w:rPr>
                <w:lang w:eastAsia="en-NZ"/>
              </w:rPr>
              <w:t>$163</w:t>
            </w:r>
          </w:p>
        </w:tc>
        <w:tc>
          <w:tcPr>
            <w:tcW w:w="1965" w:type="dxa"/>
            <w:shd w:val="clear" w:color="auto" w:fill="auto"/>
            <w:noWrap/>
            <w:hideMark/>
          </w:tcPr>
          <w:p w14:paraId="11E31303" w14:textId="77777777" w:rsidR="00232F0B" w:rsidRPr="00A40FD5" w:rsidRDefault="00232F0B" w:rsidP="00CF4B8F">
            <w:pPr>
              <w:pStyle w:val="TableText"/>
              <w:tabs>
                <w:tab w:val="decimal" w:pos="1119"/>
              </w:tabs>
              <w:rPr>
                <w:lang w:eastAsia="en-NZ"/>
              </w:rPr>
            </w:pPr>
            <w:r w:rsidRPr="00A40FD5">
              <w:rPr>
                <w:lang w:eastAsia="en-NZ"/>
              </w:rPr>
              <w:t>$400</w:t>
            </w:r>
          </w:p>
        </w:tc>
        <w:tc>
          <w:tcPr>
            <w:tcW w:w="1964" w:type="dxa"/>
            <w:shd w:val="clear" w:color="auto" w:fill="auto"/>
            <w:noWrap/>
            <w:hideMark/>
          </w:tcPr>
          <w:p w14:paraId="4F5D03C0" w14:textId="77777777" w:rsidR="00232F0B" w:rsidRPr="00A40FD5" w:rsidRDefault="00232F0B" w:rsidP="00CF4B8F">
            <w:pPr>
              <w:pStyle w:val="TableText"/>
              <w:tabs>
                <w:tab w:val="decimal" w:pos="1138"/>
              </w:tabs>
              <w:rPr>
                <w:lang w:eastAsia="en-NZ"/>
              </w:rPr>
            </w:pPr>
            <w:r w:rsidRPr="00A40FD5">
              <w:rPr>
                <w:lang w:eastAsia="en-NZ"/>
              </w:rPr>
              <w:t>$400</w:t>
            </w:r>
          </w:p>
        </w:tc>
        <w:tc>
          <w:tcPr>
            <w:tcW w:w="1964" w:type="dxa"/>
            <w:shd w:val="clear" w:color="auto" w:fill="auto"/>
            <w:noWrap/>
            <w:hideMark/>
          </w:tcPr>
          <w:p w14:paraId="3E65B64A" w14:textId="77777777" w:rsidR="00232F0B" w:rsidRPr="00A40FD5" w:rsidRDefault="00232F0B" w:rsidP="00CF4B8F">
            <w:pPr>
              <w:pStyle w:val="TableText"/>
              <w:tabs>
                <w:tab w:val="decimal" w:pos="1130"/>
              </w:tabs>
              <w:rPr>
                <w:lang w:eastAsia="en-NZ"/>
              </w:rPr>
            </w:pPr>
            <w:r w:rsidRPr="00A40FD5">
              <w:rPr>
                <w:lang w:eastAsia="en-NZ"/>
              </w:rPr>
              <w:t>-$237</w:t>
            </w:r>
          </w:p>
        </w:tc>
        <w:tc>
          <w:tcPr>
            <w:tcW w:w="2370" w:type="dxa"/>
            <w:shd w:val="clear" w:color="auto" w:fill="auto"/>
            <w:noWrap/>
            <w:hideMark/>
          </w:tcPr>
          <w:p w14:paraId="5F0F110B" w14:textId="77777777" w:rsidR="00232F0B" w:rsidRPr="00A40FD5" w:rsidRDefault="00232F0B" w:rsidP="00CF4B8F">
            <w:pPr>
              <w:pStyle w:val="TableText"/>
              <w:tabs>
                <w:tab w:val="decimal" w:pos="1274"/>
              </w:tabs>
              <w:rPr>
                <w:lang w:eastAsia="en-NZ"/>
              </w:rPr>
            </w:pPr>
            <w:r w:rsidRPr="00A40FD5">
              <w:rPr>
                <w:lang w:eastAsia="en-NZ"/>
              </w:rPr>
              <w:t>-59%</w:t>
            </w:r>
          </w:p>
        </w:tc>
      </w:tr>
    </w:tbl>
    <w:p w14:paraId="0A1383BE" w14:textId="77777777" w:rsidR="00486383" w:rsidRDefault="00486383" w:rsidP="00486383">
      <w:bookmarkStart w:id="362" w:name="_Toc83133531"/>
    </w:p>
    <w:p w14:paraId="29B1C380" w14:textId="77777777" w:rsidR="00232F0B" w:rsidRPr="00F6729B" w:rsidRDefault="00232F0B" w:rsidP="00571494">
      <w:pPr>
        <w:pStyle w:val="Heading2-notnumbered"/>
        <w:keepNext w:val="0"/>
        <w:pageBreakBefore/>
        <w:spacing w:before="0"/>
      </w:pPr>
      <w:bookmarkStart w:id="363" w:name="Appendix_2"/>
      <w:bookmarkStart w:id="364" w:name="_Toc89696207"/>
      <w:bookmarkEnd w:id="363"/>
      <w:r w:rsidRPr="00F6729B">
        <w:t>Appendix</w:t>
      </w:r>
      <w:r w:rsidR="00486383">
        <w:t> </w:t>
      </w:r>
      <w:r w:rsidRPr="00F6729B">
        <w:t>2:</w:t>
      </w:r>
      <w:r w:rsidR="00486383">
        <w:t xml:space="preserve"> </w:t>
      </w:r>
      <w:r>
        <w:t>Radiation l</w:t>
      </w:r>
      <w:r w:rsidRPr="00F6729B">
        <w:t>icencing fees comparison</w:t>
      </w:r>
      <w:r>
        <w:t>,</w:t>
      </w:r>
      <w:r w:rsidRPr="00F6729B">
        <w:t xml:space="preserve"> </w:t>
      </w:r>
      <w:r>
        <w:t>New Zealand–</w:t>
      </w:r>
      <w:r w:rsidRPr="00F6729B">
        <w:t>Australia</w:t>
      </w:r>
      <w:bookmarkEnd w:id="362"/>
      <w:bookmarkEnd w:id="364"/>
    </w:p>
    <w:p w14:paraId="23A5D72D" w14:textId="6781F981" w:rsidR="00232F0B" w:rsidRPr="00A40FD5" w:rsidRDefault="00486383" w:rsidP="00CF4B8F">
      <w:pPr>
        <w:pStyle w:val="Table"/>
        <w:rPr>
          <w:bCs/>
          <w:u w:val="single"/>
        </w:rPr>
      </w:pPr>
      <w:bookmarkStart w:id="365" w:name="_Toc84916133"/>
      <w:bookmarkStart w:id="366" w:name="_Toc84916196"/>
      <w:bookmarkStart w:id="367" w:name="_Toc88644167"/>
      <w:r>
        <w:t>Table </w:t>
      </w:r>
      <w:r w:rsidR="00384F9F">
        <w:fldChar w:fldCharType="begin"/>
      </w:r>
      <w:r w:rsidR="00384F9F">
        <w:instrText xml:space="preserve"> SEQ Table \* ARABIC </w:instrText>
      </w:r>
      <w:r w:rsidR="00384F9F">
        <w:fldChar w:fldCharType="separate"/>
      </w:r>
      <w:r w:rsidR="003A5600">
        <w:rPr>
          <w:noProof/>
        </w:rPr>
        <w:t>19</w:t>
      </w:r>
      <w:r w:rsidR="00384F9F">
        <w:rPr>
          <w:noProof/>
        </w:rPr>
        <w:fldChar w:fldCharType="end"/>
      </w:r>
      <w:r w:rsidR="00232F0B" w:rsidRPr="00A40FD5">
        <w:t>:</w:t>
      </w:r>
      <w:r>
        <w:t xml:space="preserve"> </w:t>
      </w:r>
      <w:r w:rsidR="00232F0B" w:rsidRPr="00A40FD5">
        <w:t>Radiation licencing fees comparison</w:t>
      </w:r>
      <w:r w:rsidR="00232F0B">
        <w:t>,</w:t>
      </w:r>
      <w:r w:rsidR="00232F0B" w:rsidRPr="00A40FD5">
        <w:t xml:space="preserve"> New Zealand/Australi</w:t>
      </w:r>
      <w:r w:rsidR="00CF4B8F">
        <w:t>a</w:t>
      </w:r>
      <w:r w:rsidR="00CF4B8F">
        <w:rPr>
          <w:vertAlign w:val="superscript"/>
        </w:rPr>
        <w:t>1</w:t>
      </w:r>
      <w:bookmarkEnd w:id="365"/>
      <w:bookmarkEnd w:id="366"/>
      <w:bookmarkEnd w:id="367"/>
    </w:p>
    <w:tbl>
      <w:tblPr>
        <w:tblW w:w="4973" w:type="pct"/>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60" w:firstRow="1" w:lastRow="1" w:firstColumn="0" w:lastColumn="0" w:noHBand="0" w:noVBand="1"/>
      </w:tblPr>
      <w:tblGrid>
        <w:gridCol w:w="1412"/>
        <w:gridCol w:w="1125"/>
        <w:gridCol w:w="1128"/>
        <w:gridCol w:w="1267"/>
        <w:gridCol w:w="1263"/>
        <w:gridCol w:w="1121"/>
        <w:gridCol w:w="2327"/>
        <w:gridCol w:w="1608"/>
        <w:gridCol w:w="1689"/>
        <w:gridCol w:w="1547"/>
      </w:tblGrid>
      <w:tr w:rsidR="00CF4B8F" w:rsidRPr="00CF4B8F" w14:paraId="02394059" w14:textId="77777777" w:rsidTr="007732DF">
        <w:trPr>
          <w:cantSplit/>
          <w:tblHeader/>
        </w:trPr>
        <w:tc>
          <w:tcPr>
            <w:tcW w:w="487" w:type="pct"/>
            <w:tcBorders>
              <w:top w:val="nil"/>
              <w:bottom w:val="nil"/>
            </w:tcBorders>
            <w:shd w:val="clear" w:color="auto" w:fill="D9D9D9" w:themeFill="background1" w:themeFillShade="D9"/>
            <w:noWrap/>
          </w:tcPr>
          <w:p w14:paraId="2C3C8C60" w14:textId="77777777" w:rsidR="00232F0B" w:rsidRPr="00CF4B8F" w:rsidRDefault="00232F0B" w:rsidP="009A2D7D">
            <w:pPr>
              <w:pStyle w:val="TableText"/>
              <w:rPr>
                <w:b/>
                <w:sz w:val="17"/>
                <w:szCs w:val="17"/>
              </w:rPr>
            </w:pPr>
            <w:r w:rsidRPr="00CF4B8F">
              <w:rPr>
                <w:b/>
                <w:sz w:val="17"/>
                <w:szCs w:val="17"/>
              </w:rPr>
              <w:t>Authorisation type</w:t>
            </w:r>
          </w:p>
        </w:tc>
        <w:tc>
          <w:tcPr>
            <w:tcW w:w="388" w:type="pct"/>
            <w:tcBorders>
              <w:top w:val="nil"/>
              <w:bottom w:val="nil"/>
            </w:tcBorders>
            <w:shd w:val="clear" w:color="auto" w:fill="D9D9D9" w:themeFill="background1" w:themeFillShade="D9"/>
          </w:tcPr>
          <w:p w14:paraId="29E20D1A" w14:textId="77777777" w:rsidR="00232F0B" w:rsidRPr="00CF4B8F" w:rsidRDefault="00232F0B" w:rsidP="00CF4B8F">
            <w:pPr>
              <w:pStyle w:val="TableText"/>
              <w:jc w:val="center"/>
              <w:rPr>
                <w:b/>
                <w:sz w:val="17"/>
                <w:szCs w:val="17"/>
              </w:rPr>
            </w:pPr>
            <w:r w:rsidRPr="00CF4B8F">
              <w:rPr>
                <w:b/>
                <w:sz w:val="17"/>
                <w:szCs w:val="17"/>
              </w:rPr>
              <w:t>Current NZ</w:t>
            </w:r>
            <w:r w:rsidR="00CF4B8F" w:rsidRPr="00CF4B8F">
              <w:rPr>
                <w:b/>
                <w:sz w:val="17"/>
                <w:szCs w:val="17"/>
              </w:rPr>
              <w:t> </w:t>
            </w:r>
            <w:r w:rsidRPr="00CF4B8F">
              <w:rPr>
                <w:b/>
                <w:sz w:val="17"/>
                <w:szCs w:val="17"/>
              </w:rPr>
              <w:t>fee</w:t>
            </w:r>
          </w:p>
        </w:tc>
        <w:tc>
          <w:tcPr>
            <w:tcW w:w="389" w:type="pct"/>
            <w:tcBorders>
              <w:top w:val="nil"/>
              <w:bottom w:val="nil"/>
            </w:tcBorders>
            <w:shd w:val="clear" w:color="auto" w:fill="D9D9D9" w:themeFill="background1" w:themeFillShade="D9"/>
          </w:tcPr>
          <w:p w14:paraId="601D6A32" w14:textId="77777777" w:rsidR="00232F0B" w:rsidRPr="00CF4B8F" w:rsidRDefault="00232F0B" w:rsidP="00CF4B8F">
            <w:pPr>
              <w:pStyle w:val="TableText"/>
              <w:jc w:val="center"/>
              <w:rPr>
                <w:b/>
                <w:sz w:val="17"/>
                <w:szCs w:val="17"/>
              </w:rPr>
            </w:pPr>
            <w:r w:rsidRPr="00CF4B8F">
              <w:rPr>
                <w:b/>
                <w:sz w:val="17"/>
                <w:szCs w:val="17"/>
              </w:rPr>
              <w:t>Proposed NZ</w:t>
            </w:r>
            <w:r w:rsidR="00CF4B8F" w:rsidRPr="00CF4B8F">
              <w:rPr>
                <w:b/>
                <w:sz w:val="17"/>
                <w:szCs w:val="17"/>
              </w:rPr>
              <w:t> </w:t>
            </w:r>
            <w:r w:rsidRPr="00CF4B8F">
              <w:rPr>
                <w:b/>
                <w:sz w:val="17"/>
                <w:szCs w:val="17"/>
              </w:rPr>
              <w:t>fee</w:t>
            </w:r>
          </w:p>
        </w:tc>
        <w:tc>
          <w:tcPr>
            <w:tcW w:w="437" w:type="pct"/>
            <w:tcBorders>
              <w:top w:val="nil"/>
              <w:bottom w:val="nil"/>
            </w:tcBorders>
            <w:shd w:val="clear" w:color="auto" w:fill="D9D9D9" w:themeFill="background1" w:themeFillShade="D9"/>
          </w:tcPr>
          <w:p w14:paraId="637FF281" w14:textId="77777777" w:rsidR="00232F0B" w:rsidRPr="00CF4B8F" w:rsidRDefault="00232F0B" w:rsidP="00CF4B8F">
            <w:pPr>
              <w:pStyle w:val="TableText"/>
              <w:jc w:val="center"/>
              <w:rPr>
                <w:b/>
                <w:sz w:val="17"/>
                <w:szCs w:val="17"/>
              </w:rPr>
            </w:pPr>
            <w:r w:rsidRPr="00CF4B8F">
              <w:rPr>
                <w:b/>
                <w:sz w:val="17"/>
                <w:szCs w:val="17"/>
              </w:rPr>
              <w:t>Australia</w:t>
            </w:r>
            <w:r w:rsidR="00CF4B8F" w:rsidRPr="00CF4B8F">
              <w:rPr>
                <w:b/>
                <w:sz w:val="17"/>
                <w:szCs w:val="17"/>
              </w:rPr>
              <w:br/>
            </w:r>
            <w:r w:rsidRPr="00CF4B8F">
              <w:rPr>
                <w:b/>
                <w:sz w:val="17"/>
                <w:szCs w:val="17"/>
              </w:rPr>
              <w:t>(federal) fe</w:t>
            </w:r>
            <w:r w:rsidR="00CF4B8F" w:rsidRPr="00CF4B8F">
              <w:rPr>
                <w:b/>
                <w:sz w:val="17"/>
                <w:szCs w:val="17"/>
              </w:rPr>
              <w:t>e</w:t>
            </w:r>
            <w:r w:rsidR="00CF4B8F" w:rsidRPr="00CF4B8F">
              <w:rPr>
                <w:b/>
                <w:sz w:val="17"/>
                <w:szCs w:val="17"/>
                <w:vertAlign w:val="superscript"/>
              </w:rPr>
              <w:t>2</w:t>
            </w:r>
          </w:p>
        </w:tc>
        <w:tc>
          <w:tcPr>
            <w:tcW w:w="436" w:type="pct"/>
            <w:tcBorders>
              <w:top w:val="nil"/>
              <w:bottom w:val="nil"/>
            </w:tcBorders>
            <w:shd w:val="clear" w:color="auto" w:fill="D9D9D9" w:themeFill="background1" w:themeFillShade="D9"/>
          </w:tcPr>
          <w:p w14:paraId="3E871FBF" w14:textId="77777777" w:rsidR="00232F0B" w:rsidRPr="00CF4B8F" w:rsidRDefault="00232F0B" w:rsidP="00CF4B8F">
            <w:pPr>
              <w:pStyle w:val="TableText"/>
              <w:jc w:val="center"/>
              <w:rPr>
                <w:b/>
                <w:sz w:val="17"/>
                <w:szCs w:val="17"/>
              </w:rPr>
            </w:pPr>
            <w:r w:rsidRPr="00CF4B8F">
              <w:rPr>
                <w:b/>
                <w:sz w:val="17"/>
                <w:szCs w:val="17"/>
              </w:rPr>
              <w:t>Australia (Vic)</w:t>
            </w:r>
            <w:r w:rsidR="00CF4B8F" w:rsidRPr="00CF4B8F">
              <w:rPr>
                <w:b/>
                <w:sz w:val="17"/>
                <w:szCs w:val="17"/>
              </w:rPr>
              <w:t> </w:t>
            </w:r>
            <w:r w:rsidRPr="00CF4B8F">
              <w:rPr>
                <w:b/>
                <w:sz w:val="17"/>
                <w:szCs w:val="17"/>
              </w:rPr>
              <w:t>fe</w:t>
            </w:r>
            <w:r w:rsidR="00CF4B8F" w:rsidRPr="00CF4B8F">
              <w:rPr>
                <w:b/>
                <w:sz w:val="17"/>
                <w:szCs w:val="17"/>
              </w:rPr>
              <w:t>e</w:t>
            </w:r>
            <w:r w:rsidR="00CF4B8F" w:rsidRPr="00CF4B8F">
              <w:rPr>
                <w:b/>
                <w:sz w:val="17"/>
                <w:szCs w:val="17"/>
                <w:vertAlign w:val="superscript"/>
              </w:rPr>
              <w:t>3</w:t>
            </w:r>
          </w:p>
        </w:tc>
        <w:tc>
          <w:tcPr>
            <w:tcW w:w="387" w:type="pct"/>
            <w:tcBorders>
              <w:top w:val="nil"/>
              <w:bottom w:val="nil"/>
            </w:tcBorders>
            <w:shd w:val="clear" w:color="auto" w:fill="D9D9D9" w:themeFill="background1" w:themeFillShade="D9"/>
          </w:tcPr>
          <w:p w14:paraId="60D9B6E7" w14:textId="77777777" w:rsidR="00232F0B" w:rsidRPr="00CF4B8F" w:rsidRDefault="00232F0B" w:rsidP="00CF4B8F">
            <w:pPr>
              <w:pStyle w:val="TableText"/>
              <w:jc w:val="center"/>
              <w:rPr>
                <w:b/>
                <w:sz w:val="17"/>
                <w:szCs w:val="17"/>
              </w:rPr>
            </w:pPr>
            <w:r w:rsidRPr="00CF4B8F">
              <w:rPr>
                <w:b/>
                <w:sz w:val="17"/>
                <w:szCs w:val="17"/>
              </w:rPr>
              <w:t>Australia (NSW) fe</w:t>
            </w:r>
            <w:r w:rsidR="00CF4B8F" w:rsidRPr="00CF4B8F">
              <w:rPr>
                <w:b/>
                <w:sz w:val="17"/>
                <w:szCs w:val="17"/>
              </w:rPr>
              <w:t>e</w:t>
            </w:r>
            <w:r w:rsidR="00CF4B8F" w:rsidRPr="00CF4B8F">
              <w:rPr>
                <w:b/>
                <w:sz w:val="17"/>
                <w:szCs w:val="17"/>
                <w:vertAlign w:val="superscript"/>
              </w:rPr>
              <w:t>4</w:t>
            </w:r>
          </w:p>
        </w:tc>
        <w:tc>
          <w:tcPr>
            <w:tcW w:w="803" w:type="pct"/>
            <w:tcBorders>
              <w:top w:val="nil"/>
              <w:bottom w:val="nil"/>
            </w:tcBorders>
            <w:shd w:val="clear" w:color="auto" w:fill="D9D9D9" w:themeFill="background1" w:themeFillShade="D9"/>
          </w:tcPr>
          <w:p w14:paraId="1B4AB7ED" w14:textId="77777777" w:rsidR="00232F0B" w:rsidRPr="00CF4B8F" w:rsidRDefault="00232F0B" w:rsidP="00CF4B8F">
            <w:pPr>
              <w:pStyle w:val="TableText"/>
              <w:jc w:val="center"/>
              <w:rPr>
                <w:b/>
                <w:sz w:val="17"/>
                <w:szCs w:val="17"/>
              </w:rPr>
            </w:pPr>
            <w:r w:rsidRPr="00CF4B8F">
              <w:rPr>
                <w:b/>
                <w:sz w:val="17"/>
                <w:szCs w:val="17"/>
              </w:rPr>
              <w:t>Australia</w:t>
            </w:r>
            <w:r w:rsidR="00CF4B8F" w:rsidRPr="00CF4B8F">
              <w:rPr>
                <w:b/>
                <w:sz w:val="17"/>
                <w:szCs w:val="17"/>
              </w:rPr>
              <w:br/>
            </w:r>
            <w:r w:rsidRPr="00CF4B8F">
              <w:rPr>
                <w:b/>
                <w:sz w:val="17"/>
                <w:szCs w:val="17"/>
              </w:rPr>
              <w:t>(Qld) fe</w:t>
            </w:r>
            <w:r w:rsidR="00CF4B8F" w:rsidRPr="00CF4B8F">
              <w:rPr>
                <w:b/>
                <w:sz w:val="17"/>
                <w:szCs w:val="17"/>
              </w:rPr>
              <w:t>e</w:t>
            </w:r>
            <w:r w:rsidR="00CF4B8F" w:rsidRPr="00CF4B8F">
              <w:rPr>
                <w:b/>
                <w:sz w:val="17"/>
                <w:szCs w:val="17"/>
                <w:vertAlign w:val="superscript"/>
              </w:rPr>
              <w:t>5</w:t>
            </w:r>
          </w:p>
        </w:tc>
        <w:tc>
          <w:tcPr>
            <w:tcW w:w="555" w:type="pct"/>
            <w:tcBorders>
              <w:top w:val="nil"/>
              <w:bottom w:val="nil"/>
            </w:tcBorders>
            <w:shd w:val="clear" w:color="auto" w:fill="D9D9D9" w:themeFill="background1" w:themeFillShade="D9"/>
          </w:tcPr>
          <w:p w14:paraId="1C7ECA2E" w14:textId="77777777" w:rsidR="00232F0B" w:rsidRPr="00CF4B8F" w:rsidRDefault="00232F0B" w:rsidP="00CF4B8F">
            <w:pPr>
              <w:pStyle w:val="TableText"/>
              <w:jc w:val="center"/>
              <w:rPr>
                <w:b/>
                <w:sz w:val="17"/>
                <w:szCs w:val="17"/>
              </w:rPr>
            </w:pPr>
            <w:r w:rsidRPr="00CF4B8F">
              <w:rPr>
                <w:b/>
                <w:sz w:val="17"/>
                <w:szCs w:val="17"/>
              </w:rPr>
              <w:t>Australia (WA)</w:t>
            </w:r>
            <w:r w:rsidR="00CF4B8F" w:rsidRPr="00CF4B8F">
              <w:rPr>
                <w:b/>
                <w:sz w:val="17"/>
                <w:szCs w:val="17"/>
              </w:rPr>
              <w:t> </w:t>
            </w:r>
            <w:r w:rsidRPr="00CF4B8F">
              <w:rPr>
                <w:b/>
                <w:sz w:val="17"/>
                <w:szCs w:val="17"/>
              </w:rPr>
              <w:t>fe</w:t>
            </w:r>
            <w:r w:rsidR="00CF4B8F" w:rsidRPr="00CF4B8F">
              <w:rPr>
                <w:b/>
                <w:sz w:val="17"/>
                <w:szCs w:val="17"/>
              </w:rPr>
              <w:t>e</w:t>
            </w:r>
            <w:r w:rsidR="00CF4B8F" w:rsidRPr="00CF4B8F">
              <w:rPr>
                <w:b/>
                <w:sz w:val="17"/>
                <w:szCs w:val="17"/>
                <w:vertAlign w:val="superscript"/>
              </w:rPr>
              <w:t>6</w:t>
            </w:r>
          </w:p>
        </w:tc>
        <w:tc>
          <w:tcPr>
            <w:tcW w:w="583" w:type="pct"/>
            <w:tcBorders>
              <w:top w:val="nil"/>
              <w:bottom w:val="nil"/>
            </w:tcBorders>
            <w:shd w:val="clear" w:color="auto" w:fill="D9D9D9" w:themeFill="background1" w:themeFillShade="D9"/>
          </w:tcPr>
          <w:p w14:paraId="471EFA56" w14:textId="77777777" w:rsidR="00232F0B" w:rsidRPr="00CF4B8F" w:rsidRDefault="00232F0B" w:rsidP="00CF4B8F">
            <w:pPr>
              <w:pStyle w:val="TableText"/>
              <w:jc w:val="center"/>
              <w:rPr>
                <w:b/>
                <w:sz w:val="17"/>
                <w:szCs w:val="17"/>
              </w:rPr>
            </w:pPr>
            <w:r w:rsidRPr="00CF4B8F">
              <w:rPr>
                <w:b/>
                <w:sz w:val="17"/>
                <w:szCs w:val="17"/>
              </w:rPr>
              <w:t>Australia</w:t>
            </w:r>
            <w:r w:rsidR="00CF4B8F">
              <w:rPr>
                <w:b/>
                <w:sz w:val="17"/>
                <w:szCs w:val="17"/>
              </w:rPr>
              <w:br/>
            </w:r>
            <w:r w:rsidRPr="00CF4B8F">
              <w:rPr>
                <w:b/>
                <w:sz w:val="17"/>
                <w:szCs w:val="17"/>
              </w:rPr>
              <w:t>(SA)</w:t>
            </w:r>
            <w:r w:rsidR="00CF4B8F" w:rsidRPr="00CF4B8F">
              <w:rPr>
                <w:b/>
                <w:sz w:val="17"/>
                <w:szCs w:val="17"/>
              </w:rPr>
              <w:t> </w:t>
            </w:r>
            <w:r w:rsidRPr="00CF4B8F">
              <w:rPr>
                <w:b/>
                <w:sz w:val="17"/>
                <w:szCs w:val="17"/>
              </w:rPr>
              <w:t>fe</w:t>
            </w:r>
            <w:r w:rsidR="00CF4B8F" w:rsidRPr="00CF4B8F">
              <w:rPr>
                <w:b/>
                <w:sz w:val="17"/>
                <w:szCs w:val="17"/>
              </w:rPr>
              <w:t>e</w:t>
            </w:r>
            <w:r w:rsidR="00CF4B8F" w:rsidRPr="00CF4B8F">
              <w:rPr>
                <w:b/>
                <w:sz w:val="17"/>
                <w:szCs w:val="17"/>
                <w:vertAlign w:val="superscript"/>
              </w:rPr>
              <w:t>7</w:t>
            </w:r>
          </w:p>
        </w:tc>
        <w:tc>
          <w:tcPr>
            <w:tcW w:w="534" w:type="pct"/>
            <w:tcBorders>
              <w:top w:val="nil"/>
              <w:bottom w:val="nil"/>
            </w:tcBorders>
            <w:shd w:val="clear" w:color="auto" w:fill="D9D9D9" w:themeFill="background1" w:themeFillShade="D9"/>
          </w:tcPr>
          <w:p w14:paraId="0A7694DB" w14:textId="77777777" w:rsidR="00232F0B" w:rsidRPr="00CF4B8F" w:rsidRDefault="00232F0B" w:rsidP="00CF4B8F">
            <w:pPr>
              <w:pStyle w:val="TableText"/>
              <w:jc w:val="center"/>
              <w:rPr>
                <w:b/>
                <w:sz w:val="17"/>
                <w:szCs w:val="17"/>
              </w:rPr>
            </w:pPr>
            <w:r w:rsidRPr="00CF4B8F">
              <w:rPr>
                <w:b/>
                <w:sz w:val="17"/>
                <w:szCs w:val="17"/>
              </w:rPr>
              <w:t>Australia</w:t>
            </w:r>
            <w:r w:rsidR="00CF4B8F">
              <w:rPr>
                <w:b/>
                <w:sz w:val="17"/>
                <w:szCs w:val="17"/>
              </w:rPr>
              <w:br/>
            </w:r>
            <w:r w:rsidRPr="00CF4B8F">
              <w:rPr>
                <w:b/>
                <w:sz w:val="17"/>
                <w:szCs w:val="17"/>
              </w:rPr>
              <w:t>(Tas)</w:t>
            </w:r>
            <w:r w:rsidR="00CF4B8F" w:rsidRPr="00CF4B8F">
              <w:rPr>
                <w:b/>
                <w:sz w:val="17"/>
                <w:szCs w:val="17"/>
              </w:rPr>
              <w:t> </w:t>
            </w:r>
            <w:r w:rsidRPr="00CF4B8F">
              <w:rPr>
                <w:b/>
                <w:sz w:val="17"/>
                <w:szCs w:val="17"/>
              </w:rPr>
              <w:t>fe</w:t>
            </w:r>
            <w:r w:rsidR="00CF4B8F" w:rsidRPr="00CF4B8F">
              <w:rPr>
                <w:b/>
                <w:sz w:val="17"/>
                <w:szCs w:val="17"/>
              </w:rPr>
              <w:t>e</w:t>
            </w:r>
            <w:r w:rsidR="00CF4B8F" w:rsidRPr="00CF4B8F">
              <w:rPr>
                <w:b/>
                <w:sz w:val="17"/>
                <w:szCs w:val="17"/>
                <w:vertAlign w:val="superscript"/>
              </w:rPr>
              <w:t>8</w:t>
            </w:r>
          </w:p>
        </w:tc>
      </w:tr>
      <w:tr w:rsidR="00CF4B8F" w:rsidRPr="00A40FD5" w14:paraId="47477AB0" w14:textId="77777777" w:rsidTr="007732DF">
        <w:trPr>
          <w:cantSplit/>
          <w:tblHeader/>
        </w:trPr>
        <w:tc>
          <w:tcPr>
            <w:tcW w:w="487" w:type="pct"/>
            <w:tcBorders>
              <w:top w:val="nil"/>
            </w:tcBorders>
            <w:noWrap/>
          </w:tcPr>
          <w:p w14:paraId="69663EF1" w14:textId="77777777" w:rsidR="00232F0B" w:rsidRPr="00CF4B8F" w:rsidRDefault="00232F0B" w:rsidP="00CF4B8F">
            <w:pPr>
              <w:pStyle w:val="TableText"/>
              <w:rPr>
                <w:b/>
                <w:sz w:val="17"/>
                <w:szCs w:val="17"/>
              </w:rPr>
            </w:pPr>
            <w:r w:rsidRPr="00CF4B8F">
              <w:rPr>
                <w:b/>
                <w:sz w:val="17"/>
                <w:szCs w:val="17"/>
              </w:rPr>
              <w:t>Source licence</w:t>
            </w:r>
            <w:r w:rsidRPr="00CF4B8F">
              <w:rPr>
                <w:b/>
                <w:sz w:val="17"/>
                <w:szCs w:val="17"/>
                <w:vertAlign w:val="superscript"/>
              </w:rPr>
              <w:t>9</w:t>
            </w:r>
          </w:p>
        </w:tc>
        <w:tc>
          <w:tcPr>
            <w:tcW w:w="388" w:type="pct"/>
            <w:tcBorders>
              <w:top w:val="nil"/>
            </w:tcBorders>
          </w:tcPr>
          <w:p w14:paraId="12898EA1" w14:textId="77777777" w:rsidR="00232F0B" w:rsidRPr="00CF4B8F" w:rsidRDefault="00232F0B" w:rsidP="007732DF">
            <w:pPr>
              <w:pStyle w:val="TableText"/>
              <w:jc w:val="center"/>
              <w:rPr>
                <w:b/>
                <w:sz w:val="17"/>
                <w:szCs w:val="17"/>
              </w:rPr>
            </w:pPr>
            <w:r w:rsidRPr="00CF4B8F">
              <w:rPr>
                <w:b/>
                <w:sz w:val="17"/>
                <w:szCs w:val="17"/>
              </w:rPr>
              <w:t>$NZD</w:t>
            </w:r>
          </w:p>
        </w:tc>
        <w:tc>
          <w:tcPr>
            <w:tcW w:w="389" w:type="pct"/>
            <w:tcBorders>
              <w:top w:val="nil"/>
            </w:tcBorders>
          </w:tcPr>
          <w:p w14:paraId="42317042" w14:textId="77777777" w:rsidR="00232F0B" w:rsidRPr="00CF4B8F" w:rsidRDefault="00232F0B" w:rsidP="007732DF">
            <w:pPr>
              <w:pStyle w:val="TableText"/>
              <w:jc w:val="center"/>
              <w:rPr>
                <w:b/>
                <w:sz w:val="17"/>
                <w:szCs w:val="17"/>
              </w:rPr>
            </w:pPr>
            <w:r w:rsidRPr="00CF4B8F">
              <w:rPr>
                <w:b/>
                <w:sz w:val="17"/>
                <w:szCs w:val="17"/>
              </w:rPr>
              <w:t>$NZD</w:t>
            </w:r>
          </w:p>
        </w:tc>
        <w:tc>
          <w:tcPr>
            <w:tcW w:w="437" w:type="pct"/>
            <w:tcBorders>
              <w:top w:val="nil"/>
            </w:tcBorders>
          </w:tcPr>
          <w:p w14:paraId="7DAC6F89" w14:textId="77777777" w:rsidR="00232F0B" w:rsidRPr="00CF4B8F" w:rsidRDefault="00232F0B" w:rsidP="007732DF">
            <w:pPr>
              <w:pStyle w:val="TableText"/>
              <w:jc w:val="center"/>
              <w:rPr>
                <w:b/>
                <w:sz w:val="17"/>
                <w:szCs w:val="17"/>
              </w:rPr>
            </w:pPr>
            <w:r w:rsidRPr="00CF4B8F">
              <w:rPr>
                <w:b/>
                <w:sz w:val="17"/>
                <w:szCs w:val="17"/>
              </w:rPr>
              <w:t>$AUD</w:t>
            </w:r>
          </w:p>
        </w:tc>
        <w:tc>
          <w:tcPr>
            <w:tcW w:w="436" w:type="pct"/>
            <w:tcBorders>
              <w:top w:val="nil"/>
            </w:tcBorders>
          </w:tcPr>
          <w:p w14:paraId="5B3FD99F" w14:textId="77777777" w:rsidR="00232F0B" w:rsidRPr="00CF4B8F" w:rsidRDefault="00232F0B" w:rsidP="007732DF">
            <w:pPr>
              <w:pStyle w:val="TableText"/>
              <w:jc w:val="center"/>
              <w:rPr>
                <w:b/>
                <w:sz w:val="17"/>
                <w:szCs w:val="17"/>
              </w:rPr>
            </w:pPr>
            <w:r w:rsidRPr="00CF4B8F">
              <w:rPr>
                <w:b/>
                <w:sz w:val="17"/>
                <w:szCs w:val="17"/>
              </w:rPr>
              <w:t>$AUD</w:t>
            </w:r>
          </w:p>
        </w:tc>
        <w:tc>
          <w:tcPr>
            <w:tcW w:w="387" w:type="pct"/>
            <w:tcBorders>
              <w:top w:val="nil"/>
            </w:tcBorders>
          </w:tcPr>
          <w:p w14:paraId="3B8C9688" w14:textId="77777777" w:rsidR="00232F0B" w:rsidRPr="00CF4B8F" w:rsidRDefault="00232F0B" w:rsidP="007732DF">
            <w:pPr>
              <w:pStyle w:val="TableText"/>
              <w:jc w:val="center"/>
              <w:rPr>
                <w:b/>
                <w:sz w:val="17"/>
                <w:szCs w:val="17"/>
              </w:rPr>
            </w:pPr>
            <w:r w:rsidRPr="00CF4B8F">
              <w:rPr>
                <w:b/>
                <w:sz w:val="17"/>
                <w:szCs w:val="17"/>
              </w:rPr>
              <w:t>$AUD</w:t>
            </w:r>
          </w:p>
        </w:tc>
        <w:tc>
          <w:tcPr>
            <w:tcW w:w="803" w:type="pct"/>
            <w:tcBorders>
              <w:top w:val="nil"/>
            </w:tcBorders>
          </w:tcPr>
          <w:p w14:paraId="1B77BD38" w14:textId="77777777" w:rsidR="00232F0B" w:rsidRPr="00CF4B8F" w:rsidRDefault="00232F0B" w:rsidP="007732DF">
            <w:pPr>
              <w:pStyle w:val="TableText"/>
              <w:jc w:val="center"/>
              <w:rPr>
                <w:b/>
                <w:sz w:val="17"/>
                <w:szCs w:val="17"/>
              </w:rPr>
            </w:pPr>
            <w:r w:rsidRPr="00CF4B8F">
              <w:rPr>
                <w:b/>
                <w:sz w:val="17"/>
                <w:szCs w:val="17"/>
              </w:rPr>
              <w:t>$AUD</w:t>
            </w:r>
          </w:p>
        </w:tc>
        <w:tc>
          <w:tcPr>
            <w:tcW w:w="555" w:type="pct"/>
            <w:tcBorders>
              <w:top w:val="nil"/>
            </w:tcBorders>
          </w:tcPr>
          <w:p w14:paraId="5BA2D0B4" w14:textId="77777777" w:rsidR="00232F0B" w:rsidRPr="00CF4B8F" w:rsidRDefault="00232F0B" w:rsidP="007732DF">
            <w:pPr>
              <w:pStyle w:val="TableText"/>
              <w:jc w:val="center"/>
              <w:rPr>
                <w:b/>
                <w:sz w:val="17"/>
                <w:szCs w:val="17"/>
              </w:rPr>
            </w:pPr>
            <w:r w:rsidRPr="00CF4B8F">
              <w:rPr>
                <w:b/>
                <w:sz w:val="17"/>
                <w:szCs w:val="17"/>
              </w:rPr>
              <w:t>$AUD</w:t>
            </w:r>
          </w:p>
        </w:tc>
        <w:tc>
          <w:tcPr>
            <w:tcW w:w="583" w:type="pct"/>
            <w:tcBorders>
              <w:top w:val="nil"/>
            </w:tcBorders>
          </w:tcPr>
          <w:p w14:paraId="102D6E8C" w14:textId="77777777" w:rsidR="00232F0B" w:rsidRPr="00CF4B8F" w:rsidRDefault="00232F0B" w:rsidP="007732DF">
            <w:pPr>
              <w:pStyle w:val="TableText"/>
              <w:jc w:val="center"/>
              <w:rPr>
                <w:b/>
                <w:sz w:val="17"/>
                <w:szCs w:val="17"/>
              </w:rPr>
            </w:pPr>
            <w:r w:rsidRPr="00CF4B8F">
              <w:rPr>
                <w:b/>
                <w:sz w:val="17"/>
                <w:szCs w:val="17"/>
              </w:rPr>
              <w:t>$AUD</w:t>
            </w:r>
          </w:p>
        </w:tc>
        <w:tc>
          <w:tcPr>
            <w:tcW w:w="534" w:type="pct"/>
            <w:tcBorders>
              <w:top w:val="nil"/>
            </w:tcBorders>
          </w:tcPr>
          <w:p w14:paraId="39F6AC94" w14:textId="77777777" w:rsidR="00232F0B" w:rsidRPr="00CF4B8F" w:rsidRDefault="00232F0B" w:rsidP="007732DF">
            <w:pPr>
              <w:pStyle w:val="TableText"/>
              <w:jc w:val="center"/>
              <w:rPr>
                <w:b/>
                <w:sz w:val="17"/>
                <w:szCs w:val="17"/>
              </w:rPr>
            </w:pPr>
            <w:r w:rsidRPr="00CF4B8F">
              <w:rPr>
                <w:b/>
                <w:sz w:val="17"/>
                <w:szCs w:val="17"/>
              </w:rPr>
              <w:t>$AUD</w:t>
            </w:r>
          </w:p>
        </w:tc>
      </w:tr>
      <w:tr w:rsidR="00CF4B8F" w:rsidRPr="00A40FD5" w14:paraId="6B592F3D" w14:textId="77777777" w:rsidTr="00CF4B8F">
        <w:trPr>
          <w:cantSplit/>
        </w:trPr>
        <w:tc>
          <w:tcPr>
            <w:tcW w:w="487" w:type="pct"/>
            <w:noWrap/>
          </w:tcPr>
          <w:p w14:paraId="1C3A925F" w14:textId="77777777" w:rsidR="00232F0B" w:rsidRPr="00CF4B8F" w:rsidRDefault="00232F0B" w:rsidP="00CF4B8F">
            <w:pPr>
              <w:pStyle w:val="TableText"/>
              <w:rPr>
                <w:sz w:val="17"/>
                <w:szCs w:val="17"/>
              </w:rPr>
            </w:pPr>
            <w:r w:rsidRPr="00CF4B8F">
              <w:rPr>
                <w:sz w:val="17"/>
                <w:szCs w:val="17"/>
              </w:rPr>
              <w:t>Medical 1, non</w:t>
            </w:r>
            <w:r w:rsidR="00CF4B8F" w:rsidRPr="00CF4B8F">
              <w:rPr>
                <w:sz w:val="17"/>
                <w:szCs w:val="17"/>
              </w:rPr>
              <w:noBreakHyphen/>
            </w:r>
            <w:r w:rsidRPr="00CF4B8F">
              <w:rPr>
                <w:sz w:val="17"/>
                <w:szCs w:val="17"/>
              </w:rPr>
              <w:t>medical 1 and n</w:t>
            </w:r>
            <w:r w:rsidR="00CF4B8F" w:rsidRPr="00CF4B8F">
              <w:rPr>
                <w:sz w:val="17"/>
                <w:szCs w:val="17"/>
              </w:rPr>
              <w:t>on</w:t>
            </w:r>
            <w:r w:rsidR="00CF4B8F" w:rsidRPr="00CF4B8F">
              <w:rPr>
                <w:sz w:val="17"/>
                <w:szCs w:val="17"/>
              </w:rPr>
              <w:noBreakHyphen/>
              <w:t>medical 2</w:t>
            </w:r>
          </w:p>
        </w:tc>
        <w:tc>
          <w:tcPr>
            <w:tcW w:w="388" w:type="pct"/>
          </w:tcPr>
          <w:p w14:paraId="0E0E1796" w14:textId="77777777" w:rsidR="00232F0B" w:rsidRPr="00CF4B8F" w:rsidRDefault="00232F0B" w:rsidP="007732DF">
            <w:pPr>
              <w:pStyle w:val="TableText"/>
              <w:jc w:val="center"/>
              <w:rPr>
                <w:sz w:val="17"/>
                <w:szCs w:val="17"/>
              </w:rPr>
            </w:pPr>
            <w:r w:rsidRPr="00CF4B8F">
              <w:rPr>
                <w:color w:val="002639"/>
                <w:sz w:val="17"/>
                <w:szCs w:val="17"/>
                <w:shd w:val="clear" w:color="auto" w:fill="FFFFFF"/>
              </w:rPr>
              <w:t>1,309–1,505</w:t>
            </w:r>
          </w:p>
        </w:tc>
        <w:tc>
          <w:tcPr>
            <w:tcW w:w="389" w:type="pct"/>
          </w:tcPr>
          <w:p w14:paraId="4DAB9D7F" w14:textId="77777777" w:rsidR="00232F0B" w:rsidRPr="00CF4B8F" w:rsidRDefault="00232F0B" w:rsidP="007732DF">
            <w:pPr>
              <w:pStyle w:val="TableText"/>
              <w:jc w:val="center"/>
              <w:rPr>
                <w:sz w:val="17"/>
                <w:szCs w:val="17"/>
              </w:rPr>
            </w:pPr>
            <w:r w:rsidRPr="00CF4B8F">
              <w:rPr>
                <w:sz w:val="17"/>
                <w:szCs w:val="17"/>
              </w:rPr>
              <w:t>3,508–3,744</w:t>
            </w:r>
          </w:p>
        </w:tc>
        <w:tc>
          <w:tcPr>
            <w:tcW w:w="437" w:type="pct"/>
          </w:tcPr>
          <w:p w14:paraId="4BC60054" w14:textId="77777777" w:rsidR="00232F0B" w:rsidRPr="00CF4B8F" w:rsidRDefault="00232F0B" w:rsidP="00CF4B8F">
            <w:pPr>
              <w:pStyle w:val="TableText"/>
              <w:rPr>
                <w:sz w:val="17"/>
                <w:szCs w:val="17"/>
              </w:rPr>
            </w:pPr>
            <w:r w:rsidRPr="00CF4B8F">
              <w:rPr>
                <w:sz w:val="17"/>
                <w:szCs w:val="17"/>
              </w:rPr>
              <w:t>Group 3:</w:t>
            </w:r>
            <w:r w:rsidR="00E02465">
              <w:rPr>
                <w:sz w:val="17"/>
                <w:szCs w:val="17"/>
              </w:rPr>
              <w:br/>
            </w:r>
            <w:r w:rsidRPr="00CF4B8F">
              <w:rPr>
                <w:sz w:val="17"/>
                <w:szCs w:val="17"/>
              </w:rPr>
              <w:t>14,862 (0–3)</w:t>
            </w:r>
            <w:r w:rsidR="00E02465">
              <w:rPr>
                <w:sz w:val="17"/>
                <w:szCs w:val="17"/>
              </w:rPr>
              <w:br/>
            </w:r>
            <w:r w:rsidRPr="00CF4B8F">
              <w:rPr>
                <w:sz w:val="17"/>
                <w:szCs w:val="17"/>
              </w:rPr>
              <w:t>29,720 (4–10)</w:t>
            </w:r>
            <w:r w:rsidR="00E02465">
              <w:rPr>
                <w:sz w:val="17"/>
                <w:szCs w:val="17"/>
              </w:rPr>
              <w:br/>
            </w:r>
            <w:r w:rsidRPr="00CF4B8F">
              <w:rPr>
                <w:sz w:val="17"/>
                <w:szCs w:val="17"/>
              </w:rPr>
              <w:t>54,489 (&gt;10)</w:t>
            </w:r>
          </w:p>
          <w:p w14:paraId="060785A3" w14:textId="77777777" w:rsidR="00232F0B" w:rsidRPr="00CF4B8F" w:rsidRDefault="00232F0B" w:rsidP="00CF4B8F">
            <w:pPr>
              <w:pStyle w:val="TableText"/>
              <w:rPr>
                <w:sz w:val="17"/>
                <w:szCs w:val="17"/>
              </w:rPr>
            </w:pPr>
            <w:r w:rsidRPr="00CF4B8F">
              <w:rPr>
                <w:sz w:val="17"/>
                <w:szCs w:val="17"/>
              </w:rPr>
              <w:t>Production of unsealed: 27,130</w:t>
            </w:r>
          </w:p>
        </w:tc>
        <w:tc>
          <w:tcPr>
            <w:tcW w:w="436" w:type="pct"/>
          </w:tcPr>
          <w:p w14:paraId="699E8000" w14:textId="77777777" w:rsidR="00232F0B" w:rsidRPr="00CF4B8F" w:rsidRDefault="00232F0B" w:rsidP="007732DF">
            <w:pPr>
              <w:pStyle w:val="TableText"/>
              <w:jc w:val="center"/>
              <w:rPr>
                <w:sz w:val="17"/>
                <w:szCs w:val="17"/>
              </w:rPr>
            </w:pPr>
            <w:r w:rsidRPr="00CF4B8F">
              <w:rPr>
                <w:sz w:val="17"/>
                <w:szCs w:val="17"/>
              </w:rPr>
              <w:t>296.20–592.40</w:t>
            </w:r>
          </w:p>
        </w:tc>
        <w:tc>
          <w:tcPr>
            <w:tcW w:w="387" w:type="pct"/>
          </w:tcPr>
          <w:p w14:paraId="00A16C47" w14:textId="77777777" w:rsidR="00232F0B" w:rsidRPr="00CF4B8F" w:rsidRDefault="00232F0B" w:rsidP="00CF4B8F">
            <w:pPr>
              <w:pStyle w:val="TableText"/>
              <w:rPr>
                <w:sz w:val="17"/>
                <w:szCs w:val="17"/>
              </w:rPr>
            </w:pPr>
            <w:r w:rsidRPr="00CF4B8F">
              <w:rPr>
                <w:sz w:val="17"/>
                <w:szCs w:val="17"/>
              </w:rPr>
              <w:t>258.00–495 + 35.00–1490.00 per unit</w:t>
            </w:r>
          </w:p>
        </w:tc>
        <w:tc>
          <w:tcPr>
            <w:tcW w:w="803" w:type="pct"/>
          </w:tcPr>
          <w:p w14:paraId="4BC37EF6" w14:textId="77777777" w:rsidR="00232F0B" w:rsidRPr="00CF4B8F" w:rsidRDefault="00232F0B" w:rsidP="00E02465">
            <w:pPr>
              <w:pStyle w:val="TableText"/>
              <w:rPr>
                <w:sz w:val="17"/>
                <w:szCs w:val="17"/>
              </w:rPr>
            </w:pPr>
            <w:r w:rsidRPr="00CF4B8F">
              <w:rPr>
                <w:sz w:val="17"/>
                <w:szCs w:val="17"/>
              </w:rPr>
              <w:t xml:space="preserve">280 + 112.50 for each sealed radioactive substance or type of unsealed radioactive substance + 84 for each radiation apparatus (&lt; </w:t>
            </w:r>
            <w:r w:rsidR="00E02465">
              <w:rPr>
                <w:sz w:val="17"/>
                <w:szCs w:val="17"/>
              </w:rPr>
              <w:t>1</w:t>
            </w:r>
            <w:r w:rsidRPr="00CF4B8F">
              <w:rPr>
                <w:sz w:val="17"/>
                <w:szCs w:val="17"/>
              </w:rPr>
              <w:t xml:space="preserve"> year) OR 561 + 225 for each sealed radioactive substance or type of unsealed radioactive substance + 168 for each radiation apparatus (1</w:t>
            </w:r>
            <w:r w:rsidR="00E02465">
              <w:rPr>
                <w:sz w:val="17"/>
                <w:szCs w:val="17"/>
              </w:rPr>
              <w:t>–</w:t>
            </w:r>
            <w:r w:rsidRPr="00CF4B8F">
              <w:rPr>
                <w:sz w:val="17"/>
                <w:szCs w:val="17"/>
              </w:rPr>
              <w:t>2 years) OR 841.50 + 337 for each sealed radioactive substance or type of unsealed radioactive substance + 252</w:t>
            </w:r>
            <w:r w:rsidR="00CF4B8F">
              <w:rPr>
                <w:sz w:val="17"/>
                <w:szCs w:val="17"/>
              </w:rPr>
              <w:t xml:space="preserve"> </w:t>
            </w:r>
            <w:r w:rsidRPr="00CF4B8F">
              <w:rPr>
                <w:sz w:val="17"/>
                <w:szCs w:val="17"/>
              </w:rPr>
              <w:t>for each radiation apparatus (&gt;2 but &lt;</w:t>
            </w:r>
            <w:r w:rsidR="00CF4B8F">
              <w:rPr>
                <w:sz w:val="17"/>
                <w:szCs w:val="17"/>
              </w:rPr>
              <w:t> </w:t>
            </w:r>
            <w:r w:rsidRPr="00CF4B8F">
              <w:rPr>
                <w:sz w:val="17"/>
                <w:szCs w:val="17"/>
              </w:rPr>
              <w:t>3 years)</w:t>
            </w:r>
          </w:p>
        </w:tc>
        <w:tc>
          <w:tcPr>
            <w:tcW w:w="555" w:type="pct"/>
          </w:tcPr>
          <w:p w14:paraId="25EA92CA" w14:textId="77777777" w:rsidR="0087667B" w:rsidRPr="00CF4B8F" w:rsidRDefault="00232F0B" w:rsidP="00CF4B8F">
            <w:pPr>
              <w:pStyle w:val="TableText"/>
              <w:rPr>
                <w:sz w:val="17"/>
                <w:szCs w:val="17"/>
              </w:rPr>
            </w:pPr>
            <w:r w:rsidRPr="00CF4B8F">
              <w:rPr>
                <w:sz w:val="17"/>
                <w:szCs w:val="17"/>
              </w:rPr>
              <w:t>Irradiating apparatus:</w:t>
            </w:r>
            <w:r w:rsidR="00CF4B8F">
              <w:rPr>
                <w:sz w:val="17"/>
                <w:szCs w:val="17"/>
              </w:rPr>
              <w:br/>
            </w:r>
            <w:r w:rsidRPr="00CF4B8F">
              <w:rPr>
                <w:sz w:val="17"/>
                <w:szCs w:val="17"/>
              </w:rPr>
              <w:t>210.00 (1–2)</w:t>
            </w:r>
            <w:r w:rsidR="00CF4B8F">
              <w:rPr>
                <w:sz w:val="17"/>
                <w:szCs w:val="17"/>
              </w:rPr>
              <w:br/>
            </w:r>
            <w:r w:rsidRPr="00CF4B8F">
              <w:rPr>
                <w:sz w:val="17"/>
                <w:szCs w:val="17"/>
              </w:rPr>
              <w:t>420.00 (3–5)</w:t>
            </w:r>
            <w:r w:rsidR="00CF4B8F">
              <w:rPr>
                <w:sz w:val="17"/>
                <w:szCs w:val="17"/>
              </w:rPr>
              <w:br/>
            </w:r>
            <w:r w:rsidRPr="00CF4B8F">
              <w:rPr>
                <w:sz w:val="17"/>
                <w:szCs w:val="17"/>
              </w:rPr>
              <w:t>840.00 (6–10)</w:t>
            </w:r>
            <w:r w:rsidR="00CF4B8F">
              <w:rPr>
                <w:sz w:val="17"/>
                <w:szCs w:val="17"/>
              </w:rPr>
              <w:br/>
            </w:r>
            <w:r w:rsidRPr="00CF4B8F">
              <w:rPr>
                <w:sz w:val="17"/>
                <w:szCs w:val="17"/>
              </w:rPr>
              <w:t>1325.00 (&gt;10) and</w:t>
            </w:r>
          </w:p>
          <w:p w14:paraId="330E1225" w14:textId="77777777" w:rsidR="00232F0B" w:rsidRPr="00CF4B8F" w:rsidRDefault="00232F0B" w:rsidP="00CF4B8F">
            <w:pPr>
              <w:pStyle w:val="TableText"/>
              <w:rPr>
                <w:sz w:val="17"/>
                <w:szCs w:val="17"/>
              </w:rPr>
            </w:pPr>
            <w:r w:rsidRPr="00CF4B8F">
              <w:rPr>
                <w:sz w:val="17"/>
                <w:szCs w:val="17"/>
              </w:rPr>
              <w:t>radioactive material:</w:t>
            </w:r>
            <w:r w:rsidR="00CF4B8F">
              <w:rPr>
                <w:sz w:val="17"/>
                <w:szCs w:val="17"/>
              </w:rPr>
              <w:br/>
            </w:r>
            <w:r w:rsidRPr="00CF4B8F">
              <w:rPr>
                <w:sz w:val="17"/>
                <w:szCs w:val="17"/>
              </w:rPr>
              <w:t>210.00 (&lt;40GBq)</w:t>
            </w:r>
            <w:r w:rsidR="00CF4B8F">
              <w:rPr>
                <w:sz w:val="17"/>
                <w:szCs w:val="17"/>
              </w:rPr>
              <w:br/>
            </w:r>
            <w:r w:rsidRPr="00CF4B8F">
              <w:rPr>
                <w:sz w:val="17"/>
                <w:szCs w:val="17"/>
              </w:rPr>
              <w:t>420.00 (40–400GBq)</w:t>
            </w:r>
            <w:r w:rsidR="00CF4B8F">
              <w:rPr>
                <w:sz w:val="17"/>
                <w:szCs w:val="17"/>
              </w:rPr>
              <w:br/>
            </w:r>
            <w:r w:rsidRPr="00CF4B8F">
              <w:rPr>
                <w:sz w:val="17"/>
                <w:szCs w:val="17"/>
              </w:rPr>
              <w:t>840.00 (0.4–4TBq)</w:t>
            </w:r>
            <w:r w:rsidR="00CF4B8F">
              <w:rPr>
                <w:sz w:val="17"/>
                <w:szCs w:val="17"/>
              </w:rPr>
              <w:br/>
            </w:r>
            <w:r w:rsidRPr="00CF4B8F">
              <w:rPr>
                <w:sz w:val="17"/>
                <w:szCs w:val="17"/>
              </w:rPr>
              <w:t>1325.00 (&gt;4TBq)</w:t>
            </w:r>
          </w:p>
        </w:tc>
        <w:tc>
          <w:tcPr>
            <w:tcW w:w="583" w:type="pct"/>
          </w:tcPr>
          <w:p w14:paraId="3DDAE936" w14:textId="77777777" w:rsidR="00232F0B" w:rsidRPr="00CF4B8F" w:rsidRDefault="00232F0B" w:rsidP="00CF4B8F">
            <w:pPr>
              <w:pStyle w:val="TableText"/>
              <w:rPr>
                <w:sz w:val="17"/>
                <w:szCs w:val="17"/>
              </w:rPr>
            </w:pPr>
            <w:r w:rsidRPr="00CF4B8F">
              <w:rPr>
                <w:sz w:val="17"/>
                <w:szCs w:val="17"/>
              </w:rPr>
              <w:t>Irradiator/</w:t>
            </w:r>
            <w:r w:rsidRPr="00CF4B8F">
              <w:rPr>
                <w:sz w:val="17"/>
                <w:szCs w:val="17"/>
              </w:rPr>
              <w:br/>
              <w:t>Accelerator: 38,519.00, or</w:t>
            </w:r>
          </w:p>
          <w:p w14:paraId="1231994E" w14:textId="77777777" w:rsidR="00232F0B" w:rsidRPr="00CF4B8F" w:rsidRDefault="00232F0B" w:rsidP="00CF4B8F">
            <w:pPr>
              <w:pStyle w:val="TableText"/>
              <w:rPr>
                <w:sz w:val="17"/>
                <w:szCs w:val="17"/>
              </w:rPr>
            </w:pPr>
            <w:r w:rsidRPr="00CF4B8F">
              <w:rPr>
                <w:sz w:val="17"/>
                <w:szCs w:val="17"/>
              </w:rPr>
              <w:t>possession:</w:t>
            </w:r>
            <w:r w:rsidR="00CF4B8F">
              <w:rPr>
                <w:sz w:val="17"/>
                <w:szCs w:val="17"/>
              </w:rPr>
              <w:br/>
            </w:r>
            <w:r w:rsidRPr="00CF4B8F">
              <w:rPr>
                <w:sz w:val="17"/>
                <w:szCs w:val="17"/>
              </w:rPr>
              <w:t>536.00 (&lt;6)</w:t>
            </w:r>
            <w:r w:rsidR="00CF4B8F">
              <w:rPr>
                <w:sz w:val="17"/>
                <w:szCs w:val="17"/>
              </w:rPr>
              <w:br/>
            </w:r>
            <w:r w:rsidRPr="00CF4B8F">
              <w:rPr>
                <w:sz w:val="17"/>
                <w:szCs w:val="17"/>
              </w:rPr>
              <w:t>1460.00 (6–10)</w:t>
            </w:r>
            <w:r w:rsidR="00CF4B8F">
              <w:rPr>
                <w:sz w:val="17"/>
                <w:szCs w:val="17"/>
              </w:rPr>
              <w:br/>
            </w:r>
            <w:r w:rsidRPr="00CF4B8F">
              <w:rPr>
                <w:sz w:val="17"/>
                <w:szCs w:val="17"/>
              </w:rPr>
              <w:t>2625.00 (&gt;10) and</w:t>
            </w:r>
          </w:p>
          <w:p w14:paraId="13D31344" w14:textId="77777777" w:rsidR="00CF4B8F" w:rsidRDefault="00232F0B" w:rsidP="00CF4B8F">
            <w:pPr>
              <w:pStyle w:val="TableText"/>
              <w:rPr>
                <w:sz w:val="17"/>
                <w:szCs w:val="17"/>
              </w:rPr>
            </w:pPr>
            <w:r w:rsidRPr="00CF4B8F">
              <w:rPr>
                <w:sz w:val="17"/>
                <w:szCs w:val="17"/>
              </w:rPr>
              <w:t>Unsealed:</w:t>
            </w:r>
            <w:r w:rsidR="00CF4B8F">
              <w:rPr>
                <w:sz w:val="17"/>
                <w:szCs w:val="17"/>
              </w:rPr>
              <w:br/>
            </w:r>
            <w:r w:rsidRPr="00CF4B8F">
              <w:rPr>
                <w:sz w:val="17"/>
                <w:szCs w:val="17"/>
              </w:rPr>
              <w:t>1,710.00 and</w:t>
            </w:r>
          </w:p>
          <w:p w14:paraId="2396C796" w14:textId="77777777" w:rsidR="00232F0B" w:rsidRPr="00CF4B8F" w:rsidRDefault="00232F0B" w:rsidP="007732DF">
            <w:pPr>
              <w:pStyle w:val="TableText"/>
              <w:rPr>
                <w:sz w:val="17"/>
                <w:szCs w:val="17"/>
              </w:rPr>
            </w:pPr>
            <w:r w:rsidRPr="00CF4B8F">
              <w:rPr>
                <w:sz w:val="17"/>
                <w:szCs w:val="17"/>
              </w:rPr>
              <w:t>1st RM source:</w:t>
            </w:r>
            <w:r w:rsidR="00CF4B8F">
              <w:rPr>
                <w:sz w:val="17"/>
                <w:szCs w:val="17"/>
              </w:rPr>
              <w:br/>
            </w:r>
            <w:r w:rsidRPr="00CF4B8F">
              <w:rPr>
                <w:sz w:val="17"/>
                <w:szCs w:val="17"/>
              </w:rPr>
              <w:t>1,710.00</w:t>
            </w:r>
            <w:r w:rsidR="007732DF">
              <w:rPr>
                <w:sz w:val="17"/>
                <w:szCs w:val="17"/>
              </w:rPr>
              <w:t xml:space="preserve"> </w:t>
            </w:r>
            <w:r w:rsidRPr="00CF4B8F">
              <w:rPr>
                <w:sz w:val="17"/>
                <w:szCs w:val="17"/>
              </w:rPr>
              <w:t>(1,496.00 each additional) and</w:t>
            </w:r>
            <w:r w:rsidR="007732DF">
              <w:rPr>
                <w:sz w:val="17"/>
                <w:szCs w:val="17"/>
              </w:rPr>
              <w:t xml:space="preserve"> </w:t>
            </w:r>
            <w:r w:rsidRPr="00CF4B8F">
              <w:rPr>
                <w:sz w:val="17"/>
                <w:szCs w:val="17"/>
              </w:rPr>
              <w:t>each apparatus 847.00–1,147.00</w:t>
            </w:r>
          </w:p>
        </w:tc>
        <w:tc>
          <w:tcPr>
            <w:tcW w:w="534" w:type="pct"/>
          </w:tcPr>
          <w:p w14:paraId="6A737B97" w14:textId="77777777" w:rsidR="00232F0B" w:rsidRPr="00CF4B8F" w:rsidRDefault="00232F0B" w:rsidP="00CF4B8F">
            <w:pPr>
              <w:pStyle w:val="TableText"/>
              <w:rPr>
                <w:sz w:val="17"/>
                <w:szCs w:val="17"/>
              </w:rPr>
            </w:pPr>
            <w:r w:rsidRPr="00CF4B8F">
              <w:rPr>
                <w:sz w:val="17"/>
                <w:szCs w:val="17"/>
              </w:rPr>
              <w:t>333.72–1247.40</w:t>
            </w:r>
            <w:r w:rsidR="00CF4B8F">
              <w:rPr>
                <w:sz w:val="17"/>
                <w:szCs w:val="17"/>
              </w:rPr>
              <w:br/>
            </w:r>
            <w:r w:rsidRPr="00CF4B8F">
              <w:rPr>
                <w:sz w:val="17"/>
                <w:szCs w:val="17"/>
              </w:rPr>
              <w:t>(1–5 sources) or 228.42 per source (&gt;5 sources)</w:t>
            </w:r>
          </w:p>
        </w:tc>
      </w:tr>
      <w:tr w:rsidR="00CF4B8F" w:rsidRPr="00A40FD5" w14:paraId="09EEFEC4" w14:textId="77777777" w:rsidTr="00CF4B8F">
        <w:trPr>
          <w:cantSplit/>
        </w:trPr>
        <w:tc>
          <w:tcPr>
            <w:tcW w:w="487" w:type="pct"/>
            <w:noWrap/>
          </w:tcPr>
          <w:p w14:paraId="577619C4" w14:textId="77777777" w:rsidR="00232F0B" w:rsidRPr="00CF4B8F" w:rsidRDefault="00232F0B" w:rsidP="00CF4B8F">
            <w:pPr>
              <w:pStyle w:val="TableText"/>
              <w:rPr>
                <w:sz w:val="17"/>
                <w:szCs w:val="17"/>
              </w:rPr>
            </w:pPr>
            <w:r w:rsidRPr="00CF4B8F">
              <w:rPr>
                <w:sz w:val="17"/>
                <w:szCs w:val="17"/>
              </w:rPr>
              <w:t>Medical 2, medical 3 and non-medical 3</w:t>
            </w:r>
          </w:p>
        </w:tc>
        <w:tc>
          <w:tcPr>
            <w:tcW w:w="388" w:type="pct"/>
          </w:tcPr>
          <w:p w14:paraId="68C74F8A" w14:textId="77777777" w:rsidR="00232F0B" w:rsidRPr="00CF4B8F" w:rsidRDefault="00232F0B" w:rsidP="007732DF">
            <w:pPr>
              <w:pStyle w:val="TableText"/>
              <w:jc w:val="center"/>
              <w:rPr>
                <w:sz w:val="17"/>
                <w:szCs w:val="17"/>
              </w:rPr>
            </w:pPr>
            <w:r w:rsidRPr="00CF4B8F">
              <w:rPr>
                <w:color w:val="002639"/>
                <w:sz w:val="17"/>
                <w:szCs w:val="17"/>
                <w:shd w:val="clear" w:color="auto" w:fill="FFFFFF"/>
              </w:rPr>
              <w:t>718–825</w:t>
            </w:r>
          </w:p>
        </w:tc>
        <w:tc>
          <w:tcPr>
            <w:tcW w:w="389" w:type="pct"/>
          </w:tcPr>
          <w:p w14:paraId="41434B15" w14:textId="77777777" w:rsidR="00232F0B" w:rsidRPr="00CF4B8F" w:rsidRDefault="00232F0B" w:rsidP="007732DF">
            <w:pPr>
              <w:pStyle w:val="TableText"/>
              <w:jc w:val="center"/>
              <w:rPr>
                <w:sz w:val="17"/>
                <w:szCs w:val="17"/>
              </w:rPr>
            </w:pPr>
            <w:r w:rsidRPr="00CF4B8F">
              <w:rPr>
                <w:sz w:val="17"/>
                <w:szCs w:val="17"/>
              </w:rPr>
              <w:t>1,695–1,931</w:t>
            </w:r>
          </w:p>
        </w:tc>
        <w:tc>
          <w:tcPr>
            <w:tcW w:w="437" w:type="pct"/>
          </w:tcPr>
          <w:p w14:paraId="4DA43853" w14:textId="77777777" w:rsidR="00232F0B" w:rsidRPr="00CF4B8F" w:rsidRDefault="00232F0B" w:rsidP="00E02465">
            <w:pPr>
              <w:pStyle w:val="TableText"/>
              <w:rPr>
                <w:sz w:val="17"/>
                <w:szCs w:val="17"/>
              </w:rPr>
            </w:pPr>
            <w:r w:rsidRPr="00CF4B8F">
              <w:rPr>
                <w:sz w:val="17"/>
                <w:szCs w:val="17"/>
              </w:rPr>
              <w:t>Group 2:</w:t>
            </w:r>
            <w:r w:rsidR="00E02465">
              <w:rPr>
                <w:sz w:val="17"/>
                <w:szCs w:val="17"/>
              </w:rPr>
              <w:br/>
            </w:r>
            <w:r w:rsidRPr="00CF4B8F">
              <w:rPr>
                <w:sz w:val="17"/>
                <w:szCs w:val="17"/>
              </w:rPr>
              <w:t>4,954 (0–3)</w:t>
            </w:r>
            <w:r w:rsidR="00E02465">
              <w:rPr>
                <w:sz w:val="17"/>
                <w:szCs w:val="17"/>
              </w:rPr>
              <w:br/>
            </w:r>
            <w:r w:rsidRPr="00CF4B8F">
              <w:rPr>
                <w:sz w:val="17"/>
                <w:szCs w:val="17"/>
              </w:rPr>
              <w:t>9,907 (4–10)</w:t>
            </w:r>
            <w:r w:rsidR="00E02465">
              <w:rPr>
                <w:sz w:val="17"/>
                <w:szCs w:val="17"/>
              </w:rPr>
              <w:br/>
            </w:r>
            <w:r w:rsidRPr="00CF4B8F">
              <w:rPr>
                <w:sz w:val="17"/>
                <w:szCs w:val="17"/>
              </w:rPr>
              <w:t>18,622 (&gt;10)</w:t>
            </w:r>
          </w:p>
        </w:tc>
        <w:tc>
          <w:tcPr>
            <w:tcW w:w="436" w:type="pct"/>
          </w:tcPr>
          <w:p w14:paraId="30119DDF" w14:textId="77777777" w:rsidR="00232F0B" w:rsidRPr="00CF4B8F" w:rsidRDefault="00232F0B" w:rsidP="007732DF">
            <w:pPr>
              <w:pStyle w:val="TableText"/>
              <w:jc w:val="center"/>
              <w:rPr>
                <w:sz w:val="17"/>
                <w:szCs w:val="17"/>
              </w:rPr>
            </w:pPr>
            <w:r w:rsidRPr="00CF4B8F">
              <w:rPr>
                <w:sz w:val="17"/>
                <w:szCs w:val="17"/>
              </w:rPr>
              <w:t>296.20–592.40</w:t>
            </w:r>
          </w:p>
        </w:tc>
        <w:tc>
          <w:tcPr>
            <w:tcW w:w="387" w:type="pct"/>
          </w:tcPr>
          <w:p w14:paraId="2EE2460F" w14:textId="77777777" w:rsidR="00232F0B" w:rsidRPr="00CF4B8F" w:rsidRDefault="00232F0B" w:rsidP="00CF4B8F">
            <w:pPr>
              <w:pStyle w:val="TableText"/>
              <w:rPr>
                <w:sz w:val="17"/>
                <w:szCs w:val="17"/>
              </w:rPr>
            </w:pPr>
            <w:r w:rsidRPr="00CF4B8F">
              <w:rPr>
                <w:sz w:val="17"/>
                <w:szCs w:val="17"/>
              </w:rPr>
              <w:t>258.00–495 + 35.00–69.00 per unit</w:t>
            </w:r>
          </w:p>
        </w:tc>
        <w:tc>
          <w:tcPr>
            <w:tcW w:w="803" w:type="pct"/>
          </w:tcPr>
          <w:p w14:paraId="39A68351" w14:textId="77777777" w:rsidR="00232F0B" w:rsidRPr="00CF4B8F" w:rsidRDefault="00232F0B" w:rsidP="007732DF">
            <w:pPr>
              <w:pStyle w:val="TableText"/>
              <w:jc w:val="center"/>
              <w:rPr>
                <w:sz w:val="17"/>
                <w:szCs w:val="17"/>
              </w:rPr>
            </w:pPr>
            <w:r w:rsidRPr="00CF4B8F">
              <w:rPr>
                <w:sz w:val="17"/>
                <w:szCs w:val="17"/>
              </w:rPr>
              <w:t>As above</w:t>
            </w:r>
          </w:p>
        </w:tc>
        <w:tc>
          <w:tcPr>
            <w:tcW w:w="555" w:type="pct"/>
          </w:tcPr>
          <w:p w14:paraId="44089A69" w14:textId="77777777" w:rsidR="0087667B" w:rsidRPr="00CF4B8F" w:rsidRDefault="00232F0B" w:rsidP="00CF4B8F">
            <w:pPr>
              <w:pStyle w:val="TableText"/>
              <w:rPr>
                <w:sz w:val="17"/>
                <w:szCs w:val="17"/>
              </w:rPr>
            </w:pPr>
            <w:r w:rsidRPr="00CF4B8F">
              <w:rPr>
                <w:sz w:val="17"/>
                <w:szCs w:val="17"/>
              </w:rPr>
              <w:t>Irradiating apparatus:</w:t>
            </w:r>
            <w:r w:rsidR="00E02465">
              <w:rPr>
                <w:sz w:val="17"/>
                <w:szCs w:val="17"/>
              </w:rPr>
              <w:br/>
            </w:r>
            <w:r w:rsidRPr="00CF4B8F">
              <w:rPr>
                <w:sz w:val="17"/>
                <w:szCs w:val="17"/>
              </w:rPr>
              <w:t>210.00 (1–2)</w:t>
            </w:r>
            <w:r w:rsidR="00E02465">
              <w:rPr>
                <w:sz w:val="17"/>
                <w:szCs w:val="17"/>
              </w:rPr>
              <w:br/>
            </w:r>
            <w:r w:rsidRPr="00CF4B8F">
              <w:rPr>
                <w:sz w:val="17"/>
                <w:szCs w:val="17"/>
              </w:rPr>
              <w:t>420.00 (3–5)</w:t>
            </w:r>
            <w:r w:rsidR="00E02465">
              <w:rPr>
                <w:sz w:val="17"/>
                <w:szCs w:val="17"/>
              </w:rPr>
              <w:br/>
            </w:r>
            <w:r w:rsidRPr="00CF4B8F">
              <w:rPr>
                <w:sz w:val="17"/>
                <w:szCs w:val="17"/>
              </w:rPr>
              <w:t>840.00 (6–10)</w:t>
            </w:r>
            <w:r w:rsidR="00E02465">
              <w:rPr>
                <w:sz w:val="17"/>
                <w:szCs w:val="17"/>
              </w:rPr>
              <w:br/>
            </w:r>
            <w:r w:rsidRPr="00CF4B8F">
              <w:rPr>
                <w:sz w:val="17"/>
                <w:szCs w:val="17"/>
              </w:rPr>
              <w:t>1,325.00 (&gt;10) and</w:t>
            </w:r>
          </w:p>
          <w:p w14:paraId="19187BC6" w14:textId="77777777" w:rsidR="00232F0B" w:rsidRPr="00CF4B8F" w:rsidRDefault="00232F0B" w:rsidP="00E02465">
            <w:pPr>
              <w:pStyle w:val="TableText"/>
              <w:rPr>
                <w:sz w:val="17"/>
                <w:szCs w:val="17"/>
              </w:rPr>
            </w:pPr>
            <w:r w:rsidRPr="00CF4B8F">
              <w:rPr>
                <w:sz w:val="17"/>
                <w:szCs w:val="17"/>
              </w:rPr>
              <w:t>radioactive material:</w:t>
            </w:r>
            <w:r w:rsidR="00E02465">
              <w:rPr>
                <w:sz w:val="17"/>
                <w:szCs w:val="17"/>
              </w:rPr>
              <w:br/>
            </w:r>
            <w:r w:rsidRPr="00CF4B8F">
              <w:rPr>
                <w:sz w:val="17"/>
                <w:szCs w:val="17"/>
              </w:rPr>
              <w:t>210.00 (&lt;40GBq)</w:t>
            </w:r>
            <w:r w:rsidR="00E02465">
              <w:rPr>
                <w:sz w:val="17"/>
                <w:szCs w:val="17"/>
              </w:rPr>
              <w:br/>
            </w:r>
            <w:r w:rsidRPr="00CF4B8F">
              <w:rPr>
                <w:sz w:val="17"/>
                <w:szCs w:val="17"/>
              </w:rPr>
              <w:t>420.00 (40–400GBq)</w:t>
            </w:r>
            <w:r w:rsidR="00E02465">
              <w:rPr>
                <w:sz w:val="17"/>
                <w:szCs w:val="17"/>
              </w:rPr>
              <w:br/>
            </w:r>
            <w:r w:rsidRPr="00CF4B8F">
              <w:rPr>
                <w:sz w:val="17"/>
                <w:szCs w:val="17"/>
              </w:rPr>
              <w:t>840.00 (0.4–4TBq)</w:t>
            </w:r>
          </w:p>
        </w:tc>
        <w:tc>
          <w:tcPr>
            <w:tcW w:w="583" w:type="pct"/>
          </w:tcPr>
          <w:p w14:paraId="5B51154C" w14:textId="77777777" w:rsidR="00232F0B" w:rsidRPr="00CF4B8F" w:rsidRDefault="00232F0B" w:rsidP="00CF4B8F">
            <w:pPr>
              <w:pStyle w:val="TableText"/>
              <w:rPr>
                <w:sz w:val="17"/>
                <w:szCs w:val="17"/>
              </w:rPr>
            </w:pPr>
            <w:r w:rsidRPr="00CF4B8F">
              <w:rPr>
                <w:sz w:val="17"/>
                <w:szCs w:val="17"/>
              </w:rPr>
              <w:t>Unsealed:</w:t>
            </w:r>
            <w:r w:rsidR="00E02465">
              <w:rPr>
                <w:sz w:val="17"/>
                <w:szCs w:val="17"/>
              </w:rPr>
              <w:br/>
            </w:r>
            <w:r w:rsidRPr="00CF4B8F">
              <w:rPr>
                <w:sz w:val="17"/>
                <w:szCs w:val="17"/>
              </w:rPr>
              <w:t>1,710.00</w:t>
            </w:r>
          </w:p>
          <w:p w14:paraId="50AAF18E" w14:textId="77777777" w:rsidR="0087667B" w:rsidRPr="00CF4B8F" w:rsidRDefault="00232F0B" w:rsidP="00CF4B8F">
            <w:pPr>
              <w:pStyle w:val="TableText"/>
              <w:rPr>
                <w:sz w:val="17"/>
                <w:szCs w:val="17"/>
              </w:rPr>
            </w:pPr>
            <w:r w:rsidRPr="00CF4B8F">
              <w:rPr>
                <w:sz w:val="17"/>
                <w:szCs w:val="17"/>
              </w:rPr>
              <w:t>possession:</w:t>
            </w:r>
            <w:r w:rsidR="00E02465">
              <w:rPr>
                <w:sz w:val="17"/>
                <w:szCs w:val="17"/>
              </w:rPr>
              <w:br/>
            </w:r>
            <w:r w:rsidRPr="00CF4B8F">
              <w:rPr>
                <w:sz w:val="17"/>
                <w:szCs w:val="17"/>
              </w:rPr>
              <w:t>536.00 (&lt;6)</w:t>
            </w:r>
            <w:r w:rsidR="00E02465">
              <w:rPr>
                <w:sz w:val="17"/>
                <w:szCs w:val="17"/>
              </w:rPr>
              <w:br/>
            </w:r>
            <w:r w:rsidRPr="00CF4B8F">
              <w:rPr>
                <w:sz w:val="17"/>
                <w:szCs w:val="17"/>
              </w:rPr>
              <w:t>1,460.00 (6–10)</w:t>
            </w:r>
            <w:r w:rsidR="00E02465">
              <w:rPr>
                <w:sz w:val="17"/>
                <w:szCs w:val="17"/>
              </w:rPr>
              <w:br/>
            </w:r>
            <w:r w:rsidRPr="00CF4B8F">
              <w:rPr>
                <w:sz w:val="17"/>
                <w:szCs w:val="17"/>
              </w:rPr>
              <w:t>2,625.00 (&gt;10) and</w:t>
            </w:r>
          </w:p>
          <w:p w14:paraId="4901B279" w14:textId="77777777" w:rsidR="00232F0B" w:rsidRPr="00CF4B8F" w:rsidRDefault="00232F0B" w:rsidP="007732DF">
            <w:pPr>
              <w:pStyle w:val="TableText"/>
              <w:rPr>
                <w:sz w:val="17"/>
                <w:szCs w:val="17"/>
              </w:rPr>
            </w:pPr>
            <w:r w:rsidRPr="00CF4B8F">
              <w:rPr>
                <w:sz w:val="17"/>
                <w:szCs w:val="17"/>
              </w:rPr>
              <w:t>1st RM source: 1,710.00</w:t>
            </w:r>
            <w:r w:rsidR="007732DF">
              <w:rPr>
                <w:sz w:val="17"/>
                <w:szCs w:val="17"/>
              </w:rPr>
              <w:t xml:space="preserve"> </w:t>
            </w:r>
            <w:r w:rsidRPr="00CF4B8F">
              <w:rPr>
                <w:sz w:val="17"/>
                <w:szCs w:val="17"/>
              </w:rPr>
              <w:t>(1,496.00 each additional) and</w:t>
            </w:r>
            <w:r w:rsidR="007732DF">
              <w:rPr>
                <w:sz w:val="17"/>
                <w:szCs w:val="17"/>
              </w:rPr>
              <w:t xml:space="preserve"> </w:t>
            </w:r>
            <w:r w:rsidRPr="00CF4B8F">
              <w:rPr>
                <w:sz w:val="17"/>
                <w:szCs w:val="17"/>
              </w:rPr>
              <w:t>each apparatus 847.00–1,142.00</w:t>
            </w:r>
          </w:p>
        </w:tc>
        <w:tc>
          <w:tcPr>
            <w:tcW w:w="534" w:type="pct"/>
          </w:tcPr>
          <w:p w14:paraId="61289649" w14:textId="77777777" w:rsidR="00E02465" w:rsidRDefault="00232F0B" w:rsidP="00CF4B8F">
            <w:pPr>
              <w:pStyle w:val="TableText"/>
              <w:rPr>
                <w:sz w:val="17"/>
                <w:szCs w:val="17"/>
              </w:rPr>
            </w:pPr>
            <w:r w:rsidRPr="00CF4B8F">
              <w:rPr>
                <w:sz w:val="17"/>
                <w:szCs w:val="17"/>
              </w:rPr>
              <w:t>Nuc. med.: 1,282.00</w:t>
            </w:r>
          </w:p>
          <w:p w14:paraId="6D1A4F8D" w14:textId="77777777" w:rsidR="00E02465" w:rsidRDefault="00232F0B" w:rsidP="00CF4B8F">
            <w:pPr>
              <w:pStyle w:val="TableText"/>
              <w:rPr>
                <w:sz w:val="17"/>
                <w:szCs w:val="17"/>
              </w:rPr>
            </w:pPr>
            <w:r w:rsidRPr="00CF4B8F">
              <w:rPr>
                <w:sz w:val="17"/>
                <w:szCs w:val="17"/>
              </w:rPr>
              <w:t>unsealed lab 137.00 per area and</w:t>
            </w:r>
          </w:p>
          <w:p w14:paraId="256AB6AE" w14:textId="77777777" w:rsidR="00232F0B" w:rsidRPr="00CF4B8F" w:rsidRDefault="00232F0B" w:rsidP="00CF4B8F">
            <w:pPr>
              <w:pStyle w:val="TableText"/>
              <w:rPr>
                <w:sz w:val="17"/>
                <w:szCs w:val="17"/>
              </w:rPr>
            </w:pPr>
            <w:r w:rsidRPr="00CF4B8F">
              <w:rPr>
                <w:sz w:val="17"/>
                <w:szCs w:val="17"/>
              </w:rPr>
              <w:t>333.72–1,247.40 (1–5 sources) or 228.42 per source (&gt;5 sources)</w:t>
            </w:r>
          </w:p>
        </w:tc>
      </w:tr>
      <w:tr w:rsidR="00CF4B8F" w:rsidRPr="00A40FD5" w14:paraId="3D6C6D63" w14:textId="77777777" w:rsidTr="00CF4B8F">
        <w:trPr>
          <w:cantSplit/>
        </w:trPr>
        <w:tc>
          <w:tcPr>
            <w:tcW w:w="487" w:type="pct"/>
            <w:noWrap/>
          </w:tcPr>
          <w:p w14:paraId="30B0589B" w14:textId="77777777" w:rsidR="00232F0B" w:rsidRPr="00CF4B8F" w:rsidRDefault="00232F0B" w:rsidP="00CF4B8F">
            <w:pPr>
              <w:pStyle w:val="TableText"/>
              <w:rPr>
                <w:sz w:val="17"/>
                <w:szCs w:val="17"/>
              </w:rPr>
            </w:pPr>
            <w:r w:rsidRPr="00CF4B8F">
              <w:rPr>
                <w:sz w:val="17"/>
                <w:szCs w:val="17"/>
              </w:rPr>
              <w:t>Medical 4 and non-medical 5</w:t>
            </w:r>
          </w:p>
        </w:tc>
        <w:tc>
          <w:tcPr>
            <w:tcW w:w="388" w:type="pct"/>
          </w:tcPr>
          <w:p w14:paraId="7843FD02" w14:textId="77777777" w:rsidR="00232F0B" w:rsidRPr="00CF4B8F" w:rsidRDefault="00232F0B" w:rsidP="007732DF">
            <w:pPr>
              <w:pStyle w:val="TableText"/>
              <w:jc w:val="center"/>
              <w:rPr>
                <w:sz w:val="17"/>
                <w:szCs w:val="17"/>
              </w:rPr>
            </w:pPr>
            <w:r w:rsidRPr="00CF4B8F">
              <w:rPr>
                <w:color w:val="002639"/>
                <w:sz w:val="17"/>
                <w:szCs w:val="17"/>
                <w:shd w:val="clear" w:color="auto" w:fill="FFFFFF"/>
              </w:rPr>
              <w:t>422–485</w:t>
            </w:r>
          </w:p>
        </w:tc>
        <w:tc>
          <w:tcPr>
            <w:tcW w:w="389" w:type="pct"/>
          </w:tcPr>
          <w:p w14:paraId="634E3999" w14:textId="77777777" w:rsidR="00232F0B" w:rsidRPr="00CF4B8F" w:rsidRDefault="00232F0B" w:rsidP="007732DF">
            <w:pPr>
              <w:pStyle w:val="TableText"/>
              <w:jc w:val="center"/>
              <w:rPr>
                <w:sz w:val="17"/>
                <w:szCs w:val="17"/>
              </w:rPr>
            </w:pPr>
            <w:r w:rsidRPr="00CF4B8F">
              <w:rPr>
                <w:sz w:val="17"/>
                <w:szCs w:val="17"/>
              </w:rPr>
              <w:t>861–1,097</w:t>
            </w:r>
          </w:p>
        </w:tc>
        <w:tc>
          <w:tcPr>
            <w:tcW w:w="437" w:type="pct"/>
          </w:tcPr>
          <w:p w14:paraId="4B0496CC" w14:textId="77777777" w:rsidR="00232F0B" w:rsidRPr="00CF4B8F" w:rsidRDefault="00232F0B" w:rsidP="007732DF">
            <w:pPr>
              <w:pStyle w:val="TableText"/>
              <w:rPr>
                <w:sz w:val="17"/>
                <w:szCs w:val="17"/>
              </w:rPr>
            </w:pPr>
            <w:r w:rsidRPr="00CF4B8F">
              <w:rPr>
                <w:sz w:val="17"/>
                <w:szCs w:val="17"/>
              </w:rPr>
              <w:t>Group 1:</w:t>
            </w:r>
            <w:r w:rsidR="007732DF">
              <w:rPr>
                <w:sz w:val="17"/>
                <w:szCs w:val="17"/>
              </w:rPr>
              <w:br/>
            </w:r>
            <w:r w:rsidRPr="00CF4B8F">
              <w:rPr>
                <w:sz w:val="17"/>
                <w:szCs w:val="17"/>
              </w:rPr>
              <w:t>1,238 (0–3)</w:t>
            </w:r>
            <w:r w:rsidR="007732DF">
              <w:rPr>
                <w:sz w:val="17"/>
                <w:szCs w:val="17"/>
              </w:rPr>
              <w:br/>
            </w:r>
            <w:r w:rsidRPr="00CF4B8F">
              <w:rPr>
                <w:sz w:val="17"/>
                <w:szCs w:val="17"/>
              </w:rPr>
              <w:t>3,216 (4–10)</w:t>
            </w:r>
            <w:r w:rsidR="007732DF">
              <w:rPr>
                <w:sz w:val="17"/>
                <w:szCs w:val="17"/>
              </w:rPr>
              <w:br/>
            </w:r>
            <w:r w:rsidRPr="00CF4B8F">
              <w:rPr>
                <w:sz w:val="17"/>
                <w:szCs w:val="17"/>
              </w:rPr>
              <w:t>6,192 (&gt;10)</w:t>
            </w:r>
          </w:p>
        </w:tc>
        <w:tc>
          <w:tcPr>
            <w:tcW w:w="436" w:type="pct"/>
          </w:tcPr>
          <w:p w14:paraId="0A19DF63" w14:textId="77777777" w:rsidR="00232F0B" w:rsidRPr="00CF4B8F" w:rsidRDefault="00232F0B" w:rsidP="007732DF">
            <w:pPr>
              <w:pStyle w:val="TableText"/>
              <w:jc w:val="center"/>
              <w:rPr>
                <w:sz w:val="17"/>
                <w:szCs w:val="17"/>
              </w:rPr>
            </w:pPr>
            <w:r w:rsidRPr="00CF4B8F">
              <w:rPr>
                <w:sz w:val="17"/>
                <w:szCs w:val="17"/>
              </w:rPr>
              <w:t>148.10–296.20</w:t>
            </w:r>
          </w:p>
        </w:tc>
        <w:tc>
          <w:tcPr>
            <w:tcW w:w="387" w:type="pct"/>
          </w:tcPr>
          <w:p w14:paraId="1D9B9330" w14:textId="77777777" w:rsidR="00232F0B" w:rsidRPr="00CF4B8F" w:rsidRDefault="00232F0B" w:rsidP="00CF4B8F">
            <w:pPr>
              <w:pStyle w:val="TableText"/>
              <w:rPr>
                <w:sz w:val="17"/>
                <w:szCs w:val="17"/>
              </w:rPr>
            </w:pPr>
            <w:r w:rsidRPr="00CF4B8F">
              <w:rPr>
                <w:sz w:val="17"/>
                <w:szCs w:val="17"/>
              </w:rPr>
              <w:t>258.00–495.00 + 17.00–35.00 per unit</w:t>
            </w:r>
          </w:p>
        </w:tc>
        <w:tc>
          <w:tcPr>
            <w:tcW w:w="803" w:type="pct"/>
          </w:tcPr>
          <w:p w14:paraId="746A5115" w14:textId="77777777" w:rsidR="00232F0B" w:rsidRPr="00CF4B8F" w:rsidRDefault="00232F0B" w:rsidP="007732DF">
            <w:pPr>
              <w:pStyle w:val="TableText"/>
              <w:jc w:val="center"/>
              <w:rPr>
                <w:sz w:val="17"/>
                <w:szCs w:val="17"/>
              </w:rPr>
            </w:pPr>
            <w:r w:rsidRPr="00CF4B8F">
              <w:rPr>
                <w:sz w:val="17"/>
                <w:szCs w:val="17"/>
              </w:rPr>
              <w:t>As above</w:t>
            </w:r>
          </w:p>
        </w:tc>
        <w:tc>
          <w:tcPr>
            <w:tcW w:w="555" w:type="pct"/>
          </w:tcPr>
          <w:p w14:paraId="2DB578C2" w14:textId="77777777" w:rsidR="00232F0B" w:rsidRPr="00CF4B8F" w:rsidRDefault="00232F0B" w:rsidP="007732DF">
            <w:pPr>
              <w:pStyle w:val="TableText"/>
              <w:rPr>
                <w:sz w:val="17"/>
                <w:szCs w:val="17"/>
              </w:rPr>
            </w:pPr>
            <w:r w:rsidRPr="00CF4B8F">
              <w:rPr>
                <w:sz w:val="17"/>
                <w:szCs w:val="17"/>
              </w:rPr>
              <w:t>Irradiating apparatus:</w:t>
            </w:r>
            <w:r w:rsidR="007732DF">
              <w:rPr>
                <w:sz w:val="17"/>
                <w:szCs w:val="17"/>
              </w:rPr>
              <w:br/>
            </w:r>
            <w:r w:rsidRPr="00CF4B8F">
              <w:rPr>
                <w:sz w:val="17"/>
                <w:szCs w:val="17"/>
              </w:rPr>
              <w:t>210.00 (1–2)</w:t>
            </w:r>
            <w:r w:rsidR="007732DF">
              <w:rPr>
                <w:sz w:val="17"/>
                <w:szCs w:val="17"/>
              </w:rPr>
              <w:br/>
            </w:r>
            <w:r w:rsidRPr="00CF4B8F">
              <w:rPr>
                <w:sz w:val="17"/>
                <w:szCs w:val="17"/>
              </w:rPr>
              <w:t>420.00 (3–5)</w:t>
            </w:r>
            <w:r w:rsidR="007732DF">
              <w:rPr>
                <w:sz w:val="17"/>
                <w:szCs w:val="17"/>
              </w:rPr>
              <w:br/>
            </w:r>
            <w:r w:rsidRPr="00CF4B8F">
              <w:rPr>
                <w:sz w:val="17"/>
                <w:szCs w:val="17"/>
              </w:rPr>
              <w:t>840.00 (6–10)</w:t>
            </w:r>
            <w:r w:rsidR="007732DF">
              <w:rPr>
                <w:sz w:val="17"/>
                <w:szCs w:val="17"/>
              </w:rPr>
              <w:br/>
            </w:r>
            <w:r w:rsidRPr="00CF4B8F">
              <w:rPr>
                <w:sz w:val="17"/>
                <w:szCs w:val="17"/>
              </w:rPr>
              <w:t>1,</w:t>
            </w:r>
            <w:r w:rsidR="007732DF">
              <w:rPr>
                <w:sz w:val="17"/>
                <w:szCs w:val="17"/>
              </w:rPr>
              <w:t>325.00 (&gt;10)</w:t>
            </w:r>
          </w:p>
        </w:tc>
        <w:tc>
          <w:tcPr>
            <w:tcW w:w="583" w:type="pct"/>
          </w:tcPr>
          <w:p w14:paraId="25E67422" w14:textId="77777777" w:rsidR="00232F0B" w:rsidRPr="00CF4B8F" w:rsidRDefault="00232F0B" w:rsidP="00CF4B8F">
            <w:pPr>
              <w:pStyle w:val="TableText"/>
              <w:rPr>
                <w:sz w:val="17"/>
                <w:szCs w:val="17"/>
              </w:rPr>
            </w:pPr>
            <w:r w:rsidRPr="00CF4B8F">
              <w:rPr>
                <w:sz w:val="17"/>
                <w:szCs w:val="17"/>
              </w:rPr>
              <w:t>Possession:</w:t>
            </w:r>
            <w:r w:rsidR="007732DF">
              <w:rPr>
                <w:sz w:val="17"/>
                <w:szCs w:val="17"/>
              </w:rPr>
              <w:br/>
            </w:r>
            <w:r w:rsidRPr="00CF4B8F">
              <w:rPr>
                <w:sz w:val="17"/>
                <w:szCs w:val="17"/>
              </w:rPr>
              <w:t>536.00 (&lt;6)</w:t>
            </w:r>
            <w:r w:rsidR="007732DF">
              <w:rPr>
                <w:sz w:val="17"/>
                <w:szCs w:val="17"/>
              </w:rPr>
              <w:br/>
            </w:r>
            <w:r w:rsidRPr="00CF4B8F">
              <w:rPr>
                <w:sz w:val="17"/>
                <w:szCs w:val="17"/>
              </w:rPr>
              <w:t>1,460.00 (6–10)</w:t>
            </w:r>
            <w:r w:rsidR="007732DF">
              <w:rPr>
                <w:sz w:val="17"/>
                <w:szCs w:val="17"/>
              </w:rPr>
              <w:br/>
            </w:r>
            <w:r w:rsidRPr="00CF4B8F">
              <w:rPr>
                <w:sz w:val="17"/>
                <w:szCs w:val="17"/>
              </w:rPr>
              <w:t>2,625.00 (&gt;10) and</w:t>
            </w:r>
          </w:p>
          <w:p w14:paraId="15020509" w14:textId="77777777" w:rsidR="00232F0B" w:rsidRPr="00CF4B8F" w:rsidRDefault="007732DF" w:rsidP="007732DF">
            <w:pPr>
              <w:pStyle w:val="TableText"/>
              <w:rPr>
                <w:sz w:val="17"/>
                <w:szCs w:val="17"/>
              </w:rPr>
            </w:pPr>
            <w:r>
              <w:rPr>
                <w:sz w:val="17"/>
                <w:szCs w:val="17"/>
              </w:rPr>
              <w:t>1</w:t>
            </w:r>
            <w:r w:rsidR="00232F0B" w:rsidRPr="00CF4B8F">
              <w:rPr>
                <w:sz w:val="17"/>
                <w:szCs w:val="17"/>
              </w:rPr>
              <w:t>st RM source:</w:t>
            </w:r>
            <w:r>
              <w:rPr>
                <w:sz w:val="17"/>
                <w:szCs w:val="17"/>
              </w:rPr>
              <w:br/>
            </w:r>
            <w:r w:rsidR="00232F0B" w:rsidRPr="00CF4B8F">
              <w:rPr>
                <w:sz w:val="17"/>
                <w:szCs w:val="17"/>
              </w:rPr>
              <w:t>1,710.00</w:t>
            </w:r>
            <w:r>
              <w:rPr>
                <w:sz w:val="17"/>
                <w:szCs w:val="17"/>
              </w:rPr>
              <w:t xml:space="preserve"> </w:t>
            </w:r>
            <w:r w:rsidR="00232F0B" w:rsidRPr="00CF4B8F">
              <w:rPr>
                <w:sz w:val="17"/>
                <w:szCs w:val="17"/>
              </w:rPr>
              <w:t>(1,496.00 each additional) and</w:t>
            </w:r>
            <w:r>
              <w:rPr>
                <w:sz w:val="17"/>
                <w:szCs w:val="17"/>
              </w:rPr>
              <w:t xml:space="preserve"> </w:t>
            </w:r>
            <w:r w:rsidR="00232F0B" w:rsidRPr="00CF4B8F">
              <w:rPr>
                <w:sz w:val="17"/>
                <w:szCs w:val="17"/>
              </w:rPr>
              <w:t>each apparatus 791.00–1,142.00</w:t>
            </w:r>
          </w:p>
        </w:tc>
        <w:tc>
          <w:tcPr>
            <w:tcW w:w="534" w:type="pct"/>
          </w:tcPr>
          <w:p w14:paraId="0987E518" w14:textId="77777777" w:rsidR="00232F0B" w:rsidRPr="00CF4B8F" w:rsidRDefault="00232F0B" w:rsidP="00CF4B8F">
            <w:pPr>
              <w:pStyle w:val="TableText"/>
              <w:rPr>
                <w:sz w:val="17"/>
                <w:szCs w:val="17"/>
              </w:rPr>
            </w:pPr>
            <w:r w:rsidRPr="00CF4B8F">
              <w:rPr>
                <w:sz w:val="17"/>
                <w:szCs w:val="17"/>
              </w:rPr>
              <w:t>333.72–1,247.40 (1–5 sources) or 228.42 per source (&gt;5 sources)</w:t>
            </w:r>
          </w:p>
        </w:tc>
      </w:tr>
      <w:tr w:rsidR="00CF4B8F" w:rsidRPr="00A40FD5" w14:paraId="279B9AC6" w14:textId="77777777" w:rsidTr="00CF4B8F">
        <w:trPr>
          <w:cantSplit/>
        </w:trPr>
        <w:tc>
          <w:tcPr>
            <w:tcW w:w="487" w:type="pct"/>
            <w:noWrap/>
          </w:tcPr>
          <w:p w14:paraId="03AD3421" w14:textId="77777777" w:rsidR="00232F0B" w:rsidRPr="00CF4B8F" w:rsidRDefault="00232F0B" w:rsidP="00CF4B8F">
            <w:pPr>
              <w:pStyle w:val="TableText"/>
              <w:rPr>
                <w:sz w:val="17"/>
                <w:szCs w:val="17"/>
              </w:rPr>
            </w:pPr>
            <w:r w:rsidRPr="00CF4B8F">
              <w:rPr>
                <w:sz w:val="17"/>
                <w:szCs w:val="17"/>
              </w:rPr>
              <w:t>Medical 5, medical 6 and non-medical 6</w:t>
            </w:r>
          </w:p>
        </w:tc>
        <w:tc>
          <w:tcPr>
            <w:tcW w:w="388" w:type="pct"/>
          </w:tcPr>
          <w:p w14:paraId="26B57C34" w14:textId="77777777" w:rsidR="00232F0B" w:rsidRPr="00CF4B8F" w:rsidRDefault="00232F0B" w:rsidP="007732DF">
            <w:pPr>
              <w:pStyle w:val="TableText"/>
              <w:jc w:val="center"/>
              <w:rPr>
                <w:sz w:val="17"/>
                <w:szCs w:val="17"/>
              </w:rPr>
            </w:pPr>
            <w:r w:rsidRPr="00CF4B8F">
              <w:rPr>
                <w:color w:val="002639"/>
                <w:sz w:val="17"/>
                <w:szCs w:val="17"/>
                <w:shd w:val="clear" w:color="auto" w:fill="FFFFFF"/>
              </w:rPr>
              <w:t>361–415</w:t>
            </w:r>
          </w:p>
        </w:tc>
        <w:tc>
          <w:tcPr>
            <w:tcW w:w="389" w:type="pct"/>
          </w:tcPr>
          <w:p w14:paraId="1B6AA2CC" w14:textId="77777777" w:rsidR="00232F0B" w:rsidRPr="00CF4B8F" w:rsidRDefault="00232F0B" w:rsidP="007732DF">
            <w:pPr>
              <w:pStyle w:val="TableText"/>
              <w:jc w:val="center"/>
              <w:rPr>
                <w:sz w:val="17"/>
                <w:szCs w:val="17"/>
              </w:rPr>
            </w:pPr>
            <w:r w:rsidRPr="00CF4B8F">
              <w:rPr>
                <w:sz w:val="17"/>
                <w:szCs w:val="17"/>
              </w:rPr>
              <w:t>757–</w:t>
            </w:r>
            <w:r w:rsidR="007732DF">
              <w:rPr>
                <w:sz w:val="17"/>
                <w:szCs w:val="17"/>
              </w:rPr>
              <w:t>993</w:t>
            </w:r>
          </w:p>
        </w:tc>
        <w:tc>
          <w:tcPr>
            <w:tcW w:w="437" w:type="pct"/>
          </w:tcPr>
          <w:p w14:paraId="64F41FA8" w14:textId="77777777" w:rsidR="00232F0B" w:rsidRPr="00CF4B8F" w:rsidRDefault="00232F0B" w:rsidP="007732DF">
            <w:pPr>
              <w:pStyle w:val="TableText"/>
              <w:rPr>
                <w:sz w:val="17"/>
                <w:szCs w:val="17"/>
              </w:rPr>
            </w:pPr>
            <w:r w:rsidRPr="00CF4B8F">
              <w:rPr>
                <w:sz w:val="17"/>
                <w:szCs w:val="17"/>
              </w:rPr>
              <w:t>Group 1:</w:t>
            </w:r>
            <w:r w:rsidR="007732DF">
              <w:rPr>
                <w:sz w:val="17"/>
                <w:szCs w:val="17"/>
              </w:rPr>
              <w:br/>
            </w:r>
            <w:r w:rsidRPr="00CF4B8F">
              <w:rPr>
                <w:sz w:val="17"/>
                <w:szCs w:val="17"/>
              </w:rPr>
              <w:t>1,238 (0–3)</w:t>
            </w:r>
            <w:r w:rsidR="007732DF">
              <w:rPr>
                <w:sz w:val="17"/>
                <w:szCs w:val="17"/>
              </w:rPr>
              <w:br/>
            </w:r>
            <w:r w:rsidRPr="00CF4B8F">
              <w:rPr>
                <w:sz w:val="17"/>
                <w:szCs w:val="17"/>
              </w:rPr>
              <w:t>3,216 (4–10)</w:t>
            </w:r>
            <w:r w:rsidR="007732DF">
              <w:rPr>
                <w:sz w:val="17"/>
                <w:szCs w:val="17"/>
              </w:rPr>
              <w:br/>
            </w:r>
            <w:r w:rsidRPr="00CF4B8F">
              <w:rPr>
                <w:sz w:val="17"/>
                <w:szCs w:val="17"/>
              </w:rPr>
              <w:t>6,192 (&gt;10)</w:t>
            </w:r>
          </w:p>
        </w:tc>
        <w:tc>
          <w:tcPr>
            <w:tcW w:w="436" w:type="pct"/>
          </w:tcPr>
          <w:p w14:paraId="046F6F0A" w14:textId="77777777" w:rsidR="00232F0B" w:rsidRPr="00CF4B8F" w:rsidRDefault="00232F0B" w:rsidP="007732DF">
            <w:pPr>
              <w:pStyle w:val="TableText"/>
              <w:jc w:val="center"/>
              <w:rPr>
                <w:sz w:val="17"/>
                <w:szCs w:val="17"/>
              </w:rPr>
            </w:pPr>
            <w:r w:rsidRPr="00CF4B8F">
              <w:rPr>
                <w:sz w:val="17"/>
                <w:szCs w:val="17"/>
              </w:rPr>
              <w:t>148.10–592.40</w:t>
            </w:r>
          </w:p>
        </w:tc>
        <w:tc>
          <w:tcPr>
            <w:tcW w:w="387" w:type="pct"/>
          </w:tcPr>
          <w:p w14:paraId="4203818A" w14:textId="77777777" w:rsidR="00232F0B" w:rsidRPr="00CF4B8F" w:rsidRDefault="00232F0B" w:rsidP="00CF4B8F">
            <w:pPr>
              <w:pStyle w:val="TableText"/>
              <w:rPr>
                <w:sz w:val="17"/>
                <w:szCs w:val="17"/>
              </w:rPr>
            </w:pPr>
            <w:r w:rsidRPr="00CF4B8F">
              <w:rPr>
                <w:sz w:val="17"/>
                <w:szCs w:val="17"/>
              </w:rPr>
              <w:t>258.00–495.00 + 17.00–69.00 per unit</w:t>
            </w:r>
            <w:r w:rsidRPr="00CF4B8F" w:rsidDel="00220E1D">
              <w:rPr>
                <w:sz w:val="17"/>
                <w:szCs w:val="17"/>
              </w:rPr>
              <w:t xml:space="preserve"> </w:t>
            </w:r>
          </w:p>
        </w:tc>
        <w:tc>
          <w:tcPr>
            <w:tcW w:w="803" w:type="pct"/>
          </w:tcPr>
          <w:p w14:paraId="1B8D59BC" w14:textId="77777777" w:rsidR="00232F0B" w:rsidRPr="00CF4B8F" w:rsidRDefault="00232F0B" w:rsidP="007732DF">
            <w:pPr>
              <w:pStyle w:val="TableText"/>
              <w:jc w:val="center"/>
              <w:rPr>
                <w:sz w:val="17"/>
                <w:szCs w:val="17"/>
              </w:rPr>
            </w:pPr>
            <w:r w:rsidRPr="00CF4B8F">
              <w:rPr>
                <w:sz w:val="17"/>
                <w:szCs w:val="17"/>
              </w:rPr>
              <w:t>As above</w:t>
            </w:r>
          </w:p>
        </w:tc>
        <w:tc>
          <w:tcPr>
            <w:tcW w:w="555" w:type="pct"/>
          </w:tcPr>
          <w:p w14:paraId="18B84988" w14:textId="77777777" w:rsidR="0087667B" w:rsidRPr="00CF4B8F" w:rsidRDefault="00232F0B" w:rsidP="00CF4B8F">
            <w:pPr>
              <w:pStyle w:val="TableText"/>
              <w:rPr>
                <w:sz w:val="17"/>
                <w:szCs w:val="17"/>
              </w:rPr>
            </w:pPr>
            <w:r w:rsidRPr="00CF4B8F">
              <w:rPr>
                <w:sz w:val="17"/>
                <w:szCs w:val="17"/>
              </w:rPr>
              <w:t>Irradiating apparatus:</w:t>
            </w:r>
            <w:r w:rsidR="007732DF">
              <w:rPr>
                <w:sz w:val="17"/>
                <w:szCs w:val="17"/>
              </w:rPr>
              <w:br/>
            </w:r>
            <w:r w:rsidRPr="00CF4B8F">
              <w:rPr>
                <w:sz w:val="17"/>
                <w:szCs w:val="17"/>
              </w:rPr>
              <w:t>210.00 (1–2)</w:t>
            </w:r>
            <w:r w:rsidR="007732DF">
              <w:rPr>
                <w:sz w:val="17"/>
                <w:szCs w:val="17"/>
              </w:rPr>
              <w:br/>
            </w:r>
            <w:r w:rsidRPr="00CF4B8F">
              <w:rPr>
                <w:sz w:val="17"/>
                <w:szCs w:val="17"/>
              </w:rPr>
              <w:t>420.00 (3–5)</w:t>
            </w:r>
            <w:r w:rsidR="007732DF">
              <w:rPr>
                <w:sz w:val="17"/>
                <w:szCs w:val="17"/>
              </w:rPr>
              <w:br/>
            </w:r>
            <w:r w:rsidRPr="00CF4B8F">
              <w:rPr>
                <w:sz w:val="17"/>
                <w:szCs w:val="17"/>
              </w:rPr>
              <w:t>840.00 (6–10)</w:t>
            </w:r>
            <w:r w:rsidR="007732DF">
              <w:rPr>
                <w:sz w:val="17"/>
                <w:szCs w:val="17"/>
              </w:rPr>
              <w:br/>
            </w:r>
            <w:r w:rsidRPr="00CF4B8F">
              <w:rPr>
                <w:sz w:val="17"/>
                <w:szCs w:val="17"/>
              </w:rPr>
              <w:t>1,325.00 (&gt;10) and</w:t>
            </w:r>
          </w:p>
          <w:p w14:paraId="70E99DC7" w14:textId="77777777" w:rsidR="00232F0B" w:rsidRPr="00CF4B8F" w:rsidRDefault="00232F0B" w:rsidP="007732DF">
            <w:pPr>
              <w:pStyle w:val="TableText"/>
              <w:rPr>
                <w:sz w:val="17"/>
                <w:szCs w:val="17"/>
              </w:rPr>
            </w:pPr>
            <w:r w:rsidRPr="00CF4B8F">
              <w:rPr>
                <w:sz w:val="17"/>
                <w:szCs w:val="17"/>
              </w:rPr>
              <w:t>radioactive material:</w:t>
            </w:r>
            <w:r w:rsidR="007732DF">
              <w:rPr>
                <w:sz w:val="17"/>
                <w:szCs w:val="17"/>
              </w:rPr>
              <w:br/>
            </w:r>
            <w:r w:rsidRPr="00CF4B8F">
              <w:rPr>
                <w:sz w:val="17"/>
                <w:szCs w:val="17"/>
              </w:rPr>
              <w:t>210.00 (&lt;40GBq)</w:t>
            </w:r>
            <w:r w:rsidR="007732DF">
              <w:rPr>
                <w:sz w:val="17"/>
                <w:szCs w:val="17"/>
              </w:rPr>
              <w:br/>
            </w:r>
            <w:r w:rsidRPr="00CF4B8F">
              <w:rPr>
                <w:sz w:val="17"/>
                <w:szCs w:val="17"/>
              </w:rPr>
              <w:t>420.00 (40–400GBq)</w:t>
            </w:r>
            <w:r w:rsidR="007732DF">
              <w:rPr>
                <w:sz w:val="17"/>
                <w:szCs w:val="17"/>
              </w:rPr>
              <w:br/>
            </w:r>
            <w:r w:rsidRPr="00CF4B8F">
              <w:rPr>
                <w:sz w:val="17"/>
                <w:szCs w:val="17"/>
              </w:rPr>
              <w:t>840.00 (0.4–4TBq)</w:t>
            </w:r>
          </w:p>
        </w:tc>
        <w:tc>
          <w:tcPr>
            <w:tcW w:w="583" w:type="pct"/>
          </w:tcPr>
          <w:p w14:paraId="4D56BE0C" w14:textId="77777777" w:rsidR="007732DF" w:rsidRDefault="00232F0B" w:rsidP="007732DF">
            <w:pPr>
              <w:pStyle w:val="TableText"/>
              <w:rPr>
                <w:sz w:val="17"/>
                <w:szCs w:val="17"/>
              </w:rPr>
            </w:pPr>
            <w:r w:rsidRPr="00CF4B8F">
              <w:rPr>
                <w:sz w:val="17"/>
                <w:szCs w:val="17"/>
              </w:rPr>
              <w:t>Possession:</w:t>
            </w:r>
            <w:r w:rsidR="007732DF">
              <w:rPr>
                <w:sz w:val="17"/>
                <w:szCs w:val="17"/>
              </w:rPr>
              <w:br/>
            </w:r>
            <w:r w:rsidRPr="00CF4B8F">
              <w:rPr>
                <w:sz w:val="17"/>
                <w:szCs w:val="17"/>
              </w:rPr>
              <w:t>536.00 (&lt;6)</w:t>
            </w:r>
            <w:r w:rsidR="007732DF">
              <w:rPr>
                <w:sz w:val="17"/>
                <w:szCs w:val="17"/>
              </w:rPr>
              <w:br/>
            </w:r>
            <w:r w:rsidRPr="00CF4B8F">
              <w:rPr>
                <w:sz w:val="17"/>
                <w:szCs w:val="17"/>
              </w:rPr>
              <w:t>1,460.00 (6–10)</w:t>
            </w:r>
            <w:r w:rsidR="007732DF">
              <w:rPr>
                <w:sz w:val="17"/>
                <w:szCs w:val="17"/>
              </w:rPr>
              <w:br/>
            </w:r>
            <w:r w:rsidRPr="00CF4B8F">
              <w:rPr>
                <w:sz w:val="17"/>
                <w:szCs w:val="17"/>
              </w:rPr>
              <w:t>2,625.00 (&gt;10)</w:t>
            </w:r>
          </w:p>
          <w:p w14:paraId="13C5BBC9" w14:textId="77777777" w:rsidR="007732DF" w:rsidRDefault="00232F0B" w:rsidP="007732DF">
            <w:pPr>
              <w:pStyle w:val="TableText"/>
              <w:rPr>
                <w:sz w:val="17"/>
                <w:szCs w:val="17"/>
              </w:rPr>
            </w:pPr>
            <w:r w:rsidRPr="00CF4B8F">
              <w:rPr>
                <w:sz w:val="17"/>
                <w:szCs w:val="17"/>
              </w:rPr>
              <w:t>Unsealed:</w:t>
            </w:r>
            <w:r w:rsidR="007732DF">
              <w:rPr>
                <w:sz w:val="17"/>
                <w:szCs w:val="17"/>
              </w:rPr>
              <w:br/>
            </w:r>
            <w:r w:rsidRPr="00CF4B8F">
              <w:rPr>
                <w:sz w:val="17"/>
                <w:szCs w:val="17"/>
              </w:rPr>
              <w:t>1,710.00 and</w:t>
            </w:r>
          </w:p>
          <w:p w14:paraId="23C1D74D" w14:textId="77777777" w:rsidR="00232F0B" w:rsidRPr="00CF4B8F" w:rsidRDefault="00232F0B" w:rsidP="007732DF">
            <w:pPr>
              <w:pStyle w:val="TableText"/>
              <w:rPr>
                <w:sz w:val="17"/>
                <w:szCs w:val="17"/>
              </w:rPr>
            </w:pPr>
            <w:r w:rsidRPr="00CF4B8F">
              <w:rPr>
                <w:sz w:val="17"/>
                <w:szCs w:val="17"/>
              </w:rPr>
              <w:t>1st RM source:</w:t>
            </w:r>
            <w:r w:rsidR="007732DF">
              <w:rPr>
                <w:sz w:val="17"/>
                <w:szCs w:val="17"/>
              </w:rPr>
              <w:br/>
            </w:r>
            <w:r w:rsidRPr="00CF4B8F">
              <w:rPr>
                <w:sz w:val="17"/>
                <w:szCs w:val="17"/>
              </w:rPr>
              <w:t>1,710.00</w:t>
            </w:r>
            <w:r w:rsidR="007732DF">
              <w:rPr>
                <w:sz w:val="17"/>
                <w:szCs w:val="17"/>
              </w:rPr>
              <w:t xml:space="preserve"> </w:t>
            </w:r>
            <w:r w:rsidRPr="00CF4B8F">
              <w:rPr>
                <w:sz w:val="17"/>
                <w:szCs w:val="17"/>
              </w:rPr>
              <w:t>(1,496.00 each additional) and</w:t>
            </w:r>
            <w:r w:rsidR="007732DF">
              <w:rPr>
                <w:sz w:val="17"/>
                <w:szCs w:val="17"/>
              </w:rPr>
              <w:t xml:space="preserve"> </w:t>
            </w:r>
            <w:r w:rsidRPr="00CF4B8F">
              <w:rPr>
                <w:sz w:val="17"/>
                <w:szCs w:val="17"/>
              </w:rPr>
              <w:t>each apparatus 791.00–847.00</w:t>
            </w:r>
          </w:p>
        </w:tc>
        <w:tc>
          <w:tcPr>
            <w:tcW w:w="534" w:type="pct"/>
          </w:tcPr>
          <w:p w14:paraId="5E6D712C" w14:textId="77777777" w:rsidR="00232F0B" w:rsidRPr="00CF4B8F" w:rsidRDefault="00232F0B" w:rsidP="007732DF">
            <w:pPr>
              <w:pStyle w:val="TableText"/>
              <w:rPr>
                <w:sz w:val="17"/>
                <w:szCs w:val="17"/>
              </w:rPr>
            </w:pPr>
            <w:r w:rsidRPr="00CF4B8F">
              <w:rPr>
                <w:sz w:val="17"/>
                <w:szCs w:val="17"/>
              </w:rPr>
              <w:t>1,101.60 per linac and</w:t>
            </w:r>
            <w:r w:rsidR="007732DF">
              <w:rPr>
                <w:sz w:val="17"/>
                <w:szCs w:val="17"/>
              </w:rPr>
              <w:br/>
            </w:r>
            <w:r w:rsidRPr="00CF4B8F">
              <w:rPr>
                <w:sz w:val="17"/>
                <w:szCs w:val="17"/>
              </w:rPr>
              <w:t>333.72–1,247.40 (1–5 sources) or 228.42 per source (&gt;5 sources)</w:t>
            </w:r>
          </w:p>
        </w:tc>
      </w:tr>
      <w:tr w:rsidR="00CF4B8F" w:rsidRPr="00F07BB9" w14:paraId="48D90C60" w14:textId="77777777" w:rsidTr="00CF4B8F">
        <w:trPr>
          <w:cantSplit/>
        </w:trPr>
        <w:tc>
          <w:tcPr>
            <w:tcW w:w="487" w:type="pct"/>
            <w:noWrap/>
          </w:tcPr>
          <w:p w14:paraId="178D6617" w14:textId="77777777" w:rsidR="00232F0B" w:rsidRPr="00CF4B8F" w:rsidRDefault="00232F0B" w:rsidP="007732DF">
            <w:pPr>
              <w:pStyle w:val="TableText"/>
              <w:rPr>
                <w:sz w:val="17"/>
                <w:szCs w:val="17"/>
              </w:rPr>
            </w:pPr>
            <w:r w:rsidRPr="00CF4B8F">
              <w:rPr>
                <w:sz w:val="17"/>
                <w:szCs w:val="17"/>
              </w:rPr>
              <w:t>Non-medical 4</w:t>
            </w:r>
          </w:p>
        </w:tc>
        <w:tc>
          <w:tcPr>
            <w:tcW w:w="388" w:type="pct"/>
          </w:tcPr>
          <w:p w14:paraId="269230C3" w14:textId="77777777" w:rsidR="00232F0B" w:rsidRPr="00CF4B8F" w:rsidRDefault="00232F0B" w:rsidP="007732DF">
            <w:pPr>
              <w:pStyle w:val="TableText"/>
              <w:jc w:val="center"/>
              <w:rPr>
                <w:sz w:val="17"/>
                <w:szCs w:val="17"/>
              </w:rPr>
            </w:pPr>
            <w:r w:rsidRPr="00CF4B8F">
              <w:rPr>
                <w:color w:val="002639"/>
                <w:sz w:val="17"/>
                <w:szCs w:val="17"/>
                <w:shd w:val="clear" w:color="auto" w:fill="FFFFFF"/>
              </w:rPr>
              <w:t>522–600</w:t>
            </w:r>
          </w:p>
        </w:tc>
        <w:tc>
          <w:tcPr>
            <w:tcW w:w="389" w:type="pct"/>
          </w:tcPr>
          <w:p w14:paraId="5165695A" w14:textId="77777777" w:rsidR="00232F0B" w:rsidRPr="00CF4B8F" w:rsidRDefault="00232F0B" w:rsidP="007732DF">
            <w:pPr>
              <w:pStyle w:val="TableText"/>
              <w:jc w:val="center"/>
              <w:rPr>
                <w:sz w:val="17"/>
                <w:szCs w:val="17"/>
              </w:rPr>
            </w:pPr>
            <w:r w:rsidRPr="00CF4B8F">
              <w:rPr>
                <w:sz w:val="17"/>
                <w:szCs w:val="17"/>
              </w:rPr>
              <w:t>1,092–1,328</w:t>
            </w:r>
          </w:p>
        </w:tc>
        <w:tc>
          <w:tcPr>
            <w:tcW w:w="437" w:type="pct"/>
          </w:tcPr>
          <w:p w14:paraId="3A878A98" w14:textId="77777777" w:rsidR="00232F0B" w:rsidRPr="00CF4B8F" w:rsidRDefault="00232F0B" w:rsidP="007732DF">
            <w:pPr>
              <w:pStyle w:val="TableText"/>
              <w:rPr>
                <w:sz w:val="17"/>
                <w:szCs w:val="17"/>
              </w:rPr>
            </w:pPr>
            <w:r w:rsidRPr="00CF4B8F">
              <w:rPr>
                <w:sz w:val="17"/>
                <w:szCs w:val="17"/>
              </w:rPr>
              <w:t>Group 2:</w:t>
            </w:r>
            <w:r w:rsidR="007732DF">
              <w:rPr>
                <w:sz w:val="17"/>
                <w:szCs w:val="17"/>
              </w:rPr>
              <w:br/>
            </w:r>
            <w:r w:rsidRPr="00CF4B8F">
              <w:rPr>
                <w:sz w:val="17"/>
                <w:szCs w:val="17"/>
              </w:rPr>
              <w:t>4,954 (0–3)</w:t>
            </w:r>
            <w:r w:rsidR="007732DF">
              <w:rPr>
                <w:sz w:val="17"/>
                <w:szCs w:val="17"/>
              </w:rPr>
              <w:br/>
            </w:r>
            <w:r w:rsidRPr="00CF4B8F">
              <w:rPr>
                <w:sz w:val="17"/>
                <w:szCs w:val="17"/>
              </w:rPr>
              <w:t>9,907 (4–10)</w:t>
            </w:r>
            <w:r w:rsidR="007732DF">
              <w:rPr>
                <w:sz w:val="17"/>
                <w:szCs w:val="17"/>
              </w:rPr>
              <w:br/>
              <w:t>18,622 (&gt;10)</w:t>
            </w:r>
          </w:p>
        </w:tc>
        <w:tc>
          <w:tcPr>
            <w:tcW w:w="436" w:type="pct"/>
          </w:tcPr>
          <w:p w14:paraId="7CDCCE72" w14:textId="77777777" w:rsidR="00232F0B" w:rsidRPr="00CF4B8F" w:rsidRDefault="00232F0B" w:rsidP="007732DF">
            <w:pPr>
              <w:pStyle w:val="TableText"/>
              <w:jc w:val="center"/>
              <w:rPr>
                <w:sz w:val="17"/>
                <w:szCs w:val="17"/>
              </w:rPr>
            </w:pPr>
            <w:r w:rsidRPr="00CF4B8F">
              <w:rPr>
                <w:sz w:val="17"/>
                <w:szCs w:val="17"/>
              </w:rPr>
              <w:t>148.10</w:t>
            </w:r>
          </w:p>
        </w:tc>
        <w:tc>
          <w:tcPr>
            <w:tcW w:w="387" w:type="pct"/>
          </w:tcPr>
          <w:p w14:paraId="3DE8D477" w14:textId="77777777" w:rsidR="00232F0B" w:rsidRPr="00CF4B8F" w:rsidRDefault="00232F0B" w:rsidP="00CF4B8F">
            <w:pPr>
              <w:pStyle w:val="TableText"/>
              <w:rPr>
                <w:sz w:val="17"/>
                <w:szCs w:val="17"/>
              </w:rPr>
            </w:pPr>
            <w:r w:rsidRPr="00CF4B8F">
              <w:rPr>
                <w:sz w:val="17"/>
                <w:szCs w:val="17"/>
              </w:rPr>
              <w:t>258.00–495 + 35.00–69.00 per unit</w:t>
            </w:r>
            <w:r w:rsidRPr="00CF4B8F">
              <w:rPr>
                <w:sz w:val="17"/>
                <w:szCs w:val="17"/>
                <w:vertAlign w:val="superscript"/>
              </w:rPr>
              <w:t>10</w:t>
            </w:r>
          </w:p>
        </w:tc>
        <w:tc>
          <w:tcPr>
            <w:tcW w:w="803" w:type="pct"/>
          </w:tcPr>
          <w:p w14:paraId="282BA62F" w14:textId="77777777" w:rsidR="00232F0B" w:rsidRPr="00CF4B8F" w:rsidRDefault="00232F0B" w:rsidP="007732DF">
            <w:pPr>
              <w:pStyle w:val="TableText"/>
              <w:jc w:val="center"/>
              <w:rPr>
                <w:sz w:val="17"/>
                <w:szCs w:val="17"/>
              </w:rPr>
            </w:pPr>
            <w:r w:rsidRPr="00CF4B8F">
              <w:rPr>
                <w:sz w:val="17"/>
                <w:szCs w:val="17"/>
              </w:rPr>
              <w:t>As above</w:t>
            </w:r>
          </w:p>
        </w:tc>
        <w:tc>
          <w:tcPr>
            <w:tcW w:w="555" w:type="pct"/>
          </w:tcPr>
          <w:p w14:paraId="2D932175" w14:textId="77777777" w:rsidR="00232F0B" w:rsidRPr="00CF4B8F" w:rsidRDefault="00232F0B" w:rsidP="007732DF">
            <w:pPr>
              <w:pStyle w:val="TableText"/>
              <w:rPr>
                <w:sz w:val="17"/>
                <w:szCs w:val="17"/>
              </w:rPr>
            </w:pPr>
            <w:r w:rsidRPr="00CF4B8F">
              <w:rPr>
                <w:sz w:val="17"/>
                <w:szCs w:val="17"/>
              </w:rPr>
              <w:t>210.00 (&lt;40GBq)</w:t>
            </w:r>
            <w:r w:rsidR="007732DF">
              <w:rPr>
                <w:sz w:val="17"/>
                <w:szCs w:val="17"/>
              </w:rPr>
              <w:br/>
            </w:r>
            <w:r w:rsidRPr="00CF4B8F">
              <w:rPr>
                <w:sz w:val="17"/>
                <w:szCs w:val="17"/>
              </w:rPr>
              <w:t>420.00 (40–400GBq)</w:t>
            </w:r>
          </w:p>
        </w:tc>
        <w:tc>
          <w:tcPr>
            <w:tcW w:w="583" w:type="pct"/>
          </w:tcPr>
          <w:p w14:paraId="00774AD1" w14:textId="77777777" w:rsidR="007732DF" w:rsidRDefault="00232F0B" w:rsidP="007732DF">
            <w:pPr>
              <w:pStyle w:val="TableText"/>
              <w:rPr>
                <w:sz w:val="17"/>
                <w:szCs w:val="17"/>
              </w:rPr>
            </w:pPr>
            <w:r w:rsidRPr="00CF4B8F">
              <w:rPr>
                <w:sz w:val="17"/>
                <w:szCs w:val="17"/>
              </w:rPr>
              <w:t>Possession:</w:t>
            </w:r>
            <w:r w:rsidR="007732DF">
              <w:rPr>
                <w:sz w:val="17"/>
                <w:szCs w:val="17"/>
              </w:rPr>
              <w:br/>
            </w:r>
            <w:r w:rsidRPr="00CF4B8F">
              <w:rPr>
                <w:sz w:val="17"/>
                <w:szCs w:val="17"/>
              </w:rPr>
              <w:t>536.00 (&lt;6)</w:t>
            </w:r>
            <w:r w:rsidR="007732DF">
              <w:rPr>
                <w:sz w:val="17"/>
                <w:szCs w:val="17"/>
              </w:rPr>
              <w:br/>
            </w:r>
            <w:r w:rsidRPr="00CF4B8F">
              <w:rPr>
                <w:sz w:val="17"/>
                <w:szCs w:val="17"/>
              </w:rPr>
              <w:t>1,460.00 (6–10),</w:t>
            </w:r>
            <w:r w:rsidR="007732DF">
              <w:rPr>
                <w:sz w:val="17"/>
                <w:szCs w:val="17"/>
              </w:rPr>
              <w:br/>
            </w:r>
            <w:r w:rsidRPr="00CF4B8F">
              <w:rPr>
                <w:sz w:val="17"/>
                <w:szCs w:val="17"/>
              </w:rPr>
              <w:t>2,625.00 (&gt;10) and</w:t>
            </w:r>
          </w:p>
          <w:p w14:paraId="7B7DE813" w14:textId="77777777" w:rsidR="00232F0B" w:rsidRPr="00CF4B8F" w:rsidRDefault="00232F0B" w:rsidP="007732DF">
            <w:pPr>
              <w:pStyle w:val="TableText"/>
              <w:rPr>
                <w:sz w:val="17"/>
                <w:szCs w:val="17"/>
              </w:rPr>
            </w:pPr>
            <w:r w:rsidRPr="00CF4B8F">
              <w:rPr>
                <w:sz w:val="17"/>
                <w:szCs w:val="17"/>
              </w:rPr>
              <w:t>1st RM source:</w:t>
            </w:r>
            <w:r w:rsidR="007732DF">
              <w:rPr>
                <w:sz w:val="17"/>
                <w:szCs w:val="17"/>
              </w:rPr>
              <w:br/>
            </w:r>
            <w:r w:rsidRPr="00CF4B8F">
              <w:rPr>
                <w:sz w:val="17"/>
                <w:szCs w:val="17"/>
              </w:rPr>
              <w:t>1,710.00 (1,496.00 each additional) and each apparatus 791.00</w:t>
            </w:r>
          </w:p>
        </w:tc>
        <w:tc>
          <w:tcPr>
            <w:tcW w:w="534" w:type="pct"/>
          </w:tcPr>
          <w:p w14:paraId="283D0AEE" w14:textId="77777777" w:rsidR="00232F0B" w:rsidRPr="00CF4B8F" w:rsidRDefault="00232F0B" w:rsidP="00CF4B8F">
            <w:pPr>
              <w:pStyle w:val="TableText"/>
              <w:rPr>
                <w:sz w:val="17"/>
                <w:szCs w:val="17"/>
              </w:rPr>
            </w:pPr>
            <w:r w:rsidRPr="00CF4B8F">
              <w:rPr>
                <w:sz w:val="17"/>
                <w:szCs w:val="17"/>
              </w:rPr>
              <w:t>333.72–1,247.40 (1–5 sources) or 228.42 per source (&gt;5 sources)</w:t>
            </w:r>
          </w:p>
        </w:tc>
      </w:tr>
    </w:tbl>
    <w:p w14:paraId="49BC9664" w14:textId="77777777" w:rsidR="00232F0B" w:rsidRPr="00A40FD5" w:rsidRDefault="00232F0B" w:rsidP="009079BC"/>
    <w:tbl>
      <w:tblPr>
        <w:tblW w:w="4973" w:type="pct"/>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60" w:firstRow="1" w:lastRow="1" w:firstColumn="0" w:lastColumn="0" w:noHBand="0" w:noVBand="1"/>
      </w:tblPr>
      <w:tblGrid>
        <w:gridCol w:w="1456"/>
        <w:gridCol w:w="1448"/>
        <w:gridCol w:w="1449"/>
        <w:gridCol w:w="1449"/>
        <w:gridCol w:w="1449"/>
        <w:gridCol w:w="1449"/>
        <w:gridCol w:w="1449"/>
        <w:gridCol w:w="1449"/>
        <w:gridCol w:w="1449"/>
        <w:gridCol w:w="1440"/>
      </w:tblGrid>
      <w:tr w:rsidR="007732DF" w:rsidRPr="007732DF" w14:paraId="7307BD34" w14:textId="77777777" w:rsidTr="007732DF">
        <w:trPr>
          <w:cantSplit/>
        </w:trPr>
        <w:tc>
          <w:tcPr>
            <w:tcW w:w="503" w:type="pct"/>
            <w:tcBorders>
              <w:top w:val="nil"/>
              <w:bottom w:val="nil"/>
            </w:tcBorders>
            <w:shd w:val="clear" w:color="auto" w:fill="D9D9D9" w:themeFill="background1" w:themeFillShade="D9"/>
            <w:noWrap/>
          </w:tcPr>
          <w:p w14:paraId="62E25A29" w14:textId="77777777" w:rsidR="00232F0B" w:rsidRPr="007732DF" w:rsidRDefault="00232F0B" w:rsidP="007732DF">
            <w:pPr>
              <w:pStyle w:val="TableText"/>
              <w:keepNext/>
              <w:rPr>
                <w:b/>
              </w:rPr>
            </w:pPr>
            <w:r w:rsidRPr="007732DF">
              <w:rPr>
                <w:b/>
              </w:rPr>
              <w:t>Use licence</w:t>
            </w:r>
          </w:p>
        </w:tc>
        <w:tc>
          <w:tcPr>
            <w:tcW w:w="500" w:type="pct"/>
            <w:tcBorders>
              <w:top w:val="nil"/>
              <w:bottom w:val="nil"/>
            </w:tcBorders>
            <w:shd w:val="clear" w:color="auto" w:fill="D9D9D9" w:themeFill="background1" w:themeFillShade="D9"/>
          </w:tcPr>
          <w:p w14:paraId="20A9BCF3" w14:textId="77777777" w:rsidR="00232F0B" w:rsidRPr="007732DF" w:rsidRDefault="00232F0B" w:rsidP="007732DF">
            <w:pPr>
              <w:pStyle w:val="TableText"/>
              <w:jc w:val="center"/>
              <w:rPr>
                <w:b/>
              </w:rPr>
            </w:pPr>
            <w:r w:rsidRPr="007732DF">
              <w:rPr>
                <w:b/>
              </w:rPr>
              <w:t>$NZD</w:t>
            </w:r>
          </w:p>
        </w:tc>
        <w:tc>
          <w:tcPr>
            <w:tcW w:w="500" w:type="pct"/>
            <w:tcBorders>
              <w:top w:val="nil"/>
              <w:bottom w:val="nil"/>
            </w:tcBorders>
            <w:shd w:val="clear" w:color="auto" w:fill="D9D9D9" w:themeFill="background1" w:themeFillShade="D9"/>
          </w:tcPr>
          <w:p w14:paraId="2AC278E4" w14:textId="77777777" w:rsidR="00232F0B" w:rsidRPr="007732DF" w:rsidRDefault="00232F0B" w:rsidP="007732DF">
            <w:pPr>
              <w:pStyle w:val="TableText"/>
              <w:jc w:val="center"/>
              <w:rPr>
                <w:b/>
              </w:rPr>
            </w:pPr>
            <w:r w:rsidRPr="007732DF">
              <w:rPr>
                <w:b/>
              </w:rPr>
              <w:t>$NZD</w:t>
            </w:r>
          </w:p>
        </w:tc>
        <w:tc>
          <w:tcPr>
            <w:tcW w:w="500" w:type="pct"/>
            <w:tcBorders>
              <w:top w:val="nil"/>
              <w:bottom w:val="nil"/>
            </w:tcBorders>
            <w:shd w:val="clear" w:color="auto" w:fill="D9D9D9" w:themeFill="background1" w:themeFillShade="D9"/>
          </w:tcPr>
          <w:p w14:paraId="01A488AA" w14:textId="77777777" w:rsidR="00232F0B" w:rsidRPr="007732DF" w:rsidRDefault="00232F0B" w:rsidP="007732DF">
            <w:pPr>
              <w:pStyle w:val="TableText"/>
              <w:jc w:val="center"/>
              <w:rPr>
                <w:b/>
              </w:rPr>
            </w:pPr>
            <w:r w:rsidRPr="007732DF">
              <w:rPr>
                <w:b/>
              </w:rPr>
              <w:t>$AUD</w:t>
            </w:r>
          </w:p>
        </w:tc>
        <w:tc>
          <w:tcPr>
            <w:tcW w:w="500" w:type="pct"/>
            <w:tcBorders>
              <w:top w:val="nil"/>
              <w:bottom w:val="nil"/>
            </w:tcBorders>
            <w:shd w:val="clear" w:color="auto" w:fill="D9D9D9" w:themeFill="background1" w:themeFillShade="D9"/>
          </w:tcPr>
          <w:p w14:paraId="201BA053" w14:textId="77777777" w:rsidR="00232F0B" w:rsidRPr="007732DF" w:rsidRDefault="00232F0B" w:rsidP="007732DF">
            <w:pPr>
              <w:pStyle w:val="TableText"/>
              <w:jc w:val="center"/>
              <w:rPr>
                <w:b/>
              </w:rPr>
            </w:pPr>
            <w:r w:rsidRPr="007732DF">
              <w:rPr>
                <w:b/>
              </w:rPr>
              <w:t>$AUD</w:t>
            </w:r>
          </w:p>
        </w:tc>
        <w:tc>
          <w:tcPr>
            <w:tcW w:w="500" w:type="pct"/>
            <w:tcBorders>
              <w:top w:val="nil"/>
              <w:bottom w:val="nil"/>
            </w:tcBorders>
            <w:shd w:val="clear" w:color="auto" w:fill="D9D9D9" w:themeFill="background1" w:themeFillShade="D9"/>
          </w:tcPr>
          <w:p w14:paraId="5EE25D54" w14:textId="77777777" w:rsidR="00232F0B" w:rsidRPr="007732DF" w:rsidRDefault="00232F0B" w:rsidP="007732DF">
            <w:pPr>
              <w:pStyle w:val="TableText"/>
              <w:jc w:val="center"/>
              <w:rPr>
                <w:b/>
              </w:rPr>
            </w:pPr>
            <w:r w:rsidRPr="007732DF">
              <w:rPr>
                <w:b/>
              </w:rPr>
              <w:t>$AUD</w:t>
            </w:r>
          </w:p>
        </w:tc>
        <w:tc>
          <w:tcPr>
            <w:tcW w:w="500" w:type="pct"/>
            <w:tcBorders>
              <w:top w:val="nil"/>
              <w:bottom w:val="nil"/>
            </w:tcBorders>
            <w:shd w:val="clear" w:color="auto" w:fill="D9D9D9" w:themeFill="background1" w:themeFillShade="D9"/>
          </w:tcPr>
          <w:p w14:paraId="2D23484E" w14:textId="77777777" w:rsidR="00232F0B" w:rsidRPr="007732DF" w:rsidRDefault="00232F0B" w:rsidP="007732DF">
            <w:pPr>
              <w:pStyle w:val="TableText"/>
              <w:jc w:val="center"/>
              <w:rPr>
                <w:b/>
              </w:rPr>
            </w:pPr>
            <w:r w:rsidRPr="007732DF">
              <w:rPr>
                <w:b/>
              </w:rPr>
              <w:t>$AUD</w:t>
            </w:r>
            <w:r w:rsidRPr="007732DF">
              <w:rPr>
                <w:b/>
                <w:sz w:val="16"/>
                <w:szCs w:val="16"/>
                <w:vertAlign w:val="superscript"/>
              </w:rPr>
              <w:t>11</w:t>
            </w:r>
          </w:p>
        </w:tc>
        <w:tc>
          <w:tcPr>
            <w:tcW w:w="500" w:type="pct"/>
            <w:tcBorders>
              <w:top w:val="nil"/>
              <w:bottom w:val="nil"/>
            </w:tcBorders>
            <w:shd w:val="clear" w:color="auto" w:fill="D9D9D9" w:themeFill="background1" w:themeFillShade="D9"/>
          </w:tcPr>
          <w:p w14:paraId="3D999FF8" w14:textId="77777777" w:rsidR="00232F0B" w:rsidRPr="007732DF" w:rsidRDefault="00232F0B" w:rsidP="007732DF">
            <w:pPr>
              <w:pStyle w:val="TableText"/>
              <w:jc w:val="center"/>
              <w:rPr>
                <w:b/>
              </w:rPr>
            </w:pPr>
            <w:r w:rsidRPr="007732DF">
              <w:rPr>
                <w:b/>
              </w:rPr>
              <w:t>$AUD</w:t>
            </w:r>
          </w:p>
        </w:tc>
        <w:tc>
          <w:tcPr>
            <w:tcW w:w="500" w:type="pct"/>
            <w:tcBorders>
              <w:top w:val="nil"/>
              <w:bottom w:val="nil"/>
            </w:tcBorders>
            <w:shd w:val="clear" w:color="auto" w:fill="D9D9D9" w:themeFill="background1" w:themeFillShade="D9"/>
          </w:tcPr>
          <w:p w14:paraId="499AB972" w14:textId="77777777" w:rsidR="00232F0B" w:rsidRPr="007732DF" w:rsidRDefault="00232F0B" w:rsidP="007732DF">
            <w:pPr>
              <w:pStyle w:val="TableText"/>
              <w:jc w:val="center"/>
              <w:rPr>
                <w:b/>
              </w:rPr>
            </w:pPr>
            <w:r w:rsidRPr="007732DF">
              <w:rPr>
                <w:b/>
              </w:rPr>
              <w:t>$AUD</w:t>
            </w:r>
          </w:p>
        </w:tc>
        <w:tc>
          <w:tcPr>
            <w:tcW w:w="500" w:type="pct"/>
            <w:tcBorders>
              <w:top w:val="nil"/>
              <w:bottom w:val="nil"/>
            </w:tcBorders>
            <w:shd w:val="clear" w:color="auto" w:fill="D9D9D9" w:themeFill="background1" w:themeFillShade="D9"/>
          </w:tcPr>
          <w:p w14:paraId="4FC927C6" w14:textId="77777777" w:rsidR="00232F0B" w:rsidRPr="007732DF" w:rsidRDefault="00232F0B" w:rsidP="007732DF">
            <w:pPr>
              <w:pStyle w:val="TableText"/>
              <w:jc w:val="center"/>
              <w:rPr>
                <w:b/>
              </w:rPr>
            </w:pPr>
            <w:r w:rsidRPr="007732DF">
              <w:rPr>
                <w:b/>
              </w:rPr>
              <w:t>$AUD</w:t>
            </w:r>
          </w:p>
        </w:tc>
      </w:tr>
      <w:tr w:rsidR="00232F0B" w:rsidRPr="00A40FD5" w14:paraId="554FE97D" w14:textId="77777777" w:rsidTr="007732DF">
        <w:trPr>
          <w:cantSplit/>
        </w:trPr>
        <w:tc>
          <w:tcPr>
            <w:tcW w:w="503" w:type="pct"/>
            <w:tcBorders>
              <w:top w:val="nil"/>
            </w:tcBorders>
            <w:shd w:val="clear" w:color="auto" w:fill="auto"/>
            <w:noWrap/>
          </w:tcPr>
          <w:p w14:paraId="0AF271C6" w14:textId="77777777" w:rsidR="00232F0B" w:rsidRPr="00A40FD5" w:rsidRDefault="00232F0B" w:rsidP="007732DF">
            <w:pPr>
              <w:pStyle w:val="TableText"/>
              <w:keepNext/>
            </w:pPr>
            <w:r w:rsidRPr="00A40FD5">
              <w:t>1 year</w:t>
            </w:r>
          </w:p>
        </w:tc>
        <w:tc>
          <w:tcPr>
            <w:tcW w:w="500" w:type="pct"/>
            <w:tcBorders>
              <w:top w:val="nil"/>
            </w:tcBorders>
            <w:shd w:val="clear" w:color="auto" w:fill="auto"/>
          </w:tcPr>
          <w:p w14:paraId="12037267" w14:textId="77777777" w:rsidR="00232F0B" w:rsidRPr="00A40FD5" w:rsidRDefault="00232F0B" w:rsidP="007732DF">
            <w:pPr>
              <w:pStyle w:val="TableText"/>
              <w:jc w:val="center"/>
            </w:pPr>
            <w:r w:rsidRPr="00A40FD5">
              <w:t>109</w:t>
            </w:r>
          </w:p>
        </w:tc>
        <w:tc>
          <w:tcPr>
            <w:tcW w:w="500" w:type="pct"/>
            <w:tcBorders>
              <w:top w:val="nil"/>
            </w:tcBorders>
            <w:shd w:val="clear" w:color="auto" w:fill="auto"/>
          </w:tcPr>
          <w:p w14:paraId="2948991C" w14:textId="77777777" w:rsidR="00232F0B" w:rsidRPr="00A40FD5" w:rsidRDefault="00232F0B" w:rsidP="007732DF">
            <w:pPr>
              <w:pStyle w:val="TableText"/>
              <w:jc w:val="center"/>
            </w:pPr>
            <w:r w:rsidRPr="00A40FD5">
              <w:t>250</w:t>
            </w:r>
            <w:r>
              <w:t>–</w:t>
            </w:r>
            <w:r w:rsidRPr="00A40FD5">
              <w:t>408</w:t>
            </w:r>
          </w:p>
        </w:tc>
        <w:tc>
          <w:tcPr>
            <w:tcW w:w="500" w:type="pct"/>
            <w:tcBorders>
              <w:top w:val="nil"/>
            </w:tcBorders>
            <w:shd w:val="clear" w:color="auto" w:fill="auto"/>
          </w:tcPr>
          <w:p w14:paraId="612689C8" w14:textId="77777777" w:rsidR="00232F0B" w:rsidRPr="00A40FD5" w:rsidRDefault="00232F0B" w:rsidP="007732DF">
            <w:pPr>
              <w:pStyle w:val="TableText"/>
              <w:jc w:val="center"/>
            </w:pPr>
            <w:r>
              <w:t>–</w:t>
            </w:r>
          </w:p>
        </w:tc>
        <w:tc>
          <w:tcPr>
            <w:tcW w:w="500" w:type="pct"/>
            <w:tcBorders>
              <w:top w:val="nil"/>
            </w:tcBorders>
            <w:shd w:val="clear" w:color="auto" w:fill="auto"/>
          </w:tcPr>
          <w:p w14:paraId="1E80A9DB" w14:textId="77777777" w:rsidR="00232F0B" w:rsidRPr="00A40FD5" w:rsidRDefault="00232F0B" w:rsidP="007732DF">
            <w:pPr>
              <w:pStyle w:val="TableText"/>
              <w:jc w:val="center"/>
            </w:pPr>
            <w:r w:rsidRPr="00A40FD5">
              <w:t>74.10</w:t>
            </w:r>
          </w:p>
        </w:tc>
        <w:tc>
          <w:tcPr>
            <w:tcW w:w="500" w:type="pct"/>
            <w:tcBorders>
              <w:top w:val="nil"/>
            </w:tcBorders>
            <w:shd w:val="clear" w:color="auto" w:fill="auto"/>
          </w:tcPr>
          <w:p w14:paraId="4900F520" w14:textId="77777777" w:rsidR="00232F0B" w:rsidRPr="00A40FD5" w:rsidRDefault="00232F0B" w:rsidP="007732DF">
            <w:pPr>
              <w:pStyle w:val="TableText"/>
              <w:jc w:val="center"/>
            </w:pPr>
            <w:r w:rsidRPr="00A40FD5">
              <w:t>191.00</w:t>
            </w:r>
            <w:r>
              <w:t>–</w:t>
            </w:r>
            <w:r w:rsidRPr="00A40FD5">
              <w:t>254.0</w:t>
            </w:r>
            <w:r w:rsidR="007732DF">
              <w:t>0</w:t>
            </w:r>
            <w:r w:rsidR="007732DF">
              <w:rPr>
                <w:vertAlign w:val="superscript"/>
              </w:rPr>
              <w:t>12</w:t>
            </w:r>
          </w:p>
        </w:tc>
        <w:tc>
          <w:tcPr>
            <w:tcW w:w="500" w:type="pct"/>
            <w:tcBorders>
              <w:top w:val="nil"/>
            </w:tcBorders>
            <w:shd w:val="clear" w:color="auto" w:fill="auto"/>
          </w:tcPr>
          <w:p w14:paraId="44C899CD" w14:textId="77777777" w:rsidR="00232F0B" w:rsidRPr="00A40FD5" w:rsidRDefault="00232F0B" w:rsidP="007732DF">
            <w:pPr>
              <w:pStyle w:val="TableText"/>
              <w:jc w:val="center"/>
            </w:pPr>
            <w:r>
              <w:t>168.00</w:t>
            </w:r>
          </w:p>
        </w:tc>
        <w:tc>
          <w:tcPr>
            <w:tcW w:w="500" w:type="pct"/>
            <w:tcBorders>
              <w:top w:val="nil"/>
            </w:tcBorders>
            <w:shd w:val="clear" w:color="auto" w:fill="auto"/>
          </w:tcPr>
          <w:p w14:paraId="5EC12AC2" w14:textId="77777777" w:rsidR="00232F0B" w:rsidRPr="00A40FD5" w:rsidRDefault="00232F0B" w:rsidP="007732DF">
            <w:pPr>
              <w:pStyle w:val="TableText"/>
              <w:jc w:val="center"/>
            </w:pPr>
            <w:r w:rsidRPr="00A40FD5">
              <w:t>85</w:t>
            </w:r>
            <w:r>
              <w:t>–</w:t>
            </w:r>
            <w:r w:rsidRPr="00A40FD5">
              <w:t>170</w:t>
            </w:r>
          </w:p>
        </w:tc>
        <w:tc>
          <w:tcPr>
            <w:tcW w:w="500" w:type="pct"/>
            <w:tcBorders>
              <w:top w:val="nil"/>
            </w:tcBorders>
            <w:shd w:val="clear" w:color="auto" w:fill="auto"/>
          </w:tcPr>
          <w:p w14:paraId="339233C9" w14:textId="77777777" w:rsidR="00232F0B" w:rsidRPr="00A40FD5" w:rsidRDefault="00232F0B" w:rsidP="007732DF">
            <w:pPr>
              <w:pStyle w:val="TableText"/>
              <w:jc w:val="center"/>
            </w:pPr>
            <w:r w:rsidRPr="00A40FD5">
              <w:t>408</w:t>
            </w:r>
            <w:r>
              <w:t>–</w:t>
            </w:r>
            <w:r w:rsidRPr="00A40FD5">
              <w:t>41</w:t>
            </w:r>
            <w:r w:rsidR="007732DF">
              <w:t>2</w:t>
            </w:r>
            <w:r w:rsidR="007732DF">
              <w:rPr>
                <w:vertAlign w:val="superscript"/>
              </w:rPr>
              <w:t>13</w:t>
            </w:r>
          </w:p>
        </w:tc>
        <w:tc>
          <w:tcPr>
            <w:tcW w:w="500" w:type="pct"/>
            <w:tcBorders>
              <w:top w:val="nil"/>
            </w:tcBorders>
            <w:shd w:val="clear" w:color="auto" w:fill="auto"/>
          </w:tcPr>
          <w:p w14:paraId="0AD981A9" w14:textId="77777777" w:rsidR="00232F0B" w:rsidRPr="00A40FD5" w:rsidRDefault="00232F0B" w:rsidP="007732DF">
            <w:pPr>
              <w:pStyle w:val="TableText"/>
              <w:jc w:val="center"/>
            </w:pPr>
            <w:r w:rsidRPr="00A40FD5">
              <w:t>335.3</w:t>
            </w:r>
            <w:r w:rsidR="007732DF">
              <w:t>6</w:t>
            </w:r>
            <w:r w:rsidR="007732DF">
              <w:rPr>
                <w:vertAlign w:val="superscript"/>
              </w:rPr>
              <w:t>14</w:t>
            </w:r>
            <w:r w:rsidRPr="00A40FD5">
              <w:t>–411.00</w:t>
            </w:r>
          </w:p>
        </w:tc>
      </w:tr>
      <w:tr w:rsidR="00232F0B" w:rsidRPr="00A40FD5" w14:paraId="0EB99F4D" w14:textId="77777777" w:rsidTr="007732DF">
        <w:trPr>
          <w:cantSplit/>
        </w:trPr>
        <w:tc>
          <w:tcPr>
            <w:tcW w:w="503" w:type="pct"/>
            <w:shd w:val="clear" w:color="auto" w:fill="auto"/>
            <w:noWrap/>
          </w:tcPr>
          <w:p w14:paraId="75BD49FB" w14:textId="77777777" w:rsidR="00232F0B" w:rsidRPr="00A40FD5" w:rsidRDefault="00232F0B" w:rsidP="007732DF">
            <w:pPr>
              <w:pStyle w:val="TableText"/>
              <w:keepNext/>
            </w:pPr>
            <w:r w:rsidRPr="00A40FD5">
              <w:t>2 year</w:t>
            </w:r>
          </w:p>
        </w:tc>
        <w:tc>
          <w:tcPr>
            <w:tcW w:w="500" w:type="pct"/>
            <w:shd w:val="clear" w:color="auto" w:fill="auto"/>
          </w:tcPr>
          <w:p w14:paraId="79CC1FC3" w14:textId="77777777" w:rsidR="00232F0B" w:rsidRPr="00A40FD5" w:rsidRDefault="00232F0B" w:rsidP="007732DF">
            <w:pPr>
              <w:pStyle w:val="TableText"/>
              <w:keepNext/>
              <w:jc w:val="center"/>
            </w:pPr>
            <w:r w:rsidRPr="00A40FD5">
              <w:t>218</w:t>
            </w:r>
          </w:p>
        </w:tc>
        <w:tc>
          <w:tcPr>
            <w:tcW w:w="500" w:type="pct"/>
            <w:shd w:val="clear" w:color="auto" w:fill="auto"/>
          </w:tcPr>
          <w:p w14:paraId="26EB662A" w14:textId="77777777" w:rsidR="00232F0B" w:rsidRPr="00A40FD5" w:rsidRDefault="00232F0B" w:rsidP="007732DF">
            <w:pPr>
              <w:pStyle w:val="TableText"/>
              <w:keepNext/>
              <w:jc w:val="center"/>
            </w:pPr>
            <w:r w:rsidRPr="00A40FD5">
              <w:t>500</w:t>
            </w:r>
            <w:r>
              <w:t>–</w:t>
            </w:r>
            <w:r w:rsidRPr="00A40FD5">
              <w:t>816</w:t>
            </w:r>
          </w:p>
        </w:tc>
        <w:tc>
          <w:tcPr>
            <w:tcW w:w="500" w:type="pct"/>
            <w:shd w:val="clear" w:color="auto" w:fill="auto"/>
          </w:tcPr>
          <w:p w14:paraId="2FBB2982" w14:textId="77777777" w:rsidR="00232F0B" w:rsidRPr="00A40FD5" w:rsidRDefault="00232F0B" w:rsidP="007732DF">
            <w:pPr>
              <w:pStyle w:val="TableText"/>
              <w:keepNext/>
              <w:jc w:val="center"/>
            </w:pPr>
            <w:r>
              <w:t>–</w:t>
            </w:r>
          </w:p>
        </w:tc>
        <w:tc>
          <w:tcPr>
            <w:tcW w:w="500" w:type="pct"/>
            <w:shd w:val="clear" w:color="auto" w:fill="auto"/>
          </w:tcPr>
          <w:p w14:paraId="3A34284F" w14:textId="77777777" w:rsidR="00232F0B" w:rsidRPr="00A40FD5" w:rsidRDefault="00232F0B" w:rsidP="007732DF">
            <w:pPr>
              <w:pStyle w:val="TableText"/>
              <w:keepNext/>
              <w:jc w:val="center"/>
            </w:pPr>
            <w:r w:rsidRPr="00A40FD5">
              <w:t>140.70</w:t>
            </w:r>
          </w:p>
        </w:tc>
        <w:tc>
          <w:tcPr>
            <w:tcW w:w="500" w:type="pct"/>
            <w:shd w:val="clear" w:color="auto" w:fill="auto"/>
          </w:tcPr>
          <w:p w14:paraId="7DFB2E7F" w14:textId="77777777" w:rsidR="00232F0B" w:rsidRPr="00A40FD5" w:rsidRDefault="00232F0B" w:rsidP="007732DF">
            <w:pPr>
              <w:pStyle w:val="TableText"/>
              <w:keepNext/>
              <w:jc w:val="center"/>
            </w:pPr>
            <w:r>
              <w:t>–</w:t>
            </w:r>
          </w:p>
        </w:tc>
        <w:tc>
          <w:tcPr>
            <w:tcW w:w="500" w:type="pct"/>
            <w:shd w:val="clear" w:color="auto" w:fill="auto"/>
          </w:tcPr>
          <w:p w14:paraId="2833A923" w14:textId="77777777" w:rsidR="00232F0B" w:rsidRPr="00A40FD5" w:rsidRDefault="00232F0B" w:rsidP="007732DF">
            <w:pPr>
              <w:pStyle w:val="TableText"/>
              <w:keepNext/>
              <w:jc w:val="center"/>
            </w:pPr>
            <w:r>
              <w:t>238.00</w:t>
            </w:r>
          </w:p>
        </w:tc>
        <w:tc>
          <w:tcPr>
            <w:tcW w:w="500" w:type="pct"/>
            <w:shd w:val="clear" w:color="auto" w:fill="auto"/>
          </w:tcPr>
          <w:p w14:paraId="60EC65E0" w14:textId="77777777" w:rsidR="00232F0B" w:rsidRPr="00A40FD5" w:rsidRDefault="00232F0B" w:rsidP="007732DF">
            <w:pPr>
              <w:pStyle w:val="TableText"/>
              <w:keepNext/>
              <w:jc w:val="center"/>
            </w:pPr>
            <w:r>
              <w:t>–</w:t>
            </w:r>
          </w:p>
        </w:tc>
        <w:tc>
          <w:tcPr>
            <w:tcW w:w="500" w:type="pct"/>
            <w:shd w:val="clear" w:color="auto" w:fill="auto"/>
          </w:tcPr>
          <w:p w14:paraId="680D2B1F" w14:textId="77777777" w:rsidR="00232F0B" w:rsidRPr="00A40FD5" w:rsidRDefault="00232F0B" w:rsidP="007732DF">
            <w:pPr>
              <w:pStyle w:val="TableText"/>
              <w:keepNext/>
              <w:jc w:val="center"/>
            </w:pPr>
            <w:r>
              <w:t>–</w:t>
            </w:r>
          </w:p>
        </w:tc>
        <w:tc>
          <w:tcPr>
            <w:tcW w:w="500" w:type="pct"/>
            <w:shd w:val="clear" w:color="auto" w:fill="auto"/>
          </w:tcPr>
          <w:p w14:paraId="5C3C41EA" w14:textId="77777777" w:rsidR="00232F0B" w:rsidRPr="00A40FD5" w:rsidRDefault="00232F0B" w:rsidP="007732DF">
            <w:pPr>
              <w:pStyle w:val="TableText"/>
              <w:keepNext/>
              <w:jc w:val="center"/>
            </w:pPr>
            <w:r>
              <w:t>–</w:t>
            </w:r>
          </w:p>
        </w:tc>
      </w:tr>
      <w:tr w:rsidR="00232F0B" w:rsidRPr="00EC718A" w14:paraId="467DCC27" w14:textId="77777777" w:rsidTr="007732DF">
        <w:trPr>
          <w:cantSplit/>
        </w:trPr>
        <w:tc>
          <w:tcPr>
            <w:tcW w:w="503" w:type="pct"/>
            <w:shd w:val="clear" w:color="auto" w:fill="auto"/>
            <w:noWrap/>
          </w:tcPr>
          <w:p w14:paraId="02211907" w14:textId="77777777" w:rsidR="00232F0B" w:rsidRPr="008B6029" w:rsidRDefault="007732DF" w:rsidP="007732DF">
            <w:pPr>
              <w:pStyle w:val="TableText"/>
            </w:pPr>
            <w:r>
              <w:t>3 year</w:t>
            </w:r>
          </w:p>
        </w:tc>
        <w:tc>
          <w:tcPr>
            <w:tcW w:w="500" w:type="pct"/>
            <w:shd w:val="clear" w:color="auto" w:fill="auto"/>
          </w:tcPr>
          <w:p w14:paraId="4AC9E308" w14:textId="77777777" w:rsidR="00232F0B" w:rsidRPr="008B6029" w:rsidRDefault="00232F0B" w:rsidP="007732DF">
            <w:pPr>
              <w:pStyle w:val="TableText"/>
              <w:jc w:val="center"/>
            </w:pPr>
            <w:r w:rsidRPr="00EC718A">
              <w:t>327</w:t>
            </w:r>
          </w:p>
        </w:tc>
        <w:tc>
          <w:tcPr>
            <w:tcW w:w="500" w:type="pct"/>
            <w:shd w:val="clear" w:color="auto" w:fill="auto"/>
          </w:tcPr>
          <w:p w14:paraId="3E177A4F" w14:textId="77777777" w:rsidR="00232F0B" w:rsidRPr="008B6029" w:rsidRDefault="00232F0B" w:rsidP="007732DF">
            <w:pPr>
              <w:pStyle w:val="TableText"/>
              <w:jc w:val="center"/>
            </w:pPr>
            <w:r w:rsidRPr="00EC718A">
              <w:t>750</w:t>
            </w:r>
            <w:r>
              <w:t>–</w:t>
            </w:r>
            <w:r w:rsidRPr="00EC718A">
              <w:t>1,224</w:t>
            </w:r>
          </w:p>
        </w:tc>
        <w:tc>
          <w:tcPr>
            <w:tcW w:w="500" w:type="pct"/>
            <w:shd w:val="clear" w:color="auto" w:fill="auto"/>
          </w:tcPr>
          <w:p w14:paraId="25BBEF5C" w14:textId="77777777" w:rsidR="00232F0B" w:rsidRPr="008B6029" w:rsidRDefault="00232F0B" w:rsidP="007732DF">
            <w:pPr>
              <w:pStyle w:val="TableText"/>
              <w:jc w:val="center"/>
            </w:pPr>
            <w:r>
              <w:t>–</w:t>
            </w:r>
          </w:p>
        </w:tc>
        <w:tc>
          <w:tcPr>
            <w:tcW w:w="500" w:type="pct"/>
            <w:shd w:val="clear" w:color="auto" w:fill="auto"/>
          </w:tcPr>
          <w:p w14:paraId="35DA5AEA" w14:textId="77777777" w:rsidR="00232F0B" w:rsidRPr="008B6029" w:rsidRDefault="00232F0B" w:rsidP="007732DF">
            <w:pPr>
              <w:pStyle w:val="TableText"/>
              <w:jc w:val="center"/>
            </w:pPr>
            <w:r w:rsidRPr="00EC718A">
              <w:t>199.90</w:t>
            </w:r>
          </w:p>
        </w:tc>
        <w:tc>
          <w:tcPr>
            <w:tcW w:w="500" w:type="pct"/>
            <w:shd w:val="clear" w:color="auto" w:fill="auto"/>
          </w:tcPr>
          <w:p w14:paraId="14DE8938" w14:textId="77777777" w:rsidR="00232F0B" w:rsidRPr="008B6029" w:rsidRDefault="00232F0B" w:rsidP="007732DF">
            <w:pPr>
              <w:pStyle w:val="TableText"/>
              <w:jc w:val="center"/>
            </w:pPr>
            <w:r w:rsidRPr="00EC718A">
              <w:t>333.00</w:t>
            </w:r>
            <w:r>
              <w:t>–</w:t>
            </w:r>
            <w:r w:rsidRPr="00EC718A">
              <w:t>523.00</w:t>
            </w:r>
          </w:p>
        </w:tc>
        <w:tc>
          <w:tcPr>
            <w:tcW w:w="500" w:type="pct"/>
            <w:shd w:val="clear" w:color="auto" w:fill="auto"/>
          </w:tcPr>
          <w:p w14:paraId="3842E463" w14:textId="77777777" w:rsidR="00232F0B" w:rsidRPr="008B6029" w:rsidRDefault="00232F0B" w:rsidP="007732DF">
            <w:pPr>
              <w:pStyle w:val="TableText"/>
              <w:jc w:val="center"/>
            </w:pPr>
            <w:r>
              <w:t>308.00</w:t>
            </w:r>
          </w:p>
        </w:tc>
        <w:tc>
          <w:tcPr>
            <w:tcW w:w="500" w:type="pct"/>
            <w:shd w:val="clear" w:color="auto" w:fill="auto"/>
          </w:tcPr>
          <w:p w14:paraId="794088E5" w14:textId="77777777" w:rsidR="00232F0B" w:rsidRPr="008B6029" w:rsidRDefault="00232F0B" w:rsidP="007732DF">
            <w:pPr>
              <w:pStyle w:val="TableText"/>
              <w:jc w:val="center"/>
            </w:pPr>
            <w:r>
              <w:t>–</w:t>
            </w:r>
          </w:p>
        </w:tc>
        <w:tc>
          <w:tcPr>
            <w:tcW w:w="500" w:type="pct"/>
            <w:shd w:val="clear" w:color="auto" w:fill="auto"/>
          </w:tcPr>
          <w:p w14:paraId="3BD0BEB7" w14:textId="77777777" w:rsidR="00232F0B" w:rsidRPr="008B6029" w:rsidRDefault="00232F0B" w:rsidP="007732DF">
            <w:pPr>
              <w:pStyle w:val="TableText"/>
              <w:jc w:val="center"/>
            </w:pPr>
            <w:r>
              <w:t>–</w:t>
            </w:r>
          </w:p>
        </w:tc>
        <w:tc>
          <w:tcPr>
            <w:tcW w:w="500" w:type="pct"/>
            <w:shd w:val="clear" w:color="auto" w:fill="auto"/>
          </w:tcPr>
          <w:p w14:paraId="52314055" w14:textId="77777777" w:rsidR="00232F0B" w:rsidRPr="008B6029" w:rsidRDefault="00232F0B" w:rsidP="007732DF">
            <w:pPr>
              <w:pStyle w:val="TableText"/>
              <w:jc w:val="center"/>
            </w:pPr>
            <w:r>
              <w:t>–</w:t>
            </w:r>
          </w:p>
        </w:tc>
      </w:tr>
    </w:tbl>
    <w:p w14:paraId="630DD4C0" w14:textId="77777777" w:rsidR="00232F0B" w:rsidRPr="00365D49" w:rsidRDefault="00232F0B" w:rsidP="00CF4B8F">
      <w:pPr>
        <w:pStyle w:val="Note"/>
      </w:pPr>
      <w:r w:rsidRPr="00365D49">
        <w:t>Notes</w:t>
      </w:r>
    </w:p>
    <w:p w14:paraId="24A7A8C3" w14:textId="77777777" w:rsidR="0087667B" w:rsidRDefault="00574F8C" w:rsidP="00574F8C">
      <w:pPr>
        <w:pStyle w:val="Note"/>
        <w:ind w:left="425" w:hanging="425"/>
      </w:pPr>
      <w:r>
        <w:t>1.</w:t>
      </w:r>
      <w:r>
        <w:tab/>
      </w:r>
      <w:r w:rsidR="00232F0B" w:rsidRPr="00A40FD5">
        <w:t>This list is not exhaustive and does not include all fees relating to radiation licensing</w:t>
      </w:r>
      <w:r w:rsidR="00232F0B">
        <w:t>;</w:t>
      </w:r>
      <w:r w:rsidR="00232F0B" w:rsidRPr="00A40FD5">
        <w:t xml:space="preserve"> fees are based on </w:t>
      </w:r>
      <w:r w:rsidR="00232F0B">
        <w:t>a single-</w:t>
      </w:r>
      <w:r w:rsidR="00232F0B" w:rsidRPr="00A40FD5">
        <w:t>year licence period</w:t>
      </w:r>
      <w:r w:rsidR="00232F0B">
        <w:t xml:space="preserve"> –</w:t>
      </w:r>
      <w:r w:rsidR="00232F0B" w:rsidRPr="00A40FD5">
        <w:t xml:space="preserve"> where a discount is available for multiple years</w:t>
      </w:r>
      <w:r w:rsidR="00232F0B">
        <w:t>,</w:t>
      </w:r>
      <w:r w:rsidR="00232F0B" w:rsidRPr="00A40FD5">
        <w:t xml:space="preserve"> this is indicated.</w:t>
      </w:r>
    </w:p>
    <w:p w14:paraId="4F02009A" w14:textId="77777777" w:rsidR="00232F0B" w:rsidRPr="00A40FD5" w:rsidRDefault="00574F8C" w:rsidP="00574F8C">
      <w:pPr>
        <w:pStyle w:val="Note"/>
        <w:ind w:left="425" w:hanging="425"/>
        <w:rPr>
          <w:rFonts w:cstheme="minorHAnsi"/>
          <w:sz w:val="20"/>
        </w:rPr>
      </w:pPr>
      <w:r>
        <w:t>2.</w:t>
      </w:r>
      <w:r>
        <w:tab/>
      </w:r>
      <w:r w:rsidR="00232F0B">
        <w:t>F</w:t>
      </w:r>
      <w:r w:rsidR="00232F0B" w:rsidRPr="00A40FD5">
        <w:t>or more information</w:t>
      </w:r>
      <w:r w:rsidR="00232F0B">
        <w:t>, s</w:t>
      </w:r>
      <w:r w:rsidR="00232F0B" w:rsidRPr="00A40FD5">
        <w:t>ee</w:t>
      </w:r>
      <w:r w:rsidR="00232F0B">
        <w:t xml:space="preserve"> Australian Radiation Protection and Nuclear Safety (Licence Charges) Regulations 2018 on the Australian Government</w:t>
      </w:r>
      <w:r w:rsidR="0087667B">
        <w:t>’</w:t>
      </w:r>
      <w:r w:rsidR="00232F0B">
        <w:t>s Federal Register of Legislation website at:</w:t>
      </w:r>
      <w:r w:rsidR="00232F0B" w:rsidRPr="00A40FD5">
        <w:t xml:space="preserve"> </w:t>
      </w:r>
      <w:hyperlink r:id="rId28" w:history="1">
        <w:r w:rsidR="00232F0B" w:rsidRPr="00574F8C">
          <w:rPr>
            <w:rStyle w:val="Hyperlink"/>
          </w:rPr>
          <w:t>www.legislation.gov.au/Details/F2018L01697</w:t>
        </w:r>
      </w:hyperlink>
      <w:r w:rsidRPr="00574F8C">
        <w:t>.</w:t>
      </w:r>
    </w:p>
    <w:p w14:paraId="1ADE03E4" w14:textId="77777777" w:rsidR="00232F0B" w:rsidRPr="00A40FD5" w:rsidRDefault="00574F8C" w:rsidP="00574F8C">
      <w:pPr>
        <w:pStyle w:val="Note"/>
        <w:ind w:left="425" w:hanging="425"/>
        <w:rPr>
          <w:rFonts w:cstheme="minorHAnsi"/>
          <w:sz w:val="20"/>
        </w:rPr>
      </w:pPr>
      <w:r>
        <w:t>3.</w:t>
      </w:r>
      <w:r>
        <w:tab/>
      </w:r>
      <w:r w:rsidR="00232F0B" w:rsidRPr="00A40FD5">
        <w:t>Radiation Regulations 2017</w:t>
      </w:r>
      <w:r w:rsidR="00232F0B">
        <w:t>, available at:</w:t>
      </w:r>
      <w:r w:rsidR="00232F0B" w:rsidRPr="00A40FD5">
        <w:t xml:space="preserve"> </w:t>
      </w:r>
      <w:hyperlink r:id="rId29" w:history="1">
        <w:r w:rsidRPr="00574F8C">
          <w:rPr>
            <w:rStyle w:val="Hyperlink"/>
          </w:rPr>
          <w:t>https://content.legislation.vic.gov.au/sites/default/files/0174274d-2f5a-3f7d-a7b0-bd3610dc74a3_17-83sra001%20authorised.pdf</w:t>
        </w:r>
      </w:hyperlink>
      <w:r>
        <w:t>.</w:t>
      </w:r>
      <w:r w:rsidR="00232F0B" w:rsidRPr="00A40FD5">
        <w:t xml:space="preserve"> Fees are calculated based on fee units set by the Treasurer of Victoria each year</w:t>
      </w:r>
      <w:r w:rsidR="00232F0B">
        <w:t>.</w:t>
      </w:r>
      <w:r w:rsidR="00232F0B" w:rsidRPr="00A40FD5">
        <w:t xml:space="preserve"> </w:t>
      </w:r>
      <w:r w:rsidR="00232F0B">
        <w:t>M</w:t>
      </w:r>
      <w:r w:rsidR="00232F0B" w:rsidRPr="00A40FD5">
        <w:t xml:space="preserve">anagement licence fees are discounted for licence periods of </w:t>
      </w:r>
      <w:r w:rsidR="00232F0B">
        <w:t>two</w:t>
      </w:r>
      <w:r w:rsidR="00232F0B" w:rsidRPr="00A40FD5">
        <w:t xml:space="preserve"> and </w:t>
      </w:r>
      <w:r w:rsidR="00232F0B">
        <w:t>three</w:t>
      </w:r>
      <w:r w:rsidR="00232F0B" w:rsidRPr="00A40FD5">
        <w:t xml:space="preserve"> years. </w:t>
      </w:r>
      <w:r w:rsidR="00232F0B" w:rsidRPr="00A40FD5">
        <w:rPr>
          <w:color w:val="333333"/>
          <w:lang w:eastAsia="en-NZ"/>
        </w:rPr>
        <w:t>The fee unit rate for the 2020</w:t>
      </w:r>
      <w:r w:rsidR="00232F0B">
        <w:rPr>
          <w:color w:val="333333"/>
          <w:lang w:eastAsia="en-NZ"/>
        </w:rPr>
        <w:t>/</w:t>
      </w:r>
      <w:r w:rsidR="00232F0B" w:rsidRPr="00A40FD5">
        <w:rPr>
          <w:color w:val="333333"/>
          <w:lang w:eastAsia="en-NZ"/>
        </w:rPr>
        <w:t xml:space="preserve">21 financial year is </w:t>
      </w:r>
      <w:r w:rsidR="00232F0B">
        <w:rPr>
          <w:color w:val="333333"/>
          <w:lang w:eastAsia="en-NZ"/>
        </w:rPr>
        <w:t>$AUD</w:t>
      </w:r>
      <w:r w:rsidR="00232F0B" w:rsidRPr="00A40FD5">
        <w:rPr>
          <w:color w:val="333333"/>
          <w:lang w:eastAsia="en-NZ"/>
        </w:rPr>
        <w:t>14.81.</w:t>
      </w:r>
    </w:p>
    <w:p w14:paraId="5248038A" w14:textId="77777777" w:rsidR="00232F0B" w:rsidRPr="00A40FD5" w:rsidRDefault="005C71CD" w:rsidP="00574F8C">
      <w:pPr>
        <w:pStyle w:val="Note"/>
        <w:ind w:left="425" w:hanging="425"/>
        <w:rPr>
          <w:rFonts w:cstheme="minorHAnsi"/>
          <w:sz w:val="20"/>
        </w:rPr>
      </w:pPr>
      <w:r>
        <w:t>4.</w:t>
      </w:r>
      <w:r>
        <w:tab/>
      </w:r>
      <w:r w:rsidR="00232F0B" w:rsidRPr="00A40FD5">
        <w:t>Radiation Control Regulation 2013</w:t>
      </w:r>
      <w:r w:rsidR="00232F0B">
        <w:t>, available at:</w:t>
      </w:r>
      <w:r w:rsidR="00232F0B" w:rsidRPr="00A40FD5">
        <w:t xml:space="preserve"> </w:t>
      </w:r>
      <w:hyperlink r:id="rId30" w:anchor="sch.4" w:history="1">
        <w:r w:rsidR="00232F0B" w:rsidRPr="005C71CD">
          <w:rPr>
            <w:rStyle w:val="Hyperlink"/>
          </w:rPr>
          <w:t>www.legislation.nsw.gov.au/view/html/inforce/current/sl-2013-0052#sch.4</w:t>
        </w:r>
      </w:hyperlink>
      <w:r>
        <w:rPr>
          <w:rStyle w:val="Hyperlink"/>
        </w:rPr>
        <w:t>.</w:t>
      </w:r>
    </w:p>
    <w:p w14:paraId="2FBCAA70" w14:textId="77777777" w:rsidR="00232F0B" w:rsidRPr="00A40FD5" w:rsidRDefault="005C71CD" w:rsidP="00574F8C">
      <w:pPr>
        <w:pStyle w:val="Note"/>
        <w:ind w:left="425" w:hanging="425"/>
      </w:pPr>
      <w:r>
        <w:t>5.</w:t>
      </w:r>
      <w:r>
        <w:tab/>
      </w:r>
      <w:r w:rsidR="00232F0B" w:rsidRPr="00A40FD5">
        <w:t>Radiation Safety Regulation 2010</w:t>
      </w:r>
      <w:r w:rsidR="00232F0B">
        <w:t>, available at:</w:t>
      </w:r>
      <w:r w:rsidR="00232F0B" w:rsidRPr="00A40FD5">
        <w:t xml:space="preserve"> </w:t>
      </w:r>
      <w:hyperlink r:id="rId31" w:history="1">
        <w:r w:rsidRPr="005C71CD">
          <w:rPr>
            <w:rStyle w:val="Hyperlink"/>
          </w:rPr>
          <w:t>www.legislation.qld.gov.au/view/html/inforce/current/sl-2021-0125</w:t>
        </w:r>
      </w:hyperlink>
      <w:r>
        <w:t>.</w:t>
      </w:r>
      <w:r w:rsidR="00232F0B">
        <w:t xml:space="preserve"> S</w:t>
      </w:r>
      <w:r w:rsidR="00232F0B" w:rsidRPr="00A40FD5">
        <w:t xml:space="preserve">ecurity enhanced sources are </w:t>
      </w:r>
      <w:r w:rsidR="00232F0B">
        <w:t>$AUD</w:t>
      </w:r>
      <w:r w:rsidR="00232F0B" w:rsidRPr="00A40FD5">
        <w:t>1</w:t>
      </w:r>
      <w:r w:rsidR="00232F0B">
        <w:t>,</w:t>
      </w:r>
      <w:r w:rsidR="00232F0B" w:rsidRPr="00A40FD5">
        <w:t xml:space="preserve">244.50 + </w:t>
      </w:r>
      <w:r w:rsidR="00232F0B">
        <w:t>$AUD</w:t>
      </w:r>
      <w:r w:rsidR="00232F0B" w:rsidRPr="00A40FD5">
        <w:t>110.00 per source, first year includes application fee.</w:t>
      </w:r>
    </w:p>
    <w:p w14:paraId="73E35457" w14:textId="77777777" w:rsidR="00232F0B" w:rsidRPr="00A40FD5" w:rsidRDefault="005C71CD" w:rsidP="00574F8C">
      <w:pPr>
        <w:pStyle w:val="Note"/>
        <w:ind w:left="425" w:hanging="425"/>
      </w:pPr>
      <w:r>
        <w:t>6.</w:t>
      </w:r>
      <w:r>
        <w:tab/>
      </w:r>
      <w:r w:rsidR="00232F0B" w:rsidRPr="00A40FD5">
        <w:t>Radiation Safety (General) Regulations 1983</w:t>
      </w:r>
      <w:r w:rsidR="00232F0B">
        <w:t>, available at:</w:t>
      </w:r>
      <w:r w:rsidR="00232F0B" w:rsidRPr="00A40FD5">
        <w:t xml:space="preserve"> </w:t>
      </w:r>
      <w:hyperlink r:id="rId32" w:history="1">
        <w:r w:rsidR="00232F0B" w:rsidRPr="005C71CD">
          <w:rPr>
            <w:rStyle w:val="Hyperlink"/>
          </w:rPr>
          <w:t>www.legislation.wa.gov.au/legislation/statutes.nsf/main_mrtitle_1969_homepage.html</w:t>
        </w:r>
      </w:hyperlink>
      <w:r>
        <w:rPr>
          <w:rStyle w:val="Hyperlink"/>
        </w:rPr>
        <w:t>.</w:t>
      </w:r>
      <w:r w:rsidR="00232F0B" w:rsidRPr="00A40FD5">
        <w:t xml:space="preserve"> </w:t>
      </w:r>
      <w:r w:rsidR="00232F0B">
        <w:t xml:space="preserve">A </w:t>
      </w:r>
      <w:r w:rsidR="00232F0B" w:rsidRPr="00A40FD5">
        <w:t xml:space="preserve">licence period is either </w:t>
      </w:r>
      <w:r w:rsidR="00232F0B">
        <w:t>one</w:t>
      </w:r>
      <w:r w:rsidR="00232F0B" w:rsidRPr="00A40FD5">
        <w:t xml:space="preserve"> or </w:t>
      </w:r>
      <w:r w:rsidR="00232F0B">
        <w:t>three</w:t>
      </w:r>
      <w:r w:rsidR="00232F0B" w:rsidRPr="00A40FD5">
        <w:t xml:space="preserve"> years</w:t>
      </w:r>
      <w:r w:rsidR="00232F0B">
        <w:t xml:space="preserve"> – </w:t>
      </w:r>
      <w:r w:rsidR="00232F0B" w:rsidRPr="00A40FD5">
        <w:t xml:space="preserve">the fee for three years is double the annual fee. WA has a separate schedule of fees for temporary permits for periods not exceeding </w:t>
      </w:r>
      <w:r w:rsidR="00232F0B">
        <w:t>three</w:t>
      </w:r>
      <w:r w:rsidR="00232F0B" w:rsidRPr="00A40FD5">
        <w:t xml:space="preserve"> months.</w:t>
      </w:r>
    </w:p>
    <w:p w14:paraId="73277CA5" w14:textId="77777777" w:rsidR="00232F0B" w:rsidRPr="00A40FD5" w:rsidRDefault="005C71CD" w:rsidP="00574F8C">
      <w:pPr>
        <w:pStyle w:val="Note"/>
        <w:ind w:left="425" w:hanging="425"/>
        <w:rPr>
          <w:rFonts w:cstheme="minorHAnsi"/>
          <w:sz w:val="20"/>
        </w:rPr>
      </w:pPr>
      <w:r>
        <w:rPr>
          <w:rFonts w:cstheme="minorHAnsi"/>
        </w:rPr>
        <w:t>7.</w:t>
      </w:r>
      <w:r>
        <w:rPr>
          <w:rFonts w:cstheme="minorHAnsi"/>
        </w:rPr>
        <w:tab/>
      </w:r>
      <w:r w:rsidR="00232F0B" w:rsidRPr="00A40FD5">
        <w:rPr>
          <w:rFonts w:cstheme="minorHAnsi"/>
        </w:rPr>
        <w:t>Radiation Protection and Control (Ionising Radiation) Regulations 2015</w:t>
      </w:r>
      <w:r w:rsidR="00232F0B">
        <w:rPr>
          <w:rFonts w:cstheme="minorHAnsi"/>
        </w:rPr>
        <w:t>, available at:</w:t>
      </w:r>
      <w:r w:rsidR="00232F0B" w:rsidRPr="00A40FD5">
        <w:rPr>
          <w:rFonts w:cstheme="minorHAnsi"/>
        </w:rPr>
        <w:t xml:space="preserve"> </w:t>
      </w:r>
      <w:hyperlink r:id="rId33" w:history="1">
        <w:r w:rsidR="00232F0B" w:rsidRPr="00574F8C">
          <w:rPr>
            <w:rStyle w:val="Hyperlink"/>
          </w:rPr>
          <w:t>www.legislation.sa.gov.au/LZ/C/R/Radiation%20Protection%20and%20Control%20(Ionising%20Radiation)%20Regulatiwww.legislation.qld.gov.au/view/html/inforce/current/sl-2021-0125ons%202015.aspx</w:t>
        </w:r>
      </w:hyperlink>
      <w:r w:rsidR="00574F8C">
        <w:rPr>
          <w:rFonts w:cstheme="minorHAnsi"/>
        </w:rPr>
        <w:t xml:space="preserve">. </w:t>
      </w:r>
      <w:r w:rsidR="00232F0B" w:rsidRPr="00A40FD5">
        <w:rPr>
          <w:rFonts w:cstheme="minorHAnsi"/>
        </w:rPr>
        <w:t>SA licence fees and registration fees are made up of a non-refundable application fee and an annual fee.</w:t>
      </w:r>
    </w:p>
    <w:p w14:paraId="4CE5CDA3" w14:textId="77777777" w:rsidR="00232F0B" w:rsidRPr="00A40FD5" w:rsidRDefault="005C71CD" w:rsidP="00574F8C">
      <w:pPr>
        <w:pStyle w:val="Note"/>
        <w:ind w:left="425" w:hanging="425"/>
        <w:rPr>
          <w:rFonts w:cstheme="minorHAnsi"/>
          <w:sz w:val="20"/>
        </w:rPr>
      </w:pPr>
      <w:r>
        <w:t>8.</w:t>
      </w:r>
      <w:r>
        <w:tab/>
      </w:r>
      <w:r w:rsidR="00232F0B" w:rsidRPr="00A40FD5">
        <w:t>Radiation Protection Regulations 2016</w:t>
      </w:r>
      <w:r w:rsidR="00232F0B">
        <w:t>, available at:</w:t>
      </w:r>
      <w:r w:rsidR="00232F0B" w:rsidRPr="00A40FD5">
        <w:t xml:space="preserve"> </w:t>
      </w:r>
      <w:hyperlink r:id="rId34" w:history="1">
        <w:r w:rsidR="00232F0B" w:rsidRPr="00574F8C">
          <w:rPr>
            <w:rStyle w:val="Hyperlink"/>
          </w:rPr>
          <w:t>www.legislation.tas.gov.au/view/html/inforce/current/sr-2016-032</w:t>
        </w:r>
      </w:hyperlink>
      <w:r w:rsidR="00574F8C">
        <w:t xml:space="preserve">. </w:t>
      </w:r>
      <w:r w:rsidR="00232F0B">
        <w:t>A</w:t>
      </w:r>
      <w:r w:rsidR="00232F0B" w:rsidRPr="00A40FD5">
        <w:t xml:space="preserve">ll fees are calculated using a fee unit of </w:t>
      </w:r>
      <w:r w:rsidR="00232F0B">
        <w:t>$AUD</w:t>
      </w:r>
      <w:r w:rsidR="00232F0B" w:rsidRPr="00A40FD5">
        <w:t xml:space="preserve">1.62 (supplied by </w:t>
      </w:r>
      <w:r w:rsidR="00232F0B">
        <w:t>the Tasmanian Government</w:t>
      </w:r>
      <w:r w:rsidR="0087667B">
        <w:t>’</w:t>
      </w:r>
      <w:r w:rsidR="00232F0B">
        <w:t xml:space="preserve">s </w:t>
      </w:r>
      <w:r w:rsidR="00232F0B" w:rsidRPr="00A40FD5">
        <w:t xml:space="preserve">Department of Treasury and Finance for </w:t>
      </w:r>
      <w:r w:rsidR="00232F0B">
        <w:t xml:space="preserve">the </w:t>
      </w:r>
      <w:r w:rsidR="00232F0B" w:rsidRPr="00A40FD5">
        <w:t>2019/2020 financial year)</w:t>
      </w:r>
      <w:r w:rsidR="00232F0B">
        <w:t>. L</w:t>
      </w:r>
      <w:r w:rsidR="00232F0B" w:rsidRPr="00A40FD5">
        <w:t>ower fees apply if sources are in storage and not used. A</w:t>
      </w:r>
      <w:r w:rsidR="00232F0B">
        <w:t>n a</w:t>
      </w:r>
      <w:r w:rsidR="00232F0B" w:rsidRPr="00A40FD5">
        <w:t xml:space="preserve">dditional </w:t>
      </w:r>
      <w:r w:rsidR="00232F0B">
        <w:t>$AUD</w:t>
      </w:r>
      <w:r w:rsidR="00232F0B" w:rsidRPr="00A40FD5">
        <w:t>207.36 licence application fee applies</w:t>
      </w:r>
      <w:r w:rsidR="00232F0B">
        <w:t>,</w:t>
      </w:r>
      <w:r w:rsidR="00232F0B" w:rsidRPr="00A40FD5">
        <w:t xml:space="preserve"> and </w:t>
      </w:r>
      <w:r w:rsidR="00232F0B">
        <w:t xml:space="preserve">there is </w:t>
      </w:r>
      <w:r w:rsidR="00232F0B" w:rsidRPr="00A40FD5">
        <w:t>a</w:t>
      </w:r>
      <w:r w:rsidR="00232F0B">
        <w:t>n</w:t>
      </w:r>
      <w:r w:rsidR="00232F0B" w:rsidRPr="00A40FD5">
        <w:t xml:space="preserve"> </w:t>
      </w:r>
      <w:r w:rsidR="00232F0B">
        <w:t>$AUD</w:t>
      </w:r>
      <w:r w:rsidR="00232F0B" w:rsidRPr="00A40FD5">
        <w:t>333.72 registration fee for each radiation place.</w:t>
      </w:r>
    </w:p>
    <w:p w14:paraId="270EBE42" w14:textId="77777777" w:rsidR="00232F0B" w:rsidRPr="00A40FD5" w:rsidRDefault="005C71CD" w:rsidP="00574F8C">
      <w:pPr>
        <w:pStyle w:val="Note"/>
        <w:ind w:left="425" w:hanging="425"/>
        <w:rPr>
          <w:rFonts w:cstheme="minorHAnsi"/>
          <w:sz w:val="20"/>
        </w:rPr>
      </w:pPr>
      <w:r>
        <w:t>9.</w:t>
      </w:r>
      <w:r>
        <w:tab/>
      </w:r>
      <w:r w:rsidR="00232F0B" w:rsidRPr="00A40FD5">
        <w:t>In New Zealand</w:t>
      </w:r>
      <w:r w:rsidR="00232F0B">
        <w:t>,</w:t>
      </w:r>
      <w:r w:rsidR="00232F0B" w:rsidRPr="00A40FD5">
        <w:t xml:space="preserve"> a source licence fee is annual and risk based. Broadly similar, it is known as a </w:t>
      </w:r>
      <w:r w:rsidR="0087667B">
        <w:t>‘</w:t>
      </w:r>
      <w:r w:rsidR="00232F0B" w:rsidRPr="00A40FD5">
        <w:t>Management licence</w:t>
      </w:r>
      <w:r w:rsidR="0087667B">
        <w:t>’</w:t>
      </w:r>
      <w:r w:rsidR="00232F0B" w:rsidRPr="00A40FD5">
        <w:t xml:space="preserve"> in Victoria</w:t>
      </w:r>
      <w:r w:rsidR="00232F0B">
        <w:t>,</w:t>
      </w:r>
      <w:r w:rsidR="00232F0B" w:rsidRPr="00A40FD5">
        <w:t xml:space="preserve"> where </w:t>
      </w:r>
      <w:r w:rsidR="00232F0B">
        <w:t>it can</w:t>
      </w:r>
      <w:r w:rsidR="00232F0B" w:rsidRPr="00A40FD5">
        <w:t xml:space="preserve"> vary from </w:t>
      </w:r>
      <w:r w:rsidR="00232F0B">
        <w:t>one</w:t>
      </w:r>
      <w:r w:rsidR="00232F0B" w:rsidRPr="00A40FD5">
        <w:t xml:space="preserve"> to </w:t>
      </w:r>
      <w:r w:rsidR="00232F0B">
        <w:t>three</w:t>
      </w:r>
      <w:r w:rsidR="00232F0B" w:rsidRPr="00A40FD5">
        <w:t xml:space="preserve"> years</w:t>
      </w:r>
      <w:r w:rsidR="0087667B">
        <w:t>’</w:t>
      </w:r>
      <w:r w:rsidR="00232F0B" w:rsidRPr="00A40FD5">
        <w:t xml:space="preserve"> duration.</w:t>
      </w:r>
      <w:r w:rsidR="00232F0B">
        <w:t xml:space="preserve"> </w:t>
      </w:r>
      <w:r w:rsidR="00232F0B" w:rsidRPr="00A40FD5">
        <w:t>There are also additional application fees not listed here.</w:t>
      </w:r>
      <w:r w:rsidR="00232F0B">
        <w:t xml:space="preserve"> </w:t>
      </w:r>
      <w:r w:rsidR="00232F0B" w:rsidRPr="00A40FD5">
        <w:t>In Queensland</w:t>
      </w:r>
      <w:r w:rsidR="00232F0B">
        <w:t>,</w:t>
      </w:r>
      <w:r w:rsidR="00232F0B" w:rsidRPr="00A40FD5">
        <w:t xml:space="preserve"> </w:t>
      </w:r>
      <w:r w:rsidR="00232F0B">
        <w:t>this</w:t>
      </w:r>
      <w:r w:rsidR="00232F0B" w:rsidRPr="00A40FD5">
        <w:t xml:space="preserve"> is known as a </w:t>
      </w:r>
      <w:r w:rsidR="0087667B">
        <w:t>‘</w:t>
      </w:r>
      <w:r w:rsidR="00232F0B" w:rsidRPr="00A40FD5">
        <w:t>Possession licence</w:t>
      </w:r>
      <w:r w:rsidR="0087667B">
        <w:t>’</w:t>
      </w:r>
      <w:r w:rsidR="00232F0B" w:rsidRPr="00A40FD5">
        <w:t>. In NSW</w:t>
      </w:r>
      <w:r w:rsidR="00232F0B">
        <w:t>,</w:t>
      </w:r>
      <w:r w:rsidR="00232F0B" w:rsidRPr="00A40FD5">
        <w:t xml:space="preserve"> it is also known as a </w:t>
      </w:r>
      <w:r w:rsidR="0087667B">
        <w:t>‘</w:t>
      </w:r>
      <w:r w:rsidR="00232F0B" w:rsidRPr="00A40FD5">
        <w:t>Management licence</w:t>
      </w:r>
      <w:r w:rsidR="0087667B">
        <w:t>’</w:t>
      </w:r>
      <w:r w:rsidR="00232F0B" w:rsidRPr="00A40FD5">
        <w:t>. In South Australia</w:t>
      </w:r>
      <w:r w:rsidR="00232F0B">
        <w:t>,</w:t>
      </w:r>
      <w:r w:rsidR="00232F0B" w:rsidRPr="00A40FD5">
        <w:t xml:space="preserve"> it is called a </w:t>
      </w:r>
      <w:r w:rsidR="0087667B">
        <w:t>‘</w:t>
      </w:r>
      <w:r w:rsidR="00232F0B" w:rsidRPr="00A40FD5">
        <w:t>Source Licence</w:t>
      </w:r>
      <w:r w:rsidR="0087667B">
        <w:t>’</w:t>
      </w:r>
      <w:r w:rsidR="00232F0B">
        <w:t>,</w:t>
      </w:r>
      <w:r w:rsidR="00232F0B" w:rsidRPr="00A40FD5">
        <w:t xml:space="preserve"> and in Western Australia and Tasmania</w:t>
      </w:r>
      <w:r w:rsidR="00232F0B">
        <w:t>,</w:t>
      </w:r>
      <w:r w:rsidR="00232F0B" w:rsidRPr="00A40FD5">
        <w:t xml:space="preserve"> it is simply a </w:t>
      </w:r>
      <w:r w:rsidR="0087667B">
        <w:t>‘</w:t>
      </w:r>
      <w:r w:rsidR="00232F0B" w:rsidRPr="00A40FD5">
        <w:t>licence</w:t>
      </w:r>
      <w:r w:rsidR="0087667B">
        <w:t>’</w:t>
      </w:r>
      <w:r w:rsidR="00232F0B" w:rsidRPr="00A40FD5">
        <w:t xml:space="preserve"> to deal with radiation.</w:t>
      </w:r>
    </w:p>
    <w:p w14:paraId="7BA5ADDC" w14:textId="77777777" w:rsidR="00232F0B" w:rsidRPr="00A40FD5" w:rsidRDefault="005C71CD" w:rsidP="00574F8C">
      <w:pPr>
        <w:pStyle w:val="Note"/>
        <w:ind w:left="425" w:hanging="425"/>
        <w:rPr>
          <w:color w:val="000000"/>
          <w:lang w:eastAsia="en-NZ"/>
        </w:rPr>
      </w:pPr>
      <w:r>
        <w:rPr>
          <w:color w:val="000000"/>
          <w:lang w:eastAsia="en-NZ"/>
        </w:rPr>
        <w:t>10.</w:t>
      </w:r>
      <w:r>
        <w:rPr>
          <w:color w:val="000000"/>
          <w:lang w:eastAsia="en-NZ"/>
        </w:rPr>
        <w:tab/>
      </w:r>
      <w:r w:rsidR="00232F0B" w:rsidRPr="00A40FD5">
        <w:rPr>
          <w:color w:val="000000"/>
          <w:lang w:eastAsia="en-NZ"/>
        </w:rPr>
        <w:t xml:space="preserve">Calculation of fee unit for purposes of </w:t>
      </w:r>
      <w:r w:rsidR="00232F0B">
        <w:rPr>
          <w:color w:val="000000"/>
          <w:lang w:eastAsia="en-NZ"/>
        </w:rPr>
        <w:t>the r</w:t>
      </w:r>
      <w:r w:rsidR="00232F0B" w:rsidRPr="00A40FD5">
        <w:rPr>
          <w:color w:val="000000"/>
          <w:lang w:eastAsia="en-NZ"/>
        </w:rPr>
        <w:t>egulation in NSW:</w:t>
      </w:r>
    </w:p>
    <w:p w14:paraId="1E0BC07E" w14:textId="77777777" w:rsidR="00232F0B" w:rsidRPr="00A40FD5" w:rsidRDefault="00232F0B" w:rsidP="005C71CD">
      <w:pPr>
        <w:pStyle w:val="Note"/>
        <w:ind w:left="850" w:hanging="425"/>
        <w:rPr>
          <w:color w:val="000000"/>
          <w:lang w:eastAsia="en-NZ"/>
        </w:rPr>
      </w:pPr>
      <w:r w:rsidRPr="00A40FD5">
        <w:rPr>
          <w:color w:val="000000"/>
          <w:lang w:eastAsia="en-NZ"/>
        </w:rPr>
        <w:t>(1)</w:t>
      </w:r>
      <w:r w:rsidR="005C71CD">
        <w:rPr>
          <w:color w:val="000000"/>
          <w:lang w:eastAsia="en-NZ"/>
        </w:rPr>
        <w:tab/>
      </w:r>
      <w:r>
        <w:rPr>
          <w:color w:val="000000"/>
          <w:lang w:eastAsia="en-NZ"/>
        </w:rPr>
        <w:t>A</w:t>
      </w:r>
      <w:r w:rsidR="00574F8C">
        <w:rPr>
          <w:color w:val="000000"/>
          <w:lang w:eastAsia="en-NZ"/>
        </w:rPr>
        <w:t xml:space="preserve"> </w:t>
      </w:r>
      <w:r w:rsidRPr="00574F8C">
        <w:t>fee unit</w:t>
      </w:r>
      <w:r w:rsidR="00574F8C" w:rsidRPr="00574F8C">
        <w:t xml:space="preserve"> i</w:t>
      </w:r>
      <w:r w:rsidRPr="00574F8C">
        <w:t>s: (a) $</w:t>
      </w:r>
      <w:r>
        <w:rPr>
          <w:color w:val="000000"/>
          <w:lang w:eastAsia="en-NZ"/>
        </w:rPr>
        <w:t>AUD</w:t>
      </w:r>
      <w:r w:rsidRPr="00A40FD5">
        <w:rPr>
          <w:color w:val="000000"/>
          <w:lang w:eastAsia="en-NZ"/>
        </w:rPr>
        <w:t xml:space="preserve">100 </w:t>
      </w:r>
      <w:r>
        <w:rPr>
          <w:color w:val="000000"/>
          <w:lang w:eastAsia="en-NZ"/>
        </w:rPr>
        <w:t>for</w:t>
      </w:r>
      <w:r w:rsidRPr="00A40FD5">
        <w:rPr>
          <w:color w:val="000000"/>
          <w:lang w:eastAsia="en-NZ"/>
        </w:rPr>
        <w:t xml:space="preserve"> the 2018</w:t>
      </w:r>
      <w:r>
        <w:rPr>
          <w:color w:val="000000"/>
          <w:lang w:eastAsia="en-NZ"/>
        </w:rPr>
        <w:t>/</w:t>
      </w:r>
      <w:r w:rsidRPr="00A40FD5">
        <w:rPr>
          <w:color w:val="000000"/>
          <w:lang w:eastAsia="en-NZ"/>
        </w:rPr>
        <w:t>19</w:t>
      </w:r>
      <w:r>
        <w:rPr>
          <w:color w:val="000000"/>
          <w:lang w:eastAsia="en-NZ"/>
        </w:rPr>
        <w:t xml:space="preserve"> </w:t>
      </w:r>
      <w:r w:rsidRPr="00A40FD5">
        <w:rPr>
          <w:color w:val="000000"/>
          <w:lang w:eastAsia="en-NZ"/>
        </w:rPr>
        <w:t>financial year</w:t>
      </w:r>
      <w:r>
        <w:rPr>
          <w:color w:val="000000"/>
          <w:lang w:eastAsia="en-NZ"/>
        </w:rPr>
        <w:t xml:space="preserve">, </w:t>
      </w:r>
      <w:r w:rsidRPr="00A40FD5">
        <w:rPr>
          <w:color w:val="000000"/>
          <w:lang w:eastAsia="en-NZ"/>
        </w:rPr>
        <w:t>and (b)</w:t>
      </w:r>
      <w:r>
        <w:rPr>
          <w:color w:val="000000"/>
          <w:lang w:eastAsia="en-NZ"/>
        </w:rPr>
        <w:t xml:space="preserve"> </w:t>
      </w:r>
      <w:r w:rsidRPr="00A40FD5">
        <w:rPr>
          <w:color w:val="000000"/>
          <w:lang w:eastAsia="en-NZ"/>
        </w:rPr>
        <w:t>in each subsequent financial year</w:t>
      </w:r>
      <w:r>
        <w:rPr>
          <w:color w:val="000000"/>
          <w:lang w:eastAsia="en-NZ"/>
        </w:rPr>
        <w:t xml:space="preserve">, it is </w:t>
      </w:r>
      <w:r w:rsidRPr="00A40FD5">
        <w:rPr>
          <w:color w:val="000000"/>
          <w:lang w:eastAsia="en-NZ"/>
        </w:rPr>
        <w:t>the amount calculated as follows:</w:t>
      </w:r>
    </w:p>
    <w:p w14:paraId="43E46715" w14:textId="77777777" w:rsidR="00232F0B" w:rsidRPr="00A40FD5" w:rsidRDefault="00232F0B" w:rsidP="005C71CD">
      <w:pPr>
        <w:pStyle w:val="Note"/>
        <w:spacing w:before="0"/>
        <w:ind w:left="1275" w:hanging="425"/>
        <w:rPr>
          <w:color w:val="000000"/>
          <w:lang w:eastAsia="en-NZ"/>
        </w:rPr>
      </w:pPr>
      <w:r w:rsidRPr="00A40FD5">
        <w:rPr>
          <w:noProof/>
          <w:lang w:eastAsia="en-NZ"/>
        </w:rPr>
        <w:drawing>
          <wp:inline distT="0" distB="0" distL="0" distR="0" wp14:anchorId="6CBB83D8" wp14:editId="361A2D12">
            <wp:extent cx="476250" cy="295275"/>
            <wp:effectExtent l="0" t="0" r="0" b="9525"/>
            <wp:docPr id="1" name="Picture 1" descr="Formula to show $100 multiplied by the fraction 'A' over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ormula to show $100 multiplied by the fraction 'A' over 'B'"/>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bwMode="auto">
                    <a:xfrm>
                      <a:off x="0" y="0"/>
                      <a:ext cx="476250" cy="295275"/>
                    </a:xfrm>
                    <a:prstGeom prst="rect">
                      <a:avLst/>
                    </a:prstGeom>
                    <a:noFill/>
                    <a:ln>
                      <a:noFill/>
                    </a:ln>
                  </pic:spPr>
                </pic:pic>
              </a:graphicData>
            </a:graphic>
          </wp:inline>
        </w:drawing>
      </w:r>
    </w:p>
    <w:p w14:paraId="2C536B25" w14:textId="77777777" w:rsidR="00232F0B" w:rsidRPr="00A40FD5" w:rsidRDefault="00232F0B" w:rsidP="005C71CD">
      <w:pPr>
        <w:pStyle w:val="Note"/>
        <w:spacing w:before="0"/>
        <w:ind w:left="851"/>
        <w:rPr>
          <w:lang w:eastAsia="en-NZ"/>
        </w:rPr>
      </w:pPr>
      <w:r w:rsidRPr="00A40FD5">
        <w:rPr>
          <w:lang w:eastAsia="en-NZ"/>
        </w:rPr>
        <w:t>where:</w:t>
      </w:r>
      <w:r w:rsidRPr="00A40FD5">
        <w:rPr>
          <w:lang w:eastAsia="en-NZ"/>
        </w:rPr>
        <w:br/>
      </w:r>
      <w:r w:rsidRPr="00574F8C">
        <w:t>A </w:t>
      </w:r>
      <w:r w:rsidRPr="00A40FD5">
        <w:rPr>
          <w:lang w:eastAsia="en-NZ"/>
        </w:rPr>
        <w:t>is the public sector wage price index number for the March quarter in the financial year immediately preceding the financial year for which the amount is calculated.</w:t>
      </w:r>
      <w:r w:rsidR="005C71CD">
        <w:rPr>
          <w:lang w:eastAsia="en-NZ"/>
        </w:rPr>
        <w:br/>
      </w:r>
      <w:r w:rsidRPr="00574F8C">
        <w:t>B </w:t>
      </w:r>
      <w:r w:rsidRPr="00A40FD5">
        <w:rPr>
          <w:lang w:eastAsia="en-NZ"/>
        </w:rPr>
        <w:t>is the public sector wage price index number for the March quarter of 2018.</w:t>
      </w:r>
    </w:p>
    <w:p w14:paraId="17422E1B" w14:textId="77777777" w:rsidR="00232F0B" w:rsidRPr="00A40FD5" w:rsidRDefault="00232F0B" w:rsidP="00B85ED6">
      <w:pPr>
        <w:pStyle w:val="Note"/>
        <w:keepNext/>
        <w:ind w:left="850" w:hanging="425"/>
        <w:rPr>
          <w:color w:val="000000"/>
          <w:lang w:eastAsia="en-NZ"/>
        </w:rPr>
      </w:pPr>
      <w:r w:rsidRPr="00A40FD5">
        <w:rPr>
          <w:color w:val="000000"/>
          <w:lang w:eastAsia="en-NZ"/>
        </w:rPr>
        <w:t>(2)</w:t>
      </w:r>
      <w:r w:rsidR="005C71CD">
        <w:rPr>
          <w:color w:val="000000"/>
          <w:lang w:eastAsia="en-NZ"/>
        </w:rPr>
        <w:tab/>
      </w:r>
      <w:r w:rsidRPr="00A40FD5">
        <w:rPr>
          <w:color w:val="000000"/>
          <w:lang w:eastAsia="en-NZ"/>
        </w:rPr>
        <w:t>The amount of a fee unit is to be rounded up to the nearest cent.</w:t>
      </w:r>
    </w:p>
    <w:p w14:paraId="60EF761B" w14:textId="77777777" w:rsidR="00232F0B" w:rsidRPr="00A40FD5" w:rsidRDefault="00232F0B" w:rsidP="005C71CD">
      <w:pPr>
        <w:pStyle w:val="Note"/>
        <w:ind w:left="850" w:hanging="425"/>
        <w:rPr>
          <w:color w:val="000000"/>
          <w:lang w:eastAsia="en-NZ"/>
        </w:rPr>
      </w:pPr>
      <w:r w:rsidRPr="00A40FD5">
        <w:rPr>
          <w:color w:val="000000"/>
          <w:lang w:eastAsia="en-NZ"/>
        </w:rPr>
        <w:t>(3)</w:t>
      </w:r>
      <w:r w:rsidR="005C71CD">
        <w:rPr>
          <w:color w:val="000000"/>
          <w:lang w:eastAsia="en-NZ"/>
        </w:rPr>
        <w:tab/>
      </w:r>
      <w:r w:rsidRPr="00A40FD5">
        <w:rPr>
          <w:color w:val="000000"/>
          <w:lang w:eastAsia="en-NZ"/>
        </w:rPr>
        <w:t xml:space="preserve">However, if the amount of a fee unit calculated for any financial year is less than the amount that applied </w:t>
      </w:r>
      <w:r>
        <w:rPr>
          <w:color w:val="000000"/>
          <w:lang w:eastAsia="en-NZ"/>
        </w:rPr>
        <w:t>to</w:t>
      </w:r>
      <w:r w:rsidRPr="00A40FD5">
        <w:rPr>
          <w:color w:val="000000"/>
          <w:lang w:eastAsia="en-NZ"/>
        </w:rPr>
        <w:t xml:space="preserve"> the previous financial year, then the amount for that previous financial year applies instead.</w:t>
      </w:r>
    </w:p>
    <w:p w14:paraId="5D92E1C4" w14:textId="77777777" w:rsidR="00232F0B" w:rsidRPr="00A40FD5" w:rsidRDefault="005C71CD" w:rsidP="005C71CD">
      <w:pPr>
        <w:pStyle w:val="Note"/>
        <w:ind w:left="425" w:hanging="425"/>
      </w:pPr>
      <w:r>
        <w:t>11.</w:t>
      </w:r>
      <w:r>
        <w:tab/>
      </w:r>
      <w:r w:rsidR="00232F0B" w:rsidRPr="00A40FD5">
        <w:t xml:space="preserve">Includes a non-refundable </w:t>
      </w:r>
      <w:r w:rsidR="00232F0B">
        <w:t>$AUD</w:t>
      </w:r>
      <w:r w:rsidR="00232F0B" w:rsidRPr="00A40FD5">
        <w:t>96.50 application fee.</w:t>
      </w:r>
    </w:p>
    <w:p w14:paraId="66EC14FC" w14:textId="77777777" w:rsidR="00232F0B" w:rsidRPr="00A40FD5" w:rsidRDefault="005C71CD" w:rsidP="005C71CD">
      <w:pPr>
        <w:pStyle w:val="Note"/>
        <w:ind w:left="425" w:hanging="425"/>
      </w:pPr>
      <w:r>
        <w:t>12.</w:t>
      </w:r>
      <w:r>
        <w:tab/>
      </w:r>
      <w:r w:rsidR="00232F0B" w:rsidRPr="00A40FD5">
        <w:t>This fee is for a new use licence</w:t>
      </w:r>
      <w:r w:rsidR="00232F0B">
        <w:t>;</w:t>
      </w:r>
      <w:r w:rsidR="00232F0B" w:rsidRPr="00A40FD5">
        <w:t xml:space="preserve"> a lower fee applies for a renewal.</w:t>
      </w:r>
    </w:p>
    <w:p w14:paraId="09EE0043" w14:textId="77777777" w:rsidR="00232F0B" w:rsidRPr="00A40FD5" w:rsidRDefault="005C71CD" w:rsidP="005C71CD">
      <w:pPr>
        <w:pStyle w:val="Note"/>
        <w:ind w:left="425" w:hanging="425"/>
        <w:rPr>
          <w:color w:val="000000"/>
          <w:lang w:eastAsia="en-NZ"/>
        </w:rPr>
      </w:pPr>
      <w:r>
        <w:t>13.</w:t>
      </w:r>
      <w:r>
        <w:tab/>
      </w:r>
      <w:r w:rsidR="00232F0B" w:rsidRPr="00A40FD5">
        <w:t>This fee is for a new use licence</w:t>
      </w:r>
      <w:r w:rsidR="00232F0B">
        <w:t>;</w:t>
      </w:r>
      <w:r w:rsidR="00232F0B" w:rsidRPr="00A40FD5">
        <w:t xml:space="preserve"> a lower fee applies for a renewal.</w:t>
      </w:r>
    </w:p>
    <w:p w14:paraId="0A8CAF5C" w14:textId="77777777" w:rsidR="00232F0B" w:rsidRPr="00A40FD5" w:rsidRDefault="005C71CD" w:rsidP="005C71CD">
      <w:pPr>
        <w:pStyle w:val="Note"/>
        <w:ind w:left="425" w:hanging="425"/>
        <w:rPr>
          <w:color w:val="000000"/>
          <w:lang w:eastAsia="en-NZ"/>
        </w:rPr>
      </w:pPr>
      <w:r>
        <w:t>14.</w:t>
      </w:r>
      <w:r>
        <w:tab/>
      </w:r>
      <w:r w:rsidR="00232F0B" w:rsidRPr="00A40FD5">
        <w:t xml:space="preserve">This fee includes a non-refundable </w:t>
      </w:r>
      <w:r w:rsidR="00232F0B">
        <w:t>$AUD</w:t>
      </w:r>
      <w:r w:rsidR="00232F0B" w:rsidRPr="00A40FD5">
        <w:t>128.00 application fee.</w:t>
      </w:r>
    </w:p>
    <w:p w14:paraId="75495467" w14:textId="77777777" w:rsidR="00AC57E3" w:rsidRDefault="00AC57E3" w:rsidP="000419A9"/>
    <w:sectPr w:rsidR="00AC57E3" w:rsidSect="00202A51">
      <w:footerReference w:type="default" r:id="rId37"/>
      <w:pgSz w:w="16834" w:h="11907" w:orient="landscape" w:code="9"/>
      <w:pgMar w:top="1134" w:right="1134" w:bottom="1134" w:left="1134" w:header="284" w:footer="425"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4E47DA" w14:textId="77777777" w:rsidR="00A92E98" w:rsidRDefault="00A92E98">
      <w:r>
        <w:separator/>
      </w:r>
    </w:p>
    <w:p w14:paraId="67275667" w14:textId="77777777" w:rsidR="00A92E98" w:rsidRDefault="00A92E98"/>
  </w:endnote>
  <w:endnote w:type="continuationSeparator" w:id="0">
    <w:p w14:paraId="5AE131A5" w14:textId="77777777" w:rsidR="00A92E98" w:rsidRDefault="00A92E98">
      <w:r>
        <w:continuationSeparator/>
      </w:r>
    </w:p>
    <w:p w14:paraId="0C3A752A" w14:textId="77777777" w:rsidR="00A92E98" w:rsidRDefault="00A92E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Identity-H">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3BCE0" w14:textId="10708B07" w:rsidR="00D472E5" w:rsidRPr="00581136" w:rsidRDefault="00D472E5" w:rsidP="005A79E5">
    <w:pPr>
      <w:pStyle w:val="Footer"/>
      <w:pBdr>
        <w:bottom w:val="single" w:sz="4" w:space="1" w:color="auto"/>
      </w:pBdr>
      <w:tabs>
        <w:tab w:val="right" w:pos="9639"/>
      </w:tabs>
      <w:rPr>
        <w:b/>
      </w:rPr>
    </w:pPr>
    <w:r w:rsidRPr="00581136">
      <w:rPr>
        <w:b/>
      </w:rPr>
      <w:t xml:space="preserve">Released </w:t>
    </w:r>
    <w:r w:rsidR="00EB3714">
      <w:rPr>
        <w:b/>
      </w:rPr>
      <w:t>2022</w:t>
    </w:r>
    <w:r w:rsidRPr="00581136">
      <w:rPr>
        <w:b/>
      </w:rPr>
      <w:tab/>
      <w:t>health.govt.nz</w:t>
    </w:r>
  </w:p>
  <w:p w14:paraId="33F18BE8" w14:textId="77777777" w:rsidR="00D472E5" w:rsidRPr="005A79E5" w:rsidRDefault="00D472E5">
    <w:pPr>
      <w:pStyle w:val="Footer"/>
      <w:rPr>
        <w:sz w:val="2"/>
        <w:szCs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4601" w:type="dxa"/>
      <w:tblLayout w:type="fixed"/>
      <w:tblCellMar>
        <w:left w:w="0" w:type="dxa"/>
        <w:right w:w="0" w:type="dxa"/>
      </w:tblCellMar>
      <w:tblLook w:val="04A0" w:firstRow="1" w:lastRow="0" w:firstColumn="1" w:lastColumn="0" w:noHBand="0" w:noVBand="1"/>
    </w:tblPr>
    <w:tblGrid>
      <w:gridCol w:w="13892"/>
      <w:gridCol w:w="709"/>
    </w:tblGrid>
    <w:tr w:rsidR="00D472E5" w14:paraId="21AF35C6" w14:textId="77777777" w:rsidTr="009D2B45">
      <w:trPr>
        <w:cantSplit/>
      </w:trPr>
      <w:tc>
        <w:tcPr>
          <w:tcW w:w="13892" w:type="dxa"/>
          <w:vAlign w:val="center"/>
        </w:tcPr>
        <w:p w14:paraId="39950046" w14:textId="77777777" w:rsidR="00D472E5" w:rsidRDefault="00D472E5" w:rsidP="0075379E">
          <w:pPr>
            <w:pStyle w:val="RectoFooter"/>
          </w:pPr>
          <w:r>
            <w:t>review of radiation safety regulations 2016: a consultation document</w:t>
          </w:r>
        </w:p>
      </w:tc>
      <w:tc>
        <w:tcPr>
          <w:tcW w:w="709" w:type="dxa"/>
          <w:vAlign w:val="center"/>
        </w:tcPr>
        <w:p w14:paraId="24385F5D" w14:textId="77777777" w:rsidR="00D472E5" w:rsidRPr="00931466" w:rsidRDefault="00D472E5"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AC57E3">
            <w:rPr>
              <w:rStyle w:val="PageNumber"/>
              <w:noProof/>
            </w:rPr>
            <w:t>43</w:t>
          </w:r>
          <w:r w:rsidRPr="00931466">
            <w:rPr>
              <w:rStyle w:val="PageNumber"/>
            </w:rPr>
            <w:fldChar w:fldCharType="end"/>
          </w:r>
        </w:p>
      </w:tc>
    </w:tr>
  </w:tbl>
  <w:p w14:paraId="59AEAF3D" w14:textId="77777777" w:rsidR="00D472E5" w:rsidRPr="00581EB8" w:rsidRDefault="00D472E5" w:rsidP="00581EB8">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EED41" w14:textId="77777777" w:rsidR="00D472E5" w:rsidRDefault="00D472E5"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BC051" w14:textId="77777777" w:rsidR="00D472E5" w:rsidRDefault="00D472E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Ind w:w="-709" w:type="dxa"/>
      <w:tblLayout w:type="fixed"/>
      <w:tblCellMar>
        <w:left w:w="0" w:type="dxa"/>
        <w:right w:w="0" w:type="dxa"/>
      </w:tblCellMar>
      <w:tblLook w:val="04A0" w:firstRow="1" w:lastRow="0" w:firstColumn="1" w:lastColumn="0" w:noHBand="0" w:noVBand="1"/>
    </w:tblPr>
    <w:tblGrid>
      <w:gridCol w:w="709"/>
      <w:gridCol w:w="8080"/>
    </w:tblGrid>
    <w:tr w:rsidR="00D472E5" w14:paraId="709A310E" w14:textId="77777777" w:rsidTr="00D662F8">
      <w:trPr>
        <w:cantSplit/>
      </w:trPr>
      <w:tc>
        <w:tcPr>
          <w:tcW w:w="709" w:type="dxa"/>
          <w:vAlign w:val="center"/>
        </w:tcPr>
        <w:p w14:paraId="36B6000D" w14:textId="77777777" w:rsidR="00D472E5" w:rsidRPr="00931466" w:rsidRDefault="00D472E5"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AC57E3">
            <w:rPr>
              <w:rStyle w:val="PageNumber"/>
              <w:noProof/>
            </w:rPr>
            <w:t>iv</w:t>
          </w:r>
          <w:r w:rsidRPr="00931466">
            <w:rPr>
              <w:rStyle w:val="PageNumber"/>
            </w:rPr>
            <w:fldChar w:fldCharType="end"/>
          </w:r>
        </w:p>
      </w:tc>
      <w:tc>
        <w:tcPr>
          <w:tcW w:w="8080" w:type="dxa"/>
          <w:vAlign w:val="center"/>
        </w:tcPr>
        <w:p w14:paraId="7F2CB149" w14:textId="77777777" w:rsidR="00D472E5" w:rsidRDefault="00D472E5" w:rsidP="00B55585">
          <w:pPr>
            <w:pStyle w:val="RectoFooter"/>
            <w:jc w:val="left"/>
          </w:pPr>
          <w:r>
            <w:t>review of radiation safety regulations 2016: a consultation document</w:t>
          </w:r>
        </w:p>
      </w:tc>
    </w:tr>
  </w:tbl>
  <w:p w14:paraId="6658E9E2" w14:textId="77777777" w:rsidR="00D472E5" w:rsidRPr="00571223" w:rsidRDefault="00D472E5"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Layout w:type="fixed"/>
      <w:tblCellMar>
        <w:left w:w="0" w:type="dxa"/>
        <w:right w:w="0" w:type="dxa"/>
      </w:tblCellMar>
      <w:tblLook w:val="04A0" w:firstRow="1" w:lastRow="0" w:firstColumn="1" w:lastColumn="0" w:noHBand="0" w:noVBand="1"/>
    </w:tblPr>
    <w:tblGrid>
      <w:gridCol w:w="8080"/>
      <w:gridCol w:w="709"/>
    </w:tblGrid>
    <w:tr w:rsidR="00D472E5" w14:paraId="134A88C5" w14:textId="77777777" w:rsidTr="006E2886">
      <w:trPr>
        <w:cantSplit/>
      </w:trPr>
      <w:tc>
        <w:tcPr>
          <w:tcW w:w="8080" w:type="dxa"/>
          <w:vAlign w:val="center"/>
        </w:tcPr>
        <w:p w14:paraId="4412B999" w14:textId="77777777" w:rsidR="00D472E5" w:rsidRDefault="00D472E5" w:rsidP="0075379E">
          <w:pPr>
            <w:pStyle w:val="RectoFooter"/>
          </w:pPr>
          <w:r>
            <w:t>review of radiation safety regulations 2016: a consultation document</w:t>
          </w:r>
        </w:p>
      </w:tc>
      <w:tc>
        <w:tcPr>
          <w:tcW w:w="709" w:type="dxa"/>
          <w:vAlign w:val="center"/>
        </w:tcPr>
        <w:p w14:paraId="1D66FED2" w14:textId="77777777" w:rsidR="00D472E5" w:rsidRPr="00931466" w:rsidRDefault="00D472E5"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AC57E3">
            <w:rPr>
              <w:rStyle w:val="PageNumber"/>
              <w:noProof/>
            </w:rPr>
            <w:t>iii</w:t>
          </w:r>
          <w:r w:rsidRPr="00931466">
            <w:rPr>
              <w:rStyle w:val="PageNumber"/>
            </w:rPr>
            <w:fldChar w:fldCharType="end"/>
          </w:r>
        </w:p>
      </w:tc>
    </w:tr>
  </w:tbl>
  <w:p w14:paraId="2D6DB62C" w14:textId="77777777" w:rsidR="00D472E5" w:rsidRPr="00581EB8" w:rsidRDefault="00D472E5" w:rsidP="00581EB8">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47" w:type="dxa"/>
      <w:tblInd w:w="-567" w:type="dxa"/>
      <w:tblLayout w:type="fixed"/>
      <w:tblLook w:val="04A0" w:firstRow="1" w:lastRow="0" w:firstColumn="1" w:lastColumn="0" w:noHBand="0" w:noVBand="1"/>
    </w:tblPr>
    <w:tblGrid>
      <w:gridCol w:w="675"/>
      <w:gridCol w:w="9072"/>
    </w:tblGrid>
    <w:tr w:rsidR="00D472E5" w14:paraId="4EAD73BC" w14:textId="77777777" w:rsidTr="006E2886">
      <w:trPr>
        <w:cantSplit/>
      </w:trPr>
      <w:tc>
        <w:tcPr>
          <w:tcW w:w="675" w:type="dxa"/>
          <w:vAlign w:val="center"/>
        </w:tcPr>
        <w:p w14:paraId="4892C2AD" w14:textId="77777777" w:rsidR="00D472E5" w:rsidRPr="00931466" w:rsidRDefault="00D472E5" w:rsidP="006E2886">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AC57E3">
            <w:rPr>
              <w:rStyle w:val="PageNumber"/>
              <w:noProof/>
            </w:rPr>
            <w:t>42</w:t>
          </w:r>
          <w:r w:rsidRPr="00931466">
            <w:rPr>
              <w:rStyle w:val="PageNumber"/>
            </w:rPr>
            <w:fldChar w:fldCharType="end"/>
          </w:r>
        </w:p>
      </w:tc>
      <w:tc>
        <w:tcPr>
          <w:tcW w:w="9072" w:type="dxa"/>
          <w:vAlign w:val="center"/>
        </w:tcPr>
        <w:p w14:paraId="414351FF" w14:textId="77777777" w:rsidR="00D472E5" w:rsidRDefault="00D472E5" w:rsidP="0075379E">
          <w:pPr>
            <w:pStyle w:val="RectoFooter"/>
            <w:ind w:left="-108"/>
            <w:jc w:val="left"/>
          </w:pPr>
          <w:r>
            <w:t>review of radiation safety regulations 2016: a consultation document</w:t>
          </w:r>
        </w:p>
      </w:tc>
    </w:tr>
  </w:tbl>
  <w:p w14:paraId="6F3DD3CD" w14:textId="77777777" w:rsidR="00D472E5" w:rsidRPr="00571223" w:rsidRDefault="00D472E5" w:rsidP="00571223">
    <w:pPr>
      <w:pStyle w:val="Verso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Layout w:type="fixed"/>
      <w:tblCellMar>
        <w:left w:w="0" w:type="dxa"/>
        <w:right w:w="0" w:type="dxa"/>
      </w:tblCellMar>
      <w:tblLook w:val="04A0" w:firstRow="1" w:lastRow="0" w:firstColumn="1" w:lastColumn="0" w:noHBand="0" w:noVBand="1"/>
    </w:tblPr>
    <w:tblGrid>
      <w:gridCol w:w="8080"/>
      <w:gridCol w:w="709"/>
    </w:tblGrid>
    <w:tr w:rsidR="00D472E5" w14:paraId="09632702" w14:textId="77777777" w:rsidTr="006E2886">
      <w:trPr>
        <w:cantSplit/>
      </w:trPr>
      <w:tc>
        <w:tcPr>
          <w:tcW w:w="8080" w:type="dxa"/>
          <w:vAlign w:val="center"/>
        </w:tcPr>
        <w:p w14:paraId="606544B2" w14:textId="77777777" w:rsidR="00D472E5" w:rsidRDefault="00D472E5" w:rsidP="0075379E">
          <w:pPr>
            <w:pStyle w:val="RectoFooter"/>
          </w:pPr>
          <w:r>
            <w:t>review of radiation safety regulations 2016: a consultation document</w:t>
          </w:r>
        </w:p>
      </w:tc>
      <w:tc>
        <w:tcPr>
          <w:tcW w:w="709" w:type="dxa"/>
          <w:vAlign w:val="center"/>
        </w:tcPr>
        <w:p w14:paraId="28095734" w14:textId="77777777" w:rsidR="00D472E5" w:rsidRPr="00931466" w:rsidRDefault="00D472E5"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AC57E3">
            <w:rPr>
              <w:rStyle w:val="PageNumber"/>
              <w:noProof/>
            </w:rPr>
            <w:t>21</w:t>
          </w:r>
          <w:r w:rsidRPr="00931466">
            <w:rPr>
              <w:rStyle w:val="PageNumber"/>
            </w:rPr>
            <w:fldChar w:fldCharType="end"/>
          </w:r>
        </w:p>
      </w:tc>
    </w:tr>
  </w:tbl>
  <w:p w14:paraId="3BDC2549" w14:textId="77777777" w:rsidR="00D472E5" w:rsidRPr="00581EB8" w:rsidRDefault="00D472E5" w:rsidP="00581EB8">
    <w:pPr>
      <w:pStyle w:val="Footer"/>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4601" w:type="dxa"/>
      <w:tblLayout w:type="fixed"/>
      <w:tblCellMar>
        <w:left w:w="0" w:type="dxa"/>
        <w:right w:w="0" w:type="dxa"/>
      </w:tblCellMar>
      <w:tblLook w:val="04A0" w:firstRow="1" w:lastRow="0" w:firstColumn="1" w:lastColumn="0" w:noHBand="0" w:noVBand="1"/>
    </w:tblPr>
    <w:tblGrid>
      <w:gridCol w:w="13892"/>
      <w:gridCol w:w="709"/>
    </w:tblGrid>
    <w:tr w:rsidR="00D472E5" w14:paraId="69530A00" w14:textId="77777777" w:rsidTr="009D2B45">
      <w:trPr>
        <w:cantSplit/>
      </w:trPr>
      <w:tc>
        <w:tcPr>
          <w:tcW w:w="13892" w:type="dxa"/>
          <w:vAlign w:val="center"/>
        </w:tcPr>
        <w:p w14:paraId="19A92F58" w14:textId="77777777" w:rsidR="00D472E5" w:rsidRDefault="00D472E5" w:rsidP="0075379E">
          <w:pPr>
            <w:pStyle w:val="RectoFooter"/>
          </w:pPr>
          <w:r>
            <w:t>review of radiation safety regulations 2016: a consultation document</w:t>
          </w:r>
        </w:p>
      </w:tc>
      <w:tc>
        <w:tcPr>
          <w:tcW w:w="709" w:type="dxa"/>
          <w:vAlign w:val="center"/>
        </w:tcPr>
        <w:p w14:paraId="0A89F39A" w14:textId="77777777" w:rsidR="00D472E5" w:rsidRPr="00931466" w:rsidRDefault="00D472E5"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AC57E3">
            <w:rPr>
              <w:rStyle w:val="PageNumber"/>
              <w:noProof/>
            </w:rPr>
            <w:t>23</w:t>
          </w:r>
          <w:r w:rsidRPr="00931466">
            <w:rPr>
              <w:rStyle w:val="PageNumber"/>
            </w:rPr>
            <w:fldChar w:fldCharType="end"/>
          </w:r>
        </w:p>
      </w:tc>
    </w:tr>
  </w:tbl>
  <w:p w14:paraId="31B37E8A" w14:textId="77777777" w:rsidR="00D472E5" w:rsidRPr="00581EB8" w:rsidRDefault="00D472E5" w:rsidP="00581EB8">
    <w:pPr>
      <w:pStyle w:val="Footer"/>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Layout w:type="fixed"/>
      <w:tblCellMar>
        <w:left w:w="0" w:type="dxa"/>
        <w:right w:w="0" w:type="dxa"/>
      </w:tblCellMar>
      <w:tblLook w:val="04A0" w:firstRow="1" w:lastRow="0" w:firstColumn="1" w:lastColumn="0" w:noHBand="0" w:noVBand="1"/>
    </w:tblPr>
    <w:tblGrid>
      <w:gridCol w:w="8080"/>
      <w:gridCol w:w="709"/>
    </w:tblGrid>
    <w:tr w:rsidR="00D472E5" w14:paraId="67AE3382" w14:textId="77777777" w:rsidTr="006E2886">
      <w:trPr>
        <w:cantSplit/>
      </w:trPr>
      <w:tc>
        <w:tcPr>
          <w:tcW w:w="8080" w:type="dxa"/>
          <w:vAlign w:val="center"/>
        </w:tcPr>
        <w:p w14:paraId="787E67BE" w14:textId="77777777" w:rsidR="00D472E5" w:rsidRDefault="00D472E5" w:rsidP="0075379E">
          <w:pPr>
            <w:pStyle w:val="RectoFooter"/>
          </w:pPr>
          <w:r>
            <w:t>review of radiation safety regulations 2016: a consultation document</w:t>
          </w:r>
        </w:p>
      </w:tc>
      <w:tc>
        <w:tcPr>
          <w:tcW w:w="709" w:type="dxa"/>
          <w:vAlign w:val="center"/>
        </w:tcPr>
        <w:p w14:paraId="245EE61A" w14:textId="77777777" w:rsidR="00D472E5" w:rsidRPr="00931466" w:rsidRDefault="00D472E5"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AC57E3">
            <w:rPr>
              <w:rStyle w:val="PageNumber"/>
              <w:noProof/>
            </w:rPr>
            <w:t>37</w:t>
          </w:r>
          <w:r w:rsidRPr="00931466">
            <w:rPr>
              <w:rStyle w:val="PageNumber"/>
            </w:rPr>
            <w:fldChar w:fldCharType="end"/>
          </w:r>
        </w:p>
      </w:tc>
    </w:tr>
  </w:tbl>
  <w:p w14:paraId="20FAE7AF" w14:textId="77777777" w:rsidR="00D472E5" w:rsidRPr="00581EB8" w:rsidRDefault="00D472E5"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751BF1" w14:textId="77777777" w:rsidR="00A92E98" w:rsidRPr="00A26E6B" w:rsidRDefault="00A92E98" w:rsidP="00A26E6B"/>
  </w:footnote>
  <w:footnote w:type="continuationSeparator" w:id="0">
    <w:p w14:paraId="19A5533A" w14:textId="77777777" w:rsidR="00A92E98" w:rsidRDefault="00A92E98">
      <w:r>
        <w:continuationSeparator/>
      </w:r>
    </w:p>
    <w:p w14:paraId="76768613" w14:textId="77777777" w:rsidR="00A92E98" w:rsidRDefault="00A92E98"/>
  </w:footnote>
  <w:footnote w:id="1">
    <w:p w14:paraId="02E32CB7" w14:textId="77777777" w:rsidR="00D472E5" w:rsidRPr="00F434BC" w:rsidRDefault="00D472E5" w:rsidP="00197BC7">
      <w:pPr>
        <w:pStyle w:val="FootnoteText"/>
      </w:pPr>
      <w:r w:rsidRPr="00197BC7">
        <w:rPr>
          <w:rStyle w:val="FootnoteReference"/>
        </w:rPr>
        <w:footnoteRef/>
      </w:r>
      <w:r>
        <w:tab/>
      </w:r>
      <w:r w:rsidRPr="00F434BC">
        <w:t xml:space="preserve">Available on the New Zealand Legislation website: </w:t>
      </w:r>
      <w:hyperlink r:id="rId1" w:anchor="DLM7049344" w:history="1">
        <w:r w:rsidRPr="00197BC7">
          <w:rPr>
            <w:rStyle w:val="Hyperlink"/>
          </w:rPr>
          <w:t>www.legislation.govt.nz/regulation/public/2016/0303/latest/whole.html#DLM7049344</w:t>
        </w:r>
      </w:hyperlink>
      <w:r w:rsidRPr="00197BC7">
        <w:t>.</w:t>
      </w:r>
    </w:p>
  </w:footnote>
  <w:footnote w:id="2">
    <w:p w14:paraId="603721CD" w14:textId="77777777" w:rsidR="00D472E5" w:rsidRPr="00F434BC" w:rsidRDefault="00D472E5" w:rsidP="00197BC7">
      <w:pPr>
        <w:pStyle w:val="FootnoteText"/>
      </w:pPr>
      <w:r w:rsidRPr="00197BC7">
        <w:rPr>
          <w:rStyle w:val="FootnoteReference"/>
        </w:rPr>
        <w:footnoteRef/>
      </w:r>
      <w:r>
        <w:tab/>
      </w:r>
      <w:r w:rsidRPr="00F434BC">
        <w:t xml:space="preserve">Available on the New Zealand Legislation website: </w:t>
      </w:r>
      <w:hyperlink r:id="rId2" w:anchor="DLM6339517" w:history="1">
        <w:r w:rsidRPr="00197BC7">
          <w:rPr>
            <w:rStyle w:val="Hyperlink"/>
          </w:rPr>
          <w:t>www.legislation.govt.nz/act/public/2016/0006/latest/whole.html#DLM6339517</w:t>
        </w:r>
      </w:hyperlink>
      <w:r w:rsidRPr="00197BC7">
        <w:t>.</w:t>
      </w:r>
    </w:p>
  </w:footnote>
  <w:footnote w:id="3">
    <w:p w14:paraId="3E188D97" w14:textId="77777777" w:rsidR="00D472E5" w:rsidRPr="004844B3" w:rsidRDefault="00D472E5" w:rsidP="00197BC7">
      <w:pPr>
        <w:pStyle w:val="FootnoteText"/>
      </w:pPr>
      <w:r w:rsidRPr="00197BC7">
        <w:rPr>
          <w:rStyle w:val="FootnoteReference"/>
        </w:rPr>
        <w:footnoteRef/>
      </w:r>
      <w:r>
        <w:tab/>
      </w:r>
      <w:r w:rsidRPr="004844B3">
        <w:t xml:space="preserve">Ministry of Health. 2016. </w:t>
      </w:r>
      <w:r w:rsidRPr="004844B3">
        <w:rPr>
          <w:i/>
          <w:iCs/>
        </w:rPr>
        <w:t>Proposed Radiation Safety Regulations: A consultation document</w:t>
      </w:r>
      <w:r w:rsidRPr="004844B3">
        <w:t xml:space="preserve">. Wellington: Ministry of Health. URL: </w:t>
      </w:r>
      <w:hyperlink r:id="rId3" w:history="1">
        <w:r w:rsidRPr="00197BC7">
          <w:rPr>
            <w:rStyle w:val="Hyperlink"/>
          </w:rPr>
          <w:t>www.health.govt.nz/publication/proposed-radiation-safety-regulations-consultation-document</w:t>
        </w:r>
      </w:hyperlink>
      <w:r w:rsidRPr="004844B3">
        <w:t xml:space="preserve"> (accessed 8 October 2021).</w:t>
      </w:r>
    </w:p>
  </w:footnote>
  <w:footnote w:id="4">
    <w:p w14:paraId="4EFCBBB6" w14:textId="77777777" w:rsidR="00D472E5" w:rsidRPr="00197BC7" w:rsidRDefault="00D472E5" w:rsidP="00197BC7">
      <w:pPr>
        <w:pStyle w:val="FootnoteText"/>
      </w:pPr>
      <w:r w:rsidRPr="00197BC7">
        <w:rPr>
          <w:rStyle w:val="FootnoteReference"/>
        </w:rPr>
        <w:footnoteRef/>
      </w:r>
      <w:r>
        <w:tab/>
      </w:r>
      <w:r w:rsidRPr="00197BC7">
        <w:t>Ministry of Health. 2016. Regulatory Impact Statement – Radiation Safety Regulations. Wellington: Ministry of Health. URL:</w:t>
      </w:r>
      <w:r>
        <w:rPr>
          <w:rFonts w:ascii="Georgia" w:hAnsi="Georgia"/>
          <w:sz w:val="16"/>
          <w:szCs w:val="16"/>
        </w:rPr>
        <w:t xml:space="preserve"> </w:t>
      </w:r>
      <w:hyperlink r:id="rId4" w:history="1">
        <w:r w:rsidRPr="00197BC7">
          <w:rPr>
            <w:rStyle w:val="Hyperlink"/>
          </w:rPr>
          <w:t>www.health.govt.nz/about-ministry/information-releases/regulatory-impact-statements/radiation-safety-regulations</w:t>
        </w:r>
      </w:hyperlink>
      <w:r w:rsidRPr="00197BC7">
        <w:t xml:space="preserve"> (accessed 8 October 2021).</w:t>
      </w:r>
    </w:p>
  </w:footnote>
  <w:footnote w:id="5">
    <w:p w14:paraId="50BA177F" w14:textId="77777777" w:rsidR="00D472E5" w:rsidRPr="00197BC7" w:rsidRDefault="00D472E5" w:rsidP="00197BC7">
      <w:pPr>
        <w:pStyle w:val="FootnoteText"/>
      </w:pPr>
      <w:r w:rsidRPr="00197BC7">
        <w:rPr>
          <w:rStyle w:val="FootnoteReference"/>
        </w:rPr>
        <w:footnoteRef/>
      </w:r>
      <w:r>
        <w:rPr>
          <w:shd w:val="clear" w:color="auto" w:fill="FFFFFF"/>
        </w:rPr>
        <w:tab/>
      </w:r>
      <w:r w:rsidRPr="00F434BC">
        <w:rPr>
          <w:shd w:val="clear" w:color="auto" w:fill="FFFFFF"/>
        </w:rPr>
        <w:t>The Office of the Auditor-General</w:t>
      </w:r>
      <w:r>
        <w:rPr>
          <w:shd w:val="clear" w:color="auto" w:fill="FFFFFF"/>
        </w:rPr>
        <w:t xml:space="preserve"> New Zealand.</w:t>
      </w:r>
      <w:r w:rsidRPr="00F434BC">
        <w:rPr>
          <w:shd w:val="clear" w:color="auto" w:fill="FFFFFF"/>
        </w:rPr>
        <w:t xml:space="preserve"> 2008</w:t>
      </w:r>
      <w:r>
        <w:rPr>
          <w:shd w:val="clear" w:color="auto" w:fill="FFFFFF"/>
        </w:rPr>
        <w:t>.</w:t>
      </w:r>
      <w:r w:rsidRPr="00F434BC">
        <w:rPr>
          <w:shd w:val="clear" w:color="auto" w:fill="FFFFFF"/>
        </w:rPr>
        <w:t xml:space="preserve"> </w:t>
      </w:r>
      <w:r>
        <w:rPr>
          <w:i/>
          <w:iCs/>
          <w:shd w:val="clear" w:color="auto" w:fill="FFFFFF"/>
        </w:rPr>
        <w:t xml:space="preserve">Good Practice Guide: </w:t>
      </w:r>
      <w:r w:rsidRPr="00F434BC">
        <w:rPr>
          <w:i/>
          <w:iCs/>
          <w:shd w:val="clear" w:color="auto" w:fill="FFFFFF"/>
        </w:rPr>
        <w:t xml:space="preserve">Charging Fees </w:t>
      </w:r>
      <w:r>
        <w:rPr>
          <w:i/>
          <w:iCs/>
          <w:shd w:val="clear" w:color="auto" w:fill="FFFFFF"/>
        </w:rPr>
        <w:t>f</w:t>
      </w:r>
      <w:r w:rsidRPr="00F434BC">
        <w:rPr>
          <w:i/>
          <w:iCs/>
          <w:shd w:val="clear" w:color="auto" w:fill="FFFFFF"/>
        </w:rPr>
        <w:t>or Public Sector Goods and Services</w:t>
      </w:r>
      <w:r>
        <w:rPr>
          <w:shd w:val="clear" w:color="auto" w:fill="FFFFFF"/>
        </w:rPr>
        <w:t xml:space="preserve">. Wellington: Controller and Auditor-General. URL: </w:t>
      </w:r>
      <w:r w:rsidRPr="00197BC7">
        <w:rPr>
          <w:rStyle w:val="Hyperlink"/>
        </w:rPr>
        <w:t>www.</w:t>
      </w:r>
      <w:hyperlink r:id="rId5" w:history="1">
        <w:r w:rsidRPr="00197BC7">
          <w:rPr>
            <w:rStyle w:val="Hyperlink"/>
          </w:rPr>
          <w:t>oag.parliament.nz/2008/charging-fees/docs/charging-fees.pdf</w:t>
        </w:r>
      </w:hyperlink>
      <w:r w:rsidRPr="00197BC7">
        <w:t xml:space="preserve"> (accessed 8 October 2021).</w:t>
      </w:r>
    </w:p>
  </w:footnote>
  <w:footnote w:id="6">
    <w:p w14:paraId="0E244FF0" w14:textId="77777777" w:rsidR="00D472E5" w:rsidRPr="00197BC7" w:rsidRDefault="00D472E5" w:rsidP="00197BC7">
      <w:pPr>
        <w:pStyle w:val="FootnoteText"/>
      </w:pPr>
      <w:r w:rsidRPr="00197BC7">
        <w:rPr>
          <w:rStyle w:val="FootnoteReference"/>
        </w:rPr>
        <w:footnoteRef/>
      </w:r>
      <w:r>
        <w:tab/>
      </w:r>
      <w:r w:rsidRPr="00F434BC">
        <w:t>The Treasury</w:t>
      </w:r>
      <w:r>
        <w:t>.</w:t>
      </w:r>
      <w:r w:rsidRPr="00F434BC">
        <w:t xml:space="preserve"> 2017</w:t>
      </w:r>
      <w:r>
        <w:t xml:space="preserve">. </w:t>
      </w:r>
      <w:r w:rsidRPr="00F434BC">
        <w:rPr>
          <w:i/>
          <w:iCs/>
        </w:rPr>
        <w:t>Guidelines for Setting Charges in the Public Sector</w:t>
      </w:r>
      <w:r>
        <w:rPr>
          <w:i/>
          <w:iCs/>
        </w:rPr>
        <w:t xml:space="preserve"> [2017].</w:t>
      </w:r>
      <w:r>
        <w:t xml:space="preserve"> Wellington: The Treasury. URL: </w:t>
      </w:r>
      <w:hyperlink r:id="rId6" w:history="1">
        <w:r w:rsidRPr="00197BC7">
          <w:rPr>
            <w:rStyle w:val="Hyperlink"/>
          </w:rPr>
          <w:t>www.treasury.govt.nz/publications/guidance/planning/charges</w:t>
        </w:r>
        <w:r w:rsidRPr="00197BC7">
          <w:t xml:space="preserve"> (accessed 8 October 2021).</w:t>
        </w:r>
      </w:hyperlink>
    </w:p>
  </w:footnote>
  <w:footnote w:id="7">
    <w:p w14:paraId="221B53C6" w14:textId="4F67E250" w:rsidR="00D472E5" w:rsidRPr="00672C25" w:rsidRDefault="00D472E5" w:rsidP="00217668">
      <w:pPr>
        <w:pStyle w:val="FootnoteText"/>
        <w:rPr>
          <w:bCs/>
        </w:rPr>
      </w:pPr>
      <w:r w:rsidRPr="00217668">
        <w:rPr>
          <w:rStyle w:val="FootnoteReference"/>
        </w:rPr>
        <w:footnoteRef/>
      </w:r>
      <w:r>
        <w:tab/>
      </w:r>
      <w:r w:rsidRPr="00D318EC">
        <w:t>PricewaterhouseCoopers New Zealand. 2021</w:t>
      </w:r>
      <w:r w:rsidRPr="00D318EC">
        <w:rPr>
          <w:i/>
          <w:iCs/>
        </w:rPr>
        <w:t>. ORS Fees Model Test</w:t>
      </w:r>
      <w:r w:rsidRPr="00D318EC">
        <w:t xml:space="preserve">: </w:t>
      </w:r>
      <w:r w:rsidR="008C7DB2">
        <w:t>Wellington</w:t>
      </w:r>
      <w:r>
        <w:t xml:space="preserve">: </w:t>
      </w:r>
      <w:r w:rsidR="008C7DB2">
        <w:t>Ministry of Health</w:t>
      </w:r>
      <w:r>
        <w:t>. URL:</w:t>
      </w:r>
      <w:r w:rsidRPr="00D318EC">
        <w:t xml:space="preserve"> </w:t>
      </w:r>
      <w:bookmarkStart w:id="16" w:name="_Hlk97302260"/>
      <w:r w:rsidR="00A74B7D">
        <w:fldChar w:fldCharType="begin"/>
      </w:r>
      <w:r w:rsidR="00A74B7D">
        <w:instrText xml:space="preserve"> HYPERLINK "https://www.health.govt.nz/publication/review-radiation-safety-fees-and-regulations" </w:instrText>
      </w:r>
      <w:r w:rsidR="00A74B7D">
        <w:fldChar w:fldCharType="separate"/>
      </w:r>
      <w:r w:rsidR="0051411A" w:rsidRPr="00A74B7D">
        <w:rPr>
          <w:rStyle w:val="Hyperlink"/>
        </w:rPr>
        <w:t>https://www.health.govt.nz/publication/review-radiation-safety-fees-and-regulations</w:t>
      </w:r>
      <w:bookmarkEnd w:id="16"/>
      <w:r w:rsidR="00A74B7D">
        <w:fldChar w:fldCharType="end"/>
      </w:r>
      <w:r w:rsidR="00AB5858">
        <w:t xml:space="preserve"> (accessed </w:t>
      </w:r>
      <w:r w:rsidR="00704088">
        <w:t>16 March 2022</w:t>
      </w:r>
      <w:r w:rsidR="00AB5858">
        <w:t>)</w:t>
      </w:r>
      <w:hyperlink w:history="1"/>
      <w:r w:rsidR="00672C25">
        <w:rPr>
          <w:bCs/>
          <w:lang w:eastAsia="en-US"/>
        </w:rPr>
        <w:t>.</w:t>
      </w:r>
    </w:p>
  </w:footnote>
  <w:footnote w:id="8">
    <w:p w14:paraId="0D69A581" w14:textId="77777777" w:rsidR="00D472E5" w:rsidRPr="005B5BE2" w:rsidRDefault="00D472E5" w:rsidP="005B5BE2">
      <w:pPr>
        <w:pStyle w:val="FootnoteText"/>
      </w:pPr>
      <w:r w:rsidRPr="005B5BE2">
        <w:rPr>
          <w:rStyle w:val="FootnoteReference"/>
        </w:rPr>
        <w:footnoteRef/>
      </w:r>
      <w:r>
        <w:rPr>
          <w:sz w:val="16"/>
          <w:szCs w:val="16"/>
        </w:rPr>
        <w:tab/>
        <w:t>Ministry of Health. 2016.</w:t>
      </w:r>
      <w:r w:rsidRPr="00F434BC">
        <w:rPr>
          <w:sz w:val="16"/>
          <w:szCs w:val="16"/>
        </w:rPr>
        <w:t xml:space="preserve"> </w:t>
      </w:r>
      <w:r w:rsidRPr="00F434BC">
        <w:rPr>
          <w:i/>
          <w:iCs/>
          <w:sz w:val="16"/>
          <w:szCs w:val="16"/>
        </w:rPr>
        <w:t>Regulatory Impact Statement – Radiation Safety Regulations</w:t>
      </w:r>
      <w:r>
        <w:rPr>
          <w:sz w:val="16"/>
          <w:szCs w:val="16"/>
        </w:rPr>
        <w:t xml:space="preserve">. Wellington: Ministry of Health. URL: </w:t>
      </w:r>
      <w:hyperlink r:id="rId7" w:history="1">
        <w:r w:rsidRPr="005B5BE2">
          <w:rPr>
            <w:rStyle w:val="Hyperlink"/>
          </w:rPr>
          <w:t>www.health.govt.nz/about-ministry/information-releases/regulatory-impact-statements/radiation-safety-regulations</w:t>
        </w:r>
      </w:hyperlink>
      <w:r w:rsidRPr="005B5BE2">
        <w:t xml:space="preserve"> (accessed 8 October 2021).</w:t>
      </w:r>
    </w:p>
  </w:footnote>
  <w:footnote w:id="9">
    <w:p w14:paraId="28FEFFC9" w14:textId="199DFF55" w:rsidR="00D472E5" w:rsidRDefault="00D472E5" w:rsidP="005B5BE2">
      <w:pPr>
        <w:pStyle w:val="FootnoteText"/>
      </w:pPr>
      <w:r w:rsidRPr="005B5BE2">
        <w:rPr>
          <w:rStyle w:val="FootnoteReference"/>
        </w:rPr>
        <w:footnoteRef/>
      </w:r>
      <w:r>
        <w:tab/>
      </w:r>
      <w:r w:rsidRPr="00D318EC">
        <w:t>PricewaterhouseCoopers New Zealand. 2021</w:t>
      </w:r>
      <w:r w:rsidRPr="00D318EC">
        <w:rPr>
          <w:i/>
          <w:iCs/>
        </w:rPr>
        <w:t>. ORS Fees Model Test</w:t>
      </w:r>
      <w:r>
        <w:t>.</w:t>
      </w:r>
      <w:r w:rsidR="00672C25">
        <w:t xml:space="preserve"> </w:t>
      </w:r>
      <w:r w:rsidR="004A682F">
        <w:t>Wellington</w:t>
      </w:r>
      <w:r>
        <w:t>:</w:t>
      </w:r>
      <w:r w:rsidRPr="00D318EC">
        <w:t xml:space="preserve"> </w:t>
      </w:r>
      <w:r w:rsidR="004A682F">
        <w:t>Ministry of Health</w:t>
      </w:r>
      <w:r>
        <w:t>. URL:</w:t>
      </w:r>
      <w:r w:rsidR="00672C25">
        <w:rPr>
          <w:lang w:eastAsia="en-US"/>
        </w:rPr>
        <w:t xml:space="preserve"> </w:t>
      </w:r>
      <w:hyperlink r:id="rId8" w:history="1">
        <w:r w:rsidR="00672C25" w:rsidRPr="00A74B7D">
          <w:rPr>
            <w:rStyle w:val="Hyperlink"/>
          </w:rPr>
          <w:t>https://www.health.govt.nz/publication/review-radiation-safety-fees-and-regulations</w:t>
        </w:r>
      </w:hyperlink>
      <w:r w:rsidR="00AB5858">
        <w:t xml:space="preserve"> (accessed </w:t>
      </w:r>
      <w:r w:rsidR="00704088">
        <w:t>16 March 2022</w:t>
      </w:r>
      <w:r w:rsidR="00AB5858">
        <w:t>)</w:t>
      </w:r>
      <w:r w:rsidR="00672C25">
        <w:rPr>
          <w:lang w:eastAsia="en-US"/>
        </w:rPr>
        <w:t>.</w:t>
      </w:r>
    </w:p>
  </w:footnote>
  <w:footnote w:id="10">
    <w:p w14:paraId="59A78527" w14:textId="77777777" w:rsidR="00D472E5" w:rsidRDefault="00D472E5" w:rsidP="005B5BE2">
      <w:pPr>
        <w:pStyle w:val="FootnoteText"/>
      </w:pPr>
      <w:r w:rsidRPr="005B5BE2">
        <w:rPr>
          <w:rStyle w:val="FootnoteReference"/>
        </w:rPr>
        <w:footnoteRef/>
      </w:r>
      <w:r>
        <w:tab/>
      </w:r>
      <w:r w:rsidRPr="00F434BC">
        <w:t>The Treasury</w:t>
      </w:r>
      <w:r>
        <w:t>.</w:t>
      </w:r>
      <w:r w:rsidRPr="00F434BC">
        <w:t xml:space="preserve"> 2017</w:t>
      </w:r>
      <w:r>
        <w:t xml:space="preserve">. </w:t>
      </w:r>
      <w:r w:rsidRPr="00F434BC">
        <w:rPr>
          <w:i/>
          <w:iCs/>
        </w:rPr>
        <w:t>Guidelines for Setting Charges in the Public Sector</w:t>
      </w:r>
      <w:r>
        <w:rPr>
          <w:i/>
          <w:iCs/>
        </w:rPr>
        <w:t xml:space="preserve"> [2017]. </w:t>
      </w:r>
      <w:r>
        <w:t xml:space="preserve">Wellington: The Treasury. URL: </w:t>
      </w:r>
      <w:hyperlink r:id="rId9" w:history="1">
        <w:r w:rsidRPr="005B5BE2">
          <w:rPr>
            <w:rStyle w:val="Hyperlink"/>
          </w:rPr>
          <w:t>www.treasury.govt.nz/publications/guidance/planning/charges</w:t>
        </w:r>
        <w:r w:rsidRPr="005B5BE2">
          <w:t xml:space="preserve"> (accessed 8 October 2021).</w:t>
        </w:r>
      </w:hyperlink>
    </w:p>
  </w:footnote>
  <w:footnote w:id="11">
    <w:p w14:paraId="0AAC1FC8" w14:textId="77777777" w:rsidR="00D472E5" w:rsidRPr="0087667B" w:rsidRDefault="00D472E5" w:rsidP="001A5D81">
      <w:pPr>
        <w:pStyle w:val="FootnoteText"/>
      </w:pPr>
      <w:r w:rsidRPr="001A5D81">
        <w:rPr>
          <w:rStyle w:val="FootnoteReference"/>
        </w:rPr>
        <w:footnoteRef/>
      </w:r>
      <w:r>
        <w:tab/>
      </w:r>
      <w:r w:rsidRPr="0087667B">
        <w:t xml:space="preserve">Ministry of Health. 2020. </w:t>
      </w:r>
      <w:r w:rsidRPr="0087667B">
        <w:rPr>
          <w:i/>
          <w:iCs/>
        </w:rPr>
        <w:t xml:space="preserve">Code of Practice for Irradiating Apparatus: ORS C10. </w:t>
      </w:r>
      <w:r w:rsidRPr="0087667B">
        <w:t xml:space="preserve">Wellington: Ministry of Health. URL: </w:t>
      </w:r>
      <w:hyperlink r:id="rId10" w:history="1">
        <w:r w:rsidRPr="0087667B">
          <w:rPr>
            <w:rStyle w:val="Hyperlink"/>
          </w:rPr>
          <w:t>www.health.govt.nz/system/files/documents/publications/code-of-practice-irradiating-apparatus-ors-c10-30june2020.pdf</w:t>
        </w:r>
      </w:hyperlink>
      <w:r w:rsidRPr="0087667B">
        <w:t xml:space="preserve"> (accessed 11 October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4A0" w:firstRow="1" w:lastRow="0" w:firstColumn="1" w:lastColumn="0" w:noHBand="0" w:noVBand="1"/>
    </w:tblPr>
    <w:tblGrid>
      <w:gridCol w:w="5210"/>
      <w:gridCol w:w="4429"/>
    </w:tblGrid>
    <w:tr w:rsidR="00D472E5" w14:paraId="2F3F0426" w14:textId="77777777" w:rsidTr="005A79E5">
      <w:trPr>
        <w:cantSplit/>
      </w:trPr>
      <w:tc>
        <w:tcPr>
          <w:tcW w:w="5210" w:type="dxa"/>
        </w:tcPr>
        <w:p w14:paraId="63F1394E" w14:textId="77777777" w:rsidR="00D472E5" w:rsidRDefault="00D472E5" w:rsidP="008814E8">
          <w:pPr>
            <w:pStyle w:val="Header"/>
          </w:pPr>
          <w:r>
            <w:rPr>
              <w:noProof/>
              <w:lang w:eastAsia="en-NZ"/>
            </w:rPr>
            <w:drawing>
              <wp:inline distT="0" distB="0" distL="0" distR="0" wp14:anchorId="26A5A5C8" wp14:editId="64B6CDDC">
                <wp:extent cx="1395076" cy="573578"/>
                <wp:effectExtent l="0" t="0" r="0" b="0"/>
                <wp:docPr id="5" name="Picture 5"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inistry of Health logo"/>
                        <pic:cNvPicPr/>
                      </pic:nvPicPr>
                      <pic:blipFill rotWithShape="1">
                        <a:blip r:embed="rId1" cstate="print">
                          <a:extLst>
                            <a:ext uri="{28A0092B-C50C-407E-A947-70E740481C1C}">
                              <a14:useLocalDpi xmlns:a14="http://schemas.microsoft.com/office/drawing/2010/main" val="0"/>
                            </a:ext>
                          </a:extLst>
                        </a:blip>
                        <a:srcRect l="7327" t="15285" r="7327" b="13946"/>
                        <a:stretch/>
                      </pic:blipFill>
                      <pic:spPr bwMode="auto">
                        <a:xfrm>
                          <a:off x="0" y="0"/>
                          <a:ext cx="1397853" cy="574720"/>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383047CB" w14:textId="77777777" w:rsidR="00D472E5" w:rsidRDefault="00D472E5" w:rsidP="008814E8">
          <w:pPr>
            <w:pStyle w:val="Header"/>
            <w:jc w:val="right"/>
          </w:pPr>
          <w:r>
            <w:rPr>
              <w:noProof/>
              <w:lang w:eastAsia="en-NZ"/>
            </w:rPr>
            <w:drawing>
              <wp:inline distT="0" distB="0" distL="0" distR="0" wp14:anchorId="0F9A94C4" wp14:editId="6B905F02">
                <wp:extent cx="1720735" cy="177135"/>
                <wp:effectExtent l="0" t="0" r="0" b="0"/>
                <wp:docPr id="6" name="Picture 6"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New Zealand Government logo"/>
                        <pic:cNvPicPr/>
                      </pic:nvPicPr>
                      <pic:blipFill>
                        <a:blip r:embed="rId2">
                          <a:extLst>
                            <a:ext uri="{28A0092B-C50C-407E-A947-70E740481C1C}">
                              <a14:useLocalDpi xmlns:a14="http://schemas.microsoft.com/office/drawing/2010/main" val="0"/>
                            </a:ext>
                          </a:extLst>
                        </a:blip>
                        <a:stretch>
                          <a:fillRect/>
                        </a:stretch>
                      </pic:blipFill>
                      <pic:spPr>
                        <a:xfrm>
                          <a:off x="0" y="0"/>
                          <a:ext cx="1718896" cy="176946"/>
                        </a:xfrm>
                        <a:prstGeom prst="rect">
                          <a:avLst/>
                        </a:prstGeom>
                      </pic:spPr>
                    </pic:pic>
                  </a:graphicData>
                </a:graphic>
              </wp:inline>
            </w:drawing>
          </w:r>
        </w:p>
      </w:tc>
    </w:tr>
  </w:tbl>
  <w:p w14:paraId="1F8EF1A2" w14:textId="77777777" w:rsidR="00D472E5" w:rsidRDefault="00D472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3C357" w14:textId="77777777" w:rsidR="00D472E5" w:rsidRDefault="00D472E5" w:rsidP="00533B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86EBD" w14:textId="77777777" w:rsidR="00D472E5" w:rsidRDefault="00D472E5" w:rsidP="00900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817C7"/>
    <w:multiLevelType w:val="multilevel"/>
    <w:tmpl w:val="7A1E5B02"/>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pStyle w:val="Heading3"/>
      <w:suff w:val="nothing"/>
      <w:lvlText w:val="%3"/>
      <w:lvlJc w:val="left"/>
      <w:pPr>
        <w:ind w:left="0" w:firstLine="0"/>
      </w:pPr>
      <w:rPr>
        <w:rFonts w:hint="default"/>
      </w:rPr>
    </w:lvl>
    <w:lvl w:ilvl="3">
      <w:start w:val="1"/>
      <w:numFmt w:val="decimal"/>
      <w:pStyle w:val="Number"/>
      <w:lvlText w:val="%4."/>
      <w:lvlJc w:val="left"/>
      <w:pPr>
        <w:ind w:left="567" w:hanging="567"/>
      </w:pPr>
      <w:rPr>
        <w:rFonts w:hint="default"/>
      </w:rPr>
    </w:lvl>
    <w:lvl w:ilvl="4">
      <w:start w:val="1"/>
      <w:numFmt w:val="lowerLetter"/>
      <w:pStyle w:val="Numb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C6034D"/>
    <w:multiLevelType w:val="multilevel"/>
    <w:tmpl w:val="9E4AE93E"/>
    <w:lvl w:ilvl="0">
      <w:start w:val="1"/>
      <w:numFmt w:val="decimal"/>
      <w:pStyle w:val="Heading1"/>
      <w:lvlText w:val="%1"/>
      <w:lvlJc w:val="left"/>
      <w:pPr>
        <w:ind w:left="992" w:hanging="992"/>
      </w:pPr>
      <w:rPr>
        <w:rFonts w:hint="default"/>
      </w:rPr>
    </w:lvl>
    <w:lvl w:ilvl="1">
      <w:start w:val="1"/>
      <w:numFmt w:val="decimal"/>
      <w:pStyle w:val="Heading2"/>
      <w:lvlText w:val="%1.%2"/>
      <w:lvlJc w:val="left"/>
      <w:pPr>
        <w:ind w:left="992" w:hanging="992"/>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7434CC9"/>
    <w:multiLevelType w:val="hybridMultilevel"/>
    <w:tmpl w:val="D688A5A6"/>
    <w:lvl w:ilvl="0" w:tplc="D8328E62">
      <w:start w:val="1"/>
      <w:numFmt w:val="decimal"/>
      <w:lvlText w:val="%1."/>
      <w:lvlJc w:val="left"/>
      <w:pPr>
        <w:ind w:left="720" w:hanging="360"/>
      </w:pPr>
      <w:rPr>
        <w:rFonts w:cstheme="minorBidi" w:hint="default"/>
        <w:sz w:val="16"/>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6A9E08A6"/>
    <w:multiLevelType w:val="hybridMultilevel"/>
    <w:tmpl w:val="8CCCFE34"/>
    <w:lvl w:ilvl="0" w:tplc="681C4F82">
      <w:start w:val="1"/>
      <w:numFmt w:val="decimal"/>
      <w:pStyle w:val="BoxNumber"/>
      <w:lvlText w:val="%1"/>
      <w:lvlJc w:val="left"/>
      <w:pPr>
        <w:ind w:left="644" w:hanging="360"/>
      </w:pPr>
      <w:rPr>
        <w:rFonts w:hint="default"/>
      </w:rPr>
    </w:lvl>
    <w:lvl w:ilvl="1" w:tplc="14090019" w:tentative="1">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7" w15:restartNumberingAfterBreak="0">
    <w:nsid w:val="7C1218D3"/>
    <w:multiLevelType w:val="singleLevel"/>
    <w:tmpl w:val="F9C47940"/>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7"/>
  </w:num>
  <w:num w:numId="2">
    <w:abstractNumId w:val="2"/>
  </w:num>
  <w:num w:numId="3">
    <w:abstractNumId w:val="3"/>
  </w:num>
  <w:num w:numId="4">
    <w:abstractNumId w:val="1"/>
  </w:num>
  <w:num w:numId="5">
    <w:abstractNumId w:val="0"/>
  </w:num>
  <w:num w:numId="6">
    <w:abstractNumId w:val="5"/>
  </w:num>
  <w:num w:numId="7">
    <w:abstractNumId w:val="4"/>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025B8"/>
    <w:rsid w:val="00005BB5"/>
    <w:rsid w:val="00011AC0"/>
    <w:rsid w:val="00013DA9"/>
    <w:rsid w:val="00025A6F"/>
    <w:rsid w:val="0002618D"/>
    <w:rsid w:val="00027D5A"/>
    <w:rsid w:val="00030B26"/>
    <w:rsid w:val="00030E84"/>
    <w:rsid w:val="00031E2A"/>
    <w:rsid w:val="00032C0A"/>
    <w:rsid w:val="00033AD0"/>
    <w:rsid w:val="00035257"/>
    <w:rsid w:val="00035D68"/>
    <w:rsid w:val="00036027"/>
    <w:rsid w:val="000409E7"/>
    <w:rsid w:val="000419A9"/>
    <w:rsid w:val="000446AA"/>
    <w:rsid w:val="00045613"/>
    <w:rsid w:val="00047899"/>
    <w:rsid w:val="00053921"/>
    <w:rsid w:val="00054B44"/>
    <w:rsid w:val="0006006B"/>
    <w:rsid w:val="0006228D"/>
    <w:rsid w:val="00072BD6"/>
    <w:rsid w:val="000736EE"/>
    <w:rsid w:val="00075B78"/>
    <w:rsid w:val="000763E9"/>
    <w:rsid w:val="00082CD6"/>
    <w:rsid w:val="0008437D"/>
    <w:rsid w:val="00085AFE"/>
    <w:rsid w:val="00094800"/>
    <w:rsid w:val="000A0158"/>
    <w:rsid w:val="000A373D"/>
    <w:rsid w:val="000A41ED"/>
    <w:rsid w:val="000A4728"/>
    <w:rsid w:val="000B0730"/>
    <w:rsid w:val="000C6582"/>
    <w:rsid w:val="000D19F4"/>
    <w:rsid w:val="000D58DD"/>
    <w:rsid w:val="000F1F42"/>
    <w:rsid w:val="000F2AE2"/>
    <w:rsid w:val="000F2BFF"/>
    <w:rsid w:val="00102063"/>
    <w:rsid w:val="00102E5E"/>
    <w:rsid w:val="0010541C"/>
    <w:rsid w:val="00105770"/>
    <w:rsid w:val="00106F93"/>
    <w:rsid w:val="00111D50"/>
    <w:rsid w:val="00113B8E"/>
    <w:rsid w:val="00117F59"/>
    <w:rsid w:val="0012053C"/>
    <w:rsid w:val="00122363"/>
    <w:rsid w:val="00123EB5"/>
    <w:rsid w:val="00125D45"/>
    <w:rsid w:val="001312BB"/>
    <w:rsid w:val="001342C7"/>
    <w:rsid w:val="0013585C"/>
    <w:rsid w:val="0014044E"/>
    <w:rsid w:val="00142261"/>
    <w:rsid w:val="00142954"/>
    <w:rsid w:val="00143CFC"/>
    <w:rsid w:val="001460E0"/>
    <w:rsid w:val="001472F0"/>
    <w:rsid w:val="00147F71"/>
    <w:rsid w:val="00150A6E"/>
    <w:rsid w:val="00155644"/>
    <w:rsid w:val="0016304B"/>
    <w:rsid w:val="0016318F"/>
    <w:rsid w:val="0016468A"/>
    <w:rsid w:val="0017070E"/>
    <w:rsid w:val="00174F02"/>
    <w:rsid w:val="0018376C"/>
    <w:rsid w:val="0018662D"/>
    <w:rsid w:val="00197427"/>
    <w:rsid w:val="00197BC7"/>
    <w:rsid w:val="001A21B4"/>
    <w:rsid w:val="001A5CF5"/>
    <w:rsid w:val="001A5D81"/>
    <w:rsid w:val="001B39D2"/>
    <w:rsid w:val="001B4BF8"/>
    <w:rsid w:val="001B7B14"/>
    <w:rsid w:val="001C4326"/>
    <w:rsid w:val="001C665E"/>
    <w:rsid w:val="001C7D93"/>
    <w:rsid w:val="001D3541"/>
    <w:rsid w:val="001D3E4E"/>
    <w:rsid w:val="001E0952"/>
    <w:rsid w:val="001E254A"/>
    <w:rsid w:val="001E7386"/>
    <w:rsid w:val="001F10DF"/>
    <w:rsid w:val="001F14E9"/>
    <w:rsid w:val="001F37E1"/>
    <w:rsid w:val="001F45A7"/>
    <w:rsid w:val="001F5E27"/>
    <w:rsid w:val="0020027C"/>
    <w:rsid w:val="00201A01"/>
    <w:rsid w:val="00202A51"/>
    <w:rsid w:val="0020754B"/>
    <w:rsid w:val="002104D3"/>
    <w:rsid w:val="002129BC"/>
    <w:rsid w:val="00213A33"/>
    <w:rsid w:val="0021763B"/>
    <w:rsid w:val="00217668"/>
    <w:rsid w:val="00232E9F"/>
    <w:rsid w:val="00232F0B"/>
    <w:rsid w:val="00234C97"/>
    <w:rsid w:val="00245748"/>
    <w:rsid w:val="00246DB1"/>
    <w:rsid w:val="002476B5"/>
    <w:rsid w:val="002520CC"/>
    <w:rsid w:val="00253ECF"/>
    <w:rsid w:val="00254044"/>
    <w:rsid w:val="002546A1"/>
    <w:rsid w:val="00256FE7"/>
    <w:rsid w:val="002575E8"/>
    <w:rsid w:val="00257EF1"/>
    <w:rsid w:val="002628F4"/>
    <w:rsid w:val="00275D08"/>
    <w:rsid w:val="002839AF"/>
    <w:rsid w:val="002858E3"/>
    <w:rsid w:val="0029190A"/>
    <w:rsid w:val="00292C5A"/>
    <w:rsid w:val="00295241"/>
    <w:rsid w:val="002A4DFC"/>
    <w:rsid w:val="002B047D"/>
    <w:rsid w:val="002B2970"/>
    <w:rsid w:val="002B732B"/>
    <w:rsid w:val="002B76A7"/>
    <w:rsid w:val="002B7BEC"/>
    <w:rsid w:val="002C2219"/>
    <w:rsid w:val="002C2552"/>
    <w:rsid w:val="002C3106"/>
    <w:rsid w:val="002C380A"/>
    <w:rsid w:val="002D0DF2"/>
    <w:rsid w:val="002D23BD"/>
    <w:rsid w:val="002E0B47"/>
    <w:rsid w:val="002E64B7"/>
    <w:rsid w:val="002F3A0D"/>
    <w:rsid w:val="002F4685"/>
    <w:rsid w:val="002F7213"/>
    <w:rsid w:val="0030382F"/>
    <w:rsid w:val="0030408D"/>
    <w:rsid w:val="00305136"/>
    <w:rsid w:val="003060E4"/>
    <w:rsid w:val="003160E7"/>
    <w:rsid w:val="0031739E"/>
    <w:rsid w:val="00317DA3"/>
    <w:rsid w:val="003212F4"/>
    <w:rsid w:val="00321381"/>
    <w:rsid w:val="003235C6"/>
    <w:rsid w:val="003309CA"/>
    <w:rsid w:val="003325AB"/>
    <w:rsid w:val="003332D1"/>
    <w:rsid w:val="0033412B"/>
    <w:rsid w:val="0033448B"/>
    <w:rsid w:val="00340B60"/>
    <w:rsid w:val="00341161"/>
    <w:rsid w:val="00343365"/>
    <w:rsid w:val="003445F4"/>
    <w:rsid w:val="00353501"/>
    <w:rsid w:val="00353734"/>
    <w:rsid w:val="003538D4"/>
    <w:rsid w:val="003574F1"/>
    <w:rsid w:val="003606F8"/>
    <w:rsid w:val="003648EF"/>
    <w:rsid w:val="003673E6"/>
    <w:rsid w:val="00377264"/>
    <w:rsid w:val="003779D2"/>
    <w:rsid w:val="00381210"/>
    <w:rsid w:val="00384DD3"/>
    <w:rsid w:val="00384F9F"/>
    <w:rsid w:val="00385E38"/>
    <w:rsid w:val="003A26A5"/>
    <w:rsid w:val="003A3761"/>
    <w:rsid w:val="003A512D"/>
    <w:rsid w:val="003A5600"/>
    <w:rsid w:val="003A5FEA"/>
    <w:rsid w:val="003A710B"/>
    <w:rsid w:val="003B1D10"/>
    <w:rsid w:val="003B7E58"/>
    <w:rsid w:val="003C0782"/>
    <w:rsid w:val="003C310C"/>
    <w:rsid w:val="003C76D4"/>
    <w:rsid w:val="003D137D"/>
    <w:rsid w:val="003D2CC5"/>
    <w:rsid w:val="003D3E5C"/>
    <w:rsid w:val="003E04C1"/>
    <w:rsid w:val="003E0887"/>
    <w:rsid w:val="003E15A6"/>
    <w:rsid w:val="003E74C8"/>
    <w:rsid w:val="003E74E2"/>
    <w:rsid w:val="003E7C46"/>
    <w:rsid w:val="003F2106"/>
    <w:rsid w:val="003F52A7"/>
    <w:rsid w:val="003F7013"/>
    <w:rsid w:val="003F7F6A"/>
    <w:rsid w:val="0040240C"/>
    <w:rsid w:val="004039C7"/>
    <w:rsid w:val="00405036"/>
    <w:rsid w:val="00413021"/>
    <w:rsid w:val="00414C35"/>
    <w:rsid w:val="004171B7"/>
    <w:rsid w:val="004301C6"/>
    <w:rsid w:val="0043478F"/>
    <w:rsid w:val="0043602B"/>
    <w:rsid w:val="00436388"/>
    <w:rsid w:val="004367D2"/>
    <w:rsid w:val="00440BE0"/>
    <w:rsid w:val="00442A06"/>
    <w:rsid w:val="00442C1C"/>
    <w:rsid w:val="0044584B"/>
    <w:rsid w:val="00447CB7"/>
    <w:rsid w:val="00455CC9"/>
    <w:rsid w:val="00460826"/>
    <w:rsid w:val="00460B1E"/>
    <w:rsid w:val="00460EA7"/>
    <w:rsid w:val="0046195B"/>
    <w:rsid w:val="0046362D"/>
    <w:rsid w:val="0046596D"/>
    <w:rsid w:val="00476B21"/>
    <w:rsid w:val="00480C05"/>
    <w:rsid w:val="004852AB"/>
    <w:rsid w:val="00486383"/>
    <w:rsid w:val="00487C04"/>
    <w:rsid w:val="004907E1"/>
    <w:rsid w:val="00494C8E"/>
    <w:rsid w:val="00496300"/>
    <w:rsid w:val="00497B68"/>
    <w:rsid w:val="004A035B"/>
    <w:rsid w:val="004A2108"/>
    <w:rsid w:val="004A36C8"/>
    <w:rsid w:val="004A38D7"/>
    <w:rsid w:val="004A682F"/>
    <w:rsid w:val="004A778C"/>
    <w:rsid w:val="004B14DD"/>
    <w:rsid w:val="004B48C7"/>
    <w:rsid w:val="004C2E6A"/>
    <w:rsid w:val="004C64B8"/>
    <w:rsid w:val="004D2A2D"/>
    <w:rsid w:val="004D479F"/>
    <w:rsid w:val="004D6689"/>
    <w:rsid w:val="004E1D1D"/>
    <w:rsid w:val="004E7AC8"/>
    <w:rsid w:val="004F05F4"/>
    <w:rsid w:val="004F0C94"/>
    <w:rsid w:val="004F4E9A"/>
    <w:rsid w:val="004F5792"/>
    <w:rsid w:val="005019AE"/>
    <w:rsid w:val="00503749"/>
    <w:rsid w:val="00503D59"/>
    <w:rsid w:val="00504CF4"/>
    <w:rsid w:val="0050635B"/>
    <w:rsid w:val="005075B3"/>
    <w:rsid w:val="00511C1B"/>
    <w:rsid w:val="005120C3"/>
    <w:rsid w:val="005134AC"/>
    <w:rsid w:val="0051411A"/>
    <w:rsid w:val="005151C2"/>
    <w:rsid w:val="0051531A"/>
    <w:rsid w:val="00520BEE"/>
    <w:rsid w:val="005259CF"/>
    <w:rsid w:val="005275E8"/>
    <w:rsid w:val="005309FE"/>
    <w:rsid w:val="0053199F"/>
    <w:rsid w:val="00531E12"/>
    <w:rsid w:val="00533B90"/>
    <w:rsid w:val="00540CE9"/>
    <w:rsid w:val="005410F8"/>
    <w:rsid w:val="005448EC"/>
    <w:rsid w:val="00545963"/>
    <w:rsid w:val="00550256"/>
    <w:rsid w:val="00553165"/>
    <w:rsid w:val="00553958"/>
    <w:rsid w:val="005552A2"/>
    <w:rsid w:val="00556BB7"/>
    <w:rsid w:val="0055763D"/>
    <w:rsid w:val="00561516"/>
    <w:rsid w:val="005621F2"/>
    <w:rsid w:val="00567B58"/>
    <w:rsid w:val="00567EDC"/>
    <w:rsid w:val="00571223"/>
    <w:rsid w:val="00571494"/>
    <w:rsid w:val="00574F8C"/>
    <w:rsid w:val="005763E0"/>
    <w:rsid w:val="0058057A"/>
    <w:rsid w:val="00581136"/>
    <w:rsid w:val="00581EB8"/>
    <w:rsid w:val="005839E7"/>
    <w:rsid w:val="005840E7"/>
    <w:rsid w:val="0058437F"/>
    <w:rsid w:val="00594167"/>
    <w:rsid w:val="005945E1"/>
    <w:rsid w:val="00595889"/>
    <w:rsid w:val="00595A47"/>
    <w:rsid w:val="005A27CA"/>
    <w:rsid w:val="005A43BD"/>
    <w:rsid w:val="005A79E5"/>
    <w:rsid w:val="005B5BE2"/>
    <w:rsid w:val="005B7696"/>
    <w:rsid w:val="005C71CD"/>
    <w:rsid w:val="005D034C"/>
    <w:rsid w:val="005E226E"/>
    <w:rsid w:val="005E2636"/>
    <w:rsid w:val="005F20A7"/>
    <w:rsid w:val="006015D7"/>
    <w:rsid w:val="00601B21"/>
    <w:rsid w:val="006041F0"/>
    <w:rsid w:val="00605C6D"/>
    <w:rsid w:val="006120CA"/>
    <w:rsid w:val="0061443A"/>
    <w:rsid w:val="00624174"/>
    <w:rsid w:val="00626CF8"/>
    <w:rsid w:val="006314AF"/>
    <w:rsid w:val="00634003"/>
    <w:rsid w:val="00634ED8"/>
    <w:rsid w:val="00636D7D"/>
    <w:rsid w:val="00637408"/>
    <w:rsid w:val="00642868"/>
    <w:rsid w:val="00647AFE"/>
    <w:rsid w:val="00650417"/>
    <w:rsid w:val="006512BC"/>
    <w:rsid w:val="00653A5A"/>
    <w:rsid w:val="006554AC"/>
    <w:rsid w:val="00656F28"/>
    <w:rsid w:val="006575F4"/>
    <w:rsid w:val="006579E6"/>
    <w:rsid w:val="00660682"/>
    <w:rsid w:val="00660F74"/>
    <w:rsid w:val="00663EDC"/>
    <w:rsid w:val="00667421"/>
    <w:rsid w:val="00670CFF"/>
    <w:rsid w:val="00671078"/>
    <w:rsid w:val="00672C25"/>
    <w:rsid w:val="006758CA"/>
    <w:rsid w:val="00680A04"/>
    <w:rsid w:val="00686D80"/>
    <w:rsid w:val="00694895"/>
    <w:rsid w:val="00697E2E"/>
    <w:rsid w:val="006A150D"/>
    <w:rsid w:val="006A25A2"/>
    <w:rsid w:val="006A3B87"/>
    <w:rsid w:val="006B0A88"/>
    <w:rsid w:val="006B0E73"/>
    <w:rsid w:val="006B1E3D"/>
    <w:rsid w:val="006B4A4D"/>
    <w:rsid w:val="006B5695"/>
    <w:rsid w:val="006B62E6"/>
    <w:rsid w:val="006B7B2E"/>
    <w:rsid w:val="006C78EB"/>
    <w:rsid w:val="006D1660"/>
    <w:rsid w:val="006D3763"/>
    <w:rsid w:val="006D6164"/>
    <w:rsid w:val="006D63E5"/>
    <w:rsid w:val="006E1753"/>
    <w:rsid w:val="006E2886"/>
    <w:rsid w:val="006E3911"/>
    <w:rsid w:val="006E69F4"/>
    <w:rsid w:val="006F1B67"/>
    <w:rsid w:val="006F4D9C"/>
    <w:rsid w:val="0070091D"/>
    <w:rsid w:val="0070170C"/>
    <w:rsid w:val="00702854"/>
    <w:rsid w:val="00704088"/>
    <w:rsid w:val="00710E19"/>
    <w:rsid w:val="0071741C"/>
    <w:rsid w:val="00724248"/>
    <w:rsid w:val="00740C5E"/>
    <w:rsid w:val="00742B90"/>
    <w:rsid w:val="0074434D"/>
    <w:rsid w:val="00752E53"/>
    <w:rsid w:val="0075379E"/>
    <w:rsid w:val="007570C4"/>
    <w:rsid w:val="007605B8"/>
    <w:rsid w:val="00771B1E"/>
    <w:rsid w:val="0077309F"/>
    <w:rsid w:val="007732DF"/>
    <w:rsid w:val="00773C95"/>
    <w:rsid w:val="0078171E"/>
    <w:rsid w:val="0078658E"/>
    <w:rsid w:val="007920E2"/>
    <w:rsid w:val="0079566E"/>
    <w:rsid w:val="00795B34"/>
    <w:rsid w:val="007A067F"/>
    <w:rsid w:val="007A50CB"/>
    <w:rsid w:val="007B16E9"/>
    <w:rsid w:val="007B1770"/>
    <w:rsid w:val="007B4D3E"/>
    <w:rsid w:val="007B7C70"/>
    <w:rsid w:val="007B7DEB"/>
    <w:rsid w:val="007C0449"/>
    <w:rsid w:val="007C43B6"/>
    <w:rsid w:val="007D2151"/>
    <w:rsid w:val="007D3B90"/>
    <w:rsid w:val="007D42CC"/>
    <w:rsid w:val="007D5DE4"/>
    <w:rsid w:val="007D7C3A"/>
    <w:rsid w:val="007E0777"/>
    <w:rsid w:val="007E1341"/>
    <w:rsid w:val="007E1B41"/>
    <w:rsid w:val="007E1EC4"/>
    <w:rsid w:val="007E30B9"/>
    <w:rsid w:val="007E74F1"/>
    <w:rsid w:val="007F0F0C"/>
    <w:rsid w:val="007F1288"/>
    <w:rsid w:val="007F3E11"/>
    <w:rsid w:val="00800A8A"/>
    <w:rsid w:val="00800BD3"/>
    <w:rsid w:val="0080155C"/>
    <w:rsid w:val="008017B4"/>
    <w:rsid w:val="008052E1"/>
    <w:rsid w:val="008055EE"/>
    <w:rsid w:val="00805C9F"/>
    <w:rsid w:val="00811EEB"/>
    <w:rsid w:val="0082081A"/>
    <w:rsid w:val="00822F2C"/>
    <w:rsid w:val="00823DEE"/>
    <w:rsid w:val="0082418C"/>
    <w:rsid w:val="00826219"/>
    <w:rsid w:val="008305E8"/>
    <w:rsid w:val="00836165"/>
    <w:rsid w:val="008365B2"/>
    <w:rsid w:val="0084640C"/>
    <w:rsid w:val="00856088"/>
    <w:rsid w:val="00860826"/>
    <w:rsid w:val="00860E21"/>
    <w:rsid w:val="00863117"/>
    <w:rsid w:val="0086388B"/>
    <w:rsid w:val="008642E5"/>
    <w:rsid w:val="00864488"/>
    <w:rsid w:val="00870A36"/>
    <w:rsid w:val="00872D93"/>
    <w:rsid w:val="0087667B"/>
    <w:rsid w:val="00880470"/>
    <w:rsid w:val="00880D94"/>
    <w:rsid w:val="008814E8"/>
    <w:rsid w:val="00883258"/>
    <w:rsid w:val="008858A7"/>
    <w:rsid w:val="00886F64"/>
    <w:rsid w:val="008924DE"/>
    <w:rsid w:val="008A28A5"/>
    <w:rsid w:val="008A3755"/>
    <w:rsid w:val="008B19DC"/>
    <w:rsid w:val="008B264F"/>
    <w:rsid w:val="008B6F83"/>
    <w:rsid w:val="008B7FD8"/>
    <w:rsid w:val="008C2973"/>
    <w:rsid w:val="008C6324"/>
    <w:rsid w:val="008C64C4"/>
    <w:rsid w:val="008C7DB2"/>
    <w:rsid w:val="008D2CDD"/>
    <w:rsid w:val="008D74D5"/>
    <w:rsid w:val="008D7C9F"/>
    <w:rsid w:val="008E04BA"/>
    <w:rsid w:val="008E0ED1"/>
    <w:rsid w:val="008E2083"/>
    <w:rsid w:val="008E3A07"/>
    <w:rsid w:val="008E537B"/>
    <w:rsid w:val="008F29BE"/>
    <w:rsid w:val="008F47B1"/>
    <w:rsid w:val="008F4AE5"/>
    <w:rsid w:val="008F51EB"/>
    <w:rsid w:val="00900197"/>
    <w:rsid w:val="00902F55"/>
    <w:rsid w:val="0090582B"/>
    <w:rsid w:val="009060C0"/>
    <w:rsid w:val="009079BC"/>
    <w:rsid w:val="009133F5"/>
    <w:rsid w:val="0091756F"/>
    <w:rsid w:val="00920A27"/>
    <w:rsid w:val="00921216"/>
    <w:rsid w:val="009216CC"/>
    <w:rsid w:val="00922E41"/>
    <w:rsid w:val="00925892"/>
    <w:rsid w:val="00926083"/>
    <w:rsid w:val="00926D08"/>
    <w:rsid w:val="00930D08"/>
    <w:rsid w:val="00931466"/>
    <w:rsid w:val="0093169D"/>
    <w:rsid w:val="00932D69"/>
    <w:rsid w:val="009354FD"/>
    <w:rsid w:val="00935589"/>
    <w:rsid w:val="00937408"/>
    <w:rsid w:val="009427FA"/>
    <w:rsid w:val="00944647"/>
    <w:rsid w:val="009469E2"/>
    <w:rsid w:val="0095565C"/>
    <w:rsid w:val="009606AB"/>
    <w:rsid w:val="00964AB6"/>
    <w:rsid w:val="00966F9A"/>
    <w:rsid w:val="00970ED9"/>
    <w:rsid w:val="00976E3B"/>
    <w:rsid w:val="00977B8A"/>
    <w:rsid w:val="00982971"/>
    <w:rsid w:val="009845AD"/>
    <w:rsid w:val="00984835"/>
    <w:rsid w:val="009933EF"/>
    <w:rsid w:val="00995BA0"/>
    <w:rsid w:val="009A2D7D"/>
    <w:rsid w:val="009A418B"/>
    <w:rsid w:val="009A426F"/>
    <w:rsid w:val="009A42D5"/>
    <w:rsid w:val="009A4473"/>
    <w:rsid w:val="009B05C9"/>
    <w:rsid w:val="009B286C"/>
    <w:rsid w:val="009B641E"/>
    <w:rsid w:val="009B7E60"/>
    <w:rsid w:val="009C151C"/>
    <w:rsid w:val="009C1654"/>
    <w:rsid w:val="009C440A"/>
    <w:rsid w:val="009D2B45"/>
    <w:rsid w:val="009D5125"/>
    <w:rsid w:val="009D60B8"/>
    <w:rsid w:val="009D7D4B"/>
    <w:rsid w:val="009E36ED"/>
    <w:rsid w:val="009E3B47"/>
    <w:rsid w:val="009E3C8C"/>
    <w:rsid w:val="009E6B77"/>
    <w:rsid w:val="009F4372"/>
    <w:rsid w:val="009F460A"/>
    <w:rsid w:val="00A043FB"/>
    <w:rsid w:val="00A06BE4"/>
    <w:rsid w:val="00A0729C"/>
    <w:rsid w:val="00A073CF"/>
    <w:rsid w:val="00A07779"/>
    <w:rsid w:val="00A1166A"/>
    <w:rsid w:val="00A20B2E"/>
    <w:rsid w:val="00A24F33"/>
    <w:rsid w:val="00A25069"/>
    <w:rsid w:val="00A26E6B"/>
    <w:rsid w:val="00A3068F"/>
    <w:rsid w:val="00A3145B"/>
    <w:rsid w:val="00A339D0"/>
    <w:rsid w:val="00A3415C"/>
    <w:rsid w:val="00A41002"/>
    <w:rsid w:val="00A4201A"/>
    <w:rsid w:val="00A5465D"/>
    <w:rsid w:val="00A553CE"/>
    <w:rsid w:val="00A5677A"/>
    <w:rsid w:val="00A56DCC"/>
    <w:rsid w:val="00A60D59"/>
    <w:rsid w:val="00A625E8"/>
    <w:rsid w:val="00A63DFF"/>
    <w:rsid w:val="00A64496"/>
    <w:rsid w:val="00A6490D"/>
    <w:rsid w:val="00A67033"/>
    <w:rsid w:val="00A7415D"/>
    <w:rsid w:val="00A74B7D"/>
    <w:rsid w:val="00A763D9"/>
    <w:rsid w:val="00A80363"/>
    <w:rsid w:val="00A80939"/>
    <w:rsid w:val="00A83E9D"/>
    <w:rsid w:val="00A87C05"/>
    <w:rsid w:val="00A9169D"/>
    <w:rsid w:val="00A92E98"/>
    <w:rsid w:val="00A93598"/>
    <w:rsid w:val="00A97A3A"/>
    <w:rsid w:val="00AA240C"/>
    <w:rsid w:val="00AA496A"/>
    <w:rsid w:val="00AB0332"/>
    <w:rsid w:val="00AB5858"/>
    <w:rsid w:val="00AC101C"/>
    <w:rsid w:val="00AC57E3"/>
    <w:rsid w:val="00AD4CF1"/>
    <w:rsid w:val="00AD5988"/>
    <w:rsid w:val="00AD6293"/>
    <w:rsid w:val="00AE06AE"/>
    <w:rsid w:val="00AE1643"/>
    <w:rsid w:val="00AE16AF"/>
    <w:rsid w:val="00AE68F0"/>
    <w:rsid w:val="00AF372E"/>
    <w:rsid w:val="00AF4ACD"/>
    <w:rsid w:val="00AF7800"/>
    <w:rsid w:val="00B00CF5"/>
    <w:rsid w:val="00B0375F"/>
    <w:rsid w:val="00B072E0"/>
    <w:rsid w:val="00B1007E"/>
    <w:rsid w:val="00B11019"/>
    <w:rsid w:val="00B13D41"/>
    <w:rsid w:val="00B253F6"/>
    <w:rsid w:val="00B26675"/>
    <w:rsid w:val="00B305DB"/>
    <w:rsid w:val="00B332F8"/>
    <w:rsid w:val="00B3492B"/>
    <w:rsid w:val="00B4295C"/>
    <w:rsid w:val="00B4646F"/>
    <w:rsid w:val="00B46AD9"/>
    <w:rsid w:val="00B55585"/>
    <w:rsid w:val="00B55C7D"/>
    <w:rsid w:val="00B63038"/>
    <w:rsid w:val="00B64BD8"/>
    <w:rsid w:val="00B701D1"/>
    <w:rsid w:val="00B73AF2"/>
    <w:rsid w:val="00B73D79"/>
    <w:rsid w:val="00B7551A"/>
    <w:rsid w:val="00B75BB4"/>
    <w:rsid w:val="00B773F1"/>
    <w:rsid w:val="00B85ED6"/>
    <w:rsid w:val="00B86AB1"/>
    <w:rsid w:val="00B87726"/>
    <w:rsid w:val="00B9117B"/>
    <w:rsid w:val="00B91B22"/>
    <w:rsid w:val="00BA7EBA"/>
    <w:rsid w:val="00BB2A06"/>
    <w:rsid w:val="00BB2CBB"/>
    <w:rsid w:val="00BB3715"/>
    <w:rsid w:val="00BB4198"/>
    <w:rsid w:val="00BB5995"/>
    <w:rsid w:val="00BC03EE"/>
    <w:rsid w:val="00BC0D3A"/>
    <w:rsid w:val="00BC297D"/>
    <w:rsid w:val="00BC4D45"/>
    <w:rsid w:val="00BC59F1"/>
    <w:rsid w:val="00BC5AAC"/>
    <w:rsid w:val="00BD189B"/>
    <w:rsid w:val="00BD488E"/>
    <w:rsid w:val="00BE7132"/>
    <w:rsid w:val="00BF1E1D"/>
    <w:rsid w:val="00BF3DE1"/>
    <w:rsid w:val="00BF4843"/>
    <w:rsid w:val="00BF5205"/>
    <w:rsid w:val="00C03075"/>
    <w:rsid w:val="00C05132"/>
    <w:rsid w:val="00C12508"/>
    <w:rsid w:val="00C23728"/>
    <w:rsid w:val="00C3026C"/>
    <w:rsid w:val="00C313A9"/>
    <w:rsid w:val="00C347C8"/>
    <w:rsid w:val="00C358E4"/>
    <w:rsid w:val="00C406BA"/>
    <w:rsid w:val="00C418EE"/>
    <w:rsid w:val="00C441CF"/>
    <w:rsid w:val="00C45AA2"/>
    <w:rsid w:val="00C4792C"/>
    <w:rsid w:val="00C55BEF"/>
    <w:rsid w:val="00C57C00"/>
    <w:rsid w:val="00C601AF"/>
    <w:rsid w:val="00C61A63"/>
    <w:rsid w:val="00C62B5F"/>
    <w:rsid w:val="00C66296"/>
    <w:rsid w:val="00C7394D"/>
    <w:rsid w:val="00C742A0"/>
    <w:rsid w:val="00C756B7"/>
    <w:rsid w:val="00C77282"/>
    <w:rsid w:val="00C84DE5"/>
    <w:rsid w:val="00C86248"/>
    <w:rsid w:val="00C90B31"/>
    <w:rsid w:val="00C92E07"/>
    <w:rsid w:val="00CA0D6F"/>
    <w:rsid w:val="00CA29ED"/>
    <w:rsid w:val="00CA4C33"/>
    <w:rsid w:val="00CA6F4A"/>
    <w:rsid w:val="00CB3483"/>
    <w:rsid w:val="00CB6427"/>
    <w:rsid w:val="00CC0FBE"/>
    <w:rsid w:val="00CD077C"/>
    <w:rsid w:val="00CD2119"/>
    <w:rsid w:val="00CD237A"/>
    <w:rsid w:val="00CD36AC"/>
    <w:rsid w:val="00CE13A3"/>
    <w:rsid w:val="00CE1C03"/>
    <w:rsid w:val="00CE36BC"/>
    <w:rsid w:val="00CF1747"/>
    <w:rsid w:val="00CF4733"/>
    <w:rsid w:val="00CF4B8F"/>
    <w:rsid w:val="00CF60ED"/>
    <w:rsid w:val="00D05D74"/>
    <w:rsid w:val="00D20C59"/>
    <w:rsid w:val="00D23323"/>
    <w:rsid w:val="00D2392A"/>
    <w:rsid w:val="00D25FFE"/>
    <w:rsid w:val="00D26956"/>
    <w:rsid w:val="00D27922"/>
    <w:rsid w:val="00D27A64"/>
    <w:rsid w:val="00D37D80"/>
    <w:rsid w:val="00D442F3"/>
    <w:rsid w:val="00D44483"/>
    <w:rsid w:val="00D4476F"/>
    <w:rsid w:val="00D472E5"/>
    <w:rsid w:val="00D50573"/>
    <w:rsid w:val="00D53EA8"/>
    <w:rsid w:val="00D54D50"/>
    <w:rsid w:val="00D560B4"/>
    <w:rsid w:val="00D662F8"/>
    <w:rsid w:val="00D66797"/>
    <w:rsid w:val="00D7087C"/>
    <w:rsid w:val="00D70C3C"/>
    <w:rsid w:val="00D71DF7"/>
    <w:rsid w:val="00D72BE5"/>
    <w:rsid w:val="00D753BE"/>
    <w:rsid w:val="00D81462"/>
    <w:rsid w:val="00D82431"/>
    <w:rsid w:val="00D82F26"/>
    <w:rsid w:val="00D863D0"/>
    <w:rsid w:val="00D86B00"/>
    <w:rsid w:val="00D86FB9"/>
    <w:rsid w:val="00D87C87"/>
    <w:rsid w:val="00D90BB4"/>
    <w:rsid w:val="00D90E07"/>
    <w:rsid w:val="00D932C2"/>
    <w:rsid w:val="00DA0232"/>
    <w:rsid w:val="00DA7F9E"/>
    <w:rsid w:val="00DB39CF"/>
    <w:rsid w:val="00DB7256"/>
    <w:rsid w:val="00DC0401"/>
    <w:rsid w:val="00DC20BD"/>
    <w:rsid w:val="00DD0BCD"/>
    <w:rsid w:val="00DD447A"/>
    <w:rsid w:val="00DD68B8"/>
    <w:rsid w:val="00DE3B20"/>
    <w:rsid w:val="00DE4070"/>
    <w:rsid w:val="00DE6C94"/>
    <w:rsid w:val="00DE6FD7"/>
    <w:rsid w:val="00DE7D30"/>
    <w:rsid w:val="00DF0C7C"/>
    <w:rsid w:val="00E02465"/>
    <w:rsid w:val="00E10B18"/>
    <w:rsid w:val="00E23271"/>
    <w:rsid w:val="00E24F80"/>
    <w:rsid w:val="00E259F3"/>
    <w:rsid w:val="00E30985"/>
    <w:rsid w:val="00E33238"/>
    <w:rsid w:val="00E33934"/>
    <w:rsid w:val="00E376B7"/>
    <w:rsid w:val="00E42F5D"/>
    <w:rsid w:val="00E4486C"/>
    <w:rsid w:val="00E460B6"/>
    <w:rsid w:val="00E511D5"/>
    <w:rsid w:val="00E53A9F"/>
    <w:rsid w:val="00E556EF"/>
    <w:rsid w:val="00E57349"/>
    <w:rsid w:val="00E60249"/>
    <w:rsid w:val="00E62238"/>
    <w:rsid w:val="00E65269"/>
    <w:rsid w:val="00E65C00"/>
    <w:rsid w:val="00E66DA4"/>
    <w:rsid w:val="00E71F9A"/>
    <w:rsid w:val="00E76D66"/>
    <w:rsid w:val="00E82448"/>
    <w:rsid w:val="00E840AF"/>
    <w:rsid w:val="00E864FC"/>
    <w:rsid w:val="00E91015"/>
    <w:rsid w:val="00E9163C"/>
    <w:rsid w:val="00EA796A"/>
    <w:rsid w:val="00EB1856"/>
    <w:rsid w:val="00EB3714"/>
    <w:rsid w:val="00EC50CE"/>
    <w:rsid w:val="00EC5B34"/>
    <w:rsid w:val="00ED021E"/>
    <w:rsid w:val="00ED323C"/>
    <w:rsid w:val="00EE2D5C"/>
    <w:rsid w:val="00EE4ADE"/>
    <w:rsid w:val="00EE4DE8"/>
    <w:rsid w:val="00EE5CB7"/>
    <w:rsid w:val="00EF5037"/>
    <w:rsid w:val="00EF55FC"/>
    <w:rsid w:val="00F000BF"/>
    <w:rsid w:val="00F024FE"/>
    <w:rsid w:val="00F05AD4"/>
    <w:rsid w:val="00F103BE"/>
    <w:rsid w:val="00F10EB6"/>
    <w:rsid w:val="00F10FD3"/>
    <w:rsid w:val="00F11DBF"/>
    <w:rsid w:val="00F13F07"/>
    <w:rsid w:val="00F140B2"/>
    <w:rsid w:val="00F16595"/>
    <w:rsid w:val="00F219FC"/>
    <w:rsid w:val="00F25970"/>
    <w:rsid w:val="00F311A9"/>
    <w:rsid w:val="00F31343"/>
    <w:rsid w:val="00F37381"/>
    <w:rsid w:val="00F42F94"/>
    <w:rsid w:val="00F5180D"/>
    <w:rsid w:val="00F54E74"/>
    <w:rsid w:val="00F63781"/>
    <w:rsid w:val="00F67496"/>
    <w:rsid w:val="00F7421E"/>
    <w:rsid w:val="00F801BA"/>
    <w:rsid w:val="00F807AD"/>
    <w:rsid w:val="00F87C4D"/>
    <w:rsid w:val="00F9366A"/>
    <w:rsid w:val="00F946C9"/>
    <w:rsid w:val="00F97712"/>
    <w:rsid w:val="00FA0EA5"/>
    <w:rsid w:val="00FA559F"/>
    <w:rsid w:val="00FA68C7"/>
    <w:rsid w:val="00FA74EE"/>
    <w:rsid w:val="00FB0A5B"/>
    <w:rsid w:val="00FB1B8E"/>
    <w:rsid w:val="00FC194C"/>
    <w:rsid w:val="00FC3711"/>
    <w:rsid w:val="00FC46E7"/>
    <w:rsid w:val="00FC5D25"/>
    <w:rsid w:val="00FD0D7E"/>
    <w:rsid w:val="00FD16C4"/>
    <w:rsid w:val="00FD362F"/>
    <w:rsid w:val="00FD47FE"/>
    <w:rsid w:val="00FD4FFB"/>
    <w:rsid w:val="00FE022F"/>
    <w:rsid w:val="00FE6E13"/>
    <w:rsid w:val="00FE7D38"/>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3012880"/>
  <w15:docId w15:val="{3EB840FB-9D4D-466E-BCC6-EEC5E1DEF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qFormat="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81A"/>
    <w:rPr>
      <w:rFonts w:ascii="Segoe UI" w:hAnsi="Segoe UI"/>
      <w:sz w:val="21"/>
      <w:lang w:eastAsia="en-GB"/>
    </w:rPr>
  </w:style>
  <w:style w:type="paragraph" w:styleId="Heading1">
    <w:name w:val="heading 1"/>
    <w:basedOn w:val="Normal"/>
    <w:next w:val="Normal"/>
    <w:link w:val="Heading1Char"/>
    <w:uiPriority w:val="9"/>
    <w:qFormat/>
    <w:rsid w:val="001E0952"/>
    <w:pPr>
      <w:pageBreakBefore/>
      <w:numPr>
        <w:numId w:val="7"/>
      </w:numPr>
      <w:spacing w:after="360"/>
      <w:outlineLvl w:val="0"/>
    </w:pPr>
    <w:rPr>
      <w:b/>
      <w:color w:val="23305D"/>
      <w:spacing w:val="-10"/>
      <w:sz w:val="64"/>
    </w:rPr>
  </w:style>
  <w:style w:type="paragraph" w:styleId="Heading2">
    <w:name w:val="heading 2"/>
    <w:basedOn w:val="Normal"/>
    <w:next w:val="Normal"/>
    <w:link w:val="Heading2Char"/>
    <w:uiPriority w:val="9"/>
    <w:qFormat/>
    <w:rsid w:val="001E0952"/>
    <w:pPr>
      <w:keepNext/>
      <w:numPr>
        <w:ilvl w:val="1"/>
        <w:numId w:val="7"/>
      </w:numPr>
      <w:spacing w:before="480" w:after="180"/>
      <w:outlineLvl w:val="1"/>
    </w:pPr>
    <w:rPr>
      <w:b/>
      <w:color w:val="0A6AB4"/>
      <w:spacing w:val="-5"/>
      <w:sz w:val="40"/>
    </w:rPr>
  </w:style>
  <w:style w:type="paragraph" w:styleId="Heading3">
    <w:name w:val="heading 3"/>
    <w:basedOn w:val="Normal"/>
    <w:next w:val="Normal"/>
    <w:link w:val="Heading3Char"/>
    <w:uiPriority w:val="9"/>
    <w:qFormat/>
    <w:rsid w:val="003B7E58"/>
    <w:pPr>
      <w:keepNext/>
      <w:numPr>
        <w:ilvl w:val="2"/>
        <w:numId w:val="5"/>
      </w:numPr>
      <w:spacing w:before="360" w:after="180"/>
      <w:outlineLvl w:val="2"/>
    </w:pPr>
    <w:rPr>
      <w:color w:val="0A6AB4"/>
      <w:spacing w:val="-5"/>
      <w:sz w:val="32"/>
    </w:rPr>
  </w:style>
  <w:style w:type="paragraph" w:styleId="Heading4">
    <w:name w:val="heading 4"/>
    <w:basedOn w:val="Normal"/>
    <w:next w:val="Normal"/>
    <w:link w:val="Heading4Char"/>
    <w:qFormat/>
    <w:rsid w:val="00030E84"/>
    <w:pPr>
      <w:keepNext/>
      <w:spacing w:before="240" w:after="120"/>
      <w:outlineLvl w:val="3"/>
    </w:pPr>
    <w:rPr>
      <w:color w:val="0A6AB4"/>
      <w:sz w:val="28"/>
    </w:rPr>
  </w:style>
  <w:style w:type="paragraph" w:styleId="Heading5">
    <w:name w:val="heading 5"/>
    <w:basedOn w:val="Normal"/>
    <w:next w:val="Normal"/>
    <w:link w:val="Heading5Char"/>
    <w:qFormat/>
    <w:rsid w:val="00B00CF5"/>
    <w:pPr>
      <w:keepNext/>
      <w:spacing w:before="120" w:after="120"/>
      <w:outlineLvl w:val="4"/>
    </w:pPr>
    <w:rPr>
      <w:color w:val="0A6AB4"/>
      <w:sz w:val="24"/>
    </w:rPr>
  </w:style>
  <w:style w:type="paragraph" w:styleId="Heading6">
    <w:name w:val="heading 6"/>
    <w:basedOn w:val="Normal"/>
    <w:next w:val="Normal"/>
    <w:link w:val="Heading6Char"/>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E0952"/>
    <w:rPr>
      <w:rFonts w:ascii="Segoe UI" w:hAnsi="Segoe UI"/>
      <w:b/>
      <w:color w:val="23305D"/>
      <w:spacing w:val="-10"/>
      <w:sz w:val="64"/>
      <w:lang w:eastAsia="en-GB"/>
    </w:rPr>
  </w:style>
  <w:style w:type="character" w:customStyle="1" w:styleId="Heading2Char">
    <w:name w:val="Heading 2 Char"/>
    <w:link w:val="Heading2"/>
    <w:uiPriority w:val="9"/>
    <w:rsid w:val="001E0952"/>
    <w:rPr>
      <w:rFonts w:ascii="Segoe UI" w:hAnsi="Segoe UI"/>
      <w:b/>
      <w:color w:val="0A6AB4"/>
      <w:spacing w:val="-5"/>
      <w:sz w:val="40"/>
      <w:lang w:eastAsia="en-GB"/>
    </w:rPr>
  </w:style>
  <w:style w:type="character" w:customStyle="1" w:styleId="Heading3Char">
    <w:name w:val="Heading 3 Char"/>
    <w:link w:val="Heading3"/>
    <w:uiPriority w:val="9"/>
    <w:rsid w:val="003B7E58"/>
    <w:rPr>
      <w:rFonts w:ascii="Segoe UI" w:hAnsi="Segoe UI"/>
      <w:color w:val="0A6AB4"/>
      <w:spacing w:val="-5"/>
      <w:sz w:val="32"/>
      <w:lang w:eastAsia="en-GB"/>
    </w:rPr>
  </w:style>
  <w:style w:type="character" w:customStyle="1" w:styleId="Heading4Char">
    <w:name w:val="Heading 4 Char"/>
    <w:link w:val="Heading4"/>
    <w:rsid w:val="00030E84"/>
    <w:rPr>
      <w:rFonts w:ascii="Segoe UI" w:hAnsi="Segoe UI"/>
      <w:color w:val="0A6AB4"/>
      <w:sz w:val="28"/>
      <w:lang w:eastAsia="en-GB"/>
    </w:rPr>
  </w:style>
  <w:style w:type="character" w:customStyle="1" w:styleId="Heading5Char">
    <w:name w:val="Heading 5 Char"/>
    <w:link w:val="Heading5"/>
    <w:rsid w:val="00B00CF5"/>
    <w:rPr>
      <w:rFonts w:ascii="Segoe UI" w:hAnsi="Segoe UI"/>
      <w:color w:val="0A6AB4"/>
      <w:sz w:val="24"/>
      <w:lang w:eastAsia="en-GB"/>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E556EF"/>
    <w:pPr>
      <w:tabs>
        <w:tab w:val="right" w:pos="8080"/>
      </w:tabs>
      <w:spacing w:before="300"/>
      <w:ind w:left="567" w:right="567" w:hanging="567"/>
    </w:pPr>
    <w:rPr>
      <w:rFonts w:ascii="Segoe UI Semibold" w:hAnsi="Segoe UI Semibold"/>
      <w:sz w:val="24"/>
    </w:rPr>
  </w:style>
  <w:style w:type="paragraph" w:styleId="TOC2">
    <w:name w:val="toc 2"/>
    <w:basedOn w:val="Normal"/>
    <w:next w:val="Normal"/>
    <w:uiPriority w:val="39"/>
    <w:qFormat/>
    <w:rsid w:val="00E556EF"/>
    <w:pPr>
      <w:tabs>
        <w:tab w:val="right" w:pos="8080"/>
      </w:tabs>
      <w:spacing w:before="60"/>
      <w:ind w:left="1134" w:right="567" w:hanging="567"/>
    </w:pPr>
  </w:style>
  <w:style w:type="paragraph" w:styleId="TOC3">
    <w:name w:val="toc 3"/>
    <w:basedOn w:val="Normal"/>
    <w:next w:val="Normal"/>
    <w:uiPriority w:val="39"/>
    <w:rsid w:val="00571494"/>
    <w:pPr>
      <w:tabs>
        <w:tab w:val="right" w:pos="8080"/>
      </w:tabs>
      <w:spacing w:before="120"/>
      <w:ind w:left="992" w:right="567" w:hanging="992"/>
    </w:pPr>
  </w:style>
  <w:style w:type="paragraph" w:customStyle="1" w:styleId="Bullet">
    <w:name w:val="Bullet"/>
    <w:basedOn w:val="Normal"/>
    <w:link w:val="BulletChar"/>
    <w:qFormat/>
    <w:rsid w:val="00FA0EA5"/>
    <w:pPr>
      <w:numPr>
        <w:numId w:val="1"/>
      </w:numPr>
      <w:tabs>
        <w:tab w:val="clear" w:pos="284"/>
      </w:tabs>
      <w:spacing w:before="90"/>
    </w:pPr>
  </w:style>
  <w:style w:type="character" w:customStyle="1" w:styleId="BulletChar">
    <w:name w:val="Bullet Char"/>
    <w:link w:val="Bullet"/>
    <w:locked/>
    <w:rsid w:val="002B7BEC"/>
    <w:rPr>
      <w:rFonts w:ascii="Segoe UI" w:hAnsi="Segoe UI"/>
      <w:sz w:val="21"/>
      <w:lang w:eastAsia="en-GB"/>
    </w:rPr>
  </w:style>
  <w:style w:type="paragraph" w:styleId="Quote">
    <w:name w:val="Quote"/>
    <w:basedOn w:val="Normal"/>
    <w:next w:val="Normal"/>
    <w:link w:val="QuoteChar"/>
    <w:qFormat/>
    <w:pPr>
      <w:spacing w:before="120"/>
      <w:ind w:left="284" w:right="284"/>
    </w:pPr>
  </w:style>
  <w:style w:type="character" w:customStyle="1" w:styleId="QuoteChar">
    <w:name w:val="Quote Char"/>
    <w:link w:val="Quote"/>
    <w:rsid w:val="00122363"/>
    <w:rPr>
      <w:rFonts w:ascii="Georgia" w:hAnsi="Georgia"/>
      <w:sz w:val="22"/>
      <w:lang w:eastAsia="en-GB"/>
    </w:rPr>
  </w:style>
  <w:style w:type="paragraph" w:styleId="FootnoteText">
    <w:name w:val="footnote text"/>
    <w:basedOn w:val="Normal"/>
    <w:link w:val="FootnoteTextChar"/>
    <w:uiPriority w:val="99"/>
    <w:rsid w:val="00A7415D"/>
    <w:pPr>
      <w:spacing w:before="60" w:line="228" w:lineRule="auto"/>
      <w:ind w:left="284" w:hanging="284"/>
    </w:pPr>
    <w:rPr>
      <w:sz w:val="17"/>
    </w:rPr>
  </w:style>
  <w:style w:type="character" w:customStyle="1" w:styleId="FootnoteTextChar">
    <w:name w:val="Footnote Text Char"/>
    <w:link w:val="FootnoteText"/>
    <w:uiPriority w:val="99"/>
    <w:rsid w:val="00A7415D"/>
    <w:rPr>
      <w:rFonts w:ascii="Segoe UI" w:hAnsi="Segoe UI"/>
      <w:sz w:val="17"/>
      <w:lang w:eastAsia="en-GB"/>
    </w:rPr>
  </w:style>
  <w:style w:type="paragraph" w:styleId="Header">
    <w:name w:val="header"/>
    <w:basedOn w:val="Normal"/>
    <w:link w:val="HeaderChar"/>
    <w:uiPriority w:val="99"/>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link w:val="TitleChar"/>
    <w:qFormat/>
    <w:rsid w:val="005A79E5"/>
    <w:pPr>
      <w:spacing w:line="216" w:lineRule="auto"/>
      <w:ind w:right="3402"/>
    </w:pPr>
    <w:rPr>
      <w:rFonts w:ascii="Segoe UI Black" w:hAnsi="Segoe UI Black" w:cs="Lucida Sans Unicode"/>
      <w:b/>
      <w:sz w:val="72"/>
      <w:szCs w:val="72"/>
    </w:rPr>
  </w:style>
  <w:style w:type="character" w:customStyle="1" w:styleId="TitleChar">
    <w:name w:val="Title Char"/>
    <w:link w:val="Title"/>
    <w:rsid w:val="005A79E5"/>
    <w:rPr>
      <w:rFonts w:ascii="Segoe UI Black" w:hAnsi="Segoe UI Black" w:cs="Lucida Sans Unicode"/>
      <w:b/>
      <w:sz w:val="72"/>
      <w:szCs w:val="72"/>
      <w:lang w:eastAsia="en-GB"/>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customStyle="1" w:styleId="FooterChar">
    <w:name w:val="Footer Char"/>
    <w:link w:val="Footer"/>
    <w:uiPriority w:val="99"/>
    <w:rsid w:val="007A067F"/>
    <w:rPr>
      <w:rFonts w:ascii="Segoe UI" w:hAnsi="Segoe UI"/>
      <w:sz w:val="21"/>
      <w:lang w:eastAsia="en-GB"/>
    </w:rPr>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sz w:val="20"/>
    </w:rPr>
  </w:style>
  <w:style w:type="character" w:customStyle="1" w:styleId="FigureChar">
    <w:name w:val="Figure Char"/>
    <w:link w:val="Figure"/>
    <w:locked/>
    <w:rsid w:val="002B7BEC"/>
    <w:rPr>
      <w:rFonts w:ascii="Segoe UI" w:hAnsi="Segoe UI"/>
      <w:b/>
      <w:lang w:eastAsia="en-GB"/>
    </w:rPr>
  </w:style>
  <w:style w:type="character" w:styleId="FootnoteReference">
    <w:name w:val="footnote reference"/>
    <w:uiPriority w:val="99"/>
    <w:rPr>
      <w:vertAlign w:val="superscript"/>
    </w:rPr>
  </w:style>
  <w:style w:type="paragraph" w:customStyle="1" w:styleId="Table">
    <w:name w:val="Table"/>
    <w:basedOn w:val="Figure"/>
    <w:link w:val="TableChar"/>
    <w:qFormat/>
    <w:rsid w:val="00642868"/>
  </w:style>
  <w:style w:type="character" w:customStyle="1" w:styleId="TableChar">
    <w:name w:val="Table Char"/>
    <w:link w:val="Table"/>
    <w:locked/>
    <w:rsid w:val="002B7BEC"/>
    <w:rPr>
      <w:rFonts w:ascii="Segoe UI" w:hAnsi="Segoe UI"/>
      <w:b/>
      <w:lang w:eastAsia="en-GB"/>
    </w:rPr>
  </w:style>
  <w:style w:type="paragraph" w:customStyle="1" w:styleId="Dash">
    <w:name w:val="Dash"/>
    <w:basedOn w:val="Bullet"/>
    <w:qFormat/>
    <w:rsid w:val="00702854"/>
    <w:pPr>
      <w:numPr>
        <w:numId w:val="2"/>
      </w:numPr>
      <w:spacing w:before="60"/>
    </w:pPr>
  </w:style>
  <w:style w:type="paragraph" w:customStyle="1" w:styleId="TableText">
    <w:name w:val="TableText"/>
    <w:basedOn w:val="Normal"/>
    <w:link w:val="TableTextChar"/>
    <w:qFormat/>
    <w:rsid w:val="00925892"/>
    <w:pPr>
      <w:spacing w:before="60" w:after="60"/>
    </w:pPr>
    <w:rPr>
      <w:sz w:val="18"/>
    </w:rPr>
  </w:style>
  <w:style w:type="character" w:customStyle="1" w:styleId="TableTextChar">
    <w:name w:val="TableText Char"/>
    <w:link w:val="TableText"/>
    <w:rsid w:val="00232F0B"/>
    <w:rPr>
      <w:rFonts w:ascii="Segoe UI" w:hAnsi="Segoe UI"/>
      <w:sz w:val="18"/>
      <w:lang w:eastAsia="en-GB"/>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0419A9"/>
    <w:pPr>
      <w:pBdr>
        <w:top w:val="single" w:sz="4" w:space="12" w:color="auto"/>
        <w:left w:val="single" w:sz="4" w:space="12" w:color="auto"/>
        <w:bottom w:val="single" w:sz="4" w:space="12" w:color="auto"/>
        <w:right w:val="single" w:sz="4" w:space="12" w:color="auto"/>
      </w:pBdr>
      <w:ind w:left="568" w:right="284"/>
    </w:pPr>
  </w:style>
  <w:style w:type="paragraph" w:customStyle="1" w:styleId="IntroHead">
    <w:name w:val="IntroHead"/>
    <w:basedOn w:val="Heading1"/>
    <w:next w:val="Normal"/>
    <w:qFormat/>
    <w:rsid w:val="009C1654"/>
    <w:pPr>
      <w:numPr>
        <w:numId w:val="0"/>
      </w:num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character" w:customStyle="1" w:styleId="NoteChar">
    <w:name w:val="Note Char"/>
    <w:link w:val="Note"/>
    <w:rsid w:val="00A87C05"/>
    <w:rPr>
      <w:rFonts w:ascii="Segoe UI" w:hAnsi="Segoe UI"/>
      <w:sz w:val="17"/>
      <w:lang w:eastAsia="en-GB"/>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paragraph" w:customStyle="1" w:styleId="Year">
    <w:name w:val="Year"/>
    <w:basedOn w:val="Subhead"/>
    <w:next w:val="Subhead"/>
    <w:qFormat/>
    <w:rsid w:val="00531E12"/>
    <w:rPr>
      <w:sz w:val="28"/>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rsid w:val="00F140B2"/>
    <w:pPr>
      <w:numPr>
        <w:ilvl w:val="3"/>
        <w:numId w:val="5"/>
      </w:numPr>
      <w:spacing w:before="180"/>
    </w:pPr>
    <w:rPr>
      <w:szCs w:val="24"/>
    </w:rPr>
  </w:style>
  <w:style w:type="paragraph" w:customStyle="1" w:styleId="Letter">
    <w:name w:val="Letter"/>
    <w:basedOn w:val="Normal"/>
    <w:qFormat/>
    <w:rsid w:val="00F140B2"/>
    <w:pPr>
      <w:spacing w:before="120"/>
      <w:ind w:left="1134" w:hanging="567"/>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Roman">
    <w:name w:val="Roman"/>
    <w:basedOn w:val="Normal"/>
    <w:qFormat/>
    <w:rsid w:val="00AD6293"/>
    <w:pPr>
      <w:numPr>
        <w:ilvl w:val="5"/>
        <w:numId w:val="5"/>
      </w:numPr>
      <w:spacing w:before="90"/>
    </w:pPr>
    <w:rPr>
      <w:rFonts w:eastAsia="Arial Unicode MS"/>
    </w:rPr>
  </w:style>
  <w:style w:type="paragraph" w:styleId="Caption">
    <w:name w:val="caption"/>
    <w:basedOn w:val="Normal"/>
    <w:next w:val="Normal"/>
    <w:unhideWhenUsed/>
    <w:qFormat/>
    <w:rsid w:val="00217668"/>
    <w:pPr>
      <w:spacing w:after="200"/>
    </w:pPr>
    <w:rPr>
      <w:b/>
      <w:bCs/>
      <w:color w:val="4F81BD" w:themeColor="accent1"/>
      <w:sz w:val="18"/>
      <w:szCs w:val="18"/>
    </w:rPr>
  </w:style>
  <w:style w:type="paragraph" w:customStyle="1" w:styleId="Heading1-notnumbered">
    <w:name w:val="Heading 1 - not numbered"/>
    <w:basedOn w:val="Heading1"/>
    <w:next w:val="Normal"/>
    <w:qFormat/>
    <w:rsid w:val="009C1654"/>
    <w:pPr>
      <w:numPr>
        <w:numId w:val="0"/>
      </w:numPr>
    </w:pPr>
  </w:style>
  <w:style w:type="paragraph" w:customStyle="1" w:styleId="Heading2-notnumbered">
    <w:name w:val="Heading 2 - not numbered"/>
    <w:basedOn w:val="Heading2"/>
    <w:next w:val="Normal"/>
    <w:qFormat/>
    <w:rsid w:val="009C1654"/>
    <w:pPr>
      <w:numPr>
        <w:ilvl w:val="0"/>
        <w:numId w:val="0"/>
      </w:numPr>
    </w:pPr>
  </w:style>
  <w:style w:type="table" w:styleId="TableGrid">
    <w:name w:val="Table Grid"/>
    <w:basedOn w:val="TableNormal"/>
    <w:uiPriority w:val="39"/>
    <w:rsid w:val="00232F0B"/>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232F0B"/>
    <w:pPr>
      <w:pBdr>
        <w:bottom w:val="single" w:sz="6" w:space="1" w:color="auto"/>
      </w:pBdr>
      <w:jc w:val="center"/>
    </w:pPr>
    <w:rPr>
      <w:rFonts w:ascii="Arial" w:hAnsi="Arial" w:cs="Arial"/>
      <w:vanish/>
      <w:sz w:val="16"/>
      <w:szCs w:val="16"/>
      <w:lang w:eastAsia="en-NZ"/>
    </w:rPr>
  </w:style>
  <w:style w:type="character" w:customStyle="1" w:styleId="z-TopofFormChar">
    <w:name w:val="z-Top of Form Char"/>
    <w:basedOn w:val="DefaultParagraphFont"/>
    <w:link w:val="z-TopofForm"/>
    <w:uiPriority w:val="99"/>
    <w:semiHidden/>
    <w:rsid w:val="00232F0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232F0B"/>
    <w:pPr>
      <w:pBdr>
        <w:top w:val="single" w:sz="6" w:space="1" w:color="auto"/>
      </w:pBdr>
      <w:jc w:val="center"/>
    </w:pPr>
    <w:rPr>
      <w:rFonts w:ascii="Arial" w:hAnsi="Arial" w:cs="Arial"/>
      <w:vanish/>
      <w:sz w:val="16"/>
      <w:szCs w:val="16"/>
      <w:lang w:eastAsia="en-NZ"/>
    </w:rPr>
  </w:style>
  <w:style w:type="character" w:customStyle="1" w:styleId="z-BottomofFormChar">
    <w:name w:val="z-Bottom of Form Char"/>
    <w:basedOn w:val="DefaultParagraphFont"/>
    <w:link w:val="z-BottomofForm"/>
    <w:uiPriority w:val="99"/>
    <w:semiHidden/>
    <w:rsid w:val="00232F0B"/>
    <w:rPr>
      <w:rFonts w:ascii="Arial" w:hAnsi="Arial" w:cs="Arial"/>
      <w:vanish/>
      <w:sz w:val="16"/>
      <w:szCs w:val="16"/>
    </w:rPr>
  </w:style>
  <w:style w:type="paragraph" w:customStyle="1" w:styleId="BoxNumber">
    <w:name w:val="Box Number"/>
    <w:basedOn w:val="Box"/>
    <w:qFormat/>
    <w:rsid w:val="00384DD3"/>
    <w:pPr>
      <w:numPr>
        <w:numId w:val="8"/>
      </w:numPr>
    </w:pPr>
  </w:style>
  <w:style w:type="character" w:styleId="UnresolvedMention">
    <w:name w:val="Unresolved Mention"/>
    <w:basedOn w:val="DefaultParagraphFont"/>
    <w:uiPriority w:val="99"/>
    <w:semiHidden/>
    <w:unhideWhenUsed/>
    <w:rsid w:val="008055EE"/>
    <w:rPr>
      <w:color w:val="605E5C"/>
      <w:shd w:val="clear" w:color="auto" w:fill="E1DFDD"/>
    </w:rPr>
  </w:style>
  <w:style w:type="character" w:styleId="CommentReference">
    <w:name w:val="annotation reference"/>
    <w:basedOn w:val="DefaultParagraphFont"/>
    <w:uiPriority w:val="99"/>
    <w:semiHidden/>
    <w:unhideWhenUsed/>
    <w:rsid w:val="006A150D"/>
    <w:rPr>
      <w:sz w:val="16"/>
      <w:szCs w:val="16"/>
    </w:rPr>
  </w:style>
  <w:style w:type="paragraph" w:styleId="CommentText">
    <w:name w:val="annotation text"/>
    <w:basedOn w:val="Normal"/>
    <w:link w:val="CommentTextChar"/>
    <w:uiPriority w:val="99"/>
    <w:semiHidden/>
    <w:unhideWhenUsed/>
    <w:rsid w:val="006A150D"/>
    <w:rPr>
      <w:sz w:val="20"/>
    </w:rPr>
  </w:style>
  <w:style w:type="character" w:customStyle="1" w:styleId="CommentTextChar">
    <w:name w:val="Comment Text Char"/>
    <w:basedOn w:val="DefaultParagraphFont"/>
    <w:link w:val="CommentText"/>
    <w:uiPriority w:val="99"/>
    <w:semiHidden/>
    <w:rsid w:val="006A150D"/>
    <w:rPr>
      <w:rFonts w:ascii="Segoe UI" w:hAnsi="Segoe UI"/>
      <w:lang w:eastAsia="en-GB"/>
    </w:rPr>
  </w:style>
  <w:style w:type="paragraph" w:styleId="CommentSubject">
    <w:name w:val="annotation subject"/>
    <w:basedOn w:val="CommentText"/>
    <w:next w:val="CommentText"/>
    <w:link w:val="CommentSubjectChar"/>
    <w:uiPriority w:val="99"/>
    <w:semiHidden/>
    <w:unhideWhenUsed/>
    <w:rsid w:val="006A150D"/>
    <w:rPr>
      <w:b/>
      <w:bCs/>
    </w:rPr>
  </w:style>
  <w:style w:type="character" w:customStyle="1" w:styleId="CommentSubjectChar">
    <w:name w:val="Comment Subject Char"/>
    <w:basedOn w:val="CommentTextChar"/>
    <w:link w:val="CommentSubject"/>
    <w:uiPriority w:val="99"/>
    <w:semiHidden/>
    <w:rsid w:val="006A150D"/>
    <w:rPr>
      <w:rFonts w:ascii="Segoe UI" w:hAnsi="Segoe UI"/>
      <w:b/>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35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8.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legislation.govt.nz/regulation/public/2016/0303/latest/whole.html" TargetMode="External"/><Relationship Id="rId34" Type="http://schemas.openxmlformats.org/officeDocument/2006/relationships/hyperlink" Target="http://www.legislation.tas.gov.au/view/html/inforce/current/sr-2016-032"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4.xml"/><Relationship Id="rId25" Type="http://schemas.openxmlformats.org/officeDocument/2006/relationships/footer" Target="footer7.xml"/><Relationship Id="rId33" Type="http://schemas.openxmlformats.org/officeDocument/2006/relationships/hyperlink" Target="http://www.legislation.sa.gov.au/LZ/C/R/Radiation%20Protection%20and%20Control%20(Ionising%20Radiation)%20Regulations%202015.aspx"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www.legislation.govt.nz/regulation/public/2016/0303/latest/whole.html" TargetMode="External"/><Relationship Id="rId29" Type="http://schemas.openxmlformats.org/officeDocument/2006/relationships/hyperlink" Target="https://content.legislation.vic.gov.au/sites/default/files/0174274d-2f5a-3f7d-a7b0-bd3610dc74a3_17-83sra001%20authorised.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alth.govt.nz" TargetMode="External"/><Relationship Id="rId24" Type="http://schemas.openxmlformats.org/officeDocument/2006/relationships/footer" Target="footer6.xml"/><Relationship Id="rId32" Type="http://schemas.openxmlformats.org/officeDocument/2006/relationships/hyperlink" Target="http://www.legislation.wa.gov.au/legislation/statutes.nsf/main_mrtitle_1969_homepage.html" TargetMode="External"/><Relationship Id="rId37"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www.legislation.govt.nz/regulation/public/2016/0303/latest/whole.html" TargetMode="External"/><Relationship Id="rId28" Type="http://schemas.openxmlformats.org/officeDocument/2006/relationships/hyperlink" Target="http://www.legislation.gov.au/Details/F2018L01697" TargetMode="External"/><Relationship Id="rId36" Type="http://schemas.openxmlformats.org/officeDocument/2006/relationships/image" Target="cid:image001.gif@01D71043.73122060" TargetMode="External"/><Relationship Id="rId10" Type="http://schemas.openxmlformats.org/officeDocument/2006/relationships/image" Target="media/image3.png"/><Relationship Id="rId19" Type="http://schemas.openxmlformats.org/officeDocument/2006/relationships/hyperlink" Target="https://www.legislation.govt.nz/regulation/public/2016/0303/latest/whole.html" TargetMode="External"/><Relationship Id="rId31" Type="http://schemas.openxmlformats.org/officeDocument/2006/relationships/hyperlink" Target="http://www.legislation.qld.gov.au/view/html/inforce/current/sl-2021-0125"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https://www.legislation.govt.nz/regulation/public/2016/0303/latest/whole.html" TargetMode="External"/><Relationship Id="rId27" Type="http://schemas.openxmlformats.org/officeDocument/2006/relationships/footer" Target="footer9.xml"/><Relationship Id="rId30" Type="http://schemas.openxmlformats.org/officeDocument/2006/relationships/hyperlink" Target="http://www.legislation.nsw.gov.au/view/html/inforce/current/sl-2013-0052" TargetMode="External"/><Relationship Id="rId35" Type="http://schemas.openxmlformats.org/officeDocument/2006/relationships/image" Target="media/image5.gif"/></Relationships>
</file>

<file path=word/_rels/footnotes.xml.rels><?xml version="1.0" encoding="UTF-8" standalone="yes"?>
<Relationships xmlns="http://schemas.openxmlformats.org/package/2006/relationships"><Relationship Id="rId8" Type="http://schemas.openxmlformats.org/officeDocument/2006/relationships/hyperlink" Target="https://www.health.govt.nz/publication/review-radiation-safety-fees-and-regulations" TargetMode="External"/><Relationship Id="rId3" Type="http://schemas.openxmlformats.org/officeDocument/2006/relationships/hyperlink" Target="http://www.health.govt.nz/publication/proposed-radiation-safety-regulations-consultation-document" TargetMode="External"/><Relationship Id="rId7" Type="http://schemas.openxmlformats.org/officeDocument/2006/relationships/hyperlink" Target="http://www.health.govt.nz/about-ministry/information-releases/regulatory-impact-statements/radiation-safety-regulations" TargetMode="External"/><Relationship Id="rId2" Type="http://schemas.openxmlformats.org/officeDocument/2006/relationships/hyperlink" Target="http://www.legislation.govt.nz/act/public/2016/0006/latest/whole.html" TargetMode="External"/><Relationship Id="rId1" Type="http://schemas.openxmlformats.org/officeDocument/2006/relationships/hyperlink" Target="http://www.legislation.govt.nz/regulation/public/2016/0303/latest/whole.html" TargetMode="External"/><Relationship Id="rId6" Type="http://schemas.openxmlformats.org/officeDocument/2006/relationships/hyperlink" Target="http://www.treasury.govt.nz/publications/guidance/planning/charges%20(accessed%208%20October%202021).%20" TargetMode="External"/><Relationship Id="rId5" Type="http://schemas.openxmlformats.org/officeDocument/2006/relationships/hyperlink" Target="https://oag.parliament.nz/2008/charging-fees/docs/charging-fees.pdf" TargetMode="External"/><Relationship Id="rId10" Type="http://schemas.openxmlformats.org/officeDocument/2006/relationships/hyperlink" Target="http://www.health.govt.nz/system/files/documents/publications/code-of-practice-irradiating-apparatus-ors-c10-30june2020.pdf" TargetMode="External"/><Relationship Id="rId4" Type="http://schemas.openxmlformats.org/officeDocument/2006/relationships/hyperlink" Target="http://www.health.govt.nz/about-ministry/information-releases/regulatory-impact-statements/radiation-safety-regulations" TargetMode="External"/><Relationship Id="rId9" Type="http://schemas.openxmlformats.org/officeDocument/2006/relationships/hyperlink" Target="http://www.treasury.govt.nz/publications/guidance/planning/charges%20(accessed%208%20October%202021).%2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C9DC9-42C2-4FD2-844F-0C4485FE6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1</TotalTime>
  <Pages>6</Pages>
  <Words>12788</Words>
  <Characters>72894</Characters>
  <Application>Microsoft Office Word</Application>
  <DocSecurity>4</DocSecurity>
  <Lines>607</Lines>
  <Paragraphs>171</Paragraphs>
  <ScaleCrop>false</ScaleCrop>
  <HeadingPairs>
    <vt:vector size="2" baseType="variant">
      <vt:variant>
        <vt:lpstr>Title</vt:lpstr>
      </vt:variant>
      <vt:variant>
        <vt:i4>1</vt:i4>
      </vt:variant>
    </vt:vector>
  </HeadingPairs>
  <TitlesOfParts>
    <vt:vector size="1" baseType="lpstr">
      <vt:lpstr>Review of Radiation Safety Regulations 2016</vt:lpstr>
    </vt:vector>
  </TitlesOfParts>
  <Company>Microsoft</Company>
  <LinksUpToDate>false</LinksUpToDate>
  <CharactersWithSpaces>85511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Radiation Safety Regulations 2016</dc:title>
  <dc:creator>Ministry of Health</dc:creator>
  <cp:lastModifiedBy>Keith Gardner</cp:lastModifiedBy>
  <cp:revision>2</cp:revision>
  <cp:lastPrinted>2022-03-10T03:46:00Z</cp:lastPrinted>
  <dcterms:created xsi:type="dcterms:W3CDTF">2022-03-10T04:16:00Z</dcterms:created>
  <dcterms:modified xsi:type="dcterms:W3CDTF">2022-03-10T04:16:00Z</dcterms:modified>
</cp:coreProperties>
</file>